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CC18">
      <w:pPr>
        <w:pStyle w:val="35"/>
        <w:ind w:left="0" w:leftChars="0" w:firstLine="0" w:firstLineChars="0"/>
        <w:rPr>
          <w:rFonts w:hint="eastAsia" w:ascii="宋体" w:hAnsi="宋体" w:eastAsia="宋体" w:cs="宋体"/>
          <w:color w:val="auto"/>
          <w:highlight w:val="none"/>
        </w:rPr>
      </w:pPr>
      <w:bookmarkStart w:id="0" w:name="_Toc183682338"/>
      <w:bookmarkStart w:id="1" w:name="_Toc217446030"/>
    </w:p>
    <w:p w14:paraId="17A10B0F">
      <w:pPr>
        <w:snapToGrid w:val="0"/>
        <w:spacing w:before="666" w:beforeLines="200" w:line="360" w:lineRule="auto"/>
        <w:jc w:val="center"/>
        <w:outlineLvl w:val="0"/>
        <w:rPr>
          <w:rFonts w:hint="eastAsia" w:ascii="宋体" w:hAnsi="宋体" w:eastAsia="宋体" w:cs="宋体"/>
          <w:color w:val="auto"/>
          <w:sz w:val="44"/>
          <w:szCs w:val="44"/>
          <w:highlight w:val="none"/>
          <w:lang w:eastAsia="zh-CN"/>
        </w:rPr>
      </w:pPr>
      <w:r>
        <w:rPr>
          <w:rFonts w:hint="eastAsia" w:ascii="宋体" w:hAnsi="宋体" w:cs="宋体"/>
          <w:b/>
          <w:bCs w:val="0"/>
          <w:color w:val="auto"/>
          <w:sz w:val="44"/>
          <w:szCs w:val="44"/>
          <w:highlight w:val="none"/>
          <w:lang w:val="en-US" w:eastAsia="zh-CN"/>
        </w:rPr>
        <w:t>察布查尔锡伯自治县2026年小麦一喷三防项目（二标段）</w:t>
      </w:r>
    </w:p>
    <w:p w14:paraId="4663D1EA">
      <w:pPr>
        <w:pStyle w:val="13"/>
        <w:adjustRightInd w:val="0"/>
        <w:snapToGrid w:val="0"/>
        <w:spacing w:line="360" w:lineRule="auto"/>
        <w:jc w:val="center"/>
        <w:rPr>
          <w:rFonts w:hint="eastAsia" w:ascii="宋体" w:hAnsi="宋体" w:eastAsia="宋体" w:cs="宋体"/>
          <w:b/>
          <w:color w:val="auto"/>
          <w:sz w:val="28"/>
          <w:szCs w:val="28"/>
          <w:highlight w:val="none"/>
        </w:rPr>
      </w:pPr>
    </w:p>
    <w:p w14:paraId="175D1D1A">
      <w:pPr>
        <w:pStyle w:val="13"/>
        <w:adjustRightInd w:val="0"/>
        <w:snapToGrid w:val="0"/>
        <w:spacing w:line="360" w:lineRule="auto"/>
        <w:jc w:val="center"/>
        <w:rPr>
          <w:rFonts w:hint="eastAsia" w:ascii="宋体" w:hAnsi="宋体" w:eastAsia="宋体" w:cs="宋体"/>
          <w:b/>
          <w:color w:val="auto"/>
          <w:sz w:val="28"/>
          <w:szCs w:val="28"/>
          <w:highlight w:val="none"/>
        </w:rPr>
      </w:pPr>
    </w:p>
    <w:p w14:paraId="3D8F64FA">
      <w:pPr>
        <w:pStyle w:val="13"/>
        <w:adjustRightInd w:val="0"/>
        <w:snapToGrid w:val="0"/>
        <w:spacing w:line="360" w:lineRule="auto"/>
        <w:jc w:val="center"/>
        <w:rPr>
          <w:rFonts w:hint="eastAsia" w:ascii="宋体" w:hAnsi="宋体" w:eastAsia="宋体" w:cs="宋体"/>
          <w:b/>
          <w:color w:val="auto"/>
          <w:sz w:val="28"/>
          <w:szCs w:val="28"/>
          <w:highlight w:val="none"/>
        </w:rPr>
      </w:pPr>
    </w:p>
    <w:p w14:paraId="1E6CE996">
      <w:pPr>
        <w:pStyle w:val="13"/>
        <w:adjustRightInd w:val="0"/>
        <w:snapToGrid w:val="0"/>
        <w:spacing w:line="360" w:lineRule="auto"/>
        <w:rPr>
          <w:rFonts w:hint="eastAsia" w:ascii="宋体" w:hAnsi="宋体" w:eastAsia="宋体" w:cs="宋体"/>
          <w:b/>
          <w:color w:val="auto"/>
          <w:sz w:val="28"/>
          <w:szCs w:val="28"/>
          <w:highlight w:val="none"/>
        </w:rPr>
      </w:pPr>
    </w:p>
    <w:p w14:paraId="4B038852">
      <w:pPr>
        <w:pStyle w:val="13"/>
        <w:adjustRightInd w:val="0"/>
        <w:snapToGrid w:val="0"/>
        <w:spacing w:line="360" w:lineRule="auto"/>
        <w:jc w:val="center"/>
        <w:outlineLvl w:val="0"/>
        <w:rPr>
          <w:rFonts w:hint="eastAsia" w:ascii="宋体" w:hAnsi="宋体" w:eastAsia="宋体" w:cs="宋体"/>
          <w:color w:val="auto"/>
          <w:sz w:val="84"/>
          <w:szCs w:val="84"/>
          <w:highlight w:val="none"/>
          <w:lang w:val="en-US" w:eastAsia="zh-CN"/>
        </w:rPr>
      </w:pPr>
      <w:bookmarkStart w:id="2" w:name="_Toc28773"/>
      <w:r>
        <w:rPr>
          <w:rFonts w:hint="eastAsia" w:ascii="宋体" w:hAnsi="宋体" w:eastAsia="宋体" w:cs="宋体"/>
          <w:b/>
          <w:color w:val="auto"/>
          <w:sz w:val="28"/>
          <w:szCs w:val="28"/>
          <w:highlight w:val="none"/>
        </w:rPr>
        <w:t>采购项目编号：</w:t>
      </w:r>
      <w:bookmarkEnd w:id="2"/>
      <w:r>
        <w:rPr>
          <w:rFonts w:hint="eastAsia" w:hAnsi="宋体" w:cs="宋体"/>
          <w:b/>
          <w:color w:val="auto"/>
          <w:sz w:val="28"/>
          <w:szCs w:val="28"/>
          <w:highlight w:val="none"/>
          <w:lang w:eastAsia="zh-CN"/>
        </w:rPr>
        <w:t>XJCRZCG-2026037</w:t>
      </w:r>
    </w:p>
    <w:p w14:paraId="6C164B59">
      <w:pPr>
        <w:pStyle w:val="13"/>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84"/>
          <w:szCs w:val="84"/>
          <w:highlight w:val="none"/>
        </w:rPr>
        <w:t>招标文件</w:t>
      </w:r>
    </w:p>
    <w:p w14:paraId="34DAAC5B">
      <w:pPr>
        <w:pStyle w:val="13"/>
        <w:adjustRightInd w:val="0"/>
        <w:snapToGrid w:val="0"/>
        <w:spacing w:before="166" w:beforeLines="50" w:line="360" w:lineRule="auto"/>
        <w:rPr>
          <w:rFonts w:hint="eastAsia" w:ascii="宋体" w:hAnsi="宋体" w:eastAsia="宋体" w:cs="宋体"/>
          <w:b/>
          <w:color w:val="auto"/>
          <w:sz w:val="32"/>
          <w:szCs w:val="32"/>
          <w:highlight w:val="none"/>
        </w:rPr>
      </w:pPr>
    </w:p>
    <w:p w14:paraId="59E5E4B3">
      <w:pPr>
        <w:rPr>
          <w:rFonts w:hint="eastAsia" w:ascii="宋体" w:hAnsi="宋体" w:eastAsia="宋体" w:cs="宋体"/>
          <w:color w:val="auto"/>
          <w:highlight w:val="none"/>
        </w:rPr>
      </w:pPr>
    </w:p>
    <w:p w14:paraId="15AB92B9">
      <w:pPr>
        <w:pStyle w:val="13"/>
        <w:adjustRightInd w:val="0"/>
        <w:snapToGrid w:val="0"/>
        <w:spacing w:before="166" w:beforeLines="50" w:line="360" w:lineRule="auto"/>
        <w:rPr>
          <w:rFonts w:hint="eastAsia" w:ascii="宋体" w:hAnsi="宋体" w:eastAsia="宋体" w:cs="宋体"/>
          <w:b/>
          <w:color w:val="auto"/>
          <w:sz w:val="32"/>
          <w:szCs w:val="32"/>
          <w:highlight w:val="none"/>
        </w:rPr>
      </w:pPr>
    </w:p>
    <w:p w14:paraId="6526B43E">
      <w:pPr>
        <w:autoSpaceDE w:val="0"/>
        <w:autoSpaceDN w:val="0"/>
        <w:spacing w:line="480" w:lineRule="auto"/>
        <w:ind w:firstLine="1060" w:firstLineChars="400"/>
        <w:jc w:val="both"/>
        <w:outlineLvl w:val="0"/>
        <w:rPr>
          <w:rFonts w:hint="eastAsia" w:ascii="宋体" w:hAnsi="宋体" w:eastAsia="宋体" w:cs="宋体"/>
          <w:b/>
          <w:bCs/>
          <w:color w:val="auto"/>
          <w:spacing w:val="-8"/>
          <w:sz w:val="28"/>
          <w:szCs w:val="28"/>
          <w:highlight w:val="none"/>
          <w:lang w:val="zh-CN"/>
        </w:rPr>
      </w:pPr>
      <w:bookmarkStart w:id="3" w:name="_Toc9021"/>
      <w:r>
        <w:rPr>
          <w:rFonts w:hint="eastAsia" w:ascii="宋体" w:hAnsi="宋体" w:eastAsia="宋体" w:cs="宋体"/>
          <w:b/>
          <w:bCs/>
          <w:color w:val="auto"/>
          <w:spacing w:val="-8"/>
          <w:sz w:val="28"/>
          <w:szCs w:val="28"/>
          <w:highlight w:val="none"/>
        </w:rPr>
        <w:t>采   购   人</w:t>
      </w:r>
      <w:r>
        <w:rPr>
          <w:rFonts w:hint="eastAsia" w:ascii="宋体" w:hAnsi="宋体" w:eastAsia="宋体" w:cs="宋体"/>
          <w:b/>
          <w:bCs/>
          <w:color w:val="auto"/>
          <w:spacing w:val="-8"/>
          <w:sz w:val="28"/>
          <w:szCs w:val="28"/>
          <w:highlight w:val="none"/>
          <w:lang w:val="zh-CN"/>
        </w:rPr>
        <w:t>：</w:t>
      </w:r>
      <w:bookmarkEnd w:id="3"/>
      <w:r>
        <w:rPr>
          <w:rFonts w:hint="eastAsia" w:ascii="宋体" w:hAnsi="宋体" w:eastAsia="宋体" w:cs="宋体"/>
          <w:b/>
          <w:bCs/>
          <w:color w:val="auto"/>
          <w:spacing w:val="-8"/>
          <w:sz w:val="28"/>
          <w:szCs w:val="28"/>
          <w:highlight w:val="none"/>
          <w:lang w:val="zh-CN"/>
        </w:rPr>
        <w:t>察布查尔锡伯自治县农业农村局</w:t>
      </w:r>
    </w:p>
    <w:p w14:paraId="27CD7A22">
      <w:pPr>
        <w:autoSpaceDE w:val="0"/>
        <w:autoSpaceDN w:val="0"/>
        <w:spacing w:line="480" w:lineRule="auto"/>
        <w:ind w:firstLine="1060" w:firstLineChars="400"/>
        <w:jc w:val="both"/>
        <w:outlineLvl w:val="0"/>
        <w:rPr>
          <w:rFonts w:hint="eastAsia" w:ascii="宋体" w:hAnsi="宋体" w:eastAsia="宋体" w:cs="宋体"/>
          <w:color w:val="auto"/>
          <w:sz w:val="28"/>
          <w:szCs w:val="28"/>
          <w:highlight w:val="none"/>
        </w:rPr>
      </w:pPr>
      <w:bookmarkStart w:id="4" w:name="_Toc10654"/>
      <w:r>
        <w:rPr>
          <w:rFonts w:hint="eastAsia" w:ascii="宋体" w:hAnsi="宋体" w:eastAsia="宋体" w:cs="宋体"/>
          <w:b/>
          <w:bCs/>
          <w:color w:val="auto"/>
          <w:spacing w:val="-8"/>
          <w:sz w:val="28"/>
          <w:szCs w:val="28"/>
          <w:highlight w:val="none"/>
        </w:rPr>
        <w:t>采购</w:t>
      </w:r>
      <w:r>
        <w:rPr>
          <w:rFonts w:hint="eastAsia" w:ascii="宋体" w:hAnsi="宋体" w:eastAsia="宋体" w:cs="宋体"/>
          <w:b/>
          <w:bCs/>
          <w:color w:val="auto"/>
          <w:spacing w:val="-8"/>
          <w:sz w:val="28"/>
          <w:szCs w:val="28"/>
          <w:highlight w:val="none"/>
          <w:lang w:val="zh-CN"/>
        </w:rPr>
        <w:t>代理机构：</w:t>
      </w:r>
      <w:bookmarkEnd w:id="4"/>
      <w:r>
        <w:rPr>
          <w:rFonts w:hint="eastAsia" w:ascii="宋体" w:hAnsi="宋体" w:eastAsia="宋体" w:cs="宋体"/>
          <w:b/>
          <w:bCs/>
          <w:color w:val="auto"/>
          <w:spacing w:val="-8"/>
          <w:sz w:val="28"/>
          <w:szCs w:val="28"/>
          <w:highlight w:val="none"/>
          <w:lang w:val="zh-CN"/>
        </w:rPr>
        <w:t>新疆长润泽建设工程管理有限公司</w:t>
      </w:r>
    </w:p>
    <w:p w14:paraId="450ECF7C">
      <w:pPr>
        <w:autoSpaceDE w:val="0"/>
        <w:autoSpaceDN w:val="0"/>
        <w:spacing w:line="480" w:lineRule="auto"/>
        <w:ind w:firstLine="1060" w:firstLineChars="400"/>
        <w:jc w:val="both"/>
        <w:rPr>
          <w:rFonts w:hint="eastAsia" w:ascii="宋体" w:hAnsi="宋体" w:eastAsia="宋体" w:cs="宋体"/>
          <w:b/>
          <w:bCs/>
          <w:color w:val="auto"/>
          <w:spacing w:val="-8"/>
          <w:sz w:val="28"/>
          <w:szCs w:val="28"/>
          <w:highlight w:val="none"/>
          <w:lang w:val="zh-CN"/>
        </w:rPr>
      </w:pPr>
      <w:r>
        <w:rPr>
          <w:rFonts w:hint="eastAsia" w:ascii="宋体" w:hAnsi="宋体" w:eastAsia="宋体" w:cs="宋体"/>
          <w:b/>
          <w:bCs/>
          <w:color w:val="auto"/>
          <w:spacing w:val="-8"/>
          <w:sz w:val="28"/>
          <w:szCs w:val="28"/>
          <w:highlight w:val="none"/>
          <w:lang w:val="en-US" w:eastAsia="zh-CN"/>
        </w:rPr>
        <w:t>日期:</w:t>
      </w:r>
      <w:r>
        <w:rPr>
          <w:rFonts w:hint="eastAsia" w:ascii="宋体" w:hAnsi="宋体" w:eastAsia="宋体" w:cs="宋体"/>
          <w:b/>
          <w:bCs/>
          <w:color w:val="auto"/>
          <w:spacing w:val="-8"/>
          <w:sz w:val="28"/>
          <w:szCs w:val="28"/>
          <w:highlight w:val="none"/>
          <w:lang w:val="zh-CN"/>
        </w:rPr>
        <w:t>20</w:t>
      </w:r>
      <w:r>
        <w:rPr>
          <w:rFonts w:hint="eastAsia" w:ascii="宋体" w:hAnsi="宋体" w:eastAsia="宋体" w:cs="宋体"/>
          <w:b/>
          <w:bCs/>
          <w:color w:val="auto"/>
          <w:spacing w:val="-8"/>
          <w:sz w:val="28"/>
          <w:szCs w:val="28"/>
          <w:highlight w:val="none"/>
          <w:lang w:val="en-US" w:eastAsia="zh-CN"/>
        </w:rPr>
        <w:t>26</w:t>
      </w:r>
      <w:r>
        <w:rPr>
          <w:rFonts w:hint="eastAsia" w:ascii="宋体" w:hAnsi="宋体" w:eastAsia="宋体" w:cs="宋体"/>
          <w:b/>
          <w:bCs/>
          <w:color w:val="auto"/>
          <w:spacing w:val="-8"/>
          <w:sz w:val="28"/>
          <w:szCs w:val="28"/>
          <w:highlight w:val="none"/>
          <w:lang w:val="zh-CN"/>
        </w:rPr>
        <w:t>年</w:t>
      </w:r>
      <w:r>
        <w:rPr>
          <w:rFonts w:hint="eastAsia" w:ascii="宋体" w:hAnsi="宋体" w:eastAsia="宋体" w:cs="宋体"/>
          <w:b/>
          <w:bCs/>
          <w:color w:val="auto"/>
          <w:spacing w:val="-8"/>
          <w:sz w:val="28"/>
          <w:szCs w:val="28"/>
          <w:highlight w:val="none"/>
          <w:lang w:val="en-US" w:eastAsia="zh-CN"/>
        </w:rPr>
        <w:t>0</w:t>
      </w:r>
      <w:r>
        <w:rPr>
          <w:rFonts w:hint="eastAsia" w:ascii="宋体" w:hAnsi="宋体" w:cs="宋体"/>
          <w:b/>
          <w:bCs/>
          <w:color w:val="auto"/>
          <w:spacing w:val="-8"/>
          <w:sz w:val="28"/>
          <w:szCs w:val="28"/>
          <w:highlight w:val="none"/>
          <w:lang w:val="en-US" w:eastAsia="zh-CN"/>
        </w:rPr>
        <w:t>4</w:t>
      </w:r>
      <w:r>
        <w:rPr>
          <w:rFonts w:hint="eastAsia" w:ascii="宋体" w:hAnsi="宋体" w:eastAsia="宋体" w:cs="宋体"/>
          <w:b/>
          <w:bCs/>
          <w:color w:val="auto"/>
          <w:spacing w:val="-8"/>
          <w:sz w:val="28"/>
          <w:szCs w:val="28"/>
          <w:highlight w:val="none"/>
          <w:lang w:val="zh-CN"/>
        </w:rPr>
        <w:t>月</w:t>
      </w:r>
    </w:p>
    <w:p w14:paraId="682F1BCD">
      <w:pPr>
        <w:autoSpaceDE w:val="0"/>
        <w:autoSpaceDN w:val="0"/>
        <w:spacing w:line="480" w:lineRule="auto"/>
        <w:ind w:firstLine="530" w:firstLineChars="200"/>
        <w:jc w:val="center"/>
        <w:rPr>
          <w:rFonts w:hint="eastAsia" w:ascii="宋体" w:hAnsi="宋体" w:eastAsia="宋体" w:cs="宋体"/>
          <w:b/>
          <w:bCs/>
          <w:color w:val="auto"/>
          <w:spacing w:val="-8"/>
          <w:sz w:val="28"/>
          <w:szCs w:val="28"/>
          <w:highlight w:val="none"/>
          <w:lang w:val="zh-C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33" w:charSpace="0"/>
        </w:sectPr>
      </w:pPr>
    </w:p>
    <w:p w14:paraId="189EE256">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b/>
          <w:color w:val="auto"/>
          <w:kern w:val="44"/>
          <w:sz w:val="44"/>
          <w:szCs w:val="44"/>
          <w:highlight w:val="none"/>
          <w:lang w:val="zh-CN"/>
        </w:rPr>
      </w:pPr>
      <w:r>
        <w:rPr>
          <w:rFonts w:hint="eastAsia" w:ascii="宋体" w:hAnsi="宋体" w:eastAsia="宋体" w:cs="宋体"/>
          <w:b/>
          <w:color w:val="auto"/>
          <w:kern w:val="44"/>
          <w:sz w:val="44"/>
          <w:szCs w:val="44"/>
          <w:highlight w:val="none"/>
          <w:lang w:val="zh-CN"/>
        </w:rPr>
        <w:t>温馨提示</w:t>
      </w:r>
    </w:p>
    <w:p w14:paraId="5E6168AF">
      <w:pPr>
        <w:keepNext w:val="0"/>
        <w:keepLines w:val="0"/>
        <w:pageBreakBefore w:val="0"/>
        <w:widowControl w:val="0"/>
        <w:kinsoku/>
        <w:wordWrap/>
        <w:overflowPunct/>
        <w:topLinePunct w:val="0"/>
        <w:autoSpaceDE/>
        <w:autoSpaceDN/>
        <w:bidi w:val="0"/>
        <w:adjustRightInd/>
        <w:snapToGrid w:val="0"/>
        <w:spacing w:line="480" w:lineRule="exact"/>
        <w:ind w:firstLine="582" w:firstLineChars="194"/>
        <w:textAlignment w:val="auto"/>
        <w:rPr>
          <w:rFonts w:hint="eastAsia" w:ascii="宋体" w:hAnsi="宋体" w:eastAsia="宋体" w:cs="宋体"/>
          <w:bCs/>
          <w:color w:val="auto"/>
          <w:sz w:val="32"/>
          <w:szCs w:val="32"/>
          <w:highlight w:val="none"/>
          <w:lang w:val="zh-CN"/>
        </w:rPr>
      </w:pPr>
      <w:r>
        <w:rPr>
          <w:rFonts w:hint="eastAsia" w:ascii="宋体" w:hAnsi="宋体" w:eastAsia="宋体" w:cs="宋体"/>
          <w:bCs/>
          <w:color w:val="auto"/>
          <w:sz w:val="30"/>
          <w:szCs w:val="30"/>
          <w:highlight w:val="none"/>
          <w:lang w:val="en-US" w:eastAsia="zh-CN"/>
        </w:rPr>
        <w:t>获取</w:t>
      </w:r>
      <w:r>
        <w:rPr>
          <w:rFonts w:hint="eastAsia" w:ascii="宋体" w:hAnsi="宋体" w:eastAsia="宋体" w:cs="宋体"/>
          <w:bCs/>
          <w:color w:val="auto"/>
          <w:sz w:val="30"/>
          <w:szCs w:val="30"/>
          <w:highlight w:val="none"/>
          <w:lang w:val="zh-CN"/>
        </w:rPr>
        <w:t>招标文件后，请仔细阅读，特别注意粗体部分，如有疑问，请来电咨询，电话：15299819661。</w:t>
      </w:r>
    </w:p>
    <w:p w14:paraId="117C72D4">
      <w:pPr>
        <w:pStyle w:val="7"/>
        <w:keepNext w:val="0"/>
        <w:keepLines w:val="0"/>
        <w:pageBreakBefore w:val="0"/>
        <w:kinsoku/>
        <w:wordWrap/>
        <w:overflowPunct/>
        <w:topLinePunct w:val="0"/>
        <w:autoSpaceDE/>
        <w:autoSpaceDN/>
        <w:bidi w:val="0"/>
        <w:adjustRightInd/>
        <w:snapToGrid w:val="0"/>
        <w:spacing w:before="120" w:beforeLines="50" w:line="480" w:lineRule="exact"/>
        <w:ind w:firstLine="0"/>
        <w:textAlignment w:val="auto"/>
        <w:rPr>
          <w:rFonts w:hint="eastAsia" w:ascii="宋体" w:hAnsi="宋体" w:eastAsia="宋体" w:cs="宋体"/>
          <w:b/>
          <w:color w:val="auto"/>
          <w:kern w:val="44"/>
          <w:sz w:val="44"/>
          <w:szCs w:val="44"/>
          <w:highlight w:val="none"/>
        </w:rPr>
      </w:pPr>
    </w:p>
    <w:p w14:paraId="29F67A94">
      <w:pPr>
        <w:pStyle w:val="7"/>
        <w:keepNext w:val="0"/>
        <w:keepLines w:val="0"/>
        <w:pageBreakBefore w:val="0"/>
        <w:kinsoku/>
        <w:wordWrap/>
        <w:overflowPunct/>
        <w:topLinePunct w:val="0"/>
        <w:autoSpaceDE/>
        <w:autoSpaceDN/>
        <w:bidi w:val="0"/>
        <w:adjustRightInd/>
        <w:snapToGrid w:val="0"/>
        <w:spacing w:before="120" w:beforeLines="50" w:line="480" w:lineRule="exact"/>
        <w:ind w:firstLine="0"/>
        <w:textAlignment w:val="auto"/>
        <w:rPr>
          <w:rFonts w:hint="eastAsia" w:ascii="宋体" w:hAnsi="宋体" w:eastAsia="宋体" w:cs="宋体"/>
          <w:b/>
          <w:color w:val="auto"/>
          <w:kern w:val="44"/>
          <w:sz w:val="44"/>
          <w:szCs w:val="44"/>
          <w:highlight w:val="none"/>
        </w:rPr>
      </w:pPr>
    </w:p>
    <w:p w14:paraId="444DF746">
      <w:pPr>
        <w:pStyle w:val="7"/>
        <w:spacing w:before="120" w:beforeLines="50"/>
        <w:ind w:firstLine="0"/>
        <w:rPr>
          <w:rFonts w:hint="eastAsia" w:ascii="宋体" w:hAnsi="宋体" w:eastAsia="宋体" w:cs="宋体"/>
          <w:b/>
          <w:color w:val="auto"/>
          <w:kern w:val="44"/>
          <w:sz w:val="44"/>
          <w:szCs w:val="44"/>
          <w:highlight w:val="none"/>
        </w:rPr>
      </w:pPr>
    </w:p>
    <w:p w14:paraId="6C59983F">
      <w:pPr>
        <w:pStyle w:val="7"/>
        <w:spacing w:before="120" w:beforeLines="50"/>
        <w:ind w:firstLine="0"/>
        <w:rPr>
          <w:rFonts w:hint="eastAsia" w:ascii="宋体" w:hAnsi="宋体" w:eastAsia="宋体" w:cs="宋体"/>
          <w:b/>
          <w:color w:val="auto"/>
          <w:kern w:val="44"/>
          <w:sz w:val="44"/>
          <w:szCs w:val="44"/>
          <w:highlight w:val="none"/>
        </w:rPr>
      </w:pPr>
    </w:p>
    <w:p w14:paraId="1CD6D158">
      <w:pPr>
        <w:pStyle w:val="7"/>
        <w:spacing w:before="120" w:beforeLines="50"/>
        <w:ind w:firstLine="0"/>
        <w:rPr>
          <w:rFonts w:hint="eastAsia" w:ascii="宋体" w:hAnsi="宋体" w:eastAsia="宋体" w:cs="宋体"/>
          <w:b/>
          <w:color w:val="auto"/>
          <w:kern w:val="44"/>
          <w:sz w:val="44"/>
          <w:szCs w:val="44"/>
          <w:highlight w:val="none"/>
        </w:rPr>
      </w:pPr>
    </w:p>
    <w:p w14:paraId="33716B86">
      <w:pPr>
        <w:pStyle w:val="7"/>
        <w:spacing w:before="120" w:beforeLines="50"/>
        <w:ind w:firstLine="0"/>
        <w:rPr>
          <w:rFonts w:hint="eastAsia" w:ascii="宋体" w:hAnsi="宋体" w:eastAsia="宋体" w:cs="宋体"/>
          <w:b/>
          <w:color w:val="auto"/>
          <w:kern w:val="44"/>
          <w:sz w:val="44"/>
          <w:szCs w:val="44"/>
          <w:highlight w:val="none"/>
        </w:rPr>
      </w:pPr>
    </w:p>
    <w:p w14:paraId="57FC503B">
      <w:pPr>
        <w:pStyle w:val="7"/>
        <w:spacing w:before="120" w:beforeLines="50"/>
        <w:ind w:firstLine="0"/>
        <w:rPr>
          <w:rFonts w:hint="eastAsia" w:ascii="宋体" w:hAnsi="宋体" w:eastAsia="宋体" w:cs="宋体"/>
          <w:b/>
          <w:color w:val="auto"/>
          <w:kern w:val="44"/>
          <w:sz w:val="44"/>
          <w:szCs w:val="44"/>
          <w:highlight w:val="none"/>
        </w:rPr>
      </w:pPr>
    </w:p>
    <w:p w14:paraId="349D731F">
      <w:pPr>
        <w:pStyle w:val="7"/>
        <w:spacing w:before="120" w:beforeLines="50"/>
        <w:ind w:firstLine="0"/>
        <w:rPr>
          <w:rFonts w:hint="eastAsia" w:ascii="宋体" w:hAnsi="宋体" w:eastAsia="宋体" w:cs="宋体"/>
          <w:b/>
          <w:color w:val="auto"/>
          <w:kern w:val="44"/>
          <w:sz w:val="44"/>
          <w:szCs w:val="44"/>
          <w:highlight w:val="none"/>
        </w:rPr>
      </w:pPr>
    </w:p>
    <w:p w14:paraId="36D819A4">
      <w:pPr>
        <w:pStyle w:val="7"/>
        <w:spacing w:before="120" w:beforeLines="50"/>
        <w:ind w:firstLine="0"/>
        <w:rPr>
          <w:rFonts w:hint="eastAsia" w:ascii="宋体" w:hAnsi="宋体" w:eastAsia="宋体" w:cs="宋体"/>
          <w:b/>
          <w:color w:val="auto"/>
          <w:kern w:val="44"/>
          <w:sz w:val="44"/>
          <w:szCs w:val="44"/>
          <w:highlight w:val="none"/>
        </w:rPr>
      </w:pPr>
    </w:p>
    <w:p w14:paraId="09B2A26B">
      <w:pPr>
        <w:pStyle w:val="3"/>
        <w:pageBreakBefore w:val="0"/>
        <w:kinsoku/>
        <w:wordWrap/>
        <w:overflowPunct/>
        <w:topLinePunct w:val="0"/>
        <w:autoSpaceDE/>
        <w:autoSpaceDN/>
        <w:bidi w:val="0"/>
        <w:adjustRightInd/>
        <w:snapToGrid/>
        <w:spacing w:before="0" w:after="0" w:line="480" w:lineRule="exact"/>
        <w:ind w:leftChars="0"/>
        <w:jc w:val="center"/>
        <w:textAlignment w:val="auto"/>
        <w:outlineLvl w:val="0"/>
        <w:rPr>
          <w:rFonts w:hint="eastAsia" w:ascii="宋体" w:hAnsi="宋体" w:eastAsia="宋体" w:cs="宋体"/>
          <w:bCs/>
          <w:color w:val="auto"/>
          <w:sz w:val="32"/>
          <w:szCs w:val="18"/>
          <w:highlight w:val="none"/>
        </w:rPr>
        <w:sectPr>
          <w:footerReference r:id="rId8" w:type="default"/>
          <w:pgSz w:w="11910" w:h="16840"/>
          <w:pgMar w:top="1100" w:right="1000" w:bottom="1680" w:left="1080" w:header="873" w:footer="1485" w:gutter="0"/>
          <w:pgBorders>
            <w:top w:val="none" w:sz="0" w:space="0"/>
            <w:left w:val="none" w:sz="0" w:space="0"/>
            <w:bottom w:val="none" w:sz="0" w:space="0"/>
            <w:right w:val="none" w:sz="0" w:space="0"/>
          </w:pgBorders>
          <w:pgNumType w:fmt="decimal" w:start="50"/>
          <w:cols w:space="720" w:num="1"/>
        </w:sectPr>
      </w:pPr>
      <w:bookmarkStart w:id="5" w:name="_Toc7602"/>
    </w:p>
    <w:p w14:paraId="0FC60C7F">
      <w:pPr>
        <w:pStyle w:val="3"/>
        <w:pageBreakBefore w:val="0"/>
        <w:kinsoku/>
        <w:wordWrap/>
        <w:overflowPunct/>
        <w:topLinePunct w:val="0"/>
        <w:autoSpaceDE/>
        <w:autoSpaceDN/>
        <w:bidi w:val="0"/>
        <w:adjustRightInd/>
        <w:snapToGrid/>
        <w:spacing w:before="0" w:after="0" w:line="480" w:lineRule="exact"/>
        <w:ind w:leftChars="0"/>
        <w:jc w:val="center"/>
        <w:textAlignment w:val="auto"/>
        <w:outlineLvl w:val="0"/>
        <w:rPr>
          <w:rFonts w:hint="eastAsia" w:ascii="宋体" w:hAnsi="宋体" w:eastAsia="宋体" w:cs="宋体"/>
          <w:bCs/>
          <w:color w:val="auto"/>
          <w:sz w:val="32"/>
          <w:szCs w:val="18"/>
          <w:highlight w:val="none"/>
        </w:rPr>
      </w:pPr>
      <w:r>
        <w:rPr>
          <w:rFonts w:hint="eastAsia" w:ascii="宋体" w:hAnsi="宋体" w:eastAsia="宋体" w:cs="宋体"/>
          <w:bCs/>
          <w:color w:val="auto"/>
          <w:sz w:val="32"/>
          <w:szCs w:val="18"/>
          <w:highlight w:val="none"/>
        </w:rPr>
        <w:t>目    录</w:t>
      </w:r>
      <w:bookmarkEnd w:id="5"/>
    </w:p>
    <w:sdt>
      <w:sdtPr>
        <w:rPr>
          <w:rFonts w:hint="eastAsia" w:ascii="宋体" w:hAnsi="宋体" w:eastAsia="宋体" w:cs="宋体"/>
          <w:color w:val="auto"/>
          <w:kern w:val="2"/>
          <w:sz w:val="21"/>
          <w:szCs w:val="24"/>
          <w:highlight w:val="none"/>
          <w:lang w:val="en-US" w:eastAsia="zh-CN" w:bidi="ar-SA"/>
        </w:rPr>
        <w:id w:val="147477137"/>
        <w15:color w:val="DBDBDB"/>
        <w:docPartObj>
          <w:docPartGallery w:val="Table of Contents"/>
          <w:docPartUnique/>
        </w:docPartObj>
      </w:sdtPr>
      <w:sdtEndPr>
        <w:rPr>
          <w:rFonts w:hint="eastAsia" w:ascii="宋体" w:hAnsi="宋体" w:eastAsia="宋体" w:cs="宋体"/>
          <w:b/>
          <w:bCs/>
          <w:color w:val="auto"/>
          <w:kern w:val="2"/>
          <w:sz w:val="28"/>
          <w:szCs w:val="21"/>
          <w:highlight w:val="none"/>
          <w:lang w:val="en-US" w:eastAsia="zh-CN" w:bidi="ar-SA"/>
        </w:rPr>
      </w:sdtEndPr>
      <w:sdtContent>
        <w:p w14:paraId="3B50B56F">
          <w:pPr>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highlight w:val="none"/>
            </w:rPr>
          </w:pPr>
        </w:p>
        <w:p w14:paraId="6EE8FD31">
          <w:pPr>
            <w:pStyle w:val="61"/>
            <w:pageBreakBefore w:val="0"/>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TOC \o "1-2" \h \u </w:instrText>
          </w:r>
          <w:r>
            <w:rPr>
              <w:rFonts w:hint="eastAsia" w:ascii="宋体" w:hAnsi="宋体" w:eastAsia="宋体" w:cs="宋体"/>
              <w:b w:val="0"/>
              <w:bCs/>
              <w:color w:val="auto"/>
              <w:sz w:val="21"/>
              <w:szCs w:val="21"/>
              <w:highlight w:val="none"/>
            </w:rPr>
            <w:fldChar w:fldCharType="separate"/>
          </w:r>
        </w:p>
        <w:p w14:paraId="0938B359">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_Toc16383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第一</w:t>
          </w:r>
          <w:r>
            <w:rPr>
              <w:rFonts w:hint="eastAsia" w:ascii="宋体" w:hAnsi="宋体" w:eastAsia="宋体" w:cs="宋体"/>
              <w:b/>
              <w:color w:val="auto"/>
              <w:sz w:val="24"/>
              <w:szCs w:val="24"/>
              <w:highlight w:val="none"/>
            </w:rPr>
            <w:t>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招标公告</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_Toc16383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A591D50">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_Toc29688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第二章</w:t>
          </w:r>
          <w:r>
            <w:rPr>
              <w:rFonts w:hint="eastAsia" w:ascii="宋体" w:hAnsi="宋体" w:eastAsia="宋体" w:cs="宋体"/>
              <w:b/>
              <w:color w:val="auto"/>
              <w:kern w:val="44"/>
              <w:sz w:val="24"/>
              <w:szCs w:val="24"/>
              <w:highlight w:val="none"/>
              <w:lang w:val="en-US" w:eastAsia="zh-CN"/>
            </w:rPr>
            <w:t xml:space="preserve"> </w:t>
          </w:r>
          <w:r>
            <w:rPr>
              <w:rFonts w:hint="eastAsia" w:ascii="宋体" w:hAnsi="宋体" w:eastAsia="宋体" w:cs="宋体"/>
              <w:b/>
              <w:color w:val="auto"/>
              <w:kern w:val="44"/>
              <w:sz w:val="24"/>
              <w:szCs w:val="24"/>
              <w:highlight w:val="none"/>
            </w:rPr>
            <w:t>投标人须知</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_Toc29688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3D7D047">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_Toc5672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第三章</w:t>
          </w:r>
          <w:r>
            <w:rPr>
              <w:rFonts w:hint="eastAsia" w:ascii="宋体" w:hAnsi="宋体" w:eastAsia="宋体" w:cs="宋体"/>
              <w:b/>
              <w:color w:val="auto"/>
              <w:kern w:val="44"/>
              <w:sz w:val="24"/>
              <w:szCs w:val="24"/>
              <w:highlight w:val="none"/>
              <w:lang w:val="en-US" w:eastAsia="zh-CN"/>
            </w:rPr>
            <w:t xml:space="preserve"> </w:t>
          </w:r>
          <w:r>
            <w:rPr>
              <w:rFonts w:hint="eastAsia" w:ascii="宋体" w:hAnsi="宋体" w:eastAsia="宋体" w:cs="宋体"/>
              <w:b/>
              <w:color w:val="auto"/>
              <w:kern w:val="44"/>
              <w:sz w:val="24"/>
              <w:szCs w:val="24"/>
              <w:highlight w:val="none"/>
            </w:rPr>
            <w:t>评标办法</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_Toc5672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39</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EAADE21">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_Toc24751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rPr>
            <w:t>第四章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kern w:val="44"/>
              <w:sz w:val="24"/>
              <w:szCs w:val="24"/>
              <w:highlight w:val="none"/>
              <w:lang w:val="en-US" w:eastAsia="zh-CN"/>
            </w:rPr>
            <w:t>采购内容及要求</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_Toc24751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47</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8C28213">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_Toc15292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bidi="ar-SA"/>
            </w:rPr>
            <w:t>第五章 采购合同格式（仅供参考）</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_Toc15292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50</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B4EBBF5">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_Toc18821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bidi="ar-SA"/>
            </w:rPr>
            <w:t>第六章 投标文件格式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_Toc18821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58</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518671D">
          <w:pPr>
            <w:pStyle w:val="62"/>
            <w:pageBreakBefore w:val="0"/>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highlight w:val="none"/>
            </w:rPr>
          </w:pPr>
        </w:p>
        <w:p w14:paraId="68401D26">
          <w:pPr>
            <w:pStyle w:val="3"/>
            <w:pageBreakBefore w:val="0"/>
            <w:kinsoku/>
            <w:wordWrap/>
            <w:overflowPunct/>
            <w:topLinePunct w:val="0"/>
            <w:autoSpaceDE/>
            <w:autoSpaceDN/>
            <w:bidi w:val="0"/>
            <w:adjustRightInd/>
            <w:snapToGrid/>
            <w:spacing w:before="0" w:after="0" w:line="480" w:lineRule="exact"/>
            <w:ind w:leftChars="0" w:firstLine="1405" w:firstLineChars="5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bCs/>
              <w:color w:val="auto"/>
              <w:szCs w:val="21"/>
              <w:highlight w:val="none"/>
            </w:rPr>
            <w:fldChar w:fldCharType="end"/>
          </w:r>
        </w:p>
      </w:sdtContent>
    </w:sdt>
    <w:p w14:paraId="730A33AD">
      <w:pPr>
        <w:pStyle w:val="7"/>
        <w:rPr>
          <w:rFonts w:hint="eastAsia" w:ascii="宋体" w:hAnsi="宋体" w:eastAsia="宋体" w:cs="宋体"/>
          <w:color w:val="auto"/>
          <w:szCs w:val="21"/>
          <w:highlight w:val="none"/>
        </w:rPr>
      </w:pPr>
    </w:p>
    <w:p w14:paraId="3C0CCF3D">
      <w:pPr>
        <w:pStyle w:val="7"/>
        <w:rPr>
          <w:rFonts w:hint="eastAsia" w:ascii="宋体" w:hAnsi="宋体" w:eastAsia="宋体" w:cs="宋体"/>
          <w:color w:val="auto"/>
          <w:szCs w:val="21"/>
          <w:highlight w:val="none"/>
        </w:rPr>
      </w:pPr>
    </w:p>
    <w:p w14:paraId="27E8BEB4">
      <w:pPr>
        <w:pStyle w:val="7"/>
        <w:rPr>
          <w:rFonts w:hint="eastAsia" w:ascii="宋体" w:hAnsi="宋体" w:eastAsia="宋体" w:cs="宋体"/>
          <w:color w:val="auto"/>
          <w:szCs w:val="21"/>
          <w:highlight w:val="none"/>
        </w:rPr>
      </w:pPr>
    </w:p>
    <w:p w14:paraId="7815C9AF">
      <w:pPr>
        <w:pStyle w:val="7"/>
        <w:rPr>
          <w:rFonts w:hint="eastAsia" w:ascii="宋体" w:hAnsi="宋体" w:eastAsia="宋体" w:cs="宋体"/>
          <w:color w:val="auto"/>
          <w:szCs w:val="21"/>
          <w:highlight w:val="none"/>
        </w:rPr>
      </w:pPr>
    </w:p>
    <w:p w14:paraId="4EB8B2F6">
      <w:pPr>
        <w:pStyle w:val="7"/>
        <w:rPr>
          <w:rFonts w:hint="eastAsia" w:ascii="宋体" w:hAnsi="宋体" w:eastAsia="宋体" w:cs="宋体"/>
          <w:color w:val="auto"/>
          <w:szCs w:val="21"/>
          <w:highlight w:val="none"/>
        </w:rPr>
      </w:pPr>
    </w:p>
    <w:bookmarkEnd w:id="0"/>
    <w:bookmarkEnd w:id="1"/>
    <w:p w14:paraId="0BE77924">
      <w:pPr>
        <w:pStyle w:val="7"/>
        <w:spacing w:before="120" w:beforeLines="50" w:after="360" w:afterLines="150"/>
        <w:ind w:firstLine="0"/>
        <w:jc w:val="center"/>
        <w:rPr>
          <w:rFonts w:hint="eastAsia" w:ascii="宋体" w:hAnsi="宋体" w:eastAsia="宋体" w:cs="宋体"/>
          <w:b/>
          <w:color w:val="auto"/>
          <w:kern w:val="44"/>
          <w:sz w:val="44"/>
          <w:szCs w:val="44"/>
          <w:highlight w:val="none"/>
        </w:rPr>
        <w:sectPr>
          <w:footerReference r:id="rId9" w:type="default"/>
          <w:pgSz w:w="11910" w:h="16840"/>
          <w:pgMar w:top="1100" w:right="1000" w:bottom="1680" w:left="1080" w:header="873" w:footer="1485" w:gutter="0"/>
          <w:pgBorders>
            <w:top w:val="none" w:sz="0" w:space="0"/>
            <w:left w:val="none" w:sz="0" w:space="0"/>
            <w:bottom w:val="none" w:sz="0" w:space="0"/>
            <w:right w:val="none" w:sz="0" w:space="0"/>
          </w:pgBorders>
          <w:pgNumType w:fmt="decimal" w:start="1"/>
          <w:cols w:space="720" w:num="1"/>
        </w:sectPr>
      </w:pPr>
    </w:p>
    <w:p w14:paraId="5E37C6FE">
      <w:pPr>
        <w:pStyle w:val="7"/>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color w:val="auto"/>
          <w:sz w:val="40"/>
          <w:szCs w:val="40"/>
          <w:highlight w:val="none"/>
        </w:rPr>
      </w:pPr>
      <w:bookmarkStart w:id="6" w:name="_Toc16383"/>
      <w:r>
        <w:rPr>
          <w:rFonts w:hint="eastAsia" w:ascii="宋体" w:hAnsi="宋体" w:eastAsia="宋体" w:cs="宋体"/>
          <w:b/>
          <w:color w:val="auto"/>
          <w:kern w:val="44"/>
          <w:sz w:val="40"/>
          <w:szCs w:val="40"/>
          <w:highlight w:val="none"/>
        </w:rPr>
        <w:t>第一</w:t>
      </w:r>
      <w:r>
        <w:rPr>
          <w:rFonts w:hint="eastAsia" w:ascii="宋体" w:hAnsi="宋体" w:eastAsia="宋体" w:cs="宋体"/>
          <w:b/>
          <w:color w:val="auto"/>
          <w:sz w:val="40"/>
          <w:szCs w:val="40"/>
          <w:highlight w:val="none"/>
        </w:rPr>
        <w:t>章</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招标公告</w:t>
      </w:r>
      <w:bookmarkEnd w:id="6"/>
    </w:p>
    <w:p w14:paraId="34D31892">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outlineLvl w:val="1"/>
        <w:rPr>
          <w:rFonts w:hint="eastAsia" w:ascii="宋体" w:hAnsi="宋体" w:eastAsia="宋体" w:cs="宋体"/>
          <w:b/>
          <w:bCs w:val="0"/>
          <w:color w:val="auto"/>
          <w:sz w:val="32"/>
          <w:szCs w:val="32"/>
          <w:highlight w:val="none"/>
          <w:lang w:val="en-US" w:eastAsia="zh-CN"/>
        </w:rPr>
      </w:pPr>
      <w:bookmarkStart w:id="7" w:name="_Toc7266"/>
      <w:bookmarkStart w:id="8" w:name="_Toc217446031"/>
      <w:bookmarkStart w:id="9" w:name="_Toc213396945"/>
      <w:bookmarkStart w:id="10" w:name="_Toc213396759"/>
      <w:bookmarkStart w:id="11" w:name="_Toc213397009"/>
      <w:bookmarkStart w:id="12" w:name="_Toc213496267"/>
      <w:bookmarkStart w:id="13" w:name="_Toc183682339"/>
      <w:bookmarkStart w:id="14" w:name="_Toc183582202"/>
      <w:bookmarkStart w:id="15" w:name="_Toc89075871"/>
      <w:bookmarkStart w:id="16" w:name="_Toc77400776"/>
      <w:r>
        <w:rPr>
          <w:rFonts w:hint="eastAsia" w:ascii="宋体" w:hAnsi="宋体" w:cs="宋体"/>
          <w:b/>
          <w:bCs w:val="0"/>
          <w:color w:val="auto"/>
          <w:sz w:val="32"/>
          <w:szCs w:val="32"/>
          <w:highlight w:val="none"/>
          <w:lang w:val="en-US" w:eastAsia="zh-CN"/>
        </w:rPr>
        <w:t>察布查尔锡伯自治县2026年小麦一喷三防项目（二标段）</w:t>
      </w:r>
      <w:r>
        <w:rPr>
          <w:rFonts w:hint="eastAsia" w:ascii="宋体" w:hAnsi="宋体" w:eastAsia="宋体" w:cs="宋体"/>
          <w:b/>
          <w:bCs w:val="0"/>
          <w:color w:val="auto"/>
          <w:sz w:val="32"/>
          <w:szCs w:val="32"/>
          <w:highlight w:val="none"/>
          <w:lang w:val="en-US" w:eastAsia="zh-CN"/>
        </w:rPr>
        <w:t>公开招标公告</w:t>
      </w:r>
      <w:bookmarkEnd w:id="7"/>
    </w:p>
    <w:p w14:paraId="12B23B8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项目概况</w:t>
      </w:r>
      <w:bookmarkStart w:id="276" w:name="_GoBack"/>
      <w:bookmarkEnd w:id="276"/>
    </w:p>
    <w:p w14:paraId="7A3F283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firstLine="440" w:firstLineChars="200"/>
        <w:textAlignment w:val="auto"/>
        <w:rPr>
          <w:rFonts w:hint="eastAsia" w:ascii="宋体" w:hAnsi="宋体" w:eastAsia="宋体" w:cs="宋体"/>
          <w:b/>
          <w:bCs/>
          <w:i w:val="0"/>
          <w:iCs w:val="0"/>
          <w:color w:val="auto"/>
          <w:sz w:val="22"/>
          <w:szCs w:val="22"/>
          <w:highlight w:val="none"/>
          <w:u w:val="none"/>
        </w:rPr>
      </w:pPr>
      <w:r>
        <w:rPr>
          <w:rFonts w:hint="eastAsia" w:ascii="宋体" w:hAnsi="宋体" w:cs="宋体"/>
          <w:i w:val="0"/>
          <w:iCs w:val="0"/>
          <w:color w:val="auto"/>
          <w:sz w:val="22"/>
          <w:szCs w:val="22"/>
          <w:highlight w:val="none"/>
          <w:u w:val="single"/>
          <w:lang w:eastAsia="zh-CN"/>
        </w:rPr>
        <w:t>察布查尔锡伯自治县2026年小麦一喷三防项目（二标段）</w:t>
      </w:r>
      <w:r>
        <w:rPr>
          <w:rFonts w:hint="eastAsia" w:ascii="宋体" w:hAnsi="宋体" w:eastAsia="宋体" w:cs="宋体"/>
          <w:i w:val="0"/>
          <w:iCs w:val="0"/>
          <w:color w:val="auto"/>
          <w:sz w:val="22"/>
          <w:szCs w:val="22"/>
          <w:highlight w:val="none"/>
          <w:u w:val="none"/>
        </w:rPr>
        <w:t>的潜在</w:t>
      </w:r>
      <w:r>
        <w:rPr>
          <w:rFonts w:hint="eastAsia" w:ascii="宋体" w:hAnsi="宋体" w:eastAsia="宋体" w:cs="宋体"/>
          <w:i w:val="0"/>
          <w:iCs w:val="0"/>
          <w:color w:val="auto"/>
          <w:sz w:val="22"/>
          <w:szCs w:val="22"/>
          <w:highlight w:val="none"/>
          <w:u w:val="none"/>
          <w:lang w:val="en-US" w:eastAsia="zh-CN"/>
        </w:rPr>
        <w:t>投标人</w:t>
      </w:r>
      <w:r>
        <w:rPr>
          <w:rFonts w:hint="eastAsia" w:ascii="宋体" w:hAnsi="宋体" w:eastAsia="宋体" w:cs="宋体"/>
          <w:i w:val="0"/>
          <w:iCs w:val="0"/>
          <w:color w:val="auto"/>
          <w:sz w:val="22"/>
          <w:szCs w:val="22"/>
          <w:highlight w:val="none"/>
          <w:u w:val="none"/>
        </w:rPr>
        <w:t>应在政采云系统平台（https://www.zcygov.cn/）获取采购文件，</w:t>
      </w:r>
      <w:r>
        <w:rPr>
          <w:rFonts w:hint="eastAsia" w:ascii="宋体" w:hAnsi="宋体" w:eastAsia="宋体" w:cs="宋体"/>
          <w:b/>
          <w:bCs/>
          <w:i w:val="0"/>
          <w:iCs w:val="0"/>
          <w:color w:val="auto"/>
          <w:sz w:val="22"/>
          <w:szCs w:val="22"/>
          <w:highlight w:val="none"/>
          <w:u w:val="none"/>
        </w:rPr>
        <w:t>并于</w:t>
      </w:r>
      <w:r>
        <w:rPr>
          <w:rFonts w:hint="eastAsia" w:ascii="宋体" w:hAnsi="宋体" w:eastAsia="宋体" w:cs="宋体"/>
          <w:b/>
          <w:bCs/>
          <w:i w:val="0"/>
          <w:iCs w:val="0"/>
          <w:color w:val="auto"/>
          <w:sz w:val="22"/>
          <w:szCs w:val="22"/>
          <w:highlight w:val="none"/>
          <w:u w:val="single"/>
          <w:lang w:val="en-US" w:eastAsia="zh-CN"/>
        </w:rPr>
        <w:t>2026</w:t>
      </w:r>
      <w:r>
        <w:rPr>
          <w:rFonts w:hint="eastAsia" w:ascii="宋体" w:hAnsi="宋体" w:eastAsia="宋体" w:cs="宋体"/>
          <w:b/>
          <w:bCs/>
          <w:i w:val="0"/>
          <w:iCs w:val="0"/>
          <w:color w:val="auto"/>
          <w:sz w:val="22"/>
          <w:szCs w:val="22"/>
          <w:highlight w:val="none"/>
          <w:u w:val="single"/>
        </w:rPr>
        <w:t>年</w:t>
      </w:r>
      <w:r>
        <w:rPr>
          <w:rFonts w:hint="eastAsia" w:ascii="宋体" w:hAnsi="宋体" w:eastAsia="宋体" w:cs="宋体"/>
          <w:b/>
          <w:bCs/>
          <w:i w:val="0"/>
          <w:iCs w:val="0"/>
          <w:color w:val="auto"/>
          <w:sz w:val="22"/>
          <w:szCs w:val="22"/>
          <w:highlight w:val="none"/>
          <w:u w:val="single"/>
          <w:lang w:val="en-US" w:eastAsia="zh-CN"/>
        </w:rPr>
        <w:t>0</w:t>
      </w:r>
      <w:r>
        <w:rPr>
          <w:rFonts w:hint="eastAsia" w:ascii="宋体" w:hAnsi="宋体" w:cs="宋体"/>
          <w:b/>
          <w:bCs/>
          <w:i w:val="0"/>
          <w:iCs w:val="0"/>
          <w:color w:val="auto"/>
          <w:sz w:val="22"/>
          <w:szCs w:val="22"/>
          <w:highlight w:val="none"/>
          <w:u w:val="single"/>
          <w:lang w:val="en-US" w:eastAsia="zh-CN"/>
        </w:rPr>
        <w:t>5</w:t>
      </w:r>
      <w:r>
        <w:rPr>
          <w:rFonts w:hint="eastAsia" w:ascii="宋体" w:hAnsi="宋体" w:eastAsia="宋体" w:cs="宋体"/>
          <w:b/>
          <w:bCs/>
          <w:color w:val="auto"/>
          <w:kern w:val="2"/>
          <w:sz w:val="22"/>
          <w:szCs w:val="22"/>
          <w:highlight w:val="none"/>
          <w:u w:val="single"/>
          <w:lang w:val="en-US" w:eastAsia="zh-CN" w:bidi="ar-SA"/>
        </w:rPr>
        <w:t>月</w:t>
      </w:r>
      <w:r>
        <w:rPr>
          <w:rFonts w:hint="eastAsia" w:ascii="宋体" w:hAnsi="宋体" w:cs="宋体"/>
          <w:b/>
          <w:bCs/>
          <w:color w:val="auto"/>
          <w:kern w:val="2"/>
          <w:sz w:val="22"/>
          <w:szCs w:val="22"/>
          <w:highlight w:val="none"/>
          <w:u w:val="single"/>
          <w:lang w:val="en-US" w:eastAsia="zh-CN" w:bidi="ar-SA"/>
        </w:rPr>
        <w:t>13</w:t>
      </w:r>
      <w:r>
        <w:rPr>
          <w:rFonts w:hint="eastAsia" w:ascii="宋体" w:hAnsi="宋体" w:eastAsia="宋体" w:cs="宋体"/>
          <w:b/>
          <w:bCs/>
          <w:color w:val="auto"/>
          <w:kern w:val="2"/>
          <w:sz w:val="22"/>
          <w:szCs w:val="22"/>
          <w:highlight w:val="none"/>
          <w:u w:val="single"/>
          <w:lang w:val="en-US" w:eastAsia="zh-CN" w:bidi="ar-SA"/>
        </w:rPr>
        <w:t>日</w:t>
      </w:r>
      <w:r>
        <w:rPr>
          <w:rFonts w:hint="eastAsia" w:ascii="宋体" w:hAnsi="宋体" w:cs="宋体"/>
          <w:b/>
          <w:bCs/>
          <w:color w:val="auto"/>
          <w:kern w:val="2"/>
          <w:sz w:val="22"/>
          <w:szCs w:val="22"/>
          <w:highlight w:val="none"/>
          <w:u w:val="single"/>
          <w:lang w:val="en-US" w:eastAsia="zh-CN" w:bidi="ar-SA"/>
        </w:rPr>
        <w:t>16</w:t>
      </w:r>
      <w:r>
        <w:rPr>
          <w:rFonts w:hint="eastAsia" w:ascii="宋体" w:hAnsi="宋体" w:eastAsia="宋体" w:cs="宋体"/>
          <w:b/>
          <w:bCs/>
          <w:color w:val="auto"/>
          <w:kern w:val="2"/>
          <w:sz w:val="22"/>
          <w:szCs w:val="22"/>
          <w:highlight w:val="none"/>
          <w:u w:val="single"/>
          <w:lang w:val="en-US" w:eastAsia="zh-CN" w:bidi="ar-SA"/>
        </w:rPr>
        <w:t>点</w:t>
      </w:r>
      <w:r>
        <w:rPr>
          <w:rFonts w:hint="eastAsia" w:ascii="宋体" w:hAnsi="宋体" w:cs="宋体"/>
          <w:b/>
          <w:bCs/>
          <w:color w:val="auto"/>
          <w:kern w:val="2"/>
          <w:sz w:val="22"/>
          <w:szCs w:val="22"/>
          <w:highlight w:val="none"/>
          <w:u w:val="single"/>
          <w:lang w:val="en-US" w:eastAsia="zh-CN" w:bidi="ar-SA"/>
        </w:rPr>
        <w:t>3</w:t>
      </w:r>
      <w:r>
        <w:rPr>
          <w:rFonts w:hint="eastAsia" w:ascii="宋体" w:hAnsi="宋体" w:eastAsia="宋体" w:cs="宋体"/>
          <w:b/>
          <w:bCs/>
          <w:color w:val="auto"/>
          <w:kern w:val="2"/>
          <w:sz w:val="22"/>
          <w:szCs w:val="22"/>
          <w:highlight w:val="none"/>
          <w:u w:val="single"/>
          <w:lang w:val="en-US" w:eastAsia="zh-CN" w:bidi="ar-SA"/>
        </w:rPr>
        <w:t>0</w:t>
      </w:r>
      <w:r>
        <w:rPr>
          <w:rFonts w:hint="eastAsia" w:ascii="宋体" w:hAnsi="宋体" w:eastAsia="宋体" w:cs="宋体"/>
          <w:b/>
          <w:bCs/>
          <w:i w:val="0"/>
          <w:iCs w:val="0"/>
          <w:color w:val="auto"/>
          <w:sz w:val="22"/>
          <w:szCs w:val="22"/>
          <w:highlight w:val="none"/>
          <w:u w:val="single"/>
        </w:rPr>
        <w:t>分</w:t>
      </w:r>
      <w:r>
        <w:rPr>
          <w:rFonts w:hint="eastAsia" w:ascii="宋体" w:hAnsi="宋体" w:eastAsia="宋体" w:cs="宋体"/>
          <w:b/>
          <w:bCs/>
          <w:i w:val="0"/>
          <w:iCs w:val="0"/>
          <w:color w:val="auto"/>
          <w:sz w:val="22"/>
          <w:szCs w:val="22"/>
          <w:highlight w:val="none"/>
          <w:u w:val="none"/>
        </w:rPr>
        <w:t>（北京时间）前递交投标文件。</w:t>
      </w:r>
    </w:p>
    <w:p w14:paraId="4689361F">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17" w:name="_Toc28359002"/>
      <w:bookmarkStart w:id="18" w:name="_Toc35393790"/>
      <w:bookmarkStart w:id="19" w:name="_Toc35393621"/>
      <w:bookmarkStart w:id="20" w:name="_Toc28359079"/>
      <w:bookmarkStart w:id="21" w:name="_Toc11836"/>
      <w:bookmarkStart w:id="22" w:name="_Hlk24379207"/>
      <w:r>
        <w:rPr>
          <w:rFonts w:hint="eastAsia" w:ascii="宋体" w:hAnsi="宋体" w:eastAsia="宋体" w:cs="宋体"/>
          <w:b/>
          <w:bCs w:val="0"/>
          <w:i w:val="0"/>
          <w:iCs w:val="0"/>
          <w:color w:val="auto"/>
          <w:sz w:val="22"/>
          <w:szCs w:val="22"/>
          <w:highlight w:val="none"/>
        </w:rPr>
        <w:t>一、项目基本情况</w:t>
      </w:r>
      <w:bookmarkEnd w:id="17"/>
      <w:bookmarkEnd w:id="18"/>
      <w:bookmarkEnd w:id="19"/>
      <w:bookmarkEnd w:id="20"/>
      <w:bookmarkEnd w:id="21"/>
    </w:p>
    <w:p w14:paraId="2C4173D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eastAsia="zh-CN"/>
        </w:rPr>
        <w:t>项目编号：</w:t>
      </w:r>
      <w:r>
        <w:rPr>
          <w:rFonts w:hint="eastAsia" w:ascii="宋体" w:hAnsi="宋体" w:cs="宋体"/>
          <w:b w:val="0"/>
          <w:bCs w:val="0"/>
          <w:i w:val="0"/>
          <w:iCs w:val="0"/>
          <w:color w:val="auto"/>
          <w:sz w:val="22"/>
          <w:szCs w:val="22"/>
          <w:highlight w:val="none"/>
          <w:lang w:eastAsia="zh-CN"/>
        </w:rPr>
        <w:t>XJCRZCG-2026037</w:t>
      </w:r>
    </w:p>
    <w:p w14:paraId="3B4C7E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rPr>
        <w:t>项目名称：</w:t>
      </w:r>
      <w:r>
        <w:rPr>
          <w:rFonts w:hint="eastAsia" w:ascii="宋体" w:hAnsi="宋体" w:cs="宋体"/>
          <w:b w:val="0"/>
          <w:bCs w:val="0"/>
          <w:i w:val="0"/>
          <w:iCs w:val="0"/>
          <w:color w:val="auto"/>
          <w:sz w:val="22"/>
          <w:szCs w:val="22"/>
          <w:highlight w:val="none"/>
          <w:u w:val="none"/>
          <w:lang w:val="en-US" w:eastAsia="zh-CN"/>
        </w:rPr>
        <w:t>察布查尔锡伯自治县2026年小麦一喷三防项目（二标段）</w:t>
      </w:r>
    </w:p>
    <w:bookmarkEnd w:id="22"/>
    <w:p w14:paraId="593B71DC">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采购方式：</w:t>
      </w:r>
      <w:r>
        <w:rPr>
          <w:rFonts w:hint="eastAsia" w:ascii="宋体" w:hAnsi="宋体" w:eastAsia="宋体" w:cs="宋体"/>
          <w:b w:val="0"/>
          <w:bCs w:val="0"/>
          <w:i w:val="0"/>
          <w:iCs w:val="0"/>
          <w:color w:val="auto"/>
          <w:sz w:val="22"/>
          <w:szCs w:val="22"/>
          <w:highlight w:val="none"/>
          <w:lang w:val="en-US" w:eastAsia="zh-CN"/>
        </w:rPr>
        <w:t>公开招标</w:t>
      </w:r>
    </w:p>
    <w:p w14:paraId="6D1A6C26">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bookmarkStart w:id="23" w:name="_Toc35393622"/>
      <w:bookmarkStart w:id="24" w:name="_Toc28359003"/>
      <w:bookmarkStart w:id="25" w:name="_Toc35393791"/>
      <w:bookmarkStart w:id="26" w:name="_Toc28359080"/>
      <w:r>
        <w:rPr>
          <w:rFonts w:hint="eastAsia" w:ascii="宋体" w:hAnsi="宋体" w:eastAsia="宋体" w:cs="宋体"/>
          <w:b/>
          <w:bCs/>
          <w:i w:val="0"/>
          <w:iCs w:val="0"/>
          <w:color w:val="auto"/>
          <w:sz w:val="22"/>
          <w:szCs w:val="22"/>
          <w:highlight w:val="none"/>
          <w:lang w:val="en-US" w:eastAsia="zh-CN"/>
        </w:rPr>
        <w:t>总预算金额：</w:t>
      </w:r>
      <w:r>
        <w:rPr>
          <w:rFonts w:hint="eastAsia" w:ascii="宋体" w:hAnsi="宋体" w:cs="宋体"/>
          <w:b w:val="0"/>
          <w:bCs w:val="0"/>
          <w:i w:val="0"/>
          <w:iCs w:val="0"/>
          <w:color w:val="auto"/>
          <w:sz w:val="22"/>
          <w:szCs w:val="22"/>
          <w:highlight w:val="none"/>
          <w:lang w:val="en-US" w:eastAsia="zh-CN"/>
        </w:rPr>
        <w:t>110</w:t>
      </w:r>
      <w:r>
        <w:rPr>
          <w:rFonts w:hint="eastAsia" w:ascii="宋体" w:hAnsi="宋体" w:eastAsia="宋体" w:cs="宋体"/>
          <w:b w:val="0"/>
          <w:bCs w:val="0"/>
          <w:i w:val="0"/>
          <w:iCs w:val="0"/>
          <w:color w:val="auto"/>
          <w:sz w:val="22"/>
          <w:szCs w:val="22"/>
          <w:highlight w:val="none"/>
          <w:lang w:val="en-US" w:eastAsia="zh-CN"/>
        </w:rPr>
        <w:t>万元；</w:t>
      </w:r>
    </w:p>
    <w:p w14:paraId="7E6513BF">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rPr>
        <w:t>最高限价：</w:t>
      </w:r>
      <w:r>
        <w:rPr>
          <w:rFonts w:hint="eastAsia" w:ascii="宋体" w:hAnsi="宋体" w:cs="宋体"/>
          <w:b w:val="0"/>
          <w:bCs w:val="0"/>
          <w:i w:val="0"/>
          <w:iCs w:val="0"/>
          <w:color w:val="auto"/>
          <w:sz w:val="22"/>
          <w:szCs w:val="22"/>
          <w:highlight w:val="none"/>
          <w:lang w:val="en-US" w:eastAsia="zh-CN"/>
        </w:rPr>
        <w:t>110</w:t>
      </w:r>
      <w:r>
        <w:rPr>
          <w:rFonts w:hint="eastAsia" w:ascii="宋体" w:hAnsi="宋体" w:eastAsia="宋体" w:cs="宋体"/>
          <w:b w:val="0"/>
          <w:bCs w:val="0"/>
          <w:i w:val="0"/>
          <w:iCs w:val="0"/>
          <w:color w:val="auto"/>
          <w:sz w:val="22"/>
          <w:szCs w:val="22"/>
          <w:highlight w:val="none"/>
          <w:lang w:val="en-US" w:eastAsia="zh-CN"/>
        </w:rPr>
        <w:t>万元；</w:t>
      </w:r>
    </w:p>
    <w:p w14:paraId="113BDEE4">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sz w:val="22"/>
          <w:szCs w:val="22"/>
          <w:highlight w:val="none"/>
        </w:rPr>
        <w:t>采购需求：</w:t>
      </w:r>
      <w:r>
        <w:rPr>
          <w:rFonts w:hint="eastAsia" w:ascii="宋体" w:hAnsi="宋体" w:cs="宋体"/>
          <w:color w:val="auto"/>
          <w:sz w:val="22"/>
          <w:szCs w:val="22"/>
          <w:highlight w:val="none"/>
          <w:lang w:eastAsia="zh-CN"/>
        </w:rPr>
        <w:t>采购叶面肥，具体参数详见招标文件</w:t>
      </w:r>
      <w:r>
        <w:rPr>
          <w:rFonts w:hint="eastAsia" w:ascii="宋体" w:hAnsi="宋体" w:eastAsia="宋体" w:cs="宋体"/>
          <w:color w:val="auto"/>
          <w:sz w:val="22"/>
          <w:szCs w:val="22"/>
          <w:highlight w:val="none"/>
          <w:lang w:eastAsia="zh-CN"/>
        </w:rPr>
        <w:t>；</w:t>
      </w:r>
    </w:p>
    <w:p w14:paraId="72BA402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rPr>
        <w:t>合同履行期限：</w:t>
      </w:r>
      <w:r>
        <w:rPr>
          <w:rFonts w:hint="eastAsia" w:ascii="宋体" w:hAnsi="宋体" w:cs="宋体"/>
          <w:color w:val="auto"/>
          <w:sz w:val="22"/>
          <w:szCs w:val="22"/>
          <w:highlight w:val="none"/>
          <w:lang w:eastAsia="zh-CN"/>
        </w:rPr>
        <w:t>自合同签订之日起根据甲方要求,7日内完成所有货物的运输、交付</w:t>
      </w:r>
      <w:r>
        <w:rPr>
          <w:rFonts w:hint="eastAsia" w:ascii="宋体" w:hAnsi="宋体" w:eastAsia="宋体" w:cs="宋体"/>
          <w:color w:val="auto"/>
          <w:sz w:val="22"/>
          <w:szCs w:val="22"/>
          <w:highlight w:val="none"/>
          <w:lang w:eastAsia="zh-CN"/>
        </w:rPr>
        <w:t>；</w:t>
      </w:r>
    </w:p>
    <w:p w14:paraId="477822A5">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textAlignment w:val="auto"/>
        <w:rPr>
          <w:rFonts w:hint="eastAsia" w:ascii="宋体" w:hAnsi="宋体" w:eastAsia="宋体" w:cs="宋体"/>
          <w:b w:val="0"/>
          <w:bCs w:val="0"/>
          <w:i w:val="0"/>
          <w:iCs w:val="0"/>
          <w:color w:val="auto"/>
          <w:sz w:val="22"/>
          <w:szCs w:val="22"/>
          <w:highlight w:val="none"/>
        </w:rPr>
      </w:pPr>
      <w:r>
        <w:rPr>
          <w:rFonts w:hint="eastAsia" w:ascii="宋体" w:hAnsi="宋体" w:eastAsia="宋体" w:cs="宋体"/>
          <w:b w:val="0"/>
          <w:bCs w:val="0"/>
          <w:i w:val="0"/>
          <w:iCs w:val="0"/>
          <w:color w:val="auto"/>
          <w:sz w:val="22"/>
          <w:szCs w:val="22"/>
          <w:highlight w:val="none"/>
        </w:rPr>
        <w:t>本项目</w:t>
      </w:r>
      <w:r>
        <w:rPr>
          <w:rFonts w:hint="eastAsia" w:ascii="宋体" w:hAnsi="宋体" w:eastAsia="宋体" w:cs="宋体"/>
          <w:b w:val="0"/>
          <w:bCs w:val="0"/>
          <w:i w:val="0"/>
          <w:iCs w:val="0"/>
          <w:color w:val="auto"/>
          <w:sz w:val="22"/>
          <w:szCs w:val="22"/>
          <w:highlight w:val="none"/>
          <w:lang w:val="en-US" w:eastAsia="zh-CN"/>
        </w:rPr>
        <w:t>不</w:t>
      </w:r>
      <w:r>
        <w:rPr>
          <w:rFonts w:hint="eastAsia" w:ascii="宋体" w:hAnsi="宋体" w:eastAsia="宋体" w:cs="宋体"/>
          <w:b w:val="0"/>
          <w:bCs w:val="0"/>
          <w:i w:val="0"/>
          <w:iCs w:val="0"/>
          <w:color w:val="auto"/>
          <w:sz w:val="22"/>
          <w:szCs w:val="22"/>
          <w:highlight w:val="none"/>
        </w:rPr>
        <w:t>接受联合体。</w:t>
      </w:r>
    </w:p>
    <w:p w14:paraId="2C35B93D">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27" w:name="_Toc3873"/>
      <w:r>
        <w:rPr>
          <w:rFonts w:hint="eastAsia" w:ascii="宋体" w:hAnsi="宋体" w:eastAsia="宋体" w:cs="宋体"/>
          <w:b/>
          <w:bCs w:val="0"/>
          <w:i w:val="0"/>
          <w:iCs w:val="0"/>
          <w:color w:val="auto"/>
          <w:sz w:val="22"/>
          <w:szCs w:val="22"/>
          <w:highlight w:val="none"/>
        </w:rPr>
        <w:t>二、申请人的资格要求：</w:t>
      </w:r>
      <w:bookmarkEnd w:id="23"/>
      <w:bookmarkEnd w:id="24"/>
      <w:bookmarkEnd w:id="25"/>
      <w:bookmarkEnd w:id="26"/>
      <w:bookmarkEnd w:id="27"/>
    </w:p>
    <w:p w14:paraId="1CC270DA">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rPr>
      </w:pPr>
      <w:bookmarkStart w:id="28" w:name="_Toc28359004"/>
      <w:bookmarkStart w:id="29" w:name="_Toc28359081"/>
      <w:r>
        <w:rPr>
          <w:rFonts w:hint="eastAsia" w:ascii="宋体" w:hAnsi="宋体" w:eastAsia="宋体" w:cs="宋体"/>
          <w:b/>
          <w:bCs/>
          <w:i w:val="0"/>
          <w:iCs w:val="0"/>
          <w:color w:val="auto"/>
          <w:sz w:val="22"/>
          <w:szCs w:val="22"/>
          <w:highlight w:val="none"/>
          <w:u w:val="none"/>
        </w:rPr>
        <w:t>1.满足《中华人民共和国政府采购法》第二十二条规定；</w:t>
      </w:r>
    </w:p>
    <w:p w14:paraId="3809E791">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eastAsia="zh-CN"/>
        </w:rPr>
        <w:t>2.落实政府采购政策需满足的资格要求：</w:t>
      </w:r>
      <w:r>
        <w:rPr>
          <w:rFonts w:hint="eastAsia" w:ascii="宋体" w:hAnsi="宋体" w:eastAsia="宋体" w:cs="宋体"/>
          <w:b/>
          <w:bCs/>
          <w:i w:val="0"/>
          <w:iCs w:val="0"/>
          <w:color w:val="auto"/>
          <w:sz w:val="22"/>
          <w:szCs w:val="22"/>
          <w:highlight w:val="none"/>
          <w:u w:val="none"/>
          <w:lang w:val="en-US" w:eastAsia="zh-CN"/>
        </w:rPr>
        <w:t>标项1：本项目专门面向中小企业采购；</w:t>
      </w:r>
    </w:p>
    <w:p w14:paraId="563008AA">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lang w:eastAsia="zh-CN"/>
        </w:rPr>
        <w:t>3.本项目的特定资格要求</w:t>
      </w:r>
      <w:bookmarkStart w:id="30" w:name="_Toc16265"/>
      <w:bookmarkStart w:id="31" w:name="_Toc35393623"/>
      <w:bookmarkStart w:id="32" w:name="_Toc35393792"/>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cs="宋体"/>
          <w:b/>
          <w:bCs/>
          <w:i w:val="0"/>
          <w:iCs w:val="0"/>
          <w:color w:val="auto"/>
          <w:sz w:val="22"/>
          <w:szCs w:val="22"/>
          <w:highlight w:val="none"/>
          <w:u w:val="none"/>
          <w:lang w:eastAsia="zh-CN"/>
        </w:rPr>
        <w:t>投标人所投肥料产品须提供有效期内的肥料登记证（代理商或经销商投标的，须提供所投产品生产企业有效肥料登记证复印件，并加盖生产企业鲜章。）</w:t>
      </w:r>
      <w:r>
        <w:rPr>
          <w:rFonts w:hint="eastAsia" w:ascii="宋体" w:hAnsi="宋体" w:eastAsia="宋体" w:cs="宋体"/>
          <w:b/>
          <w:bCs/>
          <w:i w:val="0"/>
          <w:iCs w:val="0"/>
          <w:color w:val="auto"/>
          <w:sz w:val="22"/>
          <w:szCs w:val="22"/>
          <w:highlight w:val="none"/>
          <w:u w:val="none"/>
          <w:lang w:eastAsia="zh-CN"/>
        </w:rPr>
        <w:t>。</w:t>
      </w:r>
    </w:p>
    <w:p w14:paraId="022D09DB">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val="0"/>
          <w:i w:val="0"/>
          <w:iCs w:val="0"/>
          <w:color w:val="auto"/>
          <w:sz w:val="22"/>
          <w:szCs w:val="22"/>
          <w:highlight w:val="none"/>
        </w:rPr>
      </w:pPr>
      <w:r>
        <w:rPr>
          <w:rFonts w:hint="eastAsia" w:ascii="宋体" w:hAnsi="宋体" w:eastAsia="宋体" w:cs="宋体"/>
          <w:b/>
          <w:bCs w:val="0"/>
          <w:i w:val="0"/>
          <w:iCs w:val="0"/>
          <w:color w:val="auto"/>
          <w:sz w:val="22"/>
          <w:szCs w:val="22"/>
          <w:highlight w:val="none"/>
        </w:rPr>
        <w:t>三、获取招标文件</w:t>
      </w:r>
      <w:bookmarkEnd w:id="28"/>
      <w:bookmarkEnd w:id="29"/>
      <w:bookmarkEnd w:id="30"/>
      <w:bookmarkEnd w:id="31"/>
      <w:bookmarkEnd w:id="32"/>
    </w:p>
    <w:p w14:paraId="6662E7A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时间：</w:t>
      </w:r>
      <w:r>
        <w:rPr>
          <w:rFonts w:hint="eastAsia" w:ascii="宋体" w:hAnsi="宋体" w:eastAsia="宋体" w:cs="宋体"/>
          <w:i w:val="0"/>
          <w:iCs w:val="0"/>
          <w:color w:val="auto"/>
          <w:sz w:val="22"/>
          <w:szCs w:val="22"/>
          <w:highlight w:val="none"/>
          <w:u w:val="single"/>
          <w:lang w:val="en-US" w:eastAsia="zh-CN"/>
        </w:rPr>
        <w:t>2026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23</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202</w:t>
      </w:r>
      <w:r>
        <w:rPr>
          <w:rFonts w:hint="eastAsia" w:ascii="宋体" w:hAnsi="宋体" w:cs="宋体"/>
          <w:i w:val="0"/>
          <w:iCs w:val="0"/>
          <w:color w:val="auto"/>
          <w:sz w:val="22"/>
          <w:szCs w:val="22"/>
          <w:highlight w:val="none"/>
          <w:u w:val="single"/>
          <w:lang w:val="en-US" w:eastAsia="zh-CN"/>
        </w:rPr>
        <w:t>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30</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，每天上午</w:t>
      </w:r>
      <w:r>
        <w:rPr>
          <w:rFonts w:hint="eastAsia" w:ascii="宋体" w:hAnsi="宋体" w:eastAsia="宋体" w:cs="宋体"/>
          <w:i w:val="0"/>
          <w:iCs w:val="0"/>
          <w:color w:val="auto"/>
          <w:sz w:val="22"/>
          <w:szCs w:val="22"/>
          <w:highlight w:val="none"/>
          <w:u w:val="single"/>
          <w:lang w:val="en-US" w:eastAsia="zh-CN"/>
        </w:rPr>
        <w:t>00:00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，下午</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23:59</w:t>
      </w:r>
      <w:r>
        <w:rPr>
          <w:rFonts w:hint="eastAsia" w:ascii="宋体" w:hAnsi="宋体" w:eastAsia="宋体" w:cs="宋体"/>
          <w:i w:val="0"/>
          <w:iCs w:val="0"/>
          <w:color w:val="auto"/>
          <w:sz w:val="22"/>
          <w:szCs w:val="22"/>
          <w:highlight w:val="none"/>
        </w:rPr>
        <w:t>（北京时间，法定节假日除外）</w:t>
      </w:r>
    </w:p>
    <w:p w14:paraId="522AE57B">
      <w:pPr>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i w:val="0"/>
          <w:iCs w:val="0"/>
          <w:color w:val="auto"/>
          <w:sz w:val="22"/>
          <w:szCs w:val="22"/>
          <w:highlight w:val="none"/>
          <w:u w:val="single"/>
          <w:lang w:val="en-US" w:eastAsia="zh-CN"/>
        </w:rPr>
      </w:pPr>
      <w:bookmarkStart w:id="33" w:name="_Toc28359005"/>
      <w:bookmarkStart w:id="34" w:name="_Toc28359082"/>
      <w:bookmarkStart w:id="35" w:name="_Toc35393793"/>
      <w:bookmarkStart w:id="36" w:name="_Toc35393624"/>
      <w:r>
        <w:rPr>
          <w:rFonts w:hint="eastAsia" w:ascii="宋体" w:hAnsi="宋体" w:eastAsia="宋体" w:cs="宋体"/>
          <w:b/>
          <w:bCs/>
          <w:i w:val="0"/>
          <w:iCs w:val="0"/>
          <w:color w:val="auto"/>
          <w:sz w:val="22"/>
          <w:szCs w:val="22"/>
          <w:highlight w:val="none"/>
        </w:rPr>
        <w:t>地点：</w:t>
      </w:r>
      <w:r>
        <w:rPr>
          <w:rFonts w:hint="eastAsia" w:ascii="宋体" w:hAnsi="宋体" w:eastAsia="宋体" w:cs="宋体"/>
          <w:i w:val="0"/>
          <w:iCs w:val="0"/>
          <w:caps w:val="0"/>
          <w:color w:val="auto"/>
          <w:spacing w:val="0"/>
          <w:sz w:val="22"/>
          <w:szCs w:val="22"/>
          <w:highlight w:val="none"/>
        </w:rPr>
        <w:t>政采云平台线上</w:t>
      </w:r>
    </w:p>
    <w:p w14:paraId="1E681471">
      <w:pPr>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bCs/>
          <w:i w:val="0"/>
          <w:iCs w:val="0"/>
          <w:color w:val="auto"/>
          <w:sz w:val="22"/>
          <w:szCs w:val="22"/>
          <w:highlight w:val="none"/>
        </w:rPr>
        <w:t>方式</w:t>
      </w:r>
      <w:r>
        <w:rPr>
          <w:rFonts w:hint="eastAsia" w:ascii="宋体" w:hAnsi="宋体" w:eastAsia="宋体" w:cs="宋体"/>
          <w:b w:val="0"/>
          <w:bCs w:val="0"/>
          <w:i w:val="0"/>
          <w:iCs w:val="0"/>
          <w:color w:val="auto"/>
          <w:sz w:val="22"/>
          <w:szCs w:val="22"/>
          <w:highlight w:val="none"/>
        </w:rPr>
        <w:t>：</w:t>
      </w:r>
      <w:r>
        <w:rPr>
          <w:rFonts w:hint="eastAsia" w:ascii="宋体" w:hAnsi="宋体" w:eastAsia="宋体" w:cs="宋体"/>
          <w:b w:val="0"/>
          <w:bCs w:val="0"/>
          <w:i w:val="0"/>
          <w:iCs w:val="0"/>
          <w:color w:val="auto"/>
          <w:sz w:val="22"/>
          <w:szCs w:val="22"/>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1D42C54">
      <w:pPr>
        <w:pStyle w:val="35"/>
        <w:pageBreakBefore w:val="0"/>
        <w:widowControl w:val="0"/>
        <w:kinsoku/>
        <w:wordWrap/>
        <w:overflowPunct/>
        <w:topLinePunct w:val="0"/>
        <w:autoSpaceDE/>
        <w:autoSpaceDN/>
        <w:bidi w:val="0"/>
        <w:adjustRightInd/>
        <w:snapToGrid/>
        <w:spacing w:line="480" w:lineRule="exact"/>
        <w:ind w:left="0" w:firstLine="442" w:firstLineChars="200"/>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售价：</w:t>
      </w:r>
      <w:r>
        <w:rPr>
          <w:rFonts w:hint="eastAsia" w:ascii="宋体" w:hAnsi="宋体" w:eastAsia="宋体" w:cs="宋体"/>
          <w:i w:val="0"/>
          <w:iCs w:val="0"/>
          <w:color w:val="auto"/>
          <w:sz w:val="22"/>
          <w:szCs w:val="22"/>
          <w:highlight w:val="none"/>
        </w:rPr>
        <w:t>0元</w:t>
      </w:r>
    </w:p>
    <w:p w14:paraId="1568690A">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0"/>
        <w:jc w:val="both"/>
        <w:textAlignment w:val="auto"/>
        <w:rPr>
          <w:rFonts w:hint="eastAsia" w:ascii="宋体" w:hAnsi="宋体" w:eastAsia="宋体" w:cs="宋体"/>
          <w:b/>
          <w:bCs w:val="0"/>
          <w:i w:val="0"/>
          <w:iCs w:val="0"/>
          <w:color w:val="auto"/>
          <w:kern w:val="2"/>
          <w:sz w:val="22"/>
          <w:szCs w:val="22"/>
          <w:highlight w:val="none"/>
          <w:lang w:val="en-US" w:eastAsia="zh-CN" w:bidi="ar-SA"/>
        </w:rPr>
      </w:pPr>
      <w:bookmarkStart w:id="37" w:name="_Toc12731"/>
      <w:r>
        <w:rPr>
          <w:rFonts w:hint="eastAsia" w:ascii="宋体" w:hAnsi="宋体" w:eastAsia="宋体" w:cs="宋体"/>
          <w:b/>
          <w:bCs w:val="0"/>
          <w:i w:val="0"/>
          <w:iCs w:val="0"/>
          <w:color w:val="auto"/>
          <w:sz w:val="22"/>
          <w:szCs w:val="22"/>
          <w:highlight w:val="none"/>
        </w:rPr>
        <w:t>四、</w:t>
      </w:r>
      <w:bookmarkEnd w:id="33"/>
      <w:bookmarkEnd w:id="34"/>
      <w:bookmarkEnd w:id="35"/>
      <w:bookmarkEnd w:id="36"/>
      <w:bookmarkEnd w:id="37"/>
      <w:r>
        <w:rPr>
          <w:rFonts w:hint="eastAsia" w:ascii="宋体" w:hAnsi="宋体" w:eastAsia="宋体" w:cs="宋体"/>
          <w:b/>
          <w:bCs w:val="0"/>
          <w:i w:val="0"/>
          <w:iCs w:val="0"/>
          <w:color w:val="auto"/>
          <w:kern w:val="2"/>
          <w:sz w:val="22"/>
          <w:szCs w:val="22"/>
          <w:highlight w:val="none"/>
          <w:lang w:val="en-US" w:eastAsia="zh-CN" w:bidi="ar-SA"/>
        </w:rPr>
        <w:t>提交投标文件截止时间、开标时间和地点</w:t>
      </w:r>
    </w:p>
    <w:p w14:paraId="736D87AD">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提交投标文件截止时间：2026年</w:t>
      </w:r>
      <w:r>
        <w:rPr>
          <w:rFonts w:hint="eastAsia" w:cs="宋体"/>
          <w:i w:val="0"/>
          <w:iCs w:val="0"/>
          <w:color w:val="auto"/>
          <w:kern w:val="2"/>
          <w:sz w:val="22"/>
          <w:szCs w:val="22"/>
          <w:highlight w:val="none"/>
          <w:u w:val="none"/>
          <w:lang w:val="en-US" w:eastAsia="zh-CN" w:bidi="ar-SA"/>
        </w:rPr>
        <w:t>05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w:t>
      </w:r>
      <w:r>
        <w:rPr>
          <w:rFonts w:hint="eastAsia" w:cs="宋体"/>
          <w:i w:val="0"/>
          <w:iCs w:val="0"/>
          <w:color w:val="auto"/>
          <w:kern w:val="2"/>
          <w:sz w:val="22"/>
          <w:szCs w:val="22"/>
          <w:highlight w:val="none"/>
          <w:u w:val="none"/>
          <w:lang w:val="en-US" w:eastAsia="zh-CN" w:bidi="ar-SA"/>
        </w:rPr>
        <w:t>6</w:t>
      </w:r>
      <w:r>
        <w:rPr>
          <w:rFonts w:hint="eastAsia" w:ascii="宋体" w:hAnsi="宋体" w:eastAsia="宋体" w:cs="宋体"/>
          <w:i w:val="0"/>
          <w:iCs w:val="0"/>
          <w:color w:val="auto"/>
          <w:kern w:val="2"/>
          <w:sz w:val="22"/>
          <w:szCs w:val="22"/>
          <w:highlight w:val="none"/>
          <w:u w:val="none"/>
          <w:lang w:val="en-US" w:eastAsia="zh-CN" w:bidi="ar-SA"/>
        </w:rPr>
        <w:t>:</w:t>
      </w:r>
      <w:r>
        <w:rPr>
          <w:rFonts w:hint="eastAsia" w:cs="宋体"/>
          <w:i w:val="0"/>
          <w:iCs w:val="0"/>
          <w:color w:val="auto"/>
          <w:kern w:val="2"/>
          <w:sz w:val="22"/>
          <w:szCs w:val="22"/>
          <w:highlight w:val="none"/>
          <w:u w:val="none"/>
          <w:lang w:val="en-US" w:eastAsia="zh-CN" w:bidi="ar-SA"/>
        </w:rPr>
        <w:t>3</w:t>
      </w:r>
      <w:r>
        <w:rPr>
          <w:rFonts w:hint="eastAsia" w:ascii="宋体" w:hAnsi="宋体" w:eastAsia="宋体" w:cs="宋体"/>
          <w:i w:val="0"/>
          <w:iCs w:val="0"/>
          <w:color w:val="auto"/>
          <w:kern w:val="2"/>
          <w:sz w:val="22"/>
          <w:szCs w:val="22"/>
          <w:highlight w:val="none"/>
          <w:u w:val="none"/>
          <w:lang w:val="en-US" w:eastAsia="zh-CN" w:bidi="ar-SA"/>
        </w:rPr>
        <w:t>0（北京时间）</w:t>
      </w:r>
    </w:p>
    <w:p w14:paraId="6204B924">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投标地点：请登录政采云投标客户端投标</w:t>
      </w:r>
    </w:p>
    <w:p w14:paraId="23EED369">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开标时间：2026年</w:t>
      </w:r>
      <w:r>
        <w:rPr>
          <w:rFonts w:hint="eastAsia" w:cs="宋体"/>
          <w:i w:val="0"/>
          <w:iCs w:val="0"/>
          <w:color w:val="auto"/>
          <w:kern w:val="2"/>
          <w:sz w:val="22"/>
          <w:szCs w:val="22"/>
          <w:highlight w:val="none"/>
          <w:u w:val="none"/>
          <w:lang w:val="en-US" w:eastAsia="zh-CN" w:bidi="ar-SA"/>
        </w:rPr>
        <w:t>05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w:t>
      </w:r>
      <w:r>
        <w:rPr>
          <w:rFonts w:hint="eastAsia" w:cs="宋体"/>
          <w:i w:val="0"/>
          <w:iCs w:val="0"/>
          <w:color w:val="auto"/>
          <w:kern w:val="2"/>
          <w:sz w:val="22"/>
          <w:szCs w:val="22"/>
          <w:highlight w:val="none"/>
          <w:u w:val="none"/>
          <w:lang w:val="en-US" w:eastAsia="zh-CN" w:bidi="ar-SA"/>
        </w:rPr>
        <w:t>6</w:t>
      </w:r>
      <w:r>
        <w:rPr>
          <w:rFonts w:hint="eastAsia" w:ascii="宋体" w:hAnsi="宋体" w:eastAsia="宋体" w:cs="宋体"/>
          <w:i w:val="0"/>
          <w:iCs w:val="0"/>
          <w:color w:val="auto"/>
          <w:kern w:val="2"/>
          <w:sz w:val="22"/>
          <w:szCs w:val="22"/>
          <w:highlight w:val="none"/>
          <w:u w:val="none"/>
          <w:lang w:val="en-US" w:eastAsia="zh-CN" w:bidi="ar-SA"/>
        </w:rPr>
        <w:t>:</w:t>
      </w:r>
      <w:r>
        <w:rPr>
          <w:rFonts w:hint="eastAsia" w:cs="宋体"/>
          <w:i w:val="0"/>
          <w:iCs w:val="0"/>
          <w:color w:val="auto"/>
          <w:kern w:val="2"/>
          <w:sz w:val="22"/>
          <w:szCs w:val="22"/>
          <w:highlight w:val="none"/>
          <w:u w:val="none"/>
          <w:lang w:val="en-US" w:eastAsia="zh-CN" w:bidi="ar-SA"/>
        </w:rPr>
        <w:t>3</w:t>
      </w:r>
      <w:r>
        <w:rPr>
          <w:rFonts w:hint="eastAsia" w:ascii="宋体" w:hAnsi="宋体" w:eastAsia="宋体" w:cs="宋体"/>
          <w:i w:val="0"/>
          <w:iCs w:val="0"/>
          <w:color w:val="auto"/>
          <w:kern w:val="2"/>
          <w:sz w:val="22"/>
          <w:szCs w:val="22"/>
          <w:highlight w:val="none"/>
          <w:u w:val="none"/>
          <w:lang w:val="en-US" w:eastAsia="zh-CN" w:bidi="ar-SA"/>
        </w:rPr>
        <w:t>0（北京时间）</w:t>
      </w:r>
    </w:p>
    <w:p w14:paraId="21A4429C">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开标地点：投标人登录政采云平台https://www.zcygov.cn/，进入“项目采购-开标评标-右边选择对应项目点击“进入项目”进入开标大厅。</w:t>
      </w:r>
    </w:p>
    <w:p w14:paraId="0EFE1F76">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38" w:name="_Toc35393625"/>
      <w:bookmarkStart w:id="39" w:name="_Toc28359084"/>
      <w:bookmarkStart w:id="40" w:name="_Toc6872"/>
      <w:bookmarkStart w:id="41" w:name="_Toc28359007"/>
      <w:bookmarkStart w:id="42" w:name="_Toc35393794"/>
      <w:r>
        <w:rPr>
          <w:rFonts w:hint="eastAsia" w:ascii="宋体" w:hAnsi="宋体" w:eastAsia="宋体" w:cs="宋体"/>
          <w:b/>
          <w:bCs w:val="0"/>
          <w:i w:val="0"/>
          <w:iCs w:val="0"/>
          <w:color w:val="auto"/>
          <w:sz w:val="22"/>
          <w:szCs w:val="22"/>
          <w:highlight w:val="none"/>
        </w:rPr>
        <w:t>五、公告期限</w:t>
      </w:r>
      <w:bookmarkEnd w:id="38"/>
      <w:bookmarkEnd w:id="39"/>
      <w:bookmarkEnd w:id="40"/>
      <w:bookmarkEnd w:id="41"/>
      <w:bookmarkEnd w:id="42"/>
    </w:p>
    <w:p w14:paraId="047A300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自本公告发布之日起5个工作日。</w:t>
      </w:r>
    </w:p>
    <w:p w14:paraId="2405BCAB">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43" w:name="_Toc35393626"/>
      <w:bookmarkStart w:id="44" w:name="_Toc35393795"/>
      <w:bookmarkStart w:id="45" w:name="_Toc664"/>
      <w:r>
        <w:rPr>
          <w:rFonts w:hint="eastAsia" w:ascii="宋体" w:hAnsi="宋体" w:eastAsia="宋体" w:cs="宋体"/>
          <w:b/>
          <w:bCs w:val="0"/>
          <w:i w:val="0"/>
          <w:iCs w:val="0"/>
          <w:color w:val="auto"/>
          <w:sz w:val="22"/>
          <w:szCs w:val="22"/>
          <w:highlight w:val="none"/>
        </w:rPr>
        <w:t>六、其他补充事宜</w:t>
      </w:r>
      <w:bookmarkEnd w:id="43"/>
      <w:bookmarkEnd w:id="44"/>
      <w:bookmarkEnd w:id="45"/>
    </w:p>
    <w:p w14:paraId="3E242750">
      <w:pPr>
        <w:keepNext w:val="0"/>
        <w:keepLines w:val="0"/>
        <w:pageBreakBefore w:val="0"/>
        <w:kinsoku/>
        <w:wordWrap/>
        <w:overflowPunct/>
        <w:topLinePunct w:val="0"/>
        <w:autoSpaceDE/>
        <w:autoSpaceDN/>
        <w:bidi w:val="0"/>
        <w:adjustRightInd/>
        <w:snapToGrid/>
        <w:spacing w:beforeAutospacing="0" w:afterAutospacing="0" w:line="480" w:lineRule="exact"/>
        <w:ind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bookmarkStart w:id="46" w:name="_Toc35393627"/>
      <w:bookmarkStart w:id="47" w:name="_Toc35393796"/>
      <w:bookmarkStart w:id="48" w:name="_Toc28359008"/>
      <w:bookmarkStart w:id="49" w:name="_Toc31618"/>
      <w:bookmarkStart w:id="50" w:name="_Toc28359085"/>
      <w:r>
        <w:rPr>
          <w:rFonts w:hint="eastAsia" w:ascii="宋体" w:hAnsi="宋体" w:eastAsia="宋体" w:cs="宋体"/>
          <w:i w:val="0"/>
          <w:iCs w:val="0"/>
          <w:color w:val="auto"/>
          <w:sz w:val="22"/>
          <w:szCs w:val="22"/>
          <w:highlight w:val="none"/>
          <w:u w:val="none"/>
          <w:lang w:val="en-US" w:eastAsia="zh-CN"/>
        </w:rPr>
        <w:t>1、本项目实行网上投标，采用电子投标文件。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3、供应商将政采云电子交易客户端下载、安装完成后，可通过账号密码或CA登录客户端进行投标文件的制作。在使用政采云投标客户端时，建议使用WIN7及以上操作系统。4、其他事项：无  </w:t>
      </w:r>
    </w:p>
    <w:p w14:paraId="02336F33">
      <w:pPr>
        <w:keepNext w:val="0"/>
        <w:keepLines w:val="0"/>
        <w:pageBreakBefore w:val="0"/>
        <w:kinsoku/>
        <w:wordWrap/>
        <w:overflowPunct/>
        <w:topLinePunct w:val="0"/>
        <w:autoSpaceDE/>
        <w:autoSpaceDN/>
        <w:bidi w:val="0"/>
        <w:adjustRightInd/>
        <w:snapToGrid/>
        <w:spacing w:beforeAutospacing="0" w:afterAutospacing="0" w:line="480" w:lineRule="exact"/>
        <w:ind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特别提示：1、采购限额标准以上，200万元以下的货物和服务采购项目、400万元以下的工程采购项目，适宜由中小企业提供的，采购人应当专门面向中小企业采购。2、超过200万元的货物和服务采购项目，预留该部分采购项目预算总额的30%以上专门面向中小企业采购，其中预留给小微企业的比例不低于60%。3、超过400万元的工程采购项目中适宜由中小企业提供的，预留该部分采购项目预算总额的40%以上专门面向中小企业采购，其中预留给小微企业的比例不低于60%。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E4D2DCD">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r>
        <w:rPr>
          <w:rFonts w:hint="eastAsia" w:ascii="宋体" w:hAnsi="宋体" w:eastAsia="宋体" w:cs="宋体"/>
          <w:b/>
          <w:bCs w:val="0"/>
          <w:i w:val="0"/>
          <w:iCs w:val="0"/>
          <w:color w:val="auto"/>
          <w:sz w:val="22"/>
          <w:szCs w:val="22"/>
          <w:highlight w:val="none"/>
        </w:rPr>
        <w:t>七、对本次招标提出询问，请按以下方式联系</w:t>
      </w:r>
      <w:bookmarkEnd w:id="46"/>
      <w:bookmarkEnd w:id="47"/>
      <w:bookmarkEnd w:id="48"/>
      <w:bookmarkEnd w:id="49"/>
      <w:bookmarkEnd w:id="50"/>
    </w:p>
    <w:p w14:paraId="0B71DB08">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1.采购人信息</w:t>
      </w:r>
    </w:p>
    <w:p w14:paraId="1D075B4E">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名 称：</w:t>
      </w:r>
      <w:r>
        <w:rPr>
          <w:rFonts w:hint="eastAsia" w:ascii="宋体" w:hAnsi="宋体" w:eastAsia="宋体" w:cs="宋体"/>
          <w:i w:val="0"/>
          <w:iCs w:val="0"/>
          <w:color w:val="auto"/>
          <w:sz w:val="22"/>
          <w:szCs w:val="22"/>
          <w:highlight w:val="none"/>
          <w:u w:val="none"/>
          <w:lang w:val="en-US" w:eastAsia="zh-CN"/>
        </w:rPr>
        <w:t xml:space="preserve">察布查尔锡伯自治县农业农村局 </w:t>
      </w:r>
    </w:p>
    <w:p w14:paraId="3B59C4D8">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地 址：察布查尔锡伯自治县庙拜街8号</w:t>
      </w:r>
    </w:p>
    <w:p w14:paraId="158F1AA7">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bookmarkStart w:id="51" w:name="_Toc28359009"/>
      <w:bookmarkStart w:id="52" w:name="_Toc28359086"/>
      <w:r>
        <w:rPr>
          <w:rFonts w:hint="eastAsia" w:ascii="宋体" w:hAnsi="宋体" w:eastAsia="宋体" w:cs="宋体"/>
          <w:i w:val="0"/>
          <w:iCs w:val="0"/>
          <w:color w:val="auto"/>
          <w:sz w:val="22"/>
          <w:szCs w:val="22"/>
          <w:highlight w:val="none"/>
          <w:u w:val="none"/>
          <w:lang w:val="en-US" w:eastAsia="zh-CN"/>
        </w:rPr>
        <w:t>联系人：</w:t>
      </w:r>
      <w:r>
        <w:rPr>
          <w:rFonts w:hint="eastAsia" w:ascii="宋体" w:hAnsi="宋体" w:cs="宋体"/>
          <w:i w:val="0"/>
          <w:iCs w:val="0"/>
          <w:color w:val="auto"/>
          <w:sz w:val="22"/>
          <w:szCs w:val="22"/>
          <w:highlight w:val="none"/>
          <w:u w:val="none"/>
          <w:lang w:val="en-US" w:eastAsia="zh-CN"/>
        </w:rPr>
        <w:t>刘小龙</w:t>
      </w:r>
    </w:p>
    <w:p w14:paraId="5AE525D5">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联系方式：</w:t>
      </w:r>
      <w:r>
        <w:rPr>
          <w:rFonts w:hint="eastAsia" w:ascii="宋体" w:hAnsi="宋体" w:cs="宋体"/>
          <w:i w:val="0"/>
          <w:iCs w:val="0"/>
          <w:color w:val="auto"/>
          <w:sz w:val="22"/>
          <w:szCs w:val="22"/>
          <w:highlight w:val="none"/>
          <w:u w:val="none"/>
          <w:lang w:val="en-US" w:eastAsia="zh-CN"/>
        </w:rPr>
        <w:t>18599386785</w:t>
      </w:r>
    </w:p>
    <w:p w14:paraId="6B04FF15">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2.采购代理机构信息</w:t>
      </w:r>
      <w:bookmarkEnd w:id="51"/>
      <w:bookmarkEnd w:id="52"/>
    </w:p>
    <w:p w14:paraId="2DBF239B">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名 称：</w:t>
      </w:r>
      <w:r>
        <w:rPr>
          <w:rFonts w:hint="eastAsia" w:ascii="宋体" w:hAnsi="宋体" w:eastAsia="宋体" w:cs="宋体"/>
          <w:i w:val="0"/>
          <w:iCs w:val="0"/>
          <w:color w:val="auto"/>
          <w:sz w:val="22"/>
          <w:szCs w:val="22"/>
          <w:highlight w:val="none"/>
          <w:u w:val="none"/>
          <w:lang w:eastAsia="zh-CN"/>
        </w:rPr>
        <w:t>新疆长润泽建设工程管理有限公司</w:t>
      </w:r>
    </w:p>
    <w:p w14:paraId="73FFA381">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地 址：</w:t>
      </w:r>
      <w:r>
        <w:rPr>
          <w:rFonts w:hint="eastAsia" w:ascii="宋体" w:hAnsi="宋体" w:eastAsia="宋体" w:cs="宋体"/>
          <w:i w:val="0"/>
          <w:iCs w:val="0"/>
          <w:color w:val="auto"/>
          <w:sz w:val="22"/>
          <w:szCs w:val="22"/>
          <w:highlight w:val="none"/>
          <w:u w:val="none"/>
          <w:lang w:eastAsia="zh-CN"/>
        </w:rPr>
        <w:t>伊宁市金茂新天地B座16楼</w:t>
      </w:r>
    </w:p>
    <w:p w14:paraId="7E74E78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项目联系人：</w:t>
      </w:r>
      <w:r>
        <w:rPr>
          <w:rFonts w:hint="eastAsia" w:ascii="宋体" w:hAnsi="宋体" w:eastAsia="宋体" w:cs="宋体"/>
          <w:i w:val="0"/>
          <w:iCs w:val="0"/>
          <w:color w:val="auto"/>
          <w:sz w:val="22"/>
          <w:szCs w:val="22"/>
          <w:highlight w:val="none"/>
          <w:u w:val="none"/>
          <w:lang w:val="en-US" w:eastAsia="zh-CN"/>
        </w:rPr>
        <w:t>邱工</w:t>
      </w:r>
    </w:p>
    <w:p w14:paraId="21435834">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项目联系方式：</w:t>
      </w:r>
      <w:r>
        <w:rPr>
          <w:rFonts w:hint="eastAsia" w:ascii="宋体" w:hAnsi="宋体" w:eastAsia="宋体" w:cs="宋体"/>
          <w:i w:val="0"/>
          <w:iCs w:val="0"/>
          <w:color w:val="auto"/>
          <w:sz w:val="22"/>
          <w:szCs w:val="22"/>
          <w:highlight w:val="none"/>
          <w:u w:val="none"/>
          <w:lang w:eastAsia="zh-CN"/>
        </w:rPr>
        <w:t>15299819661</w:t>
      </w:r>
    </w:p>
    <w:p w14:paraId="108EE2E3">
      <w:pPr>
        <w:rPr>
          <w:rFonts w:hint="eastAsia" w:ascii="宋体" w:hAnsi="宋体" w:eastAsia="宋体" w:cs="宋体"/>
          <w:color w:val="auto"/>
          <w:highlight w:val="none"/>
        </w:rPr>
      </w:pPr>
    </w:p>
    <w:p w14:paraId="1D13A45B">
      <w:pPr>
        <w:rPr>
          <w:rFonts w:hint="eastAsia" w:ascii="宋体" w:hAnsi="宋体" w:eastAsia="宋体" w:cs="宋体"/>
          <w:color w:val="auto"/>
          <w:highlight w:val="none"/>
        </w:rPr>
      </w:pPr>
    </w:p>
    <w:p w14:paraId="5127156C">
      <w:pPr>
        <w:rPr>
          <w:rFonts w:hint="eastAsia" w:ascii="宋体" w:hAnsi="宋体" w:eastAsia="宋体" w:cs="宋体"/>
          <w:b/>
          <w:color w:val="auto"/>
          <w:kern w:val="44"/>
          <w:sz w:val="44"/>
          <w:szCs w:val="44"/>
          <w:highlight w:val="none"/>
        </w:rPr>
      </w:pPr>
      <w:r>
        <w:rPr>
          <w:rFonts w:hint="eastAsia" w:ascii="宋体" w:hAnsi="宋体" w:eastAsia="宋体" w:cs="宋体"/>
          <w:b/>
          <w:color w:val="auto"/>
          <w:kern w:val="44"/>
          <w:sz w:val="44"/>
          <w:szCs w:val="44"/>
          <w:highlight w:val="none"/>
        </w:rPr>
        <w:br w:type="page"/>
      </w:r>
    </w:p>
    <w:p w14:paraId="24DC3199">
      <w:pPr>
        <w:pStyle w:val="7"/>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0"/>
          <w:szCs w:val="40"/>
          <w:highlight w:val="none"/>
        </w:rPr>
      </w:pPr>
      <w:bookmarkStart w:id="53" w:name="_Toc29688"/>
      <w:r>
        <w:rPr>
          <w:rFonts w:hint="eastAsia" w:ascii="宋体" w:hAnsi="宋体" w:eastAsia="宋体" w:cs="宋体"/>
          <w:b/>
          <w:color w:val="auto"/>
          <w:kern w:val="44"/>
          <w:sz w:val="40"/>
          <w:szCs w:val="40"/>
          <w:highlight w:val="none"/>
        </w:rPr>
        <w:t>第二章</w:t>
      </w:r>
      <w:r>
        <w:rPr>
          <w:rFonts w:hint="eastAsia" w:ascii="宋体" w:hAnsi="宋体" w:eastAsia="宋体" w:cs="宋体"/>
          <w:b/>
          <w:color w:val="auto"/>
          <w:kern w:val="44"/>
          <w:sz w:val="40"/>
          <w:szCs w:val="40"/>
          <w:highlight w:val="none"/>
          <w:lang w:val="en-US" w:eastAsia="zh-CN"/>
        </w:rPr>
        <w:t xml:space="preserve"> </w:t>
      </w:r>
      <w:r>
        <w:rPr>
          <w:rFonts w:hint="eastAsia" w:ascii="宋体" w:hAnsi="宋体" w:eastAsia="宋体" w:cs="宋体"/>
          <w:b/>
          <w:color w:val="auto"/>
          <w:kern w:val="44"/>
          <w:sz w:val="40"/>
          <w:szCs w:val="40"/>
          <w:highlight w:val="none"/>
        </w:rPr>
        <w:t>投标人须知</w:t>
      </w:r>
      <w:bookmarkEnd w:id="8"/>
      <w:bookmarkEnd w:id="9"/>
      <w:bookmarkEnd w:id="10"/>
      <w:bookmarkEnd w:id="11"/>
      <w:bookmarkEnd w:id="12"/>
      <w:bookmarkEnd w:id="53"/>
      <w:bookmarkStart w:id="54" w:name="_Toc213396946"/>
      <w:bookmarkStart w:id="55" w:name="_Toc217446032"/>
      <w:bookmarkStart w:id="56" w:name="_Toc184283909"/>
      <w:bookmarkStart w:id="57" w:name="_Toc213496268"/>
      <w:bookmarkStart w:id="58" w:name="_Toc213397010"/>
      <w:bookmarkStart w:id="59" w:name="_Toc184274915"/>
      <w:bookmarkStart w:id="60" w:name="_Toc189727030"/>
      <w:bookmarkStart w:id="61" w:name="_Toc213396760"/>
    </w:p>
    <w:p w14:paraId="0BFBC162">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outlineLvl w:val="1"/>
        <w:rPr>
          <w:rFonts w:hint="eastAsia" w:ascii="宋体" w:hAnsi="宋体" w:eastAsia="宋体" w:cs="宋体"/>
          <w:b/>
          <w:bCs w:val="0"/>
          <w:color w:val="auto"/>
          <w:sz w:val="32"/>
          <w:szCs w:val="32"/>
          <w:highlight w:val="none"/>
          <w:lang w:val="en-US" w:eastAsia="zh-CN"/>
        </w:rPr>
      </w:pPr>
      <w:bookmarkStart w:id="62" w:name="_Toc17895"/>
      <w:r>
        <w:rPr>
          <w:rFonts w:hint="eastAsia" w:ascii="宋体" w:hAnsi="宋体" w:eastAsia="宋体" w:cs="宋体"/>
          <w:b/>
          <w:bCs w:val="0"/>
          <w:color w:val="auto"/>
          <w:sz w:val="32"/>
          <w:szCs w:val="32"/>
          <w:highlight w:val="none"/>
          <w:lang w:val="en-US" w:eastAsia="zh-CN"/>
        </w:rPr>
        <w:t>投标人须知前附表</w:t>
      </w:r>
      <w:bookmarkEnd w:id="54"/>
      <w:bookmarkEnd w:id="55"/>
      <w:bookmarkEnd w:id="56"/>
      <w:bookmarkEnd w:id="57"/>
      <w:bookmarkEnd w:id="58"/>
      <w:bookmarkEnd w:id="59"/>
      <w:bookmarkEnd w:id="60"/>
      <w:bookmarkEnd w:id="61"/>
      <w:bookmarkEnd w:id="62"/>
    </w:p>
    <w:tbl>
      <w:tblPr>
        <w:tblStyle w:val="2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2160"/>
        <w:gridCol w:w="6530"/>
      </w:tblGrid>
      <w:tr w14:paraId="25F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exact"/>
          <w:tblHeader/>
          <w:jc w:val="center"/>
        </w:trPr>
        <w:tc>
          <w:tcPr>
            <w:tcW w:w="811" w:type="dxa"/>
            <w:noWrap w:val="0"/>
            <w:vAlign w:val="center"/>
          </w:tcPr>
          <w:p w14:paraId="2C627D4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 xml:space="preserve">序号 </w:t>
            </w:r>
          </w:p>
        </w:tc>
        <w:tc>
          <w:tcPr>
            <w:tcW w:w="2160" w:type="dxa"/>
            <w:noWrap w:val="0"/>
            <w:vAlign w:val="center"/>
          </w:tcPr>
          <w:p w14:paraId="332B033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内容</w:t>
            </w:r>
          </w:p>
        </w:tc>
        <w:tc>
          <w:tcPr>
            <w:tcW w:w="6530" w:type="dxa"/>
            <w:noWrap w:val="0"/>
            <w:vAlign w:val="center"/>
          </w:tcPr>
          <w:p w14:paraId="25268EE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说明和要求</w:t>
            </w:r>
          </w:p>
        </w:tc>
      </w:tr>
      <w:tr w14:paraId="010A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811" w:type="dxa"/>
            <w:noWrap w:val="0"/>
            <w:vAlign w:val="center"/>
          </w:tcPr>
          <w:p w14:paraId="69E7DF5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p>
        </w:tc>
        <w:tc>
          <w:tcPr>
            <w:tcW w:w="2160" w:type="dxa"/>
            <w:noWrap w:val="0"/>
            <w:vAlign w:val="center"/>
          </w:tcPr>
          <w:p w14:paraId="7731A93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采购人</w:t>
            </w:r>
          </w:p>
        </w:tc>
        <w:tc>
          <w:tcPr>
            <w:tcW w:w="6530" w:type="dxa"/>
            <w:noWrap w:val="0"/>
            <w:vAlign w:val="center"/>
          </w:tcPr>
          <w:p w14:paraId="14F0930E">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名 称：察布查尔锡伯自治县农业农村局 </w:t>
            </w:r>
          </w:p>
          <w:p w14:paraId="6CA08A12">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 址：</w:t>
            </w:r>
            <w:r>
              <w:rPr>
                <w:rFonts w:hint="eastAsia" w:ascii="宋体" w:hAnsi="宋体" w:eastAsia="宋体" w:cs="宋体"/>
                <w:color w:val="auto"/>
                <w:sz w:val="22"/>
                <w:szCs w:val="22"/>
                <w:highlight w:val="none"/>
                <w:lang w:val="en-US" w:eastAsia="zh-CN"/>
              </w:rPr>
              <w:t>察布查尔锡伯自治县庙拜街8号</w:t>
            </w:r>
          </w:p>
          <w:p w14:paraId="13295BAD">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w:t>
            </w:r>
            <w:r>
              <w:rPr>
                <w:rFonts w:hint="eastAsia" w:hAnsi="宋体" w:cs="宋体"/>
                <w:color w:val="auto"/>
                <w:sz w:val="22"/>
                <w:szCs w:val="22"/>
                <w:highlight w:val="none"/>
                <w:lang w:val="en-US" w:eastAsia="zh-CN"/>
              </w:rPr>
              <w:t>刘小龙</w:t>
            </w:r>
          </w:p>
          <w:p w14:paraId="60237F2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联系方式：</w:t>
            </w:r>
            <w:r>
              <w:rPr>
                <w:rFonts w:hint="eastAsia" w:hAnsi="宋体" w:cs="宋体"/>
                <w:color w:val="auto"/>
                <w:sz w:val="22"/>
                <w:szCs w:val="22"/>
                <w:highlight w:val="none"/>
                <w:lang w:val="en-US" w:eastAsia="zh-CN"/>
              </w:rPr>
              <w:t>18599386785</w:t>
            </w:r>
          </w:p>
        </w:tc>
      </w:tr>
      <w:tr w14:paraId="19C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811" w:type="dxa"/>
            <w:noWrap w:val="0"/>
            <w:vAlign w:val="center"/>
          </w:tcPr>
          <w:p w14:paraId="5CBBF5B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p>
        </w:tc>
        <w:tc>
          <w:tcPr>
            <w:tcW w:w="2160" w:type="dxa"/>
            <w:noWrap w:val="0"/>
            <w:vAlign w:val="center"/>
          </w:tcPr>
          <w:p w14:paraId="153508EF">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采购代理机构</w:t>
            </w:r>
          </w:p>
        </w:tc>
        <w:tc>
          <w:tcPr>
            <w:tcW w:w="6530" w:type="dxa"/>
            <w:noWrap w:val="0"/>
            <w:vAlign w:val="center"/>
          </w:tcPr>
          <w:p w14:paraId="3BEBF2A8">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新疆长润泽建设工程管理有限公司</w:t>
            </w:r>
          </w:p>
          <w:p w14:paraId="334C628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伊宁市金茂新天地B座16楼</w:t>
            </w:r>
          </w:p>
          <w:p w14:paraId="31B740A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eastAsia="zh-CN"/>
              </w:rPr>
              <w:t>邱工</w:t>
            </w:r>
          </w:p>
          <w:p w14:paraId="48F02A25">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项目联系方式：</w:t>
            </w:r>
            <w:r>
              <w:rPr>
                <w:rFonts w:hint="eastAsia" w:ascii="宋体" w:hAnsi="宋体" w:eastAsia="宋体" w:cs="宋体"/>
                <w:color w:val="auto"/>
                <w:sz w:val="22"/>
                <w:szCs w:val="22"/>
                <w:highlight w:val="none"/>
                <w:lang w:eastAsia="zh-CN"/>
              </w:rPr>
              <w:t>15299819661</w:t>
            </w:r>
          </w:p>
        </w:tc>
      </w:tr>
      <w:tr w14:paraId="1BD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811" w:type="dxa"/>
            <w:noWrap w:val="0"/>
            <w:vAlign w:val="center"/>
          </w:tcPr>
          <w:p w14:paraId="24315F4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p>
        </w:tc>
        <w:tc>
          <w:tcPr>
            <w:tcW w:w="2160" w:type="dxa"/>
            <w:noWrap w:val="0"/>
            <w:vAlign w:val="center"/>
          </w:tcPr>
          <w:p w14:paraId="603F4BA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采购项目名称</w:t>
            </w:r>
          </w:p>
        </w:tc>
        <w:tc>
          <w:tcPr>
            <w:tcW w:w="6530" w:type="dxa"/>
            <w:noWrap w:val="0"/>
            <w:vAlign w:val="center"/>
          </w:tcPr>
          <w:p w14:paraId="61A62C6E">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察布查尔锡伯自治县2026年小麦一喷三防项目（二标段）</w:t>
            </w:r>
          </w:p>
        </w:tc>
      </w:tr>
      <w:tr w14:paraId="10A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811" w:type="dxa"/>
            <w:noWrap w:val="0"/>
            <w:vAlign w:val="center"/>
          </w:tcPr>
          <w:p w14:paraId="53A2C63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p>
        </w:tc>
        <w:tc>
          <w:tcPr>
            <w:tcW w:w="2160" w:type="dxa"/>
            <w:noWrap w:val="0"/>
            <w:vAlign w:val="center"/>
          </w:tcPr>
          <w:p w14:paraId="3E194E9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采购项目编号</w:t>
            </w:r>
          </w:p>
        </w:tc>
        <w:tc>
          <w:tcPr>
            <w:tcW w:w="6530" w:type="dxa"/>
            <w:noWrap w:val="0"/>
            <w:vAlign w:val="center"/>
          </w:tcPr>
          <w:p w14:paraId="46069F31">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lang w:eastAsia="zh-CN"/>
              </w:rPr>
              <w:t>XJCRZCG-2026037</w:t>
            </w:r>
          </w:p>
        </w:tc>
      </w:tr>
      <w:tr w14:paraId="2E63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811" w:type="dxa"/>
            <w:noWrap w:val="0"/>
            <w:vAlign w:val="center"/>
          </w:tcPr>
          <w:p w14:paraId="2BE938B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p>
        </w:tc>
        <w:tc>
          <w:tcPr>
            <w:tcW w:w="2160" w:type="dxa"/>
            <w:noWrap w:val="0"/>
            <w:vAlign w:val="center"/>
          </w:tcPr>
          <w:p w14:paraId="1E47AF9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资金来源</w:t>
            </w:r>
          </w:p>
        </w:tc>
        <w:tc>
          <w:tcPr>
            <w:tcW w:w="6530" w:type="dxa"/>
            <w:noWrap w:val="0"/>
            <w:vAlign w:val="center"/>
          </w:tcPr>
          <w:p w14:paraId="6BDED7F8">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财政资金</w:t>
            </w:r>
          </w:p>
        </w:tc>
      </w:tr>
      <w:tr w14:paraId="64E5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exact"/>
          <w:jc w:val="center"/>
        </w:trPr>
        <w:tc>
          <w:tcPr>
            <w:tcW w:w="811" w:type="dxa"/>
            <w:vMerge w:val="restart"/>
            <w:noWrap w:val="0"/>
            <w:vAlign w:val="center"/>
          </w:tcPr>
          <w:p w14:paraId="43E99D5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w:t>
            </w:r>
          </w:p>
        </w:tc>
        <w:tc>
          <w:tcPr>
            <w:tcW w:w="2160" w:type="dxa"/>
            <w:noWrap w:val="0"/>
            <w:vAlign w:val="center"/>
          </w:tcPr>
          <w:p w14:paraId="6611915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预算金额</w:t>
            </w:r>
          </w:p>
        </w:tc>
        <w:tc>
          <w:tcPr>
            <w:tcW w:w="6530" w:type="dxa"/>
            <w:noWrap w:val="0"/>
            <w:vAlign w:val="center"/>
          </w:tcPr>
          <w:p w14:paraId="7BA0BB86">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hAnsi="宋体" w:cs="宋体"/>
                <w:color w:val="auto"/>
                <w:sz w:val="22"/>
                <w:szCs w:val="22"/>
                <w:highlight w:val="none"/>
                <w:lang w:val="en-US" w:eastAsia="zh-CN"/>
              </w:rPr>
              <w:t>110</w:t>
            </w:r>
            <w:r>
              <w:rPr>
                <w:rFonts w:hint="eastAsia" w:ascii="宋体" w:hAnsi="宋体" w:eastAsia="宋体" w:cs="宋体"/>
                <w:color w:val="auto"/>
                <w:sz w:val="22"/>
                <w:szCs w:val="22"/>
                <w:highlight w:val="none"/>
                <w:lang w:val="en-US" w:eastAsia="zh-CN"/>
              </w:rPr>
              <w:t>万元</w:t>
            </w:r>
          </w:p>
          <w:p w14:paraId="290E9DC3">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投标人投标报价超出预算金额的，作为不实质性响应投标文件，按无效响应文件处理</w:t>
            </w:r>
          </w:p>
        </w:tc>
      </w:tr>
      <w:tr w14:paraId="2C78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2" w:hRule="exact"/>
          <w:jc w:val="center"/>
        </w:trPr>
        <w:tc>
          <w:tcPr>
            <w:tcW w:w="811" w:type="dxa"/>
            <w:vMerge w:val="continue"/>
            <w:noWrap w:val="0"/>
            <w:vAlign w:val="center"/>
          </w:tcPr>
          <w:p w14:paraId="11BF58A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p>
        </w:tc>
        <w:tc>
          <w:tcPr>
            <w:tcW w:w="2160" w:type="dxa"/>
            <w:noWrap w:val="0"/>
            <w:vAlign w:val="center"/>
          </w:tcPr>
          <w:p w14:paraId="50179E3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最高限价</w:t>
            </w:r>
          </w:p>
        </w:tc>
        <w:tc>
          <w:tcPr>
            <w:tcW w:w="6530" w:type="dxa"/>
            <w:noWrap w:val="0"/>
            <w:vAlign w:val="center"/>
          </w:tcPr>
          <w:p w14:paraId="64F0BC6D">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w:t>
            </w:r>
            <w:r>
              <w:rPr>
                <w:rFonts w:hint="eastAsia" w:ascii="宋体" w:hAnsi="宋体" w:cs="宋体"/>
                <w:color w:val="auto"/>
                <w:sz w:val="22"/>
                <w:szCs w:val="22"/>
                <w:highlight w:val="none"/>
                <w:lang w:val="en-US" w:eastAsia="zh-CN"/>
              </w:rPr>
              <w:t>110</w:t>
            </w:r>
            <w:r>
              <w:rPr>
                <w:rFonts w:hint="eastAsia" w:ascii="宋体" w:hAnsi="宋体" w:eastAsia="宋体" w:cs="宋体"/>
                <w:color w:val="auto"/>
                <w:sz w:val="22"/>
                <w:szCs w:val="22"/>
                <w:highlight w:val="none"/>
                <w:lang w:val="en-US" w:eastAsia="zh-CN"/>
              </w:rPr>
              <w:t>万元</w:t>
            </w:r>
          </w:p>
          <w:p w14:paraId="14BACE0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投标人投标报价超出最高限价的，作为不实质性响应投标文件，按无效响应文件处理</w:t>
            </w:r>
          </w:p>
        </w:tc>
      </w:tr>
      <w:tr w14:paraId="694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jc w:val="center"/>
        </w:trPr>
        <w:tc>
          <w:tcPr>
            <w:tcW w:w="811" w:type="dxa"/>
            <w:noWrap w:val="0"/>
            <w:vAlign w:val="center"/>
          </w:tcPr>
          <w:p w14:paraId="5F3A839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w:t>
            </w:r>
          </w:p>
        </w:tc>
        <w:tc>
          <w:tcPr>
            <w:tcW w:w="2160" w:type="dxa"/>
            <w:noWrap w:val="0"/>
            <w:vAlign w:val="center"/>
          </w:tcPr>
          <w:p w14:paraId="2103E37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项目分包</w:t>
            </w:r>
          </w:p>
        </w:tc>
        <w:tc>
          <w:tcPr>
            <w:tcW w:w="6530" w:type="dxa"/>
            <w:noWrap w:val="0"/>
            <w:vAlign w:val="center"/>
          </w:tcPr>
          <w:p w14:paraId="7285C460">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个</w:t>
            </w:r>
          </w:p>
        </w:tc>
      </w:tr>
      <w:tr w14:paraId="39EB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811" w:type="dxa"/>
            <w:noWrap w:val="0"/>
            <w:vAlign w:val="center"/>
          </w:tcPr>
          <w:p w14:paraId="68D8DDA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w:t>
            </w:r>
          </w:p>
        </w:tc>
        <w:tc>
          <w:tcPr>
            <w:tcW w:w="2160" w:type="dxa"/>
            <w:noWrap w:val="0"/>
            <w:vAlign w:val="center"/>
          </w:tcPr>
          <w:p w14:paraId="0D42420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采购方式</w:t>
            </w:r>
          </w:p>
        </w:tc>
        <w:tc>
          <w:tcPr>
            <w:tcW w:w="6530" w:type="dxa"/>
            <w:noWrap w:val="0"/>
            <w:vAlign w:val="center"/>
          </w:tcPr>
          <w:p w14:paraId="55075225">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公开招标</w:t>
            </w:r>
          </w:p>
        </w:tc>
      </w:tr>
      <w:tr w14:paraId="5172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4" w:hRule="exact"/>
          <w:jc w:val="center"/>
        </w:trPr>
        <w:tc>
          <w:tcPr>
            <w:tcW w:w="811" w:type="dxa"/>
            <w:noWrap w:val="0"/>
            <w:vAlign w:val="center"/>
          </w:tcPr>
          <w:p w14:paraId="09A56C8B">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w:t>
            </w:r>
          </w:p>
        </w:tc>
        <w:tc>
          <w:tcPr>
            <w:tcW w:w="2160" w:type="dxa"/>
            <w:noWrap w:val="0"/>
            <w:vAlign w:val="center"/>
          </w:tcPr>
          <w:p w14:paraId="19078DFC">
            <w:pPr>
              <w:pStyle w:val="36"/>
              <w:keepNext w:val="0"/>
              <w:keepLines w:val="0"/>
              <w:pageBreakBefore w:val="0"/>
              <w:widowControl w:val="0"/>
              <w:kinsoku/>
              <w:wordWrap/>
              <w:overflowPunct/>
              <w:topLinePunct w:val="0"/>
              <w:bidi w:val="0"/>
              <w:snapToGrid/>
              <w:spacing w:line="480" w:lineRule="exact"/>
              <w:ind w:left="0" w:right="0" w:right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是否专门面向</w:t>
            </w:r>
            <w:r>
              <w:rPr>
                <w:rFonts w:hint="eastAsia" w:ascii="宋体" w:hAnsi="宋体" w:eastAsia="宋体" w:cs="宋体"/>
                <w:color w:val="auto"/>
                <w:sz w:val="22"/>
                <w:szCs w:val="22"/>
                <w:highlight w:val="none"/>
                <w:lang w:val="en-US" w:eastAsia="zh-CN"/>
              </w:rPr>
              <w:t>中小微</w:t>
            </w:r>
            <w:r>
              <w:rPr>
                <w:rFonts w:hint="eastAsia" w:ascii="宋体" w:hAnsi="宋体" w:eastAsia="宋体" w:cs="宋体"/>
                <w:color w:val="auto"/>
                <w:sz w:val="22"/>
                <w:szCs w:val="22"/>
                <w:highlight w:val="none"/>
                <w:lang w:val="zh-CN"/>
              </w:rPr>
              <w:t>企业采购</w:t>
            </w:r>
          </w:p>
        </w:tc>
        <w:tc>
          <w:tcPr>
            <w:tcW w:w="6530" w:type="dxa"/>
            <w:noWrap w:val="0"/>
            <w:vAlign w:val="center"/>
          </w:tcPr>
          <w:p w14:paraId="4B6F16E6">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sym w:font="Wingdings 2" w:char="00A3"/>
            </w:r>
            <w:r>
              <w:rPr>
                <w:rFonts w:hint="eastAsia" w:ascii="宋体" w:hAnsi="宋体" w:eastAsia="宋体" w:cs="宋体"/>
                <w:color w:val="auto"/>
                <w:sz w:val="22"/>
                <w:szCs w:val="22"/>
                <w:highlight w:val="none"/>
                <w:lang w:val="zh-CN"/>
              </w:rPr>
              <w:t xml:space="preserve">否 </w:t>
            </w:r>
          </w:p>
          <w:p w14:paraId="078E816E">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jc w:val="both"/>
              <w:textAlignment w:val="auto"/>
              <w:rPr>
                <w:rFonts w:hint="eastAsia" w:ascii="宋体" w:hAnsi="宋体" w:eastAsia="宋体" w:cs="宋体"/>
                <w:color w:val="auto"/>
                <w:sz w:val="22"/>
                <w:szCs w:val="22"/>
                <w:highlight w:val="none"/>
                <w:lang w:val="zh-CN" w:eastAsia="zh-CN"/>
              </w:rPr>
            </w:pPr>
            <w:r>
              <w:rPr>
                <w:rFonts w:hint="eastAsia" w:cs="宋体"/>
                <w:color w:val="auto"/>
                <w:sz w:val="22"/>
                <w:szCs w:val="22"/>
                <w:highlight w:val="none"/>
                <w:lang w:val="zh-CN"/>
              </w:rPr>
              <w:t>☑</w:t>
            </w:r>
            <w:r>
              <w:rPr>
                <w:rFonts w:hint="eastAsia" w:ascii="宋体" w:hAnsi="宋体" w:eastAsia="宋体" w:cs="宋体"/>
                <w:color w:val="auto"/>
                <w:sz w:val="22"/>
                <w:szCs w:val="22"/>
                <w:highlight w:val="none"/>
                <w:lang w:val="zh-CN"/>
              </w:rPr>
              <w:t>是，非</w:t>
            </w:r>
            <w:r>
              <w:rPr>
                <w:rFonts w:hint="eastAsia" w:ascii="宋体" w:hAnsi="宋体" w:eastAsia="宋体" w:cs="宋体"/>
                <w:color w:val="auto"/>
                <w:sz w:val="22"/>
                <w:szCs w:val="22"/>
                <w:highlight w:val="none"/>
                <w:lang w:val="en-US" w:eastAsia="zh-CN"/>
              </w:rPr>
              <w:t>中</w:t>
            </w:r>
            <w:r>
              <w:rPr>
                <w:rFonts w:hint="eastAsia" w:ascii="宋体" w:hAnsi="宋体" w:eastAsia="宋体" w:cs="宋体"/>
                <w:color w:val="auto"/>
                <w:sz w:val="22"/>
                <w:szCs w:val="22"/>
                <w:highlight w:val="none"/>
                <w:lang w:val="zh-CN"/>
              </w:rPr>
              <w:t>小微企业、监狱企业或者残疾人福利性单位的投标人，其</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val="zh-CN"/>
              </w:rPr>
              <w:t>文件无效</w:t>
            </w:r>
          </w:p>
        </w:tc>
      </w:tr>
      <w:tr w14:paraId="5682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exact"/>
          <w:jc w:val="center"/>
        </w:trPr>
        <w:tc>
          <w:tcPr>
            <w:tcW w:w="811" w:type="dxa"/>
            <w:noWrap w:val="0"/>
            <w:vAlign w:val="center"/>
          </w:tcPr>
          <w:p w14:paraId="76C1A79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w:t>
            </w:r>
          </w:p>
        </w:tc>
        <w:tc>
          <w:tcPr>
            <w:tcW w:w="2160" w:type="dxa"/>
            <w:noWrap w:val="0"/>
            <w:vAlign w:val="center"/>
          </w:tcPr>
          <w:p w14:paraId="1B8B6FD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采购内容</w:t>
            </w:r>
          </w:p>
        </w:tc>
        <w:tc>
          <w:tcPr>
            <w:tcW w:w="6530" w:type="dxa"/>
            <w:noWrap w:val="0"/>
            <w:vAlign w:val="center"/>
          </w:tcPr>
          <w:p w14:paraId="09C1006D">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详见第四章</w:t>
            </w:r>
          </w:p>
        </w:tc>
      </w:tr>
      <w:tr w14:paraId="317F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811" w:type="dxa"/>
            <w:noWrap w:val="0"/>
            <w:vAlign w:val="center"/>
          </w:tcPr>
          <w:p w14:paraId="5DFADE3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w:t>
            </w:r>
          </w:p>
        </w:tc>
        <w:tc>
          <w:tcPr>
            <w:tcW w:w="2160" w:type="dxa"/>
            <w:noWrap w:val="0"/>
            <w:vAlign w:val="center"/>
          </w:tcPr>
          <w:p w14:paraId="1FF1FF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合同履行期限</w:t>
            </w:r>
          </w:p>
        </w:tc>
        <w:tc>
          <w:tcPr>
            <w:tcW w:w="6530" w:type="dxa"/>
            <w:noWrap w:val="0"/>
            <w:vAlign w:val="center"/>
          </w:tcPr>
          <w:p w14:paraId="10D74271">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cs="宋体"/>
                <w:color w:val="auto"/>
                <w:sz w:val="22"/>
                <w:szCs w:val="22"/>
                <w:highlight w:val="none"/>
                <w:lang w:val="zh-CN" w:eastAsia="zh-CN"/>
              </w:rPr>
              <w:t>自合同签订之日起根据甲方要求,7日内完成所有货物的运输、交付</w:t>
            </w:r>
            <w:r>
              <w:rPr>
                <w:rFonts w:hint="eastAsia" w:ascii="宋体" w:hAnsi="宋体" w:eastAsia="宋体" w:cs="宋体"/>
                <w:color w:val="auto"/>
                <w:sz w:val="22"/>
                <w:szCs w:val="22"/>
                <w:highlight w:val="none"/>
                <w:lang w:val="zh-CN" w:eastAsia="zh-CN"/>
              </w:rPr>
              <w:t>。</w:t>
            </w:r>
          </w:p>
        </w:tc>
      </w:tr>
      <w:tr w14:paraId="0AE8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11" w:type="dxa"/>
            <w:noWrap w:val="0"/>
            <w:vAlign w:val="center"/>
          </w:tcPr>
          <w:p w14:paraId="6355AC3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w:t>
            </w:r>
          </w:p>
        </w:tc>
        <w:tc>
          <w:tcPr>
            <w:tcW w:w="2160" w:type="dxa"/>
            <w:noWrap w:val="0"/>
            <w:vAlign w:val="center"/>
          </w:tcPr>
          <w:p w14:paraId="1B42D88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交货地点</w:t>
            </w:r>
          </w:p>
        </w:tc>
        <w:tc>
          <w:tcPr>
            <w:tcW w:w="6530" w:type="dxa"/>
            <w:noWrap w:val="0"/>
            <w:vAlign w:val="center"/>
          </w:tcPr>
          <w:p w14:paraId="3A3A88B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采购人指定地点</w:t>
            </w:r>
          </w:p>
        </w:tc>
      </w:tr>
      <w:tr w14:paraId="433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exact"/>
          <w:jc w:val="center"/>
        </w:trPr>
        <w:tc>
          <w:tcPr>
            <w:tcW w:w="811" w:type="dxa"/>
            <w:noWrap w:val="0"/>
            <w:vAlign w:val="center"/>
          </w:tcPr>
          <w:p w14:paraId="52D14D0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w:t>
            </w:r>
          </w:p>
        </w:tc>
        <w:tc>
          <w:tcPr>
            <w:tcW w:w="2160" w:type="dxa"/>
            <w:noWrap w:val="0"/>
            <w:vAlign w:val="center"/>
          </w:tcPr>
          <w:p w14:paraId="1A372B9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质量要求、验收标准</w:t>
            </w:r>
          </w:p>
        </w:tc>
        <w:tc>
          <w:tcPr>
            <w:tcW w:w="6530" w:type="dxa"/>
            <w:noWrap w:val="0"/>
            <w:vAlign w:val="center"/>
          </w:tcPr>
          <w:p w14:paraId="6C014467">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详见第四章</w:t>
            </w:r>
          </w:p>
        </w:tc>
      </w:tr>
      <w:tr w14:paraId="1F6C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11" w:type="dxa"/>
            <w:noWrap w:val="0"/>
            <w:vAlign w:val="center"/>
          </w:tcPr>
          <w:p w14:paraId="7ED4DB7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14</w:t>
            </w:r>
          </w:p>
        </w:tc>
        <w:tc>
          <w:tcPr>
            <w:tcW w:w="2160" w:type="dxa"/>
            <w:noWrap w:val="0"/>
            <w:vAlign w:val="center"/>
          </w:tcPr>
          <w:p w14:paraId="3159931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是否采购进口产品</w:t>
            </w:r>
          </w:p>
        </w:tc>
        <w:tc>
          <w:tcPr>
            <w:tcW w:w="6530" w:type="dxa"/>
            <w:noWrap w:val="0"/>
            <w:vAlign w:val="center"/>
          </w:tcPr>
          <w:p w14:paraId="09F8A33D">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本项目拒绝进口产品参加</w:t>
            </w:r>
            <w:r>
              <w:rPr>
                <w:rFonts w:hint="eastAsia" w:ascii="宋体" w:hAnsi="宋体" w:eastAsia="宋体" w:cs="宋体"/>
                <w:color w:val="auto"/>
                <w:sz w:val="22"/>
                <w:szCs w:val="22"/>
                <w:highlight w:val="none"/>
                <w:lang w:val="en-US" w:eastAsia="zh-CN"/>
              </w:rPr>
              <w:t>投标</w:t>
            </w:r>
          </w:p>
        </w:tc>
      </w:tr>
      <w:tr w14:paraId="05C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811" w:type="dxa"/>
            <w:noWrap w:val="0"/>
            <w:vAlign w:val="center"/>
          </w:tcPr>
          <w:p w14:paraId="441A3F9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15</w:t>
            </w:r>
          </w:p>
        </w:tc>
        <w:tc>
          <w:tcPr>
            <w:tcW w:w="2160" w:type="dxa"/>
            <w:noWrap w:val="0"/>
            <w:vAlign w:val="center"/>
          </w:tcPr>
          <w:p w14:paraId="7D5BBD3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联合体投标</w:t>
            </w:r>
          </w:p>
        </w:tc>
        <w:tc>
          <w:tcPr>
            <w:tcW w:w="6530" w:type="dxa"/>
            <w:noWrap w:val="0"/>
            <w:vAlign w:val="top"/>
          </w:tcPr>
          <w:p w14:paraId="50E4166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不接受</w:t>
            </w:r>
          </w:p>
          <w:p w14:paraId="2A8D92C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□接受，详见投标人须知第3.3条款</w:t>
            </w:r>
          </w:p>
        </w:tc>
      </w:tr>
      <w:tr w14:paraId="270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811" w:type="dxa"/>
            <w:noWrap w:val="0"/>
            <w:vAlign w:val="center"/>
          </w:tcPr>
          <w:p w14:paraId="48789C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16</w:t>
            </w:r>
          </w:p>
        </w:tc>
        <w:tc>
          <w:tcPr>
            <w:tcW w:w="2160" w:type="dxa"/>
            <w:noWrap w:val="0"/>
            <w:vAlign w:val="center"/>
          </w:tcPr>
          <w:p w14:paraId="74A27E4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招标文件发售</w:t>
            </w:r>
          </w:p>
        </w:tc>
        <w:tc>
          <w:tcPr>
            <w:tcW w:w="6530" w:type="dxa"/>
            <w:noWrap w:val="0"/>
            <w:vAlign w:val="center"/>
          </w:tcPr>
          <w:p w14:paraId="62980AC7">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时间：</w:t>
            </w:r>
            <w:r>
              <w:rPr>
                <w:rFonts w:hint="eastAsia" w:ascii="宋体" w:hAnsi="宋体" w:eastAsia="宋体" w:cs="宋体"/>
                <w:i w:val="0"/>
                <w:iCs w:val="0"/>
                <w:color w:val="auto"/>
                <w:sz w:val="22"/>
                <w:szCs w:val="22"/>
                <w:highlight w:val="none"/>
                <w:u w:val="single"/>
                <w:lang w:val="en-US" w:eastAsia="zh-CN"/>
              </w:rPr>
              <w:t>2026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23</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202</w:t>
            </w:r>
            <w:r>
              <w:rPr>
                <w:rFonts w:hint="eastAsia" w:ascii="宋体" w:hAnsi="宋体" w:cs="宋体"/>
                <w:i w:val="0"/>
                <w:iCs w:val="0"/>
                <w:color w:val="auto"/>
                <w:sz w:val="22"/>
                <w:szCs w:val="22"/>
                <w:highlight w:val="none"/>
                <w:u w:val="single"/>
                <w:lang w:val="en-US" w:eastAsia="zh-CN"/>
              </w:rPr>
              <w:t>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30</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，每天上午</w:t>
            </w:r>
            <w:r>
              <w:rPr>
                <w:rFonts w:hint="eastAsia" w:ascii="宋体" w:hAnsi="宋体" w:eastAsia="宋体" w:cs="宋体"/>
                <w:i w:val="0"/>
                <w:iCs w:val="0"/>
                <w:color w:val="auto"/>
                <w:sz w:val="22"/>
                <w:szCs w:val="22"/>
                <w:highlight w:val="none"/>
                <w:u w:val="single"/>
                <w:lang w:val="en-US" w:eastAsia="zh-CN"/>
              </w:rPr>
              <w:t>00:00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，下午</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23:59</w:t>
            </w:r>
            <w:r>
              <w:rPr>
                <w:rFonts w:hint="eastAsia" w:ascii="宋体" w:hAnsi="宋体" w:eastAsia="宋体" w:cs="宋体"/>
                <w:i w:val="0"/>
                <w:iCs w:val="0"/>
                <w:color w:val="auto"/>
                <w:sz w:val="22"/>
                <w:szCs w:val="22"/>
                <w:highlight w:val="none"/>
              </w:rPr>
              <w:t>（北京时间，法定节假日除外）</w:t>
            </w:r>
          </w:p>
          <w:p w14:paraId="787DD9B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right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eastAsia="zh-CN" w:bidi="ar-SA"/>
              </w:rPr>
              <w:t>地点：政采云平台线上</w:t>
            </w:r>
          </w:p>
        </w:tc>
      </w:tr>
      <w:tr w14:paraId="147B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811" w:type="dxa"/>
            <w:noWrap w:val="0"/>
            <w:vAlign w:val="center"/>
          </w:tcPr>
          <w:p w14:paraId="78042D2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17</w:t>
            </w:r>
          </w:p>
        </w:tc>
        <w:tc>
          <w:tcPr>
            <w:tcW w:w="2160" w:type="dxa"/>
            <w:noWrap w:val="0"/>
            <w:vAlign w:val="center"/>
          </w:tcPr>
          <w:p w14:paraId="2F300DB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考察现场、标前答疑会</w:t>
            </w:r>
          </w:p>
        </w:tc>
        <w:tc>
          <w:tcPr>
            <w:tcW w:w="6530" w:type="dxa"/>
            <w:noWrap w:val="0"/>
            <w:vAlign w:val="center"/>
          </w:tcPr>
          <w:p w14:paraId="125A2E4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sym w:font="Wingdings 2" w:char="0052"/>
            </w:r>
            <w:r>
              <w:rPr>
                <w:rFonts w:hint="eastAsia" w:ascii="宋体" w:hAnsi="宋体" w:eastAsia="宋体" w:cs="宋体"/>
                <w:color w:val="auto"/>
                <w:sz w:val="22"/>
                <w:szCs w:val="22"/>
                <w:highlight w:val="none"/>
                <w:lang w:val="zh-CN"/>
              </w:rPr>
              <w:t>不组织</w:t>
            </w:r>
          </w:p>
          <w:p w14:paraId="392C96D1">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□组织，时间、地点另行书面通知</w:t>
            </w:r>
          </w:p>
        </w:tc>
      </w:tr>
      <w:tr w14:paraId="52EB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811" w:type="dxa"/>
            <w:noWrap w:val="0"/>
            <w:vAlign w:val="center"/>
          </w:tcPr>
          <w:p w14:paraId="2E5A984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18</w:t>
            </w:r>
          </w:p>
        </w:tc>
        <w:tc>
          <w:tcPr>
            <w:tcW w:w="2160" w:type="dxa"/>
            <w:noWrap w:val="0"/>
            <w:vAlign w:val="center"/>
          </w:tcPr>
          <w:p w14:paraId="481CAF5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转包与分包履约</w:t>
            </w:r>
          </w:p>
        </w:tc>
        <w:tc>
          <w:tcPr>
            <w:tcW w:w="6530" w:type="dxa"/>
            <w:noWrap w:val="0"/>
            <w:vAlign w:val="center"/>
          </w:tcPr>
          <w:p w14:paraId="1142E91F">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不得转包。不允许分包。</w:t>
            </w:r>
          </w:p>
        </w:tc>
      </w:tr>
      <w:tr w14:paraId="7D8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811" w:type="dxa"/>
            <w:noWrap w:val="0"/>
            <w:vAlign w:val="center"/>
          </w:tcPr>
          <w:p w14:paraId="2E894BA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2160" w:type="dxa"/>
            <w:noWrap w:val="0"/>
            <w:vAlign w:val="center"/>
          </w:tcPr>
          <w:p w14:paraId="5BEF715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付款方式</w:t>
            </w:r>
          </w:p>
        </w:tc>
        <w:tc>
          <w:tcPr>
            <w:tcW w:w="6530" w:type="dxa"/>
            <w:noWrap w:val="0"/>
            <w:vAlign w:val="center"/>
          </w:tcPr>
          <w:p w14:paraId="4A2F6FD7">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cs="宋体"/>
                <w:color w:val="auto"/>
                <w:kern w:val="2"/>
                <w:sz w:val="22"/>
                <w:szCs w:val="28"/>
                <w:highlight w:val="none"/>
                <w:lang w:val="en-US" w:eastAsia="zh-CN" w:bidi="ar-SA"/>
              </w:rPr>
              <w:t>产品到货并验收合格后支付供货总价的90%；待废弃物全部回收完毕后支付剩余10%。具体付款方式以与甲方签订的正式合同为准。</w:t>
            </w:r>
          </w:p>
        </w:tc>
      </w:tr>
      <w:tr w14:paraId="124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811" w:type="dxa"/>
            <w:noWrap w:val="0"/>
            <w:vAlign w:val="center"/>
          </w:tcPr>
          <w:p w14:paraId="2DF5066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20</w:t>
            </w:r>
          </w:p>
        </w:tc>
        <w:tc>
          <w:tcPr>
            <w:tcW w:w="2160" w:type="dxa"/>
            <w:noWrap w:val="0"/>
            <w:vAlign w:val="center"/>
          </w:tcPr>
          <w:p w14:paraId="062622F8">
            <w:pPr>
              <w:pStyle w:val="7"/>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招标文件澄清</w:t>
            </w:r>
          </w:p>
          <w:p w14:paraId="169855C6">
            <w:pPr>
              <w:pStyle w:val="7"/>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或修改时间、形式</w:t>
            </w:r>
          </w:p>
        </w:tc>
        <w:tc>
          <w:tcPr>
            <w:tcW w:w="6530" w:type="dxa"/>
            <w:noWrap w:val="0"/>
            <w:vAlign w:val="center"/>
          </w:tcPr>
          <w:p w14:paraId="1FC3A896">
            <w:pPr>
              <w:pStyle w:val="7"/>
              <w:keepNext w:val="0"/>
              <w:keepLines w:val="0"/>
              <w:pageBreakBefore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时间：</w:t>
            </w:r>
            <w:r>
              <w:rPr>
                <w:rFonts w:hint="eastAsia" w:ascii="宋体" w:hAnsi="宋体" w:eastAsia="宋体" w:cs="宋体"/>
                <w:color w:val="auto"/>
                <w:sz w:val="22"/>
                <w:szCs w:val="22"/>
                <w:highlight w:val="none"/>
              </w:rPr>
              <w:t>递交投标文件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时间15日前</w:t>
            </w:r>
          </w:p>
          <w:p w14:paraId="326F373A">
            <w:pPr>
              <w:pStyle w:val="7"/>
              <w:keepNext w:val="0"/>
              <w:keepLines w:val="0"/>
              <w:pageBreakBefore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政采云平</w:t>
            </w:r>
            <w:r>
              <w:rPr>
                <w:rFonts w:hint="eastAsia" w:ascii="宋体" w:hAnsi="宋体" w:eastAsia="宋体" w:cs="宋体"/>
                <w:color w:val="auto"/>
                <w:sz w:val="22"/>
                <w:szCs w:val="22"/>
                <w:highlight w:val="none"/>
                <w:lang w:val="en-US" w:eastAsia="zh-CN"/>
              </w:rPr>
              <w:t>台发布更正澄清公告</w:t>
            </w:r>
          </w:p>
        </w:tc>
      </w:tr>
      <w:tr w14:paraId="4D42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811" w:type="dxa"/>
            <w:noWrap w:val="0"/>
            <w:vAlign w:val="center"/>
          </w:tcPr>
          <w:p w14:paraId="55A02EC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21</w:t>
            </w:r>
          </w:p>
        </w:tc>
        <w:tc>
          <w:tcPr>
            <w:tcW w:w="2160" w:type="dxa"/>
            <w:noWrap w:val="0"/>
            <w:vAlign w:val="center"/>
          </w:tcPr>
          <w:p w14:paraId="2E2FE7B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构成招标文件的</w:t>
            </w:r>
          </w:p>
          <w:p w14:paraId="2B5E452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其他文件</w:t>
            </w:r>
          </w:p>
        </w:tc>
        <w:tc>
          <w:tcPr>
            <w:tcW w:w="6530" w:type="dxa"/>
            <w:noWrap w:val="0"/>
            <w:vAlign w:val="center"/>
          </w:tcPr>
          <w:p w14:paraId="04DB4C6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招标文件的澄清</w:t>
            </w:r>
            <w:r>
              <w:rPr>
                <w:rFonts w:hint="eastAsia" w:ascii="宋体" w:hAnsi="宋体" w:eastAsia="宋体" w:cs="宋体"/>
                <w:color w:val="auto"/>
                <w:sz w:val="22"/>
                <w:szCs w:val="22"/>
                <w:highlight w:val="none"/>
              </w:rPr>
              <w:t>、修改书及有关补充通知为招标文件的有效组成部分</w:t>
            </w:r>
          </w:p>
        </w:tc>
      </w:tr>
      <w:tr w14:paraId="41C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811" w:type="dxa"/>
            <w:noWrap w:val="0"/>
            <w:vAlign w:val="center"/>
          </w:tcPr>
          <w:p w14:paraId="4524EA6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22</w:t>
            </w:r>
          </w:p>
        </w:tc>
        <w:tc>
          <w:tcPr>
            <w:tcW w:w="2160" w:type="dxa"/>
            <w:noWrap w:val="0"/>
            <w:vAlign w:val="center"/>
          </w:tcPr>
          <w:p w14:paraId="7B1FC0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投标人对招标文件</w:t>
            </w:r>
          </w:p>
          <w:p w14:paraId="227520F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提出质疑的时间、形式</w:t>
            </w:r>
          </w:p>
        </w:tc>
        <w:tc>
          <w:tcPr>
            <w:tcW w:w="6530" w:type="dxa"/>
            <w:noWrap w:val="0"/>
            <w:vAlign w:val="center"/>
          </w:tcPr>
          <w:p w14:paraId="2D72497F">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时间：自投标人收到招标文件之日起7个工作日内，超过期限的采购人或采购代理机构不再受理</w:t>
            </w:r>
          </w:p>
          <w:p w14:paraId="5A14DE43">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形式：书面形式</w:t>
            </w:r>
          </w:p>
        </w:tc>
      </w:tr>
      <w:tr w14:paraId="5F16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exact"/>
          <w:jc w:val="center"/>
        </w:trPr>
        <w:tc>
          <w:tcPr>
            <w:tcW w:w="811" w:type="dxa"/>
            <w:noWrap w:val="0"/>
            <w:vAlign w:val="center"/>
          </w:tcPr>
          <w:p w14:paraId="2BCE3D2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23</w:t>
            </w:r>
          </w:p>
        </w:tc>
        <w:tc>
          <w:tcPr>
            <w:tcW w:w="2160" w:type="dxa"/>
            <w:noWrap w:val="0"/>
            <w:vAlign w:val="center"/>
          </w:tcPr>
          <w:p w14:paraId="17E4BF3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对投标人提出质疑</w:t>
            </w:r>
          </w:p>
          <w:p w14:paraId="251281B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答复时间、形式</w:t>
            </w:r>
          </w:p>
        </w:tc>
        <w:tc>
          <w:tcPr>
            <w:tcW w:w="6530" w:type="dxa"/>
            <w:noWrap w:val="0"/>
            <w:vAlign w:val="center"/>
          </w:tcPr>
          <w:p w14:paraId="1C6D6CB9">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时间：自收到投标人质疑函之日起7个工作日内</w:t>
            </w:r>
          </w:p>
          <w:p w14:paraId="2670C8DA">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形式：书面形式</w:t>
            </w:r>
          </w:p>
        </w:tc>
      </w:tr>
      <w:tr w14:paraId="136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811" w:type="dxa"/>
            <w:noWrap w:val="0"/>
            <w:vAlign w:val="center"/>
          </w:tcPr>
          <w:p w14:paraId="03BA41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24</w:t>
            </w:r>
          </w:p>
        </w:tc>
        <w:tc>
          <w:tcPr>
            <w:tcW w:w="2160" w:type="dxa"/>
            <w:noWrap w:val="0"/>
            <w:vAlign w:val="center"/>
          </w:tcPr>
          <w:p w14:paraId="353E3B9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投标有效期</w:t>
            </w:r>
          </w:p>
        </w:tc>
        <w:tc>
          <w:tcPr>
            <w:tcW w:w="6530" w:type="dxa"/>
            <w:noWrap w:val="0"/>
            <w:vAlign w:val="center"/>
          </w:tcPr>
          <w:p w14:paraId="71C15792">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从投标截止日起90</w:t>
            </w:r>
            <w:r>
              <w:rPr>
                <w:rFonts w:hint="eastAsia" w:ascii="宋体" w:hAnsi="宋体" w:eastAsia="宋体" w:cs="宋体"/>
                <w:color w:val="auto"/>
                <w:sz w:val="22"/>
                <w:szCs w:val="22"/>
                <w:highlight w:val="none"/>
              </w:rPr>
              <w:t>日历</w:t>
            </w:r>
            <w:r>
              <w:rPr>
                <w:rFonts w:hint="eastAsia" w:ascii="宋体" w:hAnsi="宋体" w:eastAsia="宋体" w:cs="宋体"/>
                <w:color w:val="auto"/>
                <w:sz w:val="22"/>
                <w:szCs w:val="22"/>
                <w:highlight w:val="none"/>
                <w:lang w:val="zh-CN"/>
              </w:rPr>
              <w:t>日</w:t>
            </w:r>
          </w:p>
        </w:tc>
      </w:tr>
      <w:tr w14:paraId="272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exact"/>
          <w:jc w:val="center"/>
        </w:trPr>
        <w:tc>
          <w:tcPr>
            <w:tcW w:w="811" w:type="dxa"/>
            <w:noWrap w:val="0"/>
            <w:vAlign w:val="center"/>
          </w:tcPr>
          <w:p w14:paraId="4F528D9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25</w:t>
            </w:r>
          </w:p>
        </w:tc>
        <w:tc>
          <w:tcPr>
            <w:tcW w:w="2160" w:type="dxa"/>
            <w:noWrap w:val="0"/>
            <w:vAlign w:val="center"/>
          </w:tcPr>
          <w:p w14:paraId="1EE169A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是否允许递交多个</w:t>
            </w:r>
          </w:p>
          <w:p w14:paraId="7698A81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备选投标方案</w:t>
            </w:r>
          </w:p>
        </w:tc>
        <w:tc>
          <w:tcPr>
            <w:tcW w:w="6530" w:type="dxa"/>
            <w:noWrap w:val="0"/>
            <w:vAlign w:val="center"/>
          </w:tcPr>
          <w:p w14:paraId="084AD4AE">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不允许</w:t>
            </w:r>
          </w:p>
        </w:tc>
      </w:tr>
      <w:tr w14:paraId="605F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1" w:hRule="atLeast"/>
          <w:jc w:val="center"/>
        </w:trPr>
        <w:tc>
          <w:tcPr>
            <w:tcW w:w="811" w:type="dxa"/>
            <w:noWrap w:val="0"/>
            <w:vAlign w:val="center"/>
          </w:tcPr>
          <w:p w14:paraId="1AD61B1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w:t>
            </w:r>
          </w:p>
        </w:tc>
        <w:tc>
          <w:tcPr>
            <w:tcW w:w="2160" w:type="dxa"/>
            <w:noWrap w:val="0"/>
            <w:vAlign w:val="center"/>
          </w:tcPr>
          <w:p w14:paraId="391AAD2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投标保证金</w:t>
            </w:r>
          </w:p>
        </w:tc>
        <w:tc>
          <w:tcPr>
            <w:tcW w:w="6530" w:type="dxa"/>
            <w:noWrap w:val="0"/>
            <w:vAlign w:val="center"/>
          </w:tcPr>
          <w:p w14:paraId="3FE4DEF2">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是否要求投标人递交投标保证金：要求</w:t>
            </w:r>
          </w:p>
          <w:p w14:paraId="47D6ED13">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保证金数额（按照预算金额2%以内的整数计算）：</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000元</w:t>
            </w:r>
          </w:p>
          <w:p w14:paraId="5C91210C">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交款</w:t>
            </w:r>
            <w:r>
              <w:rPr>
                <w:rFonts w:hint="eastAsia" w:ascii="宋体" w:hAnsi="宋体" w:eastAsia="宋体" w:cs="宋体"/>
                <w:color w:val="auto"/>
                <w:sz w:val="22"/>
                <w:szCs w:val="22"/>
                <w:highlight w:val="none"/>
                <w:lang w:val="en-US" w:eastAsia="zh-CN"/>
              </w:rPr>
              <w:t>方式：以支票、汇票、本票或者金融机构、担保机构出具的保函等非现金形式提交。（推广电子保函）</w:t>
            </w:r>
          </w:p>
          <w:p w14:paraId="18D102C7">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账户名称：新疆长润泽建设工程管理有限公司</w:t>
            </w:r>
          </w:p>
          <w:p w14:paraId="11E96248">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开户行:中信银行股份有限公司伊犁分行</w:t>
            </w:r>
          </w:p>
          <w:p w14:paraId="215F0B1A">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账号：8113701012700221619</w:t>
            </w:r>
          </w:p>
          <w:p w14:paraId="699FE493">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行号：302898000</w:t>
            </w:r>
            <w:r>
              <w:rPr>
                <w:rFonts w:hint="eastAsia" w:ascii="宋体" w:hAnsi="宋体" w:cs="宋体"/>
                <w:color w:val="auto"/>
                <w:sz w:val="22"/>
                <w:szCs w:val="22"/>
                <w:highlight w:val="none"/>
                <w:lang w:val="en-US" w:eastAsia="zh-CN"/>
              </w:rPr>
              <w:t>110</w:t>
            </w:r>
          </w:p>
          <w:p w14:paraId="49B18828">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在递交的投标保证金转账单附注说明中写清：项目名称（有标段号的需注明标段号），投标保证金递交截止时间：同提交响应文件截止时间（以银行到账时间为准），逾期未交或逾期到账视为放弃投标。</w:t>
            </w:r>
          </w:p>
          <w:p w14:paraId="2FA71275">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新疆政府采购电子保函操作流程：登录新疆政府采购网,进入“政采贷/电子保函”模块，即可在线完成电子保函的申请。若有任何问题，可以联系政采云金融服务专属客服，电话：95763。</w:t>
            </w:r>
          </w:p>
          <w:p w14:paraId="2931F0F7">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潜在供应商可以自主选择以上任一种递交方式提交保证金。</w:t>
            </w:r>
          </w:p>
        </w:tc>
      </w:tr>
      <w:tr w14:paraId="1D2B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exact"/>
          <w:jc w:val="center"/>
        </w:trPr>
        <w:tc>
          <w:tcPr>
            <w:tcW w:w="811" w:type="dxa"/>
            <w:noWrap w:val="0"/>
            <w:vAlign w:val="center"/>
          </w:tcPr>
          <w:p w14:paraId="45A6A9C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27</w:t>
            </w:r>
          </w:p>
        </w:tc>
        <w:tc>
          <w:tcPr>
            <w:tcW w:w="2160" w:type="dxa"/>
            <w:noWrap w:val="0"/>
            <w:vAlign w:val="center"/>
          </w:tcPr>
          <w:p w14:paraId="575600C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不予退还投标</w:t>
            </w:r>
          </w:p>
          <w:p w14:paraId="42AB323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保证金的情形</w:t>
            </w:r>
          </w:p>
        </w:tc>
        <w:tc>
          <w:tcPr>
            <w:tcW w:w="6530" w:type="dxa"/>
            <w:noWrap w:val="0"/>
            <w:vAlign w:val="center"/>
          </w:tcPr>
          <w:p w14:paraId="6215B83A">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w:t>
            </w:r>
            <w:r>
              <w:rPr>
                <w:rFonts w:hint="eastAsia" w:ascii="宋体" w:hAnsi="宋体" w:eastAsia="宋体" w:cs="宋体"/>
                <w:color w:val="auto"/>
                <w:sz w:val="22"/>
                <w:szCs w:val="22"/>
                <w:highlight w:val="none"/>
              </w:rPr>
              <w:t>投标人须知第4.5.2.2条款</w:t>
            </w:r>
          </w:p>
        </w:tc>
      </w:tr>
      <w:tr w14:paraId="568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exact"/>
          <w:jc w:val="center"/>
        </w:trPr>
        <w:tc>
          <w:tcPr>
            <w:tcW w:w="811" w:type="dxa"/>
            <w:noWrap w:val="0"/>
            <w:vAlign w:val="center"/>
          </w:tcPr>
          <w:p w14:paraId="3718562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2160" w:type="dxa"/>
            <w:noWrap w:val="0"/>
            <w:vAlign w:val="center"/>
          </w:tcPr>
          <w:p w14:paraId="5533866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解密响应文件现场</w:t>
            </w:r>
          </w:p>
          <w:p w14:paraId="58C4824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是否提供样品</w:t>
            </w:r>
          </w:p>
        </w:tc>
        <w:tc>
          <w:tcPr>
            <w:tcW w:w="6530" w:type="dxa"/>
            <w:noWrap w:val="0"/>
            <w:vAlign w:val="center"/>
          </w:tcPr>
          <w:p w14:paraId="54D2102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2" w:char="0052"/>
            </w:r>
            <w:r>
              <w:rPr>
                <w:rFonts w:hint="eastAsia" w:ascii="宋体" w:hAnsi="宋体" w:eastAsia="宋体" w:cs="宋体"/>
                <w:color w:val="auto"/>
                <w:kern w:val="0"/>
                <w:sz w:val="22"/>
                <w:szCs w:val="22"/>
                <w:highlight w:val="none"/>
                <w:lang w:val="zh-CN" w:eastAsia="zh-CN" w:bidi="ar-SA"/>
              </w:rPr>
              <w:t xml:space="preserve">  不需要</w:t>
            </w:r>
          </w:p>
          <w:p w14:paraId="20026786">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kern w:val="0"/>
                <w:sz w:val="22"/>
                <w:szCs w:val="22"/>
                <w:highlight w:val="none"/>
                <w:lang w:val="zh-CN" w:eastAsia="zh-CN" w:bidi="ar-SA"/>
              </w:rPr>
              <w:t>□  需要，样品要求：</w:t>
            </w:r>
          </w:p>
        </w:tc>
      </w:tr>
      <w:tr w14:paraId="1E3F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exact"/>
          <w:jc w:val="center"/>
        </w:trPr>
        <w:tc>
          <w:tcPr>
            <w:tcW w:w="811" w:type="dxa"/>
            <w:noWrap w:val="0"/>
            <w:vAlign w:val="center"/>
          </w:tcPr>
          <w:p w14:paraId="2639F2A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29</w:t>
            </w:r>
          </w:p>
        </w:tc>
        <w:tc>
          <w:tcPr>
            <w:tcW w:w="2160" w:type="dxa"/>
            <w:noWrap w:val="0"/>
            <w:vAlign w:val="center"/>
          </w:tcPr>
          <w:p w14:paraId="7063000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投标文件签字</w:t>
            </w:r>
          </w:p>
          <w:p w14:paraId="591FE18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或盖章要求</w:t>
            </w:r>
          </w:p>
        </w:tc>
        <w:tc>
          <w:tcPr>
            <w:tcW w:w="6530" w:type="dxa"/>
            <w:noWrap w:val="0"/>
            <w:vAlign w:val="center"/>
          </w:tcPr>
          <w:p w14:paraId="0AC8573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投标人必须按照招标文件的规定和要求签字、盖章</w:t>
            </w:r>
          </w:p>
        </w:tc>
      </w:tr>
      <w:tr w14:paraId="65C8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9" w:hRule="exact"/>
          <w:jc w:val="center"/>
        </w:trPr>
        <w:tc>
          <w:tcPr>
            <w:tcW w:w="811" w:type="dxa"/>
            <w:noWrap w:val="0"/>
            <w:vAlign w:val="center"/>
          </w:tcPr>
          <w:p w14:paraId="30BDAE6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30</w:t>
            </w:r>
          </w:p>
        </w:tc>
        <w:tc>
          <w:tcPr>
            <w:tcW w:w="2160" w:type="dxa"/>
            <w:noWrap w:val="0"/>
            <w:vAlign w:val="center"/>
          </w:tcPr>
          <w:p w14:paraId="083FC2A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w:t>
            </w:r>
          </w:p>
        </w:tc>
        <w:tc>
          <w:tcPr>
            <w:tcW w:w="6530" w:type="dxa"/>
            <w:noWrap w:val="0"/>
            <w:vAlign w:val="center"/>
          </w:tcPr>
          <w:p w14:paraId="3BFF1058">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采用不见面开标：</w:t>
            </w:r>
          </w:p>
          <w:p w14:paraId="25B837E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1．本项目采用不见面开标、投标人需要递交电子投标文件，加密的电子投标文件，在投标截止时间前通过新疆政府采购网政采云平台上传到指定位置。无需递交纸质文件。</w:t>
            </w:r>
          </w:p>
          <w:p w14:paraId="475EBE08">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本项目采用远程不见面交易的模式。开标当日，投标人无需到达开标现场，仅需在任意地点通过新疆政府采购网政采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83CD6A5">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3.远程开标前，投标人务必在新疆政府采购网政采云平台（http://ccgp-bingtuan.gov.cn）投标文件上传模块中使用“模拟解密”功能，验证本机远程自助解密环境。</w:t>
            </w:r>
          </w:p>
        </w:tc>
      </w:tr>
      <w:tr w14:paraId="4BDA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5" w:hRule="atLeast"/>
          <w:jc w:val="center"/>
        </w:trPr>
        <w:tc>
          <w:tcPr>
            <w:tcW w:w="811" w:type="dxa"/>
            <w:noWrap w:val="0"/>
            <w:vAlign w:val="center"/>
          </w:tcPr>
          <w:p w14:paraId="4FDDACC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2160" w:type="dxa"/>
            <w:noWrap w:val="0"/>
            <w:vAlign w:val="center"/>
          </w:tcPr>
          <w:p w14:paraId="3034993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提交投标文件地点</w:t>
            </w:r>
          </w:p>
        </w:tc>
        <w:tc>
          <w:tcPr>
            <w:tcW w:w="6530" w:type="dxa"/>
            <w:noWrap w:val="0"/>
            <w:vAlign w:val="center"/>
          </w:tcPr>
          <w:p w14:paraId="181F6B46">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请登录政采云投标客户端，在截止时间前将加密的电子投标文件（.jmbs）上传到新疆政府采购网对应的位置（逾期上传或者未上传指定地点的响应文件，采购人不予受理）。</w:t>
            </w:r>
          </w:p>
          <w:p w14:paraId="0AB2B3F8">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采用不见面开标：</w:t>
            </w:r>
          </w:p>
          <w:p w14:paraId="377F7F1F">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投标地点：政采云远程不见面开标大厅</w:t>
            </w:r>
          </w:p>
          <w:p w14:paraId="62C5F5B3">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不见面开标默认解密时长：</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val="zh-CN"/>
              </w:rPr>
              <w:t>分钟</w:t>
            </w:r>
          </w:p>
          <w:p w14:paraId="64B14F18">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关于能否延长解密时间的约定：开标现场若发现默认解密时长不足，由采购人决定是否延长解密时长。</w:t>
            </w:r>
          </w:p>
        </w:tc>
      </w:tr>
      <w:tr w14:paraId="3204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exact"/>
          <w:jc w:val="center"/>
        </w:trPr>
        <w:tc>
          <w:tcPr>
            <w:tcW w:w="811" w:type="dxa"/>
            <w:noWrap w:val="0"/>
            <w:vAlign w:val="center"/>
          </w:tcPr>
          <w:p w14:paraId="1A1DF77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w:t>
            </w:r>
          </w:p>
        </w:tc>
        <w:tc>
          <w:tcPr>
            <w:tcW w:w="2160" w:type="dxa"/>
            <w:noWrap w:val="0"/>
            <w:vAlign w:val="center"/>
          </w:tcPr>
          <w:p w14:paraId="6ECBBCA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i w:val="0"/>
                <w:iCs w:val="0"/>
                <w:color w:val="auto"/>
                <w:sz w:val="22"/>
                <w:szCs w:val="22"/>
                <w:highlight w:val="none"/>
                <w:u w:val="none"/>
                <w:lang w:val="zh-CN"/>
              </w:rPr>
            </w:pPr>
            <w:r>
              <w:rPr>
                <w:rFonts w:hint="eastAsia" w:ascii="宋体" w:hAnsi="宋体" w:eastAsia="宋体" w:cs="宋体"/>
                <w:i w:val="0"/>
                <w:iCs w:val="0"/>
                <w:color w:val="auto"/>
                <w:sz w:val="22"/>
                <w:szCs w:val="22"/>
                <w:highlight w:val="none"/>
                <w:u w:val="none"/>
                <w:lang w:val="zh-CN"/>
              </w:rPr>
              <w:t>投标截止时间</w:t>
            </w:r>
          </w:p>
        </w:tc>
        <w:tc>
          <w:tcPr>
            <w:tcW w:w="6530" w:type="dxa"/>
            <w:noWrap w:val="0"/>
            <w:vAlign w:val="center"/>
          </w:tcPr>
          <w:p w14:paraId="4387AC1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2"/>
                <w:sz w:val="22"/>
                <w:szCs w:val="22"/>
                <w:highlight w:val="none"/>
                <w:u w:val="none"/>
                <w:lang w:val="en-US" w:eastAsia="zh-CN" w:bidi="ar-SA"/>
              </w:rPr>
              <w:t>2026年0</w:t>
            </w:r>
            <w:r>
              <w:rPr>
                <w:rFonts w:hint="eastAsia" w:cs="宋体"/>
                <w:i w:val="0"/>
                <w:iCs w:val="0"/>
                <w:color w:val="auto"/>
                <w:kern w:val="2"/>
                <w:sz w:val="22"/>
                <w:szCs w:val="22"/>
                <w:highlight w:val="none"/>
                <w:u w:val="none"/>
                <w:lang w:val="en-US" w:eastAsia="zh-CN" w:bidi="ar-SA"/>
              </w:rPr>
              <w:t>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w:t>
            </w:r>
            <w:r>
              <w:rPr>
                <w:rFonts w:hint="eastAsia" w:cs="宋体"/>
                <w:i w:val="0"/>
                <w:iCs w:val="0"/>
                <w:color w:val="auto"/>
                <w:kern w:val="2"/>
                <w:sz w:val="22"/>
                <w:szCs w:val="22"/>
                <w:highlight w:val="none"/>
                <w:u w:val="none"/>
                <w:lang w:val="en-US" w:eastAsia="zh-CN" w:bidi="ar-SA"/>
              </w:rPr>
              <w:t>6</w:t>
            </w:r>
            <w:r>
              <w:rPr>
                <w:rFonts w:hint="eastAsia" w:ascii="宋体" w:hAnsi="宋体" w:eastAsia="宋体" w:cs="宋体"/>
                <w:i w:val="0"/>
                <w:iCs w:val="0"/>
                <w:color w:val="auto"/>
                <w:kern w:val="2"/>
                <w:sz w:val="22"/>
                <w:szCs w:val="22"/>
                <w:highlight w:val="none"/>
                <w:u w:val="none"/>
                <w:lang w:val="en-US" w:eastAsia="zh-CN" w:bidi="ar-SA"/>
              </w:rPr>
              <w:t>点</w:t>
            </w:r>
            <w:r>
              <w:rPr>
                <w:rFonts w:hint="eastAsia" w:cs="宋体"/>
                <w:i w:val="0"/>
                <w:iCs w:val="0"/>
                <w:color w:val="auto"/>
                <w:kern w:val="2"/>
                <w:sz w:val="22"/>
                <w:szCs w:val="22"/>
                <w:highlight w:val="none"/>
                <w:u w:val="none"/>
                <w:lang w:val="en-US" w:eastAsia="zh-CN" w:bidi="ar-SA"/>
              </w:rPr>
              <w:t>3</w:t>
            </w:r>
            <w:r>
              <w:rPr>
                <w:rFonts w:hint="eastAsia" w:ascii="宋体" w:hAnsi="宋体" w:eastAsia="宋体" w:cs="宋体"/>
                <w:i w:val="0"/>
                <w:iCs w:val="0"/>
                <w:color w:val="auto"/>
                <w:kern w:val="2"/>
                <w:sz w:val="22"/>
                <w:szCs w:val="22"/>
                <w:highlight w:val="none"/>
                <w:u w:val="none"/>
                <w:lang w:val="en-US" w:eastAsia="zh-CN" w:bidi="ar-SA"/>
              </w:rPr>
              <w:t>0分（北京时间）</w:t>
            </w:r>
            <w:r>
              <w:rPr>
                <w:rFonts w:hint="eastAsia" w:ascii="宋体" w:hAnsi="宋体" w:eastAsia="宋体" w:cs="宋体"/>
                <w:i w:val="0"/>
                <w:iCs w:val="0"/>
                <w:color w:val="auto"/>
                <w:sz w:val="22"/>
                <w:szCs w:val="22"/>
                <w:highlight w:val="none"/>
                <w:u w:val="none"/>
              </w:rPr>
              <w:t>（如有变动另行通知）</w:t>
            </w:r>
          </w:p>
        </w:tc>
      </w:tr>
      <w:tr w14:paraId="2019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exact"/>
          <w:jc w:val="center"/>
        </w:trPr>
        <w:tc>
          <w:tcPr>
            <w:tcW w:w="811" w:type="dxa"/>
            <w:noWrap w:val="0"/>
            <w:vAlign w:val="center"/>
          </w:tcPr>
          <w:p w14:paraId="62A7215F">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33</w:t>
            </w:r>
          </w:p>
        </w:tc>
        <w:tc>
          <w:tcPr>
            <w:tcW w:w="2160" w:type="dxa"/>
            <w:noWrap w:val="0"/>
            <w:vAlign w:val="center"/>
          </w:tcPr>
          <w:p w14:paraId="16CEFFF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递交投标文件地点</w:t>
            </w:r>
          </w:p>
        </w:tc>
        <w:tc>
          <w:tcPr>
            <w:tcW w:w="6530" w:type="dxa"/>
            <w:noWrap w:val="0"/>
            <w:vAlign w:val="center"/>
          </w:tcPr>
          <w:p w14:paraId="3BCD4A06">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请登录政采云投标客户端，在截止时间前将加密的电子投标文件（.jmbs）上传到新疆政府采购网对应的位置（逾期上传或者未上传指定地点的投标文件，采购人不予受理）</w:t>
            </w:r>
          </w:p>
        </w:tc>
      </w:tr>
      <w:tr w14:paraId="3FFC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811" w:type="dxa"/>
            <w:noWrap w:val="0"/>
            <w:vAlign w:val="center"/>
          </w:tcPr>
          <w:p w14:paraId="662BAE65">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34</w:t>
            </w:r>
          </w:p>
        </w:tc>
        <w:tc>
          <w:tcPr>
            <w:tcW w:w="2160" w:type="dxa"/>
            <w:noWrap w:val="0"/>
            <w:vAlign w:val="center"/>
          </w:tcPr>
          <w:p w14:paraId="38E6F87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投标文件是否退还</w:t>
            </w:r>
          </w:p>
        </w:tc>
        <w:tc>
          <w:tcPr>
            <w:tcW w:w="6530" w:type="dxa"/>
            <w:noWrap w:val="0"/>
            <w:vAlign w:val="center"/>
          </w:tcPr>
          <w:p w14:paraId="590617E2">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7AB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811" w:type="dxa"/>
            <w:noWrap w:val="0"/>
            <w:vAlign w:val="center"/>
          </w:tcPr>
          <w:p w14:paraId="6C86A7B2">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35</w:t>
            </w:r>
          </w:p>
        </w:tc>
        <w:tc>
          <w:tcPr>
            <w:tcW w:w="2160" w:type="dxa"/>
            <w:noWrap w:val="0"/>
            <w:vAlign w:val="center"/>
          </w:tcPr>
          <w:p w14:paraId="7D5E938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开标时间和地点</w:t>
            </w:r>
          </w:p>
        </w:tc>
        <w:tc>
          <w:tcPr>
            <w:tcW w:w="6530" w:type="dxa"/>
            <w:noWrap w:val="0"/>
            <w:vAlign w:val="center"/>
          </w:tcPr>
          <w:p w14:paraId="416BE395">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开标时间（解密）：同投标截止时间</w:t>
            </w:r>
          </w:p>
          <w:p w14:paraId="307465D4">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开标地点：政采云电子开标大厅</w:t>
            </w:r>
          </w:p>
        </w:tc>
      </w:tr>
      <w:tr w14:paraId="3730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00E6B48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36</w:t>
            </w:r>
          </w:p>
        </w:tc>
        <w:tc>
          <w:tcPr>
            <w:tcW w:w="2160" w:type="dxa"/>
            <w:noWrap w:val="0"/>
            <w:vAlign w:val="center"/>
          </w:tcPr>
          <w:p w14:paraId="7E86615F">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评标委员会的组建</w:t>
            </w:r>
          </w:p>
        </w:tc>
        <w:tc>
          <w:tcPr>
            <w:tcW w:w="6530" w:type="dxa"/>
            <w:noWrap w:val="0"/>
            <w:vAlign w:val="center"/>
          </w:tcPr>
          <w:p w14:paraId="4A703114">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评标委员会构成形式、人数，评标专家确定方式：</w:t>
            </w:r>
          </w:p>
          <w:p w14:paraId="44E5723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详见投标人须知第8.1.1条款</w:t>
            </w:r>
          </w:p>
        </w:tc>
      </w:tr>
      <w:tr w14:paraId="3D1E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012D8447">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37</w:t>
            </w:r>
          </w:p>
        </w:tc>
        <w:tc>
          <w:tcPr>
            <w:tcW w:w="2160" w:type="dxa"/>
            <w:noWrap w:val="0"/>
            <w:vAlign w:val="center"/>
          </w:tcPr>
          <w:p w14:paraId="29BF30B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评标方法及标准</w:t>
            </w:r>
          </w:p>
        </w:tc>
        <w:tc>
          <w:tcPr>
            <w:tcW w:w="6530" w:type="dxa"/>
            <w:noWrap w:val="0"/>
            <w:vAlign w:val="center"/>
          </w:tcPr>
          <w:p w14:paraId="04DDE811">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详见第三章评标方法</w:t>
            </w:r>
          </w:p>
        </w:tc>
      </w:tr>
      <w:tr w14:paraId="0E44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811" w:type="dxa"/>
            <w:noWrap w:val="0"/>
            <w:vAlign w:val="center"/>
          </w:tcPr>
          <w:p w14:paraId="559581C4">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38</w:t>
            </w:r>
          </w:p>
        </w:tc>
        <w:tc>
          <w:tcPr>
            <w:tcW w:w="2160" w:type="dxa"/>
            <w:noWrap w:val="0"/>
            <w:vAlign w:val="center"/>
          </w:tcPr>
          <w:p w14:paraId="74DED0B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评标委员会推荐中标候选人的人数</w:t>
            </w:r>
          </w:p>
        </w:tc>
        <w:tc>
          <w:tcPr>
            <w:tcW w:w="6530" w:type="dxa"/>
            <w:noWrap w:val="0"/>
            <w:vAlign w:val="center"/>
          </w:tcPr>
          <w:p w14:paraId="2D49E8FF">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p>
        </w:tc>
      </w:tr>
      <w:tr w14:paraId="273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811" w:type="dxa"/>
            <w:noWrap w:val="0"/>
            <w:vAlign w:val="center"/>
          </w:tcPr>
          <w:p w14:paraId="302FF343">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39</w:t>
            </w:r>
          </w:p>
        </w:tc>
        <w:tc>
          <w:tcPr>
            <w:tcW w:w="2160" w:type="dxa"/>
            <w:noWrap w:val="0"/>
            <w:vAlign w:val="center"/>
          </w:tcPr>
          <w:p w14:paraId="1CB8DA0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是否授权评标委员会确定中标人</w:t>
            </w:r>
          </w:p>
        </w:tc>
        <w:tc>
          <w:tcPr>
            <w:tcW w:w="6530" w:type="dxa"/>
            <w:noWrap w:val="0"/>
            <w:vAlign w:val="center"/>
          </w:tcPr>
          <w:p w14:paraId="5F985AFD">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否</w:t>
            </w:r>
          </w:p>
        </w:tc>
      </w:tr>
      <w:tr w14:paraId="1A9A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811" w:type="dxa"/>
            <w:noWrap w:val="0"/>
            <w:vAlign w:val="center"/>
          </w:tcPr>
          <w:p w14:paraId="6B9E6AEE">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40</w:t>
            </w:r>
          </w:p>
        </w:tc>
        <w:tc>
          <w:tcPr>
            <w:tcW w:w="2160" w:type="dxa"/>
            <w:noWrap w:val="0"/>
            <w:vAlign w:val="center"/>
          </w:tcPr>
          <w:p w14:paraId="28D330B5">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中标公告的时间、</w:t>
            </w:r>
          </w:p>
          <w:p w14:paraId="7641D87D">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媒介和期限</w:t>
            </w:r>
          </w:p>
        </w:tc>
        <w:tc>
          <w:tcPr>
            <w:tcW w:w="6530" w:type="dxa"/>
            <w:noWrap w:val="0"/>
            <w:vAlign w:val="center"/>
          </w:tcPr>
          <w:p w14:paraId="273EAC8C">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公告时间：</w:t>
            </w:r>
            <w:r>
              <w:rPr>
                <w:rFonts w:hint="eastAsia" w:ascii="宋体" w:hAnsi="宋体" w:eastAsia="宋体" w:cs="宋体"/>
                <w:color w:val="auto"/>
                <w:sz w:val="22"/>
                <w:szCs w:val="22"/>
                <w:highlight w:val="none"/>
              </w:rPr>
              <w:t>在确定中标人之日起2个工作日内</w:t>
            </w:r>
          </w:p>
          <w:p w14:paraId="47A52256">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公告媒介：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eastAsia="zh-CN"/>
              </w:rPr>
              <w:t>新疆政府采购网》(http://www.ccgp-xinjiang.gov.cn/)</w:t>
            </w:r>
          </w:p>
          <w:p w14:paraId="590FFAB9">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公告期限：1个工作日</w:t>
            </w:r>
          </w:p>
        </w:tc>
      </w:tr>
      <w:tr w14:paraId="307C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811" w:type="dxa"/>
            <w:noWrap w:val="0"/>
            <w:vAlign w:val="center"/>
          </w:tcPr>
          <w:p w14:paraId="00768C72">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41</w:t>
            </w:r>
          </w:p>
        </w:tc>
        <w:tc>
          <w:tcPr>
            <w:tcW w:w="2160" w:type="dxa"/>
            <w:noWrap w:val="0"/>
            <w:vAlign w:val="center"/>
          </w:tcPr>
          <w:p w14:paraId="13CBA260">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w:t>
            </w:r>
          </w:p>
        </w:tc>
        <w:tc>
          <w:tcPr>
            <w:tcW w:w="6530" w:type="dxa"/>
            <w:noWrap w:val="0"/>
            <w:vAlign w:val="center"/>
          </w:tcPr>
          <w:p w14:paraId="4D59D5EB">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lang w:val="zh-CN"/>
              </w:rPr>
              <w:t xml:space="preserve"> 需要   </w:t>
            </w: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lang w:val="zh-CN"/>
              </w:rPr>
              <w:t>不需要</w:t>
            </w:r>
          </w:p>
          <w:p w14:paraId="062CF89C">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履约保证金的形式：履约保证金（现金转账、支票或银行汇票等）</w:t>
            </w:r>
          </w:p>
          <w:p w14:paraId="53EBC9B5">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履约保证金的金额：签约合同价款的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；投标人必须在收到中标通知书</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zh-CN"/>
              </w:rPr>
              <w:t>个工作日内（签订合同之前）汇入采购人指定账户，如中标后不能按规定缴纳履约保证金，招标人将有充分的理由解除中标人的中标资格并没收其投标保证金。</w:t>
            </w:r>
          </w:p>
          <w:p w14:paraId="010170E3">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履约保证金退还时间：验收完成后，资料齐全、遗留问题全部解决后退还（不计利息）</w:t>
            </w:r>
          </w:p>
        </w:tc>
      </w:tr>
      <w:tr w14:paraId="3B95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811" w:type="dxa"/>
            <w:noWrap w:val="0"/>
            <w:vAlign w:val="center"/>
          </w:tcPr>
          <w:p w14:paraId="0473E1A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42</w:t>
            </w:r>
          </w:p>
        </w:tc>
        <w:tc>
          <w:tcPr>
            <w:tcW w:w="2160" w:type="dxa"/>
            <w:noWrap w:val="0"/>
            <w:vAlign w:val="center"/>
          </w:tcPr>
          <w:p w14:paraId="0D235D5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投标人信用信息</w:t>
            </w:r>
          </w:p>
          <w:p w14:paraId="5AEEA8F6">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查询截止时点</w:t>
            </w:r>
          </w:p>
        </w:tc>
        <w:tc>
          <w:tcPr>
            <w:tcW w:w="6530" w:type="dxa"/>
            <w:noWrap w:val="0"/>
            <w:vAlign w:val="center"/>
          </w:tcPr>
          <w:p w14:paraId="1982496E">
            <w:pPr>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投标文件递交截止时间当日</w:t>
            </w:r>
          </w:p>
        </w:tc>
      </w:tr>
      <w:tr w14:paraId="3968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811" w:type="dxa"/>
            <w:noWrap w:val="0"/>
            <w:vAlign w:val="center"/>
          </w:tcPr>
          <w:p w14:paraId="58F20D11">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43</w:t>
            </w:r>
          </w:p>
        </w:tc>
        <w:tc>
          <w:tcPr>
            <w:tcW w:w="2160" w:type="dxa"/>
            <w:noWrap w:val="0"/>
            <w:vAlign w:val="center"/>
          </w:tcPr>
          <w:p w14:paraId="117725D3">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资格审查时是否</w:t>
            </w:r>
          </w:p>
          <w:p w14:paraId="1E788442">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核验证件</w:t>
            </w:r>
          </w:p>
        </w:tc>
        <w:tc>
          <w:tcPr>
            <w:tcW w:w="6530" w:type="dxa"/>
            <w:noWrap w:val="0"/>
            <w:vAlign w:val="center"/>
          </w:tcPr>
          <w:p w14:paraId="4A1C7D8C">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需要  </w:t>
            </w: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rPr>
              <w:t xml:space="preserve"> 不需要</w:t>
            </w:r>
          </w:p>
        </w:tc>
      </w:tr>
      <w:tr w14:paraId="6B1A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811" w:type="dxa"/>
            <w:noWrap w:val="0"/>
            <w:vAlign w:val="center"/>
          </w:tcPr>
          <w:p w14:paraId="0DC071A7">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44</w:t>
            </w:r>
          </w:p>
        </w:tc>
        <w:tc>
          <w:tcPr>
            <w:tcW w:w="2160" w:type="dxa"/>
            <w:noWrap w:val="0"/>
            <w:vAlign w:val="center"/>
          </w:tcPr>
          <w:p w14:paraId="61324D44">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开标现场是否</w:t>
            </w:r>
          </w:p>
          <w:p w14:paraId="12351185">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演示与述标</w:t>
            </w:r>
          </w:p>
        </w:tc>
        <w:tc>
          <w:tcPr>
            <w:tcW w:w="6530" w:type="dxa"/>
            <w:noWrap w:val="0"/>
            <w:vAlign w:val="center"/>
          </w:tcPr>
          <w:p w14:paraId="37302DE9">
            <w:pPr>
              <w:keepNext w:val="0"/>
              <w:keepLines w:val="0"/>
              <w:pageBreakBefore w:val="0"/>
              <w:widowControl w:val="0"/>
              <w:tabs>
                <w:tab w:val="left" w:pos="279"/>
              </w:tabs>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rPr>
              <w:t xml:space="preserve"> 需要  </w:t>
            </w: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不需要</w:t>
            </w:r>
          </w:p>
        </w:tc>
      </w:tr>
      <w:tr w14:paraId="3DD1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3E61851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45</w:t>
            </w:r>
          </w:p>
        </w:tc>
        <w:tc>
          <w:tcPr>
            <w:tcW w:w="2160" w:type="dxa"/>
            <w:noWrap w:val="0"/>
            <w:vAlign w:val="center"/>
          </w:tcPr>
          <w:p w14:paraId="6FD377D4">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开标现场是否</w:t>
            </w:r>
          </w:p>
          <w:p w14:paraId="43D6EAC8">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提供样品</w:t>
            </w:r>
          </w:p>
        </w:tc>
        <w:tc>
          <w:tcPr>
            <w:tcW w:w="6530" w:type="dxa"/>
            <w:noWrap w:val="0"/>
            <w:vAlign w:val="center"/>
          </w:tcPr>
          <w:p w14:paraId="568597D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不需要</w:t>
            </w:r>
          </w:p>
        </w:tc>
      </w:tr>
      <w:tr w14:paraId="2F94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811" w:type="dxa"/>
            <w:noWrap w:val="0"/>
            <w:vAlign w:val="center"/>
          </w:tcPr>
          <w:p w14:paraId="4B965B99">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w:t>
            </w:r>
          </w:p>
        </w:tc>
        <w:tc>
          <w:tcPr>
            <w:tcW w:w="2160" w:type="dxa"/>
            <w:noWrap w:val="0"/>
            <w:vAlign w:val="center"/>
          </w:tcPr>
          <w:p w14:paraId="19F6CDD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资格要求</w:t>
            </w:r>
          </w:p>
        </w:tc>
        <w:tc>
          <w:tcPr>
            <w:tcW w:w="6530" w:type="dxa"/>
            <w:noWrap w:val="0"/>
            <w:vAlign w:val="center"/>
          </w:tcPr>
          <w:p w14:paraId="74C3464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1.满足《中华人民共和国政府采购法》第二十二条规定：</w:t>
            </w:r>
          </w:p>
          <w:p w14:paraId="150B48C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（1）投标人具有独立承担民事责任和履行合同能力，持有工商行政管理部门核发的有效期内营业执照；</w:t>
            </w:r>
          </w:p>
          <w:p w14:paraId="0C73221B">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（2）投标人提供法定代表人授权委托书【法定代表人参加提供法定代表人身份证明书】；</w:t>
            </w:r>
          </w:p>
          <w:p w14:paraId="221F2FF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5401C3E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（4）投标人提供近半年内已缴存的至少一个月的社会保障资金缴存单据或社保机构开具的社会保险参保缴费情况证明，依法不需要缴纳社会保障资金的投标人应提供相关文件证明或投标人提供承诺书；</w:t>
            </w:r>
          </w:p>
          <w:p w14:paraId="6452791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（5）投标人提供2024（或2025）年度的财务审计报告(带可查二维码)(成立不足一年的投标人提供成立至今的财务报表，包含资产负债表、现金流量表、利润表)或银行出具的资信证明；</w:t>
            </w:r>
          </w:p>
          <w:p w14:paraId="5769A71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（6）投标人提供近半年内已缴纳的至少一个月的纳税证明或完税证明，纳税证明或完税证明上应有代收机构或税务机关的公章，依法免税的投标人应提供相关文件证明；</w:t>
            </w:r>
          </w:p>
          <w:p w14:paraId="2DAC9C2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（7）投标人应具备良好的商业信誉，提供参加政府采购活动前3年内在经营活动中没有重大违法记录的书面声明；</w:t>
            </w:r>
          </w:p>
          <w:p w14:paraId="329FF938">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eastAsia="zh-CN"/>
              </w:rPr>
              <w:t>具备履行合同所必需的设备和专业技术能力的证明；</w:t>
            </w:r>
          </w:p>
          <w:p w14:paraId="4FDC519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投标人提供投标保证金足额缴纳凭证。</w:t>
            </w:r>
          </w:p>
          <w:p w14:paraId="39D53F7B">
            <w:pPr>
              <w:keepNext w:val="0"/>
              <w:keepLines w:val="0"/>
              <w:pageBreakBefore w:val="0"/>
              <w:widowControl w:val="0"/>
              <w:numPr>
                <w:ilvl w:val="0"/>
                <w:numId w:val="0"/>
              </w:numPr>
              <w:kinsoku/>
              <w:wordWrap/>
              <w:overflowPunct/>
              <w:topLinePunct w:val="0"/>
              <w:bidi w:val="0"/>
              <w:adjustRightInd/>
              <w:snapToGrid/>
              <w:spacing w:line="460" w:lineRule="exact"/>
              <w:ind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2.落实政府采购政策需满足的资格要求：标项1：本项目专门面向中小企业采购；</w:t>
            </w:r>
          </w:p>
          <w:p w14:paraId="57AA3903">
            <w:pPr>
              <w:keepNext w:val="0"/>
              <w:keepLines w:val="0"/>
              <w:pageBreakBefore w:val="0"/>
              <w:widowControl w:val="0"/>
              <w:numPr>
                <w:ilvl w:val="0"/>
                <w:numId w:val="0"/>
              </w:numPr>
              <w:kinsoku/>
              <w:wordWrap/>
              <w:overflowPunct/>
              <w:topLinePunct w:val="0"/>
              <w:bidi w:val="0"/>
              <w:adjustRightInd/>
              <w:snapToGrid/>
              <w:spacing w:line="460" w:lineRule="exact"/>
              <w:ind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3.本项目的特定资格要求:</w:t>
            </w:r>
            <w:r>
              <w:rPr>
                <w:rFonts w:hint="eastAsia" w:ascii="宋体" w:hAnsi="宋体" w:cs="宋体"/>
                <w:b/>
                <w:bCs/>
                <w:color w:val="auto"/>
                <w:sz w:val="22"/>
                <w:szCs w:val="22"/>
                <w:highlight w:val="none"/>
                <w:lang w:val="en-US" w:eastAsia="zh-CN"/>
              </w:rPr>
              <w:t>投标人所投肥料产品须提供有效期内的肥料登记证（代理商或经销商投标的，须提供所投产品生产企业有效肥料登记证复印件，并加盖生产企业鲜章。）</w:t>
            </w:r>
            <w:r>
              <w:rPr>
                <w:rFonts w:hint="eastAsia" w:ascii="宋体" w:hAnsi="宋体" w:eastAsia="宋体" w:cs="宋体"/>
                <w:b/>
                <w:bCs/>
                <w:color w:val="auto"/>
                <w:sz w:val="22"/>
                <w:szCs w:val="22"/>
                <w:highlight w:val="none"/>
                <w:lang w:val="en-US" w:eastAsia="zh-CN"/>
              </w:rPr>
              <w:t>。</w:t>
            </w:r>
          </w:p>
          <w:p w14:paraId="43810C60">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供应商根据采购项目的具体情况，在响应文件中应附一套完整的资格证明材料，缺少一项或某项达不到招标文件要求的按无效响应文件处理；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63A9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60273B2C">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47</w:t>
            </w:r>
          </w:p>
        </w:tc>
        <w:tc>
          <w:tcPr>
            <w:tcW w:w="2160" w:type="dxa"/>
            <w:noWrap w:val="0"/>
            <w:vAlign w:val="center"/>
          </w:tcPr>
          <w:p w14:paraId="4846A463">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所属行业</w:t>
            </w:r>
          </w:p>
        </w:tc>
        <w:tc>
          <w:tcPr>
            <w:tcW w:w="6530" w:type="dxa"/>
            <w:noWrap w:val="0"/>
            <w:vAlign w:val="center"/>
          </w:tcPr>
          <w:p w14:paraId="352A332D">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采购标的对应的中小企业划分标准所属行业为</w:t>
            </w:r>
            <w:r>
              <w:rPr>
                <w:rFonts w:hint="eastAsia" w:ascii="宋体" w:hAnsi="宋体" w:eastAsia="宋体" w:cs="宋体"/>
                <w:color w:val="auto"/>
                <w:sz w:val="22"/>
                <w:szCs w:val="22"/>
                <w:highlight w:val="none"/>
                <w:u w:val="single"/>
              </w:rPr>
              <w:t>工业</w:t>
            </w:r>
            <w:r>
              <w:rPr>
                <w:rFonts w:hint="eastAsia" w:ascii="宋体" w:hAnsi="宋体" w:eastAsia="宋体" w:cs="宋体"/>
                <w:color w:val="auto"/>
                <w:sz w:val="22"/>
                <w:szCs w:val="22"/>
                <w:highlight w:val="none"/>
              </w:rPr>
              <w:t>。</w:t>
            </w:r>
          </w:p>
          <w:p w14:paraId="48EAA36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工业（包括采矿业，制造业，电力、热力、燃气及水生产和供应业）。</w:t>
            </w:r>
            <w:r>
              <w:rPr>
                <w:rFonts w:hint="eastAsia" w:ascii="宋体" w:hAnsi="宋体" w:eastAsia="宋体" w:cs="宋体"/>
                <w:color w:val="auto"/>
                <w:sz w:val="22"/>
                <w:szCs w:val="22"/>
                <w:highlight w:val="none"/>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683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08027680">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48</w:t>
            </w:r>
          </w:p>
        </w:tc>
        <w:tc>
          <w:tcPr>
            <w:tcW w:w="2160" w:type="dxa"/>
            <w:noWrap w:val="0"/>
            <w:vAlign w:val="center"/>
          </w:tcPr>
          <w:p w14:paraId="69A34C7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核心产品</w:t>
            </w:r>
          </w:p>
        </w:tc>
        <w:tc>
          <w:tcPr>
            <w:tcW w:w="6530" w:type="dxa"/>
            <w:noWrap w:val="0"/>
            <w:vAlign w:val="center"/>
          </w:tcPr>
          <w:p w14:paraId="32E0210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1、本项目核心产品为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叶面肥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t>核心产品相同品牌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0CF1007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其他：得分相同的，按投标报价由低到高顺序排列。得分且投标报价相同的，投标文件满足招标文件全部实质性要求且按评审因素的量化指标评审得分最高的投标人为排名第一的中标候选人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eastAsia="宋体" w:cs="宋体"/>
                <w:color w:val="auto"/>
                <w:sz w:val="22"/>
                <w:szCs w:val="22"/>
                <w:highlight w:val="none"/>
                <w:lang w:eastAsia="zh-CN"/>
              </w:rPr>
              <w:t>。</w:t>
            </w:r>
          </w:p>
          <w:p w14:paraId="697A776E">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产品中标后验收过程中如果发现有不满足招标要求的、篡改参数，投标产品与交货产品不一致的，用户可以拒绝付款，并列入黑名单。</w:t>
            </w:r>
          </w:p>
        </w:tc>
      </w:tr>
      <w:tr w14:paraId="6687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1" w:type="dxa"/>
            <w:noWrap w:val="0"/>
            <w:vAlign w:val="center"/>
          </w:tcPr>
          <w:p w14:paraId="14E6DC8B">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49</w:t>
            </w:r>
          </w:p>
        </w:tc>
        <w:tc>
          <w:tcPr>
            <w:tcW w:w="2160" w:type="dxa"/>
            <w:noWrap w:val="0"/>
            <w:vAlign w:val="center"/>
          </w:tcPr>
          <w:p w14:paraId="0031AC6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其他</w:t>
            </w:r>
          </w:p>
        </w:tc>
        <w:tc>
          <w:tcPr>
            <w:tcW w:w="6530" w:type="dxa"/>
            <w:noWrap w:val="0"/>
            <w:vAlign w:val="center"/>
          </w:tcPr>
          <w:p w14:paraId="502816F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（1）政府采购评审中出现下列情形之一的，评审委员会应当启动异常低价投标（响应） 审查程序：</w:t>
            </w:r>
          </w:p>
          <w:p w14:paraId="0BFED4E0">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 </w:t>
            </w:r>
          </w:p>
          <w:p w14:paraId="3ED0395A">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 </w:t>
            </w:r>
          </w:p>
          <w:p w14:paraId="4A317712">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 </w:t>
            </w:r>
          </w:p>
          <w:p w14:paraId="61E41F87">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 </w:t>
            </w:r>
          </w:p>
          <w:p w14:paraId="7F71B167">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A68FCD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0C7217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（2）投标文件制作工具，请在新疆政府采购网政采云平台首页--下载专区--电子招投标客户端下载中进行下载。</w:t>
            </w:r>
          </w:p>
          <w:p w14:paraId="7FC20FA2">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（3）“电子投标文件”指利用新疆政府采购网政采云平台提供的“电子投标文件制作工具”编制加密的投标文件。</w:t>
            </w:r>
          </w:p>
          <w:p w14:paraId="38AC1DC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66C26398">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文件解释权：本招标文件的解释权归新疆长润泽建设工程管理有限公司所有，当对一个问题有多种解释时以采购代理机构解释为准。采购文件未作须知明示，而又有法律法规规定的，采购代理机构将依据法律法规的规定进行解释。</w:t>
            </w:r>
          </w:p>
          <w:p w14:paraId="11F770F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（6）录音录像：采购代理机构对开标、投标人资格审查和评标过程进行全程录音录像，并存档备查。</w:t>
            </w:r>
          </w:p>
          <w:p w14:paraId="73A49F1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（7）合格投标人不足3家的，不得评标，不合格的投标人，不得进入评标环节。</w:t>
            </w:r>
          </w:p>
          <w:p w14:paraId="64CFBCE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（8）所有投标单位对招标文件中所有条款如有疑问或异议或质疑请在收到招标文件时间7个工作日内以书面形式（加盖公章）递交至新疆长润泽建设工程管理有限公司，否则不予受理。</w:t>
            </w:r>
          </w:p>
          <w:p w14:paraId="669F557E">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递交方式：纸质版递交</w:t>
            </w:r>
            <w:r>
              <w:rPr>
                <w:rFonts w:hint="eastAsia" w:ascii="宋体" w:hAnsi="宋体" w:eastAsia="宋体" w:cs="宋体"/>
                <w:color w:val="auto"/>
                <w:sz w:val="22"/>
                <w:szCs w:val="22"/>
                <w:highlight w:val="none"/>
                <w:lang w:val="en-US" w:eastAsia="zh-CN"/>
              </w:rPr>
              <w:tab/>
            </w:r>
          </w:p>
          <w:p w14:paraId="35106C1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接收部门：新疆长润泽建设工程管理有限公司</w:t>
            </w:r>
          </w:p>
          <w:p w14:paraId="72699ECD">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联系电话：15299819661</w:t>
            </w:r>
          </w:p>
          <w:p w14:paraId="310468F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（9）请各投标单位认真阅读并充分响应招标文件要求，以免造成投标失败。</w:t>
            </w:r>
          </w:p>
          <w:p w14:paraId="6AD163E9">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（10）为保证本项目产品质量及良好的服务，最低报价不作为中标的唯一依据。</w:t>
            </w:r>
          </w:p>
          <w:p w14:paraId="5C077CD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招标人可拒绝与其签订合同。并将其列入政府采购黑名单库。</w:t>
            </w:r>
          </w:p>
          <w:p w14:paraId="1BBB2AE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（12）若招标文件有前后不一致的地方，以投标须知前附表为准。</w:t>
            </w:r>
          </w:p>
          <w:p w14:paraId="548F119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（13）本次采购项目属性：货物。</w:t>
            </w:r>
          </w:p>
        </w:tc>
      </w:tr>
    </w:tbl>
    <w:p w14:paraId="0B33A9F5">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2"/>
          <w:szCs w:val="22"/>
          <w:highlight w:val="none"/>
        </w:rPr>
      </w:pPr>
      <w:r>
        <w:rPr>
          <w:rFonts w:hint="eastAsia" w:ascii="宋体" w:hAnsi="宋体" w:eastAsia="宋体" w:cs="宋体"/>
          <w:color w:val="auto"/>
          <w:highlight w:val="none"/>
        </w:rPr>
        <w:br w:type="page"/>
      </w:r>
      <w:bookmarkEnd w:id="13"/>
      <w:bookmarkEnd w:id="14"/>
      <w:bookmarkEnd w:id="15"/>
      <w:bookmarkEnd w:id="16"/>
      <w:bookmarkStart w:id="63" w:name="_Toc89075873"/>
      <w:bookmarkStart w:id="64" w:name="_Toc12116"/>
      <w:bookmarkStart w:id="65" w:name="_Toc183582204"/>
      <w:bookmarkStart w:id="66" w:name="_Toc77400778"/>
      <w:bookmarkStart w:id="67" w:name="_Toc217446033"/>
      <w:bookmarkStart w:id="68" w:name="_Toc183682341"/>
      <w:r>
        <w:rPr>
          <w:rFonts w:hint="eastAsia" w:ascii="宋体" w:hAnsi="宋体" w:eastAsia="宋体" w:cs="宋体"/>
          <w:bCs/>
          <w:color w:val="auto"/>
          <w:sz w:val="28"/>
          <w:szCs w:val="28"/>
          <w:highlight w:val="none"/>
        </w:rPr>
        <w:t>1.总  则</w:t>
      </w:r>
      <w:bookmarkEnd w:id="63"/>
      <w:bookmarkEnd w:id="64"/>
      <w:bookmarkEnd w:id="65"/>
      <w:bookmarkEnd w:id="66"/>
      <w:bookmarkEnd w:id="67"/>
      <w:bookmarkEnd w:id="68"/>
      <w:bookmarkStart w:id="69" w:name="_Toc183682342"/>
      <w:bookmarkStart w:id="70" w:name="_Toc183582205"/>
      <w:bookmarkStart w:id="71" w:name="_Toc217446034"/>
    </w:p>
    <w:p w14:paraId="1844E8ED">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bCs/>
          <w:color w:val="auto"/>
          <w:sz w:val="22"/>
          <w:szCs w:val="22"/>
          <w:highlight w:val="none"/>
        </w:rPr>
      </w:pPr>
      <w:bookmarkStart w:id="72" w:name="_Toc25043"/>
      <w:r>
        <w:rPr>
          <w:rFonts w:hint="eastAsia" w:ascii="宋体" w:hAnsi="宋体" w:eastAsia="宋体" w:cs="宋体"/>
          <w:color w:val="auto"/>
          <w:sz w:val="22"/>
          <w:szCs w:val="22"/>
          <w:highlight w:val="none"/>
        </w:rPr>
        <w:t>1.</w:t>
      </w:r>
      <w:bookmarkEnd w:id="69"/>
      <w:bookmarkEnd w:id="70"/>
      <w:r>
        <w:rPr>
          <w:rFonts w:hint="eastAsia" w:ascii="宋体" w:hAnsi="宋体" w:eastAsia="宋体" w:cs="宋体"/>
          <w:color w:val="auto"/>
          <w:sz w:val="22"/>
          <w:szCs w:val="22"/>
          <w:highlight w:val="none"/>
        </w:rPr>
        <w:t>1适用范围</w:t>
      </w:r>
      <w:bookmarkEnd w:id="71"/>
      <w:bookmarkEnd w:id="72"/>
    </w:p>
    <w:p w14:paraId="03144AC9">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本招标文件仅适用于本次公开招标所叙述的货物（产品）项目采购活动。</w:t>
      </w:r>
      <w:bookmarkStart w:id="73" w:name="_Toc217446035"/>
      <w:bookmarkStart w:id="74" w:name="_Toc183682343"/>
      <w:bookmarkStart w:id="75" w:name="_Toc183582206"/>
    </w:p>
    <w:p w14:paraId="4FAB3EBC">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76" w:name="_Toc6321"/>
      <w:r>
        <w:rPr>
          <w:rFonts w:hint="eastAsia" w:ascii="宋体" w:hAnsi="宋体" w:eastAsia="宋体" w:cs="宋体"/>
          <w:color w:val="auto"/>
          <w:sz w:val="22"/>
          <w:szCs w:val="22"/>
          <w:highlight w:val="none"/>
        </w:rPr>
        <w:t>1.2</w:t>
      </w:r>
      <w:bookmarkEnd w:id="73"/>
      <w:bookmarkEnd w:id="74"/>
      <w:bookmarkEnd w:id="75"/>
      <w:r>
        <w:rPr>
          <w:rFonts w:hint="eastAsia" w:ascii="宋体" w:hAnsi="宋体" w:eastAsia="宋体" w:cs="宋体"/>
          <w:color w:val="auto"/>
          <w:sz w:val="22"/>
          <w:szCs w:val="22"/>
          <w:highlight w:val="none"/>
        </w:rPr>
        <w:t>名词解释</w:t>
      </w:r>
      <w:bookmarkEnd w:id="76"/>
    </w:p>
    <w:p w14:paraId="00CF44F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bookmarkStart w:id="77" w:name="_Toc217390843"/>
      <w:bookmarkStart w:id="78" w:name="_Toc183582207"/>
      <w:bookmarkStart w:id="79" w:name="_Toc183682344"/>
      <w:bookmarkStart w:id="80" w:name="_Toc217446036"/>
      <w:r>
        <w:rPr>
          <w:rFonts w:hint="eastAsia" w:ascii="宋体" w:hAnsi="宋体" w:eastAsia="宋体" w:cs="宋体"/>
          <w:color w:val="auto"/>
          <w:sz w:val="22"/>
          <w:szCs w:val="22"/>
          <w:highlight w:val="none"/>
        </w:rPr>
        <w:t>1.2.1</w:t>
      </w:r>
      <w:r>
        <w:rPr>
          <w:rFonts w:hint="eastAsia" w:ascii="宋体" w:hAnsi="宋体" w:eastAsia="宋体" w:cs="宋体"/>
          <w:b/>
          <w:color w:val="auto"/>
          <w:sz w:val="22"/>
          <w:szCs w:val="22"/>
          <w:highlight w:val="none"/>
        </w:rPr>
        <w:t>采购人</w:t>
      </w:r>
      <w:r>
        <w:rPr>
          <w:rFonts w:hint="eastAsia" w:ascii="宋体" w:hAnsi="宋体" w:eastAsia="宋体" w:cs="宋体"/>
          <w:color w:val="auto"/>
          <w:sz w:val="22"/>
          <w:szCs w:val="22"/>
          <w:highlight w:val="none"/>
        </w:rPr>
        <w:t>系指依法进行采购的国家机关、事业单位、团体组织。本次采购的采购人名称、地址、电话、联系人见投标人须知前附表。</w:t>
      </w:r>
    </w:p>
    <w:p w14:paraId="179FA15D">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1.2.2</w:t>
      </w:r>
      <w:r>
        <w:rPr>
          <w:rFonts w:hint="eastAsia" w:ascii="宋体" w:hAnsi="宋体" w:eastAsia="宋体" w:cs="宋体"/>
          <w:b/>
          <w:color w:val="auto"/>
          <w:sz w:val="22"/>
          <w:szCs w:val="22"/>
          <w:highlight w:val="none"/>
        </w:rPr>
        <w:t>监督机构</w:t>
      </w:r>
      <w:r>
        <w:rPr>
          <w:rFonts w:hint="eastAsia" w:ascii="宋体" w:hAnsi="宋体" w:eastAsia="宋体" w:cs="宋体"/>
          <w:color w:val="auto"/>
          <w:sz w:val="22"/>
          <w:szCs w:val="22"/>
          <w:highlight w:val="none"/>
        </w:rPr>
        <w:t>系指监督管理部门。</w:t>
      </w:r>
    </w:p>
    <w:p w14:paraId="2CB13EA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1.2.3</w:t>
      </w:r>
      <w:r>
        <w:rPr>
          <w:rFonts w:hint="eastAsia" w:ascii="宋体" w:hAnsi="宋体" w:eastAsia="宋体" w:cs="宋体"/>
          <w:b/>
          <w:color w:val="auto"/>
          <w:sz w:val="22"/>
          <w:szCs w:val="22"/>
          <w:highlight w:val="none"/>
        </w:rPr>
        <w:t>采购代理机构</w:t>
      </w:r>
      <w:r>
        <w:rPr>
          <w:rFonts w:hint="eastAsia" w:ascii="宋体" w:hAnsi="宋体" w:eastAsia="宋体" w:cs="宋体"/>
          <w:color w:val="auto"/>
          <w:sz w:val="22"/>
          <w:szCs w:val="22"/>
          <w:highlight w:val="none"/>
        </w:rPr>
        <w:t>系指接受采购人委托，代理采购项目的依法经</w:t>
      </w:r>
      <w:r>
        <w:rPr>
          <w:rFonts w:hint="eastAsia" w:ascii="宋体" w:hAnsi="宋体" w:eastAsia="宋体" w:cs="宋体"/>
          <w:color w:val="auto"/>
          <w:sz w:val="22"/>
          <w:szCs w:val="22"/>
          <w:highlight w:val="none"/>
          <w:lang w:val="en-US" w:eastAsia="zh-CN"/>
        </w:rPr>
        <w:t>有关</w:t>
      </w:r>
      <w:r>
        <w:rPr>
          <w:rFonts w:hint="eastAsia" w:ascii="宋体" w:hAnsi="宋体" w:eastAsia="宋体" w:cs="宋体"/>
          <w:color w:val="auto"/>
          <w:sz w:val="22"/>
          <w:szCs w:val="22"/>
          <w:highlight w:val="none"/>
        </w:rPr>
        <w:t>部门认定资格的采购代理机构。本次采购的采购代理机构名称、地址、电话、联系人见投标人须知前附表。</w:t>
      </w:r>
    </w:p>
    <w:p w14:paraId="3437E49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1.2.4 </w:t>
      </w:r>
      <w:r>
        <w:rPr>
          <w:rFonts w:hint="eastAsia" w:ascii="宋体" w:hAnsi="宋体" w:eastAsia="宋体" w:cs="宋体"/>
          <w:b/>
          <w:color w:val="auto"/>
          <w:sz w:val="22"/>
          <w:szCs w:val="22"/>
          <w:highlight w:val="none"/>
        </w:rPr>
        <w:t>投标人</w:t>
      </w:r>
      <w:r>
        <w:rPr>
          <w:rFonts w:hint="eastAsia" w:ascii="宋体" w:hAnsi="宋体" w:eastAsia="宋体" w:cs="宋体"/>
          <w:color w:val="auto"/>
          <w:sz w:val="22"/>
          <w:szCs w:val="22"/>
          <w:highlight w:val="none"/>
        </w:rPr>
        <w:t>是指响应招标，参加投标竞争的法人或其他组织或个人。</w:t>
      </w:r>
    </w:p>
    <w:p w14:paraId="4F525A9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1.2.5 </w:t>
      </w:r>
      <w:r>
        <w:rPr>
          <w:rFonts w:hint="eastAsia" w:ascii="宋体" w:hAnsi="宋体" w:eastAsia="宋体" w:cs="宋体"/>
          <w:b/>
          <w:color w:val="auto"/>
          <w:sz w:val="22"/>
          <w:szCs w:val="22"/>
          <w:highlight w:val="none"/>
        </w:rPr>
        <w:t>货物</w:t>
      </w:r>
      <w:r>
        <w:rPr>
          <w:rFonts w:hint="eastAsia" w:ascii="宋体" w:hAnsi="宋体" w:eastAsia="宋体" w:cs="宋体"/>
          <w:color w:val="auto"/>
          <w:sz w:val="22"/>
          <w:szCs w:val="22"/>
          <w:highlight w:val="none"/>
        </w:rPr>
        <w:t>是指本招标文件中第四章所述所有货物。</w:t>
      </w:r>
    </w:p>
    <w:p w14:paraId="09076E50">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1.2.6 </w:t>
      </w:r>
      <w:r>
        <w:rPr>
          <w:rFonts w:hint="eastAsia" w:ascii="宋体" w:hAnsi="宋体" w:eastAsia="宋体" w:cs="宋体"/>
          <w:b/>
          <w:color w:val="auto"/>
          <w:sz w:val="22"/>
          <w:szCs w:val="22"/>
          <w:highlight w:val="none"/>
        </w:rPr>
        <w:t>服务</w:t>
      </w:r>
      <w:r>
        <w:rPr>
          <w:rFonts w:hint="eastAsia" w:ascii="宋体" w:hAnsi="宋体" w:eastAsia="宋体" w:cs="宋体"/>
          <w:color w:val="auto"/>
          <w:sz w:val="22"/>
          <w:szCs w:val="22"/>
          <w:highlight w:val="none"/>
        </w:rPr>
        <w:t>是指人为满足招标文件要求而提供的服务。</w:t>
      </w:r>
    </w:p>
    <w:p w14:paraId="57E851D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1.2.7 </w:t>
      </w:r>
      <w:r>
        <w:rPr>
          <w:rFonts w:hint="eastAsia" w:ascii="宋体" w:hAnsi="宋体" w:eastAsia="宋体" w:cs="宋体"/>
          <w:b/>
          <w:color w:val="auto"/>
          <w:sz w:val="22"/>
          <w:szCs w:val="22"/>
          <w:highlight w:val="none"/>
        </w:rPr>
        <w:t>节能产品</w:t>
      </w:r>
      <w:r>
        <w:rPr>
          <w:rFonts w:hint="eastAsia" w:ascii="宋体" w:hAnsi="宋体" w:eastAsia="宋体" w:cs="宋体"/>
          <w:color w:val="auto"/>
          <w:sz w:val="22"/>
          <w:szCs w:val="22"/>
          <w:highlight w:val="none"/>
        </w:rPr>
        <w:t>指财政部、发展改革委、生态环境部等部门发布的《节能产品品目清单》中的产品。</w:t>
      </w:r>
    </w:p>
    <w:p w14:paraId="748B854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1.2.8 </w:t>
      </w:r>
      <w:r>
        <w:rPr>
          <w:rFonts w:hint="eastAsia" w:ascii="宋体" w:hAnsi="宋体" w:eastAsia="宋体" w:cs="宋体"/>
          <w:b/>
          <w:color w:val="auto"/>
          <w:sz w:val="22"/>
          <w:szCs w:val="22"/>
          <w:highlight w:val="none"/>
        </w:rPr>
        <w:t>环境标志产品</w:t>
      </w:r>
      <w:r>
        <w:rPr>
          <w:rFonts w:hint="eastAsia" w:ascii="宋体" w:hAnsi="宋体" w:eastAsia="宋体" w:cs="宋体"/>
          <w:color w:val="auto"/>
          <w:sz w:val="22"/>
          <w:szCs w:val="22"/>
          <w:highlight w:val="none"/>
        </w:rPr>
        <w:t>是指财政部、发展改革委、生态环境部等部门发布的《环境标志产品品目清单》中的产品。</w:t>
      </w:r>
    </w:p>
    <w:p w14:paraId="17E959F0">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1.2.9 </w:t>
      </w:r>
      <w:r>
        <w:rPr>
          <w:rFonts w:hint="eastAsia" w:ascii="宋体" w:hAnsi="宋体" w:eastAsia="宋体" w:cs="宋体"/>
          <w:b/>
          <w:color w:val="auto"/>
          <w:kern w:val="0"/>
          <w:sz w:val="22"/>
          <w:szCs w:val="22"/>
          <w:highlight w:val="none"/>
        </w:rPr>
        <w:t>进口产品</w:t>
      </w:r>
      <w:r>
        <w:rPr>
          <w:rFonts w:hint="eastAsia" w:ascii="宋体" w:hAnsi="宋体" w:eastAsia="宋体" w:cs="宋体"/>
          <w:color w:val="auto"/>
          <w:kern w:val="0"/>
          <w:sz w:val="22"/>
          <w:szCs w:val="22"/>
          <w:highlight w:val="none"/>
        </w:rPr>
        <w:t>是指通过中国海关报关验放进入中国境内且产自关境外的产品，详见《关于政府采购进口产品管理有关问题的通知》(财库[2007]119号)。</w:t>
      </w:r>
    </w:p>
    <w:p w14:paraId="4BF373B1">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1.2.10</w:t>
      </w:r>
      <w:r>
        <w:rPr>
          <w:rFonts w:hint="eastAsia" w:ascii="宋体" w:hAnsi="宋体" w:eastAsia="宋体" w:cs="宋体"/>
          <w:b/>
          <w:color w:val="auto"/>
          <w:sz w:val="22"/>
          <w:szCs w:val="22"/>
          <w:highlight w:val="none"/>
        </w:rPr>
        <w:t>中小企业</w:t>
      </w:r>
      <w:r>
        <w:rPr>
          <w:rFonts w:hint="eastAsia" w:ascii="宋体" w:hAnsi="宋体" w:eastAsia="宋体" w:cs="宋体"/>
          <w:color w:val="auto"/>
          <w:sz w:val="22"/>
          <w:szCs w:val="22"/>
          <w:highlight w:val="none"/>
        </w:rPr>
        <w:t>是指符合《工业和信息化部、国家统计局、国家发展和改革委员会、财政部关于印发中小企业划型标准规定的通知》（工信部联企业[2011]300号）规定的对中小企业的划分标准的企业。</w:t>
      </w:r>
    </w:p>
    <w:p w14:paraId="5ED4112D">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1.2.11 </w:t>
      </w:r>
      <w:r>
        <w:rPr>
          <w:rFonts w:hint="eastAsia" w:ascii="宋体" w:hAnsi="宋体" w:eastAsia="宋体" w:cs="宋体"/>
          <w:b/>
          <w:color w:val="auto"/>
          <w:sz w:val="22"/>
          <w:szCs w:val="22"/>
          <w:highlight w:val="none"/>
        </w:rPr>
        <w:t>监狱企业</w:t>
      </w:r>
      <w:r>
        <w:rPr>
          <w:rFonts w:hint="eastAsia" w:ascii="宋体" w:hAnsi="宋体" w:eastAsia="宋体" w:cs="宋体"/>
          <w:color w:val="auto"/>
          <w:sz w:val="22"/>
          <w:szCs w:val="22"/>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监狱管理局、戒毒管理局的企业。</w:t>
      </w:r>
    </w:p>
    <w:p w14:paraId="41BBD40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1.2.12 </w:t>
      </w:r>
      <w:r>
        <w:rPr>
          <w:rFonts w:hint="eastAsia" w:ascii="宋体" w:hAnsi="宋体" w:eastAsia="宋体" w:cs="宋体"/>
          <w:b/>
          <w:color w:val="auto"/>
          <w:kern w:val="0"/>
          <w:sz w:val="22"/>
          <w:szCs w:val="22"/>
          <w:highlight w:val="none"/>
        </w:rPr>
        <w:t>残疾人福利性单位</w:t>
      </w:r>
      <w:r>
        <w:rPr>
          <w:rFonts w:hint="eastAsia" w:ascii="宋体" w:hAnsi="宋体" w:eastAsia="宋体" w:cs="宋体"/>
          <w:color w:val="auto"/>
          <w:kern w:val="0"/>
          <w:sz w:val="22"/>
          <w:szCs w:val="22"/>
          <w:highlight w:val="none"/>
        </w:rPr>
        <w:t>是指符合</w:t>
      </w:r>
      <w:r>
        <w:rPr>
          <w:rFonts w:hint="eastAsia" w:ascii="宋体" w:hAnsi="宋体" w:eastAsia="宋体" w:cs="宋体"/>
          <w:color w:val="auto"/>
          <w:spacing w:val="6"/>
          <w:sz w:val="22"/>
          <w:szCs w:val="22"/>
          <w:highlight w:val="none"/>
        </w:rPr>
        <w:t>《财政部、民政部、中国残疾人联合会关于促进残疾人就业政府采购政策的通知》（财库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号）规定条件的单位。</w:t>
      </w:r>
    </w:p>
    <w:p w14:paraId="6A5AEC29">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1" w:name="_Toc30965"/>
      <w:r>
        <w:rPr>
          <w:rFonts w:hint="eastAsia" w:ascii="宋体" w:hAnsi="宋体" w:eastAsia="宋体" w:cs="宋体"/>
          <w:color w:val="auto"/>
          <w:sz w:val="22"/>
          <w:szCs w:val="22"/>
          <w:highlight w:val="none"/>
        </w:rPr>
        <w:t>1.3 合格的投标</w:t>
      </w:r>
      <w:bookmarkEnd w:id="77"/>
      <w:bookmarkEnd w:id="78"/>
      <w:bookmarkEnd w:id="79"/>
      <w:bookmarkEnd w:id="80"/>
      <w:r>
        <w:rPr>
          <w:rFonts w:hint="eastAsia" w:ascii="宋体" w:hAnsi="宋体" w:eastAsia="宋体" w:cs="宋体"/>
          <w:color w:val="auto"/>
          <w:sz w:val="22"/>
          <w:szCs w:val="22"/>
          <w:highlight w:val="none"/>
        </w:rPr>
        <w:t>人</w:t>
      </w:r>
      <w:bookmarkEnd w:id="81"/>
    </w:p>
    <w:p w14:paraId="29852CE1">
      <w:pPr>
        <w:pageBreakBefore w:val="0"/>
        <w:tabs>
          <w:tab w:val="left" w:pos="7665"/>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 合格的投标人应具备以下条件：</w:t>
      </w:r>
    </w:p>
    <w:p w14:paraId="0624EFB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（1）具备且满足“招标公告”要求的；</w:t>
      </w:r>
    </w:p>
    <w:p w14:paraId="2F4BF15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在新疆政府采购网免费获取了</w:t>
      </w:r>
      <w:r>
        <w:rPr>
          <w:rFonts w:hint="eastAsia" w:ascii="宋体" w:hAnsi="宋体" w:eastAsia="宋体" w:cs="宋体"/>
          <w:color w:val="auto"/>
          <w:sz w:val="22"/>
          <w:szCs w:val="22"/>
          <w:highlight w:val="none"/>
        </w:rPr>
        <w:t>招标文件并</w:t>
      </w:r>
      <w:r>
        <w:rPr>
          <w:rFonts w:hint="eastAsia" w:ascii="宋体" w:hAnsi="宋体" w:eastAsia="宋体" w:cs="宋体"/>
          <w:color w:val="auto"/>
          <w:sz w:val="22"/>
          <w:szCs w:val="22"/>
          <w:highlight w:val="none"/>
          <w:lang w:val="en-US" w:eastAsia="zh-CN"/>
        </w:rPr>
        <w:t>注册为正式供应商</w:t>
      </w:r>
      <w:r>
        <w:rPr>
          <w:rFonts w:hint="eastAsia" w:ascii="宋体" w:hAnsi="宋体" w:eastAsia="宋体" w:cs="宋体"/>
          <w:color w:val="auto"/>
          <w:sz w:val="22"/>
          <w:szCs w:val="22"/>
          <w:highlight w:val="none"/>
        </w:rPr>
        <w:t>；</w:t>
      </w:r>
    </w:p>
    <w:p w14:paraId="1B68EDF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（3）向采购代理机构交纳了投标保证金；</w:t>
      </w:r>
    </w:p>
    <w:p w14:paraId="00DA8FA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（4）遵守国家、新疆维吾尔自治区有关的法律法规、规章和规范性文件要求；</w:t>
      </w:r>
    </w:p>
    <w:p w14:paraId="3FF26E5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（5）招标文件和法律、行政法规规定的其他条件。</w:t>
      </w:r>
    </w:p>
    <w:p w14:paraId="25E9679B">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投标人不得存在下列情形之一：</w:t>
      </w:r>
    </w:p>
    <w:p w14:paraId="3654728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（l）与采购人、采购代理机构存在</w:t>
      </w:r>
      <w:r>
        <w:rPr>
          <w:rFonts w:hint="eastAsia" w:ascii="宋体" w:hAnsi="宋体" w:eastAsia="宋体" w:cs="宋体"/>
          <w:bCs/>
          <w:color w:val="auto"/>
          <w:sz w:val="22"/>
          <w:szCs w:val="22"/>
          <w:highlight w:val="none"/>
        </w:rPr>
        <w:t>隶属关系或者其他利害关系，且可能影响招标公正性；</w:t>
      </w:r>
    </w:p>
    <w:p w14:paraId="1683CB9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（2）与本采购项目其他投标人的法定代表人（或者负责人）为同一人；</w:t>
      </w:r>
    </w:p>
    <w:p w14:paraId="30D6E33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（3）与本采购项目其他投标人存在控股、管理关系；</w:t>
      </w:r>
    </w:p>
    <w:p w14:paraId="17648FD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（4）为本项目采购代理机构；</w:t>
      </w:r>
    </w:p>
    <w:p w14:paraId="7322B4E5">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（5）为本项目代理投标的为其采购代理机构；</w:t>
      </w:r>
    </w:p>
    <w:p w14:paraId="3C2649E2">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（6）为本项目提供整体设计、规范编制或者项目管理、监理、检测、咨询服务；</w:t>
      </w:r>
    </w:p>
    <w:p w14:paraId="231B614C">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bCs/>
          <w:color w:val="auto"/>
          <w:sz w:val="22"/>
          <w:szCs w:val="22"/>
          <w:highlight w:val="none"/>
        </w:rPr>
        <w:t>受到刑事处罚；</w:t>
      </w:r>
    </w:p>
    <w:p w14:paraId="2B4F308E">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（8）受到财政部门3万元以上数额罚款的行政处罚或其他行政部门较大数额罚款的行政处罚（举行听证会的）；</w:t>
      </w:r>
    </w:p>
    <w:p w14:paraId="0184711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9</w:t>
      </w:r>
      <w:r>
        <w:rPr>
          <w:rFonts w:hint="eastAsia" w:ascii="宋体" w:hAnsi="宋体" w:eastAsia="宋体" w:cs="宋体"/>
          <w:bCs/>
          <w:color w:val="auto"/>
          <w:sz w:val="22"/>
          <w:szCs w:val="22"/>
          <w:highlight w:val="none"/>
        </w:rPr>
        <w:t>）被责令停产停业、暂扣或者吊销许可证、暂扣或者吊销执照的行政处罚；</w:t>
      </w:r>
    </w:p>
    <w:p w14:paraId="4D7CAA5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（10）</w:t>
      </w:r>
      <w:r>
        <w:rPr>
          <w:rFonts w:hint="eastAsia" w:ascii="宋体" w:hAnsi="宋体" w:eastAsia="宋体" w:cs="宋体"/>
          <w:color w:val="auto"/>
          <w:sz w:val="22"/>
          <w:szCs w:val="22"/>
          <w:highlight w:val="none"/>
        </w:rPr>
        <w:t>被列入失信被执行人名单；</w:t>
      </w:r>
    </w:p>
    <w:p w14:paraId="6A8AD17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（11）被列入</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w:t>
      </w:r>
    </w:p>
    <w:p w14:paraId="0E20557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（12）被禁止在一至三年内参加政府采购活动或存在</w:t>
      </w:r>
      <w:r>
        <w:rPr>
          <w:rFonts w:hint="eastAsia" w:ascii="宋体" w:hAnsi="宋体" w:eastAsia="宋体" w:cs="宋体"/>
          <w:color w:val="auto"/>
          <w:sz w:val="22"/>
          <w:szCs w:val="22"/>
          <w:highlight w:val="none"/>
        </w:rPr>
        <w:t>财政部门认定的其他重大违法记录。</w:t>
      </w:r>
    </w:p>
    <w:p w14:paraId="263BD9C3">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2" w:name="_Toc14783"/>
      <w:bookmarkStart w:id="83" w:name="_Toc183682345"/>
      <w:bookmarkStart w:id="84" w:name="_Toc217446037"/>
      <w:bookmarkStart w:id="85" w:name="_Toc183582208"/>
      <w:r>
        <w:rPr>
          <w:rFonts w:hint="eastAsia" w:ascii="宋体" w:hAnsi="宋体" w:eastAsia="宋体" w:cs="宋体"/>
          <w:color w:val="auto"/>
          <w:sz w:val="22"/>
          <w:szCs w:val="22"/>
          <w:highlight w:val="none"/>
        </w:rPr>
        <w:t>1.4合格的货物（产品）和服务</w:t>
      </w:r>
      <w:bookmarkEnd w:id="82"/>
    </w:p>
    <w:p w14:paraId="0CC02A56">
      <w:pPr>
        <w:pageBreakBefore w:val="0"/>
        <w:tabs>
          <w:tab w:val="left" w:pos="747"/>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14:paraId="4F2B21DF">
      <w:pPr>
        <w:pageBreakBefore w:val="0"/>
        <w:tabs>
          <w:tab w:val="left" w:pos="747"/>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采购人有权拒绝接受任何不合格的货物和服务，由此产生的费用及相关后果均由投标人自行承担。</w:t>
      </w:r>
    </w:p>
    <w:p w14:paraId="252D577F">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6" w:name="_Toc217446047"/>
      <w:bookmarkStart w:id="87" w:name="_Toc16914"/>
      <w:r>
        <w:rPr>
          <w:rFonts w:hint="eastAsia" w:ascii="宋体" w:hAnsi="宋体" w:eastAsia="宋体" w:cs="宋体"/>
          <w:color w:val="auto"/>
          <w:sz w:val="22"/>
          <w:szCs w:val="22"/>
          <w:highlight w:val="none"/>
        </w:rPr>
        <w:t>1.5知识产权</w:t>
      </w:r>
      <w:bookmarkEnd w:id="86"/>
      <w:bookmarkEnd w:id="87"/>
    </w:p>
    <w:p w14:paraId="3F3B6E4E">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9C89327">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 采购人享有本项目实施过程中产生的知识成果及知识产权。</w:t>
      </w:r>
    </w:p>
    <w:p w14:paraId="2112D3A5">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351C174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1.5.4 如采用投标人所不拥有的知识产权，则在投标报价中必须包括合法获取该知识产权的相关费用。</w:t>
      </w:r>
    </w:p>
    <w:p w14:paraId="6991036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8" w:name="_Toc15030"/>
      <w:r>
        <w:rPr>
          <w:rFonts w:hint="eastAsia" w:ascii="宋体" w:hAnsi="宋体" w:eastAsia="宋体" w:cs="宋体"/>
          <w:color w:val="auto"/>
          <w:sz w:val="22"/>
          <w:szCs w:val="22"/>
          <w:highlight w:val="none"/>
        </w:rPr>
        <w:t>1.6投标费用</w:t>
      </w:r>
      <w:bookmarkEnd w:id="83"/>
      <w:bookmarkEnd w:id="84"/>
      <w:bookmarkEnd w:id="85"/>
      <w:bookmarkEnd w:id="88"/>
    </w:p>
    <w:p w14:paraId="7047242D">
      <w:pPr>
        <w:pageBreakBefore w:val="0"/>
        <w:tabs>
          <w:tab w:val="left" w:pos="7665"/>
        </w:tabs>
        <w:kinsoku/>
        <w:wordWrap/>
        <w:overflowPunct/>
        <w:topLinePunct w:val="0"/>
        <w:bidi w:val="0"/>
        <w:spacing w:line="480" w:lineRule="exact"/>
        <w:ind w:left="0" w:leftChars="0" w:right="0" w:firstLine="450" w:firstLineChars="2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不论投标结果如何，投标人准备和参加投标活动发生的费用自理。</w:t>
      </w:r>
      <w:bookmarkStart w:id="89" w:name="_Toc77400779"/>
      <w:bookmarkStart w:id="90" w:name="_Toc89075875"/>
      <w:bookmarkStart w:id="91" w:name="_Toc217446038"/>
      <w:bookmarkStart w:id="92" w:name="_Toc183582209"/>
      <w:bookmarkStart w:id="93" w:name="_Toc183682346"/>
    </w:p>
    <w:p w14:paraId="7347DE06">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lang w:val="zh-CN"/>
        </w:rPr>
      </w:pPr>
      <w:bookmarkStart w:id="94" w:name="_Toc1761"/>
      <w:r>
        <w:rPr>
          <w:rFonts w:hint="eastAsia" w:ascii="宋体" w:hAnsi="宋体" w:eastAsia="宋体" w:cs="宋体"/>
          <w:color w:val="auto"/>
          <w:sz w:val="22"/>
          <w:szCs w:val="22"/>
          <w:highlight w:val="none"/>
          <w:lang w:val="zh-CN"/>
        </w:rPr>
        <w:t>1.7 保密</w:t>
      </w:r>
      <w:bookmarkEnd w:id="94"/>
    </w:p>
    <w:p w14:paraId="7DF6BB0F">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参与采购活动的当事人应对招标文件和响应文件中的商业秘密、技术秘密和个人隐私等保密，违者应对由此造成的后果承担法律责任。</w:t>
      </w:r>
    </w:p>
    <w:p w14:paraId="38642058">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5" w:name="_Toc32589"/>
      <w:r>
        <w:rPr>
          <w:rFonts w:hint="eastAsia" w:ascii="宋体" w:hAnsi="宋体" w:eastAsia="宋体" w:cs="宋体"/>
          <w:color w:val="auto"/>
          <w:sz w:val="22"/>
          <w:szCs w:val="22"/>
          <w:highlight w:val="none"/>
        </w:rPr>
        <w:t>1.8语言文字</w:t>
      </w:r>
      <w:bookmarkEnd w:id="95"/>
    </w:p>
    <w:p w14:paraId="3B3A32D3">
      <w:pPr>
        <w:pageBreakBefore w:val="0"/>
        <w:tabs>
          <w:tab w:val="left" w:pos="7665"/>
        </w:tabs>
        <w:kinsoku/>
        <w:wordWrap/>
        <w:overflowPunct/>
        <w:topLinePunct w:val="0"/>
        <w:bidi w:val="0"/>
        <w:spacing w:line="480" w:lineRule="exact"/>
        <w:ind w:left="0" w:leftChars="0" w:right="0" w:firstLine="4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招标投标文件使用的语言为中文。专用术语使用外文的，应附有中文注释。</w:t>
      </w:r>
    </w:p>
    <w:p w14:paraId="12C82B0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投标文件中如附有外文资料，必须逐一对应翻译成中文并加盖投标人单位章后附在相关外文资料后面，否则，投标人的投标文件将作为无效投标处理。</w:t>
      </w:r>
    </w:p>
    <w:p w14:paraId="42A0B193">
      <w:pPr>
        <w:pStyle w:val="13"/>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投标文件中翻译的中文资料与外文资料如果出现差异和矛盾时，以中文为准。但不能故意错误翻译，否则，投标人的投标文件将作为无效投标处理。</w:t>
      </w:r>
      <w:r>
        <w:rPr>
          <w:rFonts w:hint="eastAsia" w:ascii="宋体" w:hAnsi="宋体" w:eastAsia="宋体" w:cs="宋体"/>
          <w:color w:val="auto"/>
          <w:kern w:val="0"/>
          <w:sz w:val="22"/>
          <w:szCs w:val="22"/>
          <w:highlight w:val="none"/>
        </w:rPr>
        <w:t>必要时采购人可以要求投标人提供附有公证书的中文翻译文件或者与原版文件签章相一致的中文翻译文件。</w:t>
      </w:r>
    </w:p>
    <w:p w14:paraId="58B06D2C">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6" w:name="_Toc16815"/>
      <w:r>
        <w:rPr>
          <w:rFonts w:hint="eastAsia" w:ascii="宋体" w:hAnsi="宋体" w:eastAsia="宋体" w:cs="宋体"/>
          <w:color w:val="auto"/>
          <w:sz w:val="22"/>
          <w:szCs w:val="22"/>
          <w:highlight w:val="none"/>
        </w:rPr>
        <w:t>1.9计量单位</w:t>
      </w:r>
      <w:bookmarkEnd w:id="96"/>
    </w:p>
    <w:p w14:paraId="70FCD921">
      <w:pPr>
        <w:pageBreakBefore w:val="0"/>
        <w:tabs>
          <w:tab w:val="left" w:pos="7665"/>
        </w:tabs>
        <w:kinsoku/>
        <w:wordWrap/>
        <w:overflowPunct/>
        <w:topLinePunct w:val="0"/>
        <w:bidi w:val="0"/>
        <w:spacing w:line="480" w:lineRule="exact"/>
        <w:ind w:left="0" w:leftChars="0" w:right="0" w:firstLine="4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所有计量单位均采用中华人民共和国法定计量单位。</w:t>
      </w:r>
    </w:p>
    <w:p w14:paraId="6BB56F65">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7" w:name="_Toc28741"/>
      <w:r>
        <w:rPr>
          <w:rFonts w:hint="eastAsia" w:ascii="宋体" w:hAnsi="宋体" w:eastAsia="宋体" w:cs="宋体"/>
          <w:color w:val="auto"/>
          <w:sz w:val="22"/>
          <w:szCs w:val="22"/>
          <w:highlight w:val="none"/>
        </w:rPr>
        <w:t>1.10 答疑会或现场考察</w:t>
      </w:r>
      <w:bookmarkEnd w:id="97"/>
    </w:p>
    <w:p w14:paraId="4FCF2427">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通知所有获取了招标文件的投标人。</w:t>
      </w:r>
    </w:p>
    <w:p w14:paraId="5E56FDA6">
      <w:pPr>
        <w:pageBreakBefore w:val="0"/>
        <w:kinsoku/>
        <w:wordWrap/>
        <w:overflowPunct/>
        <w:topLinePunct w:val="0"/>
        <w:bidi w:val="0"/>
        <w:adjustRightInd w:val="0"/>
        <w:snapToGrid w:val="0"/>
        <w:spacing w:line="480" w:lineRule="exact"/>
        <w:ind w:left="0" w:leftChars="0" w:right="0" w:firstLine="385" w:firstLineChars="17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 答疑会或现场考察后，采购人或采购代理机构对投标人所提问题的澄清，以书面形式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通知所有获取了招标文件的投标人。该澄清内容为招标文件的组成部分。</w:t>
      </w:r>
    </w:p>
    <w:p w14:paraId="157C9A17">
      <w:pPr>
        <w:pageBreakBefore w:val="0"/>
        <w:kinsoku/>
        <w:wordWrap/>
        <w:overflowPunct/>
        <w:topLinePunct w:val="0"/>
        <w:bidi w:val="0"/>
        <w:adjustRightInd w:val="0"/>
        <w:snapToGrid w:val="0"/>
        <w:spacing w:line="480" w:lineRule="exact"/>
        <w:ind w:left="0" w:leftChars="0" w:right="0" w:firstLine="385" w:firstLineChars="17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 采购人不对投标人现场考察而做出的推论、理解和结论负责。一旦成交，中标人不得以任何借口，提出额外补偿，或延长合同期限的要求。</w:t>
      </w:r>
    </w:p>
    <w:p w14:paraId="311E5BE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98" w:name="_Toc22846"/>
      <w:r>
        <w:rPr>
          <w:rFonts w:hint="eastAsia" w:ascii="宋体" w:hAnsi="宋体" w:eastAsia="宋体" w:cs="宋体"/>
          <w:bCs/>
          <w:color w:val="auto"/>
          <w:sz w:val="28"/>
          <w:szCs w:val="28"/>
          <w:highlight w:val="none"/>
          <w:lang w:val="en-US" w:eastAsia="zh-CN"/>
        </w:rPr>
        <w:t>2.招标文件</w:t>
      </w:r>
      <w:bookmarkEnd w:id="89"/>
      <w:bookmarkEnd w:id="90"/>
      <w:bookmarkEnd w:id="91"/>
      <w:bookmarkEnd w:id="92"/>
      <w:bookmarkEnd w:id="93"/>
      <w:bookmarkEnd w:id="98"/>
      <w:bookmarkStart w:id="99" w:name="_Toc217446039"/>
      <w:bookmarkStart w:id="100" w:name="_Toc183682347"/>
      <w:bookmarkStart w:id="101" w:name="_Toc183582210"/>
    </w:p>
    <w:p w14:paraId="259E174D">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02" w:name="_Toc32340"/>
      <w:r>
        <w:rPr>
          <w:rFonts w:hint="eastAsia" w:ascii="宋体" w:hAnsi="宋体" w:eastAsia="宋体" w:cs="宋体"/>
          <w:color w:val="auto"/>
          <w:sz w:val="22"/>
          <w:szCs w:val="22"/>
          <w:highlight w:val="none"/>
        </w:rPr>
        <w:t>2.1招标文件的</w:t>
      </w:r>
      <w:bookmarkEnd w:id="99"/>
      <w:bookmarkEnd w:id="100"/>
      <w:bookmarkEnd w:id="101"/>
      <w:r>
        <w:rPr>
          <w:rFonts w:hint="eastAsia" w:ascii="宋体" w:hAnsi="宋体" w:eastAsia="宋体" w:cs="宋体"/>
          <w:color w:val="auto"/>
          <w:sz w:val="22"/>
          <w:szCs w:val="22"/>
          <w:highlight w:val="none"/>
        </w:rPr>
        <w:t>组成</w:t>
      </w:r>
      <w:bookmarkEnd w:id="102"/>
    </w:p>
    <w:p w14:paraId="5F5234D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本招标文件包括以下内容：</w:t>
      </w:r>
    </w:p>
    <w:p w14:paraId="088028A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（1）招标公告；</w:t>
      </w:r>
    </w:p>
    <w:p w14:paraId="7FEF3CA7">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20C001E4">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（3）评标办法；</w:t>
      </w:r>
    </w:p>
    <w:p w14:paraId="4D65D0C9">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（4）采购内容及要求；</w:t>
      </w:r>
    </w:p>
    <w:p w14:paraId="00AEEA0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（5）采购合同条款；</w:t>
      </w:r>
    </w:p>
    <w:p w14:paraId="0F63AEF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（6）投标文件格式要求；</w:t>
      </w:r>
    </w:p>
    <w:p w14:paraId="04A3FAE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（7）投标人须知前附表规定的其他材料。</w:t>
      </w:r>
      <w:bookmarkStart w:id="103" w:name="_Toc183582211"/>
      <w:bookmarkStart w:id="104" w:name="_Toc183682348"/>
      <w:bookmarkStart w:id="105" w:name="_Toc217446040"/>
    </w:p>
    <w:p w14:paraId="1F41CFC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根据本章第1.10款、第2.2款对招标文件所作的澄清、修改，构成招标文件组成部分。</w:t>
      </w:r>
    </w:p>
    <w:p w14:paraId="015DB4E1">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06" w:name="_Toc29819"/>
      <w:r>
        <w:rPr>
          <w:rFonts w:hint="eastAsia" w:ascii="宋体" w:hAnsi="宋体" w:eastAsia="宋体" w:cs="宋体"/>
          <w:color w:val="auto"/>
          <w:sz w:val="22"/>
          <w:szCs w:val="22"/>
          <w:highlight w:val="none"/>
        </w:rPr>
        <w:t>2.2招标文件的澄清</w:t>
      </w:r>
      <w:bookmarkEnd w:id="103"/>
      <w:bookmarkEnd w:id="104"/>
      <w:r>
        <w:rPr>
          <w:rFonts w:hint="eastAsia" w:ascii="宋体" w:hAnsi="宋体" w:eastAsia="宋体" w:cs="宋体"/>
          <w:color w:val="auto"/>
          <w:sz w:val="22"/>
          <w:szCs w:val="22"/>
          <w:highlight w:val="none"/>
        </w:rPr>
        <w:t>或修改</w:t>
      </w:r>
      <w:bookmarkEnd w:id="105"/>
      <w:bookmarkEnd w:id="106"/>
    </w:p>
    <w:p w14:paraId="17D6B1B7">
      <w:pPr>
        <w:pageBreakBefore w:val="0"/>
        <w:tabs>
          <w:tab w:val="left" w:pos="720"/>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在投标截止时间前，采购代理机构无论出于何种原因，可以对已发出的招标文件进行必要的澄清或者修改，但不得修改采购标的和资格条件。</w:t>
      </w:r>
    </w:p>
    <w:p w14:paraId="5385A5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采购人或采购代理机构对已发出的招标文件进行必要的澄清或者修改，澄清或修改的内容可能影响投标文件编制的，应当在投标文件截止时间</w:t>
      </w:r>
      <w:r>
        <w:rPr>
          <w:rFonts w:hint="eastAsia" w:ascii="宋体" w:hAnsi="宋体" w:eastAsia="宋体" w:cs="宋体"/>
          <w:b/>
          <w:color w:val="auto"/>
          <w:sz w:val="22"/>
          <w:szCs w:val="22"/>
          <w:highlight w:val="none"/>
        </w:rPr>
        <w:t>15</w:t>
      </w:r>
      <w:r>
        <w:rPr>
          <w:rFonts w:hint="eastAsia" w:ascii="宋体" w:hAnsi="宋体" w:eastAsia="宋体" w:cs="宋体"/>
          <w:color w:val="auto"/>
          <w:sz w:val="22"/>
          <w:szCs w:val="22"/>
          <w:highlight w:val="none"/>
        </w:rPr>
        <w:t>日前，以书面形式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将澄清或者修改的内容通知所有获取招标文件的投标人。投标人在收到上述通知后，应立即以书面形式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向采购代理机构确认。如果澄清或者修改发出的时间距规定的投标截止时间不足</w:t>
      </w:r>
      <w:r>
        <w:rPr>
          <w:rFonts w:hint="eastAsia" w:ascii="宋体" w:hAnsi="宋体" w:eastAsia="宋体" w:cs="宋体"/>
          <w:b/>
          <w:color w:val="auto"/>
          <w:sz w:val="22"/>
          <w:szCs w:val="22"/>
          <w:highlight w:val="none"/>
        </w:rPr>
        <w:t>15</w:t>
      </w:r>
      <w:r>
        <w:rPr>
          <w:rFonts w:hint="eastAsia" w:ascii="宋体" w:hAnsi="宋体" w:eastAsia="宋体" w:cs="宋体"/>
          <w:color w:val="auto"/>
          <w:sz w:val="22"/>
          <w:szCs w:val="22"/>
          <w:highlight w:val="none"/>
        </w:rPr>
        <w:t>日，将相应顺延投标截止时间。</w:t>
      </w:r>
    </w:p>
    <w:p w14:paraId="0A1DBC6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eastAsia="宋体" w:cs="宋体"/>
          <w:b/>
          <w:color w:val="auto"/>
          <w:sz w:val="22"/>
          <w:szCs w:val="22"/>
          <w:highlight w:val="none"/>
        </w:rPr>
        <w:t>10</w:t>
      </w:r>
      <w:r>
        <w:rPr>
          <w:rFonts w:hint="eastAsia" w:ascii="宋体" w:hAnsi="宋体" w:eastAsia="宋体" w:cs="宋体"/>
          <w:color w:val="auto"/>
          <w:sz w:val="22"/>
          <w:szCs w:val="22"/>
          <w:highlight w:val="none"/>
        </w:rPr>
        <w:t>日前按招标文件中的联系方式，以书面形式向采购代理机构提出，采购代理机构应当在</w:t>
      </w:r>
      <w:r>
        <w:rPr>
          <w:rFonts w:hint="eastAsia" w:ascii="宋体" w:hAnsi="宋体" w:eastAsia="宋体" w:cs="宋体"/>
          <w:b/>
          <w:color w:val="auto"/>
          <w:sz w:val="22"/>
          <w:szCs w:val="22"/>
          <w:highlight w:val="none"/>
        </w:rPr>
        <w:t>3</w:t>
      </w:r>
      <w:r>
        <w:rPr>
          <w:rFonts w:hint="eastAsia" w:ascii="宋体" w:hAnsi="宋体" w:eastAsia="宋体" w:cs="宋体"/>
          <w:color w:val="auto"/>
          <w:sz w:val="22"/>
          <w:szCs w:val="22"/>
          <w:highlight w:val="none"/>
        </w:rPr>
        <w:t>个工作日内，以书面形式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予以答复，或认为有必要召开答疑会。超过该时间收到的需要询问或澄清的内容，采购代理机构有权不予答复。</w:t>
      </w:r>
    </w:p>
    <w:p w14:paraId="1BD6B5F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 在投标截止时间前，采购代理机构可以视采购具体情况，延长投标截止时间和开标时间，并在招标文件要求提交投标文件的截止时间前，将变更时间以书面形式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通知所有获取招标文件的投标人，同时在原信息发布媒体上发布变更公告。</w:t>
      </w:r>
      <w:bookmarkStart w:id="107" w:name="_Toc183582213"/>
      <w:bookmarkStart w:id="108" w:name="_Toc217446041"/>
      <w:bookmarkStart w:id="109" w:name="_Toc183682350"/>
      <w:bookmarkStart w:id="110" w:name="_Toc208848971"/>
    </w:p>
    <w:p w14:paraId="2AB1C254">
      <w:pPr>
        <w:pageBreakBefore w:val="0"/>
        <w:kinsoku/>
        <w:wordWrap/>
        <w:overflowPunct/>
        <w:topLinePunct w:val="0"/>
        <w:bidi w:val="0"/>
        <w:spacing w:line="480" w:lineRule="exact"/>
        <w:ind w:left="0" w:leftChars="0" w:right="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 当招标文件澄清、答复、修改或补充通知与招标文件就同一内容表述不一致时，以最后发出的书面文件内容为准。</w:t>
      </w:r>
    </w:p>
    <w:bookmarkEnd w:id="107"/>
    <w:bookmarkEnd w:id="108"/>
    <w:bookmarkEnd w:id="109"/>
    <w:bookmarkEnd w:id="110"/>
    <w:p w14:paraId="004B91CA">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11" w:name="_Toc4480"/>
      <w:r>
        <w:rPr>
          <w:rFonts w:hint="eastAsia" w:ascii="宋体" w:hAnsi="宋体" w:eastAsia="宋体" w:cs="宋体"/>
          <w:color w:val="auto"/>
          <w:sz w:val="22"/>
          <w:szCs w:val="22"/>
          <w:highlight w:val="none"/>
        </w:rPr>
        <w:t>2.3招标文件的解释权</w:t>
      </w:r>
      <w:bookmarkEnd w:id="111"/>
    </w:p>
    <w:p w14:paraId="03D5BC8D">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招标文件的解释权归采购代理机构，如发现招标文件内容与现行法律法规不相符的情况，以现行法律法规为准。</w:t>
      </w:r>
      <w:bookmarkStart w:id="112" w:name="_Toc89075876"/>
      <w:bookmarkStart w:id="113" w:name="_Toc183582214"/>
      <w:bookmarkStart w:id="114" w:name="_Toc77400780"/>
      <w:bookmarkStart w:id="115" w:name="_Toc217446042"/>
      <w:bookmarkStart w:id="116" w:name="_Toc183682351"/>
    </w:p>
    <w:p w14:paraId="4F6489F3">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17" w:name="_Toc27898"/>
      <w:r>
        <w:rPr>
          <w:rFonts w:hint="eastAsia" w:ascii="宋体" w:hAnsi="宋体" w:eastAsia="宋体" w:cs="宋体"/>
          <w:bCs/>
          <w:color w:val="auto"/>
          <w:sz w:val="28"/>
          <w:szCs w:val="28"/>
          <w:highlight w:val="none"/>
          <w:lang w:val="en-US" w:eastAsia="zh-CN"/>
        </w:rPr>
        <w:t>3.投标人</w:t>
      </w:r>
      <w:bookmarkEnd w:id="117"/>
    </w:p>
    <w:p w14:paraId="3E157C2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18" w:name="_Toc28703"/>
      <w:r>
        <w:rPr>
          <w:rFonts w:hint="eastAsia" w:ascii="宋体" w:hAnsi="宋体" w:eastAsia="宋体" w:cs="宋体"/>
          <w:color w:val="auto"/>
          <w:sz w:val="22"/>
          <w:szCs w:val="22"/>
          <w:highlight w:val="none"/>
        </w:rPr>
        <w:t>3.1</w:t>
      </w:r>
      <w:bookmarkEnd w:id="112"/>
      <w:bookmarkEnd w:id="113"/>
      <w:bookmarkEnd w:id="114"/>
      <w:bookmarkEnd w:id="115"/>
      <w:bookmarkEnd w:id="116"/>
      <w:bookmarkStart w:id="119" w:name="_Toc183582215"/>
      <w:bookmarkStart w:id="120" w:name="_Toc183682352"/>
      <w:bookmarkStart w:id="121" w:name="_Toc217446043"/>
      <w:r>
        <w:rPr>
          <w:rFonts w:hint="eastAsia" w:ascii="宋体" w:hAnsi="宋体" w:eastAsia="宋体" w:cs="宋体"/>
          <w:color w:val="auto"/>
          <w:sz w:val="22"/>
          <w:szCs w:val="22"/>
          <w:highlight w:val="none"/>
        </w:rPr>
        <w:t>投标人资格要求</w:t>
      </w:r>
      <w:bookmarkEnd w:id="118"/>
    </w:p>
    <w:p w14:paraId="3873A60A">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3.1.1 投标人应符合资格要求规定的条件，</w:t>
      </w:r>
      <w:r>
        <w:rPr>
          <w:rFonts w:hint="eastAsia" w:ascii="宋体" w:hAnsi="宋体" w:eastAsia="宋体" w:cs="宋体"/>
          <w:color w:val="auto"/>
          <w:kern w:val="0"/>
          <w:sz w:val="22"/>
          <w:szCs w:val="22"/>
          <w:highlight w:val="none"/>
          <w:lang w:val="zh-CN" w:eastAsia="zh-CN"/>
        </w:rPr>
        <w:t>并根据</w:t>
      </w:r>
      <w:r>
        <w:rPr>
          <w:rFonts w:hint="eastAsia" w:ascii="宋体" w:hAnsi="宋体" w:eastAsia="宋体" w:cs="宋体"/>
          <w:color w:val="auto"/>
          <w:kern w:val="0"/>
          <w:sz w:val="22"/>
          <w:szCs w:val="22"/>
          <w:highlight w:val="none"/>
          <w:lang w:val="en-US" w:eastAsia="zh-CN"/>
        </w:rPr>
        <w:t>资格要求</w:t>
      </w:r>
      <w:r>
        <w:rPr>
          <w:rFonts w:hint="eastAsia" w:ascii="宋体" w:hAnsi="宋体" w:eastAsia="宋体" w:cs="宋体"/>
          <w:color w:val="auto"/>
          <w:kern w:val="0"/>
          <w:sz w:val="22"/>
          <w:szCs w:val="22"/>
          <w:highlight w:val="none"/>
          <w:lang w:val="zh-CN" w:eastAsia="zh-CN"/>
        </w:rPr>
        <w:t>规定提供下列材料：</w:t>
      </w:r>
    </w:p>
    <w:p w14:paraId="100BD469">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1.满足《中华人民共和国政府采购法》第二十二条规定：</w:t>
      </w:r>
    </w:p>
    <w:p w14:paraId="22640442">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（1）投标人具有独立承担民事责任和履行合同能力，持有工商行政管理部门核发的有效期内营业执照；</w:t>
      </w:r>
    </w:p>
    <w:p w14:paraId="680C78EC">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（2）投标人提供法定代表人授权委托书【法定代表人参加提供法定代表人身份证明书】；</w:t>
      </w:r>
    </w:p>
    <w:p w14:paraId="48F8676E">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023AC6D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（4）投标人提供近半年内已缴存的至少一个月的社会保障资金缴存单据或社保机构开具的社会保险参保缴费情况证明，依法不需要缴纳社会保障资金的投标人应提供相关文件证明或投标人提供承诺书；</w:t>
      </w:r>
    </w:p>
    <w:p w14:paraId="6A8121D6">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（5）投标人提供2024（或2025）年度的财务审计报告(带可查二维码)(成立不足一年的投标人提供成立至今的财务报表，包含资产负债表、现金流量表、利润表)或银行出具的资信证明；</w:t>
      </w:r>
    </w:p>
    <w:p w14:paraId="2708D8C0">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（6）投标人提供近半年内已缴纳的至少一个月的纳税证明或完税证明，纳税证明或完税证明上应有代收机构或税务机关的公章，依法免税的投标人应提供相关文件证明；</w:t>
      </w:r>
    </w:p>
    <w:p w14:paraId="1EF0B5D5">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（7）投标人应具备良好的商业信誉，提供参加政府采购活动前3年内在经营活动中没有重大违法记录的书面声明；</w:t>
      </w:r>
    </w:p>
    <w:p w14:paraId="1FEFEB6C">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lang w:val="zh-CN" w:eastAsia="zh-CN"/>
        </w:rPr>
        <w:t>具备履行合同所必需的设备和专业技术能力的证明；</w:t>
      </w:r>
    </w:p>
    <w:p w14:paraId="3FFC6963">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投标人提供投标保证金足额缴纳凭证。</w:t>
      </w:r>
    </w:p>
    <w:p w14:paraId="317C8C3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2.落实政府采购政策需满足的资格要求：标项1：本项目专门面向中小企业采购；</w:t>
      </w:r>
    </w:p>
    <w:p w14:paraId="5704BE0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3.本项目的特定资格要求:</w:t>
      </w:r>
      <w:r>
        <w:rPr>
          <w:rFonts w:hint="eastAsia" w:ascii="宋体" w:hAnsi="宋体" w:cs="宋体"/>
          <w:color w:val="auto"/>
          <w:kern w:val="0"/>
          <w:sz w:val="22"/>
          <w:szCs w:val="22"/>
          <w:highlight w:val="none"/>
          <w:lang w:val="en-US" w:eastAsia="zh-CN"/>
        </w:rPr>
        <w:t>投标人所投肥料产品须提供有效期内的肥料登记证（代理商或经销商投标的，须提供所投产品生产企业有效肥料登记证复印件，并加盖生产企业鲜章。）</w:t>
      </w:r>
      <w:r>
        <w:rPr>
          <w:rFonts w:hint="eastAsia" w:ascii="宋体" w:hAnsi="宋体" w:eastAsia="宋体" w:cs="宋体"/>
          <w:color w:val="auto"/>
          <w:kern w:val="0"/>
          <w:sz w:val="22"/>
          <w:szCs w:val="22"/>
          <w:highlight w:val="none"/>
          <w:lang w:val="en-US" w:eastAsia="zh-CN"/>
        </w:rPr>
        <w:t>。</w:t>
      </w:r>
    </w:p>
    <w:p w14:paraId="7BE0CA6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供应商根据采购项目的具体情况，在响应文件中应附一套完整的资格证明材料，缺少一项或某项达不到招标文件要求的按无效响应文件处理；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381DC08">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3.1.2 采购代理机构将通过“信用中国”网站（www.creditchina.gov.cn）和中国政府采购网站（www.ccgp.gov.cn）查询投标人信用记录，被列入失信被执行人、重大税收违法失信主体、政府采购严重违法失信行为记录名单的单位将被拒绝参与本项目投标。</w:t>
      </w:r>
    </w:p>
    <w:p w14:paraId="2B5A59D1">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3.1.3 投标人应保证所提供的全部证明材料的真实性，并保证愿意接受由采购人对其所提供材料的真实性的调查和考证。</w:t>
      </w:r>
    </w:p>
    <w:p w14:paraId="5D35A70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22" w:name="_Toc24166"/>
      <w:r>
        <w:rPr>
          <w:rFonts w:hint="eastAsia" w:ascii="宋体" w:hAnsi="宋体" w:eastAsia="宋体" w:cs="宋体"/>
          <w:color w:val="auto"/>
          <w:sz w:val="22"/>
          <w:szCs w:val="22"/>
          <w:highlight w:val="none"/>
        </w:rPr>
        <w:t>3.2授权委托</w:t>
      </w:r>
      <w:bookmarkEnd w:id="122"/>
    </w:p>
    <w:p w14:paraId="68E648B3">
      <w:pPr>
        <w:pStyle w:val="13"/>
        <w:pageBreakBefore w:val="0"/>
        <w:kinsoku/>
        <w:wordWrap/>
        <w:overflowPunct/>
        <w:topLinePunct w:val="0"/>
        <w:bidi w:val="0"/>
        <w:adjustRightInd w:val="0"/>
        <w:snapToGrid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3.2.1投标人代表为法定代表人（单位负责人）的，应持有法定代表人（单位负责人）身份证明。投标人代表不是法定代表人（单位负责人）的，应持有法定代表人（单位负责人）授权委托书。</w:t>
      </w:r>
    </w:p>
    <w:p w14:paraId="46A68DA6">
      <w:pPr>
        <w:pStyle w:val="13"/>
        <w:pageBreakBefore w:val="0"/>
        <w:kinsoku/>
        <w:wordWrap/>
        <w:overflowPunct/>
        <w:topLinePunct w:val="0"/>
        <w:bidi w:val="0"/>
        <w:adjustRightInd w:val="0"/>
        <w:snapToGrid w:val="0"/>
        <w:spacing w:line="480" w:lineRule="exact"/>
        <w:ind w:left="0" w:leftChars="0" w:right="0" w:firstLine="550"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3.2</w:t>
      </w:r>
      <w:r>
        <w:rPr>
          <w:rFonts w:hint="eastAsia" w:ascii="宋体" w:hAnsi="宋体" w:eastAsia="宋体" w:cs="宋体"/>
          <w:color w:val="auto"/>
          <w:kern w:val="0"/>
          <w:sz w:val="22"/>
          <w:szCs w:val="22"/>
          <w:highlight w:val="none"/>
        </w:rPr>
        <w:t>.2投标人应当委托本单位正式员工作为投标人代表，且投标人代表只能接受一个投标人的委托参加投标。</w:t>
      </w:r>
    </w:p>
    <w:p w14:paraId="58D2B415">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lang w:eastAsia="zh-CN"/>
        </w:rPr>
      </w:pPr>
      <w:bookmarkStart w:id="123" w:name="_Toc17181"/>
      <w:r>
        <w:rPr>
          <w:rFonts w:hint="eastAsia" w:ascii="宋体" w:hAnsi="宋体" w:eastAsia="宋体" w:cs="宋体"/>
          <w:color w:val="auto"/>
          <w:sz w:val="22"/>
          <w:szCs w:val="22"/>
          <w:highlight w:val="none"/>
        </w:rPr>
        <w:t>3.3联合投标</w:t>
      </w:r>
      <w:bookmarkEnd w:id="123"/>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本项目不允许联合体投标</w:t>
      </w:r>
      <w:r>
        <w:rPr>
          <w:rFonts w:hint="eastAsia" w:ascii="宋体" w:hAnsi="宋体" w:eastAsia="宋体" w:cs="宋体"/>
          <w:color w:val="auto"/>
          <w:sz w:val="22"/>
          <w:szCs w:val="22"/>
          <w:highlight w:val="none"/>
          <w:lang w:eastAsia="zh-CN"/>
        </w:rPr>
        <w:t>）</w:t>
      </w:r>
    </w:p>
    <w:p w14:paraId="2C13D583">
      <w:pPr>
        <w:pageBreakBefore w:val="0"/>
        <w:tabs>
          <w:tab w:val="left" w:pos="7665"/>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3.3.1本项目允许联合投标的，适用本条款。</w:t>
      </w:r>
    </w:p>
    <w:p w14:paraId="1CEDE8FA">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3.3.2 两个以上投标人可以组成一个投标联合体，以一个投标人的身份投标。以联合体形式参加投标的，联合体各方均应当符合《中华人民共和国政府采购法》规定的资格条件：</w:t>
      </w:r>
    </w:p>
    <w:p w14:paraId="1BF6EDD2">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（1）联合体各方均应当符合本章第3.1.1条规定的投标人基本资格条件；</w:t>
      </w:r>
    </w:p>
    <w:p w14:paraId="69A0DE56">
      <w:pPr>
        <w:pageBreakBefore w:val="0"/>
        <w:kinsoku/>
        <w:wordWrap/>
        <w:overflowPunct/>
        <w:topLinePunct w:val="0"/>
        <w:bidi w:val="0"/>
        <w:adjustRightInd w:val="0"/>
        <w:snapToGrid w:val="0"/>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（2）联合体各方中至少应当有一方符合本章第3.1.1（7）条款规定的投标人强制资格条件。</w:t>
      </w:r>
    </w:p>
    <w:p w14:paraId="337CDCCC">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3.3.3联合体各方之间应当签订共同投标协议，明确约定联合体各方承担的合同工作量比例和相应的责任，并将共同投标协议连同投标文件一并提交采购代理机构。联合体各方签订共同投标协议后，不得再以自己名义单独在同一项目中投标，也不得组成新的联合体参加同一项目投标。</w:t>
      </w:r>
    </w:p>
    <w:p w14:paraId="3BE9E7E1">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3.3.4联合体应当确定其中一个单位为投标的全权代表，负责参加投标的一切事务，并承担投标及履约中应承担的全部责任与义务。</w:t>
      </w:r>
    </w:p>
    <w:p w14:paraId="5B007EC4">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3.3.5联合体各方应当共同与采购人签订采购合同，就采购合同约定的事项对采购人承担连带责任。</w:t>
      </w:r>
    </w:p>
    <w:p w14:paraId="15D63AC9">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24" w:name="_Toc573"/>
      <w:r>
        <w:rPr>
          <w:rFonts w:hint="eastAsia" w:ascii="宋体" w:hAnsi="宋体" w:eastAsia="宋体" w:cs="宋体"/>
          <w:color w:val="auto"/>
          <w:sz w:val="22"/>
          <w:szCs w:val="22"/>
          <w:highlight w:val="none"/>
        </w:rPr>
        <w:t>3.4享受的政府采购政策</w:t>
      </w:r>
      <w:bookmarkEnd w:id="124"/>
    </w:p>
    <w:p w14:paraId="2FF609F2">
      <w:pPr>
        <w:pStyle w:val="13"/>
        <w:pageBreakBefore w:val="0"/>
        <w:widowControl w:val="0"/>
        <w:kinsoku/>
        <w:wordWrap/>
        <w:overflowPunct/>
        <w:topLinePunct w:val="0"/>
        <w:bidi w:val="0"/>
        <w:adjustRightInd w:val="0"/>
        <w:snapToGrid w:val="0"/>
        <w:spacing w:line="480" w:lineRule="exact"/>
        <w:ind w:left="0" w:leftChars="0" w:right="0" w:firstLine="442" w:firstLineChars="200"/>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3.4.1 节能产品、环境标志产品</w:t>
      </w:r>
    </w:p>
    <w:p w14:paraId="11F9DE3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3.4.1.1 根据《国家市场监督管理总局关于发布强制性产品认证目录描述与界定表的公告》（2023 年第 36 号）要求，本项目采购产品若属于《强制性产品认证目录》《强制性产品认证目录描述与界定表（2023 年修订）》范围内，须提供有效期内的强制性认证（CCC）证书。</w:t>
      </w:r>
    </w:p>
    <w:p w14:paraId="38E4D33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3.4.1.2 根据财政部、发展改革委、生态环境部、市场监管总局联合发布的《关于调整优化节能产品、环境标志产品政府采购执行机制的通知》(财库[2019]9号)要求，相关采购产品须满足以下认证及价格扣除要求：</w:t>
      </w:r>
    </w:p>
    <w:p w14:paraId="145E787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若属于《关于印发节能产品政府采购品目清单的通知》（财库[2019]19号）范围内的强制采购产品，须提供有效期内的节能产品认证证书；属于优先采购产品的，须提供有效期内的节能产品认证证书，且按以下标准给予价格扣除：节能产品金额占项目总金额≥30%，扣除2%；＜30%，扣除1%；强制采购节能产品不享受该价格扣除。</w:t>
      </w:r>
    </w:p>
    <w:p w14:paraId="48971907">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若属于《关于印发节能产品政府采购品目清单的通知》（财库[2019]19号）、《关于印发环境标志产品政府采购品目清单的通知》（财库[2019]18号）范围内的优先采购产品，须提供有效期内的对应认证证书（节能或环境标志产品认证证书）；环境标志产品按以下标准给予价格扣除：环境标志产品金额占项目总金额≥30%，扣除2%；＜30%，扣除1%。</w:t>
      </w:r>
    </w:p>
    <w:p w14:paraId="6BD07CA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注：节能产品指属于《节能产品政府采购品目清单》范围，且具备国家指定认证机构出具的有效期内节能产品认证证书的产品；环境标志产品指属于《环境标志产品政府采购品目清单》范围，且具备国家指定认证机构出具的有效期内环境标志产品认证证书的产品。</w:t>
      </w:r>
    </w:p>
    <w:p w14:paraId="60D3313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3.4.1.3 投标人所投产品有下列情形之一的，优先采购产品不再享受优先采购政策，强制采购产品按无效投标文件处理：</w:t>
      </w:r>
    </w:p>
    <w:p w14:paraId="218355E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（1）不属于《节能产品、环境标志产品品目清单》范围内的产品；</w:t>
      </w:r>
    </w:p>
    <w:p w14:paraId="5718F96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（2）未提供对应认证证书，或经核对认证证书信息有误的。</w:t>
      </w:r>
    </w:p>
    <w:p w14:paraId="3B7038B8">
      <w:pPr>
        <w:pageBreakBefore w:val="0"/>
        <w:kinsoku/>
        <w:wordWrap/>
        <w:overflowPunct/>
        <w:topLinePunct w:val="0"/>
        <w:bidi w:val="0"/>
        <w:adjustRightInd w:val="0"/>
        <w:snapToGrid w:val="0"/>
        <w:spacing w:line="480" w:lineRule="exact"/>
        <w:ind w:left="0" w:leftChars="0" w:right="0" w:firstLine="442"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3.4.2 中小企业</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本项目专门面向中小企业采购</w:t>
      </w:r>
      <w:r>
        <w:rPr>
          <w:rFonts w:hint="eastAsia" w:ascii="宋体" w:hAnsi="宋体" w:eastAsia="宋体" w:cs="宋体"/>
          <w:b/>
          <w:color w:val="auto"/>
          <w:sz w:val="22"/>
          <w:szCs w:val="22"/>
          <w:highlight w:val="none"/>
          <w:lang w:eastAsia="zh-CN"/>
        </w:rPr>
        <w:t>）</w:t>
      </w:r>
    </w:p>
    <w:p w14:paraId="591E76A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3.4.2.1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依据《工业和信息化部、国家统计局、国家发展和改革委员会、财政部关于印发中小企业划型标准规定的通知》规定划分标准，属于中小企业的，可享受支持中小型企业发展优惠政策。</w:t>
      </w:r>
    </w:p>
    <w:p w14:paraId="48EEC74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3.4.2.2</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作为中小企业参加政府采购活动时，应当提供《中小企业声明函》（见第六章响应文件格式），不提供或提供有瑕疵的：</w:t>
      </w:r>
    </w:p>
    <w:p w14:paraId="31DDC750">
      <w:pPr>
        <w:pageBreakBefore w:val="0"/>
        <w:tabs>
          <w:tab w:val="left" w:pos="7665"/>
        </w:tabs>
        <w:kinsoku/>
        <w:wordWrap/>
        <w:overflowPunct/>
        <w:topLinePunct w:val="0"/>
        <w:bidi w:val="0"/>
        <w:spacing w:line="480" w:lineRule="exact"/>
        <w:ind w:left="0" w:leftChars="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（1）在评审时，</w:t>
      </w:r>
      <w:r>
        <w:rPr>
          <w:rFonts w:hint="eastAsia" w:ascii="宋体" w:hAnsi="宋体" w:eastAsia="宋体" w:cs="宋体"/>
          <w:b/>
          <w:bCs/>
          <w:color w:val="auto"/>
          <w:sz w:val="22"/>
          <w:szCs w:val="22"/>
          <w:highlight w:val="none"/>
          <w:lang w:val="en-US" w:eastAsia="zh-CN"/>
        </w:rPr>
        <w:t>不</w:t>
      </w:r>
      <w:r>
        <w:rPr>
          <w:rFonts w:hint="eastAsia" w:ascii="宋体" w:hAnsi="宋体" w:eastAsia="宋体" w:cs="宋体"/>
          <w:b/>
          <w:bCs/>
          <w:color w:val="auto"/>
          <w:sz w:val="22"/>
          <w:szCs w:val="22"/>
          <w:highlight w:val="none"/>
        </w:rPr>
        <w:t>享受政府采购价格折扣的优惠政策；</w:t>
      </w:r>
    </w:p>
    <w:p w14:paraId="41E51A1C">
      <w:pPr>
        <w:pageBreakBefore w:val="0"/>
        <w:kinsoku/>
        <w:wordWrap/>
        <w:overflowPunct/>
        <w:topLinePunct w:val="0"/>
        <w:bidi w:val="0"/>
        <w:adjustRightInd w:val="0"/>
        <w:snapToGrid w:val="0"/>
        <w:spacing w:line="480" w:lineRule="exact"/>
        <w:ind w:left="0" w:leftChars="0" w:right="0" w:firstLine="442"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bCs/>
          <w:color w:val="auto"/>
          <w:sz w:val="22"/>
          <w:szCs w:val="22"/>
          <w:highlight w:val="none"/>
        </w:rPr>
        <w:t>（2）在资格审查时，不予通过资格审查（仅限专门面向中小企业采购的项目）。</w:t>
      </w:r>
    </w:p>
    <w:p w14:paraId="09076BB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3.4.2.3监狱企业参加政府采购活动时，视同小型微型企业。依照&lt;财政部、司法部关于政府采购支持监狱企业发展有关问题的通知&gt;（财库〔2014〕68号）之规定，应当提供由省级以上监狱管理局、戒毒管理局出具的属于监狱企业的证明文件，不提供或提供有瑕疵的，不视为小型微型企业。</w:t>
      </w:r>
    </w:p>
    <w:p w14:paraId="14D8E18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3.4.2.4 残疾人福利性单位参加政府采购活动时，视同小型微型企业。依据《财政部、民政部、中国残疾人联合会关于促进残疾人就业政府采购政策的通知》（财库〔2017〕141号）的规定，应当提供《残疾人福利性单位声明函》（见第六章响应文件格式），不提供或提供有瑕疵的，不视为小型微型企业。</w:t>
      </w:r>
    </w:p>
    <w:p w14:paraId="54FFD8E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3.4.2.5联合体各方均中小企业的，参加政府采购活动时，视同中小企业。联合体各方均需提供《中小企业声明函》，有一方未提供或提供有瑕疵的，不视为中小企业。</w:t>
      </w:r>
    </w:p>
    <w:p w14:paraId="0AA8704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3.4.2.6 中小企业可以同时享受节能产品、环境标志产品优先采购政策。同一项目中部分产品属于优先采购政策的，评审时只对该部分产品实行优先采购。</w:t>
      </w:r>
    </w:p>
    <w:p w14:paraId="076CE84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3.4.2.7 政府采购监督检查和投诉处理中对中小企业的认定，由企业所在地的县级以上中小企业主管部门负责。</w:t>
      </w:r>
    </w:p>
    <w:p w14:paraId="7C7575F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进口产品</w:t>
      </w:r>
    </w:p>
    <w:p w14:paraId="3D2D460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（A）本项目</w:t>
      </w:r>
      <w:r>
        <w:rPr>
          <w:rFonts w:hint="eastAsia" w:ascii="宋体" w:hAnsi="宋体" w:eastAsia="宋体" w:cs="宋体"/>
          <w:color w:val="auto"/>
          <w:sz w:val="22"/>
          <w:szCs w:val="22"/>
          <w:highlight w:val="none"/>
          <w:lang w:val="en-US" w:eastAsia="zh-CN"/>
        </w:rPr>
        <w:t>拒绝</w:t>
      </w:r>
      <w:r>
        <w:rPr>
          <w:rFonts w:hint="eastAsia" w:ascii="宋体" w:hAnsi="宋体" w:eastAsia="宋体" w:cs="宋体"/>
          <w:color w:val="auto"/>
          <w:sz w:val="22"/>
          <w:szCs w:val="22"/>
          <w:highlight w:val="none"/>
        </w:rPr>
        <w:t>进口产品参加投标。本条款适合未经财政部门批准采购进口产品的项目。</w:t>
      </w:r>
    </w:p>
    <w:p w14:paraId="60AB09B7">
      <w:pPr>
        <w:pStyle w:val="13"/>
        <w:pageBreakBefore w:val="0"/>
        <w:kinsoku/>
        <w:wordWrap/>
        <w:overflowPunct/>
        <w:topLinePunct w:val="0"/>
        <w:bidi w:val="0"/>
        <w:adjustRightInd w:val="0"/>
        <w:snapToGrid w:val="0"/>
        <w:spacing w:line="480" w:lineRule="exact"/>
        <w:ind w:left="0" w:leftChars="0" w:right="0" w:firstLine="161" w:firstLineChars="73"/>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3.5转包与分包</w:t>
      </w:r>
    </w:p>
    <w:p w14:paraId="3160EBDF">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3.5.1本项目严禁采取转包方式履行合同。本项项目所称转包，是指中标人将采购合同业务转让给第三人，并退出现有采购合同当事人双方权利业务关系，受让人（即第三人）成为采购合同的另一方当事人的行为。</w:t>
      </w:r>
    </w:p>
    <w:p w14:paraId="5B63B21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中标人转包的，视同拒绝履行采购合同业务，将依法追究法律责任。</w:t>
      </w:r>
    </w:p>
    <w:p w14:paraId="70A078C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3.5.2本项目经采购人同意，可以将中标项目的部分非主体、非关键性工作分包给他人完成，</w:t>
      </w:r>
      <w:r>
        <w:rPr>
          <w:rFonts w:hint="eastAsia" w:ascii="宋体" w:hAnsi="宋体" w:eastAsia="宋体" w:cs="宋体"/>
          <w:color w:val="auto"/>
          <w:sz w:val="22"/>
          <w:szCs w:val="22"/>
          <w:highlight w:val="none"/>
          <w:lang w:val="en-US" w:eastAsia="zh-CN"/>
        </w:rPr>
        <w:t>本项目</w:t>
      </w:r>
      <w:r>
        <w:rPr>
          <w:rFonts w:hint="eastAsia" w:ascii="宋体" w:hAnsi="宋体" w:eastAsia="宋体" w:cs="宋体"/>
          <w:b/>
          <w:bCs/>
          <w:color w:val="auto"/>
          <w:sz w:val="22"/>
          <w:szCs w:val="22"/>
          <w:highlight w:val="none"/>
        </w:rPr>
        <w:t>“主体和关键性工作”是指：</w:t>
      </w:r>
      <w:r>
        <w:rPr>
          <w:rFonts w:hint="eastAsia" w:ascii="宋体" w:hAnsi="宋体" w:eastAsia="宋体" w:cs="宋体"/>
          <w:b/>
          <w:bCs/>
          <w:color w:val="auto"/>
          <w:sz w:val="22"/>
          <w:szCs w:val="22"/>
          <w:highlight w:val="none"/>
          <w:lang w:eastAsia="zh-CN"/>
        </w:rPr>
        <w:t>本项目</w:t>
      </w:r>
      <w:r>
        <w:rPr>
          <w:rFonts w:hint="eastAsia" w:ascii="宋体" w:hAnsi="宋体" w:eastAsia="宋体" w:cs="宋体"/>
          <w:color w:val="auto"/>
          <w:sz w:val="22"/>
          <w:szCs w:val="22"/>
          <w:highlight w:val="none"/>
        </w:rPr>
        <w:t>全部内容，本项目不允许分包。</w:t>
      </w:r>
    </w:p>
    <w:p w14:paraId="27729B47">
      <w:pPr>
        <w:pageBreakBefore w:val="0"/>
        <w:kinsoku/>
        <w:wordWrap/>
        <w:overflowPunct/>
        <w:topLinePunct w:val="0"/>
        <w:bidi w:val="0"/>
        <w:spacing w:line="480" w:lineRule="exact"/>
        <w:ind w:left="0" w:leftChars="0" w:right="0" w:firstLine="493"/>
        <w:textAlignment w:val="auto"/>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rPr>
        <w:t>接受分包的投标人应当具备相应的资格条件，并不得再次分包。</w:t>
      </w:r>
      <w:r>
        <w:rPr>
          <w:rFonts w:hint="eastAsia" w:ascii="宋体" w:hAnsi="宋体" w:eastAsia="宋体" w:cs="宋体"/>
          <w:color w:val="auto"/>
          <w:sz w:val="22"/>
          <w:szCs w:val="22"/>
          <w:highlight w:val="none"/>
        </w:rPr>
        <w:t>采购合同实行分包履行的，中标人就采购项目和分包项目向采购人负责，分包投标人就分包项目承担责任。</w:t>
      </w:r>
    </w:p>
    <w:p w14:paraId="3E02FF3D">
      <w:pPr>
        <w:pStyle w:val="13"/>
        <w:pageBreakBefore w:val="0"/>
        <w:kinsoku/>
        <w:wordWrap/>
        <w:overflowPunct/>
        <w:topLinePunct w:val="0"/>
        <w:bidi w:val="0"/>
        <w:adjustRightInd w:val="0"/>
        <w:snapToGrid w:val="0"/>
        <w:spacing w:line="480" w:lineRule="exact"/>
        <w:ind w:left="0" w:leftChars="0" w:right="0" w:firstLine="161" w:firstLineChars="73"/>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3.6投标人的风险</w:t>
      </w:r>
    </w:p>
    <w:p w14:paraId="323C744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投标人应认真阅读和充分理解招标文件中所有的事项、格式条款和规范要求，任何对</w:t>
      </w:r>
      <w:r>
        <w:rPr>
          <w:rFonts w:hint="eastAsia" w:ascii="宋体" w:hAnsi="宋体" w:eastAsia="宋体" w:cs="宋体"/>
          <w:bCs/>
          <w:color w:val="auto"/>
          <w:sz w:val="22"/>
          <w:szCs w:val="22"/>
          <w:highlight w:val="none"/>
        </w:rPr>
        <w:t>招标</w:t>
      </w:r>
      <w:r>
        <w:rPr>
          <w:rFonts w:hint="eastAsia" w:ascii="宋体" w:hAnsi="宋体" w:eastAsia="宋体" w:cs="宋体"/>
          <w:color w:val="auto"/>
          <w:sz w:val="22"/>
          <w:szCs w:val="22"/>
          <w:highlight w:val="none"/>
        </w:rPr>
        <w:t>文件的忽略或误解不能作为投标文件存在缺陷或瑕疵的理由；投标人</w:t>
      </w:r>
      <w:r>
        <w:rPr>
          <w:rFonts w:hint="eastAsia" w:ascii="宋体" w:hAnsi="宋体" w:eastAsia="宋体" w:cs="宋体"/>
          <w:color w:val="auto"/>
          <w:kern w:val="0"/>
          <w:sz w:val="22"/>
          <w:szCs w:val="22"/>
          <w:highlight w:val="none"/>
        </w:rPr>
        <w:t>没有按照招标文件要求提供全部资料，</w:t>
      </w:r>
      <w:r>
        <w:rPr>
          <w:rFonts w:hint="eastAsia" w:ascii="宋体" w:hAnsi="宋体" w:eastAsia="宋体" w:cs="宋体"/>
          <w:color w:val="auto"/>
          <w:sz w:val="22"/>
          <w:szCs w:val="22"/>
          <w:highlight w:val="none"/>
        </w:rPr>
        <w:t>或对招标文件全面做出实质性响应是投标人的风险，</w:t>
      </w:r>
      <w:r>
        <w:rPr>
          <w:rFonts w:hint="eastAsia" w:ascii="宋体" w:hAnsi="宋体" w:eastAsia="宋体" w:cs="宋体"/>
          <w:color w:val="auto"/>
          <w:kern w:val="0"/>
          <w:sz w:val="22"/>
          <w:szCs w:val="22"/>
          <w:highlight w:val="none"/>
        </w:rPr>
        <w:t>并可能导致其投标文件被拒绝。</w:t>
      </w:r>
    </w:p>
    <w:p w14:paraId="65B25F4F">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3.7投标人的纪律要求</w:t>
      </w:r>
    </w:p>
    <w:p w14:paraId="28826A73">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3.7.1 有下列情形之一的，属于不合格投标人，其投标或中标资格将被取消：</w:t>
      </w:r>
    </w:p>
    <w:p w14:paraId="7E057D5F">
      <w:pPr>
        <w:pageBreakBefore w:val="0"/>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w:t>
      </w:r>
    </w:p>
    <w:p w14:paraId="3BA2C35B">
      <w:pPr>
        <w:pageBreakBefore w:val="0"/>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（2）采取不正当手段诋毁、排挤其他投标人；</w:t>
      </w:r>
    </w:p>
    <w:p w14:paraId="0AD5E21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（3）与采购人、采购代理机构、其他投标人恶意串通；</w:t>
      </w:r>
    </w:p>
    <w:p w14:paraId="2B20F17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（4）向采购人、采购代理机构、评标委员会成员行贿或者提供其他不正当利益；</w:t>
      </w:r>
    </w:p>
    <w:p w14:paraId="1FC3AB47">
      <w:pPr>
        <w:pStyle w:val="14"/>
        <w:pageBreakBefore w:val="0"/>
        <w:tabs>
          <w:tab w:val="left" w:pos="72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（5）在招标过程中与采购人、采购代理机构进行协商谈判；</w:t>
      </w:r>
    </w:p>
    <w:p w14:paraId="4A987049">
      <w:pPr>
        <w:pStyle w:val="14"/>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（6）拒绝有关部门的监督检查或者向监督检查部门提供虚假情况。</w:t>
      </w:r>
    </w:p>
    <w:p w14:paraId="7236338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3.7.2有下列情形之一的，视为投标人相互恶意串通投标，其投标无效：</w:t>
      </w:r>
    </w:p>
    <w:p w14:paraId="05014FC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（1）不同投标人的投标文件由同一单位或者个人编制；</w:t>
      </w:r>
    </w:p>
    <w:p w14:paraId="3E5C069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（2）不同投标人委托同一单位或者个人办理投标事宜；</w:t>
      </w:r>
    </w:p>
    <w:p w14:paraId="38F5531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（3）不同投标人的投标文件载明的项目管理成员为同一人；</w:t>
      </w:r>
    </w:p>
    <w:p w14:paraId="37CFC9A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（4）不同投标人的投标文件异常一致或者投标报价呈规律性差异；</w:t>
      </w:r>
    </w:p>
    <w:p w14:paraId="401BD6C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（5）不同投标人的投标文件相互混装；</w:t>
      </w:r>
    </w:p>
    <w:p w14:paraId="73B09DF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（6）不同投标人的投标保证金从同一单位或者个人的账户转出；</w:t>
      </w:r>
    </w:p>
    <w:p w14:paraId="33CDADE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（7）不同投标人的投标文件由同一投标人送达。</w:t>
      </w:r>
    </w:p>
    <w:p w14:paraId="69C3EE29">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25" w:name="_Toc18750"/>
      <w:r>
        <w:rPr>
          <w:rFonts w:hint="eastAsia" w:ascii="宋体" w:hAnsi="宋体" w:eastAsia="宋体" w:cs="宋体"/>
          <w:bCs/>
          <w:color w:val="auto"/>
          <w:sz w:val="28"/>
          <w:szCs w:val="28"/>
          <w:highlight w:val="none"/>
          <w:lang w:val="en-US" w:eastAsia="zh-CN"/>
        </w:rPr>
        <w:t>4.投标文件</w:t>
      </w:r>
      <w:bookmarkEnd w:id="125"/>
    </w:p>
    <w:p w14:paraId="00198093">
      <w:pPr>
        <w:pageBreakBefore w:val="0"/>
        <w:kinsoku/>
        <w:wordWrap/>
        <w:overflowPunct/>
        <w:topLinePunct w:val="0"/>
        <w:bidi w:val="0"/>
        <w:snapToGrid w:val="0"/>
        <w:spacing w:line="480" w:lineRule="exact"/>
        <w:ind w:left="0" w:leftChars="0" w:right="0"/>
        <w:textAlignment w:val="auto"/>
        <w:outlineLvl w:val="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4.1投标文件的编写原则和要求</w:t>
      </w:r>
    </w:p>
    <w:p w14:paraId="71D4A989">
      <w:pPr>
        <w:pageBreakBefore w:val="0"/>
        <w:tabs>
          <w:tab w:val="left" w:pos="720"/>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4.1.1 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w:t>
      </w:r>
      <w:r>
        <w:rPr>
          <w:rFonts w:hint="eastAsia" w:ascii="宋体" w:hAnsi="宋体" w:eastAsia="宋体" w:cs="宋体"/>
          <w:b/>
          <w:color w:val="auto"/>
          <w:sz w:val="22"/>
          <w:szCs w:val="22"/>
          <w:highlight w:val="none"/>
        </w:rPr>
        <w:t>投标人拟在中标后将中标项目的非主体、非关键性工作交由他人完成的，应当在投标文件中载明。</w:t>
      </w:r>
      <w:r>
        <w:rPr>
          <w:rFonts w:hint="eastAsia" w:ascii="宋体" w:hAnsi="宋体" w:eastAsia="宋体" w:cs="宋体"/>
          <w:color w:val="auto"/>
          <w:sz w:val="22"/>
          <w:szCs w:val="22"/>
          <w:highlight w:val="none"/>
        </w:rPr>
        <w:t>投标人对本招标文件的每一项要求所给予的响应必须是唯一的，否则将视为无效投标文件。</w:t>
      </w:r>
    </w:p>
    <w:p w14:paraId="71EA30B6">
      <w:pPr>
        <w:pageBreakBefore w:val="0"/>
        <w:tabs>
          <w:tab w:val="left" w:pos="720"/>
        </w:tabs>
        <w:kinsoku/>
        <w:wordWrap/>
        <w:overflowPunct/>
        <w:topLinePunct w:val="0"/>
        <w:bidi w:val="0"/>
        <w:snapToGrid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4.1.2 真实性原则</w:t>
      </w:r>
    </w:p>
    <w:p w14:paraId="0E07A90B">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4.1.2.1 投标人应保证所提供的投标文件和所有资料的真实性、准确性和完整性。</w:t>
      </w:r>
    </w:p>
    <w:p w14:paraId="6CDA0068">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4.1.2.2 投标人被认定为在采购活动中提供不真实材料的，无论其材料是否重要，采购人均有权拒绝，并取消其投标或中标资格，投标人需承担相应的法律后果。</w:t>
      </w:r>
    </w:p>
    <w:p w14:paraId="7BED92FE">
      <w:pPr>
        <w:pageBreakBefore w:val="0"/>
        <w:tabs>
          <w:tab w:val="left" w:pos="720"/>
        </w:tabs>
        <w:kinsoku/>
        <w:wordWrap/>
        <w:overflowPunct/>
        <w:topLinePunct w:val="0"/>
        <w:bidi w:val="0"/>
        <w:snapToGrid w:val="0"/>
        <w:spacing w:line="480" w:lineRule="exact"/>
        <w:ind w:left="0" w:leftChars="0" w:right="0" w:firstLine="48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4.1.3 投标货币</w:t>
      </w:r>
    </w:p>
    <w:p w14:paraId="00DD064E">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本项目的投标均以人民币报价。</w:t>
      </w:r>
    </w:p>
    <w:p w14:paraId="6B6251FA">
      <w:pPr>
        <w:pageBreakBefore w:val="0"/>
        <w:tabs>
          <w:tab w:val="left" w:pos="720"/>
        </w:tabs>
        <w:kinsoku/>
        <w:wordWrap/>
        <w:overflowPunct/>
        <w:topLinePunct w:val="0"/>
        <w:bidi w:val="0"/>
        <w:snapToGrid w:val="0"/>
        <w:spacing w:line="480" w:lineRule="exact"/>
        <w:ind w:left="0" w:leftChars="0" w:right="0" w:firstLine="444" w:firstLineChars="201"/>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4.1.4 投标文件形式</w:t>
      </w:r>
    </w:p>
    <w:p w14:paraId="2A87AF69">
      <w:pPr>
        <w:pStyle w:val="13"/>
        <w:pageBreakBefore w:val="0"/>
        <w:kinsoku/>
        <w:wordWrap/>
        <w:overflowPunct/>
        <w:topLinePunct w:val="0"/>
        <w:bidi w:val="0"/>
        <w:adjustRightInd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本项目投标文件应采用</w:t>
      </w:r>
      <w:r>
        <w:rPr>
          <w:rFonts w:hint="eastAsia" w:ascii="宋体" w:hAnsi="宋体" w:eastAsia="宋体" w:cs="宋体"/>
          <w:color w:val="auto"/>
          <w:sz w:val="22"/>
          <w:szCs w:val="22"/>
          <w:highlight w:val="none"/>
          <w:lang w:eastAsia="zh-CN"/>
        </w:rPr>
        <w:t>软件</w:t>
      </w:r>
      <w:r>
        <w:rPr>
          <w:rFonts w:hint="eastAsia" w:ascii="宋体" w:hAnsi="宋体" w:eastAsia="宋体" w:cs="宋体"/>
          <w:color w:val="auto"/>
          <w:sz w:val="22"/>
          <w:szCs w:val="22"/>
          <w:highlight w:val="none"/>
        </w:rPr>
        <w:t>形式，电报、传真、电子邮件形式的投标文件不予接受。</w:t>
      </w:r>
    </w:p>
    <w:p w14:paraId="21FB6CAF">
      <w:pPr>
        <w:pageBreakBefore w:val="0"/>
        <w:tabs>
          <w:tab w:val="left" w:pos="720"/>
        </w:tabs>
        <w:kinsoku/>
        <w:wordWrap/>
        <w:overflowPunct/>
        <w:topLinePunct w:val="0"/>
        <w:bidi w:val="0"/>
        <w:snapToGrid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4.1.5 备选方案</w:t>
      </w:r>
    </w:p>
    <w:p w14:paraId="41848825">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4.1.5.1 除投标人须知前附表规定允许外，投标人不得递交备选投标方案，投标文件的报价只允许有一个报价，不接受具有附加条件的报价，否则，视为无效投标。</w:t>
      </w:r>
    </w:p>
    <w:p w14:paraId="1D740B57">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14:paraId="3DD9A7B2">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4.1.5.3 投标人提供两个或两个以上投标报价，或者在投标文件中提供一个报价，但同时提供两个或两个以上供货方案的，视为提供备选方案。</w:t>
      </w:r>
    </w:p>
    <w:bookmarkEnd w:id="119"/>
    <w:bookmarkEnd w:id="120"/>
    <w:bookmarkEnd w:id="121"/>
    <w:p w14:paraId="3200D9B2">
      <w:pPr>
        <w:pageBreakBefore w:val="0"/>
        <w:tabs>
          <w:tab w:val="left" w:pos="720"/>
        </w:tabs>
        <w:kinsoku/>
        <w:wordWrap/>
        <w:overflowPunct/>
        <w:topLinePunct w:val="0"/>
        <w:bidi w:val="0"/>
        <w:snapToGrid w:val="0"/>
        <w:spacing w:line="480" w:lineRule="exact"/>
        <w:ind w:left="0" w:leftChars="0" w:right="0"/>
        <w:textAlignment w:val="auto"/>
        <w:rPr>
          <w:rFonts w:hint="eastAsia" w:ascii="宋体" w:hAnsi="宋体" w:eastAsia="宋体" w:cs="宋体"/>
          <w:b/>
          <w:color w:val="auto"/>
          <w:sz w:val="22"/>
          <w:szCs w:val="22"/>
          <w:highlight w:val="none"/>
        </w:rPr>
      </w:pPr>
      <w:bookmarkStart w:id="126" w:name="_Toc217446048"/>
      <w:bookmarkStart w:id="127" w:name="_Toc183682354"/>
      <w:bookmarkStart w:id="128" w:name="_Toc183582217"/>
      <w:r>
        <w:rPr>
          <w:rFonts w:hint="eastAsia" w:ascii="宋体" w:hAnsi="宋体" w:eastAsia="宋体" w:cs="宋体"/>
          <w:b/>
          <w:color w:val="auto"/>
          <w:sz w:val="22"/>
          <w:szCs w:val="22"/>
          <w:highlight w:val="none"/>
        </w:rPr>
        <w:t>4.2 投标文件的组成</w:t>
      </w:r>
      <w:bookmarkEnd w:id="126"/>
      <w:bookmarkEnd w:id="127"/>
      <w:bookmarkEnd w:id="128"/>
    </w:p>
    <w:p w14:paraId="38E45636">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4.2.1投标文件由下列文件组成：</w:t>
      </w:r>
    </w:p>
    <w:p w14:paraId="4E60C02E">
      <w:pPr>
        <w:pageBreakBefore w:val="0"/>
        <w:tabs>
          <w:tab w:val="left" w:pos="2730"/>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（1）资格审查</w:t>
      </w:r>
      <w:r>
        <w:rPr>
          <w:rFonts w:hint="eastAsia" w:ascii="宋体" w:hAnsi="宋体" w:eastAsia="宋体" w:cs="宋体"/>
          <w:color w:val="auto"/>
          <w:sz w:val="22"/>
          <w:szCs w:val="22"/>
          <w:highlight w:val="none"/>
          <w:lang w:val="en-US" w:eastAsia="zh-CN"/>
        </w:rPr>
        <w:t>部分</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（详见</w:t>
      </w:r>
      <w:r>
        <w:rPr>
          <w:rFonts w:hint="eastAsia" w:ascii="宋体" w:hAnsi="宋体" w:eastAsia="宋体" w:cs="宋体"/>
          <w:color w:val="auto"/>
          <w:sz w:val="22"/>
          <w:szCs w:val="22"/>
          <w:highlight w:val="none"/>
        </w:rPr>
        <w:t>投标文件格式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ab/>
      </w:r>
    </w:p>
    <w:p w14:paraId="36D1A76B">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（2）商务技术</w:t>
      </w:r>
      <w:r>
        <w:rPr>
          <w:rFonts w:hint="eastAsia" w:ascii="宋体" w:hAnsi="宋体" w:eastAsia="宋体" w:cs="宋体"/>
          <w:color w:val="auto"/>
          <w:sz w:val="22"/>
          <w:szCs w:val="22"/>
          <w:highlight w:val="none"/>
          <w:lang w:val="en-US" w:eastAsia="zh-CN"/>
        </w:rPr>
        <w:t>部分</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（详见</w:t>
      </w:r>
      <w:r>
        <w:rPr>
          <w:rFonts w:hint="eastAsia" w:ascii="宋体" w:hAnsi="宋体" w:eastAsia="宋体" w:cs="宋体"/>
          <w:color w:val="auto"/>
          <w:sz w:val="22"/>
          <w:szCs w:val="22"/>
          <w:highlight w:val="none"/>
        </w:rPr>
        <w:t>投标文件格式</w:t>
      </w:r>
      <w:r>
        <w:rPr>
          <w:rFonts w:hint="eastAsia" w:ascii="宋体" w:hAnsi="宋体" w:eastAsia="宋体" w:cs="宋体"/>
          <w:color w:val="auto"/>
          <w:sz w:val="22"/>
          <w:szCs w:val="22"/>
          <w:highlight w:val="none"/>
          <w:lang w:eastAsia="zh-CN"/>
        </w:rPr>
        <w:t>）</w:t>
      </w:r>
    </w:p>
    <w:p w14:paraId="5655384F">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4.3投标报价</w:t>
      </w:r>
    </w:p>
    <w:p w14:paraId="0E9671E5">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4.3.1 </w:t>
      </w:r>
      <w:r>
        <w:rPr>
          <w:rFonts w:hint="eastAsia" w:ascii="宋体" w:hAnsi="宋体" w:eastAsia="宋体" w:cs="宋体"/>
          <w:bCs/>
          <w:color w:val="auto"/>
          <w:sz w:val="22"/>
          <w:szCs w:val="22"/>
          <w:highlight w:val="none"/>
        </w:rPr>
        <w:t>投标人应当</w:t>
      </w:r>
      <w:r>
        <w:rPr>
          <w:rFonts w:hint="eastAsia" w:ascii="宋体" w:hAnsi="宋体" w:eastAsia="宋体" w:cs="宋体"/>
          <w:color w:val="auto"/>
          <w:sz w:val="22"/>
          <w:szCs w:val="22"/>
          <w:highlight w:val="none"/>
        </w:rPr>
        <w:t>按照招标文件要求填报投标报价，并充分了解该采购项目的总体情况以及影响投标报价的其他要素。</w:t>
      </w:r>
    </w:p>
    <w:p w14:paraId="357D2FAB">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4.3.2 </w:t>
      </w:r>
      <w:r>
        <w:rPr>
          <w:rFonts w:hint="eastAsia" w:ascii="宋体" w:hAnsi="宋体" w:eastAsia="宋体" w:cs="宋体"/>
          <w:color w:val="auto"/>
          <w:spacing w:val="3"/>
          <w:sz w:val="22"/>
          <w:szCs w:val="22"/>
          <w:highlight w:val="none"/>
        </w:rPr>
        <w:t>投标报价应是完成招标内容所需设备的全部费用，包括但不限于产品的报价及所发生</w:t>
      </w:r>
      <w:r>
        <w:rPr>
          <w:rFonts w:hint="eastAsia" w:ascii="宋体" w:hAnsi="宋体" w:eastAsia="宋体" w:cs="宋体"/>
          <w:color w:val="auto"/>
          <w:spacing w:val="-4"/>
          <w:sz w:val="22"/>
          <w:szCs w:val="22"/>
          <w:highlight w:val="none"/>
        </w:rPr>
        <w:t>的：</w:t>
      </w:r>
      <w:r>
        <w:rPr>
          <w:rFonts w:hint="eastAsia" w:ascii="宋体" w:hAnsi="宋体" w:eastAsia="宋体" w:cs="宋体"/>
          <w:b/>
          <w:bCs/>
          <w:color w:val="auto"/>
          <w:spacing w:val="-4"/>
          <w:sz w:val="22"/>
          <w:szCs w:val="22"/>
          <w:highlight w:val="none"/>
        </w:rPr>
        <w:t>包括采购代理服务费、货物价格、备品备件、包装、运输、仓储、保管、保险、装卸（卸货至甲方指定地点）、利润、相关税费及市场价格风险在内等全部费用。</w:t>
      </w:r>
      <w:r>
        <w:rPr>
          <w:rFonts w:hint="eastAsia" w:ascii="宋体" w:hAnsi="宋体" w:eastAsia="宋体" w:cs="宋体"/>
          <w:color w:val="auto"/>
          <w:sz w:val="22"/>
          <w:szCs w:val="22"/>
          <w:highlight w:val="none"/>
        </w:rPr>
        <w:t>进口设备除应包括要向中华人民共和国政府缴纳的增值税和其它税，还应包括货物在制造或组装时使用的部件和原材料是从关境外进口的已交纳或应交纳的全部关税、增值税和其它税等一切费用。要求的其他相关费用以本招标文件的内容和要求作为投标依据。报价时单价所反映的内容同上，综合考虑在单价中。在供货、安装、调试、培训等工作中出现硬件、软件等的任何遗漏，均由中标人免费提供，采购人将不再支付任何费用。</w:t>
      </w:r>
    </w:p>
    <w:p w14:paraId="21C4EDC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4.3.3 投标</w:t>
      </w:r>
      <w:r>
        <w:rPr>
          <w:rFonts w:hint="eastAsia" w:ascii="宋体" w:hAnsi="宋体" w:eastAsia="宋体" w:cs="宋体"/>
          <w:color w:val="auto"/>
          <w:kern w:val="0"/>
          <w:sz w:val="22"/>
          <w:szCs w:val="22"/>
          <w:highlight w:val="none"/>
        </w:rPr>
        <w:t>人应按</w:t>
      </w:r>
      <w:r>
        <w:rPr>
          <w:rFonts w:hint="eastAsia" w:ascii="宋体" w:hAnsi="宋体" w:eastAsia="宋体" w:cs="宋体"/>
          <w:color w:val="auto"/>
          <w:sz w:val="22"/>
          <w:szCs w:val="22"/>
          <w:highlight w:val="none"/>
        </w:rPr>
        <w:t>“开标一览表”</w:t>
      </w:r>
      <w:r>
        <w:rPr>
          <w:rFonts w:hint="eastAsia" w:ascii="宋体" w:hAnsi="宋体" w:cs="宋体"/>
          <w:color w:val="auto"/>
          <w:sz w:val="22"/>
          <w:szCs w:val="22"/>
          <w:highlight w:val="none"/>
          <w:lang w:val="en-US" w:eastAsia="zh-CN"/>
        </w:rPr>
        <w:t>及</w:t>
      </w:r>
      <w:r>
        <w:rPr>
          <w:rFonts w:hint="eastAsia" w:ascii="宋体" w:hAnsi="宋体" w:eastAsia="宋体" w:cs="宋体"/>
          <w:color w:val="auto"/>
          <w:sz w:val="22"/>
          <w:szCs w:val="22"/>
          <w:highlight w:val="none"/>
        </w:rPr>
        <w:t>“货物（产品）分项报价表”</w:t>
      </w:r>
      <w:r>
        <w:rPr>
          <w:rFonts w:hint="eastAsia" w:ascii="宋体" w:hAnsi="宋体" w:eastAsia="宋体" w:cs="宋体"/>
          <w:color w:val="auto"/>
          <w:kern w:val="0"/>
          <w:sz w:val="22"/>
          <w:szCs w:val="22"/>
          <w:highlight w:val="none"/>
        </w:rPr>
        <w:t>的内容</w:t>
      </w:r>
      <w:r>
        <w:rPr>
          <w:rFonts w:hint="eastAsia" w:ascii="宋体" w:hAnsi="宋体" w:eastAsia="宋体" w:cs="宋体"/>
          <w:color w:val="auto"/>
          <w:sz w:val="22"/>
          <w:szCs w:val="22"/>
          <w:highlight w:val="none"/>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14:paraId="0EA7CCAD">
      <w:pPr>
        <w:pageBreakBefore w:val="0"/>
        <w:kinsoku/>
        <w:wordWrap/>
        <w:overflowPunct/>
        <w:topLinePunct w:val="0"/>
        <w:bidi w:val="0"/>
        <w:adjustRightInd w:val="0"/>
        <w:snapToGrid w:val="0"/>
        <w:spacing w:line="480" w:lineRule="exact"/>
        <w:ind w:left="0" w:leftChars="0" w:right="0"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4.3.4 </w:t>
      </w:r>
      <w:r>
        <w:rPr>
          <w:rFonts w:hint="eastAsia" w:ascii="宋体" w:hAnsi="宋体" w:eastAsia="宋体" w:cs="宋体"/>
          <w:color w:val="auto"/>
          <w:sz w:val="22"/>
          <w:szCs w:val="22"/>
          <w:highlight w:val="none"/>
        </w:rPr>
        <w:t>投标人每种产品只允许有一个报价，并且在合同履行过程中是固定不变的，任何有选择或可调整的报价将不予接受并按无效投标处理。</w:t>
      </w:r>
    </w:p>
    <w:p w14:paraId="7618AEA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4.3.5 当评标委员会认为，某投标人的报价存在明显低于其他通过符合性审查投标人的报价，有可能影响货物质量和不能诚信履约的，应当要求其在评标现场规定时间内，提供必要的书面文件予以解释和说明，</w:t>
      </w:r>
      <w:r>
        <w:rPr>
          <w:rFonts w:hint="eastAsia" w:ascii="宋体" w:hAnsi="宋体" w:eastAsia="宋体" w:cs="宋体"/>
          <w:b/>
          <w:color w:val="auto"/>
          <w:sz w:val="22"/>
          <w:szCs w:val="22"/>
          <w:highlight w:val="none"/>
        </w:rPr>
        <w:t>必要时</w:t>
      </w:r>
      <w:r>
        <w:rPr>
          <w:rFonts w:hint="eastAsia" w:ascii="宋体" w:hAnsi="宋体" w:eastAsia="宋体" w:cs="宋体"/>
          <w:color w:val="auto"/>
          <w:sz w:val="22"/>
          <w:szCs w:val="22"/>
          <w:highlight w:val="none"/>
        </w:rPr>
        <w:t>提交相关证明材料；若投标人不能证明其报价合理性，评标委员会将其作无效投标处理。</w:t>
      </w:r>
    </w:p>
    <w:p w14:paraId="347E1E3D">
      <w:pPr>
        <w:pageBreakBefore w:val="0"/>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4.4投标有效期</w:t>
      </w:r>
    </w:p>
    <w:p w14:paraId="7F913EB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4.4.1投标有效期见投标人须知前附表。在此期间投标文件对投标人具有法律约束力，从</w:t>
      </w:r>
      <w:r>
        <w:rPr>
          <w:rFonts w:hint="eastAsia" w:ascii="宋体" w:hAnsi="宋体" w:eastAsia="宋体" w:cs="宋体"/>
          <w:b/>
          <w:color w:val="auto"/>
          <w:sz w:val="22"/>
          <w:szCs w:val="22"/>
          <w:highlight w:val="none"/>
        </w:rPr>
        <w:t>投标人须知前附表规定</w:t>
      </w:r>
      <w:r>
        <w:rPr>
          <w:rFonts w:hint="eastAsia" w:ascii="宋体" w:hAnsi="宋体" w:eastAsia="宋体" w:cs="宋体"/>
          <w:color w:val="auto"/>
          <w:sz w:val="22"/>
          <w:szCs w:val="22"/>
          <w:highlight w:val="none"/>
        </w:rPr>
        <w:t>的</w:t>
      </w:r>
      <w:r>
        <w:rPr>
          <w:rFonts w:hint="eastAsia" w:ascii="宋体" w:hAnsi="宋体" w:eastAsia="宋体" w:cs="宋体"/>
          <w:color w:val="auto"/>
          <w:kern w:val="0"/>
          <w:sz w:val="22"/>
          <w:szCs w:val="22"/>
          <w:highlight w:val="none"/>
        </w:rPr>
        <w:t>递交投标文件截止时间</w:t>
      </w:r>
      <w:r>
        <w:rPr>
          <w:rFonts w:hint="eastAsia" w:ascii="宋体" w:hAnsi="宋体" w:eastAsia="宋体" w:cs="宋体"/>
          <w:color w:val="auto"/>
          <w:sz w:val="22"/>
          <w:szCs w:val="22"/>
          <w:highlight w:val="none"/>
        </w:rPr>
        <w:t>之日起计算。投标有效期短于此规定期限的投标，属于非实质性响应，将按无效投标处理。</w:t>
      </w:r>
    </w:p>
    <w:p w14:paraId="0407C3E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4.4.2 出现特殊情况需要延长投标有效期的，采购代理机构或采购人可于投标有效期满之前，以书面形式或政采云平台通知所有投标人延长投标有效期。投标人应予书面答复，同意延长的，应相应延长其投标保证金有效期，但不得要求或被允许修改其投标文件；投标人拒绝延长的，其投标失效，但投标人有权收回其投标保证金。</w:t>
      </w:r>
    </w:p>
    <w:p w14:paraId="7506246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4.4.3 在投标有效期内，投标人撤销投标文件的，应承担招标文件和法律规定的责任。</w:t>
      </w:r>
    </w:p>
    <w:p w14:paraId="05E60DB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4.4.4 中标人的投标有效期自动延长至合同终止为止。</w:t>
      </w:r>
    </w:p>
    <w:p w14:paraId="56C94CA6">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4.5 投标保证金</w:t>
      </w:r>
    </w:p>
    <w:p w14:paraId="38D9DE9E">
      <w:pPr>
        <w:pageBreakBefore w:val="0"/>
        <w:kinsoku/>
        <w:wordWrap/>
        <w:overflowPunct/>
        <w:topLinePunct w:val="0"/>
        <w:bidi w:val="0"/>
        <w:spacing w:line="480" w:lineRule="exact"/>
        <w:ind w:left="0" w:leftChars="0" w:right="0" w:firstLine="433" w:firstLineChars="196"/>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4.5.1投标保证金的提交</w:t>
      </w:r>
    </w:p>
    <w:p w14:paraId="7E7665C4">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4.5.1.1 开标现场不办理投标保证金事宜。</w:t>
      </w:r>
    </w:p>
    <w:p w14:paraId="31ED1DAB">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4.5.1.2 投标人应按投标人须知前附表规定的金额、形式和时间提交，作为其投标文件的一部分。联合投标的，</w:t>
      </w:r>
      <w:r>
        <w:rPr>
          <w:rFonts w:hint="eastAsia" w:ascii="宋体" w:hAnsi="宋体" w:eastAsia="宋体" w:cs="宋体"/>
          <w:color w:val="auto"/>
          <w:sz w:val="22"/>
          <w:szCs w:val="22"/>
          <w:highlight w:val="none"/>
          <w:shd w:val="clear" w:color="auto" w:fill="FFFFFF"/>
        </w:rPr>
        <w:t>应当以</w:t>
      </w:r>
      <w:r>
        <w:rPr>
          <w:rFonts w:hint="eastAsia" w:ascii="宋体" w:hAnsi="宋体" w:eastAsia="宋体" w:cs="宋体"/>
          <w:color w:val="auto"/>
          <w:sz w:val="22"/>
          <w:szCs w:val="22"/>
          <w:highlight w:val="none"/>
        </w:rPr>
        <w:t>各方或者联合体中牵头人的名义提交投标保证金。以联合体牵头单位提交投标保证金的，对联合体各方均具有约束力。</w:t>
      </w:r>
    </w:p>
    <w:p w14:paraId="43D0D1F9">
      <w:pPr>
        <w:keepNext w:val="0"/>
        <w:keepLines w:val="0"/>
        <w:pageBreakBefore w:val="0"/>
        <w:widowControl/>
        <w:kinsoku/>
        <w:wordWrap/>
        <w:overflowPunct/>
        <w:topLinePunct w:val="0"/>
        <w:bidi w:val="0"/>
        <w:snapToGrid/>
        <w:spacing w:line="480" w:lineRule="exact"/>
        <w:ind w:left="0" w:right="0" w:rightChars="0" w:firstLine="660" w:firstLineChars="3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4.5.1.3 </w:t>
      </w:r>
      <w:r>
        <w:rPr>
          <w:rFonts w:hint="eastAsia" w:ascii="宋体" w:hAnsi="宋体" w:eastAsia="宋体" w:cs="宋体"/>
          <w:color w:val="auto"/>
          <w:sz w:val="22"/>
          <w:szCs w:val="22"/>
          <w:highlight w:val="none"/>
          <w:lang w:val="en-US" w:eastAsia="zh-CN"/>
        </w:rPr>
        <w:t>以支票、汇票、本票或者金融机构、担保机构出具的保函等非现金形式提交。（推广电子保函）</w:t>
      </w:r>
    </w:p>
    <w:p w14:paraId="3D02A32C">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未按招标文件要求在规定时间前提交投标保证金的投标将被拒绝。</w:t>
      </w:r>
    </w:p>
    <w:p w14:paraId="28DF6BFE">
      <w:pPr>
        <w:pageBreakBefore w:val="0"/>
        <w:kinsoku/>
        <w:wordWrap/>
        <w:overflowPunct/>
        <w:topLinePunct w:val="0"/>
        <w:bidi w:val="0"/>
        <w:spacing w:line="480" w:lineRule="exact"/>
        <w:ind w:left="0" w:leftChars="0" w:right="0" w:firstLine="433" w:firstLineChars="196"/>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4.5.2 投标保证金的退还</w:t>
      </w:r>
    </w:p>
    <w:p w14:paraId="4DFC4014">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4.5.2.1未中标人的投标保证金，将在中标通知书发出之日起5个工作日内全额退还。中标人的投标保证金，在采购人与中标人签订合同后5个工作日内全额退还。</w:t>
      </w:r>
    </w:p>
    <w:p w14:paraId="03F938E5">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bookmarkStart w:id="129" w:name="_Toc183682361"/>
      <w:bookmarkStart w:id="130" w:name="_Toc183582224"/>
      <w:bookmarkStart w:id="131" w:name="_Toc217446051"/>
      <w:r>
        <w:rPr>
          <w:rFonts w:hint="eastAsia" w:ascii="宋体" w:hAnsi="宋体" w:eastAsia="宋体" w:cs="宋体"/>
          <w:color w:val="auto"/>
          <w:sz w:val="22"/>
          <w:szCs w:val="22"/>
          <w:highlight w:val="none"/>
        </w:rPr>
        <w:t>4.5.2.2有下列情形之一的，投标保证金将不予退还：</w:t>
      </w:r>
    </w:p>
    <w:p w14:paraId="2F3B6137">
      <w:pPr>
        <w:pageBreakBefore w:val="0"/>
        <w:kinsoku/>
        <w:wordWrap/>
        <w:overflowPunct/>
        <w:topLinePunct w:val="0"/>
        <w:bidi w:val="0"/>
        <w:spacing w:line="480" w:lineRule="exact"/>
        <w:ind w:left="0" w:leftChars="0" w:right="0" w:firstLine="541" w:firstLineChars="24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（1）投标人在投标有效期内撤销投标文件的；</w:t>
      </w:r>
    </w:p>
    <w:p w14:paraId="45E5AD30">
      <w:pPr>
        <w:pageBreakBefore w:val="0"/>
        <w:kinsoku/>
        <w:wordWrap/>
        <w:overflowPunct/>
        <w:topLinePunct w:val="0"/>
        <w:bidi w:val="0"/>
        <w:spacing w:line="480" w:lineRule="exact"/>
        <w:ind w:left="0" w:leftChars="0" w:right="0" w:firstLine="541" w:firstLineChars="24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（2）中标人在收到中标通知书后，无正当理由不与采购人订立合同，或着在签订合同时向采购人提出附加条件的；</w:t>
      </w:r>
    </w:p>
    <w:p w14:paraId="52EDD6EB">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（3）中标人无正当理由，未能按招标文件规定时间内领取《中标通知书》的；</w:t>
      </w:r>
    </w:p>
    <w:p w14:paraId="310A8187">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（4）中标人未向采购代理机构支付采购（招标）代理服务费的；</w:t>
      </w:r>
    </w:p>
    <w:p w14:paraId="7DD4F292">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（5）中标人未按招标文件规定向采购人提交履约保证金的；</w:t>
      </w:r>
    </w:p>
    <w:p w14:paraId="5072393E">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（6）投标有效期内，投标人在政府采购活动中有违规、违纪和违法行为的；</w:t>
      </w:r>
    </w:p>
    <w:p w14:paraId="6B68AF06">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（7）法律法规规定的其他情况。</w:t>
      </w:r>
    </w:p>
    <w:bookmarkEnd w:id="129"/>
    <w:bookmarkEnd w:id="130"/>
    <w:bookmarkEnd w:id="131"/>
    <w:p w14:paraId="04F28D9F">
      <w:pPr>
        <w:pageBreakBefore w:val="0"/>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4.6 商务文件</w:t>
      </w:r>
    </w:p>
    <w:p w14:paraId="33074D5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4.6.1投标人应按照招标文件商务要求做出完全响应。未作出商务响应的，作为不实质性响应招标文件，按无效投标处理。</w:t>
      </w:r>
    </w:p>
    <w:p w14:paraId="013C27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4.6.2 </w:t>
      </w:r>
      <w:r>
        <w:rPr>
          <w:rFonts w:hint="eastAsia" w:ascii="宋体" w:hAnsi="宋体" w:eastAsia="宋体" w:cs="宋体"/>
          <w:bCs/>
          <w:color w:val="auto"/>
          <w:sz w:val="22"/>
          <w:szCs w:val="22"/>
          <w:highlight w:val="none"/>
        </w:rPr>
        <w:t>投标人应按照招标文件中售后服务要求作出积极响应。包括以下内容：</w:t>
      </w:r>
    </w:p>
    <w:p w14:paraId="6217C50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（1）产品制造商或投标人设立的售后服务机构网点清单、服务电话和维修人员名单（加盖单位章）；</w:t>
      </w:r>
    </w:p>
    <w:p w14:paraId="6A1A1A0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（2）说明投标产品的保修时间、保修期内的保修内容与范围、维修响应时间等。分别提供产品制造商和投标人的服务承诺和保障措施；</w:t>
      </w:r>
    </w:p>
    <w:p w14:paraId="7DC45327">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（3）培训措施：说明培训内容及培训的时间、地点、目标、培训人数、收费标准和办法。</w:t>
      </w:r>
    </w:p>
    <w:p w14:paraId="5FC873E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4.6.3投标人应对以下（不限于）要求作出承诺：</w:t>
      </w:r>
    </w:p>
    <w:p w14:paraId="71049EE9">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color w:val="auto"/>
          <w:sz w:val="22"/>
          <w:szCs w:val="22"/>
          <w:highlight w:val="none"/>
        </w:rPr>
        <w:t>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r>
        <w:rPr>
          <w:rFonts w:hint="eastAsia" w:ascii="宋体" w:hAnsi="宋体" w:eastAsia="宋体" w:cs="宋体"/>
          <w:bCs/>
          <w:color w:val="auto"/>
          <w:sz w:val="22"/>
          <w:szCs w:val="22"/>
          <w:highlight w:val="none"/>
        </w:rPr>
        <w:t>；</w:t>
      </w:r>
    </w:p>
    <w:p w14:paraId="0B12FA0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（2）产品质量承诺；</w:t>
      </w:r>
    </w:p>
    <w:p w14:paraId="5CF97D7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（3）利于用户的售后服务承诺；</w:t>
      </w:r>
    </w:p>
    <w:p w14:paraId="2E60A03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（4）严格按招标文件对本项目的要求，组织生产、供货运输、安装调试和服务培训；</w:t>
      </w:r>
    </w:p>
    <w:p w14:paraId="312B80A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（5）未经采购人许可，不得将本采购项目采取转包实施的办法，一经发现，立即取消其中标资格，并承担由此产生的一切经济损失；</w:t>
      </w:r>
    </w:p>
    <w:p w14:paraId="28B869B8">
      <w:pPr>
        <w:pStyle w:val="7"/>
        <w:pageBreakBefore w:val="0"/>
        <w:kinsoku/>
        <w:wordWrap/>
        <w:overflowPunct/>
        <w:topLinePunct w:val="0"/>
        <w:bidi w:val="0"/>
        <w:spacing w:line="480" w:lineRule="exact"/>
        <w:ind w:left="0" w:leftChars="0" w:right="0" w:firstLine="495" w:firstLineChars="22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（6）接受采购人或采购人委托相关单位对项目实施方案、生产进度、货物质量、售后服务、货款支付与结算审核等方面监督和管理;</w:t>
      </w:r>
    </w:p>
    <w:p w14:paraId="46CD5D07">
      <w:pPr>
        <w:pStyle w:val="7"/>
        <w:pageBreakBefore w:val="0"/>
        <w:kinsoku/>
        <w:wordWrap/>
        <w:overflowPunct/>
        <w:topLinePunct w:val="0"/>
        <w:bidi w:val="0"/>
        <w:spacing w:line="480" w:lineRule="exact"/>
        <w:ind w:left="0" w:leftChars="0" w:right="0" w:firstLine="495" w:firstLineChars="22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（6）其它承诺</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14:paraId="37715093">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4.7 技术文件</w:t>
      </w:r>
    </w:p>
    <w:p w14:paraId="6D862AB7">
      <w:pPr>
        <w:pStyle w:val="7"/>
        <w:pageBreakBefore w:val="0"/>
        <w:kinsoku/>
        <w:wordWrap/>
        <w:overflowPunct/>
        <w:topLinePunct w:val="0"/>
        <w:bidi w:val="0"/>
        <w:spacing w:line="480" w:lineRule="exact"/>
        <w:ind w:left="0" w:leftChars="0" w:right="0" w:firstLine="46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4.7.1 </w:t>
      </w:r>
      <w:r>
        <w:rPr>
          <w:rFonts w:hint="eastAsia" w:ascii="宋体" w:hAnsi="宋体" w:eastAsia="宋体" w:cs="宋体"/>
          <w:bCs/>
          <w:color w:val="auto"/>
          <w:sz w:val="22"/>
          <w:szCs w:val="22"/>
          <w:highlight w:val="none"/>
        </w:rPr>
        <w:t>投标人应</w:t>
      </w:r>
      <w:r>
        <w:rPr>
          <w:rFonts w:hint="eastAsia" w:ascii="宋体" w:hAnsi="宋体" w:eastAsia="宋体" w:cs="宋体"/>
          <w:color w:val="auto"/>
          <w:sz w:val="22"/>
          <w:szCs w:val="22"/>
          <w:highlight w:val="none"/>
        </w:rPr>
        <w:t xml:space="preserve">按照招标文件要求做出的技术应答，主要是针对采购项目的技术指标、参数和技术服务要求做出的实质性响应和满足。 </w:t>
      </w:r>
    </w:p>
    <w:p w14:paraId="637335E6">
      <w:pPr>
        <w:pStyle w:val="7"/>
        <w:pageBreakBefore w:val="0"/>
        <w:kinsoku/>
        <w:wordWrap/>
        <w:overflowPunct/>
        <w:topLinePunct w:val="0"/>
        <w:bidi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bookmarkStart w:id="132" w:name="_Toc183582218"/>
      <w:bookmarkStart w:id="133" w:name="_Toc217446049"/>
      <w:bookmarkStart w:id="134" w:name="_Toc183682355"/>
      <w:r>
        <w:rPr>
          <w:rFonts w:hint="eastAsia" w:ascii="宋体" w:hAnsi="宋体" w:eastAsia="宋体" w:cs="宋体"/>
          <w:b/>
          <w:color w:val="auto"/>
          <w:sz w:val="22"/>
          <w:szCs w:val="22"/>
          <w:highlight w:val="none"/>
        </w:rPr>
        <w:t>4.7.2 证明所投货物（产品）符合招标文件要求的相关文件，可以是文字资料、图纸、数据、宣传彩页等，所有证明文件，表达意思必须统一。如需投标人提供样品，证明文件的表述与投标人所提供样品必须完全符合，且是投标文件的组成部分，否则，按未实质响应招标文件予以拒绝。</w:t>
      </w:r>
      <w:bookmarkEnd w:id="132"/>
      <w:bookmarkEnd w:id="133"/>
      <w:bookmarkEnd w:id="134"/>
      <w:bookmarkStart w:id="135" w:name="_Toc217446050"/>
      <w:bookmarkStart w:id="136" w:name="_Toc183582223"/>
      <w:bookmarkStart w:id="137" w:name="_Toc183682360"/>
      <w:r>
        <w:rPr>
          <w:rFonts w:hint="eastAsia" w:ascii="宋体" w:hAnsi="宋体" w:eastAsia="宋体" w:cs="宋体"/>
          <w:b/>
          <w:color w:val="auto"/>
          <w:sz w:val="22"/>
          <w:szCs w:val="22"/>
          <w:highlight w:val="none"/>
        </w:rPr>
        <w:t xml:space="preserve"> </w:t>
      </w:r>
    </w:p>
    <w:bookmarkEnd w:id="135"/>
    <w:bookmarkEnd w:id="136"/>
    <w:bookmarkEnd w:id="137"/>
    <w:p w14:paraId="31B0E984">
      <w:pPr>
        <w:pageBreakBefore w:val="0"/>
        <w:tabs>
          <w:tab w:val="left" w:pos="7665"/>
        </w:tabs>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bookmarkStart w:id="138" w:name="_Toc217446052"/>
      <w:bookmarkStart w:id="139" w:name="_Toc183682362"/>
      <w:bookmarkStart w:id="140" w:name="_Toc183582225"/>
      <w:r>
        <w:rPr>
          <w:rFonts w:hint="eastAsia" w:ascii="宋体" w:hAnsi="宋体" w:eastAsia="宋体" w:cs="宋体"/>
          <w:b/>
          <w:bCs/>
          <w:color w:val="auto"/>
          <w:sz w:val="22"/>
          <w:szCs w:val="22"/>
          <w:highlight w:val="none"/>
        </w:rPr>
        <w:t>4.8 投标文件的制作和签署</w:t>
      </w:r>
      <w:bookmarkEnd w:id="138"/>
      <w:bookmarkEnd w:id="139"/>
      <w:bookmarkEnd w:id="140"/>
    </w:p>
    <w:p w14:paraId="3FFDB6C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4.8.1 投标文件应根据招标文件的要求制作。投标人应填写全称，同时加盖单位章，签署、盖章和内容应完整，如有遗漏，将被视为无效投标。</w:t>
      </w:r>
    </w:p>
    <w:p w14:paraId="72ACE0AF">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4.8.2 投标文件格式。投标人应严格按照第六章提供的“投标文件格式”编写相关内容。除明确允许投标人可以自行编写外，投标人不得以“投标文件格式”规定之外的方式填写相关内容。否则，投标人提供的投标文件将作为无效投标处理。</w:t>
      </w:r>
    </w:p>
    <w:p w14:paraId="6DB3015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4.8.3 对于没有格式要求的投标文件由投标人自行编写。</w:t>
      </w:r>
    </w:p>
    <w:p w14:paraId="62F6C22B">
      <w:pPr>
        <w:pageBreakBefore w:val="0"/>
        <w:tabs>
          <w:tab w:val="left" w:pos="108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4.8.4 投标人应按“投标须知前附表”规定准备投标文件。</w:t>
      </w:r>
    </w:p>
    <w:p w14:paraId="78ADD4EB">
      <w:pPr>
        <w:pageBreakBefore w:val="0"/>
        <w:kinsoku/>
        <w:wordWrap/>
        <w:overflowPunct/>
        <w:topLinePunct w:val="0"/>
        <w:bidi w:val="0"/>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4.8.5 投标文件均需打印或用不褪色、不变质的墨水书写，并由投标人的法定代表人或其授权代表在规定签章处签字和盖章。</w:t>
      </w:r>
    </w:p>
    <w:p w14:paraId="3FBDD0B2">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4.8.6 投标文件的书写应清楚工整，尽量避免行间插字、涂改或增删。如出现上述情况，改动之处应由投标人的法定代表人或其授权代表签字或盖单位章。字迹潦草、表达不清或可能导致非唯一理解的投标文件可能视为无效投标。</w:t>
      </w:r>
      <w:bookmarkStart w:id="141" w:name="_Toc183582226"/>
      <w:bookmarkStart w:id="142" w:name="_Toc77400781"/>
      <w:bookmarkStart w:id="143" w:name="_Toc217446053"/>
      <w:bookmarkStart w:id="144" w:name="_Toc183682363"/>
      <w:bookmarkStart w:id="145" w:name="_Toc89075877"/>
    </w:p>
    <w:p w14:paraId="2C7A4BAC">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46" w:name="_Toc17037"/>
      <w:r>
        <w:rPr>
          <w:rFonts w:hint="eastAsia" w:ascii="宋体" w:hAnsi="宋体" w:eastAsia="宋体" w:cs="宋体"/>
          <w:bCs/>
          <w:color w:val="auto"/>
          <w:sz w:val="28"/>
          <w:szCs w:val="28"/>
          <w:highlight w:val="none"/>
          <w:lang w:val="en-US" w:eastAsia="zh-CN"/>
        </w:rPr>
        <w:t>5.投标</w:t>
      </w:r>
      <w:bookmarkEnd w:id="146"/>
    </w:p>
    <w:p w14:paraId="5B48656E">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5.1 投标内容要求</w:t>
      </w:r>
    </w:p>
    <w:p w14:paraId="6C48150E">
      <w:pPr>
        <w:pageBreakBefore w:val="0"/>
        <w:tabs>
          <w:tab w:val="left" w:pos="108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仔细阅读招标文件中的所有事项、格式、条款和要求，对招标文件的全部内容及要求作出实质性响应，提交相应资料。若分包，应以包为单位投标，不得在其中选项投标或将其中内容再行分解，否则投标无效。</w:t>
      </w:r>
    </w:p>
    <w:p w14:paraId="3EA4357F">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5.2 </w:t>
      </w:r>
      <w:bookmarkEnd w:id="141"/>
      <w:bookmarkEnd w:id="142"/>
      <w:bookmarkEnd w:id="143"/>
      <w:bookmarkEnd w:id="144"/>
      <w:bookmarkEnd w:id="145"/>
      <w:r>
        <w:rPr>
          <w:rFonts w:hint="eastAsia" w:ascii="宋体" w:hAnsi="宋体" w:eastAsia="宋体" w:cs="宋体"/>
          <w:b/>
          <w:color w:val="auto"/>
          <w:sz w:val="22"/>
          <w:szCs w:val="22"/>
          <w:highlight w:val="none"/>
        </w:rPr>
        <w:t>投标文件的加密、递交</w:t>
      </w:r>
    </w:p>
    <w:p w14:paraId="2CC0C2A1">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5.2.1</w:t>
      </w:r>
      <w:r>
        <w:rPr>
          <w:rFonts w:hint="eastAsia" w:ascii="宋体" w:hAnsi="宋体" w:eastAsia="宋体" w:cs="宋体"/>
          <w:color w:val="auto"/>
          <w:kern w:val="0"/>
          <w:sz w:val="22"/>
          <w:szCs w:val="22"/>
          <w:highlight w:val="none"/>
        </w:rPr>
        <w:t xml:space="preserve"> 加密的电子投标文件（.jmbs格式）应在投标文件递交截止时间前通过政采云平台上传完成。</w:t>
      </w:r>
    </w:p>
    <w:p w14:paraId="0C3A37F5">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w:t>
      </w:r>
      <w:r>
        <w:rPr>
          <w:rFonts w:hint="eastAsia" w:ascii="宋体" w:hAnsi="宋体" w:eastAsia="宋体" w:cs="宋体"/>
          <w:color w:val="auto"/>
          <w:kern w:val="0"/>
          <w:sz w:val="22"/>
          <w:szCs w:val="22"/>
          <w:highlight w:val="none"/>
        </w:rPr>
        <w:t>2逾期上传或者未上传指定地点的投标文件，采购人不予受理。</w:t>
      </w:r>
    </w:p>
    <w:p w14:paraId="7E1CF669">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bookmarkStart w:id="147" w:name="_Toc183682364"/>
      <w:bookmarkStart w:id="148" w:name="_Toc183582227"/>
      <w:bookmarkStart w:id="149" w:name="_Toc217446054"/>
      <w:r>
        <w:rPr>
          <w:rFonts w:hint="eastAsia" w:ascii="宋体" w:hAnsi="宋体" w:eastAsia="宋体" w:cs="宋体"/>
          <w:b/>
          <w:bCs/>
          <w:color w:val="auto"/>
          <w:sz w:val="22"/>
          <w:szCs w:val="22"/>
          <w:highlight w:val="none"/>
        </w:rPr>
        <w:t>5.3 投标文件的</w:t>
      </w:r>
      <w:bookmarkEnd w:id="147"/>
      <w:bookmarkEnd w:id="148"/>
      <w:r>
        <w:rPr>
          <w:rFonts w:hint="eastAsia" w:ascii="宋体" w:hAnsi="宋体" w:eastAsia="宋体" w:cs="宋体"/>
          <w:b/>
          <w:bCs/>
          <w:color w:val="auto"/>
          <w:sz w:val="22"/>
          <w:szCs w:val="22"/>
          <w:highlight w:val="none"/>
        </w:rPr>
        <w:t>递交</w:t>
      </w:r>
      <w:bookmarkEnd w:id="149"/>
    </w:p>
    <w:p w14:paraId="77B88C57">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5.3.1 投标人应在投标人须知前附表规定的投标截止时间前递交投标文件。</w:t>
      </w:r>
    </w:p>
    <w:p w14:paraId="54127C16">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除投标人须知前附表另有规定外，投标人递交的投标文件不予退还。</w:t>
      </w:r>
    </w:p>
    <w:p w14:paraId="1288B6AA">
      <w:pPr>
        <w:pageBreakBefore w:val="0"/>
        <w:tabs>
          <w:tab w:val="left" w:pos="851"/>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逾期送达的投标文件，采购代理机构将予以拒收。</w:t>
      </w:r>
    </w:p>
    <w:p w14:paraId="5FCAC341">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本次招标不接受邮寄的投标文件。</w:t>
      </w:r>
    </w:p>
    <w:p w14:paraId="33631D54">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需要投标人提供样品的，同投标文件一起递交。</w:t>
      </w:r>
      <w:bookmarkStart w:id="150" w:name="_Toc183682365"/>
      <w:bookmarkStart w:id="151" w:name="_Toc183582228"/>
      <w:bookmarkStart w:id="152" w:name="_Toc217446055"/>
    </w:p>
    <w:p w14:paraId="2E998D86">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 xml:space="preserve">5.4 </w:t>
      </w:r>
      <w:r>
        <w:rPr>
          <w:rFonts w:hint="eastAsia" w:ascii="宋体" w:hAnsi="宋体" w:eastAsia="宋体" w:cs="宋体"/>
          <w:b/>
          <w:bCs/>
          <w:color w:val="auto"/>
          <w:spacing w:val="20"/>
          <w:sz w:val="22"/>
          <w:szCs w:val="22"/>
          <w:highlight w:val="none"/>
        </w:rPr>
        <w:t>投标文件的修改和撤</w:t>
      </w:r>
      <w:bookmarkEnd w:id="150"/>
      <w:bookmarkEnd w:id="151"/>
      <w:r>
        <w:rPr>
          <w:rFonts w:hint="eastAsia" w:ascii="宋体" w:hAnsi="宋体" w:eastAsia="宋体" w:cs="宋体"/>
          <w:b/>
          <w:bCs/>
          <w:color w:val="auto"/>
          <w:spacing w:val="20"/>
          <w:sz w:val="22"/>
          <w:szCs w:val="22"/>
          <w:highlight w:val="none"/>
        </w:rPr>
        <w:t>回</w:t>
      </w:r>
      <w:bookmarkEnd w:id="152"/>
    </w:p>
    <w:p w14:paraId="107FEB20">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5.4.1 在本章第5.3.1项规定的投标截止时间前，投标人可以修改或撤回已递交的投标文件，但应以书面形式或政采云平台通知采购代理机构。</w:t>
      </w:r>
    </w:p>
    <w:p w14:paraId="324A0396">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5.4.2 投标人的修改或撤回通知书，应由其法定代表人或委托代理人签署并盖单位章。修改或撤回通知书应进行密封，并在密封袋上标注“投标文件修改”或“投标文件撤回通知”字样，“修改文件”作为投标文件的组成部分。</w:t>
      </w:r>
    </w:p>
    <w:p w14:paraId="2CAEE3FB">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bookmarkStart w:id="153" w:name="_Toc77400782"/>
      <w:bookmarkStart w:id="154" w:name="_Toc183582231"/>
      <w:bookmarkStart w:id="155" w:name="_Toc217446056"/>
      <w:bookmarkStart w:id="156" w:name="_Toc183682368"/>
      <w:bookmarkStart w:id="157" w:name="_Toc89075878"/>
      <w:r>
        <w:rPr>
          <w:rFonts w:hint="eastAsia" w:ascii="宋体" w:hAnsi="宋体" w:eastAsia="宋体" w:cs="宋体"/>
          <w:color w:val="auto"/>
          <w:sz w:val="22"/>
          <w:szCs w:val="22"/>
          <w:highlight w:val="none"/>
        </w:rPr>
        <w:t>5.4.3 投标人撤回投标文件的，采购代理机构自收到投标人书面撤回通知之日起5个工作日内退还已收取的投标保证金。</w:t>
      </w:r>
    </w:p>
    <w:p w14:paraId="288086A3">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5.4.5 在投标截止时间之后，投标人不得对其递交的投标文件做任何修改或撤销投标。</w:t>
      </w:r>
    </w:p>
    <w:p w14:paraId="0F89F498">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58" w:name="_Toc6496"/>
      <w:r>
        <w:rPr>
          <w:rFonts w:hint="eastAsia" w:ascii="宋体" w:hAnsi="宋体" w:eastAsia="宋体" w:cs="宋体"/>
          <w:bCs/>
          <w:color w:val="auto"/>
          <w:sz w:val="28"/>
          <w:szCs w:val="28"/>
          <w:highlight w:val="none"/>
          <w:lang w:val="en-US" w:eastAsia="zh-CN"/>
        </w:rPr>
        <w:t>6.开标</w:t>
      </w:r>
      <w:bookmarkEnd w:id="153"/>
      <w:bookmarkEnd w:id="154"/>
      <w:bookmarkEnd w:id="155"/>
      <w:bookmarkEnd w:id="156"/>
      <w:bookmarkEnd w:id="157"/>
      <w:bookmarkEnd w:id="158"/>
    </w:p>
    <w:p w14:paraId="7A5D9C9C">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6.1开标时间和地点</w:t>
      </w:r>
    </w:p>
    <w:p w14:paraId="0B749543">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 采购代理机构在投标人须知前附表中规定的投标截止时间（开标时间）和地点公开开标，并邀请采购人派代表准时参加并签到以证明其出席。</w:t>
      </w:r>
    </w:p>
    <w:p w14:paraId="519D7C99">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6.1.2 投标人未参加开标的，视同认可开标结果。</w:t>
      </w:r>
    </w:p>
    <w:p w14:paraId="2EE07FC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6.1.3 开标时，采购代理机构邀请有关监督管理机构对开标进行现场监督。</w:t>
      </w:r>
      <w:bookmarkStart w:id="159" w:name="_Toc217446058"/>
    </w:p>
    <w:p w14:paraId="772AADE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6.1.4 投标人不足3家的，不得开标。</w:t>
      </w:r>
    </w:p>
    <w:p w14:paraId="3420C83B">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6.2 开标程序</w:t>
      </w:r>
      <w:bookmarkEnd w:id="159"/>
    </w:p>
    <w:p w14:paraId="1CD6C644">
      <w:pPr>
        <w:pStyle w:val="18"/>
        <w:pageBreakBefore w:val="0"/>
        <w:kinsoku/>
        <w:wordWrap/>
        <w:overflowPunct/>
        <w:topLinePunct w:val="0"/>
        <w:bidi w:val="0"/>
        <w:spacing w:line="480" w:lineRule="exact"/>
        <w:ind w:left="0" w:leftChars="0" w:right="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6.2.1开标由采购代理机构主持。主持人按照招标文件规定的开标时间宣布开标，并按下列程序进行（但不限于）：</w:t>
      </w:r>
    </w:p>
    <w:p w14:paraId="27172546">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（1）宣布开标开始和开启录音录像设备并致辞；</w:t>
      </w:r>
    </w:p>
    <w:p w14:paraId="22384E4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（2）宣布开标纪律和有关注意事项；</w:t>
      </w:r>
    </w:p>
    <w:p w14:paraId="06CE54CA">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（3）公布在投标截止时间前递交投标文件的投标人名称；</w:t>
      </w:r>
    </w:p>
    <w:p w14:paraId="5D1E1FC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（4）宣布开标人、唱标人、监标人、记录人等有关工作人员和现场监督人员姓名；</w:t>
      </w:r>
    </w:p>
    <w:p w14:paraId="75639220">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）开标唱标：主持人宣布开标后，由唱标人对其中“开标一览表”的采购项目编号、投标人名称、投标总价、合同履行期限等内容进行宣读；</w:t>
      </w:r>
    </w:p>
    <w:p w14:paraId="5B09AB9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资格性审查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val="en-US" w:eastAsia="zh-CN"/>
        </w:rPr>
        <w:t>对投标供应商资格性进行审查；</w:t>
      </w:r>
    </w:p>
    <w:p w14:paraId="0BED4F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（7）符合性审查：由评审小组对投标供应商符合性审查</w:t>
      </w:r>
      <w:r>
        <w:rPr>
          <w:rFonts w:hint="eastAsia" w:ascii="宋体" w:hAnsi="宋体" w:eastAsia="宋体" w:cs="宋体"/>
          <w:color w:val="auto"/>
          <w:sz w:val="22"/>
          <w:szCs w:val="22"/>
          <w:highlight w:val="none"/>
          <w:lang w:eastAsia="zh-CN"/>
        </w:rPr>
        <w:t>；</w:t>
      </w:r>
    </w:p>
    <w:p w14:paraId="4C759C5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商务技术性评审：由评审小组对投标供应商递交的电子商务技术文件进行评审；</w:t>
      </w:r>
    </w:p>
    <w:p w14:paraId="102B5ED0">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（9）评审结束。</w:t>
      </w:r>
    </w:p>
    <w:p w14:paraId="74078BE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bookmarkStart w:id="160" w:name="_Toc217446059"/>
      <w:r>
        <w:rPr>
          <w:rFonts w:hint="eastAsia" w:ascii="宋体" w:hAnsi="宋体" w:eastAsia="宋体" w:cs="宋体"/>
          <w:color w:val="auto"/>
          <w:kern w:val="0"/>
          <w:sz w:val="22"/>
          <w:szCs w:val="22"/>
          <w:highlight w:val="none"/>
        </w:rPr>
        <w:t>6.2.</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 xml:space="preserve">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14:paraId="700A53D1">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1" w:name="_Toc916"/>
      <w:r>
        <w:rPr>
          <w:rFonts w:hint="eastAsia" w:ascii="宋体" w:hAnsi="宋体" w:eastAsia="宋体" w:cs="宋体"/>
          <w:bCs/>
          <w:color w:val="auto"/>
          <w:sz w:val="28"/>
          <w:szCs w:val="28"/>
          <w:highlight w:val="none"/>
          <w:lang w:val="en-US" w:eastAsia="zh-CN"/>
        </w:rPr>
        <w:t>7.投标人资格审查</w:t>
      </w:r>
      <w:bookmarkEnd w:id="161"/>
    </w:p>
    <w:p w14:paraId="6953A5CC">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7.1 资格审查小组</w:t>
      </w:r>
    </w:p>
    <w:p w14:paraId="5B7B21D2">
      <w:pPr>
        <w:pageBreakBefore w:val="0"/>
        <w:kinsoku/>
        <w:wordWrap/>
        <w:overflowPunct/>
        <w:topLinePunct w:val="0"/>
        <w:bidi w:val="0"/>
        <w:spacing w:line="480" w:lineRule="exact"/>
        <w:ind w:left="0" w:leftChars="0" w:right="0" w:firstLine="325" w:firstLineChars="147"/>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7.1.1 采购人依法对投标人的资格进行审查。</w:t>
      </w:r>
    </w:p>
    <w:p w14:paraId="3033BC4F">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7.1.2 资格审查小组，由采购人完成。</w:t>
      </w:r>
    </w:p>
    <w:p w14:paraId="76347016">
      <w:pPr>
        <w:pageBreakBefore w:val="0"/>
        <w:tabs>
          <w:tab w:val="left" w:pos="0"/>
        </w:tabs>
        <w:kinsoku/>
        <w:wordWrap/>
        <w:overflowPunct/>
        <w:topLinePunct w:val="0"/>
        <w:bidi w:val="0"/>
        <w:adjustRightInd w:val="0"/>
        <w:snapToGrid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 资格审查办法</w:t>
      </w:r>
    </w:p>
    <w:p w14:paraId="2422C054">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7.2.1 资格审查在开标结束之后评标开始之前进行。</w:t>
      </w:r>
    </w:p>
    <w:p w14:paraId="46AED3A8">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7.2.2 资格审查小组将依据投标人投标文件之资格审查部分文件，按照本章第3.1.1项所述资格要求对投标人进行资格审查，以确定其是否具备相应资格。</w:t>
      </w:r>
      <w:r>
        <w:rPr>
          <w:rFonts w:hint="eastAsia" w:ascii="宋体" w:hAnsi="宋体" w:eastAsia="宋体" w:cs="宋体"/>
          <w:color w:val="auto"/>
          <w:kern w:val="0"/>
          <w:sz w:val="22"/>
          <w:szCs w:val="22"/>
          <w:highlight w:val="none"/>
        </w:rPr>
        <w:t>如果投标人不具备资格、不满足招标文件所规定的资格条件,将被视为未实质性响应招标文件,按无效投标处理。</w:t>
      </w:r>
    </w:p>
    <w:p w14:paraId="2C551EB6">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7.2.3 信用信息查询时间</w:t>
      </w:r>
      <w:r>
        <w:rPr>
          <w:rFonts w:hint="eastAsia" w:ascii="宋体" w:hAnsi="宋体" w:eastAsia="宋体" w:cs="宋体"/>
          <w:color w:val="auto"/>
          <w:kern w:val="0"/>
          <w:sz w:val="22"/>
          <w:szCs w:val="22"/>
          <w:highlight w:val="none"/>
          <w:lang w:eastAsia="zh-CN"/>
        </w:rPr>
        <w:t>截止</w:t>
      </w:r>
      <w:r>
        <w:rPr>
          <w:rFonts w:hint="eastAsia" w:ascii="宋体" w:hAnsi="宋体" w:eastAsia="宋体" w:cs="宋体"/>
          <w:color w:val="auto"/>
          <w:kern w:val="0"/>
          <w:sz w:val="22"/>
          <w:szCs w:val="22"/>
          <w:highlight w:val="none"/>
        </w:rPr>
        <w:t>时点，见投标人须知前附表，其查询结果在投标人限制性资格条件审查时使用。</w:t>
      </w:r>
    </w:p>
    <w:p w14:paraId="1079CE91">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7.2.4 资格审查小组按下列程序进行资格审查：</w:t>
      </w:r>
    </w:p>
    <w:p w14:paraId="1EBB0D1E">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（1）投标人基本资格条件审查；</w:t>
      </w:r>
    </w:p>
    <w:p w14:paraId="69193155">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（2）投标人限制性资格条件审查；</w:t>
      </w:r>
    </w:p>
    <w:p w14:paraId="3852D56E">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（3）编写投标人资格审查报告。</w:t>
      </w:r>
    </w:p>
    <w:p w14:paraId="1A2475DB">
      <w:pPr>
        <w:pageBreakBefore w:val="0"/>
        <w:tabs>
          <w:tab w:val="left" w:pos="0"/>
        </w:tabs>
        <w:kinsoku/>
        <w:wordWrap/>
        <w:overflowPunct/>
        <w:topLinePunct w:val="0"/>
        <w:bidi w:val="0"/>
        <w:adjustRightInd w:val="0"/>
        <w:snapToGrid w:val="0"/>
        <w:spacing w:line="480" w:lineRule="exact"/>
        <w:ind w:left="0" w:leftChars="0" w:right="0" w:firstLine="446" w:firstLineChars="202"/>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7.2.5 投标人基本资格条件的审查</w:t>
      </w:r>
    </w:p>
    <w:p w14:paraId="7440F493">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7.2.5.1 审查方法：</w:t>
      </w:r>
    </w:p>
    <w:p w14:paraId="21877D86">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单独审查</w:t>
      </w:r>
    </w:p>
    <w:p w14:paraId="3884D372">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7.2.5.2 审查标准：</w:t>
      </w:r>
    </w:p>
    <w:p w14:paraId="3455CC8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资格审查小组将按</w:t>
      </w:r>
      <w:r>
        <w:rPr>
          <w:rFonts w:hint="eastAsia" w:ascii="宋体" w:hAnsi="宋体" w:eastAsia="宋体" w:cs="宋体"/>
          <w:color w:val="auto"/>
          <w:kern w:val="0"/>
          <w:sz w:val="22"/>
          <w:szCs w:val="22"/>
          <w:highlight w:val="none"/>
          <w:lang w:val="en-US" w:eastAsia="zh-CN"/>
        </w:rPr>
        <w:t>投标人须知前附表资格要求中</w:t>
      </w:r>
      <w:r>
        <w:rPr>
          <w:rFonts w:hint="eastAsia" w:ascii="宋体" w:hAnsi="宋体" w:eastAsia="宋体" w:cs="宋体"/>
          <w:color w:val="auto"/>
          <w:kern w:val="0"/>
          <w:sz w:val="22"/>
          <w:szCs w:val="22"/>
          <w:highlight w:val="none"/>
        </w:rPr>
        <w:t>所列举的审查标准对投标人基本资格条件进行审查，投标人若有一项不合格，即判定其基本资格条件审查结果为不合格，将不具备投标资格，按无效投标处理。</w:t>
      </w:r>
    </w:p>
    <w:p w14:paraId="3A568F77">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7.2.6 投标人限制性资格条件审查</w:t>
      </w:r>
    </w:p>
    <w:p w14:paraId="01635536">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7.2.6.1 审查方法：</w:t>
      </w:r>
    </w:p>
    <w:p w14:paraId="6CA9D38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（1）资格审查小组将通过信用中国网（http://www.creditchina.gov.cn/）和中国政府采购网（网址：http://www.ccgp.gov.cn/cr/list）对投标人的信用信息进行查询核实。</w:t>
      </w:r>
    </w:p>
    <w:p w14:paraId="4A3D40D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（2）资格审查小组将通过投标人投标文件之资格审查部分文件和国家企业信用信息公示系统（http://www.gsxt.gov.cn/index.html）对投标人之间存在隶属关系或者其他利害关系进行相关信息的核实。</w:t>
      </w:r>
    </w:p>
    <w:p w14:paraId="3E0A9F6C">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7.2.6.2 审查标准：</w:t>
      </w:r>
    </w:p>
    <w:p w14:paraId="207E1E9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投标人存在下列情形之一的，审查不予通过，即判定其限制性资格条件审查结果为不合格，将不具备投标资格，按无效投标处理：</w:t>
      </w:r>
    </w:p>
    <w:p w14:paraId="75F13C8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（1）与采购人、采购代理机构存在隶属关系或者其他利害关系，且可能影响招标公正性；</w:t>
      </w:r>
    </w:p>
    <w:p w14:paraId="45D8909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（2）与本采购项目其他投标人的法定代表人（或者负责人）为同一人；</w:t>
      </w:r>
    </w:p>
    <w:p w14:paraId="49D88D5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（3）与本采购项目其他投标人存在控股、管理关系；</w:t>
      </w:r>
    </w:p>
    <w:p w14:paraId="600B2C7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（4）为本项目采购代理机构；</w:t>
      </w:r>
    </w:p>
    <w:p w14:paraId="084A96B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（5）为本项目代理投标的为其采购代理机构；</w:t>
      </w:r>
    </w:p>
    <w:p w14:paraId="68CF0D6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（6）为本项目提供整体设计、规范编制或者项目管理、监理、检测、咨询服务；</w:t>
      </w:r>
    </w:p>
    <w:p w14:paraId="25A4B5B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（7）近3年受到刑事处罚；</w:t>
      </w:r>
    </w:p>
    <w:p w14:paraId="7E71437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（8）近3年内受到财政部门3万元以上罚款或其他行政部门较大数额罚款行政处罚（举行听证会的）；</w:t>
      </w:r>
    </w:p>
    <w:p w14:paraId="24F5253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（9）近3年被责令停产停业、暂扣或者吊销许可证、暂扣或者吊销执照的行政处罚；</w:t>
      </w:r>
    </w:p>
    <w:p w14:paraId="1AFE44E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（10）被列入严重失信被执行人名单；</w:t>
      </w:r>
    </w:p>
    <w:p w14:paraId="45E6079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（11）被列入</w:t>
      </w:r>
      <w:r>
        <w:rPr>
          <w:rFonts w:hint="eastAsia" w:ascii="宋体" w:hAnsi="宋体" w:eastAsia="宋体" w:cs="宋体"/>
          <w:color w:val="auto"/>
          <w:kern w:val="0"/>
          <w:sz w:val="22"/>
          <w:szCs w:val="22"/>
          <w:highlight w:val="none"/>
          <w:lang w:eastAsia="zh-CN"/>
        </w:rPr>
        <w:t>重大税收违法失信主体</w:t>
      </w:r>
      <w:r>
        <w:rPr>
          <w:rFonts w:hint="eastAsia" w:ascii="宋体" w:hAnsi="宋体" w:eastAsia="宋体" w:cs="宋体"/>
          <w:color w:val="auto"/>
          <w:kern w:val="0"/>
          <w:sz w:val="22"/>
          <w:szCs w:val="22"/>
          <w:highlight w:val="none"/>
        </w:rPr>
        <w:t>；</w:t>
      </w:r>
    </w:p>
    <w:p w14:paraId="7147F53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（12）被禁止在一至三年内参加政府采购活动或存在财政部门认定的其他重大违法记录；</w:t>
      </w:r>
    </w:p>
    <w:p w14:paraId="03AB4E5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（13）法律法规规定的其他情形。</w:t>
      </w:r>
    </w:p>
    <w:p w14:paraId="3ABF13D5">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xml:space="preserve"> 合格投标人不足3家的，不得评标。</w:t>
      </w:r>
    </w:p>
    <w:p w14:paraId="3B73C558">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 xml:space="preserve"> 不合格的投标人，不得进入评标环节。</w:t>
      </w:r>
    </w:p>
    <w:p w14:paraId="286E183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2" w:name="_Toc5151"/>
      <w:r>
        <w:rPr>
          <w:rFonts w:hint="eastAsia" w:ascii="宋体" w:hAnsi="宋体" w:eastAsia="宋体" w:cs="宋体"/>
          <w:bCs/>
          <w:color w:val="auto"/>
          <w:sz w:val="28"/>
          <w:szCs w:val="28"/>
          <w:highlight w:val="none"/>
          <w:lang w:val="en-US" w:eastAsia="zh-CN"/>
        </w:rPr>
        <w:t>8.评标</w:t>
      </w:r>
      <w:bookmarkEnd w:id="160"/>
      <w:bookmarkEnd w:id="162"/>
    </w:p>
    <w:p w14:paraId="178D50A5">
      <w:pPr>
        <w:keepNext w:val="0"/>
        <w:keepLines w:val="0"/>
        <w:pageBreakBefore w:val="0"/>
        <w:kinsoku/>
        <w:wordWrap/>
        <w:overflowPunct/>
        <w:topLinePunct w:val="0"/>
        <w:bidi w:val="0"/>
        <w:spacing w:line="480" w:lineRule="exact"/>
        <w:ind w:left="11" w:leftChars="0" w:right="0" w:hanging="11" w:hangingChars="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 评标委员会</w:t>
      </w:r>
    </w:p>
    <w:p w14:paraId="57E91A9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8.1.1 评标由采购代理机构依法组建的评标委员会负责。评标委员会由采购人代表和评审专家组成，成员由5人以上单数组成。其中评审专家不得少于成员总数的三分之二。采购预算金额在1000万元以上、技术复杂的项目或者社会影响较大的项目，评标委员会成员应当为7人以上。评审专家人选在省级</w:t>
      </w:r>
      <w:r>
        <w:rPr>
          <w:rFonts w:hint="eastAsia" w:ascii="宋体" w:hAnsi="宋体" w:eastAsia="宋体" w:cs="宋体"/>
          <w:color w:val="auto"/>
          <w:kern w:val="0"/>
          <w:sz w:val="22"/>
          <w:szCs w:val="22"/>
          <w:highlight w:val="none"/>
          <w:lang w:val="en-US" w:eastAsia="zh-CN"/>
        </w:rPr>
        <w:t>主管</w:t>
      </w:r>
      <w:r>
        <w:rPr>
          <w:rFonts w:hint="eastAsia" w:ascii="宋体" w:hAnsi="宋体" w:eastAsia="宋体" w:cs="宋体"/>
          <w:color w:val="auto"/>
          <w:kern w:val="0"/>
          <w:sz w:val="22"/>
          <w:szCs w:val="22"/>
          <w:highlight w:val="none"/>
        </w:rPr>
        <w:t>部门设立的采购评审专家库中随机抽取。</w:t>
      </w:r>
    </w:p>
    <w:p w14:paraId="4998D3D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对技术复杂、专业性强的采购项目，通过随机方式难以确定合适评审专家的，经主管预算单位同意，采购人或采购代理机构可以自行选定相应专业领域的评审专家。</w:t>
      </w:r>
    </w:p>
    <w:p w14:paraId="229C98A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8.1.2 评标委员会成员到位后，推荐一名评审专家担任评标组长，并由评标组长牵头组织该项目评标工作，采购人代表，不得担任评标组长。</w:t>
      </w:r>
    </w:p>
    <w:p w14:paraId="1FB5687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8.1.3 评委会成员有下列情形之一的，应当回避：</w:t>
      </w:r>
    </w:p>
    <w:p w14:paraId="1E357B0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（1）采购人或投标人主要负责人的近亲属；</w:t>
      </w:r>
    </w:p>
    <w:p w14:paraId="4B37F42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（2）项目主管部门或者行政监督部门的人员；</w:t>
      </w:r>
    </w:p>
    <w:p w14:paraId="50195AB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（3）与投标人有经济利益关系，可能影响对投标公正评审的；</w:t>
      </w:r>
    </w:p>
    <w:p w14:paraId="312B640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）曾因在招标、评标以及其他与招标投标有关活动中从事违法行为而受过行政处罚或刑事处罚的。</w:t>
      </w:r>
    </w:p>
    <w:p w14:paraId="572AD6C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eastAsia="宋体" w:cs="宋体"/>
          <w:color w:val="auto"/>
          <w:kern w:val="0"/>
          <w:sz w:val="22"/>
          <w:szCs w:val="22"/>
          <w:highlight w:val="none"/>
          <w:lang w:val="zh-CN"/>
        </w:rPr>
        <w:t>采购代理机构</w:t>
      </w:r>
      <w:r>
        <w:rPr>
          <w:rFonts w:hint="eastAsia" w:ascii="宋体" w:hAnsi="宋体" w:eastAsia="宋体" w:cs="宋体"/>
          <w:color w:val="auto"/>
          <w:kern w:val="0"/>
          <w:sz w:val="22"/>
          <w:szCs w:val="22"/>
          <w:highlight w:val="none"/>
        </w:rPr>
        <w:t>应当将变更、重新组建评标委员会的情况予以记录，并随采购文件一并存档。</w:t>
      </w:r>
    </w:p>
    <w:p w14:paraId="061E920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8.1.5 评委会成员名单在中标结果公告前，应当保密。</w:t>
      </w:r>
    </w:p>
    <w:p w14:paraId="30531C61">
      <w:pPr>
        <w:keepNext w:val="0"/>
        <w:keepLines w:val="0"/>
        <w:pageBreakBefore w:val="0"/>
        <w:widowControl/>
        <w:kinsoku/>
        <w:wordWrap/>
        <w:overflowPunct/>
        <w:topLinePunct w:val="0"/>
        <w:autoSpaceDE w:val="0"/>
        <w:autoSpaceDN w:val="0"/>
        <w:bidi w:val="0"/>
        <w:spacing w:line="480" w:lineRule="exact"/>
        <w:ind w:left="0" w:leftChars="0" w:right="0" w:firstLine="442" w:firstLineChars="200"/>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8.1.6  评标委员会及其成员不得有下列行为：</w:t>
      </w:r>
    </w:p>
    <w:p w14:paraId="2B8BED7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（1）确定参与评标至评标结束前私自接触投标人；</w:t>
      </w:r>
    </w:p>
    <w:p w14:paraId="54D83AC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（2）接受投标人提出的与投标文件不一致的澄清或者说明；</w:t>
      </w:r>
    </w:p>
    <w:p w14:paraId="71E9DC6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（3）违反评标纪律发表倾向性意见或者征询采购人的倾向性意见；</w:t>
      </w:r>
    </w:p>
    <w:p w14:paraId="73C99B5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（4）对需要专业判断的主观评审因素协商评分；</w:t>
      </w:r>
    </w:p>
    <w:p w14:paraId="4B6F59B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（5）在评标过程中擅离职守，影响评标程序正常进行的；</w:t>
      </w:r>
    </w:p>
    <w:p w14:paraId="4F9C4E4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（6）记录、复制或者带走任何评标资料；</w:t>
      </w:r>
    </w:p>
    <w:p w14:paraId="20672B2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（7）其他不遵守评标纪律的行为。</w:t>
      </w:r>
    </w:p>
    <w:p w14:paraId="0A89262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评标委员会成员有前款第一至五项行为之一的，其评审意见无效，并不得获取评审劳务报酬和报销异地评审差旅费。</w:t>
      </w:r>
    </w:p>
    <w:p w14:paraId="4CAFBB7F">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8.2 评标原则</w:t>
      </w:r>
    </w:p>
    <w:p w14:paraId="57885FC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8.2.1“客观、公正、审慎”为本次评标的基本原则，评标委员会按照这一原则的要求，公正、平等地对待各投标人。同时，在评审中恪守以下原则：</w:t>
      </w:r>
    </w:p>
    <w:p w14:paraId="28F2C3F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（1）统一性原则：评标委员会将按照统一的评标原则和评审方法，用统一标准进行评审。</w:t>
      </w:r>
    </w:p>
    <w:p w14:paraId="2993655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（2）独立性原则：评标工作在评标委员会内部独立进行，不受外界任何因素的干扰和影响。评标委员会成员对其出具的意见承担个人责任。投标</w:t>
      </w:r>
      <w:r>
        <w:rPr>
          <w:rFonts w:hint="eastAsia" w:ascii="宋体" w:hAnsi="宋体" w:eastAsia="宋体" w:cs="宋体"/>
          <w:color w:val="auto"/>
          <w:kern w:val="0"/>
          <w:sz w:val="22"/>
          <w:szCs w:val="22"/>
          <w:highlight w:val="none"/>
        </w:rPr>
        <w:t>人试图影响或干预评审的任何行为，将导致其丧失投标的资格，并承担相应的法律责任。</w:t>
      </w:r>
    </w:p>
    <w:p w14:paraId="176CA62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（3）客观性原则：评标委员会将严格按照招标文件要求，对投标人的投标文件进行认真评审；评标委员会对投标文件的评审仅依据投标文件本身，而不依据投标文件以外的任何因素。</w:t>
      </w:r>
    </w:p>
    <w:p w14:paraId="6B69DC0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（4）保密性原则：采购代理机构应当采取必要的措施，保证评标在严格保密情况下进行。</w:t>
      </w:r>
    </w:p>
    <w:p w14:paraId="76C5948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）综合性原则：评标委员会将综合分析、评审投标人的各项指标，而不以单项指标的优劣评定出中标人。</w:t>
      </w:r>
    </w:p>
    <w:p w14:paraId="066157D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8.2.2 评标委员会有权对整个招标过程中出现的一切问题，根据《中华人民共和国政府采购法》及实施条例和《政府采购货物和服务招标投标管理办法》等相关规定进行处理。</w:t>
      </w:r>
    </w:p>
    <w:p w14:paraId="6BABEE5E">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8.3 评标</w:t>
      </w:r>
    </w:p>
    <w:p w14:paraId="080F48F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8.3.1 评标委员会按照招标文件第三章“评标办法”规定的方法、评审因素、标准和程序对投标文件进行评审。第三章“评标办法”没有规定的方法、评审因素和标准，不作为评标依据。</w:t>
      </w:r>
    </w:p>
    <w:p w14:paraId="321DB38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8.3.2 评标委员会负责具体评标事务，并独立履行下列职责：</w:t>
      </w:r>
    </w:p>
    <w:p w14:paraId="39F19C5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（1）审查、评价投标文件是否符合招标文件的商务、技术、服务等实质性要求；</w:t>
      </w:r>
    </w:p>
    <w:p w14:paraId="2204BFA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（2）要求投标人对投标文件有关事项作出澄清或者说明；</w:t>
      </w:r>
    </w:p>
    <w:p w14:paraId="5FD57FA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（3）对投标文件进行比较和评价；</w:t>
      </w:r>
    </w:p>
    <w:p w14:paraId="3B241D5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（4）确定中标候选人名单，以及根据采购人委托直接确定中标人；</w:t>
      </w:r>
    </w:p>
    <w:p w14:paraId="37102A8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（5）向采购人、采购代理机构或者有关部门报告评标中发现的违法行为。</w:t>
      </w:r>
    </w:p>
    <w:p w14:paraId="47F824B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8.3.3评标委员会成员应当履行下列义务：</w:t>
      </w:r>
    </w:p>
    <w:p w14:paraId="50FB903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（1）遵纪守法，客观、公正、廉洁地履行职责；</w:t>
      </w:r>
    </w:p>
    <w:p w14:paraId="55866EE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（2）根据采购文件的规定独立进行评审，对个人的评审意见承担法律责任；</w:t>
      </w:r>
    </w:p>
    <w:p w14:paraId="4894142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（3）参与评标报告的起草；</w:t>
      </w:r>
    </w:p>
    <w:p w14:paraId="4313E8F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（4）配合采购人、采购代理机构答复投标人提出的质疑；</w:t>
      </w:r>
    </w:p>
    <w:p w14:paraId="6296D69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（5）配合财政部门的投诉处理和监督检查工作。</w:t>
      </w:r>
    </w:p>
    <w:p w14:paraId="45F6DE4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8.3.4 采购代理机构负责组织评标工作并履行下列职责：</w:t>
      </w:r>
    </w:p>
    <w:p w14:paraId="45FDCFB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（1）核对评审专家身份和采购人代表授权函，对评审专家在采购活动中的职责履行情况予以记录，并及时将有关违法违规行为向财政部门报告；</w:t>
      </w:r>
    </w:p>
    <w:p w14:paraId="2D40786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（2）宣布评标纪律和开启录音录像设备；</w:t>
      </w:r>
    </w:p>
    <w:p w14:paraId="67E98F3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（3）公布投标人名单，告知评标专家应当回避的情形；</w:t>
      </w:r>
    </w:p>
    <w:p w14:paraId="53C25E3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（4）组织评标委员会推选评标组长，采购人代表不得担任组长；</w:t>
      </w:r>
    </w:p>
    <w:p w14:paraId="0FDD0F1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（5）在评标期间采取必要的通讯管理措施，保证评标活动不受外界干扰；</w:t>
      </w:r>
    </w:p>
    <w:p w14:paraId="2DE9153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（6）根据评标委员会的要求介绍采购相关政策法规、招标文件；</w:t>
      </w:r>
    </w:p>
    <w:p w14:paraId="648154E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（7）维护评标秩序，监督评标委员会依照评标文件规定的评审程序、方法和标准进行独立评审，及时制止和纠正采购人代表、评审专家的倾向性言论或违法违规行为； </w:t>
      </w:r>
    </w:p>
    <w:p w14:paraId="79956A2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（8）核对评标结果，有《政府采购货物和服务招标投标管理办法》第六十四条规定情形的，要求评标委员会复核或书面说明理由，评标委员会拒绝的，应予记录并向本级财政部门报告；</w:t>
      </w:r>
    </w:p>
    <w:p w14:paraId="4402C25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（9）评审工作完成后，按照规定向评审专家支付劳务报酬和异地评审差旅费，不得向评审专家以外的其他人员支付评审劳务报酬；</w:t>
      </w:r>
    </w:p>
    <w:p w14:paraId="3661273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（10）处理与评标有关的其他事项。</w:t>
      </w:r>
    </w:p>
    <w:p w14:paraId="4941CA3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8.3.5 采购人可以在评标前介绍项目背景和采购需求，介绍内容不得含有歧视性、倾向性意见，不得超出招标文件所述范围。介绍应当提交书面介绍材料，并随采购文件一并存档。</w:t>
      </w:r>
    </w:p>
    <w:p w14:paraId="130B4E3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8.3.6评标过程严格保密</w:t>
      </w:r>
    </w:p>
    <w:p w14:paraId="70FC019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8.3.6.1 采购人、采购代理机构应当采取必要措施，保证评标在严格保密的情况下进行。除采购人代表、评标现场组织人员外，采购人的其他工作人员以及与评标工作无关的人员不得进入评标现场。</w:t>
      </w:r>
    </w:p>
    <w:p w14:paraId="40F9783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8.3.6.2 有关人员对评标情况以及在评标过程中获悉的国家秘密、商业秘密负有保密责任。开标后，直至授予中标人合同为止，凡属于对投标文件的审查、澄清、评价和比较的有关资料以及中标候选人的推荐情况，与评标有关的其他任何情况均严格保密。</w:t>
      </w:r>
    </w:p>
    <w:p w14:paraId="477C865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8.3.7 投标人对评标委员会的评标过程或合同授予决定施加影响的任何行为都可能导致其投标被拒绝。</w:t>
      </w:r>
      <w:bookmarkStart w:id="163" w:name="_Toc217446060"/>
    </w:p>
    <w:p w14:paraId="28E4387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8.3.8 评标完成后，评标委员会应当向采购人提交书面评标报告，并由采购代理机构转送。</w:t>
      </w:r>
    </w:p>
    <w:p w14:paraId="2878B9F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4" w:name="_Toc25460"/>
      <w:r>
        <w:rPr>
          <w:rFonts w:hint="eastAsia" w:ascii="宋体" w:hAnsi="宋体" w:eastAsia="宋体" w:cs="宋体"/>
          <w:bCs/>
          <w:color w:val="auto"/>
          <w:sz w:val="28"/>
          <w:szCs w:val="28"/>
          <w:highlight w:val="none"/>
          <w:lang w:val="en-US" w:eastAsia="zh-CN"/>
        </w:rPr>
        <w:t>9.定标</w:t>
      </w:r>
      <w:bookmarkEnd w:id="163"/>
      <w:bookmarkEnd w:id="164"/>
      <w:bookmarkStart w:id="165" w:name="_Toc217446061"/>
    </w:p>
    <w:p w14:paraId="18BA3A16">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9.1 定标原则</w:t>
      </w:r>
      <w:bookmarkEnd w:id="165"/>
    </w:p>
    <w:p w14:paraId="71FB1B48">
      <w:pPr>
        <w:keepNext w:val="0"/>
        <w:keepLines w:val="0"/>
        <w:pageBreakBefore w:val="0"/>
        <w:kinsoku/>
        <w:wordWrap/>
        <w:overflowPunct/>
        <w:topLinePunct w:val="0"/>
        <w:bidi w:val="0"/>
        <w:spacing w:line="480" w:lineRule="exact"/>
        <w:ind w:left="0" w:leftChars="0" w:right="0"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采购人或其授权的评标委员会按照评标报告中推荐的中标候选人名单，按顺序确定中标人。</w:t>
      </w:r>
      <w:bookmarkStart w:id="166" w:name="_Toc217446062"/>
    </w:p>
    <w:p w14:paraId="1C8C8B53">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9.2 定标程序</w:t>
      </w:r>
      <w:bookmarkEnd w:id="166"/>
    </w:p>
    <w:p w14:paraId="6528E9F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9.2.1评标委员会将评标情况写出书面报告，推荐3个中标候选人，并按照综合得分高低标明排列顺序。得分相同的，按投标报价由低到高顺序排列；得分且投标报价相同的并列。</w:t>
      </w:r>
    </w:p>
    <w:p w14:paraId="24947A8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9.2.2 采购代理机构在评标结束后2个工作日内将评标报告送采购人。</w:t>
      </w:r>
    </w:p>
    <w:p w14:paraId="6EDCFEC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9.2.3 采购人应当在收到评标报告后5个工作日内，按照评标报告中推荐的中标候选人顺序和有关规定确定中标人，第一名中标候选人并列的，由采购人根据</w:t>
      </w:r>
      <w:r>
        <w:rPr>
          <w:rFonts w:hint="eastAsia" w:ascii="宋体" w:hAnsi="宋体" w:eastAsia="宋体" w:cs="宋体"/>
          <w:color w:val="auto"/>
          <w:sz w:val="22"/>
          <w:szCs w:val="22"/>
          <w:highlight w:val="none"/>
          <w:u w:val="single"/>
        </w:rPr>
        <w:t>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eastAsia="宋体" w:cs="宋体"/>
          <w:color w:val="auto"/>
          <w:sz w:val="22"/>
          <w:szCs w:val="22"/>
          <w:highlight w:val="none"/>
        </w:rPr>
        <w:t>。同时，将中标结果复函至采购代理机构。</w:t>
      </w:r>
    </w:p>
    <w:p w14:paraId="64E4509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采购人在收到评标报告5个工作日内未按评标报告推荐的中标候选人顺序确定中标人，又不能说明合法理由的，视同按评标报告推荐的顺序确定排名第一的中标候选人为中标人。</w:t>
      </w:r>
    </w:p>
    <w:p w14:paraId="7F71F71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9.2.4 采购代理机构应当在接到采购人“定标”复函之日起2个工作日内，根据采购人确定的中标人，在省级以上财政部门指定的媒体上发布中标公告，同时向中标人发出《中标通知书》。</w:t>
      </w:r>
    </w:p>
    <w:p w14:paraId="18E598F9">
      <w:pPr>
        <w:keepNext w:val="0"/>
        <w:keepLines w:val="0"/>
        <w:pageBreakBefore w:val="0"/>
        <w:widowControl/>
        <w:kinsoku/>
        <w:wordWrap/>
        <w:overflowPunct/>
        <w:topLinePunct w:val="0"/>
        <w:autoSpaceDE/>
        <w:autoSpaceDN/>
        <w:bidi w:val="0"/>
        <w:adjustRightInd/>
        <w:snapToGrid/>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9.2.5 采购代理机构，应当</w:t>
      </w:r>
      <w:r>
        <w:rPr>
          <w:rFonts w:hint="eastAsia" w:ascii="宋体" w:hAnsi="宋体" w:eastAsia="宋体" w:cs="宋体"/>
          <w:color w:val="auto"/>
          <w:kern w:val="0"/>
          <w:sz w:val="22"/>
          <w:szCs w:val="22"/>
          <w:highlight w:val="none"/>
        </w:rPr>
        <w:t>对未通过资格审查或未通符合性审查的投标人，告知其未通过的原因；采用综合评分法评审的，还应当告知未中标人本身的评审得分与排序。</w:t>
      </w:r>
    </w:p>
    <w:p w14:paraId="7137E383">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bookmarkStart w:id="167" w:name="_Toc183582238"/>
      <w:bookmarkStart w:id="168" w:name="_Toc183682375"/>
      <w:bookmarkStart w:id="169" w:name="_Toc217446063"/>
      <w:r>
        <w:rPr>
          <w:rFonts w:hint="eastAsia" w:ascii="宋体" w:hAnsi="宋体" w:eastAsia="宋体" w:cs="宋体"/>
          <w:b/>
          <w:bCs/>
          <w:color w:val="auto"/>
          <w:sz w:val="22"/>
          <w:szCs w:val="22"/>
          <w:highlight w:val="none"/>
        </w:rPr>
        <w:t>9.3 中标通知</w:t>
      </w:r>
      <w:bookmarkEnd w:id="167"/>
      <w:bookmarkEnd w:id="168"/>
      <w:r>
        <w:rPr>
          <w:rFonts w:hint="eastAsia" w:ascii="宋体" w:hAnsi="宋体" w:eastAsia="宋体" w:cs="宋体"/>
          <w:b/>
          <w:bCs/>
          <w:color w:val="auto"/>
          <w:sz w:val="22"/>
          <w:szCs w:val="22"/>
          <w:highlight w:val="none"/>
        </w:rPr>
        <w:t>书</w:t>
      </w:r>
      <w:bookmarkEnd w:id="169"/>
    </w:p>
    <w:p w14:paraId="62F13FB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9.3.1 中标通知书为签订采购合同的依据之一，是合同的有效组成部分。</w:t>
      </w:r>
    </w:p>
    <w:p w14:paraId="685BDE1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9.3.2 中标通知书对采购人和中标人均具有法律效力。中标通知书发出后，采购人不得违法改变中标结果，中标人无正当理由不得放弃中标。否则，应当承担相应的法律责任。</w:t>
      </w:r>
    </w:p>
    <w:p w14:paraId="305B233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9.3.3 中标人应当在接到采购代理机构通知之日起2个工作日内领取《中标通知书》。</w:t>
      </w:r>
    </w:p>
    <w:p w14:paraId="44808F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9.3.4 在《中标通知书》发出后，发现中标人有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65316B36">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70" w:name="_Toc217446064"/>
      <w:bookmarkStart w:id="171" w:name="_Toc26438"/>
      <w:bookmarkStart w:id="172" w:name="_Toc183682377"/>
      <w:bookmarkStart w:id="173" w:name="_Toc183582240"/>
      <w:r>
        <w:rPr>
          <w:rFonts w:hint="eastAsia" w:ascii="宋体" w:hAnsi="宋体" w:eastAsia="宋体" w:cs="宋体"/>
          <w:bCs/>
          <w:color w:val="auto"/>
          <w:sz w:val="28"/>
          <w:szCs w:val="28"/>
          <w:highlight w:val="none"/>
          <w:lang w:val="en-US" w:eastAsia="zh-CN"/>
        </w:rPr>
        <w:t>10.合同</w:t>
      </w:r>
      <w:bookmarkEnd w:id="170"/>
      <w:r>
        <w:rPr>
          <w:rFonts w:hint="eastAsia" w:ascii="宋体" w:hAnsi="宋体" w:eastAsia="宋体" w:cs="宋体"/>
          <w:bCs/>
          <w:color w:val="auto"/>
          <w:sz w:val="28"/>
          <w:szCs w:val="28"/>
          <w:highlight w:val="none"/>
          <w:lang w:val="en-US" w:eastAsia="zh-CN"/>
        </w:rPr>
        <w:t>授予</w:t>
      </w:r>
      <w:bookmarkEnd w:id="171"/>
      <w:bookmarkStart w:id="174" w:name="_Toc217446065"/>
    </w:p>
    <w:p w14:paraId="18629030">
      <w:pPr>
        <w:keepNext w:val="0"/>
        <w:keepLines w:val="0"/>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10.1 履约保证金</w:t>
      </w:r>
    </w:p>
    <w:p w14:paraId="537D8805">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10.1.1 本项目需要提交履约保证金的，适用本条。</w:t>
      </w:r>
    </w:p>
    <w:p w14:paraId="5B4889E8">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10.1.2</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sz w:val="22"/>
          <w:szCs w:val="22"/>
          <w:highlight w:val="none"/>
        </w:rPr>
        <w:t>中标人在收到采购代理机构的中标通知书后10日内，应按照</w:t>
      </w:r>
      <w:r>
        <w:rPr>
          <w:rFonts w:hint="eastAsia" w:ascii="宋体" w:hAnsi="宋体" w:eastAsia="宋体" w:cs="宋体"/>
          <w:b/>
          <w:color w:val="auto"/>
          <w:sz w:val="22"/>
          <w:szCs w:val="22"/>
          <w:highlight w:val="none"/>
        </w:rPr>
        <w:t>投标人须知前附表</w:t>
      </w:r>
      <w:r>
        <w:rPr>
          <w:rFonts w:hint="eastAsia" w:ascii="宋体" w:hAnsi="宋体" w:eastAsia="宋体" w:cs="宋体"/>
          <w:color w:val="auto"/>
          <w:sz w:val="22"/>
          <w:szCs w:val="22"/>
          <w:highlight w:val="none"/>
        </w:rPr>
        <w:t>规定的形式、金额，向采购人提交履约保证金或履约担保。联合体中标的，履约保证金或履约担保由联合体各方或者联合体中牵头人的名义提交。</w:t>
      </w:r>
    </w:p>
    <w:p w14:paraId="58585671">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10.1.3 中标人</w:t>
      </w:r>
      <w:r>
        <w:rPr>
          <w:rFonts w:hint="eastAsia" w:ascii="宋体" w:hAnsi="宋体" w:eastAsia="宋体" w:cs="宋体"/>
          <w:color w:val="auto"/>
          <w:spacing w:val="4"/>
          <w:sz w:val="22"/>
          <w:szCs w:val="22"/>
          <w:highlight w:val="none"/>
        </w:rPr>
        <w:t>不能按照本章第10.1.2项规定</w:t>
      </w:r>
      <w:r>
        <w:rPr>
          <w:rFonts w:hint="eastAsia" w:ascii="宋体" w:hAnsi="宋体" w:eastAsia="宋体" w:cs="宋体"/>
          <w:color w:val="auto"/>
          <w:sz w:val="22"/>
          <w:szCs w:val="22"/>
          <w:highlight w:val="none"/>
        </w:rPr>
        <w:t>提交履约保证金或履约担保的</w:t>
      </w:r>
      <w:r>
        <w:rPr>
          <w:rFonts w:hint="eastAsia" w:ascii="宋体" w:hAnsi="宋体" w:eastAsia="宋体" w:cs="宋体"/>
          <w:color w:val="auto"/>
          <w:spacing w:val="4"/>
          <w:sz w:val="22"/>
          <w:szCs w:val="22"/>
          <w:highlight w:val="none"/>
        </w:rPr>
        <w:t>，视为放弃</w:t>
      </w:r>
      <w:r>
        <w:rPr>
          <w:rFonts w:hint="eastAsia" w:ascii="宋体" w:hAnsi="宋体" w:eastAsia="宋体" w:cs="宋体"/>
          <w:color w:val="auto"/>
          <w:sz w:val="22"/>
          <w:szCs w:val="22"/>
          <w:highlight w:val="none"/>
        </w:rPr>
        <w:t>中标资格</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rPr>
        <w:t>其投标保证金不予退还，给采购人造成的损失超过投标保证金金额的，中标人应当对超过部分予以赔偿。</w:t>
      </w:r>
    </w:p>
    <w:p w14:paraId="348C78D6">
      <w:pPr>
        <w:keepNext w:val="0"/>
        <w:keepLines w:val="0"/>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10.2 签订合同</w:t>
      </w:r>
      <w:bookmarkEnd w:id="174"/>
    </w:p>
    <w:p w14:paraId="2DB27E2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10.2.1 中标人应在《中标通知书》发出之日起30日内与采购人签订采购合同。中标人无正当理由拒签合同，或者在签订合同时向采购人提出附件条件，采购人有权取消其中标资格，其投标保证金不予退还，给采购人造成的损失超过投标保证金数额的，中标人应当对超过部分予以赔偿。采购人可以与排在中标人之后第一位的候选人签订采购合同，或者重新开展采购活动。拒绝签订采购合同的中标人不得参加对该项目重新开展的采购活动。</w:t>
      </w:r>
    </w:p>
    <w:p w14:paraId="6E49394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10.2.2 发出中标通知书后，采购人不得向中标人提出任何不合理要求，作为签订合的条件，不得与中标人私下订立背离合同实质性内容的任何协议，所签订的合同不得对招标文件确定的事项和中标人投标文件做实质性修改。</w:t>
      </w:r>
    </w:p>
    <w:p w14:paraId="5945F87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10.2.3中标人因不可抗力原因不能履行采购合同或放弃中标的，采购人可以与排在中标人之后第一位的中标候选人签订采购合同，以此类推。</w:t>
      </w:r>
      <w:bookmarkStart w:id="175" w:name="_Toc217446066"/>
    </w:p>
    <w:p w14:paraId="2DBB792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10.2.4 联合体中标的，联合体各方应当与采购人签订采购合同，就中标项目向采购人承担连带责任。</w:t>
      </w:r>
    </w:p>
    <w:p w14:paraId="5C00A4FC">
      <w:pPr>
        <w:keepNext w:val="0"/>
        <w:keepLines w:val="0"/>
        <w:pageBreakBefore w:val="0"/>
        <w:kinsoku/>
        <w:wordWrap/>
        <w:overflowPunct/>
        <w:topLinePunct w:val="0"/>
        <w:bidi w:val="0"/>
        <w:snapToGrid w:val="0"/>
        <w:spacing w:line="480" w:lineRule="exact"/>
        <w:ind w:left="0" w:leftChars="0" w:right="0"/>
        <w:rPr>
          <w:rFonts w:hint="eastAsia" w:ascii="宋体" w:hAnsi="宋体" w:eastAsia="宋体" w:cs="宋体"/>
          <w:b/>
          <w:bCs/>
          <w:color w:val="auto"/>
          <w:sz w:val="22"/>
          <w:szCs w:val="22"/>
          <w:highlight w:val="none"/>
        </w:rPr>
      </w:pPr>
      <w:bookmarkStart w:id="176" w:name="_Toc322606648"/>
      <w:r>
        <w:rPr>
          <w:rFonts w:hint="eastAsia" w:ascii="宋体" w:hAnsi="宋体" w:eastAsia="宋体" w:cs="宋体"/>
          <w:b/>
          <w:bCs/>
          <w:color w:val="auto"/>
          <w:sz w:val="22"/>
          <w:szCs w:val="22"/>
          <w:highlight w:val="none"/>
        </w:rPr>
        <w:t>10.3 合同履行</w:t>
      </w:r>
      <w:bookmarkEnd w:id="176"/>
    </w:p>
    <w:p w14:paraId="2CD6F97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10.3.1 采购合同的履行、违约责任和解决争议的方法等适用《</w:t>
      </w:r>
      <w:r>
        <w:rPr>
          <w:rFonts w:hint="eastAsia" w:ascii="宋体" w:hAnsi="宋体" w:eastAsia="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w:t>
      </w:r>
    </w:p>
    <w:p w14:paraId="252606D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10.3.2 </w:t>
      </w:r>
      <w:r>
        <w:rPr>
          <w:rFonts w:hint="eastAsia" w:ascii="宋体" w:hAnsi="宋体" w:eastAsia="宋体" w:cs="宋体"/>
          <w:color w:val="auto"/>
          <w:sz w:val="22"/>
          <w:szCs w:val="22"/>
          <w:highlight w:val="none"/>
          <w:lang w:eastAsia="zh-TW"/>
        </w:rPr>
        <w:t>采购合同订立后，合同各方不得擅自变更</w:t>
      </w:r>
      <w:r>
        <w:rPr>
          <w:rFonts w:hint="eastAsia" w:ascii="宋体" w:hAnsi="宋体" w:eastAsia="宋体" w:cs="宋体"/>
          <w:color w:val="auto"/>
          <w:sz w:val="22"/>
          <w:szCs w:val="22"/>
          <w:highlight w:val="none"/>
        </w:rPr>
        <w:t>或者</w:t>
      </w:r>
      <w:r>
        <w:rPr>
          <w:rFonts w:hint="eastAsia" w:ascii="宋体" w:hAnsi="宋体" w:eastAsia="宋体" w:cs="宋体"/>
          <w:color w:val="auto"/>
          <w:sz w:val="22"/>
          <w:szCs w:val="22"/>
          <w:highlight w:val="none"/>
          <w:lang w:eastAsia="zh-TW"/>
        </w:rPr>
        <w:t>中止或者终止合同。采购合同需要变更的，采购人应将有关合同变更内容，以书面形式</w:t>
      </w:r>
      <w:r>
        <w:rPr>
          <w:rFonts w:hint="eastAsia" w:ascii="宋体" w:hAnsi="宋体" w:eastAsia="宋体" w:cs="宋体"/>
          <w:color w:val="auto"/>
          <w:sz w:val="22"/>
          <w:szCs w:val="22"/>
          <w:highlight w:val="none"/>
          <w:lang w:val="zh-CN" w:eastAsia="zh-TW"/>
        </w:rPr>
        <w:t>或政采云平台</w:t>
      </w:r>
      <w:r>
        <w:rPr>
          <w:rFonts w:hint="eastAsia" w:ascii="宋体" w:hAnsi="宋体" w:eastAsia="宋体" w:cs="宋体"/>
          <w:color w:val="auto"/>
          <w:sz w:val="22"/>
          <w:szCs w:val="22"/>
          <w:highlight w:val="none"/>
          <w:lang w:eastAsia="zh-TW"/>
        </w:rPr>
        <w:t>报采购监督管理</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eastAsia="zh-TW"/>
        </w:rPr>
        <w:t>备案；因特殊情况需要中止或终止合同的，采购人应将中止或终止合同的理由以及相应措施，以书面形式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lang w:eastAsia="zh-TW"/>
        </w:rPr>
        <w:t>报监督管理</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eastAsia="zh-TW"/>
        </w:rPr>
        <w:t>备案。</w:t>
      </w:r>
    </w:p>
    <w:p w14:paraId="3AC0936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10.3.3 </w:t>
      </w:r>
      <w:r>
        <w:rPr>
          <w:rFonts w:hint="eastAsia" w:ascii="宋体" w:hAnsi="宋体" w:eastAsia="宋体" w:cs="宋体"/>
          <w:color w:val="auto"/>
          <w:sz w:val="22"/>
          <w:szCs w:val="22"/>
          <w:highlight w:val="none"/>
          <w:lang w:eastAsia="zh-TW"/>
        </w:rPr>
        <w:t>采购合同履行中，采购人需追加与合同标的相同的货物的，在不改变合同其他条款的前提下，可以与</w:t>
      </w:r>
      <w:r>
        <w:rPr>
          <w:rFonts w:hint="eastAsia" w:ascii="宋体" w:hAnsi="宋体" w:eastAsia="宋体" w:cs="宋体"/>
          <w:color w:val="auto"/>
          <w:sz w:val="22"/>
          <w:szCs w:val="22"/>
          <w:highlight w:val="none"/>
        </w:rPr>
        <w:t>中标人</w:t>
      </w:r>
      <w:r>
        <w:rPr>
          <w:rFonts w:hint="eastAsia" w:ascii="宋体" w:hAnsi="宋体" w:eastAsia="宋体" w:cs="宋体"/>
          <w:color w:val="auto"/>
          <w:sz w:val="22"/>
          <w:szCs w:val="22"/>
          <w:highlight w:val="none"/>
          <w:lang w:eastAsia="zh-TW"/>
        </w:rPr>
        <w:t>签订补充合同，但所补充合同的采购金额不得超过原</w:t>
      </w:r>
      <w:r>
        <w:rPr>
          <w:rFonts w:hint="eastAsia" w:ascii="宋体" w:hAnsi="宋体" w:eastAsia="宋体" w:cs="宋体"/>
          <w:color w:val="auto"/>
          <w:sz w:val="22"/>
          <w:szCs w:val="22"/>
          <w:highlight w:val="none"/>
        </w:rPr>
        <w:t>合同</w:t>
      </w:r>
      <w:r>
        <w:rPr>
          <w:rFonts w:hint="eastAsia" w:ascii="宋体" w:hAnsi="宋体" w:eastAsia="宋体" w:cs="宋体"/>
          <w:color w:val="auto"/>
          <w:sz w:val="22"/>
          <w:szCs w:val="22"/>
          <w:highlight w:val="none"/>
          <w:lang w:eastAsia="zh-TW"/>
        </w:rPr>
        <w:t>采购金额的百分之十。签订补充合同的</w:t>
      </w:r>
      <w:r>
        <w:rPr>
          <w:rFonts w:hint="eastAsia" w:ascii="宋体" w:hAnsi="宋体" w:eastAsia="宋体" w:cs="宋体"/>
          <w:color w:val="auto"/>
          <w:sz w:val="22"/>
          <w:szCs w:val="22"/>
          <w:highlight w:val="none"/>
        </w:rPr>
        <w:t>应</w:t>
      </w:r>
      <w:r>
        <w:rPr>
          <w:rFonts w:hint="eastAsia" w:ascii="宋体" w:hAnsi="宋体" w:eastAsia="宋体" w:cs="宋体"/>
          <w:color w:val="auto"/>
          <w:sz w:val="22"/>
          <w:szCs w:val="22"/>
          <w:highlight w:val="none"/>
          <w:lang w:eastAsia="zh-TW"/>
        </w:rPr>
        <w:t>按规定备案。</w:t>
      </w:r>
    </w:p>
    <w:bookmarkEnd w:id="172"/>
    <w:bookmarkEnd w:id="173"/>
    <w:bookmarkEnd w:id="175"/>
    <w:p w14:paraId="0D158B09">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77" w:name="_Toc26703"/>
      <w:bookmarkStart w:id="178" w:name="_Toc217446081"/>
      <w:r>
        <w:rPr>
          <w:rFonts w:hint="eastAsia" w:ascii="宋体" w:hAnsi="宋体" w:eastAsia="宋体" w:cs="宋体"/>
          <w:bCs/>
          <w:color w:val="auto"/>
          <w:sz w:val="28"/>
          <w:szCs w:val="28"/>
          <w:highlight w:val="none"/>
          <w:lang w:val="en-US" w:eastAsia="zh-CN"/>
        </w:rPr>
        <w:t>11.废标或变更采购方式</w:t>
      </w:r>
      <w:bookmarkEnd w:id="177"/>
      <w:bookmarkStart w:id="179" w:name="_Toc217446072"/>
    </w:p>
    <w:p w14:paraId="7008C4AC">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11.1废标的情形</w:t>
      </w:r>
      <w:bookmarkEnd w:id="179"/>
    </w:p>
    <w:p w14:paraId="676BABA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 招标采购中，出现下列情形之一的，应予以废标：</w:t>
      </w:r>
    </w:p>
    <w:p w14:paraId="5CEE70F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（1）符合专业条件的投标人或者对招标文件作实质响应的投标人不足3家的；</w:t>
      </w:r>
    </w:p>
    <w:p w14:paraId="702BC32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14:paraId="69BE804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（3）投标人的报价均超过了采购预算或最高限价，采购人不能支付的；</w:t>
      </w:r>
    </w:p>
    <w:p w14:paraId="68A7A49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5416D6E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11.1.2 废标后，采购代理机构应在财政部门指定采购网上公告，并公告废标的详细理由。</w:t>
      </w:r>
    </w:p>
    <w:p w14:paraId="5B872E7E">
      <w:pPr>
        <w:pStyle w:val="7"/>
        <w:keepNext w:val="0"/>
        <w:keepLines w:val="0"/>
        <w:pageBreakBefore w:val="0"/>
        <w:kinsoku/>
        <w:wordWrap/>
        <w:overflowPunct/>
        <w:topLinePunct w:val="0"/>
        <w:bidi w:val="0"/>
        <w:spacing w:line="480" w:lineRule="exact"/>
        <w:ind w:left="0" w:leftChars="0" w:right="0"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11.2 变更采购方式</w:t>
      </w:r>
    </w:p>
    <w:p w14:paraId="76FBA85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11.2.1 存在下列情形之一的，除采购任务取消情形外，采购人经</w:t>
      </w:r>
      <w:r>
        <w:rPr>
          <w:rFonts w:hint="eastAsia" w:ascii="宋体" w:hAnsi="宋体" w:eastAsia="宋体" w:cs="宋体"/>
          <w:color w:val="auto"/>
          <w:sz w:val="22"/>
          <w:szCs w:val="22"/>
          <w:highlight w:val="none"/>
          <w:lang w:val="en-US" w:eastAsia="zh-CN"/>
        </w:rPr>
        <w:t>主管</w:t>
      </w:r>
      <w:r>
        <w:rPr>
          <w:rFonts w:hint="eastAsia" w:ascii="宋体" w:hAnsi="宋体" w:eastAsia="宋体" w:cs="宋体"/>
          <w:color w:val="auto"/>
          <w:sz w:val="22"/>
          <w:szCs w:val="22"/>
          <w:highlight w:val="none"/>
        </w:rPr>
        <w:t>部门同意后，可以</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按《政府采购货物和服务招标投标管理办法》（财政部87号令）第四十三条规定的方式处理：</w:t>
      </w:r>
    </w:p>
    <w:p w14:paraId="01FFA19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（1）投标截止后参加投标的人不足3家的；</w:t>
      </w:r>
    </w:p>
    <w:p w14:paraId="12B1CD3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（2）通过资格审查的投标人不足3家的；</w:t>
      </w:r>
    </w:p>
    <w:p w14:paraId="5399037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（3）通过符合性审查的投标人不足3家的。</w:t>
      </w:r>
    </w:p>
    <w:p w14:paraId="3C76601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 通过符合性审查的投标人只有2家时，采购人经</w:t>
      </w:r>
      <w:r>
        <w:rPr>
          <w:rFonts w:hint="eastAsia" w:ascii="宋体" w:hAnsi="宋体" w:eastAsia="宋体" w:cs="宋体"/>
          <w:color w:val="auto"/>
          <w:sz w:val="22"/>
          <w:szCs w:val="22"/>
          <w:highlight w:val="none"/>
          <w:lang w:val="en-US" w:eastAsia="zh-CN"/>
        </w:rPr>
        <w:t>主管</w:t>
      </w:r>
      <w:r>
        <w:rPr>
          <w:rFonts w:hint="eastAsia" w:ascii="宋体" w:hAnsi="宋体" w:eastAsia="宋体" w:cs="宋体"/>
          <w:color w:val="auto"/>
          <w:sz w:val="22"/>
          <w:szCs w:val="22"/>
          <w:highlight w:val="none"/>
        </w:rPr>
        <w:t>门同意后，可以</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按《政府采购非招标采购方式管理办法》（财政部第74号令）的规定与该2家投标人进行竞争性谈判采购。</w:t>
      </w:r>
    </w:p>
    <w:p w14:paraId="37E9EDFB">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0" w:name="_Toc23011"/>
      <w:r>
        <w:rPr>
          <w:rFonts w:hint="eastAsia" w:ascii="宋体" w:hAnsi="宋体" w:eastAsia="宋体" w:cs="宋体"/>
          <w:bCs/>
          <w:color w:val="auto"/>
          <w:sz w:val="28"/>
          <w:szCs w:val="28"/>
          <w:highlight w:val="none"/>
          <w:lang w:val="en-US" w:eastAsia="zh-CN"/>
        </w:rPr>
        <w:t>12.招标代理服务费</w:t>
      </w:r>
      <w:bookmarkEnd w:id="180"/>
    </w:p>
    <w:p w14:paraId="32092C4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中标人在领取《中标通知书》之前，应向采购代理机构交纳招标代理服务费。</w:t>
      </w:r>
    </w:p>
    <w:p w14:paraId="2812D51A">
      <w:pPr>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采购人与采购代理机构约定，由</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供应商支付采购代理服务费的，</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供应商在领取《成交通知书》之前，应当向采购代理机构交纳采购代理服务费。</w:t>
      </w:r>
    </w:p>
    <w:p w14:paraId="1346A3E2">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340360</wp:posOffset>
            </wp:positionH>
            <wp:positionV relativeFrom="paragraph">
              <wp:posOffset>97155</wp:posOffset>
            </wp:positionV>
            <wp:extent cx="5231130" cy="2285365"/>
            <wp:effectExtent l="0" t="0" r="7620" b="635"/>
            <wp:wrapNone/>
            <wp:docPr id="2" name="图片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ULL"/>
                    <pic:cNvPicPr>
                      <a:picLocks noChangeAspect="1"/>
                    </pic:cNvPicPr>
                  </pic:nvPicPr>
                  <pic:blipFill>
                    <a:blip r:embed="rId14"/>
                    <a:stretch>
                      <a:fillRect/>
                    </a:stretch>
                  </pic:blipFill>
                  <pic:spPr>
                    <a:xfrm>
                      <a:off x="0" y="0"/>
                      <a:ext cx="5231130" cy="2285365"/>
                    </a:xfrm>
                    <a:prstGeom prst="rect">
                      <a:avLst/>
                    </a:prstGeom>
                    <a:noFill/>
                    <a:ln>
                      <a:noFill/>
                    </a:ln>
                  </pic:spPr>
                </pic:pic>
              </a:graphicData>
            </a:graphic>
          </wp:anchor>
        </w:drawing>
      </w:r>
    </w:p>
    <w:p w14:paraId="24ED46ED">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941D888">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CCCB119">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58EA463">
      <w:pPr>
        <w:pStyle w:val="4"/>
        <w:pageBreakBefore w:val="0"/>
        <w:kinsoku/>
        <w:wordWrap/>
        <w:overflowPunct/>
        <w:topLinePunct w:val="0"/>
        <w:bidi w:val="0"/>
        <w:spacing w:before="0" w:after="0" w:line="480" w:lineRule="exact"/>
        <w:ind w:left="0" w:leftChars="0" w:right="0"/>
        <w:rPr>
          <w:rFonts w:hint="eastAsia" w:ascii="宋体" w:hAnsi="宋体" w:eastAsia="宋体" w:cs="宋体"/>
          <w:color w:val="auto"/>
          <w:sz w:val="22"/>
          <w:szCs w:val="22"/>
          <w:highlight w:val="none"/>
        </w:rPr>
      </w:pPr>
    </w:p>
    <w:p w14:paraId="1303E926">
      <w:pPr>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p>
    <w:p w14:paraId="3747265B">
      <w:pPr>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p>
    <w:p w14:paraId="50FA884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41C067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 招标代理服务费不得用投标保证金冲抵。</w:t>
      </w:r>
    </w:p>
    <w:p w14:paraId="36FED65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 中标人未按本章第12.1项规定交纳招标代理服务费的，其投标保证金将被采购代理机构全额没收。</w:t>
      </w:r>
    </w:p>
    <w:p w14:paraId="3FAD259C">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1" w:name="_Toc6287"/>
      <w:r>
        <w:rPr>
          <w:rFonts w:hint="eastAsia" w:ascii="宋体" w:hAnsi="宋体" w:eastAsia="宋体" w:cs="宋体"/>
          <w:bCs/>
          <w:color w:val="auto"/>
          <w:sz w:val="28"/>
          <w:szCs w:val="28"/>
          <w:highlight w:val="none"/>
          <w:lang w:val="en-US" w:eastAsia="zh-CN"/>
        </w:rPr>
        <w:t>13.质疑与投诉</w:t>
      </w:r>
      <w:bookmarkEnd w:id="181"/>
    </w:p>
    <w:p w14:paraId="3CB66126">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13.1质疑</w:t>
      </w:r>
    </w:p>
    <w:p w14:paraId="0BA5322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3.1.1 投标人认</w:t>
      </w:r>
      <w:r>
        <w:rPr>
          <w:rFonts w:hint="eastAsia" w:ascii="宋体" w:hAnsi="宋体" w:eastAsia="宋体" w:cs="宋体"/>
          <w:color w:val="auto"/>
          <w:sz w:val="22"/>
          <w:szCs w:val="22"/>
          <w:highlight w:val="none"/>
        </w:rPr>
        <w:t>为招标文件、招标过程和中标结果使自己的权益受到损害的，当在知道或者应知其权益受到损害之日起七个工作日内根据《中华人民共和国政府采购法》、《中华人民共和国政府采购法实施条例》和《政府采购质疑和投诉办法》的有关规定，依法向采购人或其委托的采购代理机构一次性</w:t>
      </w:r>
      <w:r>
        <w:rPr>
          <w:rFonts w:hint="eastAsia" w:ascii="宋体" w:hAnsi="宋体" w:eastAsia="宋体" w:cs="宋体"/>
          <w:color w:val="auto"/>
          <w:sz w:val="22"/>
          <w:szCs w:val="22"/>
          <w:highlight w:val="none"/>
          <w:lang w:eastAsia="zh-CN"/>
        </w:rPr>
        <w:t>以书面形式提出质疑。</w:t>
      </w:r>
    </w:p>
    <w:p w14:paraId="14E556A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13.1.2 质疑投标人应按照财政部制定的《政府采购质疑函范本》格式（可从</w:t>
      </w:r>
      <w:r>
        <w:rPr>
          <w:rFonts w:hint="eastAsia" w:ascii="宋体" w:hAnsi="宋体" w:eastAsia="宋体" w:cs="宋体"/>
          <w:color w:val="auto"/>
          <w:sz w:val="22"/>
          <w:szCs w:val="22"/>
          <w:highlight w:val="none"/>
          <w:lang w:val="en-US" w:eastAsia="zh-CN"/>
        </w:rPr>
        <w:t>新疆政府采购网</w:t>
      </w:r>
      <w:r>
        <w:rPr>
          <w:rFonts w:hint="eastAsia" w:ascii="宋体" w:hAnsi="宋体" w:eastAsia="宋体" w:cs="宋体"/>
          <w:color w:val="auto"/>
          <w:sz w:val="22"/>
          <w:szCs w:val="22"/>
          <w:highlight w:val="none"/>
          <w:lang w:eastAsia="zh-CN"/>
        </w:rPr>
        <w:t>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采购人或其委托的采购代理机构</w:t>
      </w:r>
      <w:r>
        <w:rPr>
          <w:rFonts w:hint="eastAsia" w:ascii="宋体" w:hAnsi="宋体" w:eastAsia="宋体" w:cs="宋体"/>
          <w:color w:val="auto"/>
          <w:sz w:val="22"/>
          <w:szCs w:val="22"/>
          <w:highlight w:val="none"/>
          <w:lang w:val="en-US" w:eastAsia="zh-CN"/>
        </w:rPr>
        <w:t>将不予受理，</w:t>
      </w:r>
      <w:r>
        <w:rPr>
          <w:rFonts w:hint="eastAsia" w:ascii="宋体" w:hAnsi="宋体" w:eastAsia="宋体" w:cs="宋体"/>
          <w:color w:val="auto"/>
          <w:sz w:val="22"/>
          <w:szCs w:val="22"/>
          <w:highlight w:val="none"/>
          <w:lang w:eastAsia="zh-CN"/>
        </w:rPr>
        <w:t>质疑投标人将依法承担不利后果。</w:t>
      </w:r>
    </w:p>
    <w:p w14:paraId="764E85A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13.1.3 投标人提出质疑应当提交质疑函和必要的证明材料。质疑函应当包括下列内容：</w:t>
      </w:r>
    </w:p>
    <w:p w14:paraId="11C89CD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（1）投标人的姓名或者名称、地址、邮编、联系人及联系电话；</w:t>
      </w:r>
    </w:p>
    <w:p w14:paraId="239F773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（2）质疑项目的名称、编号；</w:t>
      </w:r>
    </w:p>
    <w:p w14:paraId="2BFCAAB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（3）具体、明确的质疑事项和与质疑事项相关的请求；</w:t>
      </w:r>
    </w:p>
    <w:p w14:paraId="20D53CF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（4）事实依据；</w:t>
      </w:r>
    </w:p>
    <w:p w14:paraId="6084264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（5）必要的法律依据；</w:t>
      </w:r>
    </w:p>
    <w:p w14:paraId="5561CF5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（6）提出质疑的日期。</w:t>
      </w:r>
    </w:p>
    <w:p w14:paraId="61CCEFB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13.1.4</w:t>
      </w:r>
      <w:r>
        <w:rPr>
          <w:rFonts w:hint="eastAsia" w:ascii="宋体" w:hAnsi="宋体" w:eastAsia="宋体" w:cs="宋体"/>
          <w:color w:val="auto"/>
          <w:sz w:val="22"/>
          <w:szCs w:val="22"/>
          <w:highlight w:val="none"/>
          <w:lang w:eastAsia="zh-CN"/>
        </w:rPr>
        <w:t>质疑投标人为自然人的，质疑函应由本人签字（并附自然人身份证正反面）；质疑投标人为法人或者其他组织的，质疑函应由法定代表人、主要负责人，或者其授权代表签字或者签章，并加盖公章（另附法人（或主要负责人）身份证正反面和其授权代表身份证正反面及营业执照）。</w:t>
      </w:r>
      <w:r>
        <w:rPr>
          <w:rFonts w:hint="eastAsia" w:ascii="宋体" w:hAnsi="宋体" w:eastAsia="宋体" w:cs="宋体"/>
          <w:color w:val="auto"/>
          <w:sz w:val="22"/>
          <w:szCs w:val="22"/>
          <w:highlight w:val="none"/>
          <w:lang w:val="en-US" w:eastAsia="zh-CN"/>
        </w:rPr>
        <w:t xml:space="preserve">  </w:t>
      </w:r>
    </w:p>
    <w:p w14:paraId="31DCC19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13.1.5 质疑函范本格式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lang w:eastAsia="zh-CN"/>
        </w:rPr>
        <w:t>在中国政府采购网站（http://www.ccgp.gov.cn/）自行下载。</w:t>
      </w:r>
    </w:p>
    <w:p w14:paraId="365877B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13.1.6 采购代理机构质疑函接收部门、联系电话和通讯地址, 见投标人须知资料表。</w:t>
      </w:r>
      <w:r>
        <w:rPr>
          <w:rFonts w:hint="eastAsia" w:ascii="宋体" w:hAnsi="宋体" w:eastAsia="宋体" w:cs="宋体"/>
          <w:color w:val="auto"/>
          <w:sz w:val="22"/>
          <w:szCs w:val="22"/>
          <w:highlight w:val="none"/>
          <w:lang w:val="en-US" w:eastAsia="zh-CN"/>
        </w:rPr>
        <w:t xml:space="preserve"> </w:t>
      </w:r>
    </w:p>
    <w:p w14:paraId="2BD0544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13.1.7 有下列情形之一的，属于无效质疑，采购代理机构和采购人不予受理：</w:t>
      </w:r>
    </w:p>
    <w:p w14:paraId="4262B03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（1）质疑人不是参与本次采购项目的投标人；</w:t>
      </w:r>
    </w:p>
    <w:p w14:paraId="7FD5AE1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（2）质疑人与质疑事项不存在利害关系的；</w:t>
      </w:r>
    </w:p>
    <w:p w14:paraId="2246386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（3）未在法定期限内提出质疑的；</w:t>
      </w:r>
    </w:p>
    <w:p w14:paraId="356EC76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（4）质疑未以书面形式提出，以传真、电子邮件、移动通信等形式即时收悉提交的质疑材料；</w:t>
      </w:r>
    </w:p>
    <w:p w14:paraId="59CED06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（5）质疑未按质疑函范本格式提出的；</w:t>
      </w:r>
    </w:p>
    <w:p w14:paraId="751C81E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（6）质疑书主要内容构成不完整的；</w:t>
      </w:r>
    </w:p>
    <w:p w14:paraId="0B91B8C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（7）质疑投标人是自然人，个体工商户未提交个体工商户营业执照和本人身份证明或非个体工商户未提供本人身份证明的；</w:t>
      </w:r>
    </w:p>
    <w:p w14:paraId="6B07213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（8）质疑投标人是法人，未提交法人营业执照或者事业法人证书和法定代表人身份证明的；</w:t>
      </w:r>
    </w:p>
    <w:p w14:paraId="055E8EA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（9）质疑投标人是其他组织，未提交其他组织有效证明文件和主要负责人身份证明的；</w:t>
      </w:r>
    </w:p>
    <w:p w14:paraId="277D013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（10）质疑投标人委托代理人进行质疑，未提交法定代表人授权委托书、授权代表身份证明的；</w:t>
      </w:r>
    </w:p>
    <w:p w14:paraId="2F75996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（11）质疑函未签字或未加盖公章的；</w:t>
      </w:r>
    </w:p>
    <w:p w14:paraId="0C428FA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（12）以非法手段取得证据、材料的；</w:t>
      </w:r>
    </w:p>
    <w:p w14:paraId="37BF011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（13）质疑答复后，同一质疑人就同一事项再次提出质疑的；</w:t>
      </w:r>
    </w:p>
    <w:p w14:paraId="3C4CFAC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（14）不符合法律、法规、规章和采购监管机构规定的其他条件的。</w:t>
      </w:r>
    </w:p>
    <w:p w14:paraId="246E552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13.1.8 采购代理机构或采购人将在收到书面质疑后7个工作日内做出答复，并以书面形式通知质疑人和其他有关投标人。</w:t>
      </w:r>
    </w:p>
    <w:p w14:paraId="4BC961C0">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13.2 投诉</w:t>
      </w:r>
    </w:p>
    <w:p w14:paraId="62A70B0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13.2.1 质疑人对采购代理机构或采购人的答复不满意，或者采购人、采购代理机构未在规定时间内作出答复的，可以在答复期满后15个工作日内向</w:t>
      </w:r>
      <w:r>
        <w:rPr>
          <w:rFonts w:hint="eastAsia" w:ascii="宋体" w:hAnsi="宋体" w:eastAsia="宋体" w:cs="宋体"/>
          <w:color w:val="auto"/>
          <w:sz w:val="22"/>
          <w:szCs w:val="22"/>
          <w:highlight w:val="none"/>
          <w:u w:val="single"/>
          <w:lang w:val="en-US" w:eastAsia="zh-CN"/>
        </w:rPr>
        <w:t>当地</w:t>
      </w:r>
      <w:r>
        <w:rPr>
          <w:rFonts w:hint="eastAsia" w:ascii="宋体" w:hAnsi="宋体" w:eastAsia="宋体" w:cs="宋体"/>
          <w:color w:val="auto"/>
          <w:sz w:val="22"/>
          <w:szCs w:val="22"/>
          <w:highlight w:val="none"/>
          <w:u w:val="single"/>
          <w:lang w:eastAsia="zh-CN"/>
        </w:rPr>
        <w:t>财政局</w:t>
      </w:r>
      <w:r>
        <w:rPr>
          <w:rFonts w:hint="eastAsia" w:ascii="宋体" w:hAnsi="宋体" w:eastAsia="宋体" w:cs="宋体"/>
          <w:color w:val="auto"/>
          <w:sz w:val="22"/>
          <w:szCs w:val="22"/>
          <w:highlight w:val="none"/>
        </w:rPr>
        <w:t>提起投诉。</w:t>
      </w:r>
    </w:p>
    <w:p w14:paraId="769B94B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13.2.2 投诉人投诉时,应当提交投诉书和必要的证明材料，并按照被投诉采购人、采购代理机构（以下简称被投诉人）和与投诉事项有关的投标人数量提供投诉书的副本。投诉书应当包括下列内容：</w:t>
      </w:r>
    </w:p>
    <w:p w14:paraId="1596E3A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（1）投诉人和被投诉人的姓名或者名称、通讯地址、邮编、联系人及联系电话；</w:t>
      </w:r>
    </w:p>
    <w:p w14:paraId="398EE514">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（2）质疑和质疑答复情况说明及相关证明材料；</w:t>
      </w:r>
    </w:p>
    <w:p w14:paraId="5E9320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（3）具体、明确的投诉事项和与投诉事项相关的投诉请求；</w:t>
      </w:r>
    </w:p>
    <w:p w14:paraId="1EF893F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（4）事实依据；</w:t>
      </w:r>
    </w:p>
    <w:p w14:paraId="335202C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（5）法律依据；</w:t>
      </w:r>
    </w:p>
    <w:p w14:paraId="3D8D06D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（6）提起投诉的日期。</w:t>
      </w:r>
    </w:p>
    <w:p w14:paraId="4CE6B55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投诉人为自然人的，应当由本人签字；投诉人为法人或者其他组织的，应当由法定代表人、主要负责人，或者其授权代表签字或者盖章，并加盖单位章。</w:t>
      </w:r>
    </w:p>
    <w:p w14:paraId="1C90B4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13.2.3 投诉书范本格式在中国政府采购网站（http://www.ccgp.gov.cn/）自行下载。</w:t>
      </w:r>
    </w:p>
    <w:p w14:paraId="42CABB4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13.2.4 投诉人提起投诉应当符合下列条件：</w:t>
      </w:r>
    </w:p>
    <w:p w14:paraId="42B674B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（1）提起投诉前已依法进行质疑；</w:t>
      </w:r>
    </w:p>
    <w:p w14:paraId="2F9483F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（2）投诉书内容符合财政部94号令的规定；</w:t>
      </w:r>
    </w:p>
    <w:p w14:paraId="502F1AF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（3）在投诉有效期限内提起投诉；</w:t>
      </w:r>
    </w:p>
    <w:p w14:paraId="6EC84C1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（4）同一投诉事项未经财政部门投诉处理；</w:t>
      </w:r>
    </w:p>
    <w:p w14:paraId="06B744D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（5）财政部规定的其他条件。</w:t>
      </w:r>
    </w:p>
    <w:p w14:paraId="4377095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13.2.5</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投诉人投诉的事项不得超出已质疑事项的范围，但基于质疑答复内容提出的投诉事项除外。</w:t>
      </w:r>
    </w:p>
    <w:p w14:paraId="3D3EE440">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2" w:name="_Toc3588"/>
      <w:r>
        <w:rPr>
          <w:rFonts w:hint="eastAsia" w:ascii="宋体" w:hAnsi="宋体" w:eastAsia="宋体" w:cs="宋体"/>
          <w:bCs/>
          <w:color w:val="auto"/>
          <w:sz w:val="28"/>
          <w:szCs w:val="28"/>
          <w:highlight w:val="none"/>
          <w:lang w:val="en-US" w:eastAsia="zh-CN"/>
        </w:rPr>
        <w:t>14.其他</w:t>
      </w:r>
      <w:bookmarkEnd w:id="182"/>
    </w:p>
    <w:p w14:paraId="609FF1B0">
      <w:pPr>
        <w:keepNext w:val="0"/>
        <w:keepLines w:val="0"/>
        <w:pageBreakBefore w:val="0"/>
        <w:kinsoku/>
        <w:wordWrap/>
        <w:overflowPunct/>
        <w:topLinePunct w:val="0"/>
        <w:autoSpaceDE/>
        <w:autoSpaceDN/>
        <w:bidi w:val="0"/>
        <w:adjustRightInd/>
        <w:snapToGrid/>
        <w:spacing w:line="480" w:lineRule="exact"/>
        <w:ind w:left="0" w:leftChars="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w:t>
      </w: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rPr>
        <w:t xml:space="preserve"> 录音录像</w:t>
      </w:r>
    </w:p>
    <w:p w14:paraId="319FEB9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采购代理机构对开标、投标人资格审查和评标过程进行全程录音录像、文字记录，并存档备查。</w:t>
      </w:r>
      <w:bookmarkStart w:id="183" w:name="_Toc5672"/>
    </w:p>
    <w:p w14:paraId="0F80FC7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66CA814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5BC83DC">
      <w:pPr>
        <w:pStyle w:val="7"/>
        <w:keepNext w:val="0"/>
        <w:keepLines w:val="0"/>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0"/>
          <w:szCs w:val="40"/>
          <w:highlight w:val="none"/>
        </w:rPr>
      </w:pPr>
      <w:r>
        <w:rPr>
          <w:rFonts w:hint="eastAsia" w:ascii="宋体" w:hAnsi="宋体" w:eastAsia="宋体" w:cs="宋体"/>
          <w:b/>
          <w:color w:val="auto"/>
          <w:kern w:val="44"/>
          <w:sz w:val="40"/>
          <w:szCs w:val="40"/>
          <w:highlight w:val="none"/>
        </w:rPr>
        <w:t>第三章</w:t>
      </w:r>
      <w:bookmarkStart w:id="184" w:name="_Toc217446093"/>
      <w:r>
        <w:rPr>
          <w:rFonts w:hint="eastAsia" w:ascii="宋体" w:hAnsi="宋体" w:eastAsia="宋体" w:cs="宋体"/>
          <w:b/>
          <w:color w:val="auto"/>
          <w:kern w:val="44"/>
          <w:sz w:val="40"/>
          <w:szCs w:val="40"/>
          <w:highlight w:val="none"/>
          <w:lang w:val="en-US" w:eastAsia="zh-CN"/>
        </w:rPr>
        <w:t xml:space="preserve"> </w:t>
      </w:r>
      <w:r>
        <w:rPr>
          <w:rFonts w:hint="eastAsia" w:ascii="宋体" w:hAnsi="宋体" w:eastAsia="宋体" w:cs="宋体"/>
          <w:b/>
          <w:color w:val="auto"/>
          <w:kern w:val="44"/>
          <w:sz w:val="40"/>
          <w:szCs w:val="40"/>
          <w:highlight w:val="none"/>
        </w:rPr>
        <w:t>评标办法</w:t>
      </w:r>
      <w:bookmarkEnd w:id="183"/>
    </w:p>
    <w:p w14:paraId="754D1C1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根据《中华人民共和国政府采购法》及其实施条例和《政府采购货物和服务招标投标管理办法》（财政部87号令）等法律法规规定，结合采购项目特点，参照制定本评标办法。</w:t>
      </w:r>
    </w:p>
    <w:p w14:paraId="471CF4BB">
      <w:pPr>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color w:val="auto"/>
          <w:sz w:val="32"/>
          <w:szCs w:val="32"/>
          <w:highlight w:val="none"/>
        </w:rPr>
      </w:pPr>
      <w:bookmarkStart w:id="185" w:name="_Toc3434"/>
      <w:r>
        <w:rPr>
          <w:rFonts w:hint="eastAsia" w:ascii="宋体" w:hAnsi="宋体" w:eastAsia="宋体" w:cs="宋体"/>
          <w:b/>
          <w:color w:val="auto"/>
          <w:sz w:val="32"/>
          <w:szCs w:val="32"/>
          <w:highlight w:val="none"/>
        </w:rPr>
        <w:t>1.评标程序</w:t>
      </w:r>
      <w:bookmarkEnd w:id="185"/>
    </w:p>
    <w:p w14:paraId="4A8126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1.1 评标按照下列程序进行：</w:t>
      </w:r>
    </w:p>
    <w:p w14:paraId="0666C494">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（1）投标文件符合性审查；</w:t>
      </w:r>
    </w:p>
    <w:p w14:paraId="0BE555C1">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（2）投标文件澄清或说明；</w:t>
      </w:r>
    </w:p>
    <w:p w14:paraId="148CD1BA">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（3）投标文件比较与评价；</w:t>
      </w:r>
    </w:p>
    <w:p w14:paraId="1BD88ACE">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（4）复核与核对评标结果；</w:t>
      </w:r>
    </w:p>
    <w:p w14:paraId="636C99D6">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（5）确定中标候选人名单；</w:t>
      </w:r>
    </w:p>
    <w:p w14:paraId="6590662A">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（6）编写评标报告。</w:t>
      </w:r>
    </w:p>
    <w:p w14:paraId="229343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 投标文件符合性审查</w:t>
      </w:r>
    </w:p>
    <w:p w14:paraId="13FC2184">
      <w:pPr>
        <w:keepNext w:val="0"/>
        <w:keepLines w:val="0"/>
        <w:pageBreakBefore w:val="0"/>
        <w:widowControl w:val="0"/>
        <w:kinsoku/>
        <w:wordWrap/>
        <w:overflowPunct/>
        <w:topLinePunct w:val="0"/>
        <w:autoSpaceDE/>
        <w:autoSpaceDN/>
        <w:bidi w:val="0"/>
        <w:adjustRightInd/>
        <w:snapToGrid/>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评标委员会依法对符合资格条件的投标人的投标文件进行符合性审查。评标委员会从投标文件的有效性、完整性和对招标文件的响应程度进行审查，以确定其是否对招标文件实质性内容作出响应</w:t>
      </w:r>
      <w:r>
        <w:rPr>
          <w:rFonts w:hint="eastAsia" w:ascii="宋体" w:hAnsi="宋体" w:eastAsia="宋体" w:cs="宋体"/>
          <w:color w:val="auto"/>
          <w:kern w:val="0"/>
          <w:sz w:val="22"/>
          <w:szCs w:val="22"/>
          <w:highlight w:val="none"/>
        </w:rPr>
        <w:t>（采购人可根据具体项目的情况对实质性要求作特别的具体规定）</w:t>
      </w:r>
      <w:r>
        <w:rPr>
          <w:rFonts w:hint="eastAsia" w:ascii="宋体" w:hAnsi="宋体" w:eastAsia="宋体" w:cs="宋体"/>
          <w:color w:val="auto"/>
          <w:sz w:val="22"/>
          <w:szCs w:val="22"/>
          <w:highlight w:val="none"/>
        </w:rPr>
        <w:t>。</w:t>
      </w:r>
    </w:p>
    <w:p w14:paraId="00239358">
      <w:pPr>
        <w:keepNext w:val="0"/>
        <w:keepLines w:val="0"/>
        <w:pageBreakBefore w:val="0"/>
        <w:widowControl w:val="0"/>
        <w:kinsoku/>
        <w:wordWrap/>
        <w:overflowPunct/>
        <w:topLinePunct w:val="0"/>
        <w:autoSpaceDE/>
        <w:autoSpaceDN/>
        <w:bidi w:val="0"/>
        <w:adjustRightInd/>
        <w:snapToGrid/>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1.2.2评标委员会按下列评审标准进行符合性审查：</w:t>
      </w:r>
    </w:p>
    <w:tbl>
      <w:tblPr>
        <w:tblStyle w:val="2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341"/>
      </w:tblGrid>
      <w:tr w14:paraId="4C06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2" w:type="dxa"/>
            <w:noWrap w:val="0"/>
            <w:vAlign w:val="center"/>
          </w:tcPr>
          <w:p w14:paraId="28E726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序号</w:t>
            </w:r>
          </w:p>
        </w:tc>
        <w:tc>
          <w:tcPr>
            <w:tcW w:w="8341" w:type="dxa"/>
            <w:noWrap w:val="0"/>
            <w:vAlign w:val="center"/>
          </w:tcPr>
          <w:p w14:paraId="670DA1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符合性审查要求</w:t>
            </w:r>
          </w:p>
        </w:tc>
      </w:tr>
      <w:tr w14:paraId="00C3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2" w:type="dxa"/>
            <w:noWrap w:val="0"/>
            <w:vAlign w:val="center"/>
          </w:tcPr>
          <w:p w14:paraId="07CDAA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w:t>
            </w:r>
          </w:p>
        </w:tc>
        <w:tc>
          <w:tcPr>
            <w:tcW w:w="8341" w:type="dxa"/>
            <w:noWrap w:val="0"/>
            <w:vAlign w:val="center"/>
          </w:tcPr>
          <w:p w14:paraId="163AB3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是否按</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文件格式要求提供单位盖章及法定代表人或委托代理人签字（或签章）。</w:t>
            </w:r>
          </w:p>
        </w:tc>
      </w:tr>
      <w:tr w14:paraId="7CA4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2" w:type="dxa"/>
            <w:noWrap w:val="0"/>
            <w:vAlign w:val="center"/>
          </w:tcPr>
          <w:p w14:paraId="0FE317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p>
        </w:tc>
        <w:tc>
          <w:tcPr>
            <w:tcW w:w="8341" w:type="dxa"/>
            <w:noWrap w:val="0"/>
            <w:vAlign w:val="center"/>
          </w:tcPr>
          <w:p w14:paraId="23AEB3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投标报价是否超过预算金</w:t>
            </w:r>
            <w:r>
              <w:rPr>
                <w:rFonts w:hint="eastAsia" w:ascii="宋体" w:hAnsi="宋体" w:eastAsia="宋体" w:cs="宋体"/>
                <w:color w:val="auto"/>
                <w:sz w:val="22"/>
                <w:szCs w:val="22"/>
                <w:highlight w:val="none"/>
                <w:lang w:val="en-US" w:eastAsia="zh-CN"/>
              </w:rPr>
              <w:t>额及最高限价。</w:t>
            </w:r>
          </w:p>
        </w:tc>
      </w:tr>
      <w:tr w14:paraId="7BFC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2" w:type="dxa"/>
            <w:noWrap w:val="0"/>
            <w:vAlign w:val="center"/>
          </w:tcPr>
          <w:p w14:paraId="79B500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w:t>
            </w:r>
          </w:p>
        </w:tc>
        <w:tc>
          <w:tcPr>
            <w:tcW w:w="8341" w:type="dxa"/>
            <w:noWrap w:val="0"/>
            <w:vAlign w:val="center"/>
          </w:tcPr>
          <w:p w14:paraId="684E3C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kern w:val="2"/>
                <w:sz w:val="22"/>
                <w:szCs w:val="22"/>
                <w:highlight w:val="none"/>
                <w:lang w:val="en-US" w:eastAsia="zh-CN" w:bidi="ar-SA"/>
              </w:rPr>
              <w:t>投标有效期（90日历日）是否满足</w:t>
            </w:r>
            <w:r>
              <w:rPr>
                <w:rFonts w:hint="eastAsia" w:ascii="宋体" w:hAnsi="宋体" w:eastAsia="宋体" w:cs="宋体"/>
                <w:color w:val="auto"/>
                <w:sz w:val="22"/>
                <w:szCs w:val="22"/>
                <w:highlight w:val="none"/>
                <w:lang w:val="en-US" w:eastAsia="zh-CN"/>
              </w:rPr>
              <w:t>招标</w:t>
            </w:r>
            <w:r>
              <w:rPr>
                <w:rFonts w:hint="eastAsia" w:ascii="宋体" w:hAnsi="宋体" w:eastAsia="宋体" w:cs="宋体"/>
                <w:b w:val="0"/>
                <w:bCs/>
                <w:color w:val="auto"/>
                <w:kern w:val="2"/>
                <w:sz w:val="22"/>
                <w:szCs w:val="22"/>
                <w:highlight w:val="none"/>
                <w:lang w:val="en-US" w:eastAsia="zh-CN" w:bidi="ar-SA"/>
              </w:rPr>
              <w:t>文件要求的。</w:t>
            </w:r>
          </w:p>
        </w:tc>
      </w:tr>
      <w:tr w14:paraId="2D0D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2" w:type="dxa"/>
            <w:noWrap w:val="0"/>
            <w:vAlign w:val="center"/>
          </w:tcPr>
          <w:p w14:paraId="3DA9C3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4</w:t>
            </w:r>
          </w:p>
        </w:tc>
        <w:tc>
          <w:tcPr>
            <w:tcW w:w="8341" w:type="dxa"/>
            <w:noWrap w:val="0"/>
            <w:vAlign w:val="center"/>
          </w:tcPr>
          <w:p w14:paraId="62A5D8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投标人所报项目合同履行期限是否满足招标文件规定期限的。</w:t>
            </w:r>
          </w:p>
        </w:tc>
      </w:tr>
      <w:tr w14:paraId="6645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2" w:type="dxa"/>
            <w:noWrap w:val="0"/>
            <w:vAlign w:val="center"/>
          </w:tcPr>
          <w:p w14:paraId="7E98CD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w:t>
            </w:r>
          </w:p>
        </w:tc>
        <w:tc>
          <w:tcPr>
            <w:tcW w:w="8341" w:type="dxa"/>
            <w:noWrap w:val="0"/>
            <w:vAlign w:val="center"/>
          </w:tcPr>
          <w:p w14:paraId="5FDC24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投标文件是否存在其它不符合法律法规或招标文件规定的其它投标无效条款或不满足招标文件规定的实质性要求的。</w:t>
            </w:r>
          </w:p>
        </w:tc>
      </w:tr>
      <w:tr w14:paraId="6F5E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033" w:type="dxa"/>
            <w:gridSpan w:val="2"/>
            <w:noWrap w:val="0"/>
            <w:vAlign w:val="center"/>
          </w:tcPr>
          <w:p w14:paraId="5B56AC70">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说明：评标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color w:val="auto"/>
                <w:sz w:val="22"/>
                <w:szCs w:val="22"/>
                <w:highlight w:val="none"/>
              </w:rPr>
              <w:t>在开标时对供应商在商务技术部分上传的投标响应文件进行审查，以上各项有1项不合格，评审不予通过，作为</w:t>
            </w:r>
            <w:r>
              <w:rPr>
                <w:rFonts w:hint="eastAsia" w:ascii="宋体" w:hAnsi="宋体" w:eastAsia="宋体" w:cs="宋体"/>
                <w:b w:val="0"/>
                <w:bCs/>
                <w:color w:val="auto"/>
                <w:kern w:val="2"/>
                <w:sz w:val="22"/>
                <w:szCs w:val="22"/>
                <w:highlight w:val="none"/>
                <w:lang w:val="en-US" w:eastAsia="zh-CN" w:bidi="ar-SA"/>
              </w:rPr>
              <w:t>符合性审查</w:t>
            </w:r>
            <w:r>
              <w:rPr>
                <w:rFonts w:hint="eastAsia" w:ascii="宋体" w:hAnsi="宋体" w:eastAsia="宋体" w:cs="宋体"/>
                <w:color w:val="auto"/>
                <w:sz w:val="22"/>
                <w:szCs w:val="22"/>
                <w:highlight w:val="none"/>
              </w:rPr>
              <w:t>未</w:t>
            </w:r>
            <w:r>
              <w:rPr>
                <w:rFonts w:hint="eastAsia" w:ascii="宋体" w:hAnsi="宋体" w:eastAsia="宋体" w:cs="宋体"/>
                <w:color w:val="auto"/>
                <w:sz w:val="22"/>
                <w:szCs w:val="22"/>
                <w:highlight w:val="none"/>
                <w:lang w:val="en-US" w:eastAsia="zh-CN"/>
              </w:rPr>
              <w:t>通过</w:t>
            </w:r>
            <w:r>
              <w:rPr>
                <w:rFonts w:hint="eastAsia" w:ascii="宋体" w:hAnsi="宋体" w:eastAsia="宋体" w:cs="宋体"/>
                <w:color w:val="auto"/>
                <w:sz w:val="22"/>
                <w:szCs w:val="22"/>
                <w:highlight w:val="none"/>
              </w:rPr>
              <w:t>。未通过符合性检查的投标文件，不得进入后续评标环节。</w:t>
            </w:r>
          </w:p>
        </w:tc>
      </w:tr>
    </w:tbl>
    <w:p w14:paraId="3EB250E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1.3 投标文件的澄清</w:t>
      </w:r>
    </w:p>
    <w:p w14:paraId="49ED7B7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1.3.1为有助于投标文件的审查、比较和评价，评标委员会可以书面形式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要求投标人对其投标文件中含义不明确、同类问题表述不一致或者有明显文字和计算错误的内容作必要的澄清、说明或者补正。有关澄清、说明或者补正应以书面形式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提交，并由其法定代表人或委托代理人签字。评标委员会不接受投标人主动提出的澄清、说明或者补正。</w:t>
      </w:r>
    </w:p>
    <w:p w14:paraId="08A60E4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投标人的澄清、说明或者补正不得超出投标文件的范围或者改变投标文件的实质性内容，并构成为投标文件的组成部分。</w:t>
      </w:r>
    </w:p>
    <w:p w14:paraId="19C8948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 评标委员会对投标人提交的澄清、说明或者补正有疑问的，可以要求投标人进一步澄清、说明或者补正，直至满足评标委员会的要求。</w:t>
      </w:r>
    </w:p>
    <w:p w14:paraId="61F1DB77">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1.4 投标文件比较与评价</w:t>
      </w:r>
    </w:p>
    <w:p w14:paraId="46F718CC">
      <w:pPr>
        <w:keepNext w:val="0"/>
        <w:keepLines w:val="0"/>
        <w:pageBreakBefore w:val="0"/>
        <w:tabs>
          <w:tab w:val="left" w:pos="0"/>
        </w:tabs>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1.4.1 </w:t>
      </w:r>
      <w:r>
        <w:rPr>
          <w:rFonts w:hint="eastAsia" w:ascii="宋体" w:hAnsi="宋体" w:eastAsia="宋体" w:cs="宋体"/>
          <w:bCs/>
          <w:color w:val="auto"/>
          <w:sz w:val="22"/>
          <w:szCs w:val="22"/>
          <w:highlight w:val="none"/>
        </w:rPr>
        <w:t>评标委员会应按照招标文件中规定的评标方法</w:t>
      </w:r>
      <w:r>
        <w:rPr>
          <w:rFonts w:hint="eastAsia" w:ascii="宋体" w:hAnsi="宋体" w:eastAsia="宋体" w:cs="宋体"/>
          <w:color w:val="auto"/>
          <w:sz w:val="22"/>
          <w:szCs w:val="22"/>
          <w:highlight w:val="none"/>
        </w:rPr>
        <w:t>和标准，</w:t>
      </w:r>
      <w:r>
        <w:rPr>
          <w:rFonts w:hint="eastAsia" w:ascii="宋体" w:hAnsi="宋体" w:eastAsia="宋体" w:cs="宋体"/>
          <w:bCs/>
          <w:color w:val="auto"/>
          <w:sz w:val="22"/>
          <w:szCs w:val="22"/>
          <w:highlight w:val="none"/>
        </w:rPr>
        <w:t>对</w:t>
      </w:r>
      <w:r>
        <w:rPr>
          <w:rFonts w:hint="eastAsia" w:ascii="宋体" w:hAnsi="宋体" w:eastAsia="宋体" w:cs="宋体"/>
          <w:color w:val="auto"/>
          <w:sz w:val="22"/>
          <w:szCs w:val="22"/>
          <w:highlight w:val="none"/>
        </w:rPr>
        <w:t>符合性检查</w:t>
      </w:r>
      <w:r>
        <w:rPr>
          <w:rFonts w:hint="eastAsia" w:ascii="宋体" w:hAnsi="宋体" w:eastAsia="宋体" w:cs="宋体"/>
          <w:bCs/>
          <w:color w:val="auto"/>
          <w:sz w:val="22"/>
          <w:szCs w:val="22"/>
          <w:highlight w:val="none"/>
        </w:rPr>
        <w:t>通过的投标文件进行商务和技术评估，综合比较与评价。</w:t>
      </w:r>
    </w:p>
    <w:p w14:paraId="6718AAFA">
      <w:pPr>
        <w:keepNext w:val="0"/>
        <w:keepLines w:val="0"/>
        <w:pageBreakBefore w:val="0"/>
        <w:kinsoku/>
        <w:wordWrap/>
        <w:overflowPunct/>
        <w:topLinePunct w:val="0"/>
        <w:autoSpaceDE/>
        <w:autoSpaceDN/>
        <w:bidi w:val="0"/>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如果投标文件没有实质性响应招标文件的要求，评标委员会将予以拒绝。投标人不得通过修正或撤销不合要求的偏离或保留，从而使其投标成为实质性响应的投标。</w:t>
      </w:r>
    </w:p>
    <w:p w14:paraId="02100C4B">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 复核与核对评标结果</w:t>
      </w:r>
    </w:p>
    <w:p w14:paraId="071A5B24">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 评分汇总结束后，评标委员会应当进行复核，特别要对拟推荐中标候选人的、报价最低的、投标文件被认定无效的进行重点复核。</w:t>
      </w:r>
    </w:p>
    <w:p w14:paraId="4AE21B05">
      <w:pPr>
        <w:pStyle w:val="38"/>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 评标结果汇总完成后，评标报告签署前，采购代理机构应当</w:t>
      </w:r>
      <w:r>
        <w:rPr>
          <w:rFonts w:hint="eastAsia" w:ascii="宋体" w:hAnsi="宋体" w:eastAsia="宋体" w:cs="宋体"/>
          <w:bCs/>
          <w:color w:val="auto"/>
          <w:sz w:val="22"/>
          <w:szCs w:val="22"/>
          <w:highlight w:val="none"/>
        </w:rPr>
        <w:t>核对评标结果，</w:t>
      </w:r>
      <w:r>
        <w:rPr>
          <w:rFonts w:hint="eastAsia" w:ascii="宋体" w:hAnsi="宋体" w:eastAsia="宋体" w:cs="宋体"/>
          <w:color w:val="auto"/>
          <w:sz w:val="22"/>
          <w:szCs w:val="22"/>
          <w:highlight w:val="none"/>
        </w:rPr>
        <w:t>除下列情形外，任何人不得修改评标结果：</w:t>
      </w:r>
    </w:p>
    <w:p w14:paraId="531E900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（1）分值汇总计算错误的；</w:t>
      </w:r>
    </w:p>
    <w:p w14:paraId="0224E0A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（2）分项评分超出评分标准范围的；</w:t>
      </w:r>
    </w:p>
    <w:p w14:paraId="5FE1DC1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（3）评标委员会对客观评审因素评分不一致的；</w:t>
      </w:r>
    </w:p>
    <w:p w14:paraId="02E5C80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（4）经评标委员会认定评分畸高、畸低的。</w:t>
      </w:r>
    </w:p>
    <w:p w14:paraId="1E0F127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 确定中标候选人名单</w:t>
      </w:r>
    </w:p>
    <w:p w14:paraId="4E872DD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定标及定标程序祥见第二章第9.1、9.2条款。</w:t>
      </w:r>
    </w:p>
    <w:p w14:paraId="10CE19A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1.7 </w:t>
      </w:r>
      <w:r>
        <w:rPr>
          <w:rFonts w:hint="eastAsia" w:ascii="宋体" w:hAnsi="宋体" w:eastAsia="宋体" w:cs="宋体"/>
          <w:b/>
          <w:color w:val="auto"/>
          <w:sz w:val="28"/>
          <w:szCs w:val="28"/>
          <w:highlight w:val="none"/>
          <w:lang w:val="en-US" w:eastAsia="zh-CN"/>
        </w:rPr>
        <w:t>出具</w:t>
      </w:r>
      <w:r>
        <w:rPr>
          <w:rFonts w:hint="eastAsia" w:ascii="宋体" w:hAnsi="宋体" w:eastAsia="宋体" w:cs="宋体"/>
          <w:b/>
          <w:color w:val="auto"/>
          <w:sz w:val="28"/>
          <w:szCs w:val="28"/>
          <w:highlight w:val="none"/>
        </w:rPr>
        <w:t>评标报告</w:t>
      </w:r>
    </w:p>
    <w:p w14:paraId="47B40025">
      <w:pPr>
        <w:keepNext w:val="0"/>
        <w:keepLines w:val="0"/>
        <w:pageBreakBefore w:val="0"/>
        <w:widowControl/>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1.7.1 评标委员会在确定中标候选人名单后，</w:t>
      </w:r>
      <w:r>
        <w:rPr>
          <w:rFonts w:hint="eastAsia" w:ascii="宋体" w:hAnsi="宋体" w:eastAsia="宋体" w:cs="宋体"/>
          <w:color w:val="auto"/>
          <w:sz w:val="22"/>
          <w:szCs w:val="22"/>
          <w:highlight w:val="none"/>
          <w:lang w:val="en-US" w:eastAsia="zh-CN"/>
        </w:rPr>
        <w:t>在政采云平台打印</w:t>
      </w:r>
      <w:r>
        <w:rPr>
          <w:rFonts w:hint="eastAsia" w:ascii="宋体" w:hAnsi="宋体" w:eastAsia="宋体" w:cs="宋体"/>
          <w:color w:val="auto"/>
          <w:sz w:val="22"/>
          <w:szCs w:val="22"/>
          <w:highlight w:val="none"/>
        </w:rPr>
        <w:t>评标报告并向采购人出具。</w:t>
      </w:r>
    </w:p>
    <w:p w14:paraId="1025C9FC">
      <w:pPr>
        <w:keepNext w:val="0"/>
        <w:keepLines w:val="0"/>
        <w:pageBreakBefore w:val="0"/>
        <w:widowControl/>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14:paraId="65B7120E">
      <w:pPr>
        <w:keepNext w:val="0"/>
        <w:keepLines w:val="0"/>
        <w:pageBreakBefore w:val="0"/>
        <w:kinsoku/>
        <w:wordWrap/>
        <w:overflowPunct/>
        <w:topLinePunct w:val="0"/>
        <w:autoSpaceDE/>
        <w:autoSpaceDN/>
        <w:bidi w:val="0"/>
        <w:adjustRightInd/>
        <w:snapToGrid/>
        <w:spacing w:line="480" w:lineRule="exact"/>
        <w:ind w:left="0" w:leftChars="0" w:right="0"/>
        <w:jc w:val="both"/>
        <w:textAlignment w:val="auto"/>
        <w:outlineLvl w:val="1"/>
        <w:rPr>
          <w:rFonts w:hint="eastAsia" w:ascii="宋体" w:hAnsi="宋体" w:eastAsia="宋体" w:cs="宋体"/>
          <w:b/>
          <w:color w:val="auto"/>
          <w:sz w:val="32"/>
          <w:szCs w:val="32"/>
          <w:highlight w:val="none"/>
        </w:rPr>
      </w:pPr>
      <w:bookmarkStart w:id="186" w:name="_Toc23816"/>
      <w:r>
        <w:rPr>
          <w:rFonts w:hint="eastAsia" w:ascii="宋体" w:hAnsi="宋体" w:eastAsia="宋体" w:cs="宋体"/>
          <w:b/>
          <w:color w:val="auto"/>
          <w:sz w:val="32"/>
          <w:szCs w:val="32"/>
          <w:highlight w:val="none"/>
        </w:rPr>
        <w:t>2.评标方法</w:t>
      </w:r>
      <w:bookmarkEnd w:id="186"/>
    </w:p>
    <w:p w14:paraId="1443032C">
      <w:pPr>
        <w:pStyle w:val="7"/>
        <w:keepNext w:val="0"/>
        <w:keepLines w:val="0"/>
        <w:pageBreakBefore w:val="0"/>
        <w:kinsoku/>
        <w:wordWrap/>
        <w:overflowPunct/>
        <w:topLinePunct w:val="0"/>
        <w:bidi w:val="0"/>
        <w:spacing w:line="480" w:lineRule="exact"/>
        <w:ind w:left="0" w:leftChars="0" w:right="0"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2.1综合评分法</w:t>
      </w:r>
    </w:p>
    <w:p w14:paraId="4C2168C4">
      <w:pPr>
        <w:keepNext w:val="0"/>
        <w:keepLines w:val="0"/>
        <w:pageBreakBefore w:val="0"/>
        <w:widowControl/>
        <w:kinsoku/>
        <w:wordWrap/>
        <w:overflowPunct/>
        <w:topLinePunct w:val="0"/>
        <w:bidi w:val="0"/>
        <w:spacing w:line="480" w:lineRule="exact"/>
        <w:ind w:left="0" w:leftChars="0" w:right="0" w:firstLine="440" w:firstLineChars="20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本采购项目评标方法采用综合评分法。即投标文件满足招标文件全部实质性要求，且按照评审因素的量化指标评审得分最高的投标人为中标候选人的评标方法。</w:t>
      </w:r>
    </w:p>
    <w:p w14:paraId="3AACDBB2">
      <w:pPr>
        <w:keepNext w:val="0"/>
        <w:keepLines w:val="0"/>
        <w:pageBreakBefore w:val="0"/>
        <w:widowControl/>
        <w:kinsoku/>
        <w:wordWrap/>
        <w:overflowPunct/>
        <w:topLinePunct w:val="0"/>
        <w:autoSpaceDE w:val="0"/>
        <w:autoSpaceDN w:val="0"/>
        <w:bidi w:val="0"/>
        <w:spacing w:line="480" w:lineRule="exact"/>
        <w:ind w:left="0" w:leftChars="0" w:right="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评标细则及标准</w:t>
      </w:r>
    </w:p>
    <w:p w14:paraId="675F3661">
      <w:pPr>
        <w:pStyle w:val="13"/>
        <w:keepNext w:val="0"/>
        <w:keepLines w:val="0"/>
        <w:pageBreakBefore w:val="0"/>
        <w:kinsoku/>
        <w:wordWrap/>
        <w:overflowPunct/>
        <w:topLinePunct w:val="0"/>
        <w:bidi w:val="0"/>
        <w:adjustRightInd w:val="0"/>
        <w:snapToGrid w:val="0"/>
        <w:spacing w:line="480" w:lineRule="exact"/>
        <w:ind w:left="0" w:leftChars="0" w:right="0"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2.2.1 </w:t>
      </w:r>
      <w:r>
        <w:rPr>
          <w:rFonts w:hint="eastAsia" w:ascii="宋体" w:hAnsi="宋体" w:eastAsia="宋体" w:cs="宋体"/>
          <w:bCs/>
          <w:color w:val="auto"/>
          <w:sz w:val="22"/>
          <w:szCs w:val="22"/>
          <w:highlight w:val="none"/>
        </w:rPr>
        <w:t>评标委员会将综合分析投标人的各项评审因素，而不以单项评审因素的优劣评选出中标人。对所有投标人的投标评估，都采用相同的程序和标准，严格按照招标文件的要求和条件进行。</w:t>
      </w:r>
    </w:p>
    <w:p w14:paraId="26117429">
      <w:pPr>
        <w:keepNext w:val="0"/>
        <w:keepLines w:val="0"/>
        <w:pageBreakBefore w:val="0"/>
        <w:tabs>
          <w:tab w:val="left" w:pos="0"/>
        </w:tabs>
        <w:kinsoku/>
        <w:wordWrap/>
        <w:overflowPunct/>
        <w:topLinePunct w:val="0"/>
        <w:bidi w:val="0"/>
        <w:adjustRightInd w:val="0"/>
        <w:snapToGrid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评审因素包括：</w:t>
      </w:r>
      <w:r>
        <w:rPr>
          <w:rFonts w:hint="eastAsia" w:ascii="宋体" w:hAnsi="宋体" w:eastAsia="宋体" w:cs="宋体"/>
          <w:b/>
          <w:bCs/>
          <w:color w:val="auto"/>
          <w:sz w:val="22"/>
          <w:szCs w:val="22"/>
          <w:highlight w:val="none"/>
        </w:rPr>
        <w:t>投标报价、技术要求、商务</w:t>
      </w:r>
      <w:r>
        <w:rPr>
          <w:rFonts w:hint="eastAsia" w:ascii="宋体" w:hAnsi="宋体" w:eastAsia="宋体" w:cs="宋体"/>
          <w:b/>
          <w:bCs/>
          <w:color w:val="auto"/>
          <w:sz w:val="22"/>
          <w:szCs w:val="22"/>
          <w:highlight w:val="none"/>
          <w:lang w:eastAsia="zh-CN"/>
        </w:rPr>
        <w:t>要求</w:t>
      </w:r>
      <w:r>
        <w:rPr>
          <w:rFonts w:hint="eastAsia" w:ascii="宋体" w:hAnsi="宋体" w:eastAsia="宋体" w:cs="宋体"/>
          <w:color w:val="auto"/>
          <w:kern w:val="0"/>
          <w:sz w:val="22"/>
          <w:szCs w:val="22"/>
          <w:highlight w:val="none"/>
        </w:rPr>
        <w:t>等</w:t>
      </w:r>
      <w:r>
        <w:rPr>
          <w:rFonts w:hint="eastAsia" w:ascii="宋体" w:hAnsi="宋体" w:eastAsia="宋体" w:cs="宋体"/>
          <w:color w:val="auto"/>
          <w:sz w:val="22"/>
          <w:szCs w:val="22"/>
          <w:highlight w:val="none"/>
        </w:rPr>
        <w:t>对招标文件的响应程度，以及相应的比重或者权值等，但不包括“投标人须知”第3.1条</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规定的投标人资格条件。</w:t>
      </w:r>
    </w:p>
    <w:p w14:paraId="04B797FA">
      <w:pPr>
        <w:pStyle w:val="13"/>
        <w:keepNext w:val="0"/>
        <w:keepLines w:val="0"/>
        <w:pageBreakBefore w:val="0"/>
        <w:kinsoku/>
        <w:wordWrap/>
        <w:overflowPunct/>
        <w:topLinePunct w:val="0"/>
        <w:bidi w:val="0"/>
        <w:adjustRightInd w:val="0"/>
        <w:snapToGrid w:val="0"/>
        <w:spacing w:line="480" w:lineRule="exact"/>
        <w:ind w:left="402" w:leftChars="0" w:right="0" w:hanging="402" w:hangingChars="183"/>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 评标委员会按以下操作程序对投标人的投标文件进行综合评分：</w:t>
      </w:r>
    </w:p>
    <w:p w14:paraId="5E01CF32">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2.2.3.1 根据招标文件和评标原则，按《综合评分明细表》所列评分因素和各评分因素的权重进行评标。</w:t>
      </w:r>
    </w:p>
    <w:p w14:paraId="482D6BAF">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2.2.3.2 </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rPr>
        <w:t>照财政部87号令第五十五条和财库【2020】46号文件的规定，以本次满足投标文件要求的</w:t>
      </w:r>
      <w:r>
        <w:rPr>
          <w:rFonts w:hint="eastAsia" w:ascii="宋体" w:hAnsi="宋体" w:eastAsia="宋体" w:cs="宋体"/>
          <w:b/>
          <w:bCs/>
          <w:color w:val="auto"/>
          <w:sz w:val="22"/>
          <w:szCs w:val="22"/>
          <w:highlight w:val="none"/>
        </w:rPr>
        <w:t>最低投标评审价</w:t>
      </w:r>
      <w:r>
        <w:rPr>
          <w:rFonts w:hint="eastAsia" w:ascii="宋体" w:hAnsi="宋体" w:eastAsia="宋体" w:cs="宋体"/>
          <w:color w:val="auto"/>
          <w:sz w:val="22"/>
          <w:szCs w:val="22"/>
          <w:highlight w:val="none"/>
        </w:rPr>
        <w:t>为评标基准价，其价格为满分。</w:t>
      </w:r>
    </w:p>
    <w:p w14:paraId="0B330083">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如果同一包为单一产品，或同一包为多种产品，全部符合中小企业政策优惠条件的（即小微企业自身生产或中小企业代理的小微企业生产的产品），对总报价进行调整，调整后的报价作为投标评审价。投标评审价按下列公示计算：</w:t>
      </w:r>
    </w:p>
    <w:p w14:paraId="3D8334B8">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投标评审价=投标报价×（1-投标报价折扣幅度）</w:t>
      </w:r>
    </w:p>
    <w:p w14:paraId="4DBD591A">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2.2.3.3 由评标委员会成员独立地根据各项因素的评分标准，结合每个投标人的实际情况，分别就投标报价以外的各项评审因素对每个投标人独立打分。</w:t>
      </w:r>
    </w:p>
    <w:p w14:paraId="5D20B493">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2.2.3.4 将所有评审因素所得实际评审分数相加，即为该投标人的评审总得分。评审总得分按下例公式计算：</w:t>
      </w:r>
    </w:p>
    <w:p w14:paraId="63C8B65C">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评审总得分＝F1＋F2＋……＋Fn</w:t>
      </w:r>
    </w:p>
    <w:p w14:paraId="35B2108D">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F1、F2……Fn分别为各项评审因素的汇总得分</w:t>
      </w:r>
    </w:p>
    <w:p w14:paraId="20CBF6BA">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2.2.3.5 评审过程中，不得去掉报价中的最高报价和最低报价。</w:t>
      </w:r>
    </w:p>
    <w:p w14:paraId="4FC4846E">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2.2.4 小型和微型企业货物（产品）的报价折扣幅度标准：</w:t>
      </w:r>
    </w:p>
    <w:p w14:paraId="0625CDF2">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2.2.4.1 对小型、微型企业生产的货物（产品）投标价格给予</w:t>
      </w:r>
      <w:r>
        <w:rPr>
          <w:rFonts w:hint="eastAsia" w:ascii="宋体" w:hAnsi="宋体" w:eastAsia="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0%）的折扣。</w:t>
      </w:r>
    </w:p>
    <w:p w14:paraId="5DF67636">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2.2.4.2 参加联合体投标的</w:t>
      </w:r>
      <w:r>
        <w:rPr>
          <w:rFonts w:hint="eastAsia" w:ascii="宋体" w:hAnsi="宋体" w:eastAsia="宋体" w:cs="宋体"/>
          <w:color w:val="auto"/>
          <w:sz w:val="22"/>
          <w:szCs w:val="22"/>
          <w:highlight w:val="none"/>
        </w:rPr>
        <w:t>小型、微型企业，</w:t>
      </w:r>
      <w:r>
        <w:rPr>
          <w:rFonts w:hint="eastAsia" w:ascii="宋体" w:hAnsi="宋体" w:eastAsia="宋体" w:cs="宋体"/>
          <w:color w:val="auto"/>
          <w:kern w:val="0"/>
          <w:sz w:val="22"/>
          <w:szCs w:val="22"/>
          <w:highlight w:val="none"/>
        </w:rPr>
        <w:t>联合协议中约定，小型、微型企业的协议合同</w:t>
      </w:r>
      <w:r>
        <w:rPr>
          <w:rFonts w:hint="eastAsia" w:ascii="宋体" w:hAnsi="宋体" w:eastAsia="宋体" w:cs="宋体"/>
          <w:color w:val="auto"/>
          <w:sz w:val="22"/>
          <w:szCs w:val="22"/>
          <w:highlight w:val="none"/>
        </w:rPr>
        <w:t>金额占到联合体协议合同总金额30%以上的，可给予联合体2%（2%-3%）的价格折扣。</w:t>
      </w:r>
    </w:p>
    <w:p w14:paraId="4A35E058">
      <w:pPr>
        <w:keepNext w:val="0"/>
        <w:keepLines w:val="0"/>
        <w:pageBreakBefore w:val="0"/>
        <w:kinsoku/>
        <w:wordWrap/>
        <w:overflowPunct/>
        <w:topLinePunct w:val="0"/>
        <w:bidi w:val="0"/>
        <w:spacing w:line="480" w:lineRule="exact"/>
        <w:ind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2.2.4.3 小、微企业提供本企业生产的产品或中小型企业（代理商）代理的小、微企业生产的产品可享受报价折扣条件；中小型企业（代理商）代理的中型及以上企业生产的产品不享受报价折扣条件。</w:t>
      </w:r>
    </w:p>
    <w:p w14:paraId="57779F47">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54C2232">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（1）文字表述的内容含义不明确；</w:t>
      </w:r>
    </w:p>
    <w:p w14:paraId="32218DC1">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（2）同类问题表述不一致；</w:t>
      </w:r>
    </w:p>
    <w:p w14:paraId="5B3414C8">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（3）有明显文字和计算错误；</w:t>
      </w:r>
    </w:p>
    <w:p w14:paraId="12B111F4">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）评标委员会认定的其他非实质性偏离。</w:t>
      </w:r>
    </w:p>
    <w:p w14:paraId="438C0A27">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14:paraId="4F292AAC">
      <w:pPr>
        <w:pStyle w:val="11"/>
        <w:keepNext w:val="0"/>
        <w:keepLines w:val="0"/>
        <w:pageBreakBefore w:val="0"/>
        <w:tabs>
          <w:tab w:val="left" w:pos="600"/>
        </w:tabs>
        <w:kinsoku/>
        <w:wordWrap/>
        <w:overflowPunct/>
        <w:topLinePunct w:val="0"/>
        <w:bidi w:val="0"/>
        <w:spacing w:line="480" w:lineRule="exact"/>
        <w:ind w:left="0" w:leftChars="0" w:right="0" w:firstLine="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综合评分明细表</w:t>
      </w:r>
    </w:p>
    <w:tbl>
      <w:tblPr>
        <w:tblStyle w:val="23"/>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258"/>
        <w:gridCol w:w="1926"/>
        <w:gridCol w:w="5992"/>
      </w:tblGrid>
      <w:tr w14:paraId="13B4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90" w:type="dxa"/>
            <w:noWrap w:val="0"/>
            <w:vAlign w:val="center"/>
          </w:tcPr>
          <w:p w14:paraId="68237319">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58" w:type="dxa"/>
            <w:noWrap w:val="0"/>
            <w:vAlign w:val="center"/>
          </w:tcPr>
          <w:p w14:paraId="575D309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1926" w:type="dxa"/>
            <w:noWrap w:val="0"/>
            <w:vAlign w:val="center"/>
          </w:tcPr>
          <w:p w14:paraId="1E0CA9D0">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5992" w:type="dxa"/>
            <w:noWrap w:val="0"/>
            <w:vAlign w:val="center"/>
          </w:tcPr>
          <w:p w14:paraId="2DDC7E81">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r>
      <w:tr w14:paraId="7F5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490" w:type="dxa"/>
            <w:noWrap w:val="0"/>
            <w:vAlign w:val="center"/>
          </w:tcPr>
          <w:p w14:paraId="03F2BB88">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58" w:type="dxa"/>
            <w:noWrap w:val="0"/>
            <w:vAlign w:val="center"/>
          </w:tcPr>
          <w:p w14:paraId="31DD3DAC">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p w14:paraId="355227A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4EFEA776">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0431B395">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w:t>
            </w:r>
            <w:r>
              <w:rPr>
                <w:rFonts w:hint="eastAsia" w:ascii="宋体" w:hAnsi="宋体" w:eastAsia="宋体" w:cs="宋体"/>
                <w:color w:val="auto"/>
                <w:sz w:val="22"/>
                <w:szCs w:val="22"/>
                <w:highlight w:val="none"/>
                <w:lang w:val="en-US" w:eastAsia="zh-CN"/>
              </w:rPr>
              <w:t>价</w:t>
            </w:r>
            <w:r>
              <w:rPr>
                <w:rFonts w:hint="eastAsia" w:ascii="宋体" w:hAnsi="宋体" w:eastAsia="宋体" w:cs="宋体"/>
                <w:i w:val="0"/>
                <w:color w:val="auto"/>
                <w:kern w:val="2"/>
                <w:sz w:val="22"/>
                <w:szCs w:val="22"/>
                <w:highlight w:val="none"/>
                <w:lang w:val="en-US" w:eastAsia="zh-CN" w:bidi="ar-SA"/>
              </w:rPr>
              <w:t>（30分）</w:t>
            </w:r>
          </w:p>
        </w:tc>
        <w:tc>
          <w:tcPr>
            <w:tcW w:w="5992" w:type="dxa"/>
            <w:noWrap w:val="0"/>
            <w:vAlign w:val="center"/>
          </w:tcPr>
          <w:p w14:paraId="45A1860F">
            <w:pPr>
              <w:pStyle w:val="11"/>
              <w:keepNext w:val="0"/>
              <w:keepLines w:val="0"/>
              <w:pageBreakBefore w:val="0"/>
              <w:tabs>
                <w:tab w:val="left" w:pos="600"/>
              </w:tabs>
              <w:kinsoku/>
              <w:wordWrap/>
              <w:overflowPunct/>
              <w:topLinePunct w:val="0"/>
              <w:bidi w:val="0"/>
              <w:spacing w:line="360" w:lineRule="auto"/>
              <w:ind w:left="0" w:right="0" w:firstLine="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分采用低价优先法计算，即满足招标文件要求且投标价格最低的投标报价为评标基准价，其价格分为满分。其他供应商的价格分统一按照下列公式计算：投标报价得分=（评标基准价/投标报价）×价格权值（即30%）×100</w:t>
            </w:r>
            <w:r>
              <w:rPr>
                <w:rFonts w:hint="eastAsia" w:ascii="宋体" w:hAnsi="宋体" w:eastAsia="宋体" w:cs="宋体"/>
                <w:color w:val="auto"/>
                <w:sz w:val="22"/>
                <w:szCs w:val="22"/>
                <w:highlight w:val="none"/>
                <w:lang w:eastAsia="zh-CN"/>
              </w:rPr>
              <w:t>。</w:t>
            </w:r>
          </w:p>
        </w:tc>
      </w:tr>
      <w:tr w14:paraId="7EF9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 w:type="dxa"/>
            <w:vMerge w:val="restart"/>
            <w:noWrap w:val="0"/>
            <w:vAlign w:val="center"/>
          </w:tcPr>
          <w:p w14:paraId="34939ADE">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258" w:type="dxa"/>
            <w:vMerge w:val="restart"/>
            <w:noWrap w:val="0"/>
            <w:vAlign w:val="center"/>
          </w:tcPr>
          <w:p w14:paraId="717A0FF7">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技术评审</w:t>
            </w:r>
          </w:p>
        </w:tc>
        <w:tc>
          <w:tcPr>
            <w:tcW w:w="1926" w:type="dxa"/>
            <w:noWrap w:val="0"/>
            <w:vAlign w:val="center"/>
          </w:tcPr>
          <w:p w14:paraId="5D15E525">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采购需求响应程度 </w:t>
            </w:r>
            <w:r>
              <w:rPr>
                <w:rFonts w:hint="eastAsia" w:ascii="宋体" w:hAnsi="宋体" w:eastAsia="宋体" w:cs="宋体"/>
                <w:i w:val="0"/>
                <w:color w:val="auto"/>
                <w:kern w:val="2"/>
                <w:sz w:val="22"/>
                <w:szCs w:val="22"/>
                <w:highlight w:val="none"/>
                <w:lang w:val="en-US" w:eastAsia="zh-CN" w:bidi="ar-SA"/>
              </w:rPr>
              <w:t>（</w:t>
            </w:r>
            <w:r>
              <w:rPr>
                <w:rFonts w:hint="eastAsia" w:ascii="宋体" w:hAnsi="宋体" w:cs="宋体"/>
                <w:i w:val="0"/>
                <w:color w:val="auto"/>
                <w:kern w:val="2"/>
                <w:sz w:val="22"/>
                <w:szCs w:val="22"/>
                <w:highlight w:val="none"/>
                <w:lang w:val="en-US" w:eastAsia="zh-CN" w:bidi="ar-SA"/>
              </w:rPr>
              <w:t>10</w:t>
            </w:r>
            <w:r>
              <w:rPr>
                <w:rFonts w:hint="eastAsia" w:ascii="宋体" w:hAnsi="宋体" w:eastAsia="宋体" w:cs="宋体"/>
                <w:i w:val="0"/>
                <w:color w:val="auto"/>
                <w:kern w:val="2"/>
                <w:sz w:val="22"/>
                <w:szCs w:val="22"/>
                <w:highlight w:val="none"/>
                <w:lang w:val="en-US" w:eastAsia="zh-CN" w:bidi="ar-SA"/>
              </w:rPr>
              <w:t>分）</w:t>
            </w:r>
          </w:p>
        </w:tc>
        <w:tc>
          <w:tcPr>
            <w:tcW w:w="5992" w:type="dxa"/>
            <w:noWrap w:val="0"/>
            <w:vAlign w:val="top"/>
          </w:tcPr>
          <w:p w14:paraId="0D5B3842">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投标供应商所投产品的技术参数要求完全满足招标文件要求没有负偏离的得</w:t>
            </w:r>
            <w:r>
              <w:rPr>
                <w:rFonts w:hint="eastAsia" w:ascii="宋体" w:hAnsi="宋体" w:cs="宋体"/>
                <w:color w:val="auto"/>
                <w:kern w:val="2"/>
                <w:sz w:val="22"/>
                <w:szCs w:val="22"/>
                <w:highlight w:val="none"/>
                <w:lang w:val="en-US" w:eastAsia="zh-CN" w:bidi="ar-SA"/>
              </w:rPr>
              <w:t>10</w:t>
            </w:r>
            <w:r>
              <w:rPr>
                <w:rFonts w:hint="eastAsia" w:ascii="宋体" w:hAnsi="宋体" w:eastAsia="宋体" w:cs="宋体"/>
                <w:color w:val="auto"/>
                <w:kern w:val="2"/>
                <w:sz w:val="22"/>
                <w:szCs w:val="22"/>
                <w:highlight w:val="none"/>
                <w:lang w:val="en-US" w:eastAsia="zh-CN" w:bidi="ar-SA"/>
              </w:rPr>
              <w:t>分，</w:t>
            </w:r>
            <w:r>
              <w:rPr>
                <w:rFonts w:hint="eastAsia" w:ascii="宋体" w:hAnsi="宋体" w:eastAsia="宋体" w:cs="宋体"/>
                <w:color w:val="auto"/>
                <w:sz w:val="22"/>
                <w:szCs w:val="22"/>
                <w:highlight w:val="none"/>
                <w:lang w:val="en-US" w:eastAsia="zh-CN"/>
              </w:rPr>
              <w:t>有一项负偏</w:t>
            </w:r>
            <w:r>
              <w:rPr>
                <w:rFonts w:hint="eastAsia" w:ascii="宋体" w:hAnsi="宋体" w:eastAsia="宋体" w:cs="宋体"/>
                <w:color w:val="auto"/>
                <w:kern w:val="2"/>
                <w:sz w:val="22"/>
                <w:szCs w:val="22"/>
                <w:highlight w:val="none"/>
                <w:lang w:val="en-US" w:eastAsia="zh-CN" w:bidi="ar-SA"/>
              </w:rPr>
              <w:t>离</w:t>
            </w:r>
            <w:r>
              <w:rPr>
                <w:rFonts w:hint="eastAsia" w:ascii="宋体" w:hAnsi="宋体" w:cs="宋体"/>
                <w:color w:val="auto"/>
                <w:kern w:val="2"/>
                <w:sz w:val="22"/>
                <w:szCs w:val="22"/>
                <w:highlight w:val="none"/>
                <w:lang w:val="en-US" w:eastAsia="zh-CN" w:bidi="ar-SA"/>
              </w:rPr>
              <w:t>此项不得分</w:t>
            </w:r>
            <w:r>
              <w:rPr>
                <w:rFonts w:hint="eastAsia" w:ascii="宋体" w:hAnsi="宋体" w:eastAsia="宋体" w:cs="宋体"/>
                <w:color w:val="auto"/>
                <w:kern w:val="2"/>
                <w:sz w:val="22"/>
                <w:szCs w:val="22"/>
                <w:highlight w:val="none"/>
                <w:lang w:val="en-US" w:eastAsia="zh-CN" w:bidi="ar-SA"/>
              </w:rPr>
              <w:t>，正偏离不加分。</w:t>
            </w:r>
          </w:p>
          <w:p w14:paraId="1D2D9D88">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注：参数须提供有效的技术支持资料，技术支持资料指（包括但不限于产品质量检测报告、白皮书、宣传彩页等技术标准资料），未提供有效支持依据的可按负偏离处理。</w:t>
            </w:r>
          </w:p>
        </w:tc>
      </w:tr>
      <w:tr w14:paraId="0D02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90" w:type="dxa"/>
            <w:vMerge w:val="continue"/>
            <w:noWrap w:val="0"/>
            <w:vAlign w:val="center"/>
          </w:tcPr>
          <w:p w14:paraId="0139CC7D">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218357F8">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46B88B1F">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实施方案</w:t>
            </w:r>
            <w:r>
              <w:rPr>
                <w:rFonts w:hint="eastAsia" w:ascii="宋体" w:hAnsi="宋体" w:eastAsia="宋体" w:cs="宋体"/>
                <w:i w:val="0"/>
                <w:color w:val="auto"/>
                <w:kern w:val="2"/>
                <w:sz w:val="22"/>
                <w:szCs w:val="22"/>
                <w:highlight w:val="none"/>
                <w:lang w:val="en-US" w:eastAsia="zh-CN" w:bidi="ar-SA"/>
              </w:rPr>
              <w:t>（</w:t>
            </w:r>
            <w:r>
              <w:rPr>
                <w:rFonts w:hint="eastAsia" w:ascii="宋体" w:hAnsi="宋体" w:cs="宋体"/>
                <w:i w:val="0"/>
                <w:color w:val="auto"/>
                <w:kern w:val="2"/>
                <w:sz w:val="22"/>
                <w:szCs w:val="22"/>
                <w:highlight w:val="none"/>
                <w:lang w:val="en-US" w:eastAsia="zh-CN" w:bidi="ar-SA"/>
              </w:rPr>
              <w:t>30</w:t>
            </w:r>
            <w:r>
              <w:rPr>
                <w:rFonts w:hint="eastAsia" w:ascii="宋体" w:hAnsi="宋体" w:eastAsia="宋体" w:cs="宋体"/>
                <w:i w:val="0"/>
                <w:color w:val="auto"/>
                <w:kern w:val="2"/>
                <w:sz w:val="22"/>
                <w:szCs w:val="22"/>
                <w:highlight w:val="none"/>
                <w:lang w:val="en-US" w:eastAsia="zh-CN" w:bidi="ar-SA"/>
              </w:rPr>
              <w:t>分）</w:t>
            </w:r>
          </w:p>
        </w:tc>
        <w:tc>
          <w:tcPr>
            <w:tcW w:w="5992" w:type="dxa"/>
            <w:noWrap w:val="0"/>
            <w:vAlign w:val="top"/>
          </w:tcPr>
          <w:p w14:paraId="53846809">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i w:val="0"/>
                <w:iCs w:val="0"/>
                <w:color w:val="auto"/>
                <w:sz w:val="22"/>
                <w:szCs w:val="22"/>
                <w:highlight w:val="none"/>
                <w:lang w:val="en-US" w:eastAsia="zh-CN"/>
              </w:rPr>
              <w:t>根</w:t>
            </w:r>
            <w:r>
              <w:rPr>
                <w:rFonts w:hint="eastAsia" w:ascii="宋体" w:hAnsi="宋体" w:eastAsia="宋体" w:cs="宋体"/>
                <w:color w:val="auto"/>
                <w:kern w:val="2"/>
                <w:sz w:val="22"/>
                <w:szCs w:val="22"/>
                <w:highlight w:val="none"/>
                <w:lang w:val="en-US" w:eastAsia="zh-CN" w:bidi="ar-SA"/>
              </w:rPr>
              <w:t>据各投标供应商提供的针对本项目制定的实施方案进行综合打分</w:t>
            </w:r>
            <w:r>
              <w:rPr>
                <w:rFonts w:hint="eastAsia" w:ascii="宋体" w:hAnsi="宋体" w:eastAsia="宋体" w:cs="宋体"/>
                <w:color w:val="auto"/>
                <w:sz w:val="22"/>
                <w:szCs w:val="22"/>
                <w:highlight w:val="none"/>
                <w:lang w:val="en-US" w:eastAsia="zh-CN"/>
              </w:rPr>
              <w:t>，包含但不限于</w:t>
            </w:r>
            <w:r>
              <w:rPr>
                <w:rFonts w:hint="eastAsia" w:ascii="宋体" w:hAnsi="宋体" w:eastAsia="宋体" w:cs="宋体"/>
                <w:color w:val="auto"/>
                <w:kern w:val="2"/>
                <w:sz w:val="22"/>
                <w:szCs w:val="22"/>
                <w:highlight w:val="none"/>
                <w:lang w:val="en-US" w:eastAsia="zh-CN" w:bidi="ar-SA"/>
              </w:rPr>
              <w:t>：（1）货物生产/采购方案；（2）货物交接、配送时间安排；（3）实施人员配置；（4）货物装卸及运输配送方案；（5）售后服务方案；(6)验收方案等。</w:t>
            </w:r>
          </w:p>
          <w:p w14:paraId="1B74057F">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val="en-US" w:eastAsia="zh-CN" w:bidi="ar-SA"/>
              </w:rPr>
              <w:t>以上方案内容完整清晰明确、科学合理，满足项目实际需求的，每项计</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分，最高得</w:t>
            </w:r>
            <w:r>
              <w:rPr>
                <w:rFonts w:hint="eastAsia" w:ascii="宋体" w:hAnsi="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val="en-US" w:eastAsia="zh-CN" w:bidi="ar-SA"/>
              </w:rPr>
              <w:t>分，不提供不得分。每有一项内容不完整或每有一处不具有针对性</w:t>
            </w:r>
            <w:r>
              <w:rPr>
                <w:rFonts w:hint="eastAsia" w:ascii="宋体" w:hAnsi="宋体" w:eastAsia="宋体" w:cs="宋体"/>
                <w:i w:val="0"/>
                <w:iCs w:val="0"/>
                <w:color w:val="auto"/>
                <w:sz w:val="22"/>
                <w:szCs w:val="22"/>
                <w:highlight w:val="none"/>
                <w:lang w:val="en-US" w:eastAsia="zh-CN"/>
              </w:rPr>
              <w:t>或逻辑性错误或不满足项目实际需求等的扣1分，扣完为止。</w:t>
            </w:r>
          </w:p>
        </w:tc>
      </w:tr>
      <w:tr w14:paraId="7F2A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90" w:type="dxa"/>
            <w:vMerge w:val="continue"/>
            <w:noWrap w:val="0"/>
            <w:vAlign w:val="center"/>
          </w:tcPr>
          <w:p w14:paraId="752E9765">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4AE686A5">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4C2150E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质量保证措施</w:t>
            </w:r>
            <w:r>
              <w:rPr>
                <w:rFonts w:hint="eastAsia" w:ascii="宋体" w:hAnsi="宋体" w:eastAsia="宋体" w:cs="宋体"/>
                <w:color w:val="auto"/>
                <w:sz w:val="22"/>
                <w:szCs w:val="22"/>
                <w:highlight w:val="none"/>
                <w:lang w:val="en-US" w:eastAsia="zh-CN"/>
              </w:rPr>
              <w:t>（9分）</w:t>
            </w:r>
          </w:p>
        </w:tc>
        <w:tc>
          <w:tcPr>
            <w:tcW w:w="5992" w:type="dxa"/>
            <w:noWrap w:val="0"/>
            <w:vAlign w:val="center"/>
          </w:tcPr>
          <w:p w14:paraId="0CC6B11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委员会根据各投标供应商提供的针对本项目制定的产品质量保障措施方案进行综合打分，包含但不限于：（1）质量保障目标；（2）质量保障措施；（3）质量保障制度等。</w:t>
            </w:r>
          </w:p>
          <w:p w14:paraId="0B71946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以上方案内容完整清晰明确、科学合理，满足项目实际需求的，每项计3分，最高得9分，不提供不得分。每有一项内容不完整或每有一处不具有针对性</w:t>
            </w:r>
            <w:r>
              <w:rPr>
                <w:rFonts w:hint="eastAsia" w:ascii="宋体" w:hAnsi="宋体" w:eastAsia="宋体" w:cs="宋体"/>
                <w:i w:val="0"/>
                <w:iCs w:val="0"/>
                <w:color w:val="auto"/>
                <w:sz w:val="22"/>
                <w:szCs w:val="22"/>
                <w:highlight w:val="none"/>
                <w:lang w:val="en-US" w:eastAsia="zh-CN"/>
              </w:rPr>
              <w:t>或逻辑性错误或不满足项目实际需求等的扣1分，扣完为止。</w:t>
            </w:r>
          </w:p>
        </w:tc>
      </w:tr>
      <w:tr w14:paraId="6918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continue"/>
            <w:noWrap w:val="0"/>
            <w:vAlign w:val="center"/>
          </w:tcPr>
          <w:p w14:paraId="776100B1">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6F80A24C">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75495E0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应急能力（9分）</w:t>
            </w:r>
          </w:p>
        </w:tc>
        <w:tc>
          <w:tcPr>
            <w:tcW w:w="5992" w:type="dxa"/>
            <w:noWrap w:val="0"/>
            <w:vAlign w:val="center"/>
          </w:tcPr>
          <w:p w14:paraId="1382B10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遇到突发事件或本地货源短缺、恶劣天气等情况时，对解决问题的能力、紧急故障应急预案进行评价： </w:t>
            </w:r>
          </w:p>
          <w:p w14:paraId="02F949F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1.供应商解决问题的能力强，项目实施过程中所有可能出现的问题考虑全面，紧急故障应急预案详细可操作强，得9分； </w:t>
            </w:r>
          </w:p>
          <w:p w14:paraId="7277E38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2.供应商具有解决项目过程中问题的能力，项目实施过程中所有可能出现的问题考虑一般，紧急故障应急预案一般可实施，得6分； </w:t>
            </w:r>
          </w:p>
          <w:p w14:paraId="57E89AA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3.供应商具有解决问题的能力，但考虑不够周到细致，紧急故障应急预案操作性差，得3分。</w:t>
            </w:r>
          </w:p>
          <w:p w14:paraId="4DFED5A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4.未提供不得分。</w:t>
            </w:r>
          </w:p>
        </w:tc>
      </w:tr>
      <w:tr w14:paraId="3232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90" w:type="dxa"/>
            <w:vMerge w:val="restart"/>
            <w:noWrap w:val="0"/>
            <w:vAlign w:val="center"/>
          </w:tcPr>
          <w:p w14:paraId="59A481DB">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58" w:type="dxa"/>
            <w:vMerge w:val="restart"/>
            <w:noWrap w:val="0"/>
            <w:vAlign w:val="center"/>
          </w:tcPr>
          <w:p w14:paraId="407D9531">
            <w:pPr>
              <w:pStyle w:val="11"/>
              <w:keepNext w:val="0"/>
              <w:keepLines w:val="0"/>
              <w:pageBreakBefore w:val="0"/>
              <w:tabs>
                <w:tab w:val="left" w:pos="600"/>
              </w:tabs>
              <w:kinsoku/>
              <w:wordWrap/>
              <w:overflowPunct/>
              <w:topLinePunct w:val="0"/>
              <w:bidi w:val="0"/>
              <w:spacing w:line="360" w:lineRule="auto"/>
              <w:ind w:left="0" w:righ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商务评审   </w:t>
            </w:r>
          </w:p>
        </w:tc>
        <w:tc>
          <w:tcPr>
            <w:tcW w:w="1926" w:type="dxa"/>
            <w:noWrap w:val="0"/>
            <w:vAlign w:val="center"/>
          </w:tcPr>
          <w:p w14:paraId="3754291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z w:val="22"/>
                <w:szCs w:val="22"/>
                <w:highlight w:val="none"/>
                <w:lang w:val="en-US" w:eastAsia="zh-CN"/>
              </w:rPr>
              <w:t>售后服务方案（10分）</w:t>
            </w:r>
          </w:p>
        </w:tc>
        <w:tc>
          <w:tcPr>
            <w:tcW w:w="5992" w:type="dxa"/>
            <w:noWrap w:val="0"/>
            <w:vAlign w:val="top"/>
          </w:tcPr>
          <w:p w14:paraId="41650DC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根据各投标供应商提供的售后服务方案进行综合评分，包含但不限于：（1）售后服务承诺及保障措施；（2）售后服务响应时间；（3）培训及技术指导方案；（4）售后服人员及人员分配方案；（5）废弃物回收方案等；</w:t>
            </w:r>
          </w:p>
          <w:p w14:paraId="36C5013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以上方案内容完整清晰明确、科学合理，满足项目实际需求的，每项计2分，最高得10分，不提供不得分。每有一项内容不完整或每有一处不具有针对性或逻辑性错误或不满足项目实际需求等的扣1分，扣完为止。</w:t>
            </w:r>
          </w:p>
        </w:tc>
      </w:tr>
      <w:tr w14:paraId="521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90" w:type="dxa"/>
            <w:vMerge w:val="continue"/>
            <w:noWrap w:val="0"/>
            <w:vAlign w:val="center"/>
          </w:tcPr>
          <w:p w14:paraId="102AA31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68F2F0A1">
            <w:pPr>
              <w:pStyle w:val="11"/>
              <w:keepNext w:val="0"/>
              <w:keepLines w:val="0"/>
              <w:pageBreakBefore w:val="0"/>
              <w:tabs>
                <w:tab w:val="left" w:pos="600"/>
              </w:tabs>
              <w:kinsoku/>
              <w:wordWrap/>
              <w:overflowPunct/>
              <w:topLinePunct w:val="0"/>
              <w:bidi w:val="0"/>
              <w:spacing w:line="360" w:lineRule="auto"/>
              <w:ind w:left="0" w:right="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926" w:type="dxa"/>
            <w:noWrap w:val="0"/>
            <w:vAlign w:val="center"/>
          </w:tcPr>
          <w:p w14:paraId="47E9E446">
            <w:pPr>
              <w:pStyle w:val="54"/>
              <w:keepNext w:val="0"/>
              <w:keepLines w:val="0"/>
              <w:pageBreakBefore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lang w:val="en-US" w:eastAsia="zh-CN"/>
              </w:rPr>
              <w:t>类似</w:t>
            </w:r>
            <w:r>
              <w:rPr>
                <w:rFonts w:hint="eastAsia" w:ascii="宋体" w:hAnsi="宋体" w:eastAsia="宋体" w:cs="宋体"/>
                <w:color w:val="auto"/>
                <w:spacing w:val="-9"/>
                <w:sz w:val="22"/>
                <w:szCs w:val="22"/>
                <w:highlight w:val="none"/>
              </w:rPr>
              <w:t>项目</w:t>
            </w:r>
            <w:r>
              <w:rPr>
                <w:rFonts w:hint="eastAsia" w:ascii="宋体" w:hAnsi="宋体" w:eastAsia="宋体" w:cs="宋体"/>
                <w:color w:val="auto"/>
                <w:spacing w:val="-6"/>
                <w:sz w:val="22"/>
                <w:szCs w:val="22"/>
                <w:highlight w:val="none"/>
              </w:rPr>
              <w:t>经验</w:t>
            </w:r>
          </w:p>
          <w:p w14:paraId="681C9982">
            <w:pPr>
              <w:pStyle w:val="54"/>
              <w:keepNext w:val="0"/>
              <w:keepLines w:val="0"/>
              <w:pageBreakBefore w:val="0"/>
              <w:kinsoku/>
              <w:wordWrap/>
              <w:overflowPunct/>
              <w:topLinePunct w:val="0"/>
              <w:bidi w:val="0"/>
              <w:spacing w:line="360" w:lineRule="auto"/>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w:t>
            </w:r>
            <w:r>
              <w:rPr>
                <w:rFonts w:hint="eastAsia" w:cs="宋体"/>
                <w:color w:val="auto"/>
                <w:spacing w:val="-9"/>
                <w:sz w:val="22"/>
                <w:szCs w:val="22"/>
                <w:highlight w:val="none"/>
                <w:lang w:val="en-US" w:eastAsia="zh-CN"/>
              </w:rPr>
              <w:t>2</w:t>
            </w:r>
            <w:r>
              <w:rPr>
                <w:rFonts w:hint="eastAsia" w:ascii="宋体" w:hAnsi="宋体" w:eastAsia="宋体" w:cs="宋体"/>
                <w:color w:val="auto"/>
                <w:spacing w:val="-9"/>
                <w:sz w:val="22"/>
                <w:szCs w:val="22"/>
                <w:highlight w:val="none"/>
              </w:rPr>
              <w:t>分）</w:t>
            </w:r>
          </w:p>
        </w:tc>
        <w:tc>
          <w:tcPr>
            <w:tcW w:w="5992" w:type="dxa"/>
            <w:noWrap w:val="0"/>
            <w:vAlign w:val="top"/>
          </w:tcPr>
          <w:p w14:paraId="5E266070">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color w:val="auto"/>
                <w:kern w:val="0"/>
                <w:sz w:val="22"/>
                <w:szCs w:val="22"/>
                <w:highlight w:val="none"/>
                <w:lang w:val="en-US" w:eastAsia="zh-CN" w:bidi="ar"/>
              </w:rPr>
              <w:t>根据各投标供应商提供的2023年</w:t>
            </w:r>
            <w:r>
              <w:rPr>
                <w:rFonts w:hint="eastAsia" w:ascii="宋体" w:hAnsi="宋体" w:cs="宋体"/>
                <w:color w:val="auto"/>
                <w:kern w:val="0"/>
                <w:sz w:val="22"/>
                <w:szCs w:val="22"/>
                <w:highlight w:val="none"/>
                <w:lang w:val="en-US" w:eastAsia="zh-CN" w:bidi="ar"/>
              </w:rPr>
              <w:t>0</w:t>
            </w:r>
            <w:r>
              <w:rPr>
                <w:rFonts w:hint="eastAsia" w:ascii="宋体" w:hAnsi="宋体" w:eastAsia="宋体" w:cs="宋体"/>
                <w:color w:val="auto"/>
                <w:kern w:val="0"/>
                <w:sz w:val="22"/>
                <w:szCs w:val="22"/>
                <w:highlight w:val="none"/>
                <w:lang w:val="en-US" w:eastAsia="zh-CN" w:bidi="ar"/>
              </w:rPr>
              <w:t>1月</w:t>
            </w:r>
            <w:r>
              <w:rPr>
                <w:rFonts w:hint="eastAsia" w:ascii="宋体" w:hAnsi="宋体" w:cs="宋体"/>
                <w:color w:val="auto"/>
                <w:kern w:val="0"/>
                <w:sz w:val="22"/>
                <w:szCs w:val="22"/>
                <w:highlight w:val="none"/>
                <w:lang w:val="en-US" w:eastAsia="zh-CN" w:bidi="ar"/>
              </w:rPr>
              <w:t>0</w:t>
            </w:r>
            <w:r>
              <w:rPr>
                <w:rFonts w:hint="eastAsia" w:ascii="宋体" w:hAnsi="宋体" w:eastAsia="宋体" w:cs="宋体"/>
                <w:color w:val="auto"/>
                <w:kern w:val="0"/>
                <w:sz w:val="22"/>
                <w:szCs w:val="22"/>
                <w:highlight w:val="none"/>
                <w:lang w:val="en-US" w:eastAsia="zh-CN" w:bidi="ar"/>
              </w:rPr>
              <w:t>1日至今类似业绩进行打分，每提供1份得1分，总分不超过</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分（附合同或中标（或成交）通知书复印件加盖企业公章）。</w:t>
            </w:r>
          </w:p>
        </w:tc>
      </w:tr>
    </w:tbl>
    <w:p w14:paraId="6D520CD7">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注：</w:t>
      </w:r>
      <w:r>
        <w:rPr>
          <w:rFonts w:hint="eastAsia" w:ascii="宋体" w:hAnsi="宋体" w:cs="宋体"/>
          <w:color w:val="auto"/>
          <w:sz w:val="22"/>
          <w:szCs w:val="28"/>
          <w:highlight w:val="none"/>
          <w:lang w:val="en-US" w:eastAsia="zh-CN"/>
        </w:rPr>
        <w:t>1</w:t>
      </w:r>
      <w:r>
        <w:rPr>
          <w:rFonts w:hint="eastAsia" w:ascii="宋体" w:hAnsi="宋体" w:eastAsia="宋体" w:cs="宋体"/>
          <w:color w:val="auto"/>
          <w:sz w:val="22"/>
          <w:szCs w:val="28"/>
          <w:highlight w:val="none"/>
        </w:rPr>
        <w:t>.评委需要严格按照以上方法赋分，不得超过分数界限赋分。</w:t>
      </w:r>
      <w:r>
        <w:rPr>
          <w:rFonts w:hint="eastAsia" w:ascii="宋体" w:hAnsi="宋体" w:cs="宋体"/>
          <w:color w:val="auto"/>
          <w:sz w:val="22"/>
          <w:szCs w:val="28"/>
          <w:highlight w:val="none"/>
          <w:lang w:val="en-US" w:eastAsia="zh-CN"/>
        </w:rPr>
        <w:t>2</w:t>
      </w:r>
      <w:r>
        <w:rPr>
          <w:rFonts w:hint="eastAsia" w:ascii="宋体" w:hAnsi="宋体" w:eastAsia="宋体" w:cs="宋体"/>
          <w:color w:val="auto"/>
          <w:sz w:val="22"/>
          <w:szCs w:val="28"/>
          <w:highlight w:val="none"/>
        </w:rPr>
        <w:t>.最低报价不是中标的唯一依据。</w:t>
      </w:r>
    </w:p>
    <w:p w14:paraId="5FF9AABB">
      <w:pPr>
        <w:pStyle w:val="11"/>
        <w:keepNext w:val="0"/>
        <w:keepLines w:val="0"/>
        <w:pageBreakBefore w:val="0"/>
        <w:tabs>
          <w:tab w:val="left" w:pos="600"/>
        </w:tabs>
        <w:kinsoku/>
        <w:wordWrap/>
        <w:overflowPunct/>
        <w:topLinePunct w:val="0"/>
        <w:bidi w:val="0"/>
        <w:adjustRightInd/>
        <w:snapToGrid/>
        <w:spacing w:line="480" w:lineRule="exact"/>
        <w:ind w:right="0"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2.3无效投标的认定</w:t>
      </w:r>
    </w:p>
    <w:p w14:paraId="28A93EF7">
      <w:pPr>
        <w:keepNext w:val="0"/>
        <w:keepLines w:val="0"/>
        <w:pageBreakBefore w:val="0"/>
        <w:widowControl w:val="0"/>
        <w:kinsoku/>
        <w:wordWrap/>
        <w:overflowPunct/>
        <w:topLinePunct w:val="0"/>
        <w:autoSpaceDE/>
        <w:autoSpaceDN/>
        <w:bidi w:val="0"/>
        <w:adjustRightInd/>
        <w:snapToGrid/>
        <w:spacing w:line="480" w:lineRule="exact"/>
        <w:ind w:right="0" w:firstLine="442" w:firstLineChars="200"/>
        <w:textAlignment w:val="auto"/>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在评标过程中，出现下列情形之一的，投标无效：</w:t>
      </w:r>
    </w:p>
    <w:p w14:paraId="2FA27B2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投标</w:t>
      </w:r>
      <w:r>
        <w:rPr>
          <w:rFonts w:hint="eastAsia" w:ascii="宋体" w:hAnsi="宋体" w:eastAsia="宋体" w:cs="宋体"/>
          <w:color w:val="auto"/>
          <w:sz w:val="22"/>
          <w:szCs w:val="28"/>
          <w:highlight w:val="none"/>
        </w:rPr>
        <w:t>截止时间过后递交的</w:t>
      </w:r>
      <w:r>
        <w:rPr>
          <w:rFonts w:hint="eastAsia" w:ascii="宋体" w:hAnsi="宋体" w:eastAsia="宋体" w:cs="宋体"/>
          <w:color w:val="auto"/>
          <w:sz w:val="22"/>
          <w:szCs w:val="28"/>
          <w:highlight w:val="none"/>
          <w:lang w:val="en-US" w:eastAsia="zh-CN"/>
        </w:rPr>
        <w:t>电子响应</w:t>
      </w:r>
      <w:r>
        <w:rPr>
          <w:rFonts w:hint="eastAsia" w:ascii="宋体" w:hAnsi="宋体" w:eastAsia="宋体" w:cs="宋体"/>
          <w:color w:val="auto"/>
          <w:sz w:val="22"/>
          <w:szCs w:val="28"/>
          <w:highlight w:val="none"/>
        </w:rPr>
        <w:t>文件；</w:t>
      </w:r>
    </w:p>
    <w:p w14:paraId="5F004F96">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（2）应交未交投标保证金</w:t>
      </w:r>
      <w:r>
        <w:rPr>
          <w:rFonts w:hint="eastAsia" w:ascii="宋体" w:hAnsi="宋体" w:eastAsia="宋体" w:cs="宋体"/>
          <w:color w:val="auto"/>
          <w:sz w:val="22"/>
          <w:szCs w:val="28"/>
          <w:highlight w:val="none"/>
          <w:lang w:eastAsia="zh-CN"/>
        </w:rPr>
        <w:t>的</w:t>
      </w:r>
      <w:r>
        <w:rPr>
          <w:rFonts w:hint="eastAsia" w:ascii="宋体" w:hAnsi="宋体" w:eastAsia="宋体" w:cs="宋体"/>
          <w:color w:val="auto"/>
          <w:sz w:val="22"/>
          <w:szCs w:val="28"/>
          <w:highlight w:val="none"/>
        </w:rPr>
        <w:t>；</w:t>
      </w:r>
    </w:p>
    <w:p w14:paraId="16B96CF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（3）不具备</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文件中规定资格要求</w:t>
      </w:r>
      <w:r>
        <w:rPr>
          <w:rFonts w:hint="eastAsia" w:ascii="宋体" w:hAnsi="宋体" w:eastAsia="宋体" w:cs="宋体"/>
          <w:color w:val="auto"/>
          <w:sz w:val="22"/>
          <w:szCs w:val="28"/>
          <w:highlight w:val="none"/>
          <w:lang w:val="en-US" w:eastAsia="zh-CN"/>
        </w:rPr>
        <w:t>或</w:t>
      </w:r>
      <w:r>
        <w:rPr>
          <w:rFonts w:hint="eastAsia" w:ascii="宋体" w:hAnsi="宋体" w:eastAsia="宋体" w:cs="宋体"/>
          <w:color w:val="auto"/>
          <w:sz w:val="22"/>
          <w:szCs w:val="28"/>
          <w:highlight w:val="none"/>
        </w:rPr>
        <w:t>资格要求</w:t>
      </w:r>
      <w:r>
        <w:rPr>
          <w:rFonts w:hint="eastAsia" w:ascii="宋体" w:hAnsi="宋体" w:eastAsia="宋体" w:cs="宋体"/>
          <w:color w:val="auto"/>
          <w:sz w:val="22"/>
          <w:szCs w:val="28"/>
          <w:highlight w:val="none"/>
          <w:lang w:val="en-US" w:eastAsia="zh-CN"/>
        </w:rPr>
        <w:t>资料提供不全</w:t>
      </w:r>
      <w:r>
        <w:rPr>
          <w:rFonts w:hint="eastAsia" w:ascii="宋体" w:hAnsi="宋体" w:eastAsia="宋体" w:cs="宋体"/>
          <w:color w:val="auto"/>
          <w:sz w:val="22"/>
          <w:szCs w:val="28"/>
          <w:highlight w:val="none"/>
        </w:rPr>
        <w:t>的；</w:t>
      </w:r>
    </w:p>
    <w:p w14:paraId="7DB392E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（4）未提供《开标一览表》的</w:t>
      </w:r>
      <w:r>
        <w:rPr>
          <w:rFonts w:hint="eastAsia" w:ascii="宋体" w:hAnsi="宋体" w:eastAsia="宋体" w:cs="宋体"/>
          <w:color w:val="auto"/>
          <w:sz w:val="22"/>
          <w:szCs w:val="28"/>
          <w:highlight w:val="none"/>
          <w:lang w:val="en-US" w:eastAsia="zh-CN"/>
        </w:rPr>
        <w:t>，投标报价不符合报价要求的</w:t>
      </w:r>
      <w:r>
        <w:rPr>
          <w:rFonts w:hint="eastAsia" w:ascii="宋体" w:hAnsi="宋体" w:eastAsia="宋体" w:cs="宋体"/>
          <w:color w:val="auto"/>
          <w:sz w:val="22"/>
          <w:szCs w:val="28"/>
          <w:highlight w:val="none"/>
        </w:rPr>
        <w:t>；</w:t>
      </w:r>
    </w:p>
    <w:p w14:paraId="7656969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文件未按照</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文件规定要求签署、盖章的；</w:t>
      </w:r>
    </w:p>
    <w:p w14:paraId="0E3C5E0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（6）投标报价超过</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文件中规定的</w:t>
      </w:r>
      <w:r>
        <w:rPr>
          <w:rFonts w:hint="eastAsia" w:ascii="宋体" w:hAnsi="宋体" w:eastAsia="宋体" w:cs="宋体"/>
          <w:color w:val="auto"/>
          <w:sz w:val="22"/>
          <w:szCs w:val="28"/>
          <w:highlight w:val="none"/>
          <w:lang w:val="en-US" w:eastAsia="zh-CN"/>
        </w:rPr>
        <w:t>预算金额或</w:t>
      </w:r>
      <w:r>
        <w:rPr>
          <w:rFonts w:hint="eastAsia" w:ascii="宋体" w:hAnsi="宋体" w:cs="宋体"/>
          <w:color w:val="auto"/>
          <w:sz w:val="22"/>
          <w:szCs w:val="28"/>
          <w:highlight w:val="none"/>
          <w:lang w:val="en-US" w:eastAsia="zh-CN"/>
        </w:rPr>
        <w:t>最高限价</w:t>
      </w:r>
      <w:r>
        <w:rPr>
          <w:rFonts w:hint="eastAsia" w:ascii="宋体" w:hAnsi="宋体" w:eastAsia="宋体" w:cs="宋体"/>
          <w:color w:val="auto"/>
          <w:sz w:val="22"/>
          <w:szCs w:val="28"/>
          <w:highlight w:val="none"/>
        </w:rPr>
        <w:t>的</w:t>
      </w:r>
      <w:r>
        <w:rPr>
          <w:rFonts w:hint="eastAsia" w:ascii="宋体" w:hAnsi="宋体" w:eastAsia="宋体" w:cs="宋体"/>
          <w:color w:val="auto"/>
          <w:sz w:val="22"/>
          <w:szCs w:val="28"/>
          <w:highlight w:val="none"/>
          <w:lang w:eastAsia="zh-CN"/>
        </w:rPr>
        <w:t>；</w:t>
      </w:r>
    </w:p>
    <w:p w14:paraId="49D2269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（7）投标文件载明的采购项目合同履行期限</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质保期限不符合采购</w:t>
      </w:r>
      <w:r>
        <w:rPr>
          <w:rFonts w:hint="eastAsia" w:ascii="宋体" w:hAnsi="宋体" w:eastAsia="宋体" w:cs="宋体"/>
          <w:color w:val="auto"/>
          <w:sz w:val="22"/>
          <w:szCs w:val="28"/>
          <w:highlight w:val="none"/>
        </w:rPr>
        <w:t>文件规定期限的；</w:t>
      </w:r>
    </w:p>
    <w:p w14:paraId="416D17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（8）评标过程中拒绝澄清相关事宜和问题的；</w:t>
      </w:r>
    </w:p>
    <w:p w14:paraId="658174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（9）</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文件不真实，有欺骗行为的；</w:t>
      </w:r>
    </w:p>
    <w:p w14:paraId="5E8EF3F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文件含有</w:t>
      </w:r>
      <w:r>
        <w:rPr>
          <w:rFonts w:hint="eastAsia" w:ascii="宋体" w:hAnsi="宋体" w:eastAsia="宋体" w:cs="宋体"/>
          <w:color w:val="auto"/>
          <w:sz w:val="22"/>
          <w:szCs w:val="28"/>
          <w:highlight w:val="none"/>
          <w:lang w:val="en-US" w:eastAsia="zh-CN"/>
        </w:rPr>
        <w:t>采购</w:t>
      </w:r>
      <w:r>
        <w:rPr>
          <w:rFonts w:hint="eastAsia" w:ascii="宋体" w:hAnsi="宋体" w:eastAsia="宋体" w:cs="宋体"/>
          <w:color w:val="auto"/>
          <w:sz w:val="22"/>
          <w:szCs w:val="28"/>
          <w:highlight w:val="none"/>
        </w:rPr>
        <w:t>人和采购代理机构不能接受的条件的；</w:t>
      </w:r>
    </w:p>
    <w:p w14:paraId="7B2423F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（11）响应文件未按照</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文件要求顺序编制的；</w:t>
      </w:r>
    </w:p>
    <w:p w14:paraId="71A7038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2</w:t>
      </w:r>
      <w:r>
        <w:rPr>
          <w:rFonts w:hint="eastAsia" w:ascii="宋体" w:hAnsi="宋体" w:eastAsia="宋体" w:cs="宋体"/>
          <w:color w:val="auto"/>
          <w:sz w:val="22"/>
          <w:szCs w:val="28"/>
          <w:highlight w:val="none"/>
        </w:rPr>
        <w:t>）不符合</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文件规定的实质性要求的；</w:t>
      </w:r>
    </w:p>
    <w:p w14:paraId="58F292BF">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（13）响应文件未关联目录</w:t>
      </w:r>
      <w:r>
        <w:rPr>
          <w:rFonts w:hint="eastAsia" w:ascii="宋体" w:hAnsi="宋体" w:eastAsia="宋体" w:cs="宋体"/>
          <w:color w:val="auto"/>
          <w:sz w:val="22"/>
          <w:szCs w:val="28"/>
          <w:highlight w:val="none"/>
          <w:lang w:eastAsia="zh-CN"/>
        </w:rPr>
        <w:t>；</w:t>
      </w:r>
    </w:p>
    <w:p w14:paraId="53A4FD4A">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14</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符合性审查未通过的；</w:t>
      </w:r>
    </w:p>
    <w:p w14:paraId="1FC3697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（15）</w:t>
      </w:r>
      <w:r>
        <w:rPr>
          <w:rFonts w:hint="eastAsia" w:ascii="宋体" w:hAnsi="宋体" w:eastAsia="宋体" w:cs="宋体"/>
          <w:color w:val="auto"/>
          <w:sz w:val="22"/>
          <w:szCs w:val="28"/>
          <w:highlight w:val="none"/>
        </w:rPr>
        <w:t>投标货物（产品）不符合强制执行的国家标准、行业标准的</w:t>
      </w:r>
      <w:r>
        <w:rPr>
          <w:rFonts w:hint="eastAsia" w:ascii="宋体" w:hAnsi="宋体" w:eastAsia="宋体" w:cs="宋体"/>
          <w:color w:val="auto"/>
          <w:sz w:val="22"/>
          <w:szCs w:val="28"/>
          <w:highlight w:val="none"/>
          <w:lang w:eastAsia="zh-CN"/>
        </w:rPr>
        <w:t>；</w:t>
      </w:r>
    </w:p>
    <w:p w14:paraId="70895580">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16）投标文件的关键内容字迹模糊和无法辨认的；</w:t>
      </w:r>
    </w:p>
    <w:p w14:paraId="70B81C9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17</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rPr>
        <w:t>投标内容出现漏项或数量与要求不符的；</w:t>
      </w:r>
    </w:p>
    <w:p w14:paraId="6C22299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（18）法律法规和招标文件规定的其他情形的；</w:t>
      </w:r>
    </w:p>
    <w:p w14:paraId="76F605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9</w:t>
      </w:r>
      <w:r>
        <w:rPr>
          <w:rFonts w:hint="eastAsia" w:ascii="宋体" w:hAnsi="宋体" w:eastAsia="宋体" w:cs="宋体"/>
          <w:color w:val="auto"/>
          <w:sz w:val="22"/>
          <w:szCs w:val="28"/>
          <w:highlight w:val="none"/>
        </w:rPr>
        <w:t>）投标货物（产品）不是国家强制节能产品品目清单中的产品（如有）</w:t>
      </w:r>
      <w:r>
        <w:rPr>
          <w:rFonts w:hint="eastAsia" w:ascii="宋体" w:hAnsi="宋体" w:eastAsia="宋体" w:cs="宋体"/>
          <w:color w:val="auto"/>
          <w:sz w:val="22"/>
          <w:szCs w:val="28"/>
          <w:highlight w:val="none"/>
          <w:lang w:eastAsia="zh-CN"/>
        </w:rPr>
        <w:t>。</w:t>
      </w:r>
    </w:p>
    <w:p w14:paraId="384824AB">
      <w:pPr>
        <w:keepNext w:val="0"/>
        <w:keepLines w:val="0"/>
        <w:pageBreakBefore w:val="0"/>
        <w:widowControl/>
        <w:kinsoku/>
        <w:wordWrap/>
        <w:overflowPunct/>
        <w:topLinePunct w:val="0"/>
        <w:autoSpaceDE w:val="0"/>
        <w:autoSpaceDN w:val="0"/>
        <w:bidi w:val="0"/>
        <w:adjustRightInd/>
        <w:snapToGrid/>
        <w:spacing w:line="480" w:lineRule="exact"/>
        <w:ind w:right="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2.4 特殊情况的处理</w:t>
      </w:r>
    </w:p>
    <w:p w14:paraId="43D6F63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2.4.1 投标文件中如果出现计算错误，可按以下原则进行修正：</w:t>
      </w:r>
    </w:p>
    <w:p w14:paraId="07B3815E">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（1）投标文件中的大写金额与小写金额不一致的，以大写金额为准；</w:t>
      </w:r>
    </w:p>
    <w:p w14:paraId="1D32B9E6">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（2）投标文件中的总价金额与按单价计算的汇总金额不一致的，以单价计算的汇总金额为准；</w:t>
      </w:r>
    </w:p>
    <w:p w14:paraId="4DF30CC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（3）投标文件中的单价金额有明显小数点错误的，以总价为准，并修改单价；</w:t>
      </w:r>
    </w:p>
    <w:p w14:paraId="304692F4">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（4）投标文件中有关分项表内容与“开标一览表”不一致的，以“开标一览表”为准；</w:t>
      </w:r>
    </w:p>
    <w:p w14:paraId="6B91457E">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（5）投标文件中图表与文字表述不一致的，以文字表述为准；</w:t>
      </w:r>
    </w:p>
    <w:p w14:paraId="6110621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val="en-US" w:eastAsia="zh-CN"/>
        </w:rPr>
        <w:t>6</w:t>
      </w:r>
      <w:r>
        <w:rPr>
          <w:rFonts w:hint="eastAsia" w:ascii="宋体" w:hAnsi="宋体" w:eastAsia="宋体" w:cs="宋体"/>
          <w:color w:val="auto"/>
          <w:sz w:val="22"/>
          <w:szCs w:val="28"/>
          <w:highlight w:val="none"/>
        </w:rPr>
        <w:t>）对不同文字文本投标文件的解释发生异议的，以中文文本为准。</w:t>
      </w:r>
    </w:p>
    <w:p w14:paraId="0E2379C1">
      <w:pPr>
        <w:keepNext w:val="0"/>
        <w:keepLines w:val="0"/>
        <w:pageBreakBefore w:val="0"/>
        <w:widowControl/>
        <w:kinsoku/>
        <w:wordWrap/>
        <w:overflowPunct/>
        <w:topLinePunct w:val="0"/>
        <w:autoSpaceDE w:val="0"/>
        <w:autoSpaceDN w:val="0"/>
        <w:bidi w:val="0"/>
        <w:adjustRightInd/>
        <w:snapToGrid/>
        <w:spacing w:line="480" w:lineRule="exact"/>
        <w:ind w:right="0"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按上述修正错误的方法调整的投标报价应对投标人具有约束力。如果投标人不接受修正后的价格，其投标将被拒绝。</w:t>
      </w:r>
    </w:p>
    <w:p w14:paraId="42CBD901">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 投标文件中，若某项有不合理报价（或零报价、漏报价）的，经评标委员会评审后，此项得分为零，不参与投标报价分值的计算。</w:t>
      </w:r>
    </w:p>
    <w:p w14:paraId="54AA7E65">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2.4.3 评标委员会成员打分超过得分界限或未按本办法赋分时，该评标委员会成员的打分，按废票处理。</w:t>
      </w:r>
    </w:p>
    <w:p w14:paraId="76BB694C">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2.4.4 评标过程中，各种数字的计算结果，均保留两位小数，第三位“四舍五入”，但计算百分数时应精确到千分位，万分位“四舍五入”。</w:t>
      </w:r>
    </w:p>
    <w:p w14:paraId="637512CD">
      <w:pPr>
        <w:keepNext w:val="0"/>
        <w:keepLines w:val="0"/>
        <w:pageBreakBefore w:val="0"/>
        <w:widowControl/>
        <w:kinsoku/>
        <w:wordWrap/>
        <w:overflowPunct/>
        <w:topLinePunct w:val="0"/>
        <w:bidi w:val="0"/>
        <w:adjustRightInd/>
        <w:snapToGrid/>
        <w:spacing w:line="480" w:lineRule="exact"/>
        <w:ind w:right="0"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2.4.5 相同品牌的处理</w:t>
      </w:r>
    </w:p>
    <w:p w14:paraId="20D09C8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2.4.5.1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50B49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2.4.5.2 非单一产品采购项目中，多家投标人提供的核心产品品牌相同的，视为提供相同品牌产品。采购人根据采购项目技术构成、产品价格比重等合理确定核心产品。核心产品的名称见第四章第2.2条款。</w:t>
      </w:r>
    </w:p>
    <w:p w14:paraId="4CC0677F">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2.4.6 评标过程中，若出现本评标办法以外的特殊情况时，将暂停评标，待评委会商榷后，再进行评定。</w:t>
      </w:r>
    </w:p>
    <w:p w14:paraId="33BA1C0A">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2.4.7 评标报告签署后，采购人或者采购代理机构发现存在本章第1.5.2条款情形之一的，应当组织原评标委员会进行重新评审，重新评审改变中标结果的，书面报告本级财政部门。</w:t>
      </w:r>
    </w:p>
    <w:p w14:paraId="5261DBE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投标人对本章第1.5.2条（1）情形提出质疑的，采购代理机构应当组织原评标委员会进行重新评审，重新评审改变中标结果的，应当书面报告本级财政部门。</w:t>
      </w:r>
    </w:p>
    <w:p w14:paraId="35EAAF7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2.4.8 评标过程中，若出现合格投标人只有2家时，采购人可以选择以下其中一种方式：</w:t>
      </w:r>
    </w:p>
    <w:p w14:paraId="0EC538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（1）本次招标按废标处理；</w:t>
      </w:r>
    </w:p>
    <w:p w14:paraId="43B38A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（2）按照财政部《货物和服务招标投标管理办法》（87号令）第43条规定，改作竞争性谈判采购方式，继续采购活动。</w:t>
      </w:r>
    </w:p>
    <w:p w14:paraId="6BB01499">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2.4.9 采购人若选择竞争性谈判采购方式继续采购活动时，应当按下列程序进行：</w:t>
      </w:r>
    </w:p>
    <w:p w14:paraId="5AF2F4C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（1）由评标委员会出具招标文件没有不合理条款、招标程序符合规定的书面意见并签署；</w:t>
      </w:r>
    </w:p>
    <w:p w14:paraId="0614C3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（2）由采购人按规定向财政部门提出申请变更采购方式；</w:t>
      </w:r>
    </w:p>
    <w:p w14:paraId="7113A450">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（3）采购代理机构根据财政部门批准的竞争性谈判采购方式，编制竞争性谈判文件，并直接向这2家合格投标人提供竞争性谈判文件；</w:t>
      </w:r>
    </w:p>
    <w:p w14:paraId="17A5B804">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（4）采购代理机构将根据竞争性谈判文件规定的时间、地点组织竞争性谈判小组直接与这2家合格投标人进行竞争性谈判。</w:t>
      </w:r>
    </w:p>
    <w:p w14:paraId="0ECE5A6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2.4.10 评标争议处理原则</w:t>
      </w:r>
    </w:p>
    <w:p w14:paraId="2FAA1B9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42AC3E7C">
      <w:pPr>
        <w:pStyle w:val="7"/>
        <w:keepNext w:val="0"/>
        <w:keepLines w:val="0"/>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4"/>
          <w:szCs w:val="44"/>
          <w:highlight w:val="none"/>
          <w:lang w:val="en-US" w:eastAsia="zh-CN"/>
        </w:rPr>
      </w:pPr>
      <w:r>
        <w:rPr>
          <w:rFonts w:hint="eastAsia" w:ascii="宋体" w:hAnsi="宋体" w:eastAsia="宋体" w:cs="宋体"/>
          <w:color w:val="auto"/>
          <w:sz w:val="44"/>
          <w:szCs w:val="44"/>
          <w:highlight w:val="none"/>
        </w:rPr>
        <w:br w:type="page"/>
      </w:r>
      <w:bookmarkStart w:id="187" w:name="_Toc24751"/>
      <w:r>
        <w:rPr>
          <w:rFonts w:hint="eastAsia" w:ascii="宋体" w:hAnsi="宋体" w:eastAsia="宋体" w:cs="宋体"/>
          <w:b/>
          <w:color w:val="auto"/>
          <w:kern w:val="44"/>
          <w:sz w:val="40"/>
          <w:szCs w:val="40"/>
          <w:highlight w:val="none"/>
          <w:lang w:val="en-US" w:eastAsia="zh-CN"/>
        </w:rPr>
        <w:t>第四章 采购内容及要求</w:t>
      </w:r>
      <w:bookmarkEnd w:id="184"/>
      <w:bookmarkEnd w:id="187"/>
    </w:p>
    <w:p w14:paraId="2C3B9F49">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outlineLvl w:val="1"/>
        <w:rPr>
          <w:rFonts w:hint="eastAsia" w:ascii="宋体" w:hAnsi="宋体" w:eastAsia="宋体" w:cs="宋体"/>
          <w:b/>
          <w:color w:val="auto"/>
          <w:kern w:val="44"/>
          <w:sz w:val="32"/>
          <w:szCs w:val="32"/>
          <w:highlight w:val="none"/>
        </w:rPr>
      </w:pPr>
      <w:bookmarkStart w:id="188" w:name="_Toc1573"/>
      <w:bookmarkStart w:id="189" w:name="_Toc217446094"/>
      <w:r>
        <w:rPr>
          <w:rFonts w:hint="eastAsia" w:ascii="宋体" w:hAnsi="宋体" w:eastAsia="宋体" w:cs="宋体"/>
          <w:b/>
          <w:color w:val="auto"/>
          <w:kern w:val="44"/>
          <w:sz w:val="32"/>
          <w:szCs w:val="32"/>
          <w:highlight w:val="none"/>
          <w:lang w:val="en-US" w:eastAsia="zh-CN"/>
        </w:rPr>
        <w:t xml:space="preserve">第一部分 </w:t>
      </w:r>
      <w:r>
        <w:rPr>
          <w:rFonts w:hint="eastAsia" w:ascii="宋体" w:hAnsi="宋体" w:eastAsia="宋体" w:cs="宋体"/>
          <w:b/>
          <w:color w:val="auto"/>
          <w:kern w:val="44"/>
          <w:sz w:val="32"/>
          <w:szCs w:val="32"/>
          <w:highlight w:val="none"/>
        </w:rPr>
        <w:t>采购货物清单及技术参数</w:t>
      </w:r>
      <w:bookmarkEnd w:id="188"/>
    </w:p>
    <w:p w14:paraId="0CDFC9A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一、项目说明：</w:t>
      </w:r>
    </w:p>
    <w:p w14:paraId="4DABBD4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供应商应保证货物是全新、未使用过的</w:t>
      </w:r>
      <w:r>
        <w:rPr>
          <w:rFonts w:hint="eastAsia" w:ascii="宋体" w:hAnsi="宋体" w:eastAsia="宋体" w:cs="宋体"/>
          <w:color w:val="auto"/>
          <w:sz w:val="22"/>
          <w:szCs w:val="22"/>
          <w:highlight w:val="none"/>
          <w:lang w:val="en-US" w:eastAsia="zh-CN"/>
        </w:rPr>
        <w:t>原装合格正品</w:t>
      </w:r>
      <w:r>
        <w:rPr>
          <w:rFonts w:hint="eastAsia" w:ascii="宋体" w:hAnsi="宋体" w:eastAsia="宋体" w:cs="宋体"/>
          <w:color w:val="auto"/>
          <w:sz w:val="22"/>
          <w:szCs w:val="22"/>
          <w:highlight w:val="none"/>
        </w:rPr>
        <w:t>。并完全符合</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rPr>
        <w:t>规定的质量、规格和性能的要求。在货物质量保证期内供应商应对由于材料的缺陷而发生的任何不足或者故障负责。</w:t>
      </w:r>
    </w:p>
    <w:p w14:paraId="702BA54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货物必须为合格产品，质量达到国家有关标准等。</w:t>
      </w:r>
    </w:p>
    <w:p w14:paraId="39C6939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二、采购技术参数要求：</w:t>
      </w:r>
    </w:p>
    <w:p w14:paraId="719761CD">
      <w:pPr>
        <w:pStyle w:val="11"/>
        <w:keepNext w:val="0"/>
        <w:keepLines w:val="0"/>
        <w:pageBreakBefore w:val="0"/>
        <w:tabs>
          <w:tab w:val="left" w:pos="600"/>
        </w:tabs>
        <w:kinsoku/>
        <w:wordWrap/>
        <w:overflowPunct/>
        <w:topLinePunct w:val="0"/>
        <w:autoSpaceDE/>
        <w:autoSpaceDN/>
        <w:bidi w:val="0"/>
        <w:adjustRightInd/>
        <w:snapToGrid/>
        <w:spacing w:line="480" w:lineRule="exact"/>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1.采购内容</w:t>
      </w:r>
    </w:p>
    <w:tbl>
      <w:tblPr>
        <w:tblStyle w:val="24"/>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05"/>
        <w:gridCol w:w="4965"/>
        <w:gridCol w:w="910"/>
        <w:gridCol w:w="818"/>
        <w:gridCol w:w="818"/>
      </w:tblGrid>
      <w:tr w14:paraId="342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7" w:type="dxa"/>
            <w:noWrap w:val="0"/>
            <w:vAlign w:val="center"/>
          </w:tcPr>
          <w:p w14:paraId="380BDF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序号</w:t>
            </w:r>
          </w:p>
        </w:tc>
        <w:tc>
          <w:tcPr>
            <w:tcW w:w="805" w:type="dxa"/>
            <w:noWrap w:val="0"/>
            <w:vAlign w:val="center"/>
          </w:tcPr>
          <w:p w14:paraId="7A1CAA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种类</w:t>
            </w:r>
          </w:p>
        </w:tc>
        <w:tc>
          <w:tcPr>
            <w:tcW w:w="4965" w:type="dxa"/>
            <w:noWrap w:val="0"/>
            <w:vAlign w:val="center"/>
          </w:tcPr>
          <w:p w14:paraId="16183E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技术参数</w:t>
            </w:r>
          </w:p>
        </w:tc>
        <w:tc>
          <w:tcPr>
            <w:tcW w:w="910" w:type="dxa"/>
            <w:noWrap w:val="0"/>
            <w:vAlign w:val="center"/>
          </w:tcPr>
          <w:p w14:paraId="6E1D4A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数量</w:t>
            </w:r>
          </w:p>
        </w:tc>
        <w:tc>
          <w:tcPr>
            <w:tcW w:w="818" w:type="dxa"/>
            <w:noWrap w:val="0"/>
            <w:vAlign w:val="center"/>
          </w:tcPr>
          <w:p w14:paraId="5F5D57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单位</w:t>
            </w:r>
          </w:p>
        </w:tc>
        <w:tc>
          <w:tcPr>
            <w:tcW w:w="818" w:type="dxa"/>
            <w:noWrap w:val="0"/>
            <w:vAlign w:val="center"/>
          </w:tcPr>
          <w:p w14:paraId="3DD44D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备注</w:t>
            </w:r>
          </w:p>
        </w:tc>
      </w:tr>
      <w:tr w14:paraId="37F2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857" w:type="dxa"/>
            <w:noWrap w:val="0"/>
            <w:vAlign w:val="center"/>
          </w:tcPr>
          <w:p w14:paraId="2CFC1AB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805" w:type="dxa"/>
            <w:noWrap w:val="0"/>
            <w:vAlign w:val="center"/>
          </w:tcPr>
          <w:p w14:paraId="49794D3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叶面肥</w:t>
            </w:r>
          </w:p>
        </w:tc>
        <w:tc>
          <w:tcPr>
            <w:tcW w:w="4965" w:type="dxa"/>
            <w:noWrap w:val="0"/>
            <w:vAlign w:val="center"/>
          </w:tcPr>
          <w:p w14:paraId="0366F10A">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磷酸二氢钾≥99%，P2O5≥52%；K2O≥34%。</w:t>
            </w:r>
          </w:p>
          <w:p w14:paraId="555B3459">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剂型：膨化速溶粉剂。</w:t>
            </w:r>
          </w:p>
          <w:p w14:paraId="7DC66C03">
            <w:pPr>
              <w:keepNext w:val="0"/>
              <w:keepLines w:val="0"/>
              <w:widowControl/>
              <w:suppressLineNumbers w:val="0"/>
              <w:jc w:val="left"/>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规格包装：1公斤/袋。</w:t>
            </w:r>
          </w:p>
        </w:tc>
        <w:tc>
          <w:tcPr>
            <w:tcW w:w="910" w:type="dxa"/>
            <w:noWrap w:val="0"/>
            <w:vAlign w:val="center"/>
          </w:tcPr>
          <w:p w14:paraId="60168F0B">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55</w:t>
            </w:r>
          </w:p>
        </w:tc>
        <w:tc>
          <w:tcPr>
            <w:tcW w:w="818" w:type="dxa"/>
            <w:noWrap w:val="0"/>
            <w:vAlign w:val="center"/>
          </w:tcPr>
          <w:p w14:paraId="26A58D11">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吨</w:t>
            </w:r>
          </w:p>
        </w:tc>
        <w:tc>
          <w:tcPr>
            <w:tcW w:w="818" w:type="dxa"/>
            <w:noWrap w:val="0"/>
            <w:vAlign w:val="center"/>
          </w:tcPr>
          <w:p w14:paraId="3CBEF6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包装</w:t>
            </w:r>
            <w:r>
              <w:rPr>
                <w:rFonts w:hint="eastAsia" w:ascii="宋体" w:hAnsi="宋体" w:eastAsia="宋体" w:cs="宋体"/>
                <w:color w:val="auto"/>
                <w:sz w:val="22"/>
                <w:szCs w:val="22"/>
                <w:highlight w:val="none"/>
              </w:rPr>
              <w:t>废弃物回收</w:t>
            </w:r>
          </w:p>
        </w:tc>
      </w:tr>
    </w:tbl>
    <w:p w14:paraId="3E50DB01">
      <w:pPr>
        <w:pStyle w:val="11"/>
        <w:keepNext w:val="0"/>
        <w:keepLines w:val="0"/>
        <w:pageBreakBefore w:val="0"/>
        <w:tabs>
          <w:tab w:val="left" w:pos="600"/>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备注：</w:t>
      </w:r>
      <w:r>
        <w:rPr>
          <w:rFonts w:hint="eastAsia" w:ascii="宋体" w:hAnsi="宋体" w:eastAsia="宋体" w:cs="宋体"/>
          <w:b/>
          <w:bCs/>
          <w:color w:val="auto"/>
          <w:sz w:val="22"/>
          <w:szCs w:val="22"/>
          <w:highlight w:val="none"/>
        </w:rPr>
        <w:t>1、通过篡改数据响应的按照无效标处理并追究法律责任。在交货后，发现部分不能实现，</w:t>
      </w:r>
      <w:r>
        <w:rPr>
          <w:rFonts w:hint="eastAsia" w:ascii="宋体" w:hAnsi="宋体" w:eastAsia="宋体" w:cs="宋体"/>
          <w:b/>
          <w:bCs/>
          <w:color w:val="auto"/>
          <w:sz w:val="22"/>
          <w:szCs w:val="22"/>
          <w:highlight w:val="none"/>
          <w:lang w:val="en-US" w:eastAsia="zh-CN"/>
        </w:rPr>
        <w:t>采购人</w:t>
      </w:r>
      <w:r>
        <w:rPr>
          <w:rFonts w:hint="eastAsia" w:ascii="宋体" w:hAnsi="宋体" w:eastAsia="宋体" w:cs="宋体"/>
          <w:b/>
          <w:bCs/>
          <w:color w:val="auto"/>
          <w:sz w:val="22"/>
          <w:szCs w:val="22"/>
          <w:highlight w:val="none"/>
        </w:rPr>
        <w:t>有权退货并索取赔偿。2、产品中标后验收过程中如果发现有不满足招标要求的、篡改参数，投标产品与交货产品不一致的，用户可以拒绝付款。</w:t>
      </w:r>
    </w:p>
    <w:p w14:paraId="46B55B0D">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p>
    <w:bookmarkEnd w:id="189"/>
    <w:p w14:paraId="1E515D24">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outlineLvl w:val="1"/>
        <w:rPr>
          <w:rFonts w:hint="eastAsia" w:ascii="宋体" w:hAnsi="宋体" w:eastAsia="宋体" w:cs="宋体"/>
          <w:b/>
          <w:color w:val="auto"/>
          <w:kern w:val="44"/>
          <w:sz w:val="32"/>
          <w:szCs w:val="32"/>
          <w:highlight w:val="none"/>
          <w:lang w:val="en-US" w:eastAsia="zh-CN"/>
        </w:rPr>
      </w:pPr>
      <w:bookmarkStart w:id="190" w:name="_Toc11440"/>
      <w:r>
        <w:rPr>
          <w:rFonts w:hint="eastAsia" w:ascii="宋体" w:hAnsi="宋体" w:eastAsia="宋体" w:cs="宋体"/>
          <w:b/>
          <w:color w:val="auto"/>
          <w:kern w:val="44"/>
          <w:sz w:val="32"/>
          <w:szCs w:val="32"/>
          <w:highlight w:val="none"/>
          <w:lang w:val="en-US" w:eastAsia="zh-CN"/>
        </w:rPr>
        <w:t>第二部分 商务条款</w:t>
      </w:r>
      <w:bookmarkEnd w:id="190"/>
    </w:p>
    <w:p w14:paraId="77142044">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1.付款方式：</w:t>
      </w:r>
      <w:r>
        <w:rPr>
          <w:rFonts w:hint="eastAsia" w:ascii="宋体" w:hAnsi="宋体" w:cs="宋体"/>
          <w:color w:val="auto"/>
          <w:kern w:val="2"/>
          <w:sz w:val="22"/>
          <w:szCs w:val="28"/>
          <w:highlight w:val="none"/>
          <w:lang w:val="en-US" w:eastAsia="zh-CN" w:bidi="ar-SA"/>
        </w:rPr>
        <w:t>产品到货并验收合格后支付供货总价的90%；待废弃物全部回收完毕后支付剩余10%。具体付款方式以与甲方签订的正式合同为准。</w:t>
      </w:r>
    </w:p>
    <w:p w14:paraId="696A1C8D">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2.付款程序：</w:t>
      </w:r>
      <w:r>
        <w:rPr>
          <w:rFonts w:hint="eastAsia" w:ascii="宋体" w:hAnsi="宋体" w:eastAsia="宋体" w:cs="宋体"/>
          <w:color w:val="auto"/>
          <w:kern w:val="2"/>
          <w:sz w:val="22"/>
          <w:szCs w:val="28"/>
          <w:highlight w:val="none"/>
          <w:lang w:val="en-US" w:eastAsia="zh-CN" w:bidi="ar-SA"/>
        </w:rPr>
        <w:t>所有货款均以人民币支付，由采购人办理具体付款手续。</w:t>
      </w:r>
    </w:p>
    <w:p w14:paraId="7E2BDEEA">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3.报价要求：</w:t>
      </w:r>
      <w:r>
        <w:rPr>
          <w:rFonts w:hint="eastAsia" w:ascii="宋体" w:hAnsi="宋体" w:eastAsia="宋体" w:cs="宋体"/>
          <w:color w:val="auto"/>
          <w:kern w:val="2"/>
          <w:sz w:val="22"/>
          <w:szCs w:val="28"/>
          <w:highlight w:val="none"/>
          <w:lang w:val="en-US" w:eastAsia="zh-CN" w:bidi="ar-SA"/>
        </w:rPr>
        <w:t>报价应是完成招标内容所需货物的全部费用，包括但不限于产品的报价及所发生的：包括采购代理服务费、货物价格、包装、运输、仓储、保管、保险、装卸（卸货至甲方指定地点）、利润、相关税费及市场价格风险在内等全部费用。</w:t>
      </w:r>
    </w:p>
    <w:p w14:paraId="18BF65E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4.验收</w:t>
      </w:r>
    </w:p>
    <w:p w14:paraId="5B98B8CA">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bookmarkStart w:id="191" w:name="_Toc167715241"/>
      <w:bookmarkStart w:id="192" w:name="_Toc167714044"/>
      <w:bookmarkStart w:id="193" w:name="_Toc167712846"/>
      <w:r>
        <w:rPr>
          <w:rFonts w:hint="eastAsia" w:ascii="宋体" w:hAnsi="宋体" w:eastAsia="宋体" w:cs="宋体"/>
          <w:b/>
          <w:bCs/>
          <w:color w:val="auto"/>
          <w:kern w:val="2"/>
          <w:sz w:val="22"/>
          <w:szCs w:val="28"/>
          <w:highlight w:val="none"/>
          <w:lang w:val="en-US" w:eastAsia="zh-CN" w:bidi="ar-SA"/>
        </w:rPr>
        <w:t>4.1项目验收分初验和终验:</w:t>
      </w:r>
    </w:p>
    <w:p w14:paraId="28DF8CC2">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初验：货物到货后由甲方农业行政执法部门进行抽检，检测费用用投标人承担。货物到达交货地点后，由使用单位根据合同对货物的名称、品牌、规格、型号、产地、数量等进行检查。</w:t>
      </w:r>
    </w:p>
    <w:p w14:paraId="6818E183">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终验：所有货物验收完毕，由采购人进行终验（最终验收），合格后签发《终验合格单》。</w:t>
      </w:r>
    </w:p>
    <w:p w14:paraId="636FFBC5">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4.2验收不合格的中标单位，必须在接到通知后7个日历日内确保货物通过验收。如接到通知后7个日历日内验收仍不合格，采购人可提出索赔或取消其供货合同。采购代理机构将把中标资格授予评审排序下一名的中标单位。</w:t>
      </w:r>
    </w:p>
    <w:p w14:paraId="117FC4C6">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4.3验收依据</w:t>
      </w:r>
      <w:bookmarkEnd w:id="191"/>
      <w:bookmarkEnd w:id="192"/>
      <w:bookmarkEnd w:id="193"/>
      <w:bookmarkStart w:id="194" w:name="_Toc167714045"/>
      <w:bookmarkStart w:id="195" w:name="_Toc167715242"/>
      <w:bookmarkStart w:id="196" w:name="_Toc167712847"/>
    </w:p>
    <w:p w14:paraId="5FFD2C4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（1）合同文本及合同补充文件（条款）</w:t>
      </w:r>
      <w:bookmarkEnd w:id="194"/>
      <w:bookmarkEnd w:id="195"/>
      <w:bookmarkEnd w:id="196"/>
      <w:r>
        <w:rPr>
          <w:rFonts w:hint="eastAsia" w:ascii="宋体" w:hAnsi="宋体" w:eastAsia="宋体" w:cs="宋体"/>
          <w:color w:val="auto"/>
          <w:kern w:val="2"/>
          <w:sz w:val="22"/>
          <w:szCs w:val="28"/>
          <w:highlight w:val="none"/>
          <w:lang w:val="en-US" w:eastAsia="zh-CN" w:bidi="ar-SA"/>
        </w:rPr>
        <w:t>；</w:t>
      </w:r>
    </w:p>
    <w:p w14:paraId="30FBA4E5">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（2）产品的合法来源渠道证明文件、响应功能证明材料；</w:t>
      </w:r>
    </w:p>
    <w:p w14:paraId="4E3E1396">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（3）招标文件；</w:t>
      </w:r>
    </w:p>
    <w:p w14:paraId="6846A1F8">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（4）响应文件；</w:t>
      </w:r>
    </w:p>
    <w:p w14:paraId="1855F1BE">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（5）合同货物清单；</w:t>
      </w:r>
    </w:p>
    <w:p w14:paraId="322537C4">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（6）生产厂家的企业资质、货物的执行标准。</w:t>
      </w:r>
    </w:p>
    <w:p w14:paraId="3F4B59AE">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4.4废弃物回收</w:t>
      </w:r>
    </w:p>
    <w:p w14:paraId="28D423F1">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废弃物回收，具备履行废弃物回收所必需的设备和专业技术能力或与当地具备履行废弃物回收所必需的设备和专业技术能力的公司签署回收（合同）协议，并在项目实施后，编写回收台账，回收率达到100%，当地农业局考核验收废弃物回收情况，如没有完成回收率，要上报主管部门进行处罚。</w:t>
      </w:r>
    </w:p>
    <w:p w14:paraId="1BAF44F8">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5.质量保证</w:t>
      </w:r>
    </w:p>
    <w:p w14:paraId="79B606B2">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5.1所有产品的质保期为终验合格后</w:t>
      </w:r>
      <w:r>
        <w:rPr>
          <w:rFonts w:hint="eastAsia" w:ascii="宋体" w:hAnsi="宋体" w:cs="宋体"/>
          <w:b/>
          <w:bCs/>
          <w:color w:val="auto"/>
          <w:kern w:val="2"/>
          <w:sz w:val="22"/>
          <w:szCs w:val="28"/>
          <w:highlight w:val="none"/>
          <w:lang w:val="en-US" w:eastAsia="zh-CN" w:bidi="ar-SA"/>
        </w:rPr>
        <w:t>质保3年</w:t>
      </w:r>
      <w:r>
        <w:rPr>
          <w:rFonts w:hint="eastAsia" w:ascii="宋体" w:hAnsi="宋体" w:eastAsia="宋体" w:cs="宋体"/>
          <w:b/>
          <w:bCs/>
          <w:color w:val="auto"/>
          <w:kern w:val="2"/>
          <w:sz w:val="22"/>
          <w:szCs w:val="28"/>
          <w:highlight w:val="none"/>
          <w:lang w:val="en-US" w:eastAsia="zh-CN" w:bidi="ar-SA"/>
        </w:rPr>
        <w:t>，质保期内有明显外力损坏或其他不可预见的损坏均须免费更换。投标人承诺的质保时间超过招标文件要求的，按其承诺时间质保。质量保证遵守《产品更换、退货责任规定》。</w:t>
      </w:r>
    </w:p>
    <w:p w14:paraId="5CF7D68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5.2中标单位承诺的质保期起始时间为终验合格之日。</w:t>
      </w:r>
    </w:p>
    <w:p w14:paraId="1ACE2E1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5.3所有产品质量必须符合国家有关规范和相关政策。所有产品必须是未使用过的新产品，质量优良、渠道正当。</w:t>
      </w:r>
    </w:p>
    <w:p w14:paraId="0CCE2D32">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5.4质保期出现的质量问题由中标单位负责解决并承担所有费用。</w:t>
      </w:r>
    </w:p>
    <w:p w14:paraId="40836DE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5.5售后服务响应时间在接到通知2小时内响应，24小时内解决问题。</w:t>
      </w:r>
    </w:p>
    <w:p w14:paraId="7483785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6.合同实施：</w:t>
      </w:r>
      <w:bookmarkStart w:id="197" w:name="_Toc167715264"/>
      <w:bookmarkStart w:id="198" w:name="_Toc167712869"/>
      <w:bookmarkStart w:id="199" w:name="_Toc167714067"/>
    </w:p>
    <w:bookmarkEnd w:id="197"/>
    <w:bookmarkEnd w:id="198"/>
    <w:bookmarkEnd w:id="199"/>
    <w:p w14:paraId="1BC796CD">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6.1中标单位应在合同签订后7个日历日内安排人员（项目组成人员简历表所列）与使用单位就送货等工作进行安排、部署。</w:t>
      </w:r>
      <w:bookmarkStart w:id="200" w:name="_Toc167715265"/>
      <w:bookmarkStart w:id="201" w:name="_Toc167714068"/>
      <w:bookmarkStart w:id="202" w:name="_Toc167712870"/>
    </w:p>
    <w:bookmarkEnd w:id="200"/>
    <w:bookmarkEnd w:id="201"/>
    <w:bookmarkEnd w:id="202"/>
    <w:p w14:paraId="045A4A1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6.2若因中标单位原因未能在工期内完成合同规定的义务，由此对采购人造成的延误和一切损失，由中标单位人承担和赔偿。</w:t>
      </w:r>
    </w:p>
    <w:p w14:paraId="495FD54A">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7.违约责任：</w:t>
      </w:r>
    </w:p>
    <w:p w14:paraId="48EC6B4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7.1按《中华人民共和国民法典》中的相关条款执行。</w:t>
      </w:r>
    </w:p>
    <w:p w14:paraId="4EBE044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7.2未按合同要求提供产品或产品质量不能满足技术要求，采购人有权终止合同，并对供方违约行为进行追究，同时按《政府采购法》的有关规定进行处罚。</w:t>
      </w:r>
    </w:p>
    <w:p w14:paraId="473C19B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注：1.本项目商务条款全部为重要指标（实质性要求），不得负偏离，供应商在响应文件中必须对商务条款进行一一正面响应，若不响应、逃避响应或模糊混淆概念响应，按照不“符合招标文件规定的实质性要求的”投标无效处理。在交货后，发现部分不能实现，甲方有权退货并索取赔偿。2.产品中标后签订合同、验收过程中如果发现有不满足招标要求的、篡改商务条款的，用户可以拒绝付款。</w:t>
      </w:r>
    </w:p>
    <w:p w14:paraId="2EC8280C">
      <w:pPr>
        <w:rPr>
          <w:rFonts w:hint="eastAsia" w:ascii="宋体" w:hAnsi="宋体" w:eastAsia="宋体" w:cs="宋体"/>
          <w:color w:val="auto"/>
          <w:highlight w:val="none"/>
        </w:rPr>
      </w:pPr>
    </w:p>
    <w:p w14:paraId="3957BDEA">
      <w:pPr>
        <w:pStyle w:val="34"/>
        <w:rPr>
          <w:rFonts w:hint="eastAsia" w:ascii="宋体" w:hAnsi="宋体" w:eastAsia="宋体" w:cs="宋体"/>
          <w:color w:val="auto"/>
          <w:highlight w:val="none"/>
        </w:rPr>
      </w:pPr>
    </w:p>
    <w:p w14:paraId="52B71F11">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color w:val="auto"/>
          <w:kern w:val="44"/>
          <w:sz w:val="40"/>
          <w:szCs w:val="40"/>
          <w:highlight w:val="none"/>
          <w:lang w:val="en-US" w:eastAsia="zh-CN" w:bidi="ar-SA"/>
        </w:rPr>
      </w:pPr>
      <w:r>
        <w:rPr>
          <w:rFonts w:hint="eastAsia" w:ascii="宋体" w:hAnsi="宋体" w:eastAsia="宋体" w:cs="宋体"/>
          <w:b/>
          <w:color w:val="auto"/>
          <w:sz w:val="44"/>
          <w:szCs w:val="44"/>
          <w:highlight w:val="none"/>
        </w:rPr>
        <w:br w:type="page"/>
      </w:r>
      <w:bookmarkStart w:id="203" w:name="_Toc15292"/>
      <w:r>
        <w:rPr>
          <w:rFonts w:hint="eastAsia" w:ascii="宋体" w:hAnsi="宋体" w:eastAsia="宋体" w:cs="宋体"/>
          <w:b/>
          <w:color w:val="auto"/>
          <w:kern w:val="44"/>
          <w:sz w:val="40"/>
          <w:szCs w:val="40"/>
          <w:highlight w:val="none"/>
          <w:lang w:val="en-US" w:eastAsia="zh-CN" w:bidi="ar-SA"/>
        </w:rPr>
        <w:t>第五章</w:t>
      </w:r>
      <w:r>
        <w:rPr>
          <w:rFonts w:hint="eastAsia" w:ascii="宋体" w:hAnsi="宋体" w:cs="宋体"/>
          <w:b/>
          <w:color w:val="auto"/>
          <w:kern w:val="44"/>
          <w:sz w:val="40"/>
          <w:szCs w:val="40"/>
          <w:highlight w:val="none"/>
          <w:lang w:val="en-US" w:eastAsia="zh-CN" w:bidi="ar-SA"/>
        </w:rPr>
        <w:t xml:space="preserve"> </w:t>
      </w:r>
      <w:r>
        <w:rPr>
          <w:rFonts w:hint="eastAsia" w:ascii="宋体" w:hAnsi="宋体" w:eastAsia="宋体" w:cs="宋体"/>
          <w:b/>
          <w:color w:val="auto"/>
          <w:kern w:val="44"/>
          <w:sz w:val="40"/>
          <w:szCs w:val="40"/>
          <w:highlight w:val="none"/>
          <w:lang w:val="en-US" w:eastAsia="zh-CN" w:bidi="ar-SA"/>
        </w:rPr>
        <w:t>采购合同格式（仅供参考）</w:t>
      </w:r>
      <w:bookmarkEnd w:id="203"/>
    </w:p>
    <w:p w14:paraId="144BB4A0">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合同编号： </w:t>
      </w:r>
    </w:p>
    <w:p w14:paraId="63C8C849">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签订地点： </w:t>
      </w:r>
    </w:p>
    <w:p w14:paraId="204943A2">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签订时间:</w:t>
      </w:r>
    </w:p>
    <w:p w14:paraId="124A17F6">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p>
    <w:p w14:paraId="48B0D322">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采购人（甲方）：</w:t>
      </w:r>
    </w:p>
    <w:p w14:paraId="75E0C68A">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投标人（乙方）：</w:t>
      </w:r>
    </w:p>
    <w:p w14:paraId="5489639F">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》和甲方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采购项目（采购项目编号：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）的招标文件、投标文件等有关规定，为确保甲方采购项目的顺利实施，甲、乙双方在平等自愿原则下签订本合同，并共同遵守如下条款：</w:t>
      </w:r>
    </w:p>
    <w:p w14:paraId="5BA078B1">
      <w:pPr>
        <w:pStyle w:val="39"/>
        <w:keepNext w:val="0"/>
        <w:keepLines w:val="0"/>
        <w:pageBreakBefore w:val="0"/>
        <w:kinsoku/>
        <w:wordWrap/>
        <w:overflowPunct/>
        <w:topLinePunct w:val="0"/>
        <w:autoSpaceDE/>
        <w:autoSpaceDN/>
        <w:bidi w:val="0"/>
        <w:adjustRightInd/>
        <w:snapToGrid/>
        <w:spacing w:line="480" w:lineRule="exact"/>
        <w:ind w:firstLine="452" w:firstLineChars="150"/>
        <w:textAlignment w:val="auto"/>
        <w:outlineLvl w:val="1"/>
        <w:rPr>
          <w:rFonts w:hint="eastAsia" w:ascii="宋体" w:hAnsi="宋体" w:eastAsia="宋体" w:cs="宋体"/>
          <w:b/>
          <w:color w:val="auto"/>
          <w:sz w:val="30"/>
          <w:szCs w:val="30"/>
          <w:highlight w:val="none"/>
        </w:rPr>
      </w:pPr>
      <w:bookmarkStart w:id="204" w:name="_Toc28733"/>
      <w:r>
        <w:rPr>
          <w:rFonts w:hint="eastAsia" w:ascii="宋体" w:hAnsi="宋体" w:eastAsia="宋体" w:cs="宋体"/>
          <w:b/>
          <w:color w:val="auto"/>
          <w:sz w:val="30"/>
          <w:szCs w:val="30"/>
          <w:highlight w:val="none"/>
        </w:rPr>
        <w:t>第一条 合同标的及数量</w:t>
      </w:r>
      <w:bookmarkEnd w:id="204"/>
    </w:p>
    <w:p w14:paraId="149DDC59">
      <w:pPr>
        <w:pStyle w:val="39"/>
        <w:keepNext w:val="0"/>
        <w:keepLines w:val="0"/>
        <w:pageBreakBefore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乙方向甲方提供下列货物（产品）：</w:t>
      </w:r>
    </w:p>
    <w:p w14:paraId="426A2C0E">
      <w:pPr>
        <w:pStyle w:val="7"/>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供货一览表</w:t>
      </w:r>
    </w:p>
    <w:tbl>
      <w:tblPr>
        <w:tblStyle w:val="23"/>
        <w:tblpPr w:leftFromText="180" w:rightFromText="180" w:vertAnchor="text" w:horzAnchor="margin" w:tblpXSpec="center" w:tblpY="30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78"/>
        <w:gridCol w:w="1408"/>
        <w:gridCol w:w="822"/>
        <w:gridCol w:w="795"/>
        <w:gridCol w:w="809"/>
        <w:gridCol w:w="1175"/>
        <w:gridCol w:w="1620"/>
      </w:tblGrid>
      <w:tr w14:paraId="2F6CD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center"/>
          </w:tcPr>
          <w:p w14:paraId="3BA4746A">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5" w:name="_Toc12479"/>
            <w:r>
              <w:rPr>
                <w:rFonts w:hint="eastAsia" w:ascii="宋体" w:hAnsi="宋体" w:eastAsia="宋体" w:cs="宋体"/>
                <w:color w:val="auto"/>
                <w:sz w:val="22"/>
                <w:szCs w:val="22"/>
                <w:highlight w:val="none"/>
              </w:rPr>
              <w:t>序号</w:t>
            </w:r>
            <w:bookmarkEnd w:id="205"/>
          </w:p>
        </w:tc>
        <w:tc>
          <w:tcPr>
            <w:tcW w:w="1478" w:type="dxa"/>
            <w:noWrap w:val="0"/>
            <w:vAlign w:val="center"/>
          </w:tcPr>
          <w:p w14:paraId="59E4E19C">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6" w:name="_Toc3165"/>
            <w:r>
              <w:rPr>
                <w:rFonts w:hint="eastAsia" w:ascii="宋体" w:hAnsi="宋体" w:eastAsia="宋体" w:cs="宋体"/>
                <w:color w:val="auto"/>
                <w:sz w:val="22"/>
                <w:szCs w:val="22"/>
                <w:highlight w:val="none"/>
              </w:rPr>
              <w:t>货物名称</w:t>
            </w:r>
            <w:bookmarkEnd w:id="206"/>
          </w:p>
        </w:tc>
        <w:tc>
          <w:tcPr>
            <w:tcW w:w="1408" w:type="dxa"/>
            <w:noWrap w:val="0"/>
            <w:vAlign w:val="center"/>
          </w:tcPr>
          <w:p w14:paraId="1B3FC1C5">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7" w:name="_Toc15495"/>
            <w:r>
              <w:rPr>
                <w:rFonts w:hint="eastAsia" w:ascii="宋体" w:hAnsi="宋体" w:eastAsia="宋体" w:cs="宋体"/>
                <w:color w:val="auto"/>
                <w:sz w:val="22"/>
                <w:szCs w:val="22"/>
                <w:highlight w:val="none"/>
              </w:rPr>
              <w:t>品牌/型号</w:t>
            </w:r>
            <w:bookmarkEnd w:id="207"/>
          </w:p>
        </w:tc>
        <w:tc>
          <w:tcPr>
            <w:tcW w:w="822" w:type="dxa"/>
            <w:noWrap w:val="0"/>
            <w:vAlign w:val="center"/>
          </w:tcPr>
          <w:p w14:paraId="41557BB8">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8" w:name="_Toc21420"/>
            <w:r>
              <w:rPr>
                <w:rFonts w:hint="eastAsia" w:ascii="宋体" w:hAnsi="宋体" w:eastAsia="宋体" w:cs="宋体"/>
                <w:color w:val="auto"/>
                <w:sz w:val="22"/>
                <w:szCs w:val="22"/>
                <w:highlight w:val="none"/>
              </w:rPr>
              <w:t>规格</w:t>
            </w:r>
            <w:bookmarkEnd w:id="208"/>
          </w:p>
        </w:tc>
        <w:tc>
          <w:tcPr>
            <w:tcW w:w="795" w:type="dxa"/>
            <w:noWrap w:val="0"/>
            <w:vAlign w:val="center"/>
          </w:tcPr>
          <w:p w14:paraId="1B131941">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9" w:name="_Toc1347"/>
            <w:r>
              <w:rPr>
                <w:rFonts w:hint="eastAsia" w:ascii="宋体" w:hAnsi="宋体" w:eastAsia="宋体" w:cs="宋体"/>
                <w:color w:val="auto"/>
                <w:sz w:val="22"/>
                <w:szCs w:val="22"/>
                <w:highlight w:val="none"/>
              </w:rPr>
              <w:t>计量单位</w:t>
            </w:r>
            <w:bookmarkEnd w:id="209"/>
          </w:p>
        </w:tc>
        <w:tc>
          <w:tcPr>
            <w:tcW w:w="809" w:type="dxa"/>
            <w:noWrap w:val="0"/>
            <w:vAlign w:val="center"/>
          </w:tcPr>
          <w:p w14:paraId="5F8875EF">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10" w:name="_Toc407"/>
            <w:r>
              <w:rPr>
                <w:rFonts w:hint="eastAsia" w:ascii="宋体" w:hAnsi="宋体" w:eastAsia="宋体" w:cs="宋体"/>
                <w:color w:val="auto"/>
                <w:sz w:val="22"/>
                <w:szCs w:val="22"/>
                <w:highlight w:val="none"/>
              </w:rPr>
              <w:t>数量</w:t>
            </w:r>
            <w:bookmarkEnd w:id="210"/>
          </w:p>
        </w:tc>
        <w:tc>
          <w:tcPr>
            <w:tcW w:w="1175" w:type="dxa"/>
            <w:noWrap w:val="0"/>
            <w:vAlign w:val="center"/>
          </w:tcPr>
          <w:p w14:paraId="6BA575F7">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11" w:name="_Toc14017"/>
            <w:r>
              <w:rPr>
                <w:rFonts w:hint="eastAsia" w:ascii="宋体" w:hAnsi="宋体" w:eastAsia="宋体" w:cs="宋体"/>
                <w:color w:val="auto"/>
                <w:sz w:val="22"/>
                <w:szCs w:val="22"/>
                <w:highlight w:val="none"/>
              </w:rPr>
              <w:t>单价（元）</w:t>
            </w:r>
            <w:bookmarkEnd w:id="211"/>
          </w:p>
        </w:tc>
        <w:tc>
          <w:tcPr>
            <w:tcW w:w="1620" w:type="dxa"/>
            <w:noWrap w:val="0"/>
            <w:vAlign w:val="center"/>
          </w:tcPr>
          <w:p w14:paraId="3166AD9C">
            <w:pPr>
              <w:pStyle w:val="3"/>
              <w:pageBreakBefore w:val="0"/>
              <w:widowControl w:val="0"/>
              <w:kinsoku/>
              <w:wordWrap/>
              <w:overflowPunct/>
              <w:topLinePunct w:val="0"/>
              <w:autoSpaceDE/>
              <w:autoSpaceDN/>
              <w:bidi w:val="0"/>
              <w:adjustRightInd/>
              <w:snapToGrid/>
              <w:spacing w:before="0" w:after="0" w:line="480" w:lineRule="exact"/>
              <w:ind w:left="0" w:hanging="216" w:hangingChars="98"/>
              <w:jc w:val="center"/>
              <w:textAlignment w:val="auto"/>
              <w:rPr>
                <w:rFonts w:hint="eastAsia" w:ascii="宋体" w:hAnsi="宋体" w:eastAsia="宋体" w:cs="宋体"/>
                <w:color w:val="auto"/>
                <w:sz w:val="22"/>
                <w:szCs w:val="22"/>
                <w:highlight w:val="none"/>
              </w:rPr>
            </w:pPr>
            <w:bookmarkStart w:id="212" w:name="_Toc16513"/>
            <w:r>
              <w:rPr>
                <w:rFonts w:hint="eastAsia" w:ascii="宋体" w:hAnsi="宋体" w:eastAsia="宋体" w:cs="宋体"/>
                <w:color w:val="auto"/>
                <w:sz w:val="22"/>
                <w:szCs w:val="22"/>
                <w:highlight w:val="none"/>
              </w:rPr>
              <w:t>金额 (元)</w:t>
            </w:r>
            <w:bookmarkEnd w:id="212"/>
          </w:p>
        </w:tc>
      </w:tr>
      <w:tr w14:paraId="00560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23229B5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1A9C17C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6309C6D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15A7FF1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4F5E15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882D75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4AD4F45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0CB3988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31B26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4BDD11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38400D2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786C699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3D90931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21EC78A8">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4E84881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2DFA9B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4A6D1A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7F68F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3AA126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6CBAA63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57844909">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4919D81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5DDD1DA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3709228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76B11BFA">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6BFD9C9">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195B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044801B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1362A09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256DA0E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648A5075">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5094FE2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4E69B4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73772A6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9D2D7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0990C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3880DC4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6A187AB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2940CA3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3D304FA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1456FB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87569F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420A11B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6808279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41BCE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416107F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557F88D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7A032D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68FDDE9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2D6AE3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7584A59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2D336DD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C5BB0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301C5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606A852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25346DB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3706A54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750DAFB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4D68C2F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4DFE531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3D913F7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63C60C8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5F269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5214678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53C410A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5BF76C2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4E157C5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6F05D78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6969CAA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3089AD8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3EAE1BD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7EAF3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02D913F8">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center"/>
          </w:tcPr>
          <w:p w14:paraId="4567CA9F">
            <w:pPr>
              <w:pStyle w:val="3"/>
              <w:pageBreakBefore w:val="0"/>
              <w:widowControl w:val="0"/>
              <w:kinsoku/>
              <w:wordWrap/>
              <w:overflowPunct/>
              <w:topLinePunct w:val="0"/>
              <w:autoSpaceDE/>
              <w:autoSpaceDN/>
              <w:bidi w:val="0"/>
              <w:adjustRightInd/>
              <w:snapToGrid/>
              <w:spacing w:before="0" w:after="0" w:line="480" w:lineRule="exact"/>
              <w:ind w:left="0" w:firstLine="325" w:firstLineChars="147"/>
              <w:textAlignment w:val="auto"/>
              <w:rPr>
                <w:rFonts w:hint="eastAsia" w:ascii="宋体" w:hAnsi="宋体" w:eastAsia="宋体" w:cs="宋体"/>
                <w:color w:val="auto"/>
                <w:sz w:val="22"/>
                <w:szCs w:val="22"/>
                <w:highlight w:val="none"/>
              </w:rPr>
            </w:pPr>
            <w:bookmarkStart w:id="213" w:name="_Toc28793"/>
            <w:r>
              <w:rPr>
                <w:rFonts w:hint="eastAsia" w:ascii="宋体" w:hAnsi="宋体" w:eastAsia="宋体" w:cs="宋体"/>
                <w:color w:val="auto"/>
                <w:sz w:val="22"/>
                <w:szCs w:val="22"/>
                <w:highlight w:val="none"/>
              </w:rPr>
              <w:t>合计</w:t>
            </w:r>
            <w:bookmarkEnd w:id="213"/>
          </w:p>
        </w:tc>
        <w:tc>
          <w:tcPr>
            <w:tcW w:w="3834" w:type="dxa"/>
            <w:gridSpan w:val="4"/>
            <w:noWrap w:val="0"/>
            <w:vAlign w:val="center"/>
          </w:tcPr>
          <w:p w14:paraId="6F5BBAFF">
            <w:pPr>
              <w:pStyle w:val="3"/>
              <w:pageBreakBefore w:val="0"/>
              <w:widowControl w:val="0"/>
              <w:kinsoku/>
              <w:wordWrap/>
              <w:overflowPunct/>
              <w:topLinePunct w:val="0"/>
              <w:autoSpaceDE/>
              <w:autoSpaceDN/>
              <w:bidi w:val="0"/>
              <w:adjustRightInd/>
              <w:snapToGrid/>
              <w:spacing w:before="0" w:after="0" w:line="480" w:lineRule="exact"/>
              <w:ind w:left="0"/>
              <w:textAlignment w:val="auto"/>
              <w:rPr>
                <w:rFonts w:hint="eastAsia" w:ascii="宋体" w:hAnsi="宋体" w:eastAsia="宋体" w:cs="宋体"/>
                <w:color w:val="auto"/>
                <w:sz w:val="22"/>
                <w:szCs w:val="22"/>
                <w:highlight w:val="none"/>
              </w:rPr>
            </w:pPr>
            <w:bookmarkStart w:id="214" w:name="_Toc24091"/>
            <w:r>
              <w:rPr>
                <w:rFonts w:hint="eastAsia" w:ascii="宋体" w:hAnsi="宋体" w:eastAsia="宋体" w:cs="宋体"/>
                <w:color w:val="auto"/>
                <w:sz w:val="22"/>
                <w:szCs w:val="22"/>
                <w:highlight w:val="none"/>
              </w:rPr>
              <w:t>大写</w:t>
            </w:r>
            <w:bookmarkEnd w:id="214"/>
          </w:p>
        </w:tc>
        <w:tc>
          <w:tcPr>
            <w:tcW w:w="2795" w:type="dxa"/>
            <w:gridSpan w:val="2"/>
            <w:noWrap w:val="0"/>
            <w:vAlign w:val="center"/>
          </w:tcPr>
          <w:p w14:paraId="701A9DE7">
            <w:pPr>
              <w:pStyle w:val="3"/>
              <w:pageBreakBefore w:val="0"/>
              <w:widowControl w:val="0"/>
              <w:kinsoku/>
              <w:wordWrap/>
              <w:overflowPunct/>
              <w:topLinePunct w:val="0"/>
              <w:autoSpaceDE/>
              <w:autoSpaceDN/>
              <w:bidi w:val="0"/>
              <w:adjustRightInd/>
              <w:snapToGrid/>
              <w:spacing w:before="0" w:after="0" w:line="480" w:lineRule="exact"/>
              <w:ind w:left="0"/>
              <w:textAlignment w:val="auto"/>
              <w:rPr>
                <w:rFonts w:hint="eastAsia" w:ascii="宋体" w:hAnsi="宋体" w:eastAsia="宋体" w:cs="宋体"/>
                <w:color w:val="auto"/>
                <w:sz w:val="22"/>
                <w:szCs w:val="22"/>
                <w:highlight w:val="none"/>
              </w:rPr>
            </w:pPr>
            <w:bookmarkStart w:id="215" w:name="_Toc11528"/>
            <w:r>
              <w:rPr>
                <w:rFonts w:hint="eastAsia" w:ascii="宋体" w:hAnsi="宋体" w:eastAsia="宋体" w:cs="宋体"/>
                <w:color w:val="auto"/>
                <w:sz w:val="22"/>
                <w:szCs w:val="22"/>
                <w:highlight w:val="none"/>
              </w:rPr>
              <w:t>￥</w:t>
            </w:r>
            <w:bookmarkEnd w:id="215"/>
          </w:p>
        </w:tc>
      </w:tr>
    </w:tbl>
    <w:p w14:paraId="082AAEF1">
      <w:pPr>
        <w:pStyle w:val="3"/>
        <w:pageBreakBefore w:val="0"/>
        <w:kinsoku/>
        <w:wordWrap/>
        <w:overflowPunct/>
        <w:topLinePunct w:val="0"/>
        <w:autoSpaceDE/>
        <w:autoSpaceDN/>
        <w:bidi w:val="0"/>
        <w:adjustRightInd/>
        <w:spacing w:before="0" w:after="0" w:line="480" w:lineRule="exact"/>
        <w:ind w:firstLine="602" w:firstLineChars="200"/>
        <w:rPr>
          <w:rFonts w:hint="eastAsia" w:ascii="宋体" w:hAnsi="宋体" w:eastAsia="宋体" w:cs="宋体"/>
          <w:color w:val="auto"/>
          <w:sz w:val="30"/>
          <w:szCs w:val="30"/>
          <w:highlight w:val="none"/>
        </w:rPr>
      </w:pPr>
      <w:bookmarkStart w:id="216" w:name="_Toc1908"/>
      <w:r>
        <w:rPr>
          <w:rFonts w:hint="eastAsia" w:ascii="宋体" w:hAnsi="宋体" w:eastAsia="宋体" w:cs="宋体"/>
          <w:color w:val="auto"/>
          <w:sz w:val="30"/>
          <w:szCs w:val="30"/>
          <w:highlight w:val="none"/>
        </w:rPr>
        <w:t>第二条 合同价款</w:t>
      </w:r>
      <w:bookmarkEnd w:id="216"/>
    </w:p>
    <w:p w14:paraId="761B1B02">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7" w:name="_Toc13956"/>
      <w:r>
        <w:rPr>
          <w:rFonts w:hint="eastAsia" w:ascii="宋体" w:hAnsi="宋体" w:eastAsia="宋体" w:cs="宋体"/>
          <w:b w:val="0"/>
          <w:color w:val="auto"/>
          <w:sz w:val="22"/>
          <w:szCs w:val="22"/>
          <w:highlight w:val="none"/>
        </w:rPr>
        <w:t>1.合同总价：人民币（大写）</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 xml:space="preserve"> 元，（￥</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 xml:space="preserve"> ）。</w:t>
      </w:r>
      <w:bookmarkEnd w:id="217"/>
    </w:p>
    <w:p w14:paraId="0CE29D04">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8" w:name="_Toc29324"/>
      <w:r>
        <w:rPr>
          <w:rFonts w:hint="eastAsia" w:ascii="宋体" w:hAnsi="宋体" w:eastAsia="宋体" w:cs="宋体"/>
          <w:b w:val="0"/>
          <w:color w:val="auto"/>
          <w:sz w:val="22"/>
          <w:szCs w:val="22"/>
          <w:highlight w:val="none"/>
        </w:rPr>
        <w:t>2.本合同总价是货物（产品）设计、材料、制造、包装、运输、验收合格交付使用之前及保修期内保修服务与备用物件等其他有关各项的含税费用。</w:t>
      </w:r>
      <w:bookmarkEnd w:id="218"/>
    </w:p>
    <w:p w14:paraId="0031B22A">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9" w:name="_Toc5696"/>
      <w:r>
        <w:rPr>
          <w:rFonts w:hint="eastAsia" w:ascii="宋体" w:hAnsi="宋体" w:eastAsia="宋体" w:cs="宋体"/>
          <w:b w:val="0"/>
          <w:color w:val="auto"/>
          <w:sz w:val="22"/>
          <w:szCs w:val="22"/>
          <w:highlight w:val="none"/>
        </w:rPr>
        <w:t>3.本合同总价还包含乙方应当提供的伴随服务和售后服务费用。</w:t>
      </w:r>
      <w:bookmarkEnd w:id="219"/>
    </w:p>
    <w:p w14:paraId="55D9709B">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1"/>
          <w:szCs w:val="21"/>
          <w:highlight w:val="none"/>
        </w:rPr>
      </w:pPr>
      <w:bookmarkStart w:id="220" w:name="_Toc18794"/>
      <w:r>
        <w:rPr>
          <w:rFonts w:hint="eastAsia" w:ascii="宋体" w:hAnsi="宋体" w:eastAsia="宋体" w:cs="宋体"/>
          <w:b w:val="0"/>
          <w:color w:val="auto"/>
          <w:sz w:val="22"/>
          <w:szCs w:val="22"/>
          <w:highlight w:val="none"/>
        </w:rPr>
        <w:t>4.本合同执行期间合同总价不变，甲方无须另向乙方支付本合同规定之外的其他任何费用。</w:t>
      </w:r>
      <w:bookmarkEnd w:id="220"/>
    </w:p>
    <w:p w14:paraId="798BBB89">
      <w:pPr>
        <w:pStyle w:val="3"/>
        <w:pageBreakBefore w:val="0"/>
        <w:kinsoku/>
        <w:wordWrap/>
        <w:overflowPunct/>
        <w:topLinePunct w:val="0"/>
        <w:autoSpaceDE/>
        <w:autoSpaceDN/>
        <w:bidi w:val="0"/>
        <w:adjustRightInd/>
        <w:spacing w:before="0" w:after="0" w:line="480" w:lineRule="exact"/>
        <w:ind w:firstLine="602" w:firstLineChars="200"/>
        <w:rPr>
          <w:rFonts w:hint="eastAsia" w:ascii="宋体" w:hAnsi="宋体" w:eastAsia="宋体" w:cs="宋体"/>
          <w:color w:val="auto"/>
          <w:sz w:val="30"/>
          <w:szCs w:val="30"/>
          <w:highlight w:val="none"/>
        </w:rPr>
      </w:pPr>
      <w:bookmarkStart w:id="221" w:name="_Toc9225"/>
      <w:r>
        <w:rPr>
          <w:rFonts w:hint="eastAsia" w:ascii="宋体" w:hAnsi="宋体" w:eastAsia="宋体" w:cs="宋体"/>
          <w:color w:val="auto"/>
          <w:sz w:val="30"/>
          <w:szCs w:val="30"/>
          <w:highlight w:val="none"/>
        </w:rPr>
        <w:t>第三条 货款支付</w:t>
      </w:r>
      <w:bookmarkEnd w:id="221"/>
    </w:p>
    <w:p w14:paraId="3ED00A5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1.货物（产品）按下列比例支付价款：</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p>
    <w:p w14:paraId="7235508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2.乙方须向甲方出具合法有效的完税发票，甲方进行支付结算。</w:t>
      </w:r>
    </w:p>
    <w:p w14:paraId="6E3EAF07">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3.结算方式：银行转账。</w:t>
      </w:r>
    </w:p>
    <w:p w14:paraId="201EDC84">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2" w:name="_Toc2826"/>
      <w:r>
        <w:rPr>
          <w:rFonts w:hint="eastAsia" w:ascii="宋体" w:hAnsi="宋体" w:eastAsia="宋体" w:cs="宋体"/>
          <w:b/>
          <w:color w:val="auto"/>
          <w:sz w:val="30"/>
          <w:szCs w:val="30"/>
          <w:highlight w:val="none"/>
        </w:rPr>
        <w:t>第四条 交货时间与地点</w:t>
      </w:r>
      <w:bookmarkEnd w:id="222"/>
    </w:p>
    <w:p w14:paraId="7B2E40E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乙方在合同签订生效之日起，按甲方指定时间、地点交货。</w:t>
      </w:r>
    </w:p>
    <w:p w14:paraId="4AAAE441">
      <w:pPr>
        <w:pStyle w:val="39"/>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合同履行期限：</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p>
    <w:p w14:paraId="73D1CA6A">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2.交货地点：甲方指定地点</w:t>
      </w:r>
      <w:r>
        <w:rPr>
          <w:rFonts w:hint="eastAsia" w:ascii="宋体" w:hAnsi="宋体" w:eastAsia="宋体" w:cs="宋体"/>
          <w:color w:val="auto"/>
          <w:sz w:val="22"/>
          <w:szCs w:val="22"/>
          <w:highlight w:val="none"/>
          <w:lang w:eastAsia="zh-CN"/>
        </w:rPr>
        <w:t>。</w:t>
      </w:r>
    </w:p>
    <w:p w14:paraId="481CA439">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3" w:name="_Toc14297"/>
      <w:r>
        <w:rPr>
          <w:rFonts w:hint="eastAsia" w:ascii="宋体" w:hAnsi="宋体" w:eastAsia="宋体" w:cs="宋体"/>
          <w:b/>
          <w:color w:val="auto"/>
          <w:sz w:val="30"/>
          <w:szCs w:val="30"/>
          <w:highlight w:val="none"/>
        </w:rPr>
        <w:t>第五条 质量保证</w:t>
      </w:r>
      <w:bookmarkEnd w:id="223"/>
    </w:p>
    <w:p w14:paraId="442D75EE">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1.乙方须提供全新的、未使用过的合格正品货物（含零部件、配件等），完全符合合同规定的质量、规格和性能的要求。</w:t>
      </w:r>
    </w:p>
    <w:p w14:paraId="37DC1CC7">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2.乙方提供的节能和环保产品必须是列入节能、环保标志产品品目清单中的产品。</w:t>
      </w:r>
    </w:p>
    <w:p w14:paraId="3751AA5C">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3.质量标准按照最新颁布的国家标准、行业标准或制造商企业标准确定，上述标准不一致的，以严格标准为准。</w:t>
      </w:r>
    </w:p>
    <w:p w14:paraId="144DCEB4">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4.货物制造质量出现问题，乙方应负责三包（包修、包换、包退），费用由乙方负担，甲方有权到乙方生产场地检查货物质量和生产进度。</w:t>
      </w:r>
    </w:p>
    <w:p w14:paraId="23C9EDB7">
      <w:pPr>
        <w:pStyle w:val="39"/>
        <w:pageBreakBefore w:val="0"/>
        <w:kinsoku/>
        <w:wordWrap/>
        <w:overflowPunct/>
        <w:topLinePunct w:val="0"/>
        <w:autoSpaceDE/>
        <w:autoSpaceDN/>
        <w:bidi w:val="0"/>
        <w:adjustRightInd/>
        <w:spacing w:line="480" w:lineRule="exact"/>
        <w:ind w:firstLine="602"/>
        <w:outlineLvl w:val="1"/>
        <w:rPr>
          <w:rFonts w:hint="eastAsia" w:ascii="宋体" w:hAnsi="宋体" w:eastAsia="宋体" w:cs="宋体"/>
          <w:b/>
          <w:color w:val="auto"/>
          <w:sz w:val="30"/>
          <w:szCs w:val="30"/>
          <w:highlight w:val="none"/>
        </w:rPr>
      </w:pPr>
      <w:bookmarkStart w:id="224" w:name="_Toc30883"/>
      <w:r>
        <w:rPr>
          <w:rFonts w:hint="eastAsia" w:ascii="宋体" w:hAnsi="宋体" w:eastAsia="宋体" w:cs="宋体"/>
          <w:b/>
          <w:color w:val="auto"/>
          <w:sz w:val="30"/>
          <w:szCs w:val="30"/>
          <w:highlight w:val="none"/>
        </w:rPr>
        <w:t>第六条 权利保证</w:t>
      </w:r>
      <w:bookmarkEnd w:id="224"/>
    </w:p>
    <w:p w14:paraId="3D5D639A">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1.乙方保证对其出售的货物享有合法的权利。</w:t>
      </w:r>
    </w:p>
    <w:p w14:paraId="7EBD9DED">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2.乙方保证对其出售的货物上不存在任何未曾向甲方透露的担保物权，如抵押权、质押权、留置权。</w:t>
      </w:r>
    </w:p>
    <w:p w14:paraId="04C3C7D6">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3.乙方保证对其出售的货物或其任何一部分没有侵犯第三方的专利权、版权、商标权或其他权利。</w:t>
      </w:r>
    </w:p>
    <w:p w14:paraId="3DAE0983">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4.如甲方在使用该货物构成上述侵权的，则由乙方承担全部责任。</w:t>
      </w:r>
    </w:p>
    <w:p w14:paraId="4B7BAD3A">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color w:val="auto"/>
          <w:sz w:val="30"/>
          <w:szCs w:val="30"/>
          <w:highlight w:val="none"/>
        </w:rPr>
      </w:pPr>
      <w:bookmarkStart w:id="225" w:name="_Toc23187"/>
      <w:r>
        <w:rPr>
          <w:rFonts w:hint="eastAsia" w:ascii="宋体" w:hAnsi="宋体" w:eastAsia="宋体" w:cs="宋体"/>
          <w:b/>
          <w:color w:val="auto"/>
          <w:sz w:val="30"/>
          <w:szCs w:val="30"/>
          <w:highlight w:val="none"/>
        </w:rPr>
        <w:t>第七条 包装要求与运输方式</w:t>
      </w:r>
      <w:bookmarkEnd w:id="225"/>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p>
    <w:p w14:paraId="347D4834">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1.除合同另有规定外，乙方提供的全部货物均应按标准保护措施进行包装，该包装应适应于远距离运输、防潮、防震、防锈和防野蛮装卸，以确保货物安全运抵指定地点。</w:t>
      </w:r>
    </w:p>
    <w:p w14:paraId="1150119D">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2.每一包装单元应附详细的装箱单和质量合格证。</w:t>
      </w:r>
    </w:p>
    <w:p w14:paraId="268E0D32">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3.货物（产品）运输方式：             。</w:t>
      </w:r>
    </w:p>
    <w:p w14:paraId="64B842D3">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4.乙方负责货物（产品）运输，货物运输的合理损耗及计算方法。</w:t>
      </w:r>
    </w:p>
    <w:p w14:paraId="5A4ECE74">
      <w:pPr>
        <w:pStyle w:val="39"/>
        <w:pageBreakBefore w:val="0"/>
        <w:kinsoku/>
        <w:wordWrap/>
        <w:overflowPunct/>
        <w:topLinePunct w:val="0"/>
        <w:autoSpaceDE/>
        <w:autoSpaceDN/>
        <w:bidi w:val="0"/>
        <w:adjustRightInd/>
        <w:spacing w:line="480" w:lineRule="exact"/>
        <w:ind w:firstLine="349" w:firstLineChars="116"/>
        <w:outlineLvl w:val="1"/>
        <w:rPr>
          <w:rFonts w:hint="eastAsia" w:ascii="宋体" w:hAnsi="宋体" w:eastAsia="宋体" w:cs="宋体"/>
          <w:color w:val="auto"/>
          <w:sz w:val="30"/>
          <w:szCs w:val="30"/>
          <w:highlight w:val="none"/>
        </w:rPr>
      </w:pPr>
      <w:bookmarkStart w:id="226" w:name="_Toc6663"/>
      <w:r>
        <w:rPr>
          <w:rFonts w:hint="eastAsia" w:ascii="宋体" w:hAnsi="宋体" w:eastAsia="宋体" w:cs="宋体"/>
          <w:b/>
          <w:color w:val="auto"/>
          <w:sz w:val="30"/>
          <w:szCs w:val="30"/>
          <w:highlight w:val="none"/>
        </w:rPr>
        <w:t>第八条 货物验收</w:t>
      </w:r>
      <w:bookmarkEnd w:id="226"/>
    </w:p>
    <w:p w14:paraId="299533F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1.货物验收由甲方组织，乙方配合，并按下列程序进行：</w:t>
      </w:r>
    </w:p>
    <w:p w14:paraId="2880533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交货验收时，乙方须提供质检部门产品抽样检查合格的检测报告（或生产厂家自检报告）及所提供货物（产品）的合格证、装箱清单、配件、随机工具、用户使用手册（产品使用说明书）、保修卡等资料交付给甲方；</w:t>
      </w:r>
    </w:p>
    <w:p w14:paraId="1AA3735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（2）到货验收 ：货物到达后，按合同第一条款的货物清单和装箱单经行逐一核对，同时检查货物外观，是否有划痕或破损的，并做好相应记录；</w:t>
      </w:r>
    </w:p>
    <w:p w14:paraId="3EC5D655">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（3）货物初验：乙方应在货物到货之日起，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日内全部完成</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日内完成初步验收；初步验收合格后，进入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日试用期；试用期间发生重大质量问题，修复后试用期相应顺延；</w:t>
      </w:r>
    </w:p>
    <w:p w14:paraId="711DAB43">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（4）货物终验：试用期结束后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日内完成最终验收；</w:t>
      </w:r>
    </w:p>
    <w:p w14:paraId="4A29DDFC">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（5）质量验收合格，双方签署质量验收报告。</w:t>
      </w:r>
    </w:p>
    <w:p w14:paraId="3ED0C204">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2.货物验收依据：</w:t>
      </w:r>
    </w:p>
    <w:p w14:paraId="49057EDD">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（1）招标文件；</w:t>
      </w:r>
    </w:p>
    <w:p w14:paraId="711E4A87">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w:t>
      </w:r>
    </w:p>
    <w:p w14:paraId="036A0FE3">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（3）采购合同及补充协议；</w:t>
      </w:r>
    </w:p>
    <w:p w14:paraId="786BE537">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（4）质检部门抽样检查货物（产品）合格的检测报告。</w:t>
      </w:r>
    </w:p>
    <w:p w14:paraId="151703DC">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3.货物验收时发现问题的处理办法：</w:t>
      </w:r>
    </w:p>
    <w:p w14:paraId="6C93D702">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（1）乙方提供不符合招标文件和本合同规定的货物（产品），甲方有权拒绝接受；</w:t>
      </w:r>
    </w:p>
    <w:p w14:paraId="287AD4BF">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2C348598">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（3）如货物经乙方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次维修仍不能达到合同约定的质量标准，甲方有权退货，并视作乙方不能交付货物而须支付违约赔偿金给甲方，甲方还可依法追究乙方的违约责任； </w:t>
      </w:r>
    </w:p>
    <w:p w14:paraId="613103ED">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完成后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日内，甲方无故不进行验收工作并已使用货物的，视同已</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完成并验收合格；</w:t>
      </w:r>
    </w:p>
    <w:p w14:paraId="302B7795">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（5）乙方不能完整交付货物及本条第一款规定的单证和工具的，必须负责补齐，否则视为未按合同约定交货；</w:t>
      </w:r>
    </w:p>
    <w:p w14:paraId="72AD3BA1">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（6）超出合理磅差的处理方法：</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2E76BBF">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7" w:name="_Toc30032"/>
      <w:r>
        <w:rPr>
          <w:rFonts w:hint="eastAsia" w:ascii="宋体" w:hAnsi="宋体" w:eastAsia="宋体" w:cs="宋体"/>
          <w:b/>
          <w:color w:val="auto"/>
          <w:sz w:val="30"/>
          <w:szCs w:val="30"/>
          <w:highlight w:val="none"/>
        </w:rPr>
        <w:t>第九条 售后服务</w:t>
      </w:r>
      <w:bookmarkEnd w:id="227"/>
    </w:p>
    <w:p w14:paraId="33598FD1">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质保期</w:t>
      </w:r>
      <w:r>
        <w:rPr>
          <w:rFonts w:hint="eastAsia" w:ascii="宋体" w:hAnsi="宋体" w:eastAsia="宋体" w:cs="宋体"/>
          <w:i/>
          <w:iCs/>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年。乙方应按照国家有关法律法规和“三包”规定以及招标文件要求和投标文件的“服务承诺”提供服务。</w:t>
      </w:r>
    </w:p>
    <w:p w14:paraId="079400CF">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8" w:name="_Toc31285"/>
      <w:r>
        <w:rPr>
          <w:rFonts w:hint="eastAsia" w:ascii="宋体" w:hAnsi="宋体" w:eastAsia="宋体" w:cs="宋体"/>
          <w:b/>
          <w:color w:val="auto"/>
          <w:kern w:val="0"/>
          <w:sz w:val="30"/>
          <w:szCs w:val="30"/>
          <w:highlight w:val="none"/>
        </w:rPr>
        <w:t xml:space="preserve">第十条 </w:t>
      </w:r>
      <w:r>
        <w:rPr>
          <w:rFonts w:hint="eastAsia" w:ascii="宋体" w:hAnsi="宋体" w:eastAsia="宋体" w:cs="宋体"/>
          <w:b/>
          <w:color w:val="auto"/>
          <w:sz w:val="30"/>
          <w:szCs w:val="30"/>
          <w:highlight w:val="none"/>
        </w:rPr>
        <w:t>履约保证金</w:t>
      </w:r>
      <w:bookmarkEnd w:id="228"/>
    </w:p>
    <w:p w14:paraId="64FE1CD2">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1.乙方在签订本合同之前，向甲方提交履约保证金人民币（大写）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元，￥</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18D623D4">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2.履约保证金的有效期为乙方承诺的货物（产品）质保期。</w:t>
      </w:r>
    </w:p>
    <w:p w14:paraId="4FB8131C">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3.如乙方未能履行合同规定的义务，甲方有权从履约保证金中取得补偿。</w:t>
      </w:r>
    </w:p>
    <w:p w14:paraId="299F05FE">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sz w:val="22"/>
          <w:szCs w:val="22"/>
          <w:highlight w:val="none"/>
        </w:rPr>
        <w:t>货物（产品）质保期结束后，甲方财务部门接到甲方确认本合同货物质量与服务等约定事项已经履行完毕的正式书面文件后的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日内，向乙方退还履约保证金。</w:t>
      </w:r>
    </w:p>
    <w:p w14:paraId="015BCB65">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5.乙方可以履约担保函的形式交纳履约保证金（格式见附件1）。</w:t>
      </w:r>
    </w:p>
    <w:p w14:paraId="3237FF74">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color w:val="auto"/>
          <w:sz w:val="30"/>
          <w:szCs w:val="30"/>
          <w:highlight w:val="none"/>
        </w:rPr>
      </w:pPr>
      <w:bookmarkStart w:id="229" w:name="_Toc15414"/>
      <w:r>
        <w:rPr>
          <w:rFonts w:hint="eastAsia" w:ascii="宋体" w:hAnsi="宋体" w:eastAsia="宋体" w:cs="宋体"/>
          <w:b/>
          <w:color w:val="auto"/>
          <w:sz w:val="30"/>
          <w:szCs w:val="30"/>
          <w:highlight w:val="none"/>
        </w:rPr>
        <w:t>第十一条 违约责任</w:t>
      </w:r>
      <w:bookmarkEnd w:id="229"/>
    </w:p>
    <w:p w14:paraId="6136A2E6">
      <w:pPr>
        <w:pStyle w:val="39"/>
        <w:pageBreakBefore w:val="0"/>
        <w:kinsoku/>
        <w:wordWrap/>
        <w:overflowPunct/>
        <w:topLinePunct w:val="0"/>
        <w:autoSpaceDE/>
        <w:autoSpaceDN/>
        <w:bidi w:val="0"/>
        <w:adjustRightInd/>
        <w:spacing w:line="48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1.甲方违约责任</w:t>
      </w:r>
    </w:p>
    <w:p w14:paraId="503C5E76">
      <w:pPr>
        <w:pStyle w:val="39"/>
        <w:pageBreakBefore w:val="0"/>
        <w:kinsoku/>
        <w:wordWrap/>
        <w:overflowPunct/>
        <w:topLinePunct w:val="0"/>
        <w:autoSpaceDE/>
        <w:autoSpaceDN/>
        <w:bidi w:val="0"/>
        <w:adjustRightInd/>
        <w:spacing w:line="480" w:lineRule="exact"/>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（1）甲方无正当理由拒收货物的，甲方应偿付合同总价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%的违约金；</w:t>
      </w:r>
    </w:p>
    <w:p w14:paraId="3BFD19C4">
      <w:pPr>
        <w:pStyle w:val="39"/>
        <w:pageBreakBefore w:val="0"/>
        <w:kinsoku/>
        <w:wordWrap/>
        <w:overflowPunct/>
        <w:topLinePunct w:val="0"/>
        <w:autoSpaceDE/>
        <w:autoSpaceDN/>
        <w:bidi w:val="0"/>
        <w:adjustRightInd/>
        <w:spacing w:line="480" w:lineRule="exact"/>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（2）甲方逾期支付货款的，除应及时付足货款外，应向乙方每天支付欠款总额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‰的滞纳金；但累计滞纳金总额不超过欠款总额的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A01BA44">
      <w:pPr>
        <w:pStyle w:val="39"/>
        <w:pageBreakBefore w:val="0"/>
        <w:kinsoku/>
        <w:wordWrap/>
        <w:overflowPunct/>
        <w:topLinePunct w:val="0"/>
        <w:autoSpaceDE/>
        <w:autoSpaceDN/>
        <w:bidi w:val="0"/>
        <w:adjustRightInd/>
        <w:spacing w:line="48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2.乙方违约责任</w:t>
      </w:r>
    </w:p>
    <w:p w14:paraId="0F6DE91E">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（1）如乙方不能交付货物，甲方有权扣留全部履约保证金；同时乙方应向甲方支付合同总价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％的违约金；</w:t>
      </w:r>
    </w:p>
    <w:p w14:paraId="2612334D">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（2）乙方逾期交付货物的，每逾期1天，乙方向甲方偿付逾期交货部分货款总额的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‰的滞纳金。如乙方逾期交货达___天，甲方有权解除合同，解除合同的通知自到达乙方时生效；</w:t>
      </w:r>
    </w:p>
    <w:p w14:paraId="7C8FEA95">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（3）乙方所交付的货物品种、型号、规格不符合合同规定的，甲方有权拒收。甲方拒收的，乙方应向甲方支付货款总额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%的违约金；</w:t>
      </w:r>
    </w:p>
    <w:p w14:paraId="1A5B9F86">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天内无条件更换合格的货物，如逾期不能更换合格的货物，甲方有权终止本合同，乙方应另向甲方支付货款总额的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%的违约金；</w:t>
      </w:r>
    </w:p>
    <w:p w14:paraId="0B08F7F5">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60B48693">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（6）乙方未按本合同第十条的规定向甲方交付履约保证金的，应按应交付履约保证金的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%向甲方支付违约金，该违约金的支付不影响乙方应承担的其他违约责任；</w:t>
      </w:r>
    </w:p>
    <w:p w14:paraId="20D85ACB">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（7）乙方未按本合同的规定和“服务承诺”提供伴随服务/售后服务的，应按合同总价款的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%向甲方承担违约责任；</w:t>
      </w:r>
    </w:p>
    <w:p w14:paraId="2A59BC5A">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748BD9B0">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（9）乙方偿付的违约金不足以弥补甲方损失的，还应按甲方损失尚未弥补的部分，支付赔偿金给甲方。</w:t>
      </w:r>
    </w:p>
    <w:p w14:paraId="115BB0DA">
      <w:pPr>
        <w:pageBreakBefore w:val="0"/>
        <w:widowControl/>
        <w:kinsoku/>
        <w:wordWrap/>
        <w:overflowPunct/>
        <w:topLinePunct w:val="0"/>
        <w:autoSpaceDE/>
        <w:autoSpaceDN/>
        <w:bidi w:val="0"/>
        <w:adjustRightInd/>
        <w:spacing w:line="480" w:lineRule="exact"/>
        <w:ind w:firstLine="452" w:firstLineChars="150"/>
        <w:jc w:val="left"/>
        <w:outlineLvl w:val="1"/>
        <w:rPr>
          <w:rFonts w:hint="eastAsia" w:ascii="宋体" w:hAnsi="宋体" w:eastAsia="宋体" w:cs="宋体"/>
          <w:color w:val="auto"/>
          <w:kern w:val="0"/>
          <w:sz w:val="30"/>
          <w:szCs w:val="30"/>
          <w:highlight w:val="none"/>
        </w:rPr>
      </w:pPr>
      <w:bookmarkStart w:id="230" w:name="_Toc1366"/>
      <w:r>
        <w:rPr>
          <w:rFonts w:hint="eastAsia" w:ascii="宋体" w:hAnsi="宋体" w:eastAsia="宋体" w:cs="宋体"/>
          <w:b/>
          <w:color w:val="auto"/>
          <w:sz w:val="30"/>
          <w:szCs w:val="30"/>
          <w:highlight w:val="none"/>
        </w:rPr>
        <w:t xml:space="preserve">第十二条 </w:t>
      </w:r>
      <w:r>
        <w:rPr>
          <w:rFonts w:hint="eastAsia" w:ascii="宋体" w:hAnsi="宋体" w:eastAsia="宋体" w:cs="宋体"/>
          <w:b/>
          <w:color w:val="auto"/>
          <w:kern w:val="0"/>
          <w:sz w:val="30"/>
          <w:szCs w:val="30"/>
          <w:highlight w:val="none"/>
        </w:rPr>
        <w:t>合同的变更和终止</w:t>
      </w:r>
      <w:bookmarkEnd w:id="230"/>
    </w:p>
    <w:p w14:paraId="3B745FED">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除《中华人民共和国政府采购法》第49条、第50条第二款规定的情形外，本合同一经签订，甲乙双方不得擅自变更、中止或终止合同。</w:t>
      </w:r>
    </w:p>
    <w:p w14:paraId="5D098C20">
      <w:pPr>
        <w:pageBreakBefore w:val="0"/>
        <w:widowControl/>
        <w:kinsoku/>
        <w:wordWrap/>
        <w:overflowPunct/>
        <w:topLinePunct w:val="0"/>
        <w:autoSpaceDE/>
        <w:autoSpaceDN/>
        <w:bidi w:val="0"/>
        <w:adjustRightInd/>
        <w:spacing w:line="480" w:lineRule="exact"/>
        <w:ind w:firstLine="452" w:firstLineChars="150"/>
        <w:jc w:val="left"/>
        <w:outlineLvl w:val="1"/>
        <w:rPr>
          <w:rFonts w:hint="eastAsia" w:ascii="宋体" w:hAnsi="宋体" w:eastAsia="宋体" w:cs="宋体"/>
          <w:b/>
          <w:color w:val="auto"/>
          <w:kern w:val="0"/>
          <w:sz w:val="30"/>
          <w:szCs w:val="30"/>
          <w:highlight w:val="none"/>
        </w:rPr>
      </w:pPr>
      <w:bookmarkStart w:id="231" w:name="_Toc14585"/>
      <w:r>
        <w:rPr>
          <w:rFonts w:hint="eastAsia" w:ascii="宋体" w:hAnsi="宋体" w:eastAsia="宋体" w:cs="宋体"/>
          <w:b/>
          <w:color w:val="auto"/>
          <w:kern w:val="0"/>
          <w:sz w:val="30"/>
          <w:szCs w:val="30"/>
          <w:highlight w:val="none"/>
        </w:rPr>
        <w:t>第十三条 争议的解决</w:t>
      </w:r>
      <w:bookmarkEnd w:id="231"/>
    </w:p>
    <w:p w14:paraId="4188D141">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1.因货物的质量问题发生争议，由质量技术监督部门或其指定的质量鉴定机构进行质量鉴定。货物符合标准的，鉴定费由甲方承担；货物不符合质量标准的，鉴定费由乙方承担。</w:t>
      </w:r>
    </w:p>
    <w:p w14:paraId="7A6792AF">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2.因履行本合同引起的或与本合同有关的争议，甲、乙双方应首先通过友好协商解决，如果协商不成，则采取以下第（1）种方式解决争议：</w:t>
      </w:r>
    </w:p>
    <w:p w14:paraId="15A82FA5">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（1）向甲方所在地有管辖权的人民法院提起诉讼；</w:t>
      </w:r>
    </w:p>
    <w:p w14:paraId="59F96C78">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3.在仲裁期间，本合同应继续履行。</w:t>
      </w:r>
    </w:p>
    <w:p w14:paraId="7E245099">
      <w:pPr>
        <w:pageBreakBefore w:val="0"/>
        <w:kinsoku/>
        <w:wordWrap/>
        <w:overflowPunct/>
        <w:topLinePunct w:val="0"/>
        <w:autoSpaceDE/>
        <w:autoSpaceDN/>
        <w:bidi w:val="0"/>
        <w:adjustRightInd/>
        <w:snapToGrid w:val="0"/>
        <w:spacing w:line="480" w:lineRule="exact"/>
        <w:ind w:firstLine="602" w:firstLineChars="200"/>
        <w:textAlignment w:val="baseline"/>
        <w:outlineLvl w:val="1"/>
        <w:rPr>
          <w:rFonts w:hint="eastAsia" w:ascii="宋体" w:hAnsi="宋体" w:eastAsia="宋体" w:cs="宋体"/>
          <w:b/>
          <w:color w:val="auto"/>
          <w:sz w:val="30"/>
          <w:szCs w:val="30"/>
          <w:highlight w:val="none"/>
        </w:rPr>
      </w:pPr>
      <w:bookmarkStart w:id="232" w:name="_Toc31673"/>
      <w:r>
        <w:rPr>
          <w:rFonts w:hint="eastAsia" w:ascii="宋体" w:hAnsi="宋体" w:eastAsia="宋体" w:cs="宋体"/>
          <w:b/>
          <w:color w:val="auto"/>
          <w:sz w:val="30"/>
          <w:szCs w:val="30"/>
          <w:highlight w:val="none"/>
        </w:rPr>
        <w:t>第十四条</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合同文件</w:t>
      </w:r>
      <w:bookmarkEnd w:id="232"/>
    </w:p>
    <w:p w14:paraId="40F419BC">
      <w:pPr>
        <w:pageBreakBefore w:val="0"/>
        <w:kinsoku/>
        <w:wordWrap/>
        <w:overflowPunct/>
        <w:topLinePunct w:val="0"/>
        <w:autoSpaceDE/>
        <w:autoSpaceDN/>
        <w:bidi w:val="0"/>
        <w:adjustRightInd/>
        <w:snapToGrid w:val="0"/>
        <w:spacing w:line="48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14:paraId="1F5A59CD">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1.本合同书</w:t>
      </w:r>
    </w:p>
    <w:p w14:paraId="017201F5">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r>
        <w:rPr>
          <w:rFonts w:hint="eastAsia" w:ascii="宋体" w:hAnsi="宋体" w:eastAsia="宋体" w:cs="宋体"/>
          <w:color w:val="auto"/>
          <w:sz w:val="22"/>
          <w:szCs w:val="22"/>
          <w:highlight w:val="none"/>
        </w:rPr>
        <w:tab/>
      </w:r>
    </w:p>
    <w:p w14:paraId="54B0A250">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3.协议</w:t>
      </w:r>
    </w:p>
    <w:p w14:paraId="0A7C5835">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4.招标文件(含澄清或者修改文件)</w:t>
      </w:r>
    </w:p>
    <w:p w14:paraId="5E303594">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5.投标文件</w:t>
      </w:r>
    </w:p>
    <w:p w14:paraId="3AC1DD92">
      <w:pPr>
        <w:pageBreakBefore w:val="0"/>
        <w:kinsoku/>
        <w:wordWrap/>
        <w:overflowPunct/>
        <w:topLinePunct w:val="0"/>
        <w:autoSpaceDE/>
        <w:autoSpaceDN/>
        <w:bidi w:val="0"/>
        <w:adjustRightInd/>
        <w:snapToGrid w:val="0"/>
        <w:spacing w:line="480" w:lineRule="exact"/>
        <w:ind w:firstLine="452" w:firstLineChars="150"/>
        <w:outlineLvl w:val="1"/>
        <w:rPr>
          <w:rFonts w:hint="eastAsia" w:ascii="宋体" w:hAnsi="宋体" w:eastAsia="宋体" w:cs="宋体"/>
          <w:b/>
          <w:color w:val="auto"/>
          <w:kern w:val="0"/>
          <w:sz w:val="30"/>
          <w:szCs w:val="30"/>
          <w:highlight w:val="none"/>
        </w:rPr>
      </w:pPr>
      <w:bookmarkStart w:id="233" w:name="_Toc14963"/>
      <w:r>
        <w:rPr>
          <w:rFonts w:hint="eastAsia" w:ascii="宋体" w:hAnsi="宋体" w:eastAsia="宋体" w:cs="宋体"/>
          <w:b/>
          <w:color w:val="auto"/>
          <w:sz w:val="30"/>
          <w:szCs w:val="30"/>
          <w:highlight w:val="none"/>
        </w:rPr>
        <w:t xml:space="preserve">第十五条 </w:t>
      </w:r>
      <w:r>
        <w:rPr>
          <w:rFonts w:hint="eastAsia" w:ascii="宋体" w:hAnsi="宋体" w:eastAsia="宋体" w:cs="宋体"/>
          <w:b/>
          <w:color w:val="auto"/>
          <w:kern w:val="0"/>
          <w:sz w:val="30"/>
          <w:szCs w:val="30"/>
          <w:highlight w:val="none"/>
        </w:rPr>
        <w:t>合同生效及其他</w:t>
      </w:r>
      <w:bookmarkEnd w:id="233"/>
    </w:p>
    <w:p w14:paraId="31A0E27A">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rPr>
        <w:t>如有未尽事宜，由双方依法订立补充合同。</w:t>
      </w:r>
    </w:p>
    <w:p w14:paraId="39EEF012">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2.本合同自签订之日起生效。</w:t>
      </w:r>
    </w:p>
    <w:p w14:paraId="55D16A11">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3.本合同一式___份，具有同等法律效力，甲乙双方各执____份，___份报送监督管理部门备案，一份采购代理机构存档。</w:t>
      </w:r>
    </w:p>
    <w:p w14:paraId="4DFCBBC4">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   （盖章）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   （盖章）</w:t>
      </w:r>
    </w:p>
    <w:p w14:paraId="7A720BE7">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法定代表人/委托代理人：            法定代表人/委托代理人：</w:t>
      </w:r>
    </w:p>
    <w:p w14:paraId="2688B86F">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                         地    址：</w:t>
      </w:r>
    </w:p>
    <w:p w14:paraId="7312CC53">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14:paraId="63519572">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                         账    号：</w:t>
      </w:r>
    </w:p>
    <w:p w14:paraId="12E68497">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                         电    话：</w:t>
      </w:r>
    </w:p>
    <w:p w14:paraId="61FB01C4">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                         传    真：</w:t>
      </w:r>
    </w:p>
    <w:p w14:paraId="6C2C154E">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签约日期：    年  月  日           签约日期：    年  月  日</w:t>
      </w:r>
    </w:p>
    <w:p w14:paraId="0B4F3E63">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5BCAE4E1">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620B5B7A">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6F1AC8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附件1：</w:t>
      </w:r>
    </w:p>
    <w:p w14:paraId="413B98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采购履约担保函</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仅供参考</w:t>
      </w:r>
      <w:r>
        <w:rPr>
          <w:rFonts w:hint="eastAsia" w:ascii="宋体" w:hAnsi="宋体" w:eastAsia="宋体" w:cs="宋体"/>
          <w:b/>
          <w:color w:val="auto"/>
          <w:sz w:val="30"/>
          <w:szCs w:val="30"/>
          <w:highlight w:val="none"/>
          <w:lang w:eastAsia="zh-CN"/>
        </w:rPr>
        <w:t>）</w:t>
      </w:r>
    </w:p>
    <w:p w14:paraId="70437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8"/>
          <w:highlight w:val="none"/>
        </w:rPr>
      </w:pPr>
    </w:p>
    <w:p w14:paraId="43BA4CDD">
      <w:pPr>
        <w:keepNext w:val="0"/>
        <w:keepLines w:val="0"/>
        <w:pageBreakBefore w:val="0"/>
        <w:widowControl w:val="0"/>
        <w:kinsoku/>
        <w:wordWrap/>
        <w:overflowPunct/>
        <w:topLinePunct w:val="0"/>
        <w:autoSpaceDE/>
        <w:autoSpaceDN/>
        <w:bidi w:val="0"/>
        <w:adjustRightInd/>
        <w:snapToGrid/>
        <w:spacing w:line="480" w:lineRule="exact"/>
        <w:ind w:firstLine="6930" w:firstLineChars="3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编号：</w:t>
      </w:r>
    </w:p>
    <w:p w14:paraId="23312A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672552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587026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001222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鉴于你方与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（以下简称中标人）于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日签定编号为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采购合同》（以下简称主合同），且依据该合同的约定，中标人应在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日前向你方交纳履约保证金，且可以履约担保函的形式交纳履约保证金。应中标人的申请，我方以保证的方式向你方提供如下履约保证金担保：</w:t>
      </w:r>
    </w:p>
    <w:p w14:paraId="06E4717F">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一、保证责任的情形及保证金额</w:t>
      </w:r>
    </w:p>
    <w:p w14:paraId="6B4E1ED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（一）在中标人出现下列情形之一时，我方承担保证责任：</w:t>
      </w:r>
    </w:p>
    <w:p w14:paraId="10DC94D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1.将中标项目转让给他人，或者在投标文件中未说明，且未经采购招标机构人同意，将中标项目分包给他人的；</w:t>
      </w:r>
    </w:p>
    <w:p w14:paraId="3A7341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2.主合同约定的应当缴纳履约保证金的情形: </w:t>
      </w:r>
    </w:p>
    <w:p w14:paraId="7F7074A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（1）未按主合同约定的质量、数量和期限供应货物/提供服务/完成工程的；</w:t>
      </w:r>
    </w:p>
    <w:p w14:paraId="618C7B4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B96B3D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（二）我方的保证范围是主合同约定的合同价款总额的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%数额为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），币种为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。（即主合同履约保证金金额）</w:t>
      </w:r>
    </w:p>
    <w:p w14:paraId="2BCEBBA3">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二、保证的方式及保证期间</w:t>
      </w:r>
    </w:p>
    <w:p w14:paraId="16AA9A7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我方保证的方式为：连带责任保证。</w:t>
      </w:r>
    </w:p>
    <w:p w14:paraId="2F43CB5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我方保证的期间为：自本合同生效之日起至中标人按照主合同约定的供货/完工期限届满后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w:t>
      </w:r>
    </w:p>
    <w:p w14:paraId="0580E8E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如果中标人未按主合同约定向贵方供应货物/提供服务/完成工程的，由我方在保证金额内向你方支付上述款项。</w:t>
      </w:r>
    </w:p>
    <w:p w14:paraId="662CEBE8">
      <w:pPr>
        <w:keepNext w:val="0"/>
        <w:keepLines w:val="0"/>
        <w:pageBreakBefore w:val="0"/>
        <w:widowControl w:val="0"/>
        <w:kinsoku/>
        <w:wordWrap/>
        <w:overflowPunct/>
        <w:topLinePunct w:val="0"/>
        <w:autoSpaceDE/>
        <w:autoSpaceDN/>
        <w:bidi w:val="0"/>
        <w:adjustRightInd/>
        <w:snapToGrid/>
        <w:spacing w:line="480" w:lineRule="exact"/>
        <w:ind w:firstLine="482" w:firstLineChars="15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三、承担保证责任的程序</w:t>
      </w:r>
    </w:p>
    <w:p w14:paraId="246F47B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1.你方要求我方承担保证责任的，应在本保函保证期间内向我方发出书面索赔通知。索赔通知应写明要求索赔的金额，支付款项应到达的帐号。并附有证明中标人违约事实的证明材料。</w:t>
      </w:r>
    </w:p>
    <w:p w14:paraId="7A44B41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如果你方与中标人因货物质量问题产生争议，你方还需同时提供</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部门出具的质量检测报告，或经诉讼（仲裁）程序裁决后的裁决书、调解书，本保证人即按照检测结果或裁决书、调解书决定是否承担保证责任。</w:t>
      </w:r>
    </w:p>
    <w:p w14:paraId="5557E68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2.我方收到你方的书面索赔通知及相应证明材料，在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工作日内进行核定后按照本保函的承诺承担保证责任。</w:t>
      </w:r>
    </w:p>
    <w:p w14:paraId="732EE57B">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四、保证责任的终止</w:t>
      </w:r>
    </w:p>
    <w:p w14:paraId="73213D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340677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2.我方按照本保函向你方履行了保证责任后，自我方向你方支付款项（支付款项从我方账户划出）之日起，保证责任即终止。</w:t>
      </w:r>
    </w:p>
    <w:p w14:paraId="1435F43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3.按照法律法规的规定或出现应终止我方保证责任的其它情形的，我方在本保函项下的保证责任亦终止。</w:t>
      </w:r>
    </w:p>
    <w:p w14:paraId="76FFE7F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你方与中标人修改主合同，加重我方保证责任的，我方对加重部分不承担保证责任，但该等修改事先经我方书面同意的除外；你方与中标人修改主合同履行期限，我方保证期间仍依修改前的履行期限计算，但该等修改事先经我方书面同意的除外。</w:t>
      </w:r>
    </w:p>
    <w:p w14:paraId="099C5320">
      <w:pPr>
        <w:keepNext w:val="0"/>
        <w:keepLines w:val="0"/>
        <w:pageBreakBefore w:val="0"/>
        <w:widowControl w:val="0"/>
        <w:kinsoku/>
        <w:wordWrap/>
        <w:overflowPunct/>
        <w:topLinePunct w:val="0"/>
        <w:autoSpaceDE/>
        <w:autoSpaceDN/>
        <w:bidi w:val="0"/>
        <w:adjustRightInd/>
        <w:snapToGrid/>
        <w:spacing w:line="480" w:lineRule="exact"/>
        <w:ind w:firstLine="425" w:firstLineChars="141"/>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五、免责条款</w:t>
      </w:r>
    </w:p>
    <w:p w14:paraId="22756F0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1.因你方违反主合同约定致使中标人不能履行义务的，我方不承担保证责任。</w:t>
      </w:r>
    </w:p>
    <w:p w14:paraId="65C1493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2.依照法律法规的规定或你方与中标人的另行约定，全部或者部分免除中标人应缴纳的保证金义务的，我方亦免除相应的保证责任。</w:t>
      </w:r>
    </w:p>
    <w:p w14:paraId="7557F078">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3.因不可抗力造成中标人不能履行供货义务的，我方不承担保证责任。</w:t>
      </w:r>
    </w:p>
    <w:p w14:paraId="638430BA">
      <w:pPr>
        <w:keepNext w:val="0"/>
        <w:keepLines w:val="0"/>
        <w:pageBreakBefore w:val="0"/>
        <w:widowControl w:val="0"/>
        <w:kinsoku/>
        <w:wordWrap/>
        <w:overflowPunct/>
        <w:topLinePunct w:val="0"/>
        <w:autoSpaceDE/>
        <w:autoSpaceDN/>
        <w:bidi w:val="0"/>
        <w:adjustRightInd/>
        <w:snapToGrid/>
        <w:spacing w:line="480" w:lineRule="exact"/>
        <w:ind w:firstLine="425" w:firstLineChars="141"/>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六、争议的解决</w:t>
      </w:r>
    </w:p>
    <w:p w14:paraId="1E88D0F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因本保函发生的纠纷，由你我双方协商解决，协商不成的，通过诉讼程序解决，诉讼管辖地法院为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法院。</w:t>
      </w:r>
    </w:p>
    <w:p w14:paraId="4D0B6AA7">
      <w:pPr>
        <w:keepNext w:val="0"/>
        <w:keepLines w:val="0"/>
        <w:pageBreakBefore w:val="0"/>
        <w:widowControl w:val="0"/>
        <w:kinsoku/>
        <w:wordWrap/>
        <w:overflowPunct/>
        <w:topLinePunct w:val="0"/>
        <w:autoSpaceDE/>
        <w:autoSpaceDN/>
        <w:bidi w:val="0"/>
        <w:adjustRightInd/>
        <w:snapToGrid/>
        <w:spacing w:line="480" w:lineRule="exact"/>
        <w:ind w:firstLine="301" w:firstLineChars="10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七、保函的生效</w:t>
      </w:r>
    </w:p>
    <w:p w14:paraId="4814978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本保函自我方加盖公章之日起生效。                                 </w:t>
      </w:r>
    </w:p>
    <w:p w14:paraId="4CF60C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7EC3D9E9">
      <w:pPr>
        <w:keepNext w:val="0"/>
        <w:keepLines w:val="0"/>
        <w:pageBreakBefore w:val="0"/>
        <w:widowControl w:val="0"/>
        <w:kinsoku/>
        <w:wordWrap/>
        <w:overflowPunct/>
        <w:topLinePunct w:val="0"/>
        <w:autoSpaceDE/>
        <w:autoSpaceDN/>
        <w:bidi w:val="0"/>
        <w:adjustRightInd/>
        <w:snapToGrid/>
        <w:spacing w:line="48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保证人：（盖单位章）</w:t>
      </w:r>
    </w:p>
    <w:p w14:paraId="4DC136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48"/>
          <w:szCs w:val="48"/>
          <w:highlight w:val="none"/>
        </w:rPr>
      </w:pPr>
      <w:r>
        <w:rPr>
          <w:rFonts w:hint="eastAsia" w:ascii="宋体" w:hAnsi="宋体" w:eastAsia="宋体" w:cs="宋体"/>
          <w:color w:val="auto"/>
          <w:sz w:val="22"/>
          <w:szCs w:val="22"/>
          <w:highlight w:val="none"/>
        </w:rPr>
        <w:t xml:space="preserve">                                                     年  月  日</w:t>
      </w:r>
    </w:p>
    <w:p w14:paraId="4D6FD1E7">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color w:val="auto"/>
          <w:kern w:val="44"/>
          <w:sz w:val="40"/>
          <w:szCs w:val="40"/>
          <w:highlight w:val="none"/>
          <w:lang w:val="en-US" w:eastAsia="zh-CN" w:bidi="ar-SA"/>
        </w:rPr>
      </w:pPr>
      <w:bookmarkStart w:id="234" w:name="_Toc18821"/>
      <w:r>
        <w:rPr>
          <w:rFonts w:hint="eastAsia" w:ascii="宋体" w:hAnsi="宋体" w:eastAsia="宋体" w:cs="宋体"/>
          <w:b/>
          <w:color w:val="auto"/>
          <w:kern w:val="44"/>
          <w:sz w:val="40"/>
          <w:szCs w:val="40"/>
          <w:highlight w:val="none"/>
          <w:lang w:val="en-US" w:eastAsia="zh-CN" w:bidi="ar-SA"/>
        </w:rPr>
        <w:t>第六章 投标文件格式</w:t>
      </w:r>
      <w:bookmarkEnd w:id="178"/>
      <w:bookmarkEnd w:id="234"/>
    </w:p>
    <w:p w14:paraId="0526593E">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投标文件格式是投标人的部分投标文件格式，投标人应当严格按照这些格式编制投标文件。编制投标文件前，请详细阅读招标文件，理解文件中的每一项要求，做出逐一实质性响应，认为有必要，可做补充说明。</w:t>
      </w:r>
    </w:p>
    <w:p w14:paraId="166A441D">
      <w:pPr>
        <w:spacing w:line="400" w:lineRule="exact"/>
        <w:ind w:firstLine="570"/>
        <w:rPr>
          <w:rFonts w:hint="eastAsia" w:ascii="宋体" w:hAnsi="宋体" w:eastAsia="宋体" w:cs="宋体"/>
          <w:color w:val="auto"/>
          <w:sz w:val="28"/>
          <w:szCs w:val="28"/>
          <w:highlight w:val="none"/>
        </w:rPr>
      </w:pPr>
    </w:p>
    <w:p w14:paraId="3D05BEDB">
      <w:pPr>
        <w:spacing w:line="400" w:lineRule="exact"/>
        <w:ind w:firstLine="570"/>
        <w:rPr>
          <w:rFonts w:hint="eastAsia" w:ascii="宋体" w:hAnsi="宋体" w:eastAsia="宋体" w:cs="宋体"/>
          <w:color w:val="auto"/>
          <w:sz w:val="28"/>
          <w:szCs w:val="28"/>
          <w:highlight w:val="none"/>
        </w:rPr>
      </w:pPr>
    </w:p>
    <w:p w14:paraId="2EFC7BFE">
      <w:pPr>
        <w:spacing w:line="400" w:lineRule="exact"/>
        <w:ind w:firstLine="570"/>
        <w:rPr>
          <w:rFonts w:hint="eastAsia" w:ascii="宋体" w:hAnsi="宋体" w:eastAsia="宋体" w:cs="宋体"/>
          <w:color w:val="auto"/>
          <w:sz w:val="28"/>
          <w:szCs w:val="28"/>
          <w:highlight w:val="none"/>
        </w:rPr>
      </w:pPr>
    </w:p>
    <w:p w14:paraId="68085300">
      <w:pPr>
        <w:spacing w:line="400" w:lineRule="exact"/>
        <w:ind w:firstLine="570"/>
        <w:rPr>
          <w:rFonts w:hint="eastAsia" w:ascii="宋体" w:hAnsi="宋体" w:eastAsia="宋体" w:cs="宋体"/>
          <w:color w:val="auto"/>
          <w:sz w:val="28"/>
          <w:szCs w:val="28"/>
          <w:highlight w:val="none"/>
        </w:rPr>
      </w:pPr>
    </w:p>
    <w:p w14:paraId="78B1D5EA">
      <w:pPr>
        <w:spacing w:line="400" w:lineRule="exact"/>
        <w:ind w:firstLine="570"/>
        <w:rPr>
          <w:rFonts w:hint="eastAsia" w:ascii="宋体" w:hAnsi="宋体" w:eastAsia="宋体" w:cs="宋体"/>
          <w:color w:val="auto"/>
          <w:sz w:val="28"/>
          <w:szCs w:val="28"/>
          <w:highlight w:val="none"/>
        </w:rPr>
      </w:pPr>
    </w:p>
    <w:p w14:paraId="213CC94A">
      <w:pPr>
        <w:spacing w:line="400" w:lineRule="exact"/>
        <w:ind w:firstLine="570"/>
        <w:rPr>
          <w:rFonts w:hint="eastAsia" w:ascii="宋体" w:hAnsi="宋体" w:eastAsia="宋体" w:cs="宋体"/>
          <w:color w:val="auto"/>
          <w:sz w:val="28"/>
          <w:szCs w:val="28"/>
          <w:highlight w:val="none"/>
        </w:rPr>
      </w:pPr>
    </w:p>
    <w:p w14:paraId="28E456BB">
      <w:pPr>
        <w:spacing w:line="400" w:lineRule="exact"/>
        <w:ind w:firstLine="570"/>
        <w:rPr>
          <w:rFonts w:hint="eastAsia" w:ascii="宋体" w:hAnsi="宋体" w:eastAsia="宋体" w:cs="宋体"/>
          <w:color w:val="auto"/>
          <w:sz w:val="28"/>
          <w:szCs w:val="28"/>
          <w:highlight w:val="none"/>
        </w:rPr>
      </w:pPr>
    </w:p>
    <w:p w14:paraId="06A4E32E">
      <w:pPr>
        <w:spacing w:line="400" w:lineRule="exact"/>
        <w:ind w:firstLine="570"/>
        <w:rPr>
          <w:rFonts w:hint="eastAsia" w:ascii="宋体" w:hAnsi="宋体" w:eastAsia="宋体" w:cs="宋体"/>
          <w:color w:val="auto"/>
          <w:sz w:val="28"/>
          <w:szCs w:val="28"/>
          <w:highlight w:val="none"/>
        </w:rPr>
      </w:pPr>
    </w:p>
    <w:p w14:paraId="5BAD0E5C">
      <w:pPr>
        <w:spacing w:line="400" w:lineRule="exact"/>
        <w:ind w:firstLine="570"/>
        <w:rPr>
          <w:rFonts w:hint="eastAsia" w:ascii="宋体" w:hAnsi="宋体" w:eastAsia="宋体" w:cs="宋体"/>
          <w:color w:val="auto"/>
          <w:sz w:val="28"/>
          <w:szCs w:val="28"/>
          <w:highlight w:val="none"/>
        </w:rPr>
      </w:pPr>
    </w:p>
    <w:p w14:paraId="4889050F">
      <w:pPr>
        <w:spacing w:line="400" w:lineRule="exact"/>
        <w:ind w:firstLine="570"/>
        <w:rPr>
          <w:rFonts w:hint="eastAsia" w:ascii="宋体" w:hAnsi="宋体" w:eastAsia="宋体" w:cs="宋体"/>
          <w:color w:val="auto"/>
          <w:sz w:val="28"/>
          <w:szCs w:val="28"/>
          <w:highlight w:val="none"/>
        </w:rPr>
      </w:pPr>
    </w:p>
    <w:p w14:paraId="700BB8BE">
      <w:pPr>
        <w:spacing w:line="400" w:lineRule="exact"/>
        <w:ind w:firstLine="570"/>
        <w:rPr>
          <w:rFonts w:hint="eastAsia" w:ascii="宋体" w:hAnsi="宋体" w:eastAsia="宋体" w:cs="宋体"/>
          <w:color w:val="auto"/>
          <w:sz w:val="28"/>
          <w:szCs w:val="28"/>
          <w:highlight w:val="none"/>
        </w:rPr>
      </w:pPr>
    </w:p>
    <w:p w14:paraId="17CD00F0">
      <w:pPr>
        <w:spacing w:line="400" w:lineRule="exact"/>
        <w:ind w:firstLine="570"/>
        <w:rPr>
          <w:rFonts w:hint="eastAsia" w:ascii="宋体" w:hAnsi="宋体" w:eastAsia="宋体" w:cs="宋体"/>
          <w:color w:val="auto"/>
          <w:sz w:val="28"/>
          <w:szCs w:val="28"/>
          <w:highlight w:val="none"/>
        </w:rPr>
      </w:pPr>
    </w:p>
    <w:p w14:paraId="55CFD89E">
      <w:pPr>
        <w:spacing w:line="400" w:lineRule="exact"/>
        <w:ind w:firstLine="570"/>
        <w:rPr>
          <w:rFonts w:hint="eastAsia" w:ascii="宋体" w:hAnsi="宋体" w:eastAsia="宋体" w:cs="宋体"/>
          <w:b/>
          <w:color w:val="auto"/>
          <w:sz w:val="28"/>
          <w:szCs w:val="28"/>
          <w:highlight w:val="none"/>
        </w:rPr>
      </w:pPr>
    </w:p>
    <w:p w14:paraId="576420A0">
      <w:pPr>
        <w:spacing w:line="400" w:lineRule="exact"/>
        <w:ind w:firstLine="570"/>
        <w:rPr>
          <w:rFonts w:hint="eastAsia" w:ascii="宋体" w:hAnsi="宋体" w:eastAsia="宋体" w:cs="宋体"/>
          <w:b/>
          <w:color w:val="auto"/>
          <w:sz w:val="28"/>
          <w:szCs w:val="28"/>
          <w:highlight w:val="none"/>
        </w:rPr>
      </w:pPr>
    </w:p>
    <w:p w14:paraId="2AA1F49B">
      <w:pPr>
        <w:spacing w:line="400" w:lineRule="exact"/>
        <w:ind w:firstLine="570"/>
        <w:rPr>
          <w:rFonts w:hint="eastAsia" w:ascii="宋体" w:hAnsi="宋体" w:eastAsia="宋体" w:cs="宋体"/>
          <w:b/>
          <w:color w:val="auto"/>
          <w:sz w:val="28"/>
          <w:szCs w:val="28"/>
          <w:highlight w:val="none"/>
        </w:rPr>
      </w:pPr>
    </w:p>
    <w:p w14:paraId="51904213">
      <w:pPr>
        <w:spacing w:line="400" w:lineRule="exact"/>
        <w:ind w:firstLine="570"/>
        <w:rPr>
          <w:rFonts w:hint="eastAsia" w:ascii="宋体" w:hAnsi="宋体" w:eastAsia="宋体" w:cs="宋体"/>
          <w:b/>
          <w:color w:val="auto"/>
          <w:sz w:val="28"/>
          <w:szCs w:val="28"/>
          <w:highlight w:val="none"/>
        </w:rPr>
      </w:pPr>
    </w:p>
    <w:p w14:paraId="6EDB7F5E">
      <w:pPr>
        <w:spacing w:line="400" w:lineRule="exact"/>
        <w:ind w:firstLine="570"/>
        <w:rPr>
          <w:rFonts w:hint="eastAsia" w:ascii="宋体" w:hAnsi="宋体" w:eastAsia="宋体" w:cs="宋体"/>
          <w:b/>
          <w:color w:val="auto"/>
          <w:sz w:val="28"/>
          <w:szCs w:val="28"/>
          <w:highlight w:val="none"/>
        </w:rPr>
      </w:pPr>
    </w:p>
    <w:p w14:paraId="700AFCE6">
      <w:pPr>
        <w:spacing w:line="400" w:lineRule="exact"/>
        <w:ind w:firstLine="570"/>
        <w:rPr>
          <w:rFonts w:hint="eastAsia" w:ascii="宋体" w:hAnsi="宋体" w:eastAsia="宋体" w:cs="宋体"/>
          <w:b/>
          <w:color w:val="auto"/>
          <w:sz w:val="28"/>
          <w:szCs w:val="28"/>
          <w:highlight w:val="none"/>
        </w:rPr>
      </w:pPr>
    </w:p>
    <w:p w14:paraId="5BADA53F">
      <w:pPr>
        <w:spacing w:line="400" w:lineRule="exact"/>
        <w:ind w:firstLine="570"/>
        <w:rPr>
          <w:rFonts w:hint="eastAsia" w:ascii="宋体" w:hAnsi="宋体" w:eastAsia="宋体" w:cs="宋体"/>
          <w:b/>
          <w:color w:val="auto"/>
          <w:sz w:val="28"/>
          <w:szCs w:val="28"/>
          <w:highlight w:val="none"/>
        </w:rPr>
      </w:pPr>
    </w:p>
    <w:p w14:paraId="14B45A39">
      <w:pPr>
        <w:spacing w:line="400" w:lineRule="exact"/>
        <w:ind w:firstLine="570"/>
        <w:rPr>
          <w:rFonts w:hint="eastAsia" w:ascii="宋体" w:hAnsi="宋体" w:eastAsia="宋体" w:cs="宋体"/>
          <w:b/>
          <w:color w:val="auto"/>
          <w:sz w:val="28"/>
          <w:szCs w:val="28"/>
          <w:highlight w:val="none"/>
        </w:rPr>
      </w:pPr>
    </w:p>
    <w:p w14:paraId="126183B2">
      <w:pPr>
        <w:pStyle w:val="31"/>
        <w:rPr>
          <w:rFonts w:hint="eastAsia" w:ascii="宋体" w:hAnsi="宋体" w:eastAsia="宋体" w:cs="宋体"/>
          <w:b/>
          <w:color w:val="auto"/>
          <w:sz w:val="28"/>
          <w:szCs w:val="28"/>
          <w:highlight w:val="none"/>
        </w:rPr>
      </w:pPr>
    </w:p>
    <w:p w14:paraId="55407E72">
      <w:pPr>
        <w:pStyle w:val="31"/>
        <w:rPr>
          <w:rFonts w:hint="eastAsia" w:ascii="宋体" w:hAnsi="宋体" w:eastAsia="宋体" w:cs="宋体"/>
          <w:b/>
          <w:color w:val="auto"/>
          <w:sz w:val="28"/>
          <w:szCs w:val="28"/>
          <w:highlight w:val="none"/>
        </w:rPr>
      </w:pPr>
    </w:p>
    <w:p w14:paraId="74837C00">
      <w:pPr>
        <w:spacing w:line="400" w:lineRule="exact"/>
        <w:ind w:firstLine="570"/>
        <w:rPr>
          <w:rFonts w:hint="eastAsia" w:ascii="宋体" w:hAnsi="宋体" w:eastAsia="宋体" w:cs="宋体"/>
          <w:b/>
          <w:color w:val="auto"/>
          <w:sz w:val="28"/>
          <w:szCs w:val="28"/>
          <w:highlight w:val="none"/>
        </w:rPr>
      </w:pPr>
    </w:p>
    <w:p w14:paraId="1A727F65">
      <w:pPr>
        <w:spacing w:line="400" w:lineRule="exact"/>
        <w:ind w:firstLine="570"/>
        <w:rPr>
          <w:rFonts w:hint="eastAsia" w:ascii="宋体" w:hAnsi="宋体" w:eastAsia="宋体" w:cs="宋体"/>
          <w:b/>
          <w:color w:val="auto"/>
          <w:sz w:val="28"/>
          <w:szCs w:val="28"/>
          <w:highlight w:val="none"/>
        </w:rPr>
      </w:pPr>
    </w:p>
    <w:p w14:paraId="33BA5576">
      <w:pPr>
        <w:pStyle w:val="3"/>
        <w:spacing w:before="120" w:after="120" w:line="400" w:lineRule="exact"/>
        <w:rPr>
          <w:rFonts w:hint="eastAsia" w:ascii="宋体" w:hAnsi="宋体" w:eastAsia="宋体" w:cs="宋体"/>
          <w:color w:val="auto"/>
          <w:szCs w:val="28"/>
          <w:highlight w:val="none"/>
        </w:rPr>
      </w:pPr>
      <w:bookmarkStart w:id="235" w:name="_Toc23035"/>
      <w:bookmarkStart w:id="236" w:name="_Toc217446082"/>
      <w:r>
        <w:rPr>
          <w:rFonts w:hint="eastAsia" w:ascii="宋体" w:hAnsi="宋体" w:eastAsia="宋体" w:cs="宋体"/>
          <w:color w:val="auto"/>
          <w:szCs w:val="28"/>
          <w:highlight w:val="none"/>
        </w:rPr>
        <w:t>项目编号：</w:t>
      </w:r>
      <w:bookmarkEnd w:id="235"/>
      <w:r>
        <w:rPr>
          <w:rFonts w:hint="eastAsia" w:ascii="宋体" w:hAnsi="宋体" w:eastAsia="宋体" w:cs="宋体"/>
          <w:color w:val="auto"/>
          <w:szCs w:val="28"/>
          <w:highlight w:val="none"/>
        </w:rPr>
        <w:t xml:space="preserve"> </w:t>
      </w:r>
    </w:p>
    <w:p w14:paraId="0BD4C22E">
      <w:pPr>
        <w:pStyle w:val="3"/>
        <w:spacing w:line="400" w:lineRule="exact"/>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0C52F7C7">
      <w:pPr>
        <w:pStyle w:val="3"/>
        <w:spacing w:line="400" w:lineRule="exact"/>
        <w:jc w:val="center"/>
        <w:outlineLvl w:val="9"/>
        <w:rPr>
          <w:rFonts w:hint="eastAsia" w:ascii="宋体" w:hAnsi="宋体" w:eastAsia="宋体" w:cs="宋体"/>
          <w:color w:val="auto"/>
          <w:szCs w:val="28"/>
          <w:highlight w:val="none"/>
        </w:rPr>
      </w:pPr>
    </w:p>
    <w:p w14:paraId="036F77FA">
      <w:pPr>
        <w:snapToGrid w:val="0"/>
        <w:spacing w:before="480" w:beforeLines="200" w:line="360" w:lineRule="auto"/>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察布查尔锡伯自治县2026年小麦一喷三防项目（二标段）</w:t>
      </w:r>
    </w:p>
    <w:p w14:paraId="79B981CF">
      <w:pPr>
        <w:pStyle w:val="3"/>
        <w:spacing w:line="680" w:lineRule="exact"/>
        <w:jc w:val="center"/>
        <w:outlineLvl w:val="9"/>
        <w:rPr>
          <w:rFonts w:hint="eastAsia" w:ascii="宋体" w:hAnsi="宋体" w:eastAsia="宋体" w:cs="宋体"/>
          <w:b w:val="0"/>
          <w:color w:val="auto"/>
          <w:sz w:val="44"/>
          <w:szCs w:val="44"/>
          <w:highlight w:val="none"/>
        </w:rPr>
      </w:pPr>
    </w:p>
    <w:p w14:paraId="5E07CD41">
      <w:pPr>
        <w:pStyle w:val="3"/>
        <w:spacing w:line="400" w:lineRule="exact"/>
        <w:jc w:val="center"/>
        <w:outlineLvl w:val="9"/>
        <w:rPr>
          <w:rFonts w:hint="eastAsia" w:ascii="宋体" w:hAnsi="宋体" w:eastAsia="宋体" w:cs="宋体"/>
          <w:color w:val="auto"/>
          <w:sz w:val="44"/>
          <w:szCs w:val="44"/>
          <w:highlight w:val="none"/>
        </w:rPr>
      </w:pPr>
    </w:p>
    <w:p w14:paraId="234BE96B">
      <w:pPr>
        <w:pStyle w:val="3"/>
        <w:spacing w:line="900" w:lineRule="exact"/>
        <w:jc w:val="center"/>
        <w:rPr>
          <w:rFonts w:hint="eastAsia" w:ascii="宋体" w:hAnsi="宋体" w:eastAsia="宋体" w:cs="宋体"/>
          <w:b w:val="0"/>
          <w:color w:val="auto"/>
          <w:sz w:val="72"/>
          <w:szCs w:val="72"/>
          <w:highlight w:val="none"/>
        </w:rPr>
      </w:pPr>
      <w:bookmarkStart w:id="237" w:name="_Toc20804"/>
      <w:r>
        <w:rPr>
          <w:rFonts w:hint="eastAsia" w:ascii="宋体" w:hAnsi="宋体" w:eastAsia="宋体" w:cs="宋体"/>
          <w:b w:val="0"/>
          <w:color w:val="auto"/>
          <w:sz w:val="72"/>
          <w:szCs w:val="72"/>
          <w:highlight w:val="none"/>
        </w:rPr>
        <w:t>投标文件</w:t>
      </w:r>
      <w:bookmarkEnd w:id="237"/>
    </w:p>
    <w:p w14:paraId="1C77C27D">
      <w:pPr>
        <w:pStyle w:val="7"/>
        <w:ind w:firstLine="0"/>
        <w:jc w:val="center"/>
        <w:rPr>
          <w:rFonts w:hint="eastAsia" w:ascii="宋体" w:hAnsi="宋体" w:eastAsia="宋体" w:cs="宋体"/>
          <w:color w:val="auto"/>
          <w:sz w:val="32"/>
          <w:szCs w:val="32"/>
          <w:highlight w:val="none"/>
        </w:rPr>
      </w:pPr>
    </w:p>
    <w:p w14:paraId="4BF7206D">
      <w:pPr>
        <w:pStyle w:val="7"/>
        <w:rPr>
          <w:rFonts w:hint="eastAsia" w:ascii="宋体" w:hAnsi="宋体" w:eastAsia="宋体" w:cs="宋体"/>
          <w:color w:val="auto"/>
          <w:sz w:val="28"/>
          <w:szCs w:val="28"/>
          <w:highlight w:val="none"/>
        </w:rPr>
      </w:pPr>
    </w:p>
    <w:p w14:paraId="5725172C">
      <w:pPr>
        <w:pStyle w:val="7"/>
        <w:rPr>
          <w:rFonts w:hint="eastAsia" w:ascii="宋体" w:hAnsi="宋体" w:eastAsia="宋体" w:cs="宋体"/>
          <w:color w:val="auto"/>
          <w:sz w:val="28"/>
          <w:szCs w:val="28"/>
          <w:highlight w:val="none"/>
        </w:rPr>
      </w:pPr>
    </w:p>
    <w:p w14:paraId="6973CBA3">
      <w:pPr>
        <w:pStyle w:val="7"/>
        <w:rPr>
          <w:rFonts w:hint="eastAsia" w:ascii="宋体" w:hAnsi="宋体" w:eastAsia="宋体" w:cs="宋体"/>
          <w:color w:val="auto"/>
          <w:sz w:val="28"/>
          <w:szCs w:val="28"/>
          <w:highlight w:val="none"/>
        </w:rPr>
      </w:pPr>
    </w:p>
    <w:p w14:paraId="131D3113">
      <w:pPr>
        <w:pStyle w:val="7"/>
        <w:rPr>
          <w:rFonts w:hint="eastAsia" w:ascii="宋体" w:hAnsi="宋体" w:eastAsia="宋体" w:cs="宋体"/>
          <w:color w:val="auto"/>
          <w:sz w:val="28"/>
          <w:szCs w:val="28"/>
          <w:highlight w:val="none"/>
        </w:rPr>
      </w:pPr>
    </w:p>
    <w:p w14:paraId="4C08F20F">
      <w:pPr>
        <w:pStyle w:val="7"/>
        <w:rPr>
          <w:rFonts w:hint="eastAsia" w:ascii="宋体" w:hAnsi="宋体" w:eastAsia="宋体" w:cs="宋体"/>
          <w:color w:val="auto"/>
          <w:sz w:val="28"/>
          <w:szCs w:val="28"/>
          <w:highlight w:val="none"/>
        </w:rPr>
      </w:pPr>
    </w:p>
    <w:p w14:paraId="53DD016C">
      <w:pPr>
        <w:pStyle w:val="7"/>
        <w:rPr>
          <w:rFonts w:hint="eastAsia" w:ascii="宋体" w:hAnsi="宋体" w:eastAsia="宋体" w:cs="宋体"/>
          <w:color w:val="auto"/>
          <w:sz w:val="28"/>
          <w:szCs w:val="28"/>
          <w:highlight w:val="none"/>
        </w:rPr>
      </w:pPr>
    </w:p>
    <w:p w14:paraId="5EE892D6">
      <w:pPr>
        <w:pStyle w:val="7"/>
        <w:spacing w:before="120" w:beforeLines="50"/>
        <w:ind w:firstLine="0"/>
        <w:rPr>
          <w:rFonts w:hint="eastAsia" w:ascii="宋体" w:hAnsi="宋体" w:eastAsia="宋体" w:cs="宋体"/>
          <w:b/>
          <w:color w:val="auto"/>
          <w:sz w:val="28"/>
          <w:szCs w:val="28"/>
          <w:highlight w:val="none"/>
        </w:rPr>
      </w:pPr>
    </w:p>
    <w:p w14:paraId="1DE2001F">
      <w:pPr>
        <w:pStyle w:val="7"/>
        <w:spacing w:before="120" w:beforeLines="50"/>
        <w:ind w:firstLine="0"/>
        <w:rPr>
          <w:rFonts w:hint="eastAsia" w:ascii="宋体" w:hAnsi="宋体" w:eastAsia="宋体" w:cs="宋体"/>
          <w:b/>
          <w:color w:val="auto"/>
          <w:sz w:val="28"/>
          <w:szCs w:val="28"/>
          <w:highlight w:val="none"/>
        </w:rPr>
      </w:pPr>
    </w:p>
    <w:p w14:paraId="2F8801BF">
      <w:pPr>
        <w:pStyle w:val="7"/>
        <w:spacing w:before="120" w:beforeLines="50"/>
        <w:ind w:firstLine="1630" w:firstLineChars="580"/>
        <w:rPr>
          <w:rFonts w:hint="eastAsia" w:ascii="宋体" w:hAnsi="宋体" w:eastAsia="宋体" w:cs="宋体"/>
          <w:b/>
          <w:color w:val="auto"/>
          <w:sz w:val="28"/>
          <w:szCs w:val="28"/>
          <w:highlight w:val="none"/>
        </w:rPr>
      </w:pPr>
    </w:p>
    <w:p w14:paraId="0B5D8E25">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投标人：                        </w:t>
      </w:r>
      <w:r>
        <w:rPr>
          <w:rFonts w:hint="eastAsia" w:ascii="宋体" w:hAnsi="宋体" w:eastAsia="宋体" w:cs="宋体"/>
          <w:color w:val="auto"/>
          <w:sz w:val="28"/>
          <w:szCs w:val="28"/>
          <w:highlight w:val="none"/>
        </w:rPr>
        <w:t>（盖单位章）</w:t>
      </w:r>
    </w:p>
    <w:p w14:paraId="43EF20BE">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法定代表人或其委托代理人：        </w:t>
      </w:r>
      <w:r>
        <w:rPr>
          <w:rFonts w:hint="eastAsia" w:ascii="宋体" w:hAnsi="宋体" w:eastAsia="宋体" w:cs="宋体"/>
          <w:color w:val="auto"/>
          <w:sz w:val="28"/>
          <w:szCs w:val="28"/>
          <w:highlight w:val="none"/>
        </w:rPr>
        <w:t>（签字）</w:t>
      </w:r>
    </w:p>
    <w:p w14:paraId="6D028278">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    年  月  日</w:t>
      </w:r>
    </w:p>
    <w:p w14:paraId="2CCB7825">
      <w:pPr>
        <w:pStyle w:val="7"/>
        <w:spacing w:before="120" w:beforeLines="50" w:after="120" w:afterLines="50"/>
        <w:ind w:firstLine="0"/>
        <w:jc w:val="center"/>
        <w:rPr>
          <w:rFonts w:hint="eastAsia" w:ascii="宋体" w:hAnsi="宋体" w:eastAsia="宋体" w:cs="宋体"/>
          <w:color w:val="auto"/>
          <w:sz w:val="32"/>
          <w:szCs w:val="32"/>
          <w:highlight w:val="none"/>
        </w:rPr>
      </w:pPr>
    </w:p>
    <w:p w14:paraId="7CA2EA7E">
      <w:pPr>
        <w:pStyle w:val="7"/>
        <w:spacing w:before="120" w:beforeLines="50" w:after="120" w:afterLines="50"/>
        <w:ind w:firstLine="0"/>
        <w:jc w:val="center"/>
        <w:rPr>
          <w:rFonts w:hint="eastAsia" w:ascii="宋体" w:hAnsi="宋体" w:eastAsia="宋体" w:cs="宋体"/>
          <w:b/>
          <w:bCs/>
          <w:color w:val="auto"/>
          <w:sz w:val="32"/>
          <w:szCs w:val="32"/>
          <w:highlight w:val="none"/>
        </w:rPr>
      </w:pPr>
    </w:p>
    <w:p w14:paraId="0E98F738">
      <w:pPr>
        <w:pStyle w:val="7"/>
        <w:spacing w:before="120" w:beforeLines="50" w:after="120" w:afterLines="50"/>
        <w:ind w:firstLine="0"/>
        <w:jc w:val="center"/>
        <w:rPr>
          <w:rFonts w:hint="eastAsia" w:ascii="宋体" w:hAnsi="宋体" w:eastAsia="宋体" w:cs="宋体"/>
          <w:b/>
          <w:bCs/>
          <w:color w:val="auto"/>
          <w:sz w:val="32"/>
          <w:szCs w:val="32"/>
          <w:highlight w:val="none"/>
        </w:rPr>
      </w:pPr>
    </w:p>
    <w:p w14:paraId="6B0AA2C6">
      <w:pPr>
        <w:pStyle w:val="7"/>
        <w:spacing w:before="120" w:beforeLines="50" w:after="120" w:afterLines="50"/>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（资格审查部分）</w:t>
      </w:r>
    </w:p>
    <w:p w14:paraId="243FA66F">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08D6B162">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57161023">
      <w:pPr>
        <w:pStyle w:val="7"/>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color w:val="auto"/>
          <w:sz w:val="24"/>
          <w:szCs w:val="24"/>
          <w:highlight w:val="none"/>
        </w:rPr>
      </w:pPr>
    </w:p>
    <w:p w14:paraId="16020554">
      <w:pPr>
        <w:keepNext w:val="0"/>
        <w:keepLines w:val="0"/>
        <w:pageBreakBefore w:val="0"/>
        <w:widowControl w:val="0"/>
        <w:kinsoku/>
        <w:wordWrap/>
        <w:overflowPunct/>
        <w:topLinePunct w:val="0"/>
        <w:autoSpaceDE/>
        <w:autoSpaceDN/>
        <w:bidi w:val="0"/>
        <w:adjustRightInd/>
        <w:snapToGrid/>
        <w:spacing w:line="480" w:lineRule="exact"/>
        <w:ind w:firstLine="525" w:firstLineChars="250"/>
        <w:textAlignment w:val="auto"/>
        <w:rPr>
          <w:rFonts w:hint="eastAsia" w:ascii="宋体" w:hAnsi="宋体" w:eastAsia="宋体" w:cs="宋体"/>
          <w:color w:val="auto"/>
          <w:szCs w:val="21"/>
          <w:highlight w:val="none"/>
        </w:rPr>
      </w:pPr>
    </w:p>
    <w:p w14:paraId="1A8C596E">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1.投标人基本情况表………………………………………………………………………页码</w:t>
      </w:r>
    </w:p>
    <w:p w14:paraId="45C13848">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2.法定代表人身份证明</w:t>
      </w:r>
      <w:r>
        <w:rPr>
          <w:rFonts w:hint="eastAsia" w:asciiTheme="minorEastAsia" w:hAnsiTheme="minorEastAsia" w:eastAsiaTheme="minorEastAsia" w:cstheme="minorEastAsia"/>
          <w:color w:val="auto"/>
          <w:sz w:val="22"/>
          <w:szCs w:val="22"/>
          <w:highlight w:val="none"/>
          <w:lang w:val="en-US" w:eastAsia="zh-CN"/>
        </w:rPr>
        <w:t>书</w:t>
      </w:r>
      <w:r>
        <w:rPr>
          <w:rFonts w:hint="eastAsia" w:asciiTheme="minorEastAsia" w:hAnsiTheme="minorEastAsia" w:eastAsiaTheme="minorEastAsia" w:cstheme="minorEastAsia"/>
          <w:color w:val="auto"/>
          <w:sz w:val="22"/>
          <w:szCs w:val="22"/>
          <w:highlight w:val="none"/>
        </w:rPr>
        <w:t>…………………………………………………………………页码</w:t>
      </w:r>
    </w:p>
    <w:p w14:paraId="537FC5CB">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3.授权</w:t>
      </w:r>
      <w:r>
        <w:rPr>
          <w:rFonts w:hint="eastAsia" w:asciiTheme="minorEastAsia" w:hAnsiTheme="minorEastAsia" w:eastAsiaTheme="minorEastAsia" w:cstheme="minorEastAsia"/>
          <w:color w:val="auto"/>
          <w:sz w:val="22"/>
          <w:szCs w:val="22"/>
          <w:highlight w:val="none"/>
          <w:lang w:val="en-US" w:eastAsia="zh-CN"/>
        </w:rPr>
        <w:t>委托</w:t>
      </w:r>
      <w:r>
        <w:rPr>
          <w:rFonts w:hint="eastAsia" w:asciiTheme="minorEastAsia" w:hAnsiTheme="minorEastAsia" w:eastAsiaTheme="minorEastAsia" w:cstheme="minorEastAsia"/>
          <w:color w:val="auto"/>
          <w:sz w:val="22"/>
          <w:szCs w:val="22"/>
          <w:highlight w:val="none"/>
        </w:rPr>
        <w:t>书………………………………………………………………………………页码</w:t>
      </w:r>
    </w:p>
    <w:p w14:paraId="23BB87A3">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.投标人</w:t>
      </w:r>
      <w:r>
        <w:rPr>
          <w:rFonts w:hint="eastAsia" w:asciiTheme="minorEastAsia" w:hAnsiTheme="minorEastAsia" w:eastAsiaTheme="minorEastAsia" w:cstheme="minorEastAsia"/>
          <w:color w:val="auto"/>
          <w:sz w:val="22"/>
          <w:szCs w:val="22"/>
          <w:highlight w:val="none"/>
          <w:lang w:val="zh-CN"/>
        </w:rPr>
        <w:t>营业执照</w:t>
      </w:r>
      <w:r>
        <w:rPr>
          <w:rFonts w:hint="eastAsia" w:asciiTheme="minorEastAsia" w:hAnsiTheme="minorEastAsia" w:eastAsiaTheme="minorEastAsia" w:cstheme="minorEastAsia"/>
          <w:color w:val="auto"/>
          <w:sz w:val="22"/>
          <w:szCs w:val="22"/>
          <w:highlight w:val="none"/>
        </w:rPr>
        <w:t>…………………………………………………………………………页码</w:t>
      </w:r>
    </w:p>
    <w:p w14:paraId="2ADAFA5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8"/>
          <w:highlight w:val="none"/>
        </w:rPr>
        <w:t>财务状况报告</w:t>
      </w:r>
      <w:r>
        <w:rPr>
          <w:rFonts w:hint="eastAsia" w:asciiTheme="minorEastAsia" w:hAnsiTheme="minorEastAsia" w:eastAsiaTheme="minorEastAsia" w:cstheme="minorEastAsia"/>
          <w:color w:val="auto"/>
          <w:sz w:val="22"/>
          <w:szCs w:val="22"/>
          <w:highlight w:val="none"/>
        </w:rPr>
        <w:t>……………………………………………………………………………页码</w:t>
      </w:r>
    </w:p>
    <w:p w14:paraId="427A6903">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.税收缴纳证明……………………………………………………………………………页码</w:t>
      </w:r>
    </w:p>
    <w:p w14:paraId="6C5A96DB">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.社会保障资金缴纳证明…………………………………………………………………页码</w:t>
      </w:r>
    </w:p>
    <w:p w14:paraId="2E5F75C1">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信用中国和中国政府采购网截图</w:t>
      </w:r>
      <w:r>
        <w:rPr>
          <w:rFonts w:hint="eastAsia" w:asciiTheme="minorEastAsia" w:hAnsiTheme="minorEastAsia" w:eastAsiaTheme="minorEastAsia" w:cstheme="minorEastAsia"/>
          <w:color w:val="auto"/>
          <w:sz w:val="22"/>
          <w:szCs w:val="22"/>
          <w:highlight w:val="none"/>
        </w:rPr>
        <w:t>………………………………………………………页码</w:t>
      </w:r>
    </w:p>
    <w:p w14:paraId="09C8E08F">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9.无重大违法记录声明</w:t>
      </w:r>
      <w:r>
        <w:rPr>
          <w:rFonts w:hint="eastAsia" w:asciiTheme="minorEastAsia" w:hAnsiTheme="minorEastAsia" w:eastAsiaTheme="minorEastAsia" w:cstheme="minorEastAsia"/>
          <w:color w:val="auto"/>
          <w:sz w:val="22"/>
          <w:szCs w:val="22"/>
          <w:highlight w:val="none"/>
        </w:rPr>
        <w:t>……………………………………………………………………页码</w:t>
      </w:r>
    </w:p>
    <w:p w14:paraId="24DA8CCE">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zh-CN"/>
        </w:rPr>
        <w:t>具备履行合同所必需的设备和专业技术能力的证明</w:t>
      </w:r>
      <w:r>
        <w:rPr>
          <w:rFonts w:hint="eastAsia" w:asciiTheme="minorEastAsia" w:hAnsiTheme="minorEastAsia" w:eastAsiaTheme="minorEastAsia" w:cstheme="minorEastAsia"/>
          <w:color w:val="auto"/>
          <w:sz w:val="22"/>
          <w:szCs w:val="22"/>
          <w:highlight w:val="none"/>
        </w:rPr>
        <w:t>………………………………页码</w:t>
      </w:r>
    </w:p>
    <w:p w14:paraId="00325EF7">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11.提供投标人享受政府采购优惠政策的证明材料</w:t>
      </w:r>
      <w:r>
        <w:rPr>
          <w:rFonts w:hint="eastAsia" w:asciiTheme="minorEastAsia" w:hAnsiTheme="minorEastAsia" w:eastAsiaTheme="minorEastAsia" w:cstheme="minorEastAsia"/>
          <w:color w:val="auto"/>
          <w:sz w:val="22"/>
          <w:szCs w:val="22"/>
          <w:highlight w:val="none"/>
        </w:rPr>
        <w:t>……………………………………页码</w:t>
      </w:r>
    </w:p>
    <w:p w14:paraId="37A56C5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12</w:t>
      </w:r>
      <w:r>
        <w:rPr>
          <w:rFonts w:hint="eastAsia" w:asciiTheme="minorEastAsia" w:hAnsiTheme="minorEastAsia" w:eastAsiaTheme="minorEastAsia" w:cstheme="minorEastAsia"/>
          <w:color w:val="auto"/>
          <w:sz w:val="22"/>
          <w:szCs w:val="22"/>
          <w:highlight w:val="none"/>
        </w:rPr>
        <w:t>.投标保证金</w:t>
      </w:r>
      <w:r>
        <w:rPr>
          <w:rFonts w:hint="eastAsia" w:asciiTheme="minorEastAsia" w:hAnsiTheme="minorEastAsia" w:eastAsiaTheme="minorEastAsia" w:cstheme="minorEastAsia"/>
          <w:color w:val="auto"/>
          <w:sz w:val="22"/>
          <w:szCs w:val="22"/>
          <w:highlight w:val="none"/>
          <w:lang w:eastAsia="zh-CN"/>
        </w:rPr>
        <w:t>凭证</w:t>
      </w:r>
      <w:r>
        <w:rPr>
          <w:rFonts w:hint="eastAsia" w:asciiTheme="minorEastAsia" w:hAnsiTheme="minorEastAsia" w:eastAsiaTheme="minorEastAsia" w:cstheme="minorEastAsia"/>
          <w:color w:val="auto"/>
          <w:sz w:val="22"/>
          <w:szCs w:val="22"/>
          <w:highlight w:val="none"/>
        </w:rPr>
        <w:t>………………………………………………………………………页码</w:t>
      </w:r>
    </w:p>
    <w:p w14:paraId="712F6EA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13.本项目的特定资格要求</w:t>
      </w:r>
      <w:r>
        <w:rPr>
          <w:rFonts w:hint="eastAsia" w:asciiTheme="minorEastAsia" w:hAnsiTheme="minorEastAsia" w:eastAsiaTheme="minorEastAsia" w:cstheme="minorEastAsia"/>
          <w:color w:val="auto"/>
          <w:sz w:val="22"/>
          <w:szCs w:val="22"/>
          <w:highlight w:val="none"/>
        </w:rPr>
        <w:t>………………………………………………………………页码</w:t>
      </w:r>
    </w:p>
    <w:p w14:paraId="64DAADDF">
      <w:pPr>
        <w:pStyle w:val="7"/>
        <w:spacing w:before="120" w:beforeLines="50" w:after="120" w:afterLines="50"/>
        <w:ind w:firstLine="0"/>
        <w:jc w:val="center"/>
        <w:rPr>
          <w:rFonts w:hint="eastAsia" w:ascii="宋体" w:hAnsi="宋体" w:eastAsia="宋体" w:cs="宋体"/>
          <w:b/>
          <w:color w:val="auto"/>
          <w:sz w:val="44"/>
          <w:szCs w:val="44"/>
          <w:highlight w:val="none"/>
        </w:rPr>
      </w:pPr>
    </w:p>
    <w:p w14:paraId="4A77698F">
      <w:pPr>
        <w:pStyle w:val="7"/>
        <w:spacing w:before="120" w:beforeLines="50" w:after="120" w:afterLines="50"/>
        <w:ind w:firstLine="0"/>
        <w:jc w:val="center"/>
        <w:rPr>
          <w:rFonts w:hint="eastAsia" w:ascii="宋体" w:hAnsi="宋体" w:eastAsia="宋体" w:cs="宋体"/>
          <w:b/>
          <w:color w:val="auto"/>
          <w:sz w:val="44"/>
          <w:szCs w:val="44"/>
          <w:highlight w:val="none"/>
        </w:rPr>
      </w:pPr>
    </w:p>
    <w:p w14:paraId="658D7F60">
      <w:pPr>
        <w:pStyle w:val="7"/>
        <w:spacing w:before="120" w:beforeLines="50" w:after="120" w:afterLines="50"/>
        <w:ind w:firstLine="0"/>
        <w:jc w:val="center"/>
        <w:rPr>
          <w:rFonts w:hint="eastAsia" w:ascii="宋体" w:hAnsi="宋体" w:eastAsia="宋体" w:cs="宋体"/>
          <w:b/>
          <w:color w:val="auto"/>
          <w:sz w:val="44"/>
          <w:szCs w:val="44"/>
          <w:highlight w:val="none"/>
        </w:rPr>
      </w:pPr>
    </w:p>
    <w:p w14:paraId="3AFB98B5">
      <w:pPr>
        <w:pStyle w:val="7"/>
        <w:spacing w:before="120" w:beforeLines="50" w:after="120" w:afterLines="50"/>
        <w:ind w:firstLine="0"/>
        <w:rPr>
          <w:rFonts w:hint="eastAsia" w:ascii="宋体" w:hAnsi="宋体" w:eastAsia="宋体" w:cs="宋体"/>
          <w:b/>
          <w:color w:val="auto"/>
          <w:szCs w:val="21"/>
          <w:highlight w:val="none"/>
        </w:rPr>
      </w:pPr>
    </w:p>
    <w:p w14:paraId="1F60C0A0">
      <w:pPr>
        <w:pStyle w:val="7"/>
        <w:spacing w:before="120" w:beforeLines="50" w:after="120" w:afterLines="50"/>
        <w:ind w:firstLine="0"/>
        <w:rPr>
          <w:rFonts w:hint="eastAsia" w:ascii="宋体" w:hAnsi="宋体" w:eastAsia="宋体" w:cs="宋体"/>
          <w:b/>
          <w:color w:val="auto"/>
          <w:szCs w:val="21"/>
          <w:highlight w:val="none"/>
        </w:rPr>
      </w:pPr>
    </w:p>
    <w:p w14:paraId="7A0F24AC">
      <w:pPr>
        <w:adjustRightInd w:val="0"/>
        <w:snapToGrid w:val="0"/>
        <w:spacing w:line="360" w:lineRule="auto"/>
        <w:jc w:val="center"/>
        <w:rPr>
          <w:rFonts w:hint="eastAsia" w:ascii="宋体" w:hAnsi="宋体" w:eastAsia="宋体" w:cs="宋体"/>
          <w:b/>
          <w:color w:val="auto"/>
          <w:sz w:val="36"/>
          <w:szCs w:val="36"/>
          <w:highlight w:val="none"/>
        </w:rPr>
      </w:pPr>
    </w:p>
    <w:p w14:paraId="0543796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38" w:name="_Toc3164"/>
      <w:r>
        <w:rPr>
          <w:rFonts w:hint="eastAsia" w:asciiTheme="minorEastAsia" w:hAnsiTheme="minorEastAsia" w:eastAsiaTheme="minorEastAsia" w:cstheme="minorEastAsia"/>
          <w:b/>
          <w:color w:val="auto"/>
          <w:kern w:val="2"/>
          <w:sz w:val="32"/>
          <w:szCs w:val="32"/>
          <w:highlight w:val="none"/>
          <w:lang w:val="en-US" w:eastAsia="zh-CN" w:bidi="ar-SA"/>
        </w:rPr>
        <w:t>1.</w:t>
      </w:r>
      <w:bookmarkEnd w:id="238"/>
      <w:r>
        <w:rPr>
          <w:rFonts w:hint="eastAsia" w:asciiTheme="minorEastAsia" w:hAnsiTheme="minorEastAsia" w:eastAsiaTheme="minorEastAsia" w:cstheme="minorEastAsia"/>
          <w:b/>
          <w:color w:val="auto"/>
          <w:kern w:val="2"/>
          <w:sz w:val="32"/>
          <w:szCs w:val="32"/>
          <w:highlight w:val="none"/>
          <w:lang w:val="en-US" w:eastAsia="zh-CN" w:bidi="ar-SA"/>
        </w:rPr>
        <w:t>投标人基本情况表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534A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4" w:type="dxa"/>
            <w:noWrap w:val="0"/>
            <w:vAlign w:val="center"/>
          </w:tcPr>
          <w:p w14:paraId="3AC157F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7016" w:type="dxa"/>
            <w:gridSpan w:val="9"/>
            <w:noWrap w:val="0"/>
            <w:vAlign w:val="center"/>
          </w:tcPr>
          <w:p w14:paraId="35536D2B">
            <w:pPr>
              <w:topLinePunct/>
              <w:spacing w:line="440" w:lineRule="exact"/>
              <w:jc w:val="center"/>
              <w:rPr>
                <w:rFonts w:hint="eastAsia" w:ascii="宋体" w:hAnsi="宋体" w:eastAsia="宋体" w:cs="宋体"/>
                <w:color w:val="auto"/>
                <w:sz w:val="22"/>
                <w:szCs w:val="22"/>
                <w:highlight w:val="none"/>
              </w:rPr>
            </w:pPr>
          </w:p>
        </w:tc>
      </w:tr>
      <w:tr w14:paraId="33F6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84" w:type="dxa"/>
            <w:noWrap w:val="0"/>
            <w:vAlign w:val="center"/>
          </w:tcPr>
          <w:p w14:paraId="3B4B7CF9">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1416" w:type="dxa"/>
            <w:noWrap w:val="0"/>
            <w:vAlign w:val="center"/>
          </w:tcPr>
          <w:p w14:paraId="1A44B104">
            <w:pPr>
              <w:topLinePunct/>
              <w:spacing w:line="440" w:lineRule="exact"/>
              <w:jc w:val="center"/>
              <w:rPr>
                <w:rFonts w:hint="eastAsia" w:ascii="宋体" w:hAnsi="宋体" w:eastAsia="宋体" w:cs="宋体"/>
                <w:color w:val="auto"/>
                <w:sz w:val="22"/>
                <w:szCs w:val="22"/>
                <w:highlight w:val="none"/>
              </w:rPr>
            </w:pPr>
          </w:p>
        </w:tc>
        <w:tc>
          <w:tcPr>
            <w:tcW w:w="1419" w:type="dxa"/>
            <w:gridSpan w:val="3"/>
            <w:noWrap w:val="0"/>
            <w:vAlign w:val="center"/>
          </w:tcPr>
          <w:p w14:paraId="1787F7F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注册资金</w:t>
            </w:r>
          </w:p>
        </w:tc>
        <w:tc>
          <w:tcPr>
            <w:tcW w:w="1418" w:type="dxa"/>
            <w:noWrap w:val="0"/>
            <w:vAlign w:val="center"/>
          </w:tcPr>
          <w:p w14:paraId="39479953">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48A075F8">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1382" w:type="dxa"/>
            <w:noWrap w:val="0"/>
            <w:vAlign w:val="center"/>
          </w:tcPr>
          <w:p w14:paraId="604B050D">
            <w:pPr>
              <w:topLinePunct/>
              <w:spacing w:line="440" w:lineRule="exact"/>
              <w:jc w:val="center"/>
              <w:rPr>
                <w:rFonts w:hint="eastAsia" w:ascii="宋体" w:hAnsi="宋体" w:eastAsia="宋体" w:cs="宋体"/>
                <w:color w:val="auto"/>
                <w:sz w:val="22"/>
                <w:szCs w:val="22"/>
                <w:highlight w:val="none"/>
              </w:rPr>
            </w:pPr>
          </w:p>
        </w:tc>
      </w:tr>
      <w:tr w14:paraId="6706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4" w:type="dxa"/>
            <w:noWrap w:val="0"/>
            <w:vAlign w:val="center"/>
          </w:tcPr>
          <w:p w14:paraId="44876D42">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4253" w:type="dxa"/>
            <w:gridSpan w:val="5"/>
            <w:noWrap w:val="0"/>
            <w:vAlign w:val="center"/>
          </w:tcPr>
          <w:p w14:paraId="760CA076">
            <w:pPr>
              <w:topLinePunct/>
              <w:spacing w:line="440" w:lineRule="exact"/>
              <w:jc w:val="center"/>
              <w:rPr>
                <w:rFonts w:hint="eastAsia" w:ascii="宋体" w:hAnsi="宋体" w:eastAsia="宋体" w:cs="宋体"/>
                <w:color w:val="auto"/>
                <w:sz w:val="22"/>
                <w:szCs w:val="22"/>
                <w:highlight w:val="none"/>
              </w:rPr>
            </w:pPr>
          </w:p>
        </w:tc>
        <w:tc>
          <w:tcPr>
            <w:tcW w:w="1381" w:type="dxa"/>
            <w:gridSpan w:val="3"/>
            <w:noWrap w:val="0"/>
            <w:vAlign w:val="center"/>
          </w:tcPr>
          <w:p w14:paraId="03AD90C7">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资产总额</w:t>
            </w:r>
          </w:p>
        </w:tc>
        <w:tc>
          <w:tcPr>
            <w:tcW w:w="1382" w:type="dxa"/>
            <w:noWrap w:val="0"/>
            <w:vAlign w:val="center"/>
          </w:tcPr>
          <w:p w14:paraId="23E64723">
            <w:pPr>
              <w:topLinePunct/>
              <w:spacing w:line="440" w:lineRule="exact"/>
              <w:jc w:val="center"/>
              <w:rPr>
                <w:rFonts w:hint="eastAsia" w:ascii="宋体" w:hAnsi="宋体" w:eastAsia="宋体" w:cs="宋体"/>
                <w:color w:val="auto"/>
                <w:sz w:val="22"/>
                <w:szCs w:val="22"/>
                <w:highlight w:val="none"/>
              </w:rPr>
            </w:pPr>
          </w:p>
        </w:tc>
      </w:tr>
      <w:tr w14:paraId="2AD5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0"/>
            <w:vAlign w:val="center"/>
          </w:tcPr>
          <w:p w14:paraId="083FECCE">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上年营业额</w:t>
            </w:r>
          </w:p>
        </w:tc>
        <w:tc>
          <w:tcPr>
            <w:tcW w:w="1416" w:type="dxa"/>
            <w:noWrap w:val="0"/>
            <w:vAlign w:val="center"/>
          </w:tcPr>
          <w:p w14:paraId="6C1E813B">
            <w:pPr>
              <w:topLinePunct/>
              <w:jc w:val="center"/>
              <w:rPr>
                <w:rFonts w:hint="eastAsia" w:ascii="宋体" w:hAnsi="宋体" w:eastAsia="宋体" w:cs="宋体"/>
                <w:color w:val="auto"/>
                <w:sz w:val="22"/>
                <w:szCs w:val="22"/>
                <w:highlight w:val="none"/>
              </w:rPr>
            </w:pPr>
          </w:p>
        </w:tc>
        <w:tc>
          <w:tcPr>
            <w:tcW w:w="1419" w:type="dxa"/>
            <w:gridSpan w:val="3"/>
            <w:noWrap w:val="0"/>
            <w:vAlign w:val="center"/>
          </w:tcPr>
          <w:p w14:paraId="7364651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c>
          <w:tcPr>
            <w:tcW w:w="1418" w:type="dxa"/>
            <w:noWrap w:val="0"/>
            <w:vAlign w:val="center"/>
          </w:tcPr>
          <w:p w14:paraId="145ED53B">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012F11E8">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企业类型</w:t>
            </w:r>
          </w:p>
        </w:tc>
        <w:tc>
          <w:tcPr>
            <w:tcW w:w="1382" w:type="dxa"/>
            <w:noWrap w:val="0"/>
            <w:vAlign w:val="center"/>
          </w:tcPr>
          <w:p w14:paraId="786FFE2E">
            <w:pPr>
              <w:topLinePunct/>
              <w:spacing w:line="440" w:lineRule="exact"/>
              <w:jc w:val="center"/>
              <w:rPr>
                <w:rFonts w:hint="eastAsia" w:ascii="宋体" w:hAnsi="宋体" w:eastAsia="宋体" w:cs="宋体"/>
                <w:color w:val="auto"/>
                <w:sz w:val="22"/>
                <w:szCs w:val="22"/>
                <w:highlight w:val="none"/>
              </w:rPr>
            </w:pPr>
          </w:p>
        </w:tc>
      </w:tr>
      <w:tr w14:paraId="2402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6255B94F">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14:paraId="7C3912A4">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（单位负责人）</w:t>
            </w:r>
          </w:p>
        </w:tc>
        <w:tc>
          <w:tcPr>
            <w:tcW w:w="1416" w:type="dxa"/>
            <w:vMerge w:val="restart"/>
            <w:noWrap w:val="0"/>
            <w:vAlign w:val="center"/>
          </w:tcPr>
          <w:p w14:paraId="72E27E9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419" w:type="dxa"/>
            <w:gridSpan w:val="3"/>
            <w:vMerge w:val="restart"/>
            <w:noWrap w:val="0"/>
            <w:vAlign w:val="center"/>
          </w:tcPr>
          <w:p w14:paraId="59430426">
            <w:pPr>
              <w:topLinePunct/>
              <w:jc w:val="center"/>
              <w:rPr>
                <w:rFonts w:hint="eastAsia" w:ascii="宋体" w:hAnsi="宋体" w:eastAsia="宋体" w:cs="宋体"/>
                <w:color w:val="auto"/>
                <w:sz w:val="22"/>
                <w:szCs w:val="22"/>
                <w:highlight w:val="none"/>
              </w:rPr>
            </w:pPr>
          </w:p>
        </w:tc>
        <w:tc>
          <w:tcPr>
            <w:tcW w:w="1418" w:type="dxa"/>
            <w:vMerge w:val="restart"/>
            <w:noWrap w:val="0"/>
            <w:vAlign w:val="center"/>
          </w:tcPr>
          <w:p w14:paraId="5D57302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381" w:type="dxa"/>
            <w:gridSpan w:val="3"/>
            <w:noWrap w:val="0"/>
            <w:vAlign w:val="center"/>
          </w:tcPr>
          <w:p w14:paraId="397D6535">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w:t>
            </w:r>
          </w:p>
        </w:tc>
        <w:tc>
          <w:tcPr>
            <w:tcW w:w="1382" w:type="dxa"/>
            <w:noWrap w:val="0"/>
            <w:vAlign w:val="center"/>
          </w:tcPr>
          <w:p w14:paraId="0629B031">
            <w:pPr>
              <w:topLinePunct/>
              <w:spacing w:line="440" w:lineRule="exact"/>
              <w:jc w:val="center"/>
              <w:rPr>
                <w:rFonts w:hint="eastAsia" w:ascii="宋体" w:hAnsi="宋体" w:eastAsia="宋体" w:cs="宋体"/>
                <w:color w:val="auto"/>
                <w:sz w:val="22"/>
                <w:szCs w:val="22"/>
                <w:highlight w:val="none"/>
              </w:rPr>
            </w:pPr>
          </w:p>
        </w:tc>
      </w:tr>
      <w:tr w14:paraId="2546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12A743C3">
            <w:pPr>
              <w:topLinePunct/>
              <w:jc w:val="center"/>
              <w:rPr>
                <w:rFonts w:hint="eastAsia" w:ascii="宋体" w:hAnsi="宋体" w:eastAsia="宋体" w:cs="宋体"/>
                <w:color w:val="auto"/>
                <w:sz w:val="22"/>
                <w:szCs w:val="22"/>
                <w:highlight w:val="none"/>
              </w:rPr>
            </w:pPr>
          </w:p>
        </w:tc>
        <w:tc>
          <w:tcPr>
            <w:tcW w:w="1416" w:type="dxa"/>
            <w:vMerge w:val="continue"/>
            <w:noWrap w:val="0"/>
            <w:vAlign w:val="center"/>
          </w:tcPr>
          <w:p w14:paraId="00BB06DE">
            <w:pPr>
              <w:topLinePunct/>
              <w:jc w:val="center"/>
              <w:rPr>
                <w:rFonts w:hint="eastAsia" w:ascii="宋体" w:hAnsi="宋体" w:eastAsia="宋体" w:cs="宋体"/>
                <w:color w:val="auto"/>
                <w:sz w:val="22"/>
                <w:szCs w:val="22"/>
                <w:highlight w:val="none"/>
              </w:rPr>
            </w:pPr>
          </w:p>
        </w:tc>
        <w:tc>
          <w:tcPr>
            <w:tcW w:w="1419" w:type="dxa"/>
            <w:gridSpan w:val="3"/>
            <w:vMerge w:val="continue"/>
            <w:noWrap w:val="0"/>
            <w:vAlign w:val="center"/>
          </w:tcPr>
          <w:p w14:paraId="6FC397E9">
            <w:pPr>
              <w:topLinePunct/>
              <w:jc w:val="center"/>
              <w:rPr>
                <w:rFonts w:hint="eastAsia" w:ascii="宋体" w:hAnsi="宋体" w:eastAsia="宋体" w:cs="宋体"/>
                <w:color w:val="auto"/>
                <w:sz w:val="22"/>
                <w:szCs w:val="22"/>
                <w:highlight w:val="none"/>
              </w:rPr>
            </w:pPr>
          </w:p>
        </w:tc>
        <w:tc>
          <w:tcPr>
            <w:tcW w:w="1418" w:type="dxa"/>
            <w:vMerge w:val="continue"/>
            <w:noWrap w:val="0"/>
            <w:vAlign w:val="center"/>
          </w:tcPr>
          <w:p w14:paraId="5E1AA60E">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186D2141">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w:t>
            </w:r>
          </w:p>
        </w:tc>
        <w:tc>
          <w:tcPr>
            <w:tcW w:w="1382" w:type="dxa"/>
            <w:noWrap w:val="0"/>
            <w:vAlign w:val="center"/>
          </w:tcPr>
          <w:p w14:paraId="54FCB0EA">
            <w:pPr>
              <w:topLinePunct/>
              <w:spacing w:line="440" w:lineRule="exact"/>
              <w:jc w:val="center"/>
              <w:rPr>
                <w:rFonts w:hint="eastAsia" w:ascii="宋体" w:hAnsi="宋体" w:eastAsia="宋体" w:cs="宋体"/>
                <w:color w:val="auto"/>
                <w:sz w:val="22"/>
                <w:szCs w:val="22"/>
                <w:highlight w:val="none"/>
              </w:rPr>
            </w:pPr>
          </w:p>
        </w:tc>
      </w:tr>
      <w:tr w14:paraId="77E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7678D166">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416" w:type="dxa"/>
            <w:vMerge w:val="restart"/>
            <w:noWrap w:val="0"/>
            <w:vAlign w:val="center"/>
          </w:tcPr>
          <w:p w14:paraId="2BBCE174">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1419" w:type="dxa"/>
            <w:gridSpan w:val="3"/>
            <w:vMerge w:val="restart"/>
            <w:noWrap w:val="0"/>
            <w:vAlign w:val="center"/>
          </w:tcPr>
          <w:p w14:paraId="37FB74C3">
            <w:pPr>
              <w:topLinePunct/>
              <w:jc w:val="center"/>
              <w:rPr>
                <w:rFonts w:hint="eastAsia" w:ascii="宋体" w:hAnsi="宋体" w:eastAsia="宋体" w:cs="宋体"/>
                <w:color w:val="auto"/>
                <w:sz w:val="22"/>
                <w:szCs w:val="22"/>
                <w:highlight w:val="none"/>
              </w:rPr>
            </w:pPr>
          </w:p>
        </w:tc>
        <w:tc>
          <w:tcPr>
            <w:tcW w:w="1418" w:type="dxa"/>
            <w:noWrap w:val="0"/>
            <w:vAlign w:val="center"/>
          </w:tcPr>
          <w:p w14:paraId="6A8F119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2763" w:type="dxa"/>
            <w:gridSpan w:val="4"/>
            <w:noWrap w:val="0"/>
            <w:vAlign w:val="center"/>
          </w:tcPr>
          <w:p w14:paraId="253CCA41">
            <w:pPr>
              <w:topLinePunct/>
              <w:spacing w:line="440" w:lineRule="exact"/>
              <w:jc w:val="center"/>
              <w:rPr>
                <w:rFonts w:hint="eastAsia" w:ascii="宋体" w:hAnsi="宋体" w:eastAsia="宋体" w:cs="宋体"/>
                <w:color w:val="auto"/>
                <w:sz w:val="22"/>
                <w:szCs w:val="22"/>
                <w:highlight w:val="none"/>
              </w:rPr>
            </w:pPr>
          </w:p>
        </w:tc>
      </w:tr>
      <w:tr w14:paraId="3107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322D563D">
            <w:pPr>
              <w:topLinePunct/>
              <w:jc w:val="center"/>
              <w:rPr>
                <w:rFonts w:hint="eastAsia" w:ascii="宋体" w:hAnsi="宋体" w:eastAsia="宋体" w:cs="宋体"/>
                <w:color w:val="auto"/>
                <w:sz w:val="22"/>
                <w:szCs w:val="22"/>
                <w:highlight w:val="none"/>
              </w:rPr>
            </w:pPr>
          </w:p>
        </w:tc>
        <w:tc>
          <w:tcPr>
            <w:tcW w:w="1416" w:type="dxa"/>
            <w:vMerge w:val="continue"/>
            <w:noWrap w:val="0"/>
            <w:vAlign w:val="center"/>
          </w:tcPr>
          <w:p w14:paraId="2001B87A">
            <w:pPr>
              <w:topLinePunct/>
              <w:jc w:val="center"/>
              <w:rPr>
                <w:rFonts w:hint="eastAsia" w:ascii="宋体" w:hAnsi="宋体" w:eastAsia="宋体" w:cs="宋体"/>
                <w:color w:val="auto"/>
                <w:sz w:val="22"/>
                <w:szCs w:val="22"/>
                <w:highlight w:val="none"/>
              </w:rPr>
            </w:pPr>
          </w:p>
        </w:tc>
        <w:tc>
          <w:tcPr>
            <w:tcW w:w="1419" w:type="dxa"/>
            <w:gridSpan w:val="3"/>
            <w:vMerge w:val="continue"/>
            <w:noWrap w:val="0"/>
            <w:vAlign w:val="center"/>
          </w:tcPr>
          <w:p w14:paraId="33F0B561">
            <w:pPr>
              <w:topLinePunct/>
              <w:jc w:val="center"/>
              <w:rPr>
                <w:rFonts w:hint="eastAsia" w:ascii="宋体" w:hAnsi="宋体" w:eastAsia="宋体" w:cs="宋体"/>
                <w:color w:val="auto"/>
                <w:sz w:val="22"/>
                <w:szCs w:val="22"/>
                <w:highlight w:val="none"/>
              </w:rPr>
            </w:pPr>
          </w:p>
        </w:tc>
        <w:tc>
          <w:tcPr>
            <w:tcW w:w="1418" w:type="dxa"/>
            <w:noWrap w:val="0"/>
            <w:vAlign w:val="center"/>
          </w:tcPr>
          <w:p w14:paraId="625C584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邮箱</w:t>
            </w:r>
          </w:p>
        </w:tc>
        <w:tc>
          <w:tcPr>
            <w:tcW w:w="2763" w:type="dxa"/>
            <w:gridSpan w:val="4"/>
            <w:noWrap w:val="0"/>
            <w:vAlign w:val="center"/>
          </w:tcPr>
          <w:p w14:paraId="257D64DB">
            <w:pPr>
              <w:topLinePunct/>
              <w:spacing w:line="440" w:lineRule="exact"/>
              <w:jc w:val="center"/>
              <w:rPr>
                <w:rFonts w:hint="eastAsia" w:ascii="宋体" w:hAnsi="宋体" w:eastAsia="宋体" w:cs="宋体"/>
                <w:color w:val="auto"/>
                <w:sz w:val="22"/>
                <w:szCs w:val="22"/>
                <w:highlight w:val="none"/>
              </w:rPr>
            </w:pPr>
          </w:p>
        </w:tc>
      </w:tr>
      <w:tr w14:paraId="233B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0"/>
            <w:vAlign w:val="center"/>
          </w:tcPr>
          <w:p w14:paraId="38F984B2">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基本账户开</w:t>
            </w:r>
            <w:r>
              <w:rPr>
                <w:rFonts w:hint="eastAsia" w:ascii="宋体" w:hAnsi="宋体" w:eastAsia="宋体" w:cs="宋体"/>
                <w:color w:val="auto"/>
                <w:sz w:val="22"/>
                <w:szCs w:val="22"/>
                <w:highlight w:val="none"/>
                <w:lang w:val="en-US" w:eastAsia="zh-CN"/>
              </w:rPr>
              <w:t>户银</w:t>
            </w:r>
            <w:r>
              <w:rPr>
                <w:rFonts w:hint="eastAsia" w:ascii="宋体" w:hAnsi="宋体" w:eastAsia="宋体" w:cs="宋体"/>
                <w:color w:val="auto"/>
                <w:sz w:val="22"/>
                <w:szCs w:val="22"/>
                <w:highlight w:val="none"/>
              </w:rPr>
              <w:t>行</w:t>
            </w:r>
          </w:p>
        </w:tc>
        <w:tc>
          <w:tcPr>
            <w:tcW w:w="2835" w:type="dxa"/>
            <w:gridSpan w:val="4"/>
            <w:noWrap w:val="0"/>
            <w:vAlign w:val="center"/>
          </w:tcPr>
          <w:p w14:paraId="297CC679">
            <w:pPr>
              <w:topLinePunct/>
              <w:spacing w:line="440" w:lineRule="exact"/>
              <w:jc w:val="center"/>
              <w:rPr>
                <w:rFonts w:hint="eastAsia" w:ascii="宋体" w:hAnsi="宋体" w:eastAsia="宋体" w:cs="宋体"/>
                <w:color w:val="auto"/>
                <w:sz w:val="22"/>
                <w:szCs w:val="22"/>
                <w:highlight w:val="none"/>
              </w:rPr>
            </w:pPr>
          </w:p>
        </w:tc>
        <w:tc>
          <w:tcPr>
            <w:tcW w:w="1985" w:type="dxa"/>
            <w:gridSpan w:val="3"/>
            <w:noWrap w:val="0"/>
            <w:vAlign w:val="center"/>
          </w:tcPr>
          <w:p w14:paraId="7FBB6D3F">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基本账户银行账号</w:t>
            </w:r>
          </w:p>
        </w:tc>
        <w:tc>
          <w:tcPr>
            <w:tcW w:w="2196" w:type="dxa"/>
            <w:gridSpan w:val="2"/>
            <w:noWrap w:val="0"/>
            <w:vAlign w:val="center"/>
          </w:tcPr>
          <w:p w14:paraId="232F0154">
            <w:pPr>
              <w:topLinePunct/>
              <w:spacing w:line="440" w:lineRule="exact"/>
              <w:jc w:val="center"/>
              <w:rPr>
                <w:rFonts w:hint="eastAsia" w:ascii="宋体" w:hAnsi="宋体" w:eastAsia="宋体" w:cs="宋体"/>
                <w:color w:val="auto"/>
                <w:sz w:val="22"/>
                <w:szCs w:val="22"/>
                <w:highlight w:val="none"/>
              </w:rPr>
            </w:pPr>
          </w:p>
        </w:tc>
      </w:tr>
      <w:tr w14:paraId="50AF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1984" w:type="dxa"/>
            <w:noWrap w:val="0"/>
            <w:vAlign w:val="center"/>
          </w:tcPr>
          <w:p w14:paraId="6E44CCE5">
            <w:pPr>
              <w:topLinePunct/>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投标人关联企业情况（包括但不限于与投标人法定代表人为同一人或者存在控股、管理关系的不同单位）</w:t>
            </w:r>
          </w:p>
        </w:tc>
        <w:tc>
          <w:tcPr>
            <w:tcW w:w="7016" w:type="dxa"/>
            <w:gridSpan w:val="9"/>
            <w:noWrap w:val="0"/>
            <w:vAlign w:val="center"/>
          </w:tcPr>
          <w:p w14:paraId="35FF009B">
            <w:pPr>
              <w:topLinePunct/>
              <w:spacing w:line="440" w:lineRule="exact"/>
              <w:jc w:val="center"/>
              <w:rPr>
                <w:rFonts w:hint="eastAsia" w:ascii="宋体" w:hAnsi="宋体" w:eastAsia="宋体" w:cs="宋体"/>
                <w:color w:val="auto"/>
                <w:sz w:val="22"/>
                <w:szCs w:val="22"/>
                <w:highlight w:val="none"/>
              </w:rPr>
            </w:pPr>
          </w:p>
        </w:tc>
      </w:tr>
      <w:tr w14:paraId="040D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15A1F5BF">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投标人需具有的资质证书</w:t>
            </w:r>
          </w:p>
        </w:tc>
        <w:tc>
          <w:tcPr>
            <w:tcW w:w="1068" w:type="dxa"/>
            <w:noWrap w:val="0"/>
            <w:vAlign w:val="center"/>
          </w:tcPr>
          <w:p w14:paraId="637D16A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等级</w:t>
            </w:r>
          </w:p>
        </w:tc>
        <w:tc>
          <w:tcPr>
            <w:tcW w:w="1701" w:type="dxa"/>
            <w:gridSpan w:val="3"/>
            <w:noWrap w:val="0"/>
            <w:vAlign w:val="center"/>
          </w:tcPr>
          <w:p w14:paraId="03448A8D">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2623" w:type="dxa"/>
            <w:gridSpan w:val="3"/>
            <w:noWrap w:val="0"/>
            <w:vAlign w:val="center"/>
          </w:tcPr>
          <w:p w14:paraId="200F3FF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证书号</w:t>
            </w:r>
          </w:p>
        </w:tc>
      </w:tr>
      <w:tr w14:paraId="1848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2791B965">
            <w:pPr>
              <w:topLinePunct/>
              <w:jc w:val="center"/>
              <w:rPr>
                <w:rFonts w:hint="eastAsia" w:ascii="宋体" w:hAnsi="宋体" w:eastAsia="宋体" w:cs="宋体"/>
                <w:color w:val="auto"/>
                <w:sz w:val="22"/>
                <w:szCs w:val="22"/>
                <w:highlight w:val="none"/>
              </w:rPr>
            </w:pPr>
          </w:p>
        </w:tc>
        <w:tc>
          <w:tcPr>
            <w:tcW w:w="1068" w:type="dxa"/>
            <w:noWrap w:val="0"/>
            <w:vAlign w:val="center"/>
          </w:tcPr>
          <w:p w14:paraId="17EE3DF8">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AE91C21">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6D0F8871">
            <w:pPr>
              <w:topLinePunct/>
              <w:jc w:val="center"/>
              <w:rPr>
                <w:rFonts w:hint="eastAsia" w:ascii="宋体" w:hAnsi="宋体" w:eastAsia="宋体" w:cs="宋体"/>
                <w:color w:val="auto"/>
                <w:sz w:val="22"/>
                <w:szCs w:val="22"/>
                <w:highlight w:val="none"/>
              </w:rPr>
            </w:pPr>
          </w:p>
        </w:tc>
      </w:tr>
      <w:tr w14:paraId="20D5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1B121271">
            <w:pPr>
              <w:topLinePunct/>
              <w:jc w:val="center"/>
              <w:rPr>
                <w:rFonts w:hint="eastAsia" w:ascii="宋体" w:hAnsi="宋体" w:eastAsia="宋体" w:cs="宋体"/>
                <w:color w:val="auto"/>
                <w:sz w:val="22"/>
                <w:szCs w:val="22"/>
                <w:highlight w:val="none"/>
              </w:rPr>
            </w:pPr>
          </w:p>
        </w:tc>
        <w:tc>
          <w:tcPr>
            <w:tcW w:w="1068" w:type="dxa"/>
            <w:noWrap w:val="0"/>
            <w:vAlign w:val="center"/>
          </w:tcPr>
          <w:p w14:paraId="4DD946C7">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7BE37ED">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735E5416">
            <w:pPr>
              <w:topLinePunct/>
              <w:jc w:val="center"/>
              <w:rPr>
                <w:rFonts w:hint="eastAsia" w:ascii="宋体" w:hAnsi="宋体" w:eastAsia="宋体" w:cs="宋体"/>
                <w:color w:val="auto"/>
                <w:sz w:val="22"/>
                <w:szCs w:val="22"/>
                <w:highlight w:val="none"/>
              </w:rPr>
            </w:pPr>
          </w:p>
        </w:tc>
      </w:tr>
      <w:tr w14:paraId="6D6A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14:paraId="70E6D091">
            <w:pPr>
              <w:topLinePunct/>
              <w:jc w:val="center"/>
              <w:rPr>
                <w:rFonts w:hint="eastAsia" w:ascii="宋体" w:hAnsi="宋体" w:eastAsia="宋体" w:cs="宋体"/>
                <w:color w:val="auto"/>
                <w:sz w:val="22"/>
                <w:szCs w:val="22"/>
                <w:highlight w:val="none"/>
              </w:rPr>
            </w:pPr>
          </w:p>
        </w:tc>
        <w:tc>
          <w:tcPr>
            <w:tcW w:w="1068" w:type="dxa"/>
            <w:noWrap w:val="0"/>
            <w:vAlign w:val="center"/>
          </w:tcPr>
          <w:p w14:paraId="3B4A3AEF">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A48FC14">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213D3CDD">
            <w:pPr>
              <w:topLinePunct/>
              <w:jc w:val="center"/>
              <w:rPr>
                <w:rFonts w:hint="eastAsia" w:ascii="宋体" w:hAnsi="宋体" w:eastAsia="宋体" w:cs="宋体"/>
                <w:color w:val="auto"/>
                <w:sz w:val="22"/>
                <w:szCs w:val="22"/>
                <w:highlight w:val="none"/>
              </w:rPr>
            </w:pPr>
          </w:p>
        </w:tc>
      </w:tr>
      <w:tr w14:paraId="6C6B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3608" w:type="dxa"/>
            <w:gridSpan w:val="3"/>
            <w:noWrap w:val="0"/>
            <w:vAlign w:val="center"/>
          </w:tcPr>
          <w:p w14:paraId="4FDD1B3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投标产品制造商名称</w:t>
            </w:r>
          </w:p>
        </w:tc>
        <w:tc>
          <w:tcPr>
            <w:tcW w:w="5392" w:type="dxa"/>
            <w:gridSpan w:val="7"/>
            <w:noWrap w:val="0"/>
            <w:vAlign w:val="center"/>
          </w:tcPr>
          <w:p w14:paraId="6F331297">
            <w:pPr>
              <w:topLinePunct/>
              <w:jc w:val="center"/>
              <w:rPr>
                <w:rFonts w:hint="eastAsia" w:ascii="宋体" w:hAnsi="宋体" w:eastAsia="宋体" w:cs="宋体"/>
                <w:color w:val="auto"/>
                <w:sz w:val="22"/>
                <w:szCs w:val="22"/>
                <w:highlight w:val="none"/>
              </w:rPr>
            </w:pPr>
          </w:p>
        </w:tc>
      </w:tr>
      <w:tr w14:paraId="4E5A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39A1446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投标产品制造商需具有的资质证书</w:t>
            </w:r>
          </w:p>
        </w:tc>
        <w:tc>
          <w:tcPr>
            <w:tcW w:w="1068" w:type="dxa"/>
            <w:noWrap w:val="0"/>
            <w:vAlign w:val="center"/>
          </w:tcPr>
          <w:p w14:paraId="0F6F057E">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等级</w:t>
            </w:r>
          </w:p>
        </w:tc>
        <w:tc>
          <w:tcPr>
            <w:tcW w:w="1701" w:type="dxa"/>
            <w:gridSpan w:val="3"/>
            <w:noWrap w:val="0"/>
            <w:vAlign w:val="center"/>
          </w:tcPr>
          <w:p w14:paraId="177CA58A">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2623" w:type="dxa"/>
            <w:gridSpan w:val="3"/>
            <w:noWrap w:val="0"/>
            <w:vAlign w:val="center"/>
          </w:tcPr>
          <w:p w14:paraId="6308487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证书号</w:t>
            </w:r>
          </w:p>
        </w:tc>
      </w:tr>
      <w:tr w14:paraId="16A8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2D0150CF">
            <w:pPr>
              <w:topLinePunct/>
              <w:jc w:val="center"/>
              <w:rPr>
                <w:rFonts w:hint="eastAsia" w:ascii="宋体" w:hAnsi="宋体" w:eastAsia="宋体" w:cs="宋体"/>
                <w:color w:val="auto"/>
                <w:sz w:val="22"/>
                <w:szCs w:val="22"/>
                <w:highlight w:val="none"/>
              </w:rPr>
            </w:pPr>
          </w:p>
        </w:tc>
        <w:tc>
          <w:tcPr>
            <w:tcW w:w="1068" w:type="dxa"/>
            <w:noWrap w:val="0"/>
            <w:vAlign w:val="center"/>
          </w:tcPr>
          <w:p w14:paraId="452CA00E">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05986AE3">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4228B5EE">
            <w:pPr>
              <w:topLinePunct/>
              <w:jc w:val="center"/>
              <w:rPr>
                <w:rFonts w:hint="eastAsia" w:ascii="宋体" w:hAnsi="宋体" w:eastAsia="宋体" w:cs="宋体"/>
                <w:color w:val="auto"/>
                <w:sz w:val="22"/>
                <w:szCs w:val="22"/>
                <w:highlight w:val="none"/>
              </w:rPr>
            </w:pPr>
          </w:p>
        </w:tc>
      </w:tr>
      <w:tr w14:paraId="7D8E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14B8A6DF">
            <w:pPr>
              <w:topLinePunct/>
              <w:jc w:val="center"/>
              <w:rPr>
                <w:rFonts w:hint="eastAsia" w:ascii="宋体" w:hAnsi="宋体" w:eastAsia="宋体" w:cs="宋体"/>
                <w:color w:val="auto"/>
                <w:sz w:val="22"/>
                <w:szCs w:val="22"/>
                <w:highlight w:val="none"/>
              </w:rPr>
            </w:pPr>
          </w:p>
        </w:tc>
        <w:tc>
          <w:tcPr>
            <w:tcW w:w="1068" w:type="dxa"/>
            <w:noWrap w:val="0"/>
            <w:vAlign w:val="center"/>
          </w:tcPr>
          <w:p w14:paraId="6741DCB6">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14D458DC">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41DF60E9">
            <w:pPr>
              <w:topLinePunct/>
              <w:jc w:val="center"/>
              <w:rPr>
                <w:rFonts w:hint="eastAsia" w:ascii="宋体" w:hAnsi="宋体" w:eastAsia="宋体" w:cs="宋体"/>
                <w:color w:val="auto"/>
                <w:sz w:val="22"/>
                <w:szCs w:val="22"/>
                <w:highlight w:val="none"/>
              </w:rPr>
            </w:pPr>
          </w:p>
        </w:tc>
      </w:tr>
      <w:tr w14:paraId="483B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38E55CA0">
            <w:pPr>
              <w:topLinePunct/>
              <w:jc w:val="center"/>
              <w:rPr>
                <w:rFonts w:hint="eastAsia" w:ascii="宋体" w:hAnsi="宋体" w:eastAsia="宋体" w:cs="宋体"/>
                <w:color w:val="auto"/>
                <w:sz w:val="22"/>
                <w:szCs w:val="22"/>
                <w:highlight w:val="none"/>
              </w:rPr>
            </w:pPr>
          </w:p>
        </w:tc>
        <w:tc>
          <w:tcPr>
            <w:tcW w:w="1068" w:type="dxa"/>
            <w:noWrap w:val="0"/>
            <w:vAlign w:val="center"/>
          </w:tcPr>
          <w:p w14:paraId="73D9D2A2">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30DE6884">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28CD259D">
            <w:pPr>
              <w:topLinePunct/>
              <w:jc w:val="center"/>
              <w:rPr>
                <w:rFonts w:hint="eastAsia" w:ascii="宋体" w:hAnsi="宋体" w:eastAsia="宋体" w:cs="宋体"/>
                <w:color w:val="auto"/>
                <w:sz w:val="22"/>
                <w:szCs w:val="22"/>
                <w:highlight w:val="none"/>
              </w:rPr>
            </w:pPr>
          </w:p>
        </w:tc>
      </w:tr>
    </w:tbl>
    <w:p w14:paraId="691BB4B2">
      <w:pPr>
        <w:keepNext w:val="0"/>
        <w:keepLines w:val="0"/>
        <w:pageBreakBefore w:val="0"/>
        <w:widowControl w:val="0"/>
        <w:kinsoku/>
        <w:wordWrap/>
        <w:overflowPunct/>
        <w:topLinePunct w:val="0"/>
        <w:autoSpaceDE/>
        <w:autoSpaceDN/>
        <w:bidi w:val="0"/>
        <w:adjustRightInd w:val="0"/>
        <w:snapToGrid w:val="0"/>
        <w:spacing w:line="480" w:lineRule="exact"/>
        <w:ind w:left="0" w:hanging="660" w:hanging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说明：企业类型指大型、中型、小型、微型；上年营业收入、资产总额应与财务报表中的数据</w:t>
      </w:r>
    </w:p>
    <w:p w14:paraId="70DD0188">
      <w:pPr>
        <w:keepNext w:val="0"/>
        <w:keepLines w:val="0"/>
        <w:pageBreakBefore w:val="0"/>
        <w:widowControl w:val="0"/>
        <w:kinsoku/>
        <w:wordWrap/>
        <w:overflowPunct/>
        <w:topLinePunct w:val="0"/>
        <w:autoSpaceDE/>
        <w:autoSpaceDN/>
        <w:bidi w:val="0"/>
        <w:adjustRightInd w:val="0"/>
        <w:snapToGrid w:val="0"/>
        <w:spacing w:line="480" w:lineRule="exact"/>
        <w:ind w:left="0" w:hanging="660" w:hanging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一致， 金额单位为万元。</w:t>
      </w:r>
    </w:p>
    <w:p w14:paraId="025B9233">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8BD44E9">
      <w:pPr>
        <w:keepNext w:val="0"/>
        <w:keepLines w:val="0"/>
        <w:pageBreakBefore w:val="0"/>
        <w:widowControl w:val="0"/>
        <w:kinsoku/>
        <w:wordWrap/>
        <w:overflowPunct/>
        <w:topLinePunct w:val="0"/>
        <w:autoSpaceDE/>
        <w:autoSpaceDN/>
        <w:bidi w:val="0"/>
        <w:adjustRightInd w:val="0"/>
        <w:spacing w:line="480" w:lineRule="exact"/>
        <w:ind w:lef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p>
    <w:p w14:paraId="7B264151">
      <w:pPr>
        <w:keepNext w:val="0"/>
        <w:keepLines w:val="0"/>
        <w:pageBreakBefore w:val="0"/>
        <w:widowControl w:val="0"/>
        <w:kinsoku/>
        <w:wordWrap/>
        <w:overflowPunct/>
        <w:topLinePunct w:val="0"/>
        <w:autoSpaceDE/>
        <w:autoSpaceDN/>
        <w:bidi w:val="0"/>
        <w:adjustRightInd w:val="0"/>
        <w:spacing w:line="480" w:lineRule="exact"/>
        <w:ind w:lef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5E092A7">
      <w:pPr>
        <w:adjustRightInd w:val="0"/>
        <w:snapToGrid w:val="0"/>
        <w:spacing w:line="360" w:lineRule="auto"/>
        <w:jc w:val="center"/>
        <w:rPr>
          <w:rFonts w:hint="eastAsia" w:ascii="宋体" w:hAnsi="宋体" w:eastAsia="宋体" w:cs="宋体"/>
          <w:b/>
          <w:color w:val="auto"/>
          <w:sz w:val="36"/>
          <w:szCs w:val="36"/>
          <w:highlight w:val="none"/>
        </w:rPr>
      </w:pPr>
    </w:p>
    <w:p w14:paraId="446CF49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39" w:name="_Toc26477"/>
      <w:r>
        <w:rPr>
          <w:rFonts w:hint="eastAsia" w:asciiTheme="minorEastAsia" w:hAnsiTheme="minorEastAsia" w:eastAsiaTheme="minorEastAsia" w:cstheme="minorEastAsia"/>
          <w:b/>
          <w:color w:val="auto"/>
          <w:kern w:val="2"/>
          <w:sz w:val="32"/>
          <w:szCs w:val="32"/>
          <w:highlight w:val="none"/>
          <w:lang w:val="en-US" w:eastAsia="zh-CN" w:bidi="ar-SA"/>
        </w:rPr>
        <w:t>2.</w:t>
      </w:r>
      <w:bookmarkEnd w:id="239"/>
      <w:r>
        <w:rPr>
          <w:rFonts w:hint="eastAsia" w:asciiTheme="minorEastAsia" w:hAnsiTheme="minorEastAsia" w:eastAsiaTheme="minorEastAsia" w:cstheme="minorEastAsia"/>
          <w:b/>
          <w:color w:val="auto"/>
          <w:kern w:val="2"/>
          <w:sz w:val="32"/>
          <w:szCs w:val="32"/>
          <w:highlight w:val="none"/>
          <w:lang w:val="en-US" w:eastAsia="zh-CN" w:bidi="ar-SA"/>
        </w:rPr>
        <w:t>法定代表人身份证明书</w:t>
      </w:r>
    </w:p>
    <w:p w14:paraId="26EC9CEA">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w:t>
      </w:r>
      <w:r>
        <w:rPr>
          <w:rFonts w:hint="eastAsia" w:ascii="宋体" w:hAnsi="宋体" w:eastAsia="宋体" w:cs="宋体"/>
          <w:color w:val="auto"/>
          <w:kern w:val="0"/>
          <w:sz w:val="22"/>
          <w:szCs w:val="22"/>
          <w:highlight w:val="none"/>
        </w:rPr>
        <w:t>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2433FCE2">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2A5DABE0">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姓名：</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性别：</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年龄：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职务：</w:t>
      </w:r>
      <w:r>
        <w:rPr>
          <w:rFonts w:hint="eastAsia" w:ascii="宋体" w:hAnsi="宋体" w:eastAsia="宋体" w:cs="宋体"/>
          <w:color w:val="auto"/>
          <w:kern w:val="0"/>
          <w:sz w:val="22"/>
          <w:szCs w:val="22"/>
          <w:highlight w:val="none"/>
          <w:u w:val="single"/>
        </w:rPr>
        <w:t xml:space="preserve">             </w:t>
      </w:r>
    </w:p>
    <w:p w14:paraId="0C977DE8">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（投标</w:t>
      </w:r>
      <w:r>
        <w:rPr>
          <w:rFonts w:hint="eastAsia" w:ascii="宋体" w:hAnsi="宋体" w:eastAsia="宋体" w:cs="宋体"/>
          <w:color w:val="auto"/>
          <w:sz w:val="22"/>
          <w:szCs w:val="22"/>
          <w:highlight w:val="none"/>
        </w:rPr>
        <w:t>人</w:t>
      </w:r>
      <w:r>
        <w:rPr>
          <w:rFonts w:hint="eastAsia" w:ascii="宋体" w:hAnsi="宋体" w:eastAsia="宋体" w:cs="宋体"/>
          <w:color w:val="auto"/>
          <w:kern w:val="0"/>
          <w:sz w:val="22"/>
          <w:szCs w:val="22"/>
          <w:highlight w:val="none"/>
        </w:rPr>
        <w:t>名称）的法定代表人。</w:t>
      </w:r>
    </w:p>
    <w:p w14:paraId="11F56B9F">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特此证明。</w:t>
      </w:r>
    </w:p>
    <w:p w14:paraId="23C5A979">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附：法定代表人身份证复印件</w:t>
      </w:r>
    </w:p>
    <w:tbl>
      <w:tblPr>
        <w:tblStyle w:val="23"/>
        <w:tblpPr w:leftFromText="180" w:rightFromText="180" w:vertAnchor="text" w:horzAnchor="margin" w:tblpXSpec="center" w:tblpY="104"/>
        <w:tblW w:w="0" w:type="auto"/>
        <w:tblInd w:w="-2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78D7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8840" w:type="dxa"/>
            <w:noWrap w:val="0"/>
            <w:vAlign w:val="center"/>
          </w:tcPr>
          <w:p w14:paraId="2BF99CE2">
            <w:pPr>
              <w:snapToGrid w:val="0"/>
              <w:spacing w:line="480" w:lineRule="auto"/>
              <w:jc w:val="center"/>
              <w:rPr>
                <w:rFonts w:hint="eastAsia" w:ascii="宋体" w:hAnsi="宋体" w:eastAsia="宋体" w:cs="宋体"/>
                <w:color w:val="auto"/>
                <w:szCs w:val="21"/>
                <w:highlight w:val="none"/>
              </w:rPr>
            </w:pPr>
          </w:p>
          <w:p w14:paraId="5D6B0247">
            <w:pPr>
              <w:snapToGrid w:val="0"/>
              <w:spacing w:line="480" w:lineRule="auto"/>
              <w:jc w:val="center"/>
              <w:rPr>
                <w:rFonts w:hint="eastAsia" w:ascii="宋体" w:hAnsi="宋体" w:eastAsia="宋体" w:cs="宋体"/>
                <w:color w:val="auto"/>
                <w:szCs w:val="21"/>
                <w:highlight w:val="none"/>
              </w:rPr>
            </w:pPr>
          </w:p>
          <w:p w14:paraId="1EEE9BB0">
            <w:pPr>
              <w:autoSpaceDE w:val="0"/>
              <w:autoSpaceDN w:val="0"/>
              <w:adjustRightInd w:val="0"/>
              <w:snapToGrid w:val="0"/>
              <w:spacing w:before="120" w:beforeLines="5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法定代表人身份证复印件粘贴处</w:t>
            </w:r>
          </w:p>
          <w:p w14:paraId="4B5906F1">
            <w:pPr>
              <w:snapToGrid w:val="0"/>
              <w:spacing w:line="480" w:lineRule="auto"/>
              <w:jc w:val="center"/>
              <w:rPr>
                <w:rFonts w:hint="eastAsia" w:ascii="宋体" w:hAnsi="宋体" w:eastAsia="宋体" w:cs="宋体"/>
                <w:color w:val="auto"/>
                <w:szCs w:val="21"/>
                <w:highlight w:val="none"/>
              </w:rPr>
            </w:pPr>
          </w:p>
          <w:p w14:paraId="07DA936D">
            <w:pPr>
              <w:snapToGrid w:val="0"/>
              <w:spacing w:line="480" w:lineRule="auto"/>
              <w:jc w:val="center"/>
              <w:rPr>
                <w:rFonts w:hint="eastAsia" w:ascii="宋体" w:hAnsi="宋体" w:eastAsia="宋体" w:cs="宋体"/>
                <w:color w:val="auto"/>
                <w:szCs w:val="21"/>
                <w:highlight w:val="none"/>
              </w:rPr>
            </w:pPr>
          </w:p>
        </w:tc>
      </w:tr>
    </w:tbl>
    <w:p w14:paraId="611C4F33">
      <w:pPr>
        <w:adjustRightInd w:val="0"/>
        <w:snapToGrid w:val="0"/>
        <w:spacing w:line="360" w:lineRule="auto"/>
        <w:ind w:righ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5F47FD25">
      <w:pPr>
        <w:adjustRightInd w:val="0"/>
        <w:snapToGrid w:val="0"/>
        <w:spacing w:line="360" w:lineRule="auto"/>
        <w:ind w:righ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  年  月  日</w:t>
      </w:r>
    </w:p>
    <w:p w14:paraId="142DD02A">
      <w:pPr>
        <w:adjustRightInd w:val="0"/>
        <w:snapToGrid w:val="0"/>
        <w:spacing w:line="360" w:lineRule="auto"/>
        <w:ind w:right="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说明：仅限法定代表人参加投标时提供</w:t>
      </w:r>
      <w:r>
        <w:rPr>
          <w:rFonts w:hint="eastAsia" w:ascii="宋体" w:hAnsi="宋体" w:cs="宋体"/>
          <w:color w:val="auto"/>
          <w:sz w:val="22"/>
          <w:szCs w:val="22"/>
          <w:highlight w:val="none"/>
          <w:lang w:eastAsia="zh-CN"/>
        </w:rPr>
        <w:t>。</w:t>
      </w:r>
    </w:p>
    <w:p w14:paraId="2AA6C81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40" w:name="_Toc9116"/>
      <w:r>
        <w:rPr>
          <w:rFonts w:hint="eastAsia" w:asciiTheme="minorEastAsia" w:hAnsiTheme="minorEastAsia" w:eastAsiaTheme="minorEastAsia" w:cstheme="minorEastAsia"/>
          <w:b/>
          <w:color w:val="auto"/>
          <w:kern w:val="2"/>
          <w:sz w:val="32"/>
          <w:szCs w:val="32"/>
          <w:highlight w:val="none"/>
          <w:lang w:val="en-US" w:eastAsia="zh-CN" w:bidi="ar-SA"/>
        </w:rPr>
        <w:t>3.</w:t>
      </w:r>
      <w:bookmarkEnd w:id="240"/>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14:paraId="434CACD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本人</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（姓名）系</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（投标人名称）的法定代表人，现委托</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（姓名）为我方代理人。代理人根据授权，以我方的名义签署、澄清确认、递交、撤回、修改</w:t>
      </w:r>
      <w:r>
        <w:rPr>
          <w:rFonts w:hint="eastAsia" w:ascii="宋体" w:hAnsi="宋体" w:eastAsia="宋体" w:cs="宋体"/>
          <w:color w:val="auto"/>
          <w:sz w:val="22"/>
          <w:szCs w:val="22"/>
          <w:highlight w:val="none"/>
          <w:u w:val="single"/>
          <w:lang w:val="zh-CN"/>
        </w:rPr>
        <w:t xml:space="preserve">         （采购项目</w:t>
      </w:r>
      <w:r>
        <w:rPr>
          <w:rFonts w:hint="eastAsia" w:ascii="宋体" w:hAnsi="宋体" w:eastAsia="宋体" w:cs="宋体"/>
          <w:color w:val="auto"/>
          <w:sz w:val="22"/>
          <w:szCs w:val="22"/>
          <w:highlight w:val="none"/>
          <w:u w:val="single"/>
          <w:lang w:val="en-US" w:eastAsia="zh-CN"/>
        </w:rPr>
        <w:t>名称</w:t>
      </w:r>
      <w:r>
        <w:rPr>
          <w:rFonts w:hint="eastAsia" w:ascii="宋体" w:hAnsi="宋体" w:eastAsia="宋体" w:cs="宋体"/>
          <w:color w:val="auto"/>
          <w:sz w:val="22"/>
          <w:szCs w:val="22"/>
          <w:highlight w:val="none"/>
          <w:u w:val="single"/>
          <w:lang w:val="zh-CN"/>
        </w:rPr>
        <w:t>）</w:t>
      </w:r>
      <w:r>
        <w:rPr>
          <w:rFonts w:hint="eastAsia" w:ascii="宋体" w:hAnsi="宋体" w:eastAsia="宋体" w:cs="宋体"/>
          <w:color w:val="auto"/>
          <w:sz w:val="22"/>
          <w:szCs w:val="22"/>
          <w:highlight w:val="none"/>
          <w:lang w:val="zh-CN"/>
        </w:rPr>
        <w:t>投标文件、签订合同和全权处理一切与之有关的事宜，</w:t>
      </w:r>
      <w:r>
        <w:rPr>
          <w:rFonts w:hint="eastAsia" w:ascii="宋体" w:hAnsi="宋体" w:eastAsia="宋体" w:cs="宋体"/>
          <w:color w:val="auto"/>
          <w:kern w:val="0"/>
          <w:sz w:val="22"/>
          <w:szCs w:val="22"/>
          <w:highlight w:val="none"/>
        </w:rPr>
        <w:t>其法律后果由我方承担。</w:t>
      </w:r>
    </w:p>
    <w:p w14:paraId="5C0F50B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委托期限</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日至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日。</w:t>
      </w:r>
    </w:p>
    <w:p w14:paraId="154BA68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0473F9AD">
      <w:pPr>
        <w:keepNext w:val="0"/>
        <w:keepLines w:val="0"/>
        <w:pageBreakBefore w:val="0"/>
        <w:widowControl w:val="0"/>
        <w:kinsoku/>
        <w:wordWrap/>
        <w:overflowPunct/>
        <w:topLinePunct w:val="0"/>
        <w:autoSpaceDE/>
        <w:autoSpaceDN/>
        <w:bidi w:val="0"/>
        <w:adjustRightInd/>
        <w:snapToGrid/>
        <w:spacing w:line="480" w:lineRule="exact"/>
        <w:ind w:firstLine="220" w:firstLineChars="1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附：法定代表人身份证复印件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委托代理人身份证复印件</w:t>
      </w:r>
    </w:p>
    <w:tbl>
      <w:tblPr>
        <w:tblStyle w:val="23"/>
        <w:tblW w:w="0" w:type="auto"/>
        <w:tblInd w:w="359" w:type="dxa"/>
        <w:tblLayout w:type="fixed"/>
        <w:tblCellMar>
          <w:top w:w="0" w:type="dxa"/>
          <w:left w:w="108" w:type="dxa"/>
          <w:bottom w:w="0" w:type="dxa"/>
          <w:right w:w="108" w:type="dxa"/>
        </w:tblCellMar>
      </w:tblPr>
      <w:tblGrid>
        <w:gridCol w:w="4262"/>
        <w:gridCol w:w="3915"/>
      </w:tblGrid>
      <w:tr w14:paraId="765B0AC5">
        <w:tblPrEx>
          <w:tblCellMar>
            <w:top w:w="0" w:type="dxa"/>
            <w:left w:w="108" w:type="dxa"/>
            <w:bottom w:w="0" w:type="dxa"/>
            <w:right w:w="108" w:type="dxa"/>
          </w:tblCellMar>
        </w:tblPrEx>
        <w:trPr>
          <w:trHeight w:val="3117" w:hRule="atLeast"/>
        </w:trPr>
        <w:tc>
          <w:tcPr>
            <w:tcW w:w="4262" w:type="dxa"/>
            <w:tcBorders>
              <w:top w:val="single" w:color="auto" w:sz="6" w:space="0"/>
              <w:left w:val="single" w:color="auto" w:sz="6" w:space="0"/>
              <w:bottom w:val="single" w:color="auto" w:sz="6" w:space="0"/>
              <w:right w:val="single" w:color="auto" w:sz="6" w:space="0"/>
            </w:tcBorders>
            <w:noWrap w:val="0"/>
            <w:vAlign w:val="center"/>
          </w:tcPr>
          <w:p w14:paraId="0A381CF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4EC127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委托代理人身份证复印件</w:t>
            </w:r>
          </w:p>
        </w:tc>
      </w:tr>
    </w:tbl>
    <w:p w14:paraId="3645818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65D9DE0">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（盖单位章） </w:t>
      </w:r>
    </w:p>
    <w:p w14:paraId="69B0937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043B28F">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（签字）</w:t>
      </w:r>
    </w:p>
    <w:p w14:paraId="22586530">
      <w:pPr>
        <w:keepNext w:val="0"/>
        <w:keepLines w:val="0"/>
        <w:pageBreakBefore w:val="0"/>
        <w:widowControl w:val="0"/>
        <w:kinsoku/>
        <w:wordWrap/>
        <w:overflowPunct/>
        <w:topLinePunct w:val="0"/>
        <w:autoSpaceDE/>
        <w:autoSpaceDN/>
        <w:bidi w:val="0"/>
        <w:adjustRightInd/>
        <w:snapToGrid/>
        <w:spacing w:line="480" w:lineRule="exact"/>
        <w:ind w:firstLine="3630" w:firstLineChars="1650"/>
        <w:textAlignment w:val="auto"/>
        <w:rPr>
          <w:rFonts w:hint="eastAsia" w:ascii="宋体" w:hAnsi="宋体" w:eastAsia="宋体" w:cs="宋体"/>
          <w:color w:val="auto"/>
          <w:sz w:val="22"/>
          <w:szCs w:val="22"/>
          <w:highlight w:val="none"/>
        </w:rPr>
      </w:pPr>
    </w:p>
    <w:p w14:paraId="1B3026BE">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 份 证 号：</w:t>
      </w:r>
      <w:r>
        <w:rPr>
          <w:rFonts w:hint="eastAsia" w:ascii="宋体" w:hAnsi="宋体" w:eastAsia="宋体" w:cs="宋体"/>
          <w:color w:val="auto"/>
          <w:sz w:val="22"/>
          <w:szCs w:val="22"/>
          <w:highlight w:val="none"/>
          <w:u w:val="single"/>
        </w:rPr>
        <w:t xml:space="preserve">                         </w:t>
      </w:r>
    </w:p>
    <w:p w14:paraId="37BFCAE6">
      <w:pPr>
        <w:keepNext w:val="0"/>
        <w:keepLines w:val="0"/>
        <w:pageBreakBefore w:val="0"/>
        <w:widowControl w:val="0"/>
        <w:kinsoku/>
        <w:wordWrap/>
        <w:overflowPunct/>
        <w:topLinePunct w:val="0"/>
        <w:autoSpaceDE/>
        <w:autoSpaceDN/>
        <w:bidi w:val="0"/>
        <w:adjustRightInd/>
        <w:snapToGrid/>
        <w:spacing w:line="480" w:lineRule="exact"/>
        <w:ind w:firstLine="3630" w:firstLineChars="1650"/>
        <w:textAlignment w:val="auto"/>
        <w:rPr>
          <w:rFonts w:hint="eastAsia" w:ascii="宋体" w:hAnsi="宋体" w:eastAsia="宋体" w:cs="宋体"/>
          <w:color w:val="auto"/>
          <w:sz w:val="22"/>
          <w:szCs w:val="22"/>
          <w:highlight w:val="none"/>
        </w:rPr>
      </w:pPr>
    </w:p>
    <w:p w14:paraId="749B7502">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（签字）     </w:t>
      </w:r>
    </w:p>
    <w:p w14:paraId="1315808B">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rPr>
      </w:pPr>
    </w:p>
    <w:p w14:paraId="23949DF6">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 份 证 号：</w:t>
      </w:r>
      <w:r>
        <w:rPr>
          <w:rFonts w:hint="eastAsia" w:ascii="宋体" w:hAnsi="宋体" w:eastAsia="宋体" w:cs="宋体"/>
          <w:color w:val="auto"/>
          <w:sz w:val="22"/>
          <w:szCs w:val="22"/>
          <w:highlight w:val="none"/>
          <w:u w:val="single"/>
        </w:rPr>
        <w:t xml:space="preserve">                               </w:t>
      </w:r>
    </w:p>
    <w:p w14:paraId="4180D8D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DDCE044">
      <w:pPr>
        <w:keepNext w:val="0"/>
        <w:keepLines w:val="0"/>
        <w:pageBreakBefore w:val="0"/>
        <w:widowControl w:val="0"/>
        <w:kinsoku/>
        <w:wordWrap/>
        <w:overflowPunct/>
        <w:topLinePunct w:val="0"/>
        <w:autoSpaceDE/>
        <w:autoSpaceDN/>
        <w:bidi w:val="0"/>
        <w:adjustRightInd/>
        <w:snapToGrid/>
        <w:spacing w:line="480" w:lineRule="exact"/>
        <w:ind w:firstLine="2860" w:firstLineChars="13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授权委托日期：20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w:t>
      </w:r>
    </w:p>
    <w:p w14:paraId="4341434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lang w:val="zh-CN"/>
        </w:rPr>
      </w:pPr>
    </w:p>
    <w:p w14:paraId="5C60B4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说明：本授权委托书有效期自开标之日起不得少于</w:t>
      </w:r>
      <w:r>
        <w:rPr>
          <w:rFonts w:hint="eastAsia" w:ascii="宋体" w:hAnsi="宋体" w:eastAsia="宋体" w:cs="宋体"/>
          <w:color w:val="auto"/>
          <w:sz w:val="22"/>
          <w:szCs w:val="22"/>
          <w:highlight w:val="none"/>
        </w:rPr>
        <w:t>90</w:t>
      </w:r>
      <w:r>
        <w:rPr>
          <w:rFonts w:hint="eastAsia" w:ascii="宋体" w:hAnsi="宋体" w:eastAsia="宋体" w:cs="宋体"/>
          <w:color w:val="auto"/>
          <w:sz w:val="22"/>
          <w:szCs w:val="22"/>
          <w:highlight w:val="none"/>
          <w:lang w:val="zh-CN"/>
        </w:rPr>
        <w:t>天，仅限委托代理人参加投标时提供。</w:t>
      </w:r>
    </w:p>
    <w:p w14:paraId="5E45962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1" w:name="_Toc28569"/>
      <w:r>
        <w:rPr>
          <w:rFonts w:hint="eastAsia" w:asciiTheme="minorEastAsia" w:hAnsiTheme="minorEastAsia" w:eastAsiaTheme="minorEastAsia" w:cstheme="minorEastAsia"/>
          <w:b/>
          <w:color w:val="auto"/>
          <w:kern w:val="2"/>
          <w:sz w:val="32"/>
          <w:szCs w:val="32"/>
          <w:highlight w:val="none"/>
          <w:lang w:val="en-US" w:eastAsia="zh-CN" w:bidi="ar-SA"/>
        </w:rPr>
        <w:t>4.</w:t>
      </w:r>
      <w:bookmarkEnd w:id="241"/>
      <w:r>
        <w:rPr>
          <w:rFonts w:hint="eastAsia" w:asciiTheme="minorEastAsia" w:hAnsiTheme="minorEastAsia" w:eastAsiaTheme="minorEastAsia" w:cstheme="minorEastAsia"/>
          <w:b/>
          <w:color w:val="auto"/>
          <w:kern w:val="2"/>
          <w:sz w:val="32"/>
          <w:szCs w:val="32"/>
          <w:highlight w:val="none"/>
          <w:lang w:val="en-US" w:eastAsia="zh-CN" w:bidi="ar-SA"/>
        </w:rPr>
        <w:t>投标人</w:t>
      </w:r>
      <w:r>
        <w:rPr>
          <w:rFonts w:hint="eastAsia" w:asciiTheme="minorEastAsia" w:hAnsiTheme="minorEastAsia" w:eastAsiaTheme="minorEastAsia" w:cstheme="minorEastAsia"/>
          <w:b/>
          <w:color w:val="auto"/>
          <w:kern w:val="2"/>
          <w:sz w:val="32"/>
          <w:szCs w:val="32"/>
          <w:highlight w:val="none"/>
          <w:lang w:val="zh-CN" w:eastAsia="zh-CN" w:bidi="ar-SA"/>
        </w:rPr>
        <w:t>营业执照</w:t>
      </w:r>
    </w:p>
    <w:p w14:paraId="18426B6E">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投标人具有独立承担民事责任和履行合同能力，持有工商行政管理部门核发的有效期内营业执照；</w:t>
      </w:r>
    </w:p>
    <w:p w14:paraId="69125577">
      <w:pPr>
        <w:pStyle w:val="13"/>
        <w:adjustRightInd w:val="0"/>
        <w:snapToGrid w:val="0"/>
        <w:spacing w:line="360" w:lineRule="auto"/>
        <w:ind w:firstLine="420" w:firstLineChars="200"/>
        <w:rPr>
          <w:rFonts w:hint="eastAsia" w:ascii="宋体" w:hAnsi="宋体" w:eastAsia="宋体" w:cs="宋体"/>
          <w:color w:val="auto"/>
          <w:highlight w:val="none"/>
        </w:rPr>
      </w:pPr>
    </w:p>
    <w:p w14:paraId="754225D6">
      <w:pPr>
        <w:pStyle w:val="13"/>
        <w:adjustRightInd w:val="0"/>
        <w:snapToGrid w:val="0"/>
        <w:spacing w:line="360" w:lineRule="auto"/>
        <w:jc w:val="center"/>
        <w:rPr>
          <w:rFonts w:hint="eastAsia" w:ascii="宋体" w:hAnsi="宋体" w:eastAsia="宋体" w:cs="宋体"/>
          <w:b/>
          <w:color w:val="auto"/>
          <w:sz w:val="36"/>
          <w:szCs w:val="36"/>
          <w:highlight w:val="none"/>
        </w:rPr>
      </w:pPr>
    </w:p>
    <w:p w14:paraId="5A0235CD">
      <w:pPr>
        <w:pStyle w:val="13"/>
        <w:adjustRightInd w:val="0"/>
        <w:snapToGrid w:val="0"/>
        <w:spacing w:line="360" w:lineRule="auto"/>
        <w:jc w:val="center"/>
        <w:rPr>
          <w:rFonts w:hint="eastAsia" w:ascii="宋体" w:hAnsi="宋体" w:eastAsia="宋体" w:cs="宋体"/>
          <w:b/>
          <w:color w:val="auto"/>
          <w:sz w:val="36"/>
          <w:szCs w:val="36"/>
          <w:highlight w:val="none"/>
        </w:rPr>
      </w:pPr>
    </w:p>
    <w:p w14:paraId="6499F9EF">
      <w:pPr>
        <w:pStyle w:val="13"/>
        <w:adjustRightInd w:val="0"/>
        <w:snapToGrid w:val="0"/>
        <w:spacing w:line="360" w:lineRule="auto"/>
        <w:jc w:val="center"/>
        <w:rPr>
          <w:rFonts w:hint="eastAsia" w:ascii="宋体" w:hAnsi="宋体" w:eastAsia="宋体" w:cs="宋体"/>
          <w:b/>
          <w:color w:val="auto"/>
          <w:sz w:val="36"/>
          <w:szCs w:val="36"/>
          <w:highlight w:val="none"/>
        </w:rPr>
      </w:pPr>
    </w:p>
    <w:p w14:paraId="2A9F0A4F">
      <w:pPr>
        <w:pStyle w:val="13"/>
        <w:adjustRightInd w:val="0"/>
        <w:snapToGrid w:val="0"/>
        <w:spacing w:line="360" w:lineRule="auto"/>
        <w:jc w:val="center"/>
        <w:rPr>
          <w:rFonts w:hint="eastAsia" w:ascii="宋体" w:hAnsi="宋体" w:eastAsia="宋体" w:cs="宋体"/>
          <w:b/>
          <w:color w:val="auto"/>
          <w:sz w:val="36"/>
          <w:szCs w:val="36"/>
          <w:highlight w:val="none"/>
        </w:rPr>
      </w:pPr>
    </w:p>
    <w:p w14:paraId="7F54A1B5">
      <w:pPr>
        <w:pStyle w:val="13"/>
        <w:adjustRightInd w:val="0"/>
        <w:snapToGrid w:val="0"/>
        <w:spacing w:line="360" w:lineRule="auto"/>
        <w:jc w:val="center"/>
        <w:rPr>
          <w:rFonts w:hint="eastAsia" w:ascii="宋体" w:hAnsi="宋体" w:eastAsia="宋体" w:cs="宋体"/>
          <w:b/>
          <w:color w:val="auto"/>
          <w:sz w:val="36"/>
          <w:szCs w:val="36"/>
          <w:highlight w:val="none"/>
        </w:rPr>
      </w:pPr>
    </w:p>
    <w:p w14:paraId="3C9497E0">
      <w:pPr>
        <w:pStyle w:val="13"/>
        <w:adjustRightInd w:val="0"/>
        <w:snapToGrid w:val="0"/>
        <w:spacing w:line="360" w:lineRule="auto"/>
        <w:jc w:val="center"/>
        <w:rPr>
          <w:rFonts w:hint="eastAsia" w:ascii="宋体" w:hAnsi="宋体" w:eastAsia="宋体" w:cs="宋体"/>
          <w:b/>
          <w:color w:val="auto"/>
          <w:sz w:val="36"/>
          <w:szCs w:val="36"/>
          <w:highlight w:val="none"/>
        </w:rPr>
      </w:pPr>
    </w:p>
    <w:p w14:paraId="79FFFDA6">
      <w:pPr>
        <w:pStyle w:val="13"/>
        <w:adjustRightInd w:val="0"/>
        <w:snapToGrid w:val="0"/>
        <w:spacing w:line="360" w:lineRule="auto"/>
        <w:jc w:val="center"/>
        <w:rPr>
          <w:rFonts w:hint="eastAsia" w:ascii="宋体" w:hAnsi="宋体" w:eastAsia="宋体" w:cs="宋体"/>
          <w:b/>
          <w:color w:val="auto"/>
          <w:sz w:val="36"/>
          <w:szCs w:val="36"/>
          <w:highlight w:val="none"/>
        </w:rPr>
      </w:pPr>
    </w:p>
    <w:p w14:paraId="65073BDD">
      <w:pPr>
        <w:pStyle w:val="13"/>
        <w:adjustRightInd w:val="0"/>
        <w:snapToGrid w:val="0"/>
        <w:spacing w:line="360" w:lineRule="auto"/>
        <w:jc w:val="center"/>
        <w:rPr>
          <w:rFonts w:hint="eastAsia" w:ascii="宋体" w:hAnsi="宋体" w:eastAsia="宋体" w:cs="宋体"/>
          <w:b/>
          <w:color w:val="auto"/>
          <w:sz w:val="36"/>
          <w:szCs w:val="36"/>
          <w:highlight w:val="none"/>
        </w:rPr>
      </w:pPr>
    </w:p>
    <w:p w14:paraId="087AE004">
      <w:pPr>
        <w:pStyle w:val="13"/>
        <w:adjustRightInd w:val="0"/>
        <w:snapToGrid w:val="0"/>
        <w:spacing w:line="360" w:lineRule="auto"/>
        <w:jc w:val="center"/>
        <w:rPr>
          <w:rFonts w:hint="eastAsia" w:ascii="宋体" w:hAnsi="宋体" w:eastAsia="宋体" w:cs="宋体"/>
          <w:b/>
          <w:color w:val="auto"/>
          <w:sz w:val="36"/>
          <w:szCs w:val="36"/>
          <w:highlight w:val="none"/>
        </w:rPr>
      </w:pPr>
    </w:p>
    <w:p w14:paraId="4CC83A30">
      <w:pPr>
        <w:pStyle w:val="13"/>
        <w:adjustRightInd w:val="0"/>
        <w:snapToGrid w:val="0"/>
        <w:spacing w:line="360" w:lineRule="auto"/>
        <w:jc w:val="center"/>
        <w:rPr>
          <w:rFonts w:hint="eastAsia" w:ascii="宋体" w:hAnsi="宋体" w:eastAsia="宋体" w:cs="宋体"/>
          <w:b/>
          <w:color w:val="auto"/>
          <w:sz w:val="36"/>
          <w:szCs w:val="36"/>
          <w:highlight w:val="none"/>
        </w:rPr>
      </w:pPr>
    </w:p>
    <w:p w14:paraId="6A2BAD11">
      <w:pPr>
        <w:pStyle w:val="13"/>
        <w:adjustRightInd w:val="0"/>
        <w:snapToGrid w:val="0"/>
        <w:spacing w:line="360" w:lineRule="auto"/>
        <w:jc w:val="center"/>
        <w:rPr>
          <w:rFonts w:hint="eastAsia" w:ascii="宋体" w:hAnsi="宋体" w:eastAsia="宋体" w:cs="宋体"/>
          <w:b/>
          <w:color w:val="auto"/>
          <w:sz w:val="36"/>
          <w:szCs w:val="36"/>
          <w:highlight w:val="none"/>
        </w:rPr>
      </w:pPr>
    </w:p>
    <w:p w14:paraId="7846EF95">
      <w:pPr>
        <w:pStyle w:val="13"/>
        <w:adjustRightInd w:val="0"/>
        <w:snapToGrid w:val="0"/>
        <w:spacing w:line="360" w:lineRule="auto"/>
        <w:jc w:val="center"/>
        <w:rPr>
          <w:rFonts w:hint="eastAsia" w:ascii="宋体" w:hAnsi="宋体" w:eastAsia="宋体" w:cs="宋体"/>
          <w:b/>
          <w:color w:val="auto"/>
          <w:sz w:val="36"/>
          <w:szCs w:val="36"/>
          <w:highlight w:val="none"/>
        </w:rPr>
      </w:pPr>
    </w:p>
    <w:p w14:paraId="5A81D90E">
      <w:pPr>
        <w:pStyle w:val="13"/>
        <w:adjustRightInd w:val="0"/>
        <w:snapToGrid w:val="0"/>
        <w:spacing w:line="360" w:lineRule="auto"/>
        <w:jc w:val="center"/>
        <w:rPr>
          <w:rFonts w:hint="eastAsia" w:ascii="宋体" w:hAnsi="宋体" w:eastAsia="宋体" w:cs="宋体"/>
          <w:b/>
          <w:color w:val="auto"/>
          <w:sz w:val="36"/>
          <w:szCs w:val="36"/>
          <w:highlight w:val="none"/>
        </w:rPr>
      </w:pPr>
    </w:p>
    <w:p w14:paraId="0C4D6FA2">
      <w:pPr>
        <w:pStyle w:val="13"/>
        <w:adjustRightInd w:val="0"/>
        <w:snapToGrid w:val="0"/>
        <w:spacing w:line="360" w:lineRule="auto"/>
        <w:jc w:val="center"/>
        <w:rPr>
          <w:rFonts w:hint="eastAsia" w:ascii="宋体" w:hAnsi="宋体" w:eastAsia="宋体" w:cs="宋体"/>
          <w:b/>
          <w:color w:val="auto"/>
          <w:sz w:val="36"/>
          <w:szCs w:val="36"/>
          <w:highlight w:val="none"/>
        </w:rPr>
      </w:pPr>
    </w:p>
    <w:p w14:paraId="3802CF99">
      <w:pPr>
        <w:pStyle w:val="13"/>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980432F">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2" w:name="_Toc4088"/>
      <w:r>
        <w:rPr>
          <w:rFonts w:hint="eastAsia" w:asciiTheme="minorEastAsia" w:hAnsiTheme="minorEastAsia" w:eastAsiaTheme="minorEastAsia" w:cstheme="minorEastAsia"/>
          <w:b/>
          <w:color w:val="auto"/>
          <w:kern w:val="2"/>
          <w:sz w:val="32"/>
          <w:szCs w:val="32"/>
          <w:highlight w:val="none"/>
          <w:lang w:val="en-US" w:eastAsia="zh-CN" w:bidi="ar-SA"/>
        </w:rPr>
        <w:t>5.</w:t>
      </w:r>
      <w:bookmarkEnd w:id="242"/>
      <w:r>
        <w:rPr>
          <w:rFonts w:hint="eastAsia" w:asciiTheme="minorEastAsia" w:hAnsiTheme="minorEastAsia" w:eastAsiaTheme="minorEastAsia" w:cstheme="minorEastAsia"/>
          <w:b/>
          <w:color w:val="auto"/>
          <w:kern w:val="2"/>
          <w:sz w:val="32"/>
          <w:szCs w:val="32"/>
          <w:highlight w:val="none"/>
          <w:lang w:val="en-US" w:eastAsia="zh-CN" w:bidi="ar-SA"/>
        </w:rPr>
        <w:t>财务状况报告</w:t>
      </w:r>
    </w:p>
    <w:p w14:paraId="0DC344B3">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投标人提供2024（或2025）年度的财务审计报告(带可查二维码)(成立不足一年的投标人提供成立至今的财务报表，包含资产负债表、现金流量表、利润表)或银行出具的资信证明；</w:t>
      </w:r>
    </w:p>
    <w:p w14:paraId="40673089">
      <w:pPr>
        <w:pStyle w:val="13"/>
        <w:adjustRightInd w:val="0"/>
        <w:snapToGrid w:val="0"/>
        <w:spacing w:line="360" w:lineRule="auto"/>
        <w:jc w:val="left"/>
        <w:rPr>
          <w:rFonts w:hint="eastAsia" w:ascii="宋体" w:hAnsi="宋体" w:eastAsia="宋体" w:cs="宋体"/>
          <w:b/>
          <w:color w:val="auto"/>
          <w:sz w:val="24"/>
          <w:szCs w:val="24"/>
          <w:highlight w:val="none"/>
        </w:rPr>
      </w:pPr>
    </w:p>
    <w:p w14:paraId="5A345210">
      <w:pPr>
        <w:pStyle w:val="13"/>
        <w:adjustRightInd w:val="0"/>
        <w:snapToGrid w:val="0"/>
        <w:spacing w:line="360" w:lineRule="auto"/>
        <w:jc w:val="left"/>
        <w:rPr>
          <w:rFonts w:hint="eastAsia" w:ascii="宋体" w:hAnsi="宋体" w:eastAsia="宋体" w:cs="宋体"/>
          <w:b/>
          <w:color w:val="auto"/>
          <w:sz w:val="24"/>
          <w:szCs w:val="24"/>
          <w:highlight w:val="none"/>
        </w:rPr>
      </w:pPr>
    </w:p>
    <w:p w14:paraId="149D7F55">
      <w:pPr>
        <w:pStyle w:val="13"/>
        <w:adjustRightInd w:val="0"/>
        <w:snapToGrid w:val="0"/>
        <w:spacing w:line="360" w:lineRule="auto"/>
        <w:jc w:val="left"/>
        <w:rPr>
          <w:rFonts w:hint="eastAsia" w:ascii="宋体" w:hAnsi="宋体" w:eastAsia="宋体" w:cs="宋体"/>
          <w:b/>
          <w:color w:val="auto"/>
          <w:sz w:val="24"/>
          <w:szCs w:val="24"/>
          <w:highlight w:val="none"/>
        </w:rPr>
      </w:pPr>
    </w:p>
    <w:p w14:paraId="4A07C9C8">
      <w:pPr>
        <w:pStyle w:val="13"/>
        <w:adjustRightInd w:val="0"/>
        <w:snapToGrid w:val="0"/>
        <w:spacing w:line="360" w:lineRule="auto"/>
        <w:jc w:val="left"/>
        <w:rPr>
          <w:rFonts w:hint="eastAsia" w:ascii="宋体" w:hAnsi="宋体" w:eastAsia="宋体" w:cs="宋体"/>
          <w:b/>
          <w:color w:val="auto"/>
          <w:sz w:val="24"/>
          <w:szCs w:val="24"/>
          <w:highlight w:val="none"/>
        </w:rPr>
      </w:pPr>
    </w:p>
    <w:p w14:paraId="5BED8C28">
      <w:pPr>
        <w:pStyle w:val="13"/>
        <w:adjustRightInd w:val="0"/>
        <w:snapToGrid w:val="0"/>
        <w:spacing w:line="360" w:lineRule="auto"/>
        <w:jc w:val="left"/>
        <w:rPr>
          <w:rFonts w:hint="eastAsia" w:ascii="宋体" w:hAnsi="宋体" w:eastAsia="宋体" w:cs="宋体"/>
          <w:b/>
          <w:color w:val="auto"/>
          <w:sz w:val="24"/>
          <w:szCs w:val="24"/>
          <w:highlight w:val="none"/>
        </w:rPr>
      </w:pPr>
    </w:p>
    <w:p w14:paraId="3A3CB586">
      <w:pPr>
        <w:pStyle w:val="13"/>
        <w:adjustRightInd w:val="0"/>
        <w:snapToGrid w:val="0"/>
        <w:spacing w:line="360" w:lineRule="auto"/>
        <w:jc w:val="left"/>
        <w:rPr>
          <w:rFonts w:hint="eastAsia" w:ascii="宋体" w:hAnsi="宋体" w:eastAsia="宋体" w:cs="宋体"/>
          <w:b/>
          <w:color w:val="auto"/>
          <w:sz w:val="24"/>
          <w:szCs w:val="24"/>
          <w:highlight w:val="none"/>
        </w:rPr>
      </w:pPr>
    </w:p>
    <w:p w14:paraId="5E3DAB75">
      <w:pPr>
        <w:pStyle w:val="13"/>
        <w:adjustRightInd w:val="0"/>
        <w:snapToGrid w:val="0"/>
        <w:spacing w:line="360" w:lineRule="auto"/>
        <w:jc w:val="left"/>
        <w:rPr>
          <w:rFonts w:hint="eastAsia" w:ascii="宋体" w:hAnsi="宋体" w:eastAsia="宋体" w:cs="宋体"/>
          <w:b/>
          <w:color w:val="auto"/>
          <w:sz w:val="24"/>
          <w:szCs w:val="24"/>
          <w:highlight w:val="none"/>
        </w:rPr>
      </w:pPr>
    </w:p>
    <w:p w14:paraId="235C8B8D">
      <w:pPr>
        <w:pStyle w:val="13"/>
        <w:adjustRightInd w:val="0"/>
        <w:snapToGrid w:val="0"/>
        <w:spacing w:line="360" w:lineRule="auto"/>
        <w:jc w:val="left"/>
        <w:rPr>
          <w:rFonts w:hint="eastAsia" w:ascii="宋体" w:hAnsi="宋体" w:eastAsia="宋体" w:cs="宋体"/>
          <w:b/>
          <w:color w:val="auto"/>
          <w:sz w:val="24"/>
          <w:szCs w:val="24"/>
          <w:highlight w:val="none"/>
        </w:rPr>
      </w:pPr>
    </w:p>
    <w:p w14:paraId="0552D2C2">
      <w:pPr>
        <w:pStyle w:val="13"/>
        <w:adjustRightInd w:val="0"/>
        <w:snapToGrid w:val="0"/>
        <w:spacing w:line="360" w:lineRule="auto"/>
        <w:jc w:val="left"/>
        <w:rPr>
          <w:rFonts w:hint="eastAsia" w:ascii="宋体" w:hAnsi="宋体" w:eastAsia="宋体" w:cs="宋体"/>
          <w:b/>
          <w:color w:val="auto"/>
          <w:sz w:val="24"/>
          <w:szCs w:val="24"/>
          <w:highlight w:val="none"/>
        </w:rPr>
      </w:pPr>
    </w:p>
    <w:p w14:paraId="5F9D3433">
      <w:pPr>
        <w:pStyle w:val="13"/>
        <w:adjustRightInd w:val="0"/>
        <w:snapToGrid w:val="0"/>
        <w:spacing w:line="360" w:lineRule="auto"/>
        <w:jc w:val="left"/>
        <w:rPr>
          <w:rFonts w:hint="eastAsia" w:ascii="宋体" w:hAnsi="宋体" w:eastAsia="宋体" w:cs="宋体"/>
          <w:b/>
          <w:color w:val="auto"/>
          <w:sz w:val="24"/>
          <w:szCs w:val="24"/>
          <w:highlight w:val="none"/>
        </w:rPr>
      </w:pPr>
    </w:p>
    <w:p w14:paraId="70A5A5BB">
      <w:pPr>
        <w:pStyle w:val="13"/>
        <w:adjustRightInd w:val="0"/>
        <w:snapToGrid w:val="0"/>
        <w:spacing w:line="360" w:lineRule="auto"/>
        <w:jc w:val="left"/>
        <w:rPr>
          <w:rFonts w:hint="eastAsia" w:ascii="宋体" w:hAnsi="宋体" w:eastAsia="宋体" w:cs="宋体"/>
          <w:b/>
          <w:color w:val="auto"/>
          <w:sz w:val="24"/>
          <w:szCs w:val="24"/>
          <w:highlight w:val="none"/>
        </w:rPr>
      </w:pPr>
    </w:p>
    <w:p w14:paraId="186116E5">
      <w:pPr>
        <w:pStyle w:val="13"/>
        <w:adjustRightInd w:val="0"/>
        <w:snapToGrid w:val="0"/>
        <w:spacing w:line="360" w:lineRule="auto"/>
        <w:jc w:val="left"/>
        <w:rPr>
          <w:rFonts w:hint="eastAsia" w:ascii="宋体" w:hAnsi="宋体" w:eastAsia="宋体" w:cs="宋体"/>
          <w:b/>
          <w:color w:val="auto"/>
          <w:sz w:val="24"/>
          <w:szCs w:val="24"/>
          <w:highlight w:val="none"/>
        </w:rPr>
      </w:pPr>
    </w:p>
    <w:p w14:paraId="5B067EB3">
      <w:pPr>
        <w:pStyle w:val="13"/>
        <w:adjustRightInd w:val="0"/>
        <w:snapToGrid w:val="0"/>
        <w:spacing w:line="360" w:lineRule="auto"/>
        <w:jc w:val="left"/>
        <w:rPr>
          <w:rFonts w:hint="eastAsia" w:ascii="宋体" w:hAnsi="宋体" w:eastAsia="宋体" w:cs="宋体"/>
          <w:b/>
          <w:color w:val="auto"/>
          <w:sz w:val="24"/>
          <w:szCs w:val="24"/>
          <w:highlight w:val="none"/>
        </w:rPr>
      </w:pPr>
    </w:p>
    <w:p w14:paraId="02AC8B01">
      <w:pPr>
        <w:pStyle w:val="13"/>
        <w:adjustRightInd w:val="0"/>
        <w:snapToGrid w:val="0"/>
        <w:spacing w:line="360" w:lineRule="auto"/>
        <w:jc w:val="left"/>
        <w:rPr>
          <w:rFonts w:hint="eastAsia" w:ascii="宋体" w:hAnsi="宋体" w:eastAsia="宋体" w:cs="宋体"/>
          <w:b/>
          <w:color w:val="auto"/>
          <w:sz w:val="24"/>
          <w:szCs w:val="24"/>
          <w:highlight w:val="none"/>
        </w:rPr>
      </w:pPr>
    </w:p>
    <w:p w14:paraId="40936F69">
      <w:pPr>
        <w:pStyle w:val="13"/>
        <w:adjustRightInd w:val="0"/>
        <w:snapToGrid w:val="0"/>
        <w:spacing w:line="360" w:lineRule="auto"/>
        <w:jc w:val="left"/>
        <w:rPr>
          <w:rFonts w:hint="eastAsia" w:ascii="宋体" w:hAnsi="宋体" w:eastAsia="宋体" w:cs="宋体"/>
          <w:b/>
          <w:color w:val="auto"/>
          <w:sz w:val="24"/>
          <w:szCs w:val="24"/>
          <w:highlight w:val="none"/>
        </w:rPr>
      </w:pPr>
    </w:p>
    <w:p w14:paraId="6BC0C23B">
      <w:pPr>
        <w:pStyle w:val="13"/>
        <w:adjustRightInd w:val="0"/>
        <w:snapToGrid w:val="0"/>
        <w:spacing w:line="360" w:lineRule="auto"/>
        <w:jc w:val="left"/>
        <w:rPr>
          <w:rFonts w:hint="eastAsia" w:ascii="宋体" w:hAnsi="宋体" w:eastAsia="宋体" w:cs="宋体"/>
          <w:b/>
          <w:color w:val="auto"/>
          <w:sz w:val="24"/>
          <w:szCs w:val="24"/>
          <w:highlight w:val="none"/>
        </w:rPr>
      </w:pPr>
    </w:p>
    <w:p w14:paraId="242AF349">
      <w:pPr>
        <w:pStyle w:val="13"/>
        <w:adjustRightInd w:val="0"/>
        <w:snapToGrid w:val="0"/>
        <w:spacing w:line="360" w:lineRule="auto"/>
        <w:jc w:val="left"/>
        <w:rPr>
          <w:rFonts w:hint="eastAsia" w:ascii="宋体" w:hAnsi="宋体" w:eastAsia="宋体" w:cs="宋体"/>
          <w:b/>
          <w:color w:val="auto"/>
          <w:sz w:val="24"/>
          <w:szCs w:val="24"/>
          <w:highlight w:val="none"/>
        </w:rPr>
      </w:pPr>
    </w:p>
    <w:p w14:paraId="62B426CE">
      <w:pPr>
        <w:pStyle w:val="13"/>
        <w:adjustRightInd w:val="0"/>
        <w:snapToGrid w:val="0"/>
        <w:spacing w:line="360" w:lineRule="auto"/>
        <w:jc w:val="left"/>
        <w:rPr>
          <w:rFonts w:hint="eastAsia" w:ascii="宋体" w:hAnsi="宋体" w:eastAsia="宋体" w:cs="宋体"/>
          <w:b/>
          <w:color w:val="auto"/>
          <w:sz w:val="24"/>
          <w:szCs w:val="24"/>
          <w:highlight w:val="none"/>
        </w:rPr>
      </w:pPr>
    </w:p>
    <w:p w14:paraId="030D8F05">
      <w:pPr>
        <w:pStyle w:val="13"/>
        <w:adjustRightInd w:val="0"/>
        <w:snapToGrid w:val="0"/>
        <w:spacing w:line="360" w:lineRule="auto"/>
        <w:jc w:val="left"/>
        <w:rPr>
          <w:rFonts w:hint="eastAsia" w:ascii="宋体" w:hAnsi="宋体" w:eastAsia="宋体" w:cs="宋体"/>
          <w:b/>
          <w:color w:val="auto"/>
          <w:sz w:val="24"/>
          <w:szCs w:val="24"/>
          <w:highlight w:val="none"/>
        </w:rPr>
      </w:pPr>
    </w:p>
    <w:p w14:paraId="106DA41F">
      <w:pPr>
        <w:pStyle w:val="13"/>
        <w:adjustRightInd w:val="0"/>
        <w:snapToGrid w:val="0"/>
        <w:spacing w:line="360" w:lineRule="auto"/>
        <w:jc w:val="center"/>
        <w:rPr>
          <w:rFonts w:hint="eastAsia" w:ascii="宋体" w:hAnsi="宋体" w:eastAsia="宋体" w:cs="宋体"/>
          <w:b/>
          <w:color w:val="auto"/>
          <w:sz w:val="36"/>
          <w:szCs w:val="36"/>
          <w:highlight w:val="none"/>
        </w:rPr>
      </w:pPr>
    </w:p>
    <w:p w14:paraId="7EE6627A">
      <w:pPr>
        <w:rPr>
          <w:rFonts w:hint="eastAsia" w:ascii="宋体" w:hAnsi="宋体" w:eastAsia="宋体" w:cs="宋体"/>
          <w:b/>
          <w:color w:val="auto"/>
          <w:sz w:val="36"/>
          <w:szCs w:val="36"/>
          <w:highlight w:val="none"/>
        </w:rPr>
      </w:pPr>
    </w:p>
    <w:p w14:paraId="04DB6F6D">
      <w:pPr>
        <w:rPr>
          <w:rFonts w:hint="eastAsia" w:ascii="宋体" w:hAnsi="宋体" w:eastAsia="宋体" w:cs="宋体"/>
          <w:b/>
          <w:color w:val="auto"/>
          <w:sz w:val="36"/>
          <w:szCs w:val="36"/>
          <w:highlight w:val="none"/>
        </w:rPr>
      </w:pPr>
    </w:p>
    <w:p w14:paraId="15B4002B">
      <w:pPr>
        <w:pStyle w:val="13"/>
        <w:adjustRightInd w:val="0"/>
        <w:snapToGrid w:val="0"/>
        <w:spacing w:line="360" w:lineRule="auto"/>
        <w:jc w:val="center"/>
        <w:rPr>
          <w:rFonts w:hint="eastAsia" w:ascii="宋体" w:hAnsi="宋体" w:eastAsia="宋体" w:cs="宋体"/>
          <w:b/>
          <w:color w:val="auto"/>
          <w:sz w:val="36"/>
          <w:szCs w:val="36"/>
          <w:highlight w:val="none"/>
        </w:rPr>
      </w:pPr>
    </w:p>
    <w:p w14:paraId="4A6C7BE9">
      <w:pPr>
        <w:pStyle w:val="13"/>
        <w:adjustRightInd w:val="0"/>
        <w:snapToGrid w:val="0"/>
        <w:spacing w:line="360" w:lineRule="auto"/>
        <w:jc w:val="center"/>
        <w:rPr>
          <w:rFonts w:hint="eastAsia" w:ascii="宋体" w:hAnsi="宋体" w:eastAsia="宋体" w:cs="宋体"/>
          <w:b/>
          <w:color w:val="auto"/>
          <w:sz w:val="36"/>
          <w:szCs w:val="36"/>
          <w:highlight w:val="none"/>
        </w:rPr>
      </w:pPr>
    </w:p>
    <w:p w14:paraId="6F6EFAC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3" w:name="_Toc20487"/>
      <w:r>
        <w:rPr>
          <w:rFonts w:hint="eastAsia" w:asciiTheme="minorEastAsia" w:hAnsiTheme="minorEastAsia" w:eastAsiaTheme="minorEastAsia" w:cstheme="minorEastAsia"/>
          <w:b/>
          <w:color w:val="auto"/>
          <w:kern w:val="2"/>
          <w:sz w:val="32"/>
          <w:szCs w:val="32"/>
          <w:highlight w:val="none"/>
          <w:lang w:val="en-US" w:eastAsia="zh-CN" w:bidi="ar-SA"/>
        </w:rPr>
        <w:t>6.</w:t>
      </w:r>
      <w:bookmarkEnd w:id="243"/>
      <w:r>
        <w:rPr>
          <w:rFonts w:hint="eastAsia" w:asciiTheme="minorEastAsia" w:hAnsiTheme="minorEastAsia" w:eastAsiaTheme="minorEastAsia" w:cstheme="minorEastAsia"/>
          <w:b/>
          <w:color w:val="auto"/>
          <w:kern w:val="2"/>
          <w:sz w:val="32"/>
          <w:szCs w:val="32"/>
          <w:highlight w:val="none"/>
          <w:lang w:val="en-US" w:eastAsia="zh-CN" w:bidi="ar-SA"/>
        </w:rPr>
        <w:t>税收缴纳证明</w:t>
      </w:r>
    </w:p>
    <w:p w14:paraId="61BF37F1">
      <w:pPr>
        <w:keepNext w:val="0"/>
        <w:keepLines w:val="0"/>
        <w:pageBreakBefore w:val="0"/>
        <w:widowControl w:val="0"/>
        <w:kinsoku/>
        <w:wordWrap/>
        <w:overflowPunct/>
        <w:topLinePunct w:val="0"/>
        <w:bidi w:val="0"/>
        <w:adjustRightInd/>
        <w:snapToGrid/>
        <w:spacing w:line="480" w:lineRule="exact"/>
        <w:ind w:left="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投标人提供近半年内已缴纳的至少一个月的纳税证明或完税证明，纳税证明或完税证明上应有代收机构或税务机关的公章，依法免税的投标人应提供相关文件证明；</w:t>
      </w:r>
    </w:p>
    <w:p w14:paraId="7ABD4B5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p>
    <w:p w14:paraId="20BD34B8">
      <w:pPr>
        <w:pStyle w:val="13"/>
        <w:adjustRightInd w:val="0"/>
        <w:snapToGrid w:val="0"/>
        <w:spacing w:line="360" w:lineRule="auto"/>
        <w:ind w:firstLine="420" w:firstLineChars="200"/>
        <w:rPr>
          <w:rFonts w:hint="eastAsia" w:ascii="宋体" w:hAnsi="宋体" w:eastAsia="宋体" w:cs="宋体"/>
          <w:color w:val="auto"/>
          <w:highlight w:val="none"/>
        </w:rPr>
      </w:pPr>
    </w:p>
    <w:p w14:paraId="0B4CC239">
      <w:pPr>
        <w:pStyle w:val="13"/>
        <w:adjustRightInd w:val="0"/>
        <w:snapToGrid w:val="0"/>
        <w:spacing w:line="360" w:lineRule="auto"/>
        <w:ind w:firstLine="420" w:firstLineChars="200"/>
        <w:rPr>
          <w:rFonts w:hint="eastAsia" w:ascii="宋体" w:hAnsi="宋体" w:eastAsia="宋体" w:cs="宋体"/>
          <w:color w:val="auto"/>
          <w:highlight w:val="none"/>
        </w:rPr>
      </w:pPr>
    </w:p>
    <w:p w14:paraId="6E7126A8">
      <w:pPr>
        <w:pStyle w:val="13"/>
        <w:adjustRightInd w:val="0"/>
        <w:snapToGrid w:val="0"/>
        <w:spacing w:line="360" w:lineRule="auto"/>
        <w:jc w:val="left"/>
        <w:rPr>
          <w:rFonts w:hint="eastAsia" w:ascii="宋体" w:hAnsi="宋体" w:eastAsia="宋体" w:cs="宋体"/>
          <w:color w:val="auto"/>
          <w:sz w:val="24"/>
          <w:szCs w:val="24"/>
          <w:highlight w:val="none"/>
        </w:rPr>
      </w:pPr>
    </w:p>
    <w:p w14:paraId="10BC6FEC">
      <w:pPr>
        <w:pStyle w:val="13"/>
        <w:adjustRightInd w:val="0"/>
        <w:snapToGrid w:val="0"/>
        <w:spacing w:line="360" w:lineRule="auto"/>
        <w:jc w:val="left"/>
        <w:rPr>
          <w:rFonts w:hint="eastAsia" w:ascii="宋体" w:hAnsi="宋体" w:eastAsia="宋体" w:cs="宋体"/>
          <w:b/>
          <w:color w:val="auto"/>
          <w:sz w:val="24"/>
          <w:szCs w:val="24"/>
          <w:highlight w:val="none"/>
        </w:rPr>
      </w:pPr>
    </w:p>
    <w:p w14:paraId="283EA58C">
      <w:pPr>
        <w:pStyle w:val="13"/>
        <w:adjustRightInd w:val="0"/>
        <w:snapToGrid w:val="0"/>
        <w:spacing w:line="360" w:lineRule="auto"/>
        <w:jc w:val="left"/>
        <w:rPr>
          <w:rFonts w:hint="eastAsia" w:ascii="宋体" w:hAnsi="宋体" w:eastAsia="宋体" w:cs="宋体"/>
          <w:b/>
          <w:color w:val="auto"/>
          <w:sz w:val="24"/>
          <w:szCs w:val="24"/>
          <w:highlight w:val="none"/>
        </w:rPr>
      </w:pPr>
    </w:p>
    <w:p w14:paraId="6E7E5260">
      <w:pPr>
        <w:pStyle w:val="13"/>
        <w:adjustRightInd w:val="0"/>
        <w:snapToGrid w:val="0"/>
        <w:spacing w:line="360" w:lineRule="auto"/>
        <w:jc w:val="left"/>
        <w:rPr>
          <w:rFonts w:hint="eastAsia" w:ascii="宋体" w:hAnsi="宋体" w:eastAsia="宋体" w:cs="宋体"/>
          <w:b/>
          <w:color w:val="auto"/>
          <w:sz w:val="24"/>
          <w:szCs w:val="24"/>
          <w:highlight w:val="none"/>
        </w:rPr>
      </w:pPr>
    </w:p>
    <w:p w14:paraId="584CB963">
      <w:pPr>
        <w:pStyle w:val="13"/>
        <w:adjustRightInd w:val="0"/>
        <w:snapToGrid w:val="0"/>
        <w:spacing w:line="360" w:lineRule="auto"/>
        <w:jc w:val="left"/>
        <w:rPr>
          <w:rFonts w:hint="eastAsia" w:ascii="宋体" w:hAnsi="宋体" w:eastAsia="宋体" w:cs="宋体"/>
          <w:b/>
          <w:color w:val="auto"/>
          <w:sz w:val="24"/>
          <w:szCs w:val="24"/>
          <w:highlight w:val="none"/>
        </w:rPr>
      </w:pPr>
    </w:p>
    <w:p w14:paraId="53663993">
      <w:pPr>
        <w:pStyle w:val="13"/>
        <w:adjustRightInd w:val="0"/>
        <w:snapToGrid w:val="0"/>
        <w:spacing w:line="360" w:lineRule="auto"/>
        <w:jc w:val="left"/>
        <w:rPr>
          <w:rFonts w:hint="eastAsia" w:ascii="宋体" w:hAnsi="宋体" w:eastAsia="宋体" w:cs="宋体"/>
          <w:b/>
          <w:color w:val="auto"/>
          <w:sz w:val="24"/>
          <w:szCs w:val="24"/>
          <w:highlight w:val="none"/>
        </w:rPr>
      </w:pPr>
    </w:p>
    <w:p w14:paraId="649DC78C">
      <w:pPr>
        <w:pStyle w:val="13"/>
        <w:adjustRightInd w:val="0"/>
        <w:snapToGrid w:val="0"/>
        <w:spacing w:line="360" w:lineRule="auto"/>
        <w:jc w:val="left"/>
        <w:rPr>
          <w:rFonts w:hint="eastAsia" w:ascii="宋体" w:hAnsi="宋体" w:eastAsia="宋体" w:cs="宋体"/>
          <w:b/>
          <w:color w:val="auto"/>
          <w:sz w:val="24"/>
          <w:szCs w:val="24"/>
          <w:highlight w:val="none"/>
        </w:rPr>
      </w:pPr>
    </w:p>
    <w:p w14:paraId="7DBB205E">
      <w:pPr>
        <w:pStyle w:val="13"/>
        <w:adjustRightInd w:val="0"/>
        <w:snapToGrid w:val="0"/>
        <w:spacing w:line="360" w:lineRule="auto"/>
        <w:jc w:val="left"/>
        <w:rPr>
          <w:rFonts w:hint="eastAsia" w:ascii="宋体" w:hAnsi="宋体" w:eastAsia="宋体" w:cs="宋体"/>
          <w:b/>
          <w:color w:val="auto"/>
          <w:sz w:val="24"/>
          <w:szCs w:val="24"/>
          <w:highlight w:val="none"/>
        </w:rPr>
      </w:pPr>
    </w:p>
    <w:p w14:paraId="5AEBCCE2">
      <w:pPr>
        <w:pStyle w:val="13"/>
        <w:adjustRightInd w:val="0"/>
        <w:snapToGrid w:val="0"/>
        <w:spacing w:line="360" w:lineRule="auto"/>
        <w:jc w:val="left"/>
        <w:rPr>
          <w:rFonts w:hint="eastAsia" w:ascii="宋体" w:hAnsi="宋体" w:eastAsia="宋体" w:cs="宋体"/>
          <w:b/>
          <w:color w:val="auto"/>
          <w:sz w:val="24"/>
          <w:szCs w:val="24"/>
          <w:highlight w:val="none"/>
        </w:rPr>
      </w:pPr>
    </w:p>
    <w:p w14:paraId="408E90C5">
      <w:pPr>
        <w:pStyle w:val="13"/>
        <w:adjustRightInd w:val="0"/>
        <w:snapToGrid w:val="0"/>
        <w:spacing w:line="360" w:lineRule="auto"/>
        <w:jc w:val="left"/>
        <w:rPr>
          <w:rFonts w:hint="eastAsia" w:ascii="宋体" w:hAnsi="宋体" w:eastAsia="宋体" w:cs="宋体"/>
          <w:b/>
          <w:color w:val="auto"/>
          <w:sz w:val="24"/>
          <w:szCs w:val="24"/>
          <w:highlight w:val="none"/>
        </w:rPr>
        <w:sectPr>
          <w:headerReference r:id="rId10" w:type="default"/>
          <w:footerReference r:id="rId11" w:type="default"/>
          <w:pgSz w:w="11907" w:h="16840"/>
          <w:pgMar w:top="1440" w:right="1474" w:bottom="1440" w:left="1474" w:header="851" w:footer="992" w:gutter="0"/>
          <w:pgBorders>
            <w:top w:val="none" w:sz="0" w:space="0"/>
            <w:left w:val="none" w:sz="0" w:space="0"/>
            <w:bottom w:val="none" w:sz="0" w:space="0"/>
            <w:right w:val="none" w:sz="0" w:space="0"/>
          </w:pgBorders>
          <w:pgNumType w:fmt="decimal" w:start="1"/>
          <w:cols w:space="720" w:num="1"/>
        </w:sectPr>
      </w:pPr>
    </w:p>
    <w:p w14:paraId="2D605B00">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4" w:name="_Toc25023"/>
      <w:r>
        <w:rPr>
          <w:rFonts w:hint="eastAsia" w:asciiTheme="minorEastAsia" w:hAnsiTheme="minorEastAsia" w:eastAsiaTheme="minorEastAsia" w:cstheme="minorEastAsia"/>
          <w:b/>
          <w:color w:val="auto"/>
          <w:kern w:val="2"/>
          <w:sz w:val="32"/>
          <w:szCs w:val="32"/>
          <w:highlight w:val="none"/>
          <w:lang w:val="en-US" w:eastAsia="zh-CN" w:bidi="ar-SA"/>
        </w:rPr>
        <w:t>7.</w:t>
      </w:r>
      <w:bookmarkEnd w:id="244"/>
      <w:r>
        <w:rPr>
          <w:rFonts w:hint="eastAsia" w:asciiTheme="minorEastAsia" w:hAnsiTheme="minorEastAsia" w:eastAsiaTheme="minorEastAsia" w:cstheme="minorEastAsia"/>
          <w:b/>
          <w:color w:val="auto"/>
          <w:kern w:val="2"/>
          <w:sz w:val="32"/>
          <w:szCs w:val="32"/>
          <w:highlight w:val="none"/>
          <w:lang w:val="en-US" w:eastAsia="zh-CN" w:bidi="ar-SA"/>
        </w:rPr>
        <w:t>社会保障资金缴纳证明</w:t>
      </w:r>
    </w:p>
    <w:p w14:paraId="66E3D024">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投标人提供近半年内已缴存的至少一个月的社会保障资金缴存单据或社保机构开具的社会保险参保缴费情况证明，依法不需要缴纳社会保障资金的投标人应提供相关文件证明或投标人提供承诺书；</w:t>
      </w:r>
    </w:p>
    <w:p w14:paraId="0A5349DA">
      <w:pPr>
        <w:pStyle w:val="13"/>
        <w:adjustRightInd w:val="0"/>
        <w:snapToGrid w:val="0"/>
        <w:spacing w:line="360" w:lineRule="auto"/>
        <w:jc w:val="left"/>
        <w:rPr>
          <w:rFonts w:hint="eastAsia" w:ascii="宋体" w:hAnsi="宋体" w:eastAsia="宋体" w:cs="宋体"/>
          <w:b/>
          <w:color w:val="auto"/>
          <w:sz w:val="24"/>
          <w:szCs w:val="24"/>
          <w:highlight w:val="none"/>
        </w:rPr>
      </w:pPr>
    </w:p>
    <w:p w14:paraId="1795297F">
      <w:pPr>
        <w:pStyle w:val="13"/>
        <w:adjustRightInd w:val="0"/>
        <w:snapToGrid w:val="0"/>
        <w:spacing w:line="360" w:lineRule="auto"/>
        <w:jc w:val="left"/>
        <w:rPr>
          <w:rFonts w:hint="eastAsia" w:ascii="宋体" w:hAnsi="宋体" w:eastAsia="宋体" w:cs="宋体"/>
          <w:b/>
          <w:color w:val="auto"/>
          <w:sz w:val="24"/>
          <w:szCs w:val="24"/>
          <w:highlight w:val="none"/>
        </w:rPr>
      </w:pPr>
    </w:p>
    <w:p w14:paraId="4417DA55">
      <w:pPr>
        <w:pStyle w:val="13"/>
        <w:adjustRightInd w:val="0"/>
        <w:snapToGrid w:val="0"/>
        <w:spacing w:line="360" w:lineRule="auto"/>
        <w:jc w:val="left"/>
        <w:rPr>
          <w:rFonts w:hint="eastAsia" w:ascii="宋体" w:hAnsi="宋体" w:eastAsia="宋体" w:cs="宋体"/>
          <w:b/>
          <w:color w:val="auto"/>
          <w:sz w:val="24"/>
          <w:szCs w:val="24"/>
          <w:highlight w:val="none"/>
        </w:rPr>
      </w:pPr>
    </w:p>
    <w:p w14:paraId="3BAEB516">
      <w:pPr>
        <w:pStyle w:val="13"/>
        <w:adjustRightInd w:val="0"/>
        <w:snapToGrid w:val="0"/>
        <w:spacing w:line="360" w:lineRule="auto"/>
        <w:jc w:val="left"/>
        <w:rPr>
          <w:rFonts w:hint="eastAsia" w:ascii="宋体" w:hAnsi="宋体" w:eastAsia="宋体" w:cs="宋体"/>
          <w:b/>
          <w:color w:val="auto"/>
          <w:sz w:val="24"/>
          <w:szCs w:val="24"/>
          <w:highlight w:val="none"/>
        </w:rPr>
      </w:pPr>
    </w:p>
    <w:p w14:paraId="5B8CCDC9">
      <w:pPr>
        <w:pStyle w:val="13"/>
        <w:adjustRightInd w:val="0"/>
        <w:snapToGrid w:val="0"/>
        <w:spacing w:line="360" w:lineRule="auto"/>
        <w:jc w:val="left"/>
        <w:rPr>
          <w:rFonts w:hint="eastAsia" w:ascii="宋体" w:hAnsi="宋体" w:eastAsia="宋体" w:cs="宋体"/>
          <w:b/>
          <w:color w:val="auto"/>
          <w:sz w:val="24"/>
          <w:szCs w:val="24"/>
          <w:highlight w:val="none"/>
        </w:rPr>
      </w:pPr>
    </w:p>
    <w:p w14:paraId="1C100E1B">
      <w:pPr>
        <w:pStyle w:val="13"/>
        <w:adjustRightInd w:val="0"/>
        <w:snapToGrid w:val="0"/>
        <w:spacing w:line="360" w:lineRule="auto"/>
        <w:jc w:val="left"/>
        <w:rPr>
          <w:rFonts w:hint="eastAsia" w:ascii="宋体" w:hAnsi="宋体" w:eastAsia="宋体" w:cs="宋体"/>
          <w:b/>
          <w:color w:val="auto"/>
          <w:sz w:val="24"/>
          <w:szCs w:val="24"/>
          <w:highlight w:val="none"/>
        </w:rPr>
      </w:pPr>
    </w:p>
    <w:p w14:paraId="6F324F54">
      <w:pPr>
        <w:pStyle w:val="13"/>
        <w:adjustRightInd w:val="0"/>
        <w:snapToGrid w:val="0"/>
        <w:spacing w:line="360" w:lineRule="auto"/>
        <w:jc w:val="left"/>
        <w:rPr>
          <w:rFonts w:hint="eastAsia" w:ascii="宋体" w:hAnsi="宋体" w:eastAsia="宋体" w:cs="宋体"/>
          <w:b/>
          <w:color w:val="auto"/>
          <w:sz w:val="24"/>
          <w:szCs w:val="24"/>
          <w:highlight w:val="none"/>
        </w:rPr>
      </w:pPr>
    </w:p>
    <w:p w14:paraId="3BB9308A">
      <w:pPr>
        <w:pStyle w:val="13"/>
        <w:adjustRightInd w:val="0"/>
        <w:snapToGrid w:val="0"/>
        <w:spacing w:line="360" w:lineRule="auto"/>
        <w:jc w:val="left"/>
        <w:rPr>
          <w:rFonts w:hint="eastAsia" w:ascii="宋体" w:hAnsi="宋体" w:eastAsia="宋体" w:cs="宋体"/>
          <w:b/>
          <w:color w:val="auto"/>
          <w:sz w:val="24"/>
          <w:szCs w:val="24"/>
          <w:highlight w:val="none"/>
        </w:rPr>
      </w:pPr>
    </w:p>
    <w:p w14:paraId="37D7757B">
      <w:pPr>
        <w:pStyle w:val="13"/>
        <w:adjustRightInd w:val="0"/>
        <w:snapToGrid w:val="0"/>
        <w:spacing w:line="360" w:lineRule="auto"/>
        <w:jc w:val="center"/>
        <w:rPr>
          <w:rFonts w:hint="eastAsia" w:ascii="宋体" w:hAnsi="宋体" w:eastAsia="宋体" w:cs="宋体"/>
          <w:b/>
          <w:color w:val="auto"/>
          <w:sz w:val="36"/>
          <w:szCs w:val="36"/>
          <w:highlight w:val="none"/>
        </w:rPr>
      </w:pPr>
    </w:p>
    <w:p w14:paraId="6173BD7B">
      <w:pPr>
        <w:pStyle w:val="13"/>
        <w:adjustRightInd w:val="0"/>
        <w:snapToGrid w:val="0"/>
        <w:spacing w:line="360" w:lineRule="auto"/>
        <w:jc w:val="center"/>
        <w:rPr>
          <w:rFonts w:hint="eastAsia" w:ascii="宋体" w:hAnsi="宋体" w:eastAsia="宋体" w:cs="宋体"/>
          <w:b/>
          <w:color w:val="auto"/>
          <w:sz w:val="36"/>
          <w:szCs w:val="36"/>
          <w:highlight w:val="none"/>
        </w:rPr>
      </w:pPr>
    </w:p>
    <w:p w14:paraId="17A98E88">
      <w:pPr>
        <w:pStyle w:val="13"/>
        <w:adjustRightInd w:val="0"/>
        <w:snapToGrid w:val="0"/>
        <w:spacing w:line="360" w:lineRule="auto"/>
        <w:jc w:val="center"/>
        <w:rPr>
          <w:rFonts w:hint="eastAsia" w:ascii="宋体" w:hAnsi="宋体" w:eastAsia="宋体" w:cs="宋体"/>
          <w:b/>
          <w:color w:val="auto"/>
          <w:sz w:val="36"/>
          <w:szCs w:val="36"/>
          <w:highlight w:val="none"/>
        </w:rPr>
      </w:pPr>
    </w:p>
    <w:p w14:paraId="69FC9CCE">
      <w:pPr>
        <w:pStyle w:val="13"/>
        <w:adjustRightInd w:val="0"/>
        <w:snapToGrid w:val="0"/>
        <w:spacing w:line="360" w:lineRule="auto"/>
        <w:jc w:val="center"/>
        <w:rPr>
          <w:rFonts w:hint="eastAsia" w:ascii="宋体" w:hAnsi="宋体" w:eastAsia="宋体" w:cs="宋体"/>
          <w:b/>
          <w:color w:val="auto"/>
          <w:sz w:val="36"/>
          <w:szCs w:val="36"/>
          <w:highlight w:val="none"/>
        </w:rPr>
      </w:pPr>
    </w:p>
    <w:p w14:paraId="0E7D188A">
      <w:pPr>
        <w:rPr>
          <w:rFonts w:hint="eastAsia" w:ascii="宋体" w:hAnsi="宋体" w:eastAsia="宋体" w:cs="宋体"/>
          <w:b/>
          <w:color w:val="auto"/>
          <w:sz w:val="36"/>
          <w:szCs w:val="36"/>
          <w:highlight w:val="none"/>
        </w:rPr>
      </w:pPr>
    </w:p>
    <w:p w14:paraId="713B37F3">
      <w:pPr>
        <w:pStyle w:val="31"/>
        <w:rPr>
          <w:rFonts w:hint="eastAsia" w:ascii="宋体" w:hAnsi="宋体" w:eastAsia="宋体" w:cs="宋体"/>
          <w:b/>
          <w:color w:val="auto"/>
          <w:sz w:val="36"/>
          <w:szCs w:val="36"/>
          <w:highlight w:val="none"/>
        </w:rPr>
      </w:pPr>
    </w:p>
    <w:p w14:paraId="4ADB9C39">
      <w:pPr>
        <w:pStyle w:val="31"/>
        <w:rPr>
          <w:rFonts w:hint="eastAsia" w:ascii="宋体" w:hAnsi="宋体" w:eastAsia="宋体" w:cs="宋体"/>
          <w:b/>
          <w:color w:val="auto"/>
          <w:sz w:val="36"/>
          <w:szCs w:val="36"/>
          <w:highlight w:val="none"/>
        </w:rPr>
      </w:pPr>
    </w:p>
    <w:p w14:paraId="07C48C54">
      <w:pPr>
        <w:pStyle w:val="31"/>
        <w:rPr>
          <w:rFonts w:hint="eastAsia" w:ascii="宋体" w:hAnsi="宋体" w:eastAsia="宋体" w:cs="宋体"/>
          <w:b/>
          <w:color w:val="auto"/>
          <w:sz w:val="36"/>
          <w:szCs w:val="36"/>
          <w:highlight w:val="none"/>
        </w:rPr>
      </w:pPr>
    </w:p>
    <w:p w14:paraId="407EE850">
      <w:pPr>
        <w:pStyle w:val="31"/>
        <w:rPr>
          <w:rFonts w:hint="eastAsia" w:ascii="宋体" w:hAnsi="宋体" w:eastAsia="宋体" w:cs="宋体"/>
          <w:b/>
          <w:color w:val="auto"/>
          <w:sz w:val="36"/>
          <w:szCs w:val="36"/>
          <w:highlight w:val="none"/>
        </w:rPr>
      </w:pPr>
    </w:p>
    <w:p w14:paraId="2CC625A4">
      <w:pPr>
        <w:pStyle w:val="31"/>
        <w:rPr>
          <w:rFonts w:hint="eastAsia" w:ascii="宋体" w:hAnsi="宋体" w:eastAsia="宋体" w:cs="宋体"/>
          <w:b/>
          <w:color w:val="auto"/>
          <w:sz w:val="36"/>
          <w:szCs w:val="36"/>
          <w:highlight w:val="none"/>
        </w:rPr>
      </w:pPr>
    </w:p>
    <w:p w14:paraId="2A70ED84">
      <w:pPr>
        <w:pStyle w:val="31"/>
        <w:rPr>
          <w:rFonts w:hint="eastAsia" w:ascii="宋体" w:hAnsi="宋体" w:eastAsia="宋体" w:cs="宋体"/>
          <w:b/>
          <w:color w:val="auto"/>
          <w:sz w:val="36"/>
          <w:szCs w:val="36"/>
          <w:highlight w:val="none"/>
        </w:rPr>
      </w:pPr>
    </w:p>
    <w:p w14:paraId="12A2083F">
      <w:pPr>
        <w:pStyle w:val="13"/>
        <w:adjustRightInd w:val="0"/>
        <w:snapToGrid w:val="0"/>
        <w:spacing w:line="360" w:lineRule="auto"/>
        <w:jc w:val="center"/>
        <w:rPr>
          <w:rFonts w:hint="eastAsia" w:ascii="宋体" w:hAnsi="宋体" w:eastAsia="宋体" w:cs="宋体"/>
          <w:color w:val="auto"/>
          <w:szCs w:val="21"/>
          <w:highlight w:val="none"/>
          <w:lang w:val="en-US" w:eastAsia="zh-CN"/>
        </w:rPr>
      </w:pPr>
    </w:p>
    <w:p w14:paraId="7E05006A">
      <w:pPr>
        <w:rPr>
          <w:rFonts w:hint="eastAsia" w:ascii="宋体" w:hAnsi="宋体" w:eastAsia="宋体" w:cs="宋体"/>
          <w:color w:val="auto"/>
          <w:szCs w:val="21"/>
          <w:highlight w:val="none"/>
          <w:lang w:val="en-US" w:eastAsia="zh-CN"/>
        </w:rPr>
      </w:pPr>
    </w:p>
    <w:p w14:paraId="5F665891">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5" w:name="_Toc22172"/>
      <w:r>
        <w:rPr>
          <w:rFonts w:hint="eastAsia" w:asciiTheme="minorEastAsia" w:hAnsiTheme="minorEastAsia" w:eastAsiaTheme="minorEastAsia" w:cstheme="minorEastAsia"/>
          <w:b/>
          <w:color w:val="auto"/>
          <w:kern w:val="2"/>
          <w:sz w:val="32"/>
          <w:szCs w:val="32"/>
          <w:highlight w:val="none"/>
          <w:lang w:val="en-US" w:eastAsia="zh-CN" w:bidi="ar-SA"/>
        </w:rPr>
        <w:t>8.</w:t>
      </w:r>
      <w:bookmarkEnd w:id="245"/>
      <w:r>
        <w:rPr>
          <w:rFonts w:hint="eastAsia" w:asciiTheme="minorEastAsia" w:hAnsiTheme="minorEastAsia" w:eastAsiaTheme="minorEastAsia" w:cstheme="minorEastAsia"/>
          <w:b/>
          <w:color w:val="auto"/>
          <w:kern w:val="2"/>
          <w:sz w:val="32"/>
          <w:szCs w:val="32"/>
          <w:highlight w:val="none"/>
          <w:lang w:val="en-US" w:eastAsia="zh-CN" w:bidi="ar-SA"/>
        </w:rPr>
        <w:t>信用中国和中国政府采购网截图</w:t>
      </w:r>
    </w:p>
    <w:p w14:paraId="61EF3795">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541E15D0">
      <w:pPr>
        <w:keepNext w:val="0"/>
        <w:keepLines w:val="0"/>
        <w:pageBreakBefore w:val="0"/>
        <w:widowControl w:val="0"/>
        <w:kinsoku/>
        <w:wordWrap/>
        <w:overflowPunct/>
        <w:topLinePunct w:val="0"/>
        <w:autoSpaceDE/>
        <w:autoSpaceDN/>
        <w:bidi w:val="0"/>
        <w:spacing w:line="480" w:lineRule="exact"/>
        <w:textAlignment w:val="auto"/>
        <w:outlineLvl w:val="1"/>
        <w:rPr>
          <w:rFonts w:hint="eastAsia" w:ascii="宋体" w:hAnsi="宋体" w:eastAsia="宋体" w:cs="宋体"/>
          <w:b/>
          <w:color w:val="auto"/>
          <w:sz w:val="22"/>
          <w:szCs w:val="22"/>
          <w:highlight w:val="none"/>
          <w:lang w:val="en-US" w:eastAsia="zh-CN"/>
        </w:rPr>
        <w:sectPr>
          <w:footerReference r:id="rId12" w:type="default"/>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bookmarkStart w:id="246" w:name="_Toc23273"/>
    </w:p>
    <w:p w14:paraId="5BFD16BA">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9.无重大违法记录声明</w:t>
      </w:r>
    </w:p>
    <w:p w14:paraId="0185CA4D">
      <w:pPr>
        <w:keepNext w:val="0"/>
        <w:keepLines w:val="0"/>
        <w:pageBreakBefore w:val="0"/>
        <w:widowControl w:val="0"/>
        <w:numPr>
          <w:ilvl w:val="0"/>
          <w:numId w:val="0"/>
        </w:numPr>
        <w:kinsoku/>
        <w:wordWrap/>
        <w:overflowPunct/>
        <w:topLinePunct w:val="0"/>
        <w:autoSpaceDE/>
        <w:autoSpaceDN/>
        <w:bidi w:val="0"/>
        <w:spacing w:line="480" w:lineRule="exact"/>
        <w:ind w:firstLine="440" w:firstLineChars="200"/>
        <w:jc w:val="left"/>
        <w:textAlignment w:val="auto"/>
        <w:outlineLvl w:val="1"/>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说明：投标人应具备良好的商业信誉，提供参加政府采购活动前3年内在经营活动中没有重大违法记录的书面声明；</w:t>
      </w:r>
    </w:p>
    <w:p w14:paraId="606CC422">
      <w:pPr>
        <w:pStyle w:val="13"/>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zh-CN" w:eastAsia="zh-CN"/>
        </w:rPr>
        <w:t>察布查尔锡伯自治县农业农村局</w:t>
      </w:r>
      <w:r>
        <w:rPr>
          <w:rFonts w:hint="eastAsia" w:asciiTheme="minorEastAsia" w:hAnsiTheme="minorEastAsia" w:eastAsiaTheme="minorEastAsia" w:cstheme="minorEastAsia"/>
          <w:b/>
          <w:bCs/>
          <w:color w:val="auto"/>
          <w:sz w:val="22"/>
          <w:szCs w:val="22"/>
          <w:highlight w:val="none"/>
          <w:lang w:val="en-US" w:eastAsia="zh-CN"/>
        </w:rPr>
        <w:t>：</w:t>
      </w:r>
    </w:p>
    <w:p w14:paraId="5299D61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我公司参与招标文件</w:t>
      </w:r>
      <w:r>
        <w:rPr>
          <w:rFonts w:hint="eastAsia" w:asciiTheme="minorEastAsia" w:hAnsiTheme="minorEastAsia" w:eastAsiaTheme="minorEastAsia" w:cstheme="minorEastAsia"/>
          <w:color w:val="auto"/>
          <w:sz w:val="22"/>
          <w:szCs w:val="22"/>
          <w:highlight w:val="none"/>
          <w:u w:val="single"/>
          <w:lang w:val="en-US" w:eastAsia="zh-CN"/>
        </w:rPr>
        <w:t>项目编号</w:t>
      </w:r>
      <w:r>
        <w:rPr>
          <w:rFonts w:hint="eastAsia" w:asciiTheme="minorEastAsia" w:hAnsiTheme="minorEastAsia" w:eastAsiaTheme="minorEastAsia" w:cstheme="minorEastAsia"/>
          <w:color w:val="auto"/>
          <w:sz w:val="22"/>
          <w:szCs w:val="22"/>
          <w:highlight w:val="none"/>
          <w:lang w:val="en-US" w:eastAsia="zh-CN"/>
        </w:rPr>
        <w:t>为</w:t>
      </w:r>
      <w:r>
        <w:rPr>
          <w:rFonts w:hint="eastAsia" w:asciiTheme="minorEastAsia" w:hAnsiTheme="minorEastAsia" w:eastAsiaTheme="minorEastAsia" w:cstheme="minorEastAsia"/>
          <w:color w:val="auto"/>
          <w:sz w:val="22"/>
          <w:szCs w:val="22"/>
          <w:highlight w:val="none"/>
          <w:u w:val="single"/>
          <w:lang w:val="en-US" w:eastAsia="zh-CN"/>
        </w:rPr>
        <w:t xml:space="preserve"> 项目名称 </w:t>
      </w:r>
      <w:r>
        <w:rPr>
          <w:rFonts w:hint="eastAsia" w:asciiTheme="minorEastAsia" w:hAnsiTheme="minorEastAsia" w:eastAsiaTheme="minorEastAsia" w:cstheme="minorEastAsia"/>
          <w:color w:val="auto"/>
          <w:sz w:val="22"/>
          <w:szCs w:val="22"/>
          <w:highlight w:val="none"/>
          <w:lang w:val="en-US" w:eastAsia="zh-CN"/>
        </w:rPr>
        <w:t>的招标活动，我公司郑重声明：我公司参加本次招标活动前3年内，在经营活动中无重大违法记录，具备招标文件中规定的投标供应商资格条件。我公司对此声明负全部法律责任。</w:t>
      </w:r>
    </w:p>
    <w:p w14:paraId="0D06FF9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特此声明！</w:t>
      </w:r>
    </w:p>
    <w:p w14:paraId="3C85594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承诺单位：  公司（公章）</w:t>
      </w:r>
    </w:p>
    <w:p w14:paraId="65D4AE4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法定代表人签字或签章：                     </w:t>
      </w:r>
    </w:p>
    <w:p w14:paraId="2836D529">
      <w:pPr>
        <w:pStyle w:val="13"/>
        <w:keepNext w:val="0"/>
        <w:keepLines w:val="0"/>
        <w:pageBreakBefore w:val="0"/>
        <w:widowControl w:val="0"/>
        <w:kinsoku/>
        <w:wordWrap/>
        <w:overflowPunct/>
        <w:topLinePunct w:val="0"/>
        <w:autoSpaceDE/>
        <w:autoSpaceDN/>
        <w:bidi w:val="0"/>
        <w:adjustRightInd w:val="0"/>
        <w:snapToGrid w:val="0"/>
        <w:spacing w:line="480" w:lineRule="exact"/>
        <w:ind w:firstLine="3520" w:firstLineChars="16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法定代表人身份证号：</w:t>
      </w:r>
    </w:p>
    <w:p w14:paraId="7BEB1F88">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20  年  月  日</w:t>
      </w:r>
    </w:p>
    <w:p w14:paraId="20F61BD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22"/>
          <w:szCs w:val="28"/>
          <w:highlight w:val="none"/>
          <w:lang w:val="en-US" w:eastAsia="zh-CN"/>
        </w:rPr>
        <w:sectPr>
          <w:pgSz w:w="11906" w:h="16838"/>
          <w:pgMar w:top="1429" w:right="1624" w:bottom="1495" w:left="1830" w:header="0" w:footer="1177" w:gutter="0"/>
          <w:pgNumType w:fmt="decimal"/>
          <w:cols w:space="720" w:num="1"/>
        </w:sectPr>
      </w:pPr>
    </w:p>
    <w:p w14:paraId="644789B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10.</w:t>
      </w:r>
      <w:bookmarkEnd w:id="246"/>
      <w:r>
        <w:rPr>
          <w:rFonts w:hint="eastAsia" w:asciiTheme="minorEastAsia" w:hAnsiTheme="minorEastAsia" w:eastAsiaTheme="minorEastAsia" w:cstheme="minorEastAsia"/>
          <w:b/>
          <w:color w:val="auto"/>
          <w:kern w:val="2"/>
          <w:sz w:val="32"/>
          <w:szCs w:val="32"/>
          <w:highlight w:val="none"/>
          <w:lang w:val="zh-CN" w:eastAsia="zh-CN" w:bidi="ar-SA"/>
        </w:rPr>
        <w:t>具备履行合同所必需的设备和专业技术能力的证明</w:t>
      </w:r>
    </w:p>
    <w:p w14:paraId="67D21144">
      <w:pPr>
        <w:pStyle w:val="7"/>
        <w:keepNext w:val="0"/>
        <w:keepLines w:val="0"/>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说明：</w:t>
      </w:r>
      <w:r>
        <w:rPr>
          <w:rFonts w:hint="eastAsia" w:asciiTheme="minorEastAsia" w:hAnsiTheme="minorEastAsia" w:eastAsiaTheme="minorEastAsia" w:cstheme="minorEastAsia"/>
          <w:color w:val="auto"/>
          <w:kern w:val="2"/>
          <w:sz w:val="22"/>
          <w:szCs w:val="22"/>
          <w:highlight w:val="none"/>
          <w:lang w:val="zh-CN" w:eastAsia="zh-CN" w:bidi="ar-SA"/>
        </w:rPr>
        <w:t>具备履行合同所必需的设备和专业技术能力的证明；</w:t>
      </w:r>
    </w:p>
    <w:p w14:paraId="6131AD20">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Theme="minorEastAsia" w:hAnsiTheme="minorEastAsia" w:eastAsiaTheme="minorEastAsia" w:cstheme="minorEastAsia"/>
          <w:b/>
          <w:color w:val="auto"/>
          <w:kern w:val="0"/>
          <w:sz w:val="28"/>
          <w:szCs w:val="28"/>
          <w:highlight w:val="none"/>
          <w:lang w:val="zh-CN"/>
        </w:rPr>
      </w:pPr>
      <w:r>
        <w:rPr>
          <w:rFonts w:hint="eastAsia" w:asciiTheme="minorEastAsia" w:hAnsiTheme="minorEastAsia" w:eastAsiaTheme="minorEastAsia" w:cstheme="minorEastAsia"/>
          <w:b/>
          <w:color w:val="auto"/>
          <w:kern w:val="0"/>
          <w:sz w:val="28"/>
          <w:szCs w:val="28"/>
          <w:highlight w:val="none"/>
          <w:lang w:val="zh-CN"/>
        </w:rPr>
        <w:t>（一）完成本项目必须的设备清单</w:t>
      </w:r>
    </w:p>
    <w:p w14:paraId="178F0E09">
      <w:pPr>
        <w:pStyle w:val="7"/>
        <w:keepNext w:val="0"/>
        <w:keepLines w:val="0"/>
        <w:pageBreakBefore w:val="0"/>
        <w:widowControl w:val="0"/>
        <w:kinsoku/>
        <w:wordWrap/>
        <w:overflowPunct/>
        <w:topLinePunct w:val="0"/>
        <w:autoSpaceDE/>
        <w:autoSpaceDN/>
        <w:bidi w:val="0"/>
        <w:adjustRightInd/>
        <w:snapToGrid/>
        <w:spacing w:line="480" w:lineRule="exact"/>
        <w:ind w:firstLine="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r>
        <w:rPr>
          <w:rFonts w:hint="eastAsia" w:ascii="宋体" w:hAnsi="宋体" w:eastAsia="宋体" w:cs="宋体"/>
          <w:color w:val="auto"/>
          <w:sz w:val="22"/>
          <w:szCs w:val="22"/>
          <w:highlight w:val="none"/>
          <w:lang w:val="en-US" w:eastAsia="zh-CN"/>
        </w:rPr>
        <w:t xml:space="preserve">           </w:t>
      </w:r>
    </w:p>
    <w:tbl>
      <w:tblPr>
        <w:tblStyle w:val="23"/>
        <w:tblW w:w="0" w:type="auto"/>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241"/>
        <w:gridCol w:w="1445"/>
        <w:gridCol w:w="992"/>
        <w:gridCol w:w="2410"/>
        <w:gridCol w:w="1270"/>
      </w:tblGrid>
      <w:tr w14:paraId="3F3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5" w:type="dxa"/>
            <w:noWrap w:val="0"/>
            <w:vAlign w:val="center"/>
          </w:tcPr>
          <w:p w14:paraId="7F39C0C4">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241" w:type="dxa"/>
            <w:noWrap w:val="0"/>
            <w:vAlign w:val="center"/>
          </w:tcPr>
          <w:p w14:paraId="11936461">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设备名称</w:t>
            </w:r>
          </w:p>
        </w:tc>
        <w:tc>
          <w:tcPr>
            <w:tcW w:w="1445" w:type="dxa"/>
            <w:noWrap w:val="0"/>
            <w:vAlign w:val="center"/>
          </w:tcPr>
          <w:p w14:paraId="222A8238">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计量单位</w:t>
            </w:r>
          </w:p>
        </w:tc>
        <w:tc>
          <w:tcPr>
            <w:tcW w:w="992" w:type="dxa"/>
            <w:noWrap w:val="0"/>
            <w:vAlign w:val="center"/>
          </w:tcPr>
          <w:p w14:paraId="40B5758A">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410" w:type="dxa"/>
            <w:noWrap w:val="0"/>
            <w:vAlign w:val="center"/>
          </w:tcPr>
          <w:p w14:paraId="3D5F868B">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生产企业</w:t>
            </w:r>
          </w:p>
        </w:tc>
        <w:tc>
          <w:tcPr>
            <w:tcW w:w="1270" w:type="dxa"/>
            <w:noWrap w:val="0"/>
            <w:vAlign w:val="center"/>
          </w:tcPr>
          <w:p w14:paraId="18AE77A2">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使用年限</w:t>
            </w:r>
          </w:p>
        </w:tc>
      </w:tr>
      <w:tr w14:paraId="71AC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5" w:type="dxa"/>
            <w:noWrap w:val="0"/>
            <w:vAlign w:val="top"/>
          </w:tcPr>
          <w:p w14:paraId="671D7F7B">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662F2632">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60960FF">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7D83AD8">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3B680B9">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4B46DDF7">
            <w:pPr>
              <w:pStyle w:val="7"/>
              <w:ind w:firstLine="0"/>
              <w:jc w:val="left"/>
              <w:rPr>
                <w:rFonts w:hint="eastAsia" w:ascii="宋体" w:hAnsi="宋体" w:eastAsia="宋体" w:cs="宋体"/>
                <w:b/>
                <w:color w:val="auto"/>
                <w:sz w:val="22"/>
                <w:szCs w:val="22"/>
                <w:highlight w:val="none"/>
              </w:rPr>
            </w:pPr>
          </w:p>
        </w:tc>
      </w:tr>
      <w:tr w14:paraId="3373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5" w:type="dxa"/>
            <w:noWrap w:val="0"/>
            <w:vAlign w:val="top"/>
          </w:tcPr>
          <w:p w14:paraId="532C95D7">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5C5C894E">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226B22A2">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6DD2EC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17B73CFE">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2BC2A887">
            <w:pPr>
              <w:pStyle w:val="7"/>
              <w:ind w:firstLine="0"/>
              <w:jc w:val="left"/>
              <w:rPr>
                <w:rFonts w:hint="eastAsia" w:ascii="宋体" w:hAnsi="宋体" w:eastAsia="宋体" w:cs="宋体"/>
                <w:b/>
                <w:color w:val="auto"/>
                <w:sz w:val="22"/>
                <w:szCs w:val="22"/>
                <w:highlight w:val="none"/>
              </w:rPr>
            </w:pPr>
          </w:p>
        </w:tc>
      </w:tr>
      <w:tr w14:paraId="727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noWrap w:val="0"/>
            <w:vAlign w:val="top"/>
          </w:tcPr>
          <w:p w14:paraId="7514194D">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096038D1">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17420F48">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237855CC">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03ACA6A">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41655C03">
            <w:pPr>
              <w:pStyle w:val="7"/>
              <w:ind w:firstLine="0"/>
              <w:jc w:val="left"/>
              <w:rPr>
                <w:rFonts w:hint="eastAsia" w:ascii="宋体" w:hAnsi="宋体" w:eastAsia="宋体" w:cs="宋体"/>
                <w:b/>
                <w:color w:val="auto"/>
                <w:sz w:val="22"/>
                <w:szCs w:val="22"/>
                <w:highlight w:val="none"/>
              </w:rPr>
            </w:pPr>
          </w:p>
        </w:tc>
      </w:tr>
      <w:tr w14:paraId="0E37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5" w:type="dxa"/>
            <w:noWrap w:val="0"/>
            <w:vAlign w:val="top"/>
          </w:tcPr>
          <w:p w14:paraId="298D406C">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6CB65CB0">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3DD2DCEC">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FC9D256">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1B000CC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8103AF2">
            <w:pPr>
              <w:pStyle w:val="7"/>
              <w:ind w:firstLine="0"/>
              <w:jc w:val="left"/>
              <w:rPr>
                <w:rFonts w:hint="eastAsia" w:ascii="宋体" w:hAnsi="宋体" w:eastAsia="宋体" w:cs="宋体"/>
                <w:b/>
                <w:color w:val="auto"/>
                <w:sz w:val="22"/>
                <w:szCs w:val="22"/>
                <w:highlight w:val="none"/>
              </w:rPr>
            </w:pPr>
          </w:p>
        </w:tc>
      </w:tr>
      <w:tr w14:paraId="7F05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258B77C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1746FC38">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900A3A9">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06B41670">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6C3EDA13">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50753AAB">
            <w:pPr>
              <w:pStyle w:val="7"/>
              <w:ind w:firstLine="0"/>
              <w:jc w:val="left"/>
              <w:rPr>
                <w:rFonts w:hint="eastAsia" w:ascii="宋体" w:hAnsi="宋体" w:eastAsia="宋体" w:cs="宋体"/>
                <w:b/>
                <w:color w:val="auto"/>
                <w:sz w:val="22"/>
                <w:szCs w:val="22"/>
                <w:highlight w:val="none"/>
              </w:rPr>
            </w:pPr>
          </w:p>
        </w:tc>
      </w:tr>
      <w:tr w14:paraId="6219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243C062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780B1C1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7C4700E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28EE4CD5">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61AFD999">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7F8FC232">
            <w:pPr>
              <w:pStyle w:val="7"/>
              <w:ind w:firstLine="0"/>
              <w:jc w:val="left"/>
              <w:rPr>
                <w:rFonts w:hint="eastAsia" w:ascii="宋体" w:hAnsi="宋体" w:eastAsia="宋体" w:cs="宋体"/>
                <w:b/>
                <w:color w:val="auto"/>
                <w:sz w:val="22"/>
                <w:szCs w:val="22"/>
                <w:highlight w:val="none"/>
              </w:rPr>
            </w:pPr>
          </w:p>
        </w:tc>
      </w:tr>
      <w:tr w14:paraId="48D2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3543C92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5F597221">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7EBBB6C9">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78CFE282">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FB7C04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627DA17">
            <w:pPr>
              <w:pStyle w:val="7"/>
              <w:ind w:firstLine="0"/>
              <w:jc w:val="left"/>
              <w:rPr>
                <w:rFonts w:hint="eastAsia" w:ascii="宋体" w:hAnsi="宋体" w:eastAsia="宋体" w:cs="宋体"/>
                <w:b/>
                <w:color w:val="auto"/>
                <w:sz w:val="22"/>
                <w:szCs w:val="22"/>
                <w:highlight w:val="none"/>
              </w:rPr>
            </w:pPr>
          </w:p>
        </w:tc>
      </w:tr>
      <w:tr w14:paraId="0A3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6494E2F4">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72D91D72">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0A8FEAA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32DAAC7">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22B6A0C6">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1BACF4E6">
            <w:pPr>
              <w:pStyle w:val="7"/>
              <w:ind w:firstLine="0"/>
              <w:jc w:val="left"/>
              <w:rPr>
                <w:rFonts w:hint="eastAsia" w:ascii="宋体" w:hAnsi="宋体" w:eastAsia="宋体" w:cs="宋体"/>
                <w:b/>
                <w:color w:val="auto"/>
                <w:sz w:val="22"/>
                <w:szCs w:val="22"/>
                <w:highlight w:val="none"/>
              </w:rPr>
            </w:pPr>
          </w:p>
        </w:tc>
      </w:tr>
      <w:tr w14:paraId="4964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66629473">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8129AD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070F8A66">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49C7B88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73331AE">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83C6951">
            <w:pPr>
              <w:pStyle w:val="7"/>
              <w:ind w:firstLine="0"/>
              <w:jc w:val="left"/>
              <w:rPr>
                <w:rFonts w:hint="eastAsia" w:ascii="宋体" w:hAnsi="宋体" w:eastAsia="宋体" w:cs="宋体"/>
                <w:b/>
                <w:color w:val="auto"/>
                <w:sz w:val="22"/>
                <w:szCs w:val="22"/>
                <w:highlight w:val="none"/>
              </w:rPr>
            </w:pPr>
          </w:p>
        </w:tc>
      </w:tr>
      <w:tr w14:paraId="190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72B0344E">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87DA78F">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1CB0CC6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AE10F15">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2FEE42B4">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C10C62A">
            <w:pPr>
              <w:pStyle w:val="7"/>
              <w:ind w:firstLine="0"/>
              <w:jc w:val="left"/>
              <w:rPr>
                <w:rFonts w:hint="eastAsia" w:ascii="宋体" w:hAnsi="宋体" w:eastAsia="宋体" w:cs="宋体"/>
                <w:b/>
                <w:color w:val="auto"/>
                <w:sz w:val="22"/>
                <w:szCs w:val="22"/>
                <w:highlight w:val="none"/>
              </w:rPr>
            </w:pPr>
          </w:p>
        </w:tc>
      </w:tr>
      <w:tr w14:paraId="7F5B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411E5B00">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EB00174">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2264509A">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03687409">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817737A">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500ECE4">
            <w:pPr>
              <w:pStyle w:val="7"/>
              <w:ind w:firstLine="0"/>
              <w:jc w:val="left"/>
              <w:rPr>
                <w:rFonts w:hint="eastAsia" w:ascii="宋体" w:hAnsi="宋体" w:eastAsia="宋体" w:cs="宋体"/>
                <w:b/>
                <w:color w:val="auto"/>
                <w:sz w:val="22"/>
                <w:szCs w:val="22"/>
                <w:highlight w:val="none"/>
              </w:rPr>
            </w:pPr>
          </w:p>
        </w:tc>
      </w:tr>
      <w:tr w14:paraId="4323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25BD7B8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2E4D9AD">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5C00B1E">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4052AA3B">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3EEF4CB5">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2F9AD946">
            <w:pPr>
              <w:pStyle w:val="7"/>
              <w:ind w:firstLine="0"/>
              <w:jc w:val="left"/>
              <w:rPr>
                <w:rFonts w:hint="eastAsia" w:ascii="宋体" w:hAnsi="宋体" w:eastAsia="宋体" w:cs="宋体"/>
                <w:b/>
                <w:color w:val="auto"/>
                <w:sz w:val="22"/>
                <w:szCs w:val="22"/>
                <w:highlight w:val="none"/>
              </w:rPr>
            </w:pPr>
          </w:p>
        </w:tc>
      </w:tr>
      <w:tr w14:paraId="7D69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23515E1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0EAAB73A">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F8D447C">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BFA1F22">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3232621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38241BEA">
            <w:pPr>
              <w:pStyle w:val="7"/>
              <w:ind w:firstLine="0"/>
              <w:jc w:val="left"/>
              <w:rPr>
                <w:rFonts w:hint="eastAsia" w:ascii="宋体" w:hAnsi="宋体" w:eastAsia="宋体" w:cs="宋体"/>
                <w:b/>
                <w:color w:val="auto"/>
                <w:sz w:val="22"/>
                <w:szCs w:val="22"/>
                <w:highlight w:val="none"/>
              </w:rPr>
            </w:pPr>
          </w:p>
        </w:tc>
      </w:tr>
      <w:tr w14:paraId="1B78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4A3DB9E0">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DAB16EF">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414A1C1">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D21F1CA">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EF93E60">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85C895E">
            <w:pPr>
              <w:pStyle w:val="7"/>
              <w:ind w:firstLine="0"/>
              <w:jc w:val="left"/>
              <w:rPr>
                <w:rFonts w:hint="eastAsia" w:ascii="宋体" w:hAnsi="宋体" w:eastAsia="宋体" w:cs="宋体"/>
                <w:b/>
                <w:color w:val="auto"/>
                <w:sz w:val="22"/>
                <w:szCs w:val="22"/>
                <w:highlight w:val="none"/>
              </w:rPr>
            </w:pPr>
          </w:p>
        </w:tc>
      </w:tr>
      <w:tr w14:paraId="67FF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129F2B2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1CF60EFC">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DFFE554">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066719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7504C56">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1603D651">
            <w:pPr>
              <w:pStyle w:val="7"/>
              <w:ind w:firstLine="0"/>
              <w:jc w:val="left"/>
              <w:rPr>
                <w:rFonts w:hint="eastAsia" w:ascii="宋体" w:hAnsi="宋体" w:eastAsia="宋体" w:cs="宋体"/>
                <w:b/>
                <w:color w:val="auto"/>
                <w:sz w:val="22"/>
                <w:szCs w:val="22"/>
                <w:highlight w:val="none"/>
              </w:rPr>
            </w:pPr>
          </w:p>
        </w:tc>
      </w:tr>
      <w:tr w14:paraId="085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5" w:type="dxa"/>
            <w:noWrap w:val="0"/>
            <w:vAlign w:val="top"/>
          </w:tcPr>
          <w:p w14:paraId="3F46FCAD">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32EC0E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C26CF8F">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DDD4E7F">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A9A87C7">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71EE8684">
            <w:pPr>
              <w:pStyle w:val="7"/>
              <w:ind w:firstLine="0"/>
              <w:jc w:val="left"/>
              <w:rPr>
                <w:rFonts w:hint="eastAsia" w:ascii="宋体" w:hAnsi="宋体" w:eastAsia="宋体" w:cs="宋体"/>
                <w:b/>
                <w:color w:val="auto"/>
                <w:sz w:val="22"/>
                <w:szCs w:val="22"/>
                <w:highlight w:val="none"/>
              </w:rPr>
            </w:pPr>
          </w:p>
        </w:tc>
      </w:tr>
    </w:tbl>
    <w:p w14:paraId="1443FE05">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说明：设备可以填写单台设备，也可以填写成套设备。</w:t>
      </w:r>
    </w:p>
    <w:p w14:paraId="4E29F80E">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（盖单位章）</w:t>
      </w:r>
    </w:p>
    <w:p w14:paraId="4F11D67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2"/>
          <w:szCs w:val="22"/>
          <w:highlight w:val="none"/>
        </w:rPr>
      </w:pPr>
      <w:bookmarkStart w:id="247" w:name="_Toc17026"/>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47"/>
    </w:p>
    <w:p w14:paraId="525FCA3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b/>
          <w:color w:val="auto"/>
          <w:sz w:val="22"/>
          <w:szCs w:val="22"/>
          <w:highlight w:val="none"/>
        </w:rPr>
      </w:pPr>
      <w:bookmarkStart w:id="248" w:name="_Toc5802"/>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w:t>
      </w:r>
      <w:bookmarkEnd w:id="248"/>
    </w:p>
    <w:p w14:paraId="784C5EAD">
      <w:pPr>
        <w:pStyle w:val="7"/>
        <w:keepNext w:val="0"/>
        <w:keepLines w:val="0"/>
        <w:pageBreakBefore w:val="0"/>
        <w:widowControl w:val="0"/>
        <w:kinsoku/>
        <w:wordWrap/>
        <w:overflowPunct/>
        <w:topLinePunct w:val="0"/>
        <w:autoSpaceDE/>
        <w:autoSpaceDN/>
        <w:bidi w:val="0"/>
        <w:snapToGrid/>
        <w:spacing w:line="480" w:lineRule="exact"/>
        <w:ind w:firstLine="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Theme="minorEastAsia" w:hAnsiTheme="minorEastAsia" w:eastAsiaTheme="minorEastAsia" w:cstheme="minorEastAsia"/>
          <w:b/>
          <w:color w:val="auto"/>
          <w:kern w:val="0"/>
          <w:sz w:val="28"/>
          <w:szCs w:val="28"/>
          <w:highlight w:val="none"/>
          <w:lang w:val="zh-CN"/>
        </w:rPr>
        <w:t>（二）本项目组织实施人员</w:t>
      </w:r>
    </w:p>
    <w:p w14:paraId="791132BA">
      <w:pPr>
        <w:pStyle w:val="7"/>
        <w:spacing w:after="120" w:afterLines="50"/>
        <w:ind w:firstLine="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2"/>
          <w:szCs w:val="22"/>
          <w:highlight w:val="none"/>
        </w:rPr>
        <w:t xml:space="preserve">投标人：                              </w:t>
      </w: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r>
        <w:rPr>
          <w:rFonts w:hint="eastAsia" w:ascii="宋体" w:hAnsi="宋体" w:eastAsia="宋体" w:cs="宋体"/>
          <w:color w:val="auto"/>
          <w:szCs w:val="21"/>
          <w:highlight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14:paraId="6C0C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noWrap w:val="0"/>
            <w:vAlign w:val="center"/>
          </w:tcPr>
          <w:p w14:paraId="64354D2F">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1.项目负责人</w:t>
            </w:r>
          </w:p>
        </w:tc>
      </w:tr>
      <w:tr w14:paraId="1D5F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33C43D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08A72C5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5524C1E0">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695CDA1E">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top"/>
          </w:tcPr>
          <w:p w14:paraId="20731D27">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2971" w:type="dxa"/>
            <w:gridSpan w:val="2"/>
            <w:noWrap w:val="0"/>
            <w:vAlign w:val="center"/>
          </w:tcPr>
          <w:p w14:paraId="04F685D2">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主要工作业绩</w:t>
            </w:r>
          </w:p>
        </w:tc>
      </w:tr>
      <w:tr w14:paraId="0559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93F0DEC">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173FD73A">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2A099B5">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34F430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D812429">
            <w:pPr>
              <w:pStyle w:val="7"/>
              <w:ind w:firstLine="0"/>
              <w:jc w:val="left"/>
              <w:rPr>
                <w:rFonts w:hint="eastAsia" w:ascii="宋体" w:hAnsi="宋体" w:eastAsia="宋体" w:cs="宋体"/>
                <w:b/>
                <w:color w:val="auto"/>
                <w:sz w:val="22"/>
                <w:szCs w:val="22"/>
                <w:highlight w:val="none"/>
              </w:rPr>
            </w:pPr>
          </w:p>
        </w:tc>
        <w:tc>
          <w:tcPr>
            <w:tcW w:w="2971" w:type="dxa"/>
            <w:gridSpan w:val="2"/>
            <w:noWrap w:val="0"/>
            <w:vAlign w:val="top"/>
          </w:tcPr>
          <w:p w14:paraId="79314894">
            <w:pPr>
              <w:pStyle w:val="7"/>
              <w:ind w:firstLine="0"/>
              <w:jc w:val="left"/>
              <w:rPr>
                <w:rFonts w:hint="eastAsia" w:ascii="宋体" w:hAnsi="宋体" w:eastAsia="宋体" w:cs="宋体"/>
                <w:b/>
                <w:color w:val="auto"/>
                <w:sz w:val="22"/>
                <w:szCs w:val="22"/>
                <w:highlight w:val="none"/>
              </w:rPr>
            </w:pPr>
          </w:p>
        </w:tc>
      </w:tr>
      <w:tr w14:paraId="4542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2CB7359">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2614F84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64CF4070">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55ADFCC2">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E167800">
            <w:pPr>
              <w:pStyle w:val="7"/>
              <w:ind w:firstLine="0"/>
              <w:jc w:val="left"/>
              <w:rPr>
                <w:rFonts w:hint="eastAsia" w:ascii="宋体" w:hAnsi="宋体" w:eastAsia="宋体" w:cs="宋体"/>
                <w:b/>
                <w:color w:val="auto"/>
                <w:sz w:val="22"/>
                <w:szCs w:val="22"/>
                <w:highlight w:val="none"/>
              </w:rPr>
            </w:pPr>
          </w:p>
        </w:tc>
        <w:tc>
          <w:tcPr>
            <w:tcW w:w="2971" w:type="dxa"/>
            <w:gridSpan w:val="2"/>
            <w:noWrap w:val="0"/>
            <w:vAlign w:val="top"/>
          </w:tcPr>
          <w:p w14:paraId="17CA8DD0">
            <w:pPr>
              <w:pStyle w:val="7"/>
              <w:ind w:firstLine="0"/>
              <w:jc w:val="left"/>
              <w:rPr>
                <w:rFonts w:hint="eastAsia" w:ascii="宋体" w:hAnsi="宋体" w:eastAsia="宋体" w:cs="宋体"/>
                <w:b/>
                <w:color w:val="auto"/>
                <w:sz w:val="22"/>
                <w:szCs w:val="22"/>
                <w:highlight w:val="none"/>
              </w:rPr>
            </w:pPr>
          </w:p>
        </w:tc>
      </w:tr>
      <w:tr w14:paraId="054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noWrap w:val="0"/>
            <w:vAlign w:val="center"/>
          </w:tcPr>
          <w:p w14:paraId="1E634BDC">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2.管理人员</w:t>
            </w:r>
          </w:p>
        </w:tc>
      </w:tr>
      <w:tr w14:paraId="070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3C8090C">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1E3E613E">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0424DE6F">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765F1F6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09C90A5D">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21CB0222">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4642DA4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2BBD26C0">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0DDE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4468231">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34305E69">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ACF64A3">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820DFC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825C975">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14C69413">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64956333">
            <w:pPr>
              <w:pStyle w:val="7"/>
              <w:ind w:firstLine="0"/>
              <w:jc w:val="left"/>
              <w:rPr>
                <w:rFonts w:hint="eastAsia" w:ascii="宋体" w:hAnsi="宋体" w:eastAsia="宋体" w:cs="宋体"/>
                <w:b/>
                <w:color w:val="auto"/>
                <w:sz w:val="22"/>
                <w:szCs w:val="22"/>
                <w:highlight w:val="none"/>
              </w:rPr>
            </w:pPr>
          </w:p>
        </w:tc>
      </w:tr>
      <w:tr w14:paraId="5EFF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6DB10EA">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E0D75BA">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5290F80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3EDEAED9">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74A50B10">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3A5C185A">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B26E228">
            <w:pPr>
              <w:pStyle w:val="7"/>
              <w:ind w:firstLine="0"/>
              <w:jc w:val="left"/>
              <w:rPr>
                <w:rFonts w:hint="eastAsia" w:ascii="宋体" w:hAnsi="宋体" w:eastAsia="宋体" w:cs="宋体"/>
                <w:b/>
                <w:color w:val="auto"/>
                <w:sz w:val="22"/>
                <w:szCs w:val="22"/>
                <w:highlight w:val="none"/>
              </w:rPr>
            </w:pPr>
          </w:p>
        </w:tc>
      </w:tr>
      <w:tr w14:paraId="7BA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078E85F">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452ACFC8">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37E62EA1">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688DB88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9F1FD7D">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6C7D000">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E450799">
            <w:pPr>
              <w:pStyle w:val="7"/>
              <w:ind w:firstLine="0"/>
              <w:jc w:val="left"/>
              <w:rPr>
                <w:rFonts w:hint="eastAsia" w:ascii="宋体" w:hAnsi="宋体" w:eastAsia="宋体" w:cs="宋体"/>
                <w:b/>
                <w:color w:val="auto"/>
                <w:sz w:val="22"/>
                <w:szCs w:val="22"/>
                <w:highlight w:val="none"/>
              </w:rPr>
            </w:pPr>
          </w:p>
        </w:tc>
      </w:tr>
      <w:tr w14:paraId="37D8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8DDE78">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E96731C">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263BE17">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8A78A94">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0845292">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18BDCC99">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30B6361">
            <w:pPr>
              <w:pStyle w:val="7"/>
              <w:ind w:firstLine="0"/>
              <w:jc w:val="left"/>
              <w:rPr>
                <w:rFonts w:hint="eastAsia" w:ascii="宋体" w:hAnsi="宋体" w:eastAsia="宋体" w:cs="宋体"/>
                <w:b/>
                <w:color w:val="auto"/>
                <w:sz w:val="22"/>
                <w:szCs w:val="22"/>
                <w:highlight w:val="none"/>
              </w:rPr>
            </w:pPr>
          </w:p>
        </w:tc>
      </w:tr>
      <w:tr w14:paraId="2625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noWrap w:val="0"/>
            <w:vAlign w:val="top"/>
          </w:tcPr>
          <w:p w14:paraId="166F82D1">
            <w:pPr>
              <w:pStyle w:val="7"/>
              <w:ind w:firstLine="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3.技术人员</w:t>
            </w:r>
          </w:p>
        </w:tc>
      </w:tr>
      <w:tr w14:paraId="7BCA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F3F746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0BB3D12B">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1F24895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06815FD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7F9BB50B">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3B4C4710">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7DCD9549">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7461E03B">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1807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2B63A23">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7033157D">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15F038B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2E620E0">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02636CC0">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FC3ACD0">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00B91AA">
            <w:pPr>
              <w:pStyle w:val="7"/>
              <w:ind w:firstLine="0"/>
              <w:jc w:val="left"/>
              <w:rPr>
                <w:rFonts w:hint="eastAsia" w:ascii="宋体" w:hAnsi="宋体" w:eastAsia="宋体" w:cs="宋体"/>
                <w:b/>
                <w:color w:val="auto"/>
                <w:sz w:val="22"/>
                <w:szCs w:val="22"/>
                <w:highlight w:val="none"/>
              </w:rPr>
            </w:pPr>
          </w:p>
        </w:tc>
      </w:tr>
      <w:tr w14:paraId="6C2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1A39EDE">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1626025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71A7A5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3D264AE">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376F2183">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C0EBBD2">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8721A0C">
            <w:pPr>
              <w:pStyle w:val="7"/>
              <w:ind w:firstLine="0"/>
              <w:jc w:val="left"/>
              <w:rPr>
                <w:rFonts w:hint="eastAsia" w:ascii="宋体" w:hAnsi="宋体" w:eastAsia="宋体" w:cs="宋体"/>
                <w:b/>
                <w:color w:val="auto"/>
                <w:sz w:val="22"/>
                <w:szCs w:val="22"/>
                <w:highlight w:val="none"/>
              </w:rPr>
            </w:pPr>
          </w:p>
        </w:tc>
      </w:tr>
      <w:tr w14:paraId="28AE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052A2E">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7FEB20CF">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A36A48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51AA9E68">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5AA3414">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26D0887B">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54ABB9A">
            <w:pPr>
              <w:pStyle w:val="7"/>
              <w:ind w:firstLine="0"/>
              <w:jc w:val="left"/>
              <w:rPr>
                <w:rFonts w:hint="eastAsia" w:ascii="宋体" w:hAnsi="宋体" w:eastAsia="宋体" w:cs="宋体"/>
                <w:b/>
                <w:color w:val="auto"/>
                <w:sz w:val="22"/>
                <w:szCs w:val="22"/>
                <w:highlight w:val="none"/>
              </w:rPr>
            </w:pPr>
          </w:p>
        </w:tc>
      </w:tr>
      <w:tr w14:paraId="0E46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23F8297">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36B26F46">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0B74FB7A">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AE53711">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EF377AC">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36E6E30C">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4F57C1C9">
            <w:pPr>
              <w:pStyle w:val="7"/>
              <w:ind w:firstLine="0"/>
              <w:jc w:val="left"/>
              <w:rPr>
                <w:rFonts w:hint="eastAsia" w:ascii="宋体" w:hAnsi="宋体" w:eastAsia="宋体" w:cs="宋体"/>
                <w:b/>
                <w:color w:val="auto"/>
                <w:sz w:val="22"/>
                <w:szCs w:val="22"/>
                <w:highlight w:val="none"/>
              </w:rPr>
            </w:pPr>
          </w:p>
        </w:tc>
      </w:tr>
      <w:tr w14:paraId="7F7A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noWrap w:val="0"/>
            <w:vAlign w:val="center"/>
          </w:tcPr>
          <w:p w14:paraId="5E59D91C">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3.辅助人员</w:t>
            </w:r>
          </w:p>
        </w:tc>
      </w:tr>
      <w:tr w14:paraId="4227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89EA341">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4D6EAEE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5F84BD2C">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0AB661F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40F625AE">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2FE8524F">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7E39382F">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2E04B997">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081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5420DB1">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428B8DC4">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1A89E875">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3E9488F8">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420FA2C">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64F1C945">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4EA8D3E6">
            <w:pPr>
              <w:pStyle w:val="7"/>
              <w:ind w:firstLine="0"/>
              <w:jc w:val="left"/>
              <w:rPr>
                <w:rFonts w:hint="eastAsia" w:ascii="宋体" w:hAnsi="宋体" w:eastAsia="宋体" w:cs="宋体"/>
                <w:b/>
                <w:color w:val="auto"/>
                <w:sz w:val="22"/>
                <w:szCs w:val="22"/>
                <w:highlight w:val="none"/>
              </w:rPr>
            </w:pPr>
          </w:p>
        </w:tc>
      </w:tr>
      <w:tr w14:paraId="1FA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51D2AE9">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A56AB4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396E451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7336F383">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6F327F7">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7A161F17">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75D83222">
            <w:pPr>
              <w:pStyle w:val="7"/>
              <w:ind w:firstLine="0"/>
              <w:jc w:val="left"/>
              <w:rPr>
                <w:rFonts w:hint="eastAsia" w:ascii="宋体" w:hAnsi="宋体" w:eastAsia="宋体" w:cs="宋体"/>
                <w:b/>
                <w:color w:val="auto"/>
                <w:sz w:val="22"/>
                <w:szCs w:val="22"/>
                <w:highlight w:val="none"/>
              </w:rPr>
            </w:pPr>
          </w:p>
        </w:tc>
      </w:tr>
      <w:tr w14:paraId="4C8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FC5A86D">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50D1EFF3">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05F4CF4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D2855AB">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7DD1496A">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15E2817">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5A92E38">
            <w:pPr>
              <w:pStyle w:val="7"/>
              <w:ind w:firstLine="0"/>
              <w:jc w:val="left"/>
              <w:rPr>
                <w:rFonts w:hint="eastAsia" w:ascii="宋体" w:hAnsi="宋体" w:eastAsia="宋体" w:cs="宋体"/>
                <w:b/>
                <w:color w:val="auto"/>
                <w:sz w:val="22"/>
                <w:szCs w:val="22"/>
                <w:highlight w:val="none"/>
              </w:rPr>
            </w:pPr>
          </w:p>
        </w:tc>
      </w:tr>
    </w:tbl>
    <w:p w14:paraId="42AF829A">
      <w:pPr>
        <w:pStyle w:val="7"/>
        <w:keepNext w:val="0"/>
        <w:keepLines w:val="0"/>
        <w:pageBreakBefore w:val="0"/>
        <w:widowControl w:val="0"/>
        <w:kinsoku/>
        <w:wordWrap/>
        <w:overflowPunct/>
        <w:topLinePunct w:val="0"/>
        <w:autoSpaceDE/>
        <w:autoSpaceDN/>
        <w:bidi w:val="0"/>
        <w:snapToGrid/>
        <w:spacing w:line="480" w:lineRule="exact"/>
        <w:ind w:firstLine="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说明：1.职务是指在本单位所担任的职务。2.除表（一）（二）外，需要补充的证明材料可另纸说明。</w:t>
      </w:r>
    </w:p>
    <w:p w14:paraId="6AB086A4">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（盖单位章）</w:t>
      </w:r>
    </w:p>
    <w:p w14:paraId="0226562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2"/>
          <w:szCs w:val="22"/>
          <w:highlight w:val="none"/>
        </w:rPr>
      </w:pPr>
      <w:bookmarkStart w:id="249" w:name="_Toc10"/>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49"/>
      <w:bookmarkStart w:id="250" w:name="_Toc15948"/>
    </w:p>
    <w:p w14:paraId="1777F21B">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bookmarkEnd w:id="250"/>
    </w:p>
    <w:p w14:paraId="0CC43838">
      <w:pPr>
        <w:pStyle w:val="7"/>
        <w:ind w:firstLine="0"/>
        <w:jc w:val="center"/>
        <w:rPr>
          <w:rFonts w:hint="eastAsia" w:ascii="宋体" w:hAnsi="宋体" w:eastAsia="宋体" w:cs="宋体"/>
          <w:b/>
          <w:color w:val="auto"/>
          <w:sz w:val="36"/>
          <w:szCs w:val="36"/>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5599924A">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（三）履约声明函</w:t>
      </w:r>
    </w:p>
    <w:p w14:paraId="0612FD16">
      <w:pPr>
        <w:pStyle w:val="13"/>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kern w:val="2"/>
          <w:sz w:val="22"/>
          <w:szCs w:val="22"/>
          <w:highlight w:val="none"/>
          <w:lang w:val="zh-CN" w:eastAsia="zh-CN" w:bidi="ar-SA"/>
        </w:rPr>
        <w:t>察布查尔锡伯自治县农业农村局</w:t>
      </w:r>
      <w:r>
        <w:rPr>
          <w:rFonts w:hint="eastAsia" w:asciiTheme="minorEastAsia" w:hAnsiTheme="minorEastAsia" w:eastAsiaTheme="minorEastAsia" w:cstheme="minorEastAsia"/>
          <w:b/>
          <w:bCs/>
          <w:color w:val="auto"/>
          <w:kern w:val="2"/>
          <w:sz w:val="22"/>
          <w:szCs w:val="22"/>
          <w:highlight w:val="none"/>
          <w:lang w:val="en-US" w:eastAsia="zh-CN" w:bidi="ar-SA"/>
        </w:rPr>
        <w:t>：</w:t>
      </w:r>
    </w:p>
    <w:p w14:paraId="4A803099">
      <w:pPr>
        <w:spacing w:line="460" w:lineRule="exact"/>
        <w:ind w:firstLine="440" w:firstLineChars="200"/>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 xml:space="preserve">我公司自愿参与项目名称为 </w:t>
      </w:r>
      <w:r>
        <w:rPr>
          <w:rFonts w:hint="eastAsia" w:asciiTheme="minorEastAsia" w:hAnsiTheme="minorEastAsia" w:eastAsiaTheme="minorEastAsia" w:cstheme="minorEastAsia"/>
          <w:color w:val="auto"/>
          <w:kern w:val="2"/>
          <w:sz w:val="22"/>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2"/>
          <w:szCs w:val="22"/>
          <w:highlight w:val="none"/>
          <w:u w:val="none"/>
          <w:lang w:val="en-US" w:eastAsia="zh-CN" w:bidi="ar-SA"/>
        </w:rPr>
        <w:t>，</w:t>
      </w:r>
      <w:r>
        <w:rPr>
          <w:rFonts w:hint="eastAsia" w:asciiTheme="minorEastAsia" w:hAnsiTheme="minorEastAsia" w:eastAsiaTheme="minorEastAsia" w:cstheme="minorEastAsia"/>
          <w:color w:val="auto"/>
          <w:kern w:val="2"/>
          <w:sz w:val="22"/>
          <w:szCs w:val="22"/>
          <w:highlight w:val="none"/>
          <w:lang w:val="en-US" w:eastAsia="zh-CN" w:bidi="ar-SA"/>
        </w:rPr>
        <w:t xml:space="preserve">项目编号为 </w:t>
      </w:r>
      <w:r>
        <w:rPr>
          <w:rFonts w:hint="eastAsia" w:asciiTheme="minorEastAsia" w:hAnsiTheme="minorEastAsia" w:eastAsiaTheme="minorEastAsia" w:cstheme="minorEastAsia"/>
          <w:color w:val="auto"/>
          <w:kern w:val="2"/>
          <w:sz w:val="22"/>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2"/>
          <w:szCs w:val="22"/>
          <w:highlight w:val="none"/>
          <w:lang w:val="en-US" w:eastAsia="zh-CN" w:bidi="ar-SA"/>
        </w:rPr>
        <w:t>项目的政府采购活动，我公司郑重声明：我方具有履行该项目合同的设备和专业技术能力,胜任本项目的服务工作。如本声明失实,我方自愿承担被取消中标资格等责任。</w:t>
      </w:r>
    </w:p>
    <w:p w14:paraId="33798923">
      <w:pPr>
        <w:pStyle w:val="65"/>
        <w:spacing w:line="460" w:lineRule="exact"/>
        <w:ind w:firstLine="440" w:firstLineChars="200"/>
        <w:jc w:val="both"/>
        <w:outlineLvl w:val="1"/>
        <w:rPr>
          <w:rFonts w:hint="eastAsia" w:asciiTheme="minorEastAsia" w:hAnsiTheme="minorEastAsia" w:eastAsiaTheme="minorEastAsia" w:cstheme="minorEastAsia"/>
          <w:color w:val="auto"/>
          <w:kern w:val="2"/>
          <w:sz w:val="22"/>
          <w:szCs w:val="22"/>
          <w:highlight w:val="none"/>
          <w:lang w:val="en-US" w:eastAsia="zh-CN" w:bidi="ar-SA"/>
        </w:rPr>
      </w:pPr>
      <w:bookmarkStart w:id="251" w:name="_Toc12593"/>
      <w:bookmarkStart w:id="252" w:name="_Toc11421"/>
      <w:bookmarkStart w:id="253" w:name="_Toc9367"/>
      <w:bookmarkStart w:id="254" w:name="_Toc3851"/>
      <w:r>
        <w:rPr>
          <w:rFonts w:hint="eastAsia" w:asciiTheme="minorEastAsia" w:hAnsiTheme="minorEastAsia" w:eastAsiaTheme="minorEastAsia" w:cstheme="minorEastAsia"/>
          <w:color w:val="auto"/>
          <w:kern w:val="2"/>
          <w:sz w:val="22"/>
          <w:szCs w:val="22"/>
          <w:highlight w:val="none"/>
          <w:lang w:val="en-US" w:eastAsia="zh-CN" w:bidi="ar-SA"/>
        </w:rPr>
        <w:t>特此声明</w:t>
      </w:r>
      <w:bookmarkEnd w:id="251"/>
      <w:bookmarkEnd w:id="252"/>
      <w:bookmarkEnd w:id="253"/>
      <w:bookmarkEnd w:id="254"/>
      <w:r>
        <w:rPr>
          <w:rFonts w:hint="eastAsia" w:asciiTheme="minorEastAsia" w:hAnsiTheme="minorEastAsia" w:eastAsiaTheme="minorEastAsia" w:cstheme="minorEastAsia"/>
          <w:color w:val="auto"/>
          <w:kern w:val="2"/>
          <w:sz w:val="22"/>
          <w:szCs w:val="22"/>
          <w:highlight w:val="none"/>
          <w:lang w:val="en-US" w:eastAsia="zh-CN" w:bidi="ar-SA"/>
        </w:rPr>
        <w:t>！</w:t>
      </w:r>
    </w:p>
    <w:p w14:paraId="0479C796">
      <w:pPr>
        <w:pStyle w:val="65"/>
        <w:spacing w:line="440" w:lineRule="exact"/>
        <w:jc w:val="center"/>
        <w:outlineLvl w:val="1"/>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 xml:space="preserve">           </w:t>
      </w:r>
    </w:p>
    <w:p w14:paraId="387F1A75">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承诺单位：  公司（公章）</w:t>
      </w:r>
    </w:p>
    <w:p w14:paraId="2BF48A1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法定代表人签字或签章：                     </w:t>
      </w:r>
    </w:p>
    <w:p w14:paraId="260DED9D">
      <w:pPr>
        <w:pStyle w:val="13"/>
        <w:keepNext w:val="0"/>
        <w:keepLines w:val="0"/>
        <w:pageBreakBefore w:val="0"/>
        <w:widowControl w:val="0"/>
        <w:kinsoku/>
        <w:wordWrap/>
        <w:overflowPunct/>
        <w:topLinePunct w:val="0"/>
        <w:autoSpaceDE/>
        <w:autoSpaceDN/>
        <w:bidi w:val="0"/>
        <w:adjustRightInd w:val="0"/>
        <w:snapToGrid w:val="0"/>
        <w:spacing w:line="480" w:lineRule="exact"/>
        <w:ind w:firstLine="5060" w:firstLineChars="23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法定代表人身份证号：</w:t>
      </w:r>
    </w:p>
    <w:p w14:paraId="6D2613A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20  年  月  日</w:t>
      </w:r>
    </w:p>
    <w:p w14:paraId="44687658">
      <w:pPr>
        <w:rPr>
          <w:rFonts w:hint="eastAsia"/>
          <w:color w:val="auto"/>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4491D5A3">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55" w:name="_Toc9832"/>
      <w:r>
        <w:rPr>
          <w:rFonts w:hint="eastAsia" w:asciiTheme="minorEastAsia" w:hAnsiTheme="minorEastAsia" w:eastAsiaTheme="minorEastAsia" w:cstheme="minorEastAsia"/>
          <w:b/>
          <w:color w:val="auto"/>
          <w:kern w:val="2"/>
          <w:sz w:val="32"/>
          <w:szCs w:val="32"/>
          <w:highlight w:val="none"/>
          <w:lang w:val="en-US" w:eastAsia="zh-CN" w:bidi="ar-SA"/>
        </w:rPr>
        <w:t>11.</w:t>
      </w:r>
      <w:bookmarkEnd w:id="255"/>
      <w:r>
        <w:rPr>
          <w:rFonts w:hint="eastAsia" w:asciiTheme="minorEastAsia" w:hAnsiTheme="minorEastAsia" w:eastAsiaTheme="minorEastAsia" w:cstheme="minorEastAsia"/>
          <w:b/>
          <w:color w:val="auto"/>
          <w:kern w:val="2"/>
          <w:sz w:val="32"/>
          <w:szCs w:val="32"/>
          <w:highlight w:val="none"/>
          <w:lang w:val="en-US" w:eastAsia="zh-CN" w:bidi="ar-SA"/>
        </w:rPr>
        <w:t>提供投标人享受政府采购优惠政策的证明材料</w:t>
      </w:r>
    </w:p>
    <w:p w14:paraId="562DA51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说明：本项目专门面向中小企业采购；</w:t>
      </w:r>
    </w:p>
    <w:p w14:paraId="5298B32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（1）中小企业声明函格式见附件</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eastAsia="zh-CN"/>
        </w:rPr>
        <w:t>本项目专门面向中小企业采购</w:t>
      </w:r>
      <w:r>
        <w:rPr>
          <w:rFonts w:hint="eastAsia" w:ascii="宋体" w:hAnsi="宋体" w:eastAsia="宋体" w:cs="宋体"/>
          <w:color w:val="auto"/>
          <w:sz w:val="22"/>
          <w:szCs w:val="22"/>
          <w:highlight w:val="none"/>
          <w:lang w:val="en-US" w:eastAsia="zh-CN"/>
        </w:rPr>
        <w:t>，投标人需提供《中小企业声明函》，</w:t>
      </w:r>
      <w:r>
        <w:rPr>
          <w:rFonts w:hint="eastAsia" w:ascii="宋体" w:hAnsi="宋体" w:eastAsia="宋体" w:cs="宋体"/>
          <w:color w:val="auto"/>
          <w:sz w:val="22"/>
          <w:szCs w:val="22"/>
          <w:highlight w:val="none"/>
          <w:lang w:eastAsia="zh-CN"/>
        </w:rPr>
        <w:t>中</w:t>
      </w:r>
      <w:r>
        <w:rPr>
          <w:rFonts w:hint="eastAsia" w:ascii="宋体" w:hAnsi="宋体" w:eastAsia="宋体" w:cs="宋体"/>
          <w:color w:val="auto"/>
          <w:sz w:val="22"/>
          <w:szCs w:val="22"/>
          <w:highlight w:val="none"/>
        </w:rPr>
        <w:t>小微企业可提供该附件）</w:t>
      </w:r>
    </w:p>
    <w:p w14:paraId="1606E6F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（2）残疾人福利性单位声明函格式见附件</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；（非残疾人福利企业可不提供该附件）</w:t>
      </w:r>
    </w:p>
    <w:p w14:paraId="15F0701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（3）监狱企业证明文件见附件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；（非监狱企业可不提供该附件）</w:t>
      </w:r>
    </w:p>
    <w:p w14:paraId="1866197E">
      <w:pPr>
        <w:pStyle w:val="40"/>
        <w:spacing w:line="400" w:lineRule="exact"/>
        <w:rPr>
          <w:rFonts w:hint="eastAsia" w:ascii="宋体" w:hAnsi="宋体" w:eastAsia="宋体" w:cs="宋体"/>
          <w:b/>
          <w:color w:val="auto"/>
          <w:sz w:val="28"/>
          <w:szCs w:val="28"/>
          <w:highlight w:val="none"/>
        </w:rPr>
      </w:pPr>
    </w:p>
    <w:p w14:paraId="27ECA94A">
      <w:pPr>
        <w:pStyle w:val="40"/>
        <w:spacing w:line="400" w:lineRule="exact"/>
        <w:rPr>
          <w:rFonts w:hint="eastAsia" w:ascii="宋体" w:hAnsi="宋体" w:eastAsia="宋体" w:cs="宋体"/>
          <w:b/>
          <w:color w:val="auto"/>
          <w:sz w:val="28"/>
          <w:szCs w:val="28"/>
          <w:highlight w:val="none"/>
        </w:rPr>
      </w:pPr>
    </w:p>
    <w:p w14:paraId="73CCEF3C">
      <w:pPr>
        <w:pStyle w:val="40"/>
        <w:spacing w:line="400" w:lineRule="exact"/>
        <w:rPr>
          <w:rFonts w:hint="eastAsia" w:ascii="宋体" w:hAnsi="宋体" w:eastAsia="宋体" w:cs="宋体"/>
          <w:b/>
          <w:color w:val="auto"/>
          <w:sz w:val="28"/>
          <w:szCs w:val="28"/>
          <w:highlight w:val="none"/>
        </w:rPr>
      </w:pPr>
    </w:p>
    <w:p w14:paraId="586EFC5A">
      <w:pPr>
        <w:pStyle w:val="40"/>
        <w:spacing w:line="400" w:lineRule="exact"/>
        <w:rPr>
          <w:rFonts w:hint="eastAsia" w:ascii="宋体" w:hAnsi="宋体" w:eastAsia="宋体" w:cs="宋体"/>
          <w:b/>
          <w:color w:val="auto"/>
          <w:sz w:val="28"/>
          <w:szCs w:val="28"/>
          <w:highlight w:val="none"/>
        </w:rPr>
      </w:pPr>
    </w:p>
    <w:p w14:paraId="399DA4B5">
      <w:pPr>
        <w:pStyle w:val="40"/>
        <w:spacing w:line="400" w:lineRule="exact"/>
        <w:rPr>
          <w:rFonts w:hint="eastAsia" w:ascii="宋体" w:hAnsi="宋体" w:eastAsia="宋体" w:cs="宋体"/>
          <w:b/>
          <w:color w:val="auto"/>
          <w:sz w:val="28"/>
          <w:szCs w:val="28"/>
          <w:highlight w:val="none"/>
        </w:rPr>
      </w:pPr>
    </w:p>
    <w:p w14:paraId="145FBE01">
      <w:pPr>
        <w:pStyle w:val="40"/>
        <w:spacing w:line="400" w:lineRule="exact"/>
        <w:rPr>
          <w:rFonts w:hint="eastAsia" w:ascii="宋体" w:hAnsi="宋体" w:eastAsia="宋体" w:cs="宋体"/>
          <w:b/>
          <w:color w:val="auto"/>
          <w:sz w:val="28"/>
          <w:szCs w:val="28"/>
          <w:highlight w:val="none"/>
        </w:rPr>
      </w:pPr>
    </w:p>
    <w:p w14:paraId="587CA4A1">
      <w:pPr>
        <w:pStyle w:val="40"/>
        <w:spacing w:line="400" w:lineRule="exact"/>
        <w:rPr>
          <w:rFonts w:hint="eastAsia" w:ascii="宋体" w:hAnsi="宋体" w:eastAsia="宋体" w:cs="宋体"/>
          <w:b/>
          <w:color w:val="auto"/>
          <w:sz w:val="28"/>
          <w:szCs w:val="28"/>
          <w:highlight w:val="none"/>
        </w:rPr>
      </w:pPr>
    </w:p>
    <w:p w14:paraId="5673FBF7">
      <w:pPr>
        <w:pStyle w:val="40"/>
        <w:spacing w:line="400" w:lineRule="exact"/>
        <w:rPr>
          <w:rFonts w:hint="eastAsia" w:ascii="宋体" w:hAnsi="宋体" w:eastAsia="宋体" w:cs="宋体"/>
          <w:b/>
          <w:color w:val="auto"/>
          <w:sz w:val="28"/>
          <w:szCs w:val="28"/>
          <w:highlight w:val="none"/>
        </w:rPr>
      </w:pPr>
    </w:p>
    <w:p w14:paraId="25F646D2">
      <w:pPr>
        <w:pStyle w:val="40"/>
        <w:spacing w:line="400" w:lineRule="exact"/>
        <w:rPr>
          <w:rFonts w:hint="eastAsia" w:ascii="宋体" w:hAnsi="宋体" w:eastAsia="宋体" w:cs="宋体"/>
          <w:b/>
          <w:color w:val="auto"/>
          <w:sz w:val="28"/>
          <w:szCs w:val="28"/>
          <w:highlight w:val="none"/>
        </w:rPr>
      </w:pPr>
    </w:p>
    <w:p w14:paraId="378175E1">
      <w:pPr>
        <w:pStyle w:val="40"/>
        <w:spacing w:line="400" w:lineRule="exact"/>
        <w:rPr>
          <w:rFonts w:hint="eastAsia" w:ascii="宋体" w:hAnsi="宋体" w:eastAsia="宋体" w:cs="宋体"/>
          <w:b/>
          <w:color w:val="auto"/>
          <w:sz w:val="28"/>
          <w:szCs w:val="28"/>
          <w:highlight w:val="none"/>
        </w:rPr>
      </w:pPr>
    </w:p>
    <w:p w14:paraId="39ED2349">
      <w:pPr>
        <w:pStyle w:val="40"/>
        <w:spacing w:line="400" w:lineRule="exact"/>
        <w:rPr>
          <w:rFonts w:hint="eastAsia" w:ascii="宋体" w:hAnsi="宋体" w:eastAsia="宋体" w:cs="宋体"/>
          <w:b/>
          <w:color w:val="auto"/>
          <w:sz w:val="28"/>
          <w:szCs w:val="28"/>
          <w:highlight w:val="none"/>
        </w:rPr>
      </w:pPr>
    </w:p>
    <w:p w14:paraId="3F85CBD0">
      <w:pPr>
        <w:pStyle w:val="40"/>
        <w:spacing w:line="400" w:lineRule="exact"/>
        <w:rPr>
          <w:rFonts w:hint="eastAsia" w:ascii="宋体" w:hAnsi="宋体" w:eastAsia="宋体" w:cs="宋体"/>
          <w:b/>
          <w:color w:val="auto"/>
          <w:sz w:val="28"/>
          <w:szCs w:val="28"/>
          <w:highlight w:val="none"/>
        </w:rPr>
      </w:pPr>
    </w:p>
    <w:p w14:paraId="2C7487FA">
      <w:pPr>
        <w:pStyle w:val="40"/>
        <w:spacing w:line="400" w:lineRule="exact"/>
        <w:rPr>
          <w:rFonts w:hint="eastAsia" w:ascii="宋体" w:hAnsi="宋体" w:eastAsia="宋体" w:cs="宋体"/>
          <w:b/>
          <w:color w:val="auto"/>
          <w:sz w:val="28"/>
          <w:szCs w:val="28"/>
          <w:highlight w:val="none"/>
        </w:rPr>
      </w:pPr>
    </w:p>
    <w:p w14:paraId="6D321303">
      <w:pPr>
        <w:pStyle w:val="40"/>
        <w:spacing w:line="400" w:lineRule="exact"/>
        <w:rPr>
          <w:rFonts w:hint="eastAsia" w:ascii="宋体" w:hAnsi="宋体" w:eastAsia="宋体" w:cs="宋体"/>
          <w:b/>
          <w:color w:val="auto"/>
          <w:sz w:val="28"/>
          <w:szCs w:val="28"/>
          <w:highlight w:val="none"/>
        </w:rPr>
      </w:pPr>
    </w:p>
    <w:p w14:paraId="760B689D">
      <w:pPr>
        <w:pStyle w:val="40"/>
        <w:spacing w:line="400" w:lineRule="exact"/>
        <w:rPr>
          <w:rFonts w:hint="eastAsia" w:ascii="宋体" w:hAnsi="宋体" w:eastAsia="宋体" w:cs="宋体"/>
          <w:b/>
          <w:color w:val="auto"/>
          <w:sz w:val="28"/>
          <w:szCs w:val="28"/>
          <w:highlight w:val="none"/>
        </w:rPr>
      </w:pPr>
    </w:p>
    <w:p w14:paraId="2D7B9017">
      <w:pPr>
        <w:pStyle w:val="40"/>
        <w:spacing w:line="400" w:lineRule="exact"/>
        <w:rPr>
          <w:rFonts w:hint="eastAsia" w:ascii="宋体" w:hAnsi="宋体" w:eastAsia="宋体" w:cs="宋体"/>
          <w:b/>
          <w:color w:val="auto"/>
          <w:sz w:val="28"/>
          <w:szCs w:val="28"/>
          <w:highlight w:val="none"/>
        </w:rPr>
      </w:pPr>
    </w:p>
    <w:p w14:paraId="4687B454">
      <w:pPr>
        <w:pStyle w:val="40"/>
        <w:spacing w:line="400" w:lineRule="exact"/>
        <w:rPr>
          <w:rFonts w:hint="eastAsia" w:ascii="宋体" w:hAnsi="宋体" w:eastAsia="宋体" w:cs="宋体"/>
          <w:b/>
          <w:color w:val="auto"/>
          <w:sz w:val="28"/>
          <w:szCs w:val="28"/>
          <w:highlight w:val="none"/>
        </w:rPr>
      </w:pPr>
    </w:p>
    <w:p w14:paraId="6BE9CB6A">
      <w:pPr>
        <w:pStyle w:val="40"/>
        <w:spacing w:line="400" w:lineRule="exact"/>
        <w:rPr>
          <w:rFonts w:hint="eastAsia" w:ascii="宋体" w:hAnsi="宋体" w:eastAsia="宋体" w:cs="宋体"/>
          <w:b/>
          <w:color w:val="auto"/>
          <w:sz w:val="28"/>
          <w:szCs w:val="28"/>
          <w:highlight w:val="none"/>
        </w:rPr>
      </w:pPr>
    </w:p>
    <w:p w14:paraId="5C7A11D5">
      <w:pPr>
        <w:pStyle w:val="40"/>
        <w:spacing w:line="400" w:lineRule="exact"/>
        <w:rPr>
          <w:rFonts w:hint="eastAsia" w:ascii="宋体" w:hAnsi="宋体" w:eastAsia="宋体" w:cs="宋体"/>
          <w:b/>
          <w:color w:val="auto"/>
          <w:sz w:val="28"/>
          <w:szCs w:val="28"/>
          <w:highlight w:val="none"/>
        </w:rPr>
      </w:pPr>
    </w:p>
    <w:p w14:paraId="3C184F2C">
      <w:pPr>
        <w:pStyle w:val="40"/>
        <w:spacing w:line="400" w:lineRule="exact"/>
        <w:rPr>
          <w:rFonts w:hint="eastAsia" w:ascii="宋体" w:hAnsi="宋体" w:eastAsia="宋体" w:cs="宋体"/>
          <w:b/>
          <w:color w:val="auto"/>
          <w:sz w:val="28"/>
          <w:szCs w:val="28"/>
          <w:highlight w:val="none"/>
        </w:rPr>
      </w:pPr>
    </w:p>
    <w:p w14:paraId="2DE9EBC1">
      <w:pPr>
        <w:pStyle w:val="40"/>
        <w:spacing w:line="400" w:lineRule="exact"/>
        <w:rPr>
          <w:rFonts w:hint="eastAsia" w:ascii="宋体" w:hAnsi="宋体" w:eastAsia="宋体" w:cs="宋体"/>
          <w:b/>
          <w:color w:val="auto"/>
          <w:sz w:val="28"/>
          <w:szCs w:val="28"/>
          <w:highlight w:val="none"/>
        </w:rPr>
      </w:pPr>
    </w:p>
    <w:p w14:paraId="20B02F09">
      <w:pPr>
        <w:pStyle w:val="40"/>
        <w:spacing w:line="400" w:lineRule="exact"/>
        <w:rPr>
          <w:rFonts w:hint="eastAsia" w:ascii="宋体" w:hAnsi="宋体" w:eastAsia="宋体" w:cs="宋体"/>
          <w:b/>
          <w:color w:val="auto"/>
          <w:sz w:val="28"/>
          <w:szCs w:val="28"/>
          <w:highlight w:val="none"/>
        </w:rPr>
      </w:pPr>
    </w:p>
    <w:p w14:paraId="609B1F26">
      <w:pPr>
        <w:pStyle w:val="40"/>
        <w:spacing w:line="400" w:lineRule="exact"/>
        <w:rPr>
          <w:rFonts w:hint="eastAsia" w:ascii="宋体" w:hAnsi="宋体" w:eastAsia="宋体" w:cs="宋体"/>
          <w:b/>
          <w:color w:val="auto"/>
          <w:sz w:val="28"/>
          <w:szCs w:val="28"/>
          <w:highlight w:val="none"/>
        </w:rPr>
      </w:pPr>
    </w:p>
    <w:p w14:paraId="353D07E3">
      <w:pPr>
        <w:pStyle w:val="40"/>
        <w:spacing w:line="400" w:lineRule="exact"/>
        <w:rPr>
          <w:rFonts w:hint="eastAsia" w:ascii="宋体" w:hAnsi="宋体" w:eastAsia="宋体" w:cs="宋体"/>
          <w:b/>
          <w:color w:val="auto"/>
          <w:sz w:val="28"/>
          <w:szCs w:val="28"/>
          <w:highlight w:val="none"/>
        </w:rPr>
      </w:pPr>
    </w:p>
    <w:p w14:paraId="54C9A810">
      <w:pPr>
        <w:pStyle w:val="40"/>
        <w:spacing w:line="400" w:lineRule="exact"/>
        <w:rPr>
          <w:rFonts w:hint="eastAsia" w:ascii="宋体" w:hAnsi="宋体" w:eastAsia="宋体" w:cs="宋体"/>
          <w:b/>
          <w:color w:val="auto"/>
          <w:sz w:val="28"/>
          <w:szCs w:val="28"/>
          <w:highlight w:val="none"/>
        </w:rPr>
      </w:pPr>
    </w:p>
    <w:p w14:paraId="67007DEE">
      <w:pPr>
        <w:pStyle w:val="40"/>
        <w:spacing w:line="400" w:lineRule="exact"/>
        <w:rPr>
          <w:rFonts w:hint="eastAsia" w:ascii="宋体" w:hAnsi="宋体" w:eastAsia="宋体" w:cs="宋体"/>
          <w:b/>
          <w:color w:val="auto"/>
          <w:sz w:val="28"/>
          <w:szCs w:val="28"/>
          <w:highlight w:val="none"/>
        </w:rPr>
      </w:pPr>
    </w:p>
    <w:p w14:paraId="1D7BC2D5">
      <w:pPr>
        <w:pStyle w:val="40"/>
        <w:spacing w:line="400" w:lineRule="exact"/>
        <w:rPr>
          <w:rFonts w:hint="eastAsia" w:ascii="宋体" w:hAnsi="宋体" w:eastAsia="宋体" w:cs="宋体"/>
          <w:b/>
          <w:color w:val="auto"/>
          <w:sz w:val="28"/>
          <w:szCs w:val="28"/>
          <w:highlight w:val="none"/>
        </w:rPr>
      </w:pPr>
    </w:p>
    <w:p w14:paraId="41BE8FF0">
      <w:pPr>
        <w:pStyle w:val="40"/>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w:t>
      </w:r>
    </w:p>
    <w:p w14:paraId="23D2C6B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中小企业声明函</w:t>
      </w:r>
    </w:p>
    <w:p w14:paraId="6E75798E">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本公司郑重声明，根据《政府采购促进中小企业发展管理办法》（财库〔2020〕46 号）的规定，本公司参加 </w:t>
      </w:r>
      <w:r>
        <w:rPr>
          <w:rFonts w:hint="eastAsia" w:ascii="宋体" w:hAnsi="宋体" w:eastAsia="宋体" w:cs="宋体"/>
          <w:color w:val="auto"/>
          <w:sz w:val="22"/>
          <w:szCs w:val="22"/>
          <w:highlight w:val="none"/>
          <w:u w:val="single"/>
        </w:rPr>
        <w:t xml:space="preserve">（单位名称） </w:t>
      </w:r>
      <w:r>
        <w:rPr>
          <w:rFonts w:hint="eastAsia" w:ascii="宋体" w:hAnsi="宋体" w:eastAsia="宋体" w:cs="宋体"/>
          <w:color w:val="auto"/>
          <w:sz w:val="22"/>
          <w:szCs w:val="22"/>
          <w:highlight w:val="none"/>
        </w:rPr>
        <w:t xml:space="preserve">的 </w:t>
      </w:r>
      <w:r>
        <w:rPr>
          <w:rFonts w:hint="eastAsia" w:ascii="宋体" w:hAnsi="宋体" w:eastAsia="宋体" w:cs="宋体"/>
          <w:color w:val="auto"/>
          <w:sz w:val="22"/>
          <w:szCs w:val="22"/>
          <w:highlight w:val="none"/>
          <w:u w:val="single"/>
        </w:rPr>
        <w:t xml:space="preserve">（项目名称） </w:t>
      </w:r>
      <w:r>
        <w:rPr>
          <w:rFonts w:hint="eastAsia" w:ascii="宋体" w:hAnsi="宋体" w:eastAsia="宋体" w:cs="宋体"/>
          <w:color w:val="auto"/>
          <w:sz w:val="22"/>
          <w:szCs w:val="22"/>
          <w:highlight w:val="none"/>
        </w:rPr>
        <w:t>采购活动，提供的货物全部由符合政策要求的中小企业制造。相关企业（含联合体中的中小企业、签订分包意向协议的中小企业）的具体情况如下：</w:t>
      </w:r>
    </w:p>
    <w:p w14:paraId="05EF2556">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bookmarkStart w:id="256" w:name="_Toc417911732"/>
      <w:bookmarkStart w:id="257" w:name="_Toc387658050"/>
      <w:bookmarkStart w:id="258" w:name="_Toc419811733"/>
      <w:bookmarkStart w:id="259" w:name="_Toc413748654"/>
      <w:bookmarkStart w:id="260" w:name="_Toc387147344"/>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u w:val="single"/>
        </w:rPr>
        <w:t xml:space="preserve">（标的名称）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工业</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37773CE5">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（采购文件中明确的所属行业）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257112AE">
      <w:pPr>
        <w:keepNext w:val="0"/>
        <w:keepLines w:val="0"/>
        <w:pageBreakBefore w:val="0"/>
        <w:widowControl w:val="0"/>
        <w:kinsoku/>
        <w:wordWrap/>
        <w:overflowPunct/>
        <w:topLinePunct w:val="0"/>
        <w:autoSpaceDE/>
        <w:autoSpaceDN/>
        <w:bidi w:val="0"/>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12BAE415">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以上企业，不属于大企业的分支机构，不存在控股股东为大企业的情形，也不存在与大企业的负责人为同一人的情形。</w:t>
      </w:r>
    </w:p>
    <w:p w14:paraId="32E18E90">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4FE1D7F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w:t>
      </w:r>
    </w:p>
    <w:p w14:paraId="25E5648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bookmarkEnd w:id="256"/>
    <w:bookmarkEnd w:id="257"/>
    <w:bookmarkEnd w:id="258"/>
    <w:bookmarkEnd w:id="259"/>
    <w:bookmarkEnd w:id="260"/>
    <w:p w14:paraId="1E193FE7">
      <w:pPr>
        <w:adjustRightInd w:val="0"/>
        <w:snapToGrid w:val="0"/>
        <w:spacing w:line="360" w:lineRule="auto"/>
        <w:rPr>
          <w:rFonts w:hint="eastAsia" w:ascii="宋体" w:hAnsi="宋体" w:eastAsia="宋体" w:cs="宋体"/>
          <w:color w:val="auto"/>
          <w:sz w:val="28"/>
          <w:szCs w:val="28"/>
          <w:highlight w:val="none"/>
        </w:rPr>
      </w:pPr>
    </w:p>
    <w:p w14:paraId="4F724795">
      <w:pPr>
        <w:rPr>
          <w:rFonts w:hint="eastAsia" w:ascii="宋体" w:hAnsi="宋体" w:eastAsia="宋体" w:cs="宋体"/>
          <w:color w:val="auto"/>
          <w:highlight w:val="none"/>
        </w:rPr>
      </w:pPr>
    </w:p>
    <w:p w14:paraId="365143E5">
      <w:pPr>
        <w:adjustRightInd w:val="0"/>
        <w:snapToGrid w:val="0"/>
        <w:spacing w:line="360" w:lineRule="auto"/>
        <w:rPr>
          <w:rFonts w:hint="eastAsia" w:ascii="宋体" w:hAnsi="宋体" w:eastAsia="宋体" w:cs="宋体"/>
          <w:color w:val="auto"/>
          <w:sz w:val="28"/>
          <w:szCs w:val="28"/>
          <w:highlight w:val="none"/>
        </w:rPr>
      </w:pPr>
    </w:p>
    <w:p w14:paraId="5F34071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D51EE1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p>
    <w:p w14:paraId="7A7691DA">
      <w:pPr>
        <w:keepNext w:val="0"/>
        <w:keepLines w:val="0"/>
        <w:pageBreakBefore w:val="0"/>
        <w:widowControl w:val="0"/>
        <w:kinsoku/>
        <w:wordWrap/>
        <w:overflowPunct/>
        <w:topLinePunct w:val="0"/>
        <w:autoSpaceDE/>
        <w:autoSpaceDN/>
        <w:bidi w:val="0"/>
        <w:spacing w:line="480" w:lineRule="exact"/>
        <w:ind w:right="0"/>
        <w:jc w:val="center"/>
        <w:textAlignment w:val="auto"/>
        <w:rPr>
          <w:rFonts w:hint="eastAsia" w:ascii="宋体" w:hAnsi="宋体" w:eastAsia="宋体" w:cs="宋体"/>
          <w:b/>
          <w:color w:val="auto"/>
          <w:spacing w:val="6"/>
          <w:sz w:val="22"/>
          <w:szCs w:val="22"/>
          <w:highlight w:val="none"/>
        </w:rPr>
      </w:pPr>
      <w:bookmarkStart w:id="261" w:name="OLE_LINK14"/>
      <w:bookmarkStart w:id="262" w:name="OLE_LINK13"/>
      <w:r>
        <w:rPr>
          <w:rFonts w:hint="eastAsia" w:ascii="宋体" w:hAnsi="宋体" w:eastAsia="宋体" w:cs="宋体"/>
          <w:b/>
          <w:color w:val="auto"/>
          <w:spacing w:val="6"/>
          <w:sz w:val="22"/>
          <w:szCs w:val="22"/>
          <w:highlight w:val="none"/>
        </w:rPr>
        <w:t>残疾人福利性单位声明函</w:t>
      </w:r>
      <w:bookmarkEnd w:id="261"/>
      <w:bookmarkEnd w:id="262"/>
    </w:p>
    <w:p w14:paraId="536B8E35">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FA292A">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6EF45B6A">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p>
    <w:p w14:paraId="740DEB98">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p>
    <w:p w14:paraId="615281F4">
      <w:pPr>
        <w:keepNext w:val="0"/>
        <w:keepLines w:val="0"/>
        <w:pageBreakBefore w:val="0"/>
        <w:widowControl w:val="0"/>
        <w:tabs>
          <w:tab w:val="left" w:pos="4860"/>
        </w:tabs>
        <w:kinsoku/>
        <w:wordWrap/>
        <w:overflowPunct/>
        <w:topLinePunct w:val="0"/>
        <w:autoSpaceDE/>
        <w:autoSpaceDN/>
        <w:bidi w:val="0"/>
        <w:spacing w:line="480" w:lineRule="exact"/>
        <w:ind w:right="0" w:firstLine="464" w:firstLineChars="200"/>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（盖单位章）：</w:t>
      </w:r>
    </w:p>
    <w:p w14:paraId="1AF71DA3">
      <w:pPr>
        <w:keepNext w:val="0"/>
        <w:keepLines w:val="0"/>
        <w:pageBreakBefore w:val="0"/>
        <w:widowControl w:val="0"/>
        <w:tabs>
          <w:tab w:val="left" w:pos="4860"/>
        </w:tabs>
        <w:kinsoku/>
        <w:wordWrap/>
        <w:overflowPunct/>
        <w:topLinePunct w:val="0"/>
        <w:autoSpaceDE/>
        <w:autoSpaceDN/>
        <w:bidi w:val="0"/>
        <w:spacing w:line="480" w:lineRule="exact"/>
        <w:ind w:right="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w:t>
      </w:r>
    </w:p>
    <w:p w14:paraId="1D39418D">
      <w:pPr>
        <w:keepNext w:val="0"/>
        <w:keepLines w:val="0"/>
        <w:pageBreakBefore w:val="0"/>
        <w:widowControl w:val="0"/>
        <w:tabs>
          <w:tab w:val="left" w:pos="4860"/>
        </w:tabs>
        <w:kinsoku/>
        <w:wordWrap/>
        <w:overflowPunct/>
        <w:topLinePunct w:val="0"/>
        <w:autoSpaceDE/>
        <w:autoSpaceDN/>
        <w:bidi w:val="0"/>
        <w:spacing w:line="480" w:lineRule="exact"/>
        <w:ind w:right="0" w:firstLine="464"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               日     期：    年   月  日</w:t>
      </w:r>
    </w:p>
    <w:p w14:paraId="5FACDA1D">
      <w:pPr>
        <w:adjustRightInd w:val="0"/>
        <w:snapToGrid w:val="0"/>
        <w:spacing w:line="360" w:lineRule="auto"/>
        <w:rPr>
          <w:rFonts w:hint="eastAsia" w:ascii="宋体" w:hAnsi="宋体" w:eastAsia="宋体" w:cs="宋体"/>
          <w:b/>
          <w:color w:val="auto"/>
          <w:sz w:val="24"/>
          <w:highlight w:val="none"/>
        </w:rPr>
      </w:pPr>
    </w:p>
    <w:p w14:paraId="661137B8">
      <w:pPr>
        <w:adjustRightInd w:val="0"/>
        <w:snapToGrid w:val="0"/>
        <w:spacing w:before="50" w:line="360" w:lineRule="auto"/>
        <w:jc w:val="center"/>
        <w:rPr>
          <w:rFonts w:hint="eastAsia" w:ascii="宋体" w:hAnsi="宋体" w:eastAsia="宋体" w:cs="宋体"/>
          <w:b/>
          <w:color w:val="auto"/>
          <w:sz w:val="36"/>
          <w:szCs w:val="36"/>
          <w:highlight w:val="none"/>
        </w:rPr>
      </w:pPr>
    </w:p>
    <w:p w14:paraId="0B421971">
      <w:pPr>
        <w:adjustRightInd w:val="0"/>
        <w:snapToGrid w:val="0"/>
        <w:spacing w:before="50" w:line="360" w:lineRule="auto"/>
        <w:jc w:val="center"/>
        <w:rPr>
          <w:rFonts w:hint="eastAsia" w:ascii="宋体" w:hAnsi="宋体" w:eastAsia="宋体" w:cs="宋体"/>
          <w:b/>
          <w:color w:val="auto"/>
          <w:sz w:val="36"/>
          <w:szCs w:val="36"/>
          <w:highlight w:val="none"/>
        </w:rPr>
      </w:pPr>
    </w:p>
    <w:p w14:paraId="4DA381D4">
      <w:pPr>
        <w:adjustRightInd w:val="0"/>
        <w:snapToGrid w:val="0"/>
        <w:spacing w:before="50" w:line="360" w:lineRule="auto"/>
        <w:jc w:val="center"/>
        <w:rPr>
          <w:rFonts w:hint="eastAsia" w:ascii="宋体" w:hAnsi="宋体" w:eastAsia="宋体" w:cs="宋体"/>
          <w:b/>
          <w:color w:val="auto"/>
          <w:sz w:val="36"/>
          <w:szCs w:val="36"/>
          <w:highlight w:val="none"/>
        </w:rPr>
      </w:pPr>
    </w:p>
    <w:p w14:paraId="469DE19B">
      <w:pPr>
        <w:adjustRightInd w:val="0"/>
        <w:snapToGrid w:val="0"/>
        <w:spacing w:before="50" w:line="360" w:lineRule="auto"/>
        <w:jc w:val="center"/>
        <w:rPr>
          <w:rFonts w:hint="eastAsia" w:ascii="宋体" w:hAnsi="宋体" w:eastAsia="宋体" w:cs="宋体"/>
          <w:b/>
          <w:color w:val="auto"/>
          <w:sz w:val="36"/>
          <w:szCs w:val="36"/>
          <w:highlight w:val="none"/>
        </w:rPr>
      </w:pPr>
    </w:p>
    <w:p w14:paraId="40582C18">
      <w:pPr>
        <w:adjustRightInd w:val="0"/>
        <w:snapToGrid w:val="0"/>
        <w:spacing w:before="50" w:line="360" w:lineRule="auto"/>
        <w:jc w:val="center"/>
        <w:rPr>
          <w:rFonts w:hint="eastAsia" w:ascii="宋体" w:hAnsi="宋体" w:eastAsia="宋体" w:cs="宋体"/>
          <w:b/>
          <w:color w:val="auto"/>
          <w:sz w:val="36"/>
          <w:szCs w:val="36"/>
          <w:highlight w:val="none"/>
        </w:rPr>
      </w:pPr>
    </w:p>
    <w:p w14:paraId="520CCBAD">
      <w:pPr>
        <w:adjustRightInd w:val="0"/>
        <w:snapToGrid w:val="0"/>
        <w:spacing w:before="50" w:line="360" w:lineRule="auto"/>
        <w:jc w:val="center"/>
        <w:rPr>
          <w:rFonts w:hint="eastAsia" w:ascii="宋体" w:hAnsi="宋体" w:eastAsia="宋体" w:cs="宋体"/>
          <w:b/>
          <w:color w:val="auto"/>
          <w:sz w:val="36"/>
          <w:szCs w:val="36"/>
          <w:highlight w:val="none"/>
        </w:rPr>
      </w:pPr>
    </w:p>
    <w:p w14:paraId="635EA9D4">
      <w:pPr>
        <w:adjustRightInd w:val="0"/>
        <w:snapToGrid w:val="0"/>
        <w:spacing w:line="360" w:lineRule="exact"/>
        <w:ind w:firstLine="525" w:firstLineChars="250"/>
        <w:rPr>
          <w:rFonts w:hint="eastAsia" w:ascii="宋体" w:hAnsi="宋体" w:eastAsia="宋体" w:cs="宋体"/>
          <w:color w:val="auto"/>
          <w:szCs w:val="21"/>
          <w:highlight w:val="none"/>
        </w:rPr>
      </w:pPr>
    </w:p>
    <w:p w14:paraId="77C8035B">
      <w:pPr>
        <w:adjustRightInd w:val="0"/>
        <w:snapToGrid w:val="0"/>
        <w:spacing w:before="50" w:line="360" w:lineRule="auto"/>
        <w:ind w:firstLine="1050" w:firstLineChars="500"/>
        <w:rPr>
          <w:rFonts w:hint="eastAsia" w:ascii="宋体" w:hAnsi="宋体" w:eastAsia="宋体" w:cs="宋体"/>
          <w:color w:val="auto"/>
          <w:szCs w:val="21"/>
          <w:highlight w:val="none"/>
        </w:rPr>
      </w:pPr>
    </w:p>
    <w:p w14:paraId="36B55572">
      <w:pPr>
        <w:adjustRightInd w:val="0"/>
        <w:snapToGrid w:val="0"/>
        <w:spacing w:line="360" w:lineRule="auto"/>
        <w:rPr>
          <w:rFonts w:hint="eastAsia" w:ascii="宋体" w:hAnsi="宋体" w:eastAsia="宋体" w:cs="宋体"/>
          <w:b/>
          <w:color w:val="auto"/>
          <w:sz w:val="28"/>
          <w:szCs w:val="28"/>
          <w:highlight w:val="none"/>
        </w:rPr>
      </w:pPr>
    </w:p>
    <w:p w14:paraId="1D344BB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w:t>
      </w:r>
    </w:p>
    <w:p w14:paraId="6A35051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监狱企业证明文件</w:t>
      </w:r>
    </w:p>
    <w:p w14:paraId="22AC361D">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rPr>
        <w:t>说明：</w:t>
      </w:r>
      <w:bookmarkStart w:id="263" w:name="_Toc16865"/>
      <w:r>
        <w:rPr>
          <w:rFonts w:hint="eastAsia" w:ascii="宋体" w:hAnsi="宋体" w:eastAsia="宋体" w:cs="宋体"/>
          <w:bCs/>
          <w:color w:val="auto"/>
          <w:sz w:val="22"/>
          <w:szCs w:val="22"/>
          <w:highlight w:val="none"/>
        </w:rPr>
        <w:t>无格式要求，由出具监狱企业证明的单位自行拟定</w:t>
      </w:r>
      <w:bookmarkEnd w:id="263"/>
      <w:r>
        <w:rPr>
          <w:rFonts w:hint="eastAsia" w:ascii="宋体" w:hAnsi="宋体" w:eastAsia="宋体" w:cs="宋体"/>
          <w:bCs/>
          <w:color w:val="auto"/>
          <w:sz w:val="22"/>
          <w:szCs w:val="22"/>
          <w:highlight w:val="none"/>
          <w:lang w:eastAsia="zh-CN"/>
        </w:rPr>
        <w:t>。</w:t>
      </w:r>
    </w:p>
    <w:p w14:paraId="357C33AA">
      <w:pPr>
        <w:adjustRightInd w:val="0"/>
        <w:snapToGrid w:val="0"/>
        <w:spacing w:before="50" w:line="360" w:lineRule="auto"/>
        <w:jc w:val="left"/>
        <w:rPr>
          <w:rFonts w:hint="eastAsia" w:ascii="宋体" w:hAnsi="宋体" w:eastAsia="宋体" w:cs="宋体"/>
          <w:b/>
          <w:color w:val="auto"/>
          <w:sz w:val="28"/>
          <w:szCs w:val="28"/>
          <w:highlight w:val="none"/>
        </w:rPr>
      </w:pPr>
    </w:p>
    <w:p w14:paraId="28C503F0">
      <w:pPr>
        <w:adjustRightInd w:val="0"/>
        <w:snapToGrid w:val="0"/>
        <w:spacing w:before="50" w:line="360" w:lineRule="auto"/>
        <w:jc w:val="left"/>
        <w:rPr>
          <w:rFonts w:hint="eastAsia" w:ascii="宋体" w:hAnsi="宋体" w:eastAsia="宋体" w:cs="宋体"/>
          <w:b/>
          <w:color w:val="auto"/>
          <w:sz w:val="28"/>
          <w:szCs w:val="28"/>
          <w:highlight w:val="none"/>
        </w:rPr>
      </w:pPr>
    </w:p>
    <w:p w14:paraId="2729B38B">
      <w:pPr>
        <w:adjustRightInd w:val="0"/>
        <w:snapToGrid w:val="0"/>
        <w:spacing w:before="50" w:line="360" w:lineRule="auto"/>
        <w:jc w:val="left"/>
        <w:rPr>
          <w:rFonts w:hint="eastAsia" w:ascii="宋体" w:hAnsi="宋体" w:eastAsia="宋体" w:cs="宋体"/>
          <w:b/>
          <w:color w:val="auto"/>
          <w:sz w:val="28"/>
          <w:szCs w:val="28"/>
          <w:highlight w:val="none"/>
        </w:rPr>
      </w:pPr>
    </w:p>
    <w:p w14:paraId="260A1CE4">
      <w:pPr>
        <w:adjustRightInd w:val="0"/>
        <w:snapToGrid w:val="0"/>
        <w:spacing w:line="360" w:lineRule="auto"/>
        <w:ind w:firstLine="525" w:firstLineChars="250"/>
        <w:rPr>
          <w:rFonts w:hint="eastAsia" w:ascii="宋体" w:hAnsi="宋体" w:eastAsia="宋体" w:cs="宋体"/>
          <w:bCs/>
          <w:color w:val="auto"/>
          <w:szCs w:val="21"/>
          <w:highlight w:val="none"/>
        </w:rPr>
      </w:pPr>
    </w:p>
    <w:p w14:paraId="6448227A">
      <w:pPr>
        <w:adjustRightInd w:val="0"/>
        <w:snapToGrid w:val="0"/>
        <w:spacing w:line="360" w:lineRule="auto"/>
        <w:ind w:firstLine="525" w:firstLineChars="250"/>
        <w:rPr>
          <w:rFonts w:hint="eastAsia" w:ascii="宋体" w:hAnsi="宋体" w:eastAsia="宋体" w:cs="宋体"/>
          <w:bCs/>
          <w:color w:val="auto"/>
          <w:szCs w:val="21"/>
          <w:highlight w:val="none"/>
        </w:rPr>
      </w:pPr>
    </w:p>
    <w:p w14:paraId="20D6BB59">
      <w:pPr>
        <w:adjustRightInd w:val="0"/>
        <w:snapToGrid w:val="0"/>
        <w:spacing w:line="360" w:lineRule="auto"/>
        <w:ind w:firstLine="525" w:firstLineChars="250"/>
        <w:rPr>
          <w:rFonts w:hint="eastAsia" w:ascii="宋体" w:hAnsi="宋体" w:eastAsia="宋体" w:cs="宋体"/>
          <w:bCs/>
          <w:color w:val="auto"/>
          <w:szCs w:val="21"/>
          <w:highlight w:val="none"/>
        </w:rPr>
      </w:pPr>
    </w:p>
    <w:p w14:paraId="0F687A56">
      <w:pPr>
        <w:adjustRightInd w:val="0"/>
        <w:snapToGrid w:val="0"/>
        <w:spacing w:line="360" w:lineRule="auto"/>
        <w:ind w:firstLine="525" w:firstLineChars="250"/>
        <w:rPr>
          <w:rFonts w:hint="eastAsia" w:ascii="宋体" w:hAnsi="宋体" w:eastAsia="宋体" w:cs="宋体"/>
          <w:bCs/>
          <w:color w:val="auto"/>
          <w:szCs w:val="21"/>
          <w:highlight w:val="none"/>
        </w:rPr>
      </w:pPr>
    </w:p>
    <w:p w14:paraId="17D5B337">
      <w:pPr>
        <w:adjustRightInd w:val="0"/>
        <w:snapToGrid w:val="0"/>
        <w:spacing w:line="360" w:lineRule="auto"/>
        <w:ind w:firstLine="525" w:firstLineChars="250"/>
        <w:rPr>
          <w:rFonts w:hint="eastAsia" w:ascii="宋体" w:hAnsi="宋体" w:eastAsia="宋体" w:cs="宋体"/>
          <w:bCs/>
          <w:color w:val="auto"/>
          <w:szCs w:val="21"/>
          <w:highlight w:val="none"/>
        </w:rPr>
      </w:pPr>
    </w:p>
    <w:p w14:paraId="4502F46B">
      <w:pPr>
        <w:adjustRightInd w:val="0"/>
        <w:snapToGrid w:val="0"/>
        <w:spacing w:line="360" w:lineRule="auto"/>
        <w:ind w:firstLine="525" w:firstLineChars="250"/>
        <w:rPr>
          <w:rFonts w:hint="eastAsia" w:ascii="宋体" w:hAnsi="宋体" w:eastAsia="宋体" w:cs="宋体"/>
          <w:bCs/>
          <w:color w:val="auto"/>
          <w:szCs w:val="21"/>
          <w:highlight w:val="none"/>
        </w:rPr>
      </w:pPr>
    </w:p>
    <w:p w14:paraId="7C4C72A8">
      <w:pPr>
        <w:adjustRightInd w:val="0"/>
        <w:snapToGrid w:val="0"/>
        <w:spacing w:line="360" w:lineRule="auto"/>
        <w:ind w:firstLine="525" w:firstLineChars="250"/>
        <w:rPr>
          <w:rFonts w:hint="eastAsia" w:ascii="宋体" w:hAnsi="宋体" w:eastAsia="宋体" w:cs="宋体"/>
          <w:bCs/>
          <w:color w:val="auto"/>
          <w:szCs w:val="21"/>
          <w:highlight w:val="none"/>
        </w:rPr>
      </w:pPr>
    </w:p>
    <w:p w14:paraId="37702527">
      <w:pPr>
        <w:adjustRightInd w:val="0"/>
        <w:snapToGrid w:val="0"/>
        <w:spacing w:line="360" w:lineRule="auto"/>
        <w:ind w:firstLine="525" w:firstLineChars="250"/>
        <w:rPr>
          <w:rFonts w:hint="eastAsia" w:ascii="宋体" w:hAnsi="宋体" w:eastAsia="宋体" w:cs="宋体"/>
          <w:bCs/>
          <w:color w:val="auto"/>
          <w:szCs w:val="21"/>
          <w:highlight w:val="none"/>
        </w:rPr>
      </w:pPr>
    </w:p>
    <w:p w14:paraId="15FC622E">
      <w:pPr>
        <w:adjustRightInd w:val="0"/>
        <w:snapToGrid w:val="0"/>
        <w:spacing w:line="360" w:lineRule="auto"/>
        <w:ind w:firstLine="525" w:firstLineChars="250"/>
        <w:rPr>
          <w:rFonts w:hint="eastAsia" w:ascii="宋体" w:hAnsi="宋体" w:eastAsia="宋体" w:cs="宋体"/>
          <w:bCs/>
          <w:color w:val="auto"/>
          <w:szCs w:val="21"/>
          <w:highlight w:val="none"/>
        </w:rPr>
      </w:pPr>
    </w:p>
    <w:p w14:paraId="72D766D2">
      <w:pPr>
        <w:adjustRightInd w:val="0"/>
        <w:snapToGrid w:val="0"/>
        <w:spacing w:line="360" w:lineRule="auto"/>
        <w:ind w:firstLine="525" w:firstLineChars="250"/>
        <w:rPr>
          <w:rFonts w:hint="eastAsia" w:ascii="宋体" w:hAnsi="宋体" w:eastAsia="宋体" w:cs="宋体"/>
          <w:bCs/>
          <w:color w:val="auto"/>
          <w:szCs w:val="21"/>
          <w:highlight w:val="none"/>
        </w:rPr>
      </w:pPr>
    </w:p>
    <w:p w14:paraId="542A02D8">
      <w:pPr>
        <w:adjustRightInd w:val="0"/>
        <w:snapToGrid w:val="0"/>
        <w:spacing w:line="360" w:lineRule="auto"/>
        <w:ind w:firstLine="525" w:firstLineChars="250"/>
        <w:rPr>
          <w:rFonts w:hint="eastAsia" w:ascii="宋体" w:hAnsi="宋体" w:eastAsia="宋体" w:cs="宋体"/>
          <w:bCs/>
          <w:color w:val="auto"/>
          <w:szCs w:val="21"/>
          <w:highlight w:val="none"/>
        </w:rPr>
      </w:pPr>
    </w:p>
    <w:p w14:paraId="61436B9F">
      <w:pPr>
        <w:adjustRightInd w:val="0"/>
        <w:snapToGrid w:val="0"/>
        <w:spacing w:line="360" w:lineRule="auto"/>
        <w:ind w:firstLine="525" w:firstLineChars="250"/>
        <w:rPr>
          <w:rFonts w:hint="eastAsia" w:ascii="宋体" w:hAnsi="宋体" w:eastAsia="宋体" w:cs="宋体"/>
          <w:bCs/>
          <w:color w:val="auto"/>
          <w:szCs w:val="21"/>
          <w:highlight w:val="none"/>
        </w:rPr>
      </w:pPr>
    </w:p>
    <w:p w14:paraId="67C2DF82">
      <w:pPr>
        <w:adjustRightInd w:val="0"/>
        <w:snapToGrid w:val="0"/>
        <w:spacing w:line="360" w:lineRule="auto"/>
        <w:ind w:firstLine="525" w:firstLineChars="250"/>
        <w:rPr>
          <w:rFonts w:hint="eastAsia" w:ascii="宋体" w:hAnsi="宋体" w:eastAsia="宋体" w:cs="宋体"/>
          <w:bCs/>
          <w:color w:val="auto"/>
          <w:szCs w:val="21"/>
          <w:highlight w:val="none"/>
        </w:rPr>
      </w:pPr>
    </w:p>
    <w:p w14:paraId="20E3DA74">
      <w:pPr>
        <w:adjustRightInd w:val="0"/>
        <w:snapToGrid w:val="0"/>
        <w:spacing w:line="360" w:lineRule="auto"/>
        <w:ind w:firstLine="525" w:firstLineChars="250"/>
        <w:rPr>
          <w:rFonts w:hint="eastAsia" w:ascii="宋体" w:hAnsi="宋体" w:eastAsia="宋体" w:cs="宋体"/>
          <w:bCs/>
          <w:color w:val="auto"/>
          <w:szCs w:val="21"/>
          <w:highlight w:val="none"/>
        </w:rPr>
      </w:pPr>
    </w:p>
    <w:p w14:paraId="67C86C0E">
      <w:pPr>
        <w:adjustRightInd w:val="0"/>
        <w:snapToGrid w:val="0"/>
        <w:spacing w:line="360" w:lineRule="auto"/>
        <w:ind w:firstLine="525" w:firstLineChars="250"/>
        <w:rPr>
          <w:rFonts w:hint="eastAsia" w:ascii="宋体" w:hAnsi="宋体" w:eastAsia="宋体" w:cs="宋体"/>
          <w:bCs/>
          <w:color w:val="auto"/>
          <w:szCs w:val="21"/>
          <w:highlight w:val="none"/>
        </w:rPr>
      </w:pPr>
    </w:p>
    <w:p w14:paraId="5C35179C">
      <w:pPr>
        <w:adjustRightInd w:val="0"/>
        <w:snapToGrid w:val="0"/>
        <w:spacing w:line="360" w:lineRule="auto"/>
        <w:ind w:firstLine="525" w:firstLineChars="250"/>
        <w:rPr>
          <w:rFonts w:hint="eastAsia" w:ascii="宋体" w:hAnsi="宋体" w:eastAsia="宋体" w:cs="宋体"/>
          <w:bCs/>
          <w:color w:val="auto"/>
          <w:szCs w:val="21"/>
          <w:highlight w:val="none"/>
        </w:rPr>
      </w:pPr>
    </w:p>
    <w:p w14:paraId="6ECE1373">
      <w:pPr>
        <w:adjustRightInd w:val="0"/>
        <w:snapToGrid w:val="0"/>
        <w:spacing w:line="360" w:lineRule="auto"/>
        <w:ind w:firstLine="525" w:firstLineChars="250"/>
        <w:rPr>
          <w:rFonts w:hint="eastAsia" w:ascii="宋体" w:hAnsi="宋体" w:eastAsia="宋体" w:cs="宋体"/>
          <w:bCs/>
          <w:color w:val="auto"/>
          <w:szCs w:val="21"/>
          <w:highlight w:val="none"/>
        </w:rPr>
      </w:pPr>
    </w:p>
    <w:p w14:paraId="4A4C4F2D">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4E6F8E9A">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1C44DA0C">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0F9929C0">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6F3AA7E6">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1F8ED4DE">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12.投标保证金凭证</w:t>
      </w:r>
    </w:p>
    <w:p w14:paraId="17DC0E39">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说明：投标人提供投标保证金足额缴纳凭证。</w:t>
      </w:r>
    </w:p>
    <w:p w14:paraId="35C04C74">
      <w:pPr>
        <w:tabs>
          <w:tab w:val="left" w:pos="3600"/>
        </w:tabs>
        <w:adjustRightInd w:val="0"/>
        <w:snapToGrid w:val="0"/>
        <w:jc w:val="center"/>
        <w:rPr>
          <w:rFonts w:hint="eastAsia" w:ascii="宋体" w:hAnsi="宋体" w:eastAsia="宋体" w:cs="宋体"/>
          <w:color w:val="auto"/>
          <w:highlight w:val="none"/>
        </w:rPr>
      </w:pPr>
    </w:p>
    <w:p w14:paraId="4D1486E9">
      <w:pPr>
        <w:tabs>
          <w:tab w:val="left" w:pos="3600"/>
        </w:tabs>
        <w:adjustRightInd w:val="0"/>
        <w:snapToGrid w:val="0"/>
        <w:rPr>
          <w:rFonts w:hint="eastAsia" w:ascii="宋体" w:hAnsi="宋体" w:eastAsia="宋体" w:cs="宋体"/>
          <w:color w:val="auto"/>
          <w:highlight w:val="none"/>
        </w:rPr>
      </w:pPr>
    </w:p>
    <w:p w14:paraId="60392491">
      <w:pPr>
        <w:tabs>
          <w:tab w:val="left" w:pos="3600"/>
        </w:tabs>
        <w:adjustRightInd w:val="0"/>
        <w:snapToGrid w:val="0"/>
        <w:rPr>
          <w:rFonts w:hint="eastAsia" w:ascii="宋体" w:hAnsi="宋体" w:eastAsia="宋体" w:cs="宋体"/>
          <w:color w:val="auto"/>
          <w:highlight w:val="none"/>
        </w:rPr>
      </w:pPr>
    </w:p>
    <w:p w14:paraId="266D56DC">
      <w:pPr>
        <w:tabs>
          <w:tab w:val="left" w:pos="3600"/>
        </w:tabs>
        <w:adjustRightInd w:val="0"/>
        <w:snapToGrid w:val="0"/>
        <w:rPr>
          <w:rFonts w:hint="eastAsia" w:ascii="宋体" w:hAnsi="宋体" w:eastAsia="宋体" w:cs="宋体"/>
          <w:color w:val="auto"/>
          <w:highlight w:val="none"/>
        </w:rPr>
      </w:pPr>
    </w:p>
    <w:p w14:paraId="14C2D5A7">
      <w:pPr>
        <w:tabs>
          <w:tab w:val="left" w:pos="3600"/>
        </w:tabs>
        <w:adjustRightInd w:val="0"/>
        <w:snapToGrid w:val="0"/>
        <w:rPr>
          <w:rFonts w:hint="eastAsia" w:ascii="宋体" w:hAnsi="宋体" w:eastAsia="宋体" w:cs="宋体"/>
          <w:color w:val="auto"/>
          <w:highlight w:val="none"/>
        </w:rPr>
      </w:pPr>
    </w:p>
    <w:p w14:paraId="4EAF8727">
      <w:pPr>
        <w:tabs>
          <w:tab w:val="left" w:pos="3600"/>
        </w:tabs>
        <w:adjustRightInd w:val="0"/>
        <w:snapToGrid w:val="0"/>
        <w:jc w:val="left"/>
        <w:rPr>
          <w:rFonts w:hint="eastAsia" w:ascii="宋体" w:hAnsi="宋体" w:eastAsia="宋体" w:cs="宋体"/>
          <w:color w:val="auto"/>
          <w:highlight w:val="none"/>
        </w:rPr>
      </w:pPr>
    </w:p>
    <w:p w14:paraId="65F22A3C">
      <w:pPr>
        <w:tabs>
          <w:tab w:val="left" w:pos="3600"/>
        </w:tabs>
        <w:adjustRightInd w:val="0"/>
        <w:snapToGrid w:val="0"/>
        <w:jc w:val="left"/>
        <w:rPr>
          <w:rFonts w:hint="eastAsia" w:ascii="宋体" w:hAnsi="宋体" w:eastAsia="宋体" w:cs="宋体"/>
          <w:color w:val="auto"/>
          <w:highlight w:val="none"/>
        </w:rPr>
      </w:pPr>
    </w:p>
    <w:p w14:paraId="5FC9AFB4">
      <w:pPr>
        <w:tabs>
          <w:tab w:val="left" w:pos="3600"/>
        </w:tabs>
        <w:adjustRightInd w:val="0"/>
        <w:snapToGrid w:val="0"/>
        <w:jc w:val="left"/>
        <w:rPr>
          <w:rFonts w:hint="eastAsia" w:ascii="宋体" w:hAnsi="宋体" w:eastAsia="宋体" w:cs="宋体"/>
          <w:color w:val="auto"/>
          <w:highlight w:val="none"/>
        </w:rPr>
      </w:pPr>
    </w:p>
    <w:p w14:paraId="46FD5C64">
      <w:pPr>
        <w:tabs>
          <w:tab w:val="left" w:pos="3600"/>
        </w:tabs>
        <w:adjustRightInd w:val="0"/>
        <w:snapToGrid w:val="0"/>
        <w:jc w:val="left"/>
        <w:rPr>
          <w:rFonts w:hint="eastAsia" w:ascii="宋体" w:hAnsi="宋体" w:eastAsia="宋体" w:cs="宋体"/>
          <w:color w:val="auto"/>
          <w:highlight w:val="none"/>
        </w:rPr>
      </w:pPr>
    </w:p>
    <w:p w14:paraId="3E3CDFCC">
      <w:pPr>
        <w:jc w:val="left"/>
        <w:rPr>
          <w:rFonts w:hint="eastAsia" w:ascii="宋体" w:hAnsi="宋体" w:eastAsia="宋体" w:cs="宋体"/>
          <w:b/>
          <w:bCs/>
          <w:color w:val="auto"/>
          <w:sz w:val="36"/>
          <w:szCs w:val="36"/>
          <w:highlight w:val="none"/>
        </w:rPr>
      </w:pPr>
    </w:p>
    <w:p w14:paraId="4C25F165">
      <w:pPr>
        <w:jc w:val="left"/>
        <w:rPr>
          <w:rFonts w:hint="eastAsia" w:ascii="宋体" w:hAnsi="宋体" w:eastAsia="宋体" w:cs="宋体"/>
          <w:b/>
          <w:bCs/>
          <w:color w:val="auto"/>
          <w:sz w:val="36"/>
          <w:szCs w:val="36"/>
          <w:highlight w:val="none"/>
        </w:rPr>
      </w:pPr>
    </w:p>
    <w:p w14:paraId="37C7689C">
      <w:pPr>
        <w:jc w:val="left"/>
        <w:rPr>
          <w:rFonts w:hint="eastAsia" w:ascii="宋体" w:hAnsi="宋体" w:eastAsia="宋体" w:cs="宋体"/>
          <w:b/>
          <w:bCs/>
          <w:color w:val="auto"/>
          <w:sz w:val="36"/>
          <w:szCs w:val="36"/>
          <w:highlight w:val="none"/>
        </w:rPr>
      </w:pPr>
    </w:p>
    <w:p w14:paraId="63F991B8">
      <w:pPr>
        <w:jc w:val="left"/>
        <w:rPr>
          <w:rFonts w:hint="eastAsia" w:ascii="宋体" w:hAnsi="宋体" w:eastAsia="宋体" w:cs="宋体"/>
          <w:b/>
          <w:bCs/>
          <w:color w:val="auto"/>
          <w:sz w:val="36"/>
          <w:szCs w:val="36"/>
          <w:highlight w:val="none"/>
        </w:rPr>
      </w:pPr>
    </w:p>
    <w:p w14:paraId="7047170A">
      <w:pPr>
        <w:pStyle w:val="40"/>
        <w:spacing w:line="400" w:lineRule="exact"/>
        <w:jc w:val="left"/>
        <w:rPr>
          <w:rFonts w:hint="eastAsia" w:ascii="宋体" w:hAnsi="宋体" w:eastAsia="宋体" w:cs="宋体"/>
          <w:color w:val="auto"/>
          <w:sz w:val="24"/>
          <w:szCs w:val="24"/>
          <w:highlight w:val="none"/>
        </w:rPr>
      </w:pPr>
    </w:p>
    <w:p w14:paraId="0F0514F7">
      <w:pPr>
        <w:pStyle w:val="40"/>
        <w:spacing w:line="400" w:lineRule="exact"/>
        <w:jc w:val="left"/>
        <w:rPr>
          <w:rFonts w:hint="eastAsia" w:ascii="宋体" w:hAnsi="宋体" w:eastAsia="宋体" w:cs="宋体"/>
          <w:color w:val="auto"/>
          <w:sz w:val="24"/>
          <w:szCs w:val="24"/>
          <w:highlight w:val="none"/>
        </w:rPr>
      </w:pPr>
    </w:p>
    <w:p w14:paraId="4C94E2FB">
      <w:pPr>
        <w:pStyle w:val="4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投标保证金</w:t>
      </w:r>
      <w:r>
        <w:rPr>
          <w:rFonts w:hint="eastAsia" w:ascii="宋体" w:hAnsi="宋体" w:eastAsia="宋体" w:cs="宋体"/>
          <w:color w:val="auto"/>
          <w:sz w:val="22"/>
          <w:szCs w:val="22"/>
          <w:highlight w:val="none"/>
          <w:lang w:eastAsia="zh-CN"/>
        </w:rPr>
        <w:t>凭证</w:t>
      </w:r>
    </w:p>
    <w:p w14:paraId="715E63E2">
      <w:pPr>
        <w:pStyle w:val="4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复印件粘贴处</w:t>
      </w:r>
    </w:p>
    <w:p w14:paraId="433E1231">
      <w:pPr>
        <w:jc w:val="left"/>
        <w:rPr>
          <w:rFonts w:hint="eastAsia" w:ascii="宋体" w:hAnsi="宋体" w:eastAsia="宋体" w:cs="宋体"/>
          <w:b/>
          <w:bCs/>
          <w:color w:val="auto"/>
          <w:sz w:val="36"/>
          <w:szCs w:val="36"/>
          <w:highlight w:val="none"/>
        </w:rPr>
      </w:pPr>
    </w:p>
    <w:p w14:paraId="050DA31A">
      <w:pPr>
        <w:jc w:val="left"/>
        <w:rPr>
          <w:rFonts w:hint="eastAsia" w:ascii="宋体" w:hAnsi="宋体" w:eastAsia="宋体" w:cs="宋体"/>
          <w:b/>
          <w:bCs/>
          <w:color w:val="auto"/>
          <w:sz w:val="36"/>
          <w:szCs w:val="36"/>
          <w:highlight w:val="none"/>
        </w:rPr>
      </w:pPr>
    </w:p>
    <w:p w14:paraId="71BBFEF8">
      <w:pPr>
        <w:jc w:val="left"/>
        <w:rPr>
          <w:rFonts w:hint="eastAsia" w:ascii="宋体" w:hAnsi="宋体" w:eastAsia="宋体" w:cs="宋体"/>
          <w:b/>
          <w:bCs/>
          <w:color w:val="auto"/>
          <w:sz w:val="36"/>
          <w:szCs w:val="36"/>
          <w:highlight w:val="none"/>
        </w:rPr>
      </w:pPr>
    </w:p>
    <w:p w14:paraId="3FF5BBF7">
      <w:pPr>
        <w:pStyle w:val="7"/>
        <w:spacing w:before="120" w:beforeLines="50" w:after="120" w:afterLines="50"/>
        <w:ind w:firstLine="0"/>
        <w:jc w:val="left"/>
        <w:rPr>
          <w:rFonts w:hint="eastAsia" w:ascii="宋体" w:hAnsi="宋体" w:eastAsia="宋体" w:cs="宋体"/>
          <w:b/>
          <w:color w:val="auto"/>
          <w:sz w:val="44"/>
          <w:szCs w:val="44"/>
          <w:highlight w:val="none"/>
        </w:rPr>
      </w:pPr>
    </w:p>
    <w:p w14:paraId="315CF02A">
      <w:pPr>
        <w:pStyle w:val="7"/>
        <w:spacing w:before="120" w:beforeLines="50" w:after="120" w:afterLines="50"/>
        <w:ind w:firstLine="0"/>
        <w:jc w:val="left"/>
        <w:rPr>
          <w:rFonts w:hint="eastAsia" w:ascii="宋体" w:hAnsi="宋体" w:eastAsia="宋体" w:cs="宋体"/>
          <w:b/>
          <w:color w:val="auto"/>
          <w:sz w:val="44"/>
          <w:szCs w:val="44"/>
          <w:highlight w:val="none"/>
        </w:rPr>
      </w:pPr>
    </w:p>
    <w:p w14:paraId="4A4E4161">
      <w:pPr>
        <w:pStyle w:val="7"/>
        <w:spacing w:before="120" w:beforeLines="50" w:after="120" w:afterLines="50"/>
        <w:ind w:firstLine="0"/>
        <w:jc w:val="left"/>
        <w:rPr>
          <w:rFonts w:hint="eastAsia" w:ascii="宋体" w:hAnsi="宋体" w:eastAsia="宋体" w:cs="宋体"/>
          <w:b/>
          <w:color w:val="auto"/>
          <w:sz w:val="44"/>
          <w:szCs w:val="44"/>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7748A97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13.本项目的特定资格要求</w:t>
      </w:r>
    </w:p>
    <w:p w14:paraId="5CF8D756">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z w:val="22"/>
          <w:szCs w:val="22"/>
          <w:highlight w:val="none"/>
          <w:lang w:val="en-US" w:eastAsia="zh-CN"/>
        </w:rPr>
        <w:t>说明：投标人所投肥料产品须提供有效期内的肥料登记证（代理商或经销商投标的，须提供所投产品生产企业有效肥料登记证复印件，并加盖生产企业鲜章。）。</w:t>
      </w:r>
    </w:p>
    <w:p w14:paraId="6A3B07AE">
      <w:pPr>
        <w:pStyle w:val="7"/>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（商务技术部分）</w:t>
      </w:r>
    </w:p>
    <w:p w14:paraId="5A63BC95">
      <w:pPr>
        <w:pStyle w:val="7"/>
        <w:rPr>
          <w:rFonts w:hint="eastAsia" w:ascii="宋体" w:hAnsi="宋体" w:eastAsia="宋体" w:cs="宋体"/>
          <w:color w:val="auto"/>
          <w:sz w:val="28"/>
          <w:szCs w:val="28"/>
          <w:highlight w:val="none"/>
        </w:rPr>
      </w:pPr>
    </w:p>
    <w:p w14:paraId="135BF7A8">
      <w:pPr>
        <w:pStyle w:val="7"/>
        <w:rPr>
          <w:rFonts w:hint="eastAsia" w:ascii="宋体" w:hAnsi="宋体" w:eastAsia="宋体" w:cs="宋体"/>
          <w:color w:val="auto"/>
          <w:sz w:val="28"/>
          <w:szCs w:val="28"/>
          <w:highlight w:val="none"/>
        </w:rPr>
      </w:pPr>
    </w:p>
    <w:p w14:paraId="79DDF087">
      <w:pPr>
        <w:pStyle w:val="7"/>
        <w:rPr>
          <w:rFonts w:hint="eastAsia" w:ascii="宋体" w:hAnsi="宋体" w:eastAsia="宋体" w:cs="宋体"/>
          <w:color w:val="auto"/>
          <w:sz w:val="28"/>
          <w:szCs w:val="28"/>
          <w:highlight w:val="none"/>
        </w:rPr>
      </w:pPr>
    </w:p>
    <w:p w14:paraId="53C6416B">
      <w:pPr>
        <w:pStyle w:val="7"/>
        <w:rPr>
          <w:rFonts w:hint="eastAsia" w:ascii="宋体" w:hAnsi="宋体" w:eastAsia="宋体" w:cs="宋体"/>
          <w:color w:val="auto"/>
          <w:sz w:val="28"/>
          <w:szCs w:val="28"/>
          <w:highlight w:val="none"/>
        </w:rPr>
      </w:pPr>
    </w:p>
    <w:p w14:paraId="57DF70F0">
      <w:pPr>
        <w:pStyle w:val="7"/>
        <w:rPr>
          <w:rFonts w:hint="eastAsia" w:ascii="宋体" w:hAnsi="宋体" w:eastAsia="宋体" w:cs="宋体"/>
          <w:color w:val="auto"/>
          <w:sz w:val="28"/>
          <w:szCs w:val="28"/>
          <w:highlight w:val="none"/>
        </w:rPr>
      </w:pPr>
    </w:p>
    <w:p w14:paraId="0DBD29D9">
      <w:pPr>
        <w:pStyle w:val="7"/>
        <w:rPr>
          <w:rFonts w:hint="eastAsia" w:ascii="宋体" w:hAnsi="宋体" w:eastAsia="宋体" w:cs="宋体"/>
          <w:color w:val="auto"/>
          <w:sz w:val="28"/>
          <w:szCs w:val="28"/>
          <w:highlight w:val="none"/>
        </w:rPr>
      </w:pPr>
    </w:p>
    <w:p w14:paraId="77CDE865">
      <w:pPr>
        <w:pStyle w:val="7"/>
        <w:rPr>
          <w:rFonts w:hint="eastAsia" w:ascii="宋体" w:hAnsi="宋体" w:eastAsia="宋体" w:cs="宋体"/>
          <w:color w:val="auto"/>
          <w:sz w:val="28"/>
          <w:szCs w:val="28"/>
          <w:highlight w:val="none"/>
        </w:rPr>
      </w:pPr>
    </w:p>
    <w:p w14:paraId="1ED4DC30">
      <w:pPr>
        <w:pStyle w:val="7"/>
        <w:spacing w:before="120" w:beforeLines="50"/>
        <w:ind w:firstLine="1630" w:firstLineChars="580"/>
        <w:rPr>
          <w:rFonts w:hint="eastAsia" w:ascii="宋体" w:hAnsi="宋体" w:eastAsia="宋体" w:cs="宋体"/>
          <w:b/>
          <w:color w:val="auto"/>
          <w:sz w:val="28"/>
          <w:szCs w:val="28"/>
          <w:highlight w:val="none"/>
        </w:rPr>
      </w:pPr>
    </w:p>
    <w:p w14:paraId="4652364E">
      <w:pPr>
        <w:pStyle w:val="7"/>
        <w:spacing w:before="120" w:beforeLines="50"/>
        <w:ind w:firstLine="1630" w:firstLineChars="580"/>
        <w:rPr>
          <w:rFonts w:hint="eastAsia" w:ascii="宋体" w:hAnsi="宋体" w:eastAsia="宋体" w:cs="宋体"/>
          <w:b/>
          <w:color w:val="auto"/>
          <w:sz w:val="28"/>
          <w:szCs w:val="28"/>
          <w:highlight w:val="none"/>
        </w:rPr>
      </w:pPr>
    </w:p>
    <w:p w14:paraId="060CF13F">
      <w:pPr>
        <w:pStyle w:val="7"/>
        <w:spacing w:before="120" w:beforeLines="50" w:after="120" w:afterLines="50"/>
        <w:ind w:firstLine="0"/>
        <w:jc w:val="center"/>
        <w:rPr>
          <w:rFonts w:hint="eastAsia" w:ascii="宋体" w:hAnsi="宋体" w:eastAsia="宋体" w:cs="宋体"/>
          <w:b/>
          <w:color w:val="auto"/>
          <w:sz w:val="44"/>
          <w:szCs w:val="44"/>
          <w:highlight w:val="none"/>
        </w:rPr>
      </w:pPr>
    </w:p>
    <w:p w14:paraId="60E9A2EC">
      <w:pPr>
        <w:pStyle w:val="7"/>
        <w:spacing w:before="120" w:beforeLines="50" w:after="120" w:afterLines="50"/>
        <w:ind w:firstLine="0"/>
        <w:jc w:val="center"/>
        <w:rPr>
          <w:rFonts w:hint="eastAsia" w:ascii="宋体" w:hAnsi="宋体" w:eastAsia="宋体" w:cs="宋体"/>
          <w:b/>
          <w:color w:val="auto"/>
          <w:sz w:val="44"/>
          <w:szCs w:val="44"/>
          <w:highlight w:val="none"/>
        </w:rPr>
      </w:pPr>
    </w:p>
    <w:p w14:paraId="12F7046F">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6A817292">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74E9265">
      <w:pPr>
        <w:pStyle w:val="7"/>
        <w:keepNext w:val="0"/>
        <w:keepLines w:val="0"/>
        <w:pageBreakBefore w:val="0"/>
        <w:widowControl w:val="0"/>
        <w:kinsoku/>
        <w:wordWrap/>
        <w:overflowPunct/>
        <w:topLinePunct w:val="0"/>
        <w:autoSpaceDE/>
        <w:autoSpaceDN/>
        <w:bidi w:val="0"/>
        <w:adjustRightInd/>
        <w:snapToGrid/>
        <w:spacing w:line="480" w:lineRule="exact"/>
        <w:ind w:firstLine="1392" w:firstLineChars="580"/>
        <w:textAlignment w:val="auto"/>
        <w:rPr>
          <w:rFonts w:hint="eastAsia" w:ascii="宋体" w:hAnsi="宋体" w:eastAsia="宋体" w:cs="宋体"/>
          <w:color w:val="auto"/>
          <w:sz w:val="24"/>
          <w:szCs w:val="24"/>
          <w:highlight w:val="none"/>
        </w:rPr>
      </w:pPr>
    </w:p>
    <w:p w14:paraId="462E3AD4">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一、投标函 ……………………………………………………………页码</w:t>
      </w:r>
    </w:p>
    <w:p w14:paraId="4604B917">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二、开标一览表 ………………………………………………………页码</w:t>
      </w:r>
    </w:p>
    <w:p w14:paraId="792DFC8C">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bCs/>
          <w:color w:val="auto"/>
          <w:sz w:val="22"/>
          <w:szCs w:val="22"/>
          <w:highlight w:val="none"/>
        </w:rPr>
        <w:t xml:space="preserve">货物（产品）分项报价表 </w:t>
      </w:r>
      <w:r>
        <w:rPr>
          <w:rFonts w:hint="eastAsia" w:ascii="宋体" w:hAnsi="宋体" w:eastAsia="宋体" w:cs="宋体"/>
          <w:color w:val="auto"/>
          <w:sz w:val="22"/>
          <w:szCs w:val="22"/>
          <w:highlight w:val="none"/>
        </w:rPr>
        <w:t>………………………………………页码</w:t>
      </w:r>
    </w:p>
    <w:p w14:paraId="62B7AFB1">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、货物说明一览表 …………………………………………………页码</w:t>
      </w:r>
    </w:p>
    <w:p w14:paraId="3009DC79">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、商务</w:t>
      </w:r>
      <w:r>
        <w:rPr>
          <w:rFonts w:hint="eastAsia" w:ascii="宋体" w:hAnsi="宋体" w:cs="宋体"/>
          <w:color w:val="auto"/>
          <w:sz w:val="22"/>
          <w:szCs w:val="22"/>
          <w:highlight w:val="none"/>
          <w:lang w:val="en-US" w:eastAsia="zh-CN"/>
        </w:rPr>
        <w:t>条款</w:t>
      </w:r>
      <w:r>
        <w:rPr>
          <w:rFonts w:hint="eastAsia" w:ascii="宋体" w:hAnsi="宋体" w:eastAsia="宋体" w:cs="宋体"/>
          <w:color w:val="auto"/>
          <w:sz w:val="22"/>
          <w:szCs w:val="22"/>
          <w:highlight w:val="none"/>
        </w:rPr>
        <w:t>偏离表 …………………………………………………页码</w:t>
      </w:r>
    </w:p>
    <w:p w14:paraId="3D678800">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技术文件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根据本项目评分标准顺序编写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…………………页码</w:t>
      </w:r>
    </w:p>
    <w:p w14:paraId="379A723A">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、承诺文件 …………………………………………………………页码</w:t>
      </w:r>
    </w:p>
    <w:p w14:paraId="4E82ADA4">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、售后服务文件 ……………………………………………………页码</w:t>
      </w:r>
    </w:p>
    <w:p w14:paraId="53629723">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、其他证明材料 ……………………………………………………页码</w:t>
      </w:r>
    </w:p>
    <w:p w14:paraId="1DAF91E2">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bCs/>
          <w:color w:val="auto"/>
          <w:kern w:val="0"/>
          <w:sz w:val="22"/>
          <w:szCs w:val="22"/>
          <w:highlight w:val="none"/>
        </w:rPr>
        <w:t xml:space="preserve">技术规格偏离表 </w:t>
      </w:r>
      <w:r>
        <w:rPr>
          <w:rFonts w:hint="eastAsia" w:ascii="宋体" w:hAnsi="宋体" w:eastAsia="宋体" w:cs="宋体"/>
          <w:color w:val="auto"/>
          <w:sz w:val="22"/>
          <w:szCs w:val="22"/>
          <w:highlight w:val="none"/>
        </w:rPr>
        <w:t>…………………………………………………页码</w:t>
      </w:r>
    </w:p>
    <w:p w14:paraId="574BE36F">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、投标人认为有必要补充说明的事项……………</w:t>
      </w:r>
      <w:bookmarkEnd w:id="236"/>
      <w:r>
        <w:rPr>
          <w:rFonts w:hint="eastAsia" w:ascii="宋体" w:hAnsi="宋体" w:eastAsia="宋体" w:cs="宋体"/>
          <w:color w:val="auto"/>
          <w:sz w:val="22"/>
          <w:szCs w:val="22"/>
          <w:highlight w:val="none"/>
        </w:rPr>
        <w:t>………………页码</w:t>
      </w:r>
    </w:p>
    <w:p w14:paraId="53923B95">
      <w:pPr>
        <w:pStyle w:val="7"/>
        <w:keepNext w:val="0"/>
        <w:keepLines w:val="0"/>
        <w:pageBreakBefore w:val="0"/>
        <w:widowControl w:val="0"/>
        <w:kinsoku/>
        <w:wordWrap/>
        <w:overflowPunct/>
        <w:topLinePunct w:val="0"/>
        <w:autoSpaceDE/>
        <w:autoSpaceDN/>
        <w:bidi w:val="0"/>
        <w:adjustRightInd/>
        <w:snapToGrid/>
        <w:spacing w:line="480" w:lineRule="exact"/>
        <w:ind w:firstLine="1218" w:firstLineChars="580"/>
        <w:textAlignment w:val="auto"/>
        <w:rPr>
          <w:rFonts w:hint="eastAsia" w:ascii="宋体" w:hAnsi="宋体" w:eastAsia="宋体" w:cs="宋体"/>
          <w:color w:val="auto"/>
          <w:highlight w:val="none"/>
        </w:rPr>
      </w:pPr>
    </w:p>
    <w:p w14:paraId="1DCB6C8D">
      <w:pPr>
        <w:pStyle w:val="7"/>
        <w:keepNext w:val="0"/>
        <w:keepLines w:val="0"/>
        <w:pageBreakBefore w:val="0"/>
        <w:widowControl w:val="0"/>
        <w:kinsoku/>
        <w:wordWrap/>
        <w:overflowPunct/>
        <w:topLinePunct w:val="0"/>
        <w:autoSpaceDE/>
        <w:autoSpaceDN/>
        <w:bidi w:val="0"/>
        <w:adjustRightInd/>
        <w:snapToGrid/>
        <w:spacing w:line="480" w:lineRule="exact"/>
        <w:ind w:firstLine="1218" w:firstLineChars="580"/>
        <w:textAlignment w:val="auto"/>
        <w:rPr>
          <w:rFonts w:hint="eastAsia" w:ascii="宋体" w:hAnsi="宋体" w:eastAsia="宋体" w:cs="宋体"/>
          <w:color w:val="auto"/>
          <w:highlight w:val="none"/>
        </w:rPr>
      </w:pPr>
    </w:p>
    <w:p w14:paraId="30203B49">
      <w:pPr>
        <w:pStyle w:val="7"/>
        <w:spacing w:before="120" w:beforeLines="50"/>
        <w:ind w:firstLine="1218" w:firstLineChars="580"/>
        <w:rPr>
          <w:rFonts w:hint="eastAsia" w:ascii="宋体" w:hAnsi="宋体" w:eastAsia="宋体" w:cs="宋体"/>
          <w:color w:val="auto"/>
          <w:highlight w:val="none"/>
        </w:rPr>
      </w:pPr>
    </w:p>
    <w:p w14:paraId="337A2998">
      <w:pPr>
        <w:pStyle w:val="7"/>
        <w:spacing w:before="120" w:beforeLines="50"/>
        <w:ind w:firstLine="1218" w:firstLineChars="580"/>
        <w:rPr>
          <w:rFonts w:hint="eastAsia" w:ascii="宋体" w:hAnsi="宋体" w:eastAsia="宋体" w:cs="宋体"/>
          <w:color w:val="auto"/>
          <w:highlight w:val="none"/>
        </w:rPr>
      </w:pPr>
    </w:p>
    <w:p w14:paraId="091B1E4F">
      <w:pPr>
        <w:pStyle w:val="7"/>
        <w:spacing w:before="120" w:beforeLines="50"/>
        <w:ind w:firstLine="1218" w:firstLineChars="580"/>
        <w:rPr>
          <w:rFonts w:hint="eastAsia" w:ascii="宋体" w:hAnsi="宋体" w:eastAsia="宋体" w:cs="宋体"/>
          <w:color w:val="auto"/>
          <w:highlight w:val="none"/>
        </w:rPr>
      </w:pPr>
    </w:p>
    <w:p w14:paraId="06D33F26">
      <w:pPr>
        <w:pStyle w:val="7"/>
        <w:spacing w:before="120" w:beforeLines="50"/>
        <w:ind w:firstLine="1218" w:firstLineChars="580"/>
        <w:rPr>
          <w:rFonts w:hint="eastAsia" w:ascii="宋体" w:hAnsi="宋体" w:eastAsia="宋体" w:cs="宋体"/>
          <w:color w:val="auto"/>
          <w:highlight w:val="none"/>
        </w:rPr>
      </w:pPr>
    </w:p>
    <w:p w14:paraId="19300F16">
      <w:pPr>
        <w:pStyle w:val="7"/>
        <w:spacing w:before="120" w:beforeLines="50"/>
        <w:ind w:firstLine="1218" w:firstLineChars="580"/>
        <w:rPr>
          <w:rFonts w:hint="eastAsia" w:ascii="宋体" w:hAnsi="宋体" w:eastAsia="宋体" w:cs="宋体"/>
          <w:color w:val="auto"/>
          <w:highlight w:val="none"/>
        </w:rPr>
      </w:pPr>
    </w:p>
    <w:p w14:paraId="26A44FFA">
      <w:pPr>
        <w:pStyle w:val="7"/>
        <w:spacing w:before="120" w:beforeLines="50"/>
        <w:ind w:firstLine="1218" w:firstLineChars="580"/>
        <w:rPr>
          <w:rFonts w:hint="eastAsia" w:ascii="宋体" w:hAnsi="宋体" w:eastAsia="宋体" w:cs="宋体"/>
          <w:color w:val="auto"/>
          <w:highlight w:val="none"/>
        </w:rPr>
      </w:pPr>
    </w:p>
    <w:p w14:paraId="113A3D57">
      <w:pPr>
        <w:pStyle w:val="7"/>
        <w:spacing w:before="120" w:beforeLines="50"/>
        <w:ind w:firstLine="1218" w:firstLineChars="580"/>
        <w:rPr>
          <w:rFonts w:hint="eastAsia" w:ascii="宋体" w:hAnsi="宋体" w:eastAsia="宋体" w:cs="宋体"/>
          <w:color w:val="auto"/>
          <w:highlight w:val="none"/>
        </w:rPr>
      </w:pPr>
    </w:p>
    <w:p w14:paraId="7EDC9E7A">
      <w:pPr>
        <w:pStyle w:val="7"/>
        <w:spacing w:before="120" w:beforeLines="50"/>
        <w:ind w:firstLine="1218" w:firstLineChars="580"/>
        <w:rPr>
          <w:rFonts w:hint="eastAsia" w:ascii="宋体" w:hAnsi="宋体" w:eastAsia="宋体" w:cs="宋体"/>
          <w:color w:val="auto"/>
          <w:highlight w:val="none"/>
        </w:rPr>
      </w:pPr>
    </w:p>
    <w:p w14:paraId="494C5927">
      <w:pPr>
        <w:pStyle w:val="7"/>
        <w:spacing w:before="120" w:beforeLines="50"/>
        <w:ind w:firstLine="1218" w:firstLineChars="580"/>
        <w:rPr>
          <w:rFonts w:hint="eastAsia" w:ascii="宋体" w:hAnsi="宋体" w:eastAsia="宋体" w:cs="宋体"/>
          <w:color w:val="auto"/>
          <w:highlight w:val="none"/>
        </w:rPr>
      </w:pPr>
    </w:p>
    <w:p w14:paraId="383B1E6E">
      <w:pPr>
        <w:pStyle w:val="7"/>
        <w:spacing w:before="120" w:beforeLines="50"/>
        <w:ind w:firstLine="1218" w:firstLineChars="580"/>
        <w:rPr>
          <w:rFonts w:hint="eastAsia" w:ascii="宋体" w:hAnsi="宋体" w:eastAsia="宋体" w:cs="宋体"/>
          <w:color w:val="auto"/>
          <w:highlight w:val="none"/>
        </w:rPr>
      </w:pPr>
    </w:p>
    <w:p w14:paraId="3F1185CC">
      <w:pPr>
        <w:pStyle w:val="7"/>
        <w:spacing w:before="120" w:beforeLines="50"/>
        <w:ind w:firstLine="1218" w:firstLineChars="580"/>
        <w:rPr>
          <w:rFonts w:hint="eastAsia" w:ascii="宋体" w:hAnsi="宋体" w:eastAsia="宋体" w:cs="宋体"/>
          <w:color w:val="auto"/>
          <w:highlight w:val="none"/>
        </w:rPr>
      </w:pPr>
    </w:p>
    <w:p w14:paraId="4486F9BA">
      <w:pPr>
        <w:rPr>
          <w:rFonts w:hint="eastAsia" w:ascii="宋体" w:hAnsi="宋体" w:eastAsia="宋体" w:cs="宋体"/>
          <w:color w:val="auto"/>
          <w:highlight w:val="none"/>
        </w:rPr>
      </w:pPr>
    </w:p>
    <w:p w14:paraId="7E9445B0">
      <w:pPr>
        <w:pStyle w:val="4"/>
        <w:rPr>
          <w:rFonts w:hint="eastAsia" w:ascii="宋体" w:hAnsi="宋体" w:eastAsia="宋体" w:cs="宋体"/>
          <w:color w:val="auto"/>
          <w:highlight w:val="none"/>
        </w:rPr>
      </w:pPr>
    </w:p>
    <w:p w14:paraId="367E18CC">
      <w:pPr>
        <w:pStyle w:val="7"/>
        <w:spacing w:before="120" w:beforeLines="50"/>
        <w:ind w:firstLine="1218" w:firstLineChars="580"/>
        <w:rPr>
          <w:rFonts w:hint="eastAsia" w:ascii="宋体" w:hAnsi="宋体" w:eastAsia="宋体" w:cs="宋体"/>
          <w:color w:val="auto"/>
          <w:highlight w:val="none"/>
        </w:rPr>
      </w:pPr>
    </w:p>
    <w:p w14:paraId="37215468">
      <w:pPr>
        <w:pStyle w:val="7"/>
        <w:spacing w:before="120" w:beforeLines="50"/>
        <w:ind w:firstLine="1218" w:firstLineChars="580"/>
        <w:rPr>
          <w:rFonts w:hint="eastAsia" w:ascii="宋体" w:hAnsi="宋体" w:eastAsia="宋体" w:cs="宋体"/>
          <w:color w:val="auto"/>
          <w:highlight w:val="none"/>
        </w:rPr>
      </w:pPr>
    </w:p>
    <w:p w14:paraId="14F15F4F">
      <w:pPr>
        <w:pStyle w:val="14"/>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 标 函</w:t>
      </w:r>
    </w:p>
    <w:p w14:paraId="124FD219">
      <w:pPr>
        <w:pStyle w:val="14"/>
        <w:keepNext w:val="0"/>
        <w:keepLines w:val="0"/>
        <w:pageBreakBefore w:val="0"/>
        <w:widowControl w:val="0"/>
        <w:kinsoku/>
        <w:wordWrap/>
        <w:overflowPunct/>
        <w:topLinePunct w:val="0"/>
        <w:autoSpaceDE/>
        <w:autoSpaceDN/>
        <w:bidi w:val="0"/>
        <w:spacing w:line="480" w:lineRule="exact"/>
        <w:ind w:firstLine="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新疆长润泽建设工程管理有限公司</w:t>
      </w:r>
      <w:r>
        <w:rPr>
          <w:rFonts w:hint="eastAsia" w:ascii="宋体" w:hAnsi="宋体" w:eastAsia="宋体" w:cs="宋体"/>
          <w:bCs/>
          <w:color w:val="auto"/>
          <w:sz w:val="22"/>
          <w:szCs w:val="22"/>
          <w:highlight w:val="none"/>
        </w:rPr>
        <w:t>：</w:t>
      </w:r>
    </w:p>
    <w:p w14:paraId="30084FA4">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我方已仔细研究了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项目名称)的招标文件（</w:t>
      </w:r>
      <w:r>
        <w:rPr>
          <w:rFonts w:hint="eastAsia" w:ascii="宋体" w:hAnsi="宋体" w:eastAsia="宋体" w:cs="宋体"/>
          <w:color w:val="auto"/>
          <w:sz w:val="22"/>
          <w:szCs w:val="22"/>
          <w:highlight w:val="none"/>
          <w:u w:val="single"/>
        </w:rPr>
        <w:t>采购项目编号</w:t>
      </w:r>
      <w:r>
        <w:rPr>
          <w:rFonts w:hint="eastAsia" w:ascii="宋体" w:hAnsi="宋体" w:eastAsia="宋体" w:cs="宋体"/>
          <w:color w:val="auto"/>
          <w:sz w:val="22"/>
          <w:szCs w:val="22"/>
          <w:highlight w:val="none"/>
        </w:rPr>
        <w:t>）的全部内容，知悉参加投标的风险，我方承诺接受招标文件的全部条款且无任何异议，</w:t>
      </w:r>
      <w:r>
        <w:rPr>
          <w:rFonts w:hint="eastAsia" w:ascii="宋体" w:hAnsi="宋体" w:eastAsia="宋体" w:cs="宋体"/>
          <w:bCs/>
          <w:color w:val="auto"/>
          <w:sz w:val="22"/>
          <w:szCs w:val="22"/>
          <w:highlight w:val="none"/>
        </w:rPr>
        <w:t>决定参加贵单位组织的本项目招标。</w:t>
      </w:r>
    </w:p>
    <w:p w14:paraId="1352863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、我方的投标总报价为人民币（大写）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元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b w:val="0"/>
          <w:bCs/>
          <w:color w:val="auto"/>
          <w:kern w:val="2"/>
          <w:sz w:val="22"/>
          <w:szCs w:val="22"/>
          <w:highlight w:val="none"/>
          <w:lang w:val="en-US" w:eastAsia="zh-CN" w:bidi="ar-SA"/>
        </w:rPr>
        <w:t>合同履行期限</w:t>
      </w:r>
      <w:r>
        <w:rPr>
          <w:rFonts w:hint="eastAsia" w:ascii="宋体" w:hAnsi="宋体" w:eastAsia="宋体" w:cs="宋体"/>
          <w:color w:val="auto"/>
          <w:sz w:val="22"/>
          <w:szCs w:val="22"/>
          <w:highlight w:val="none"/>
        </w:rPr>
        <w:t>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none"/>
          <w:lang w:val="en-US" w:eastAsia="zh-CN"/>
        </w:rPr>
        <w:t>日</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 xml:space="preserve"> 投标有效期为</w:t>
      </w:r>
      <w:r>
        <w:rPr>
          <w:rFonts w:hint="eastAsia" w:ascii="宋体" w:hAnsi="宋体" w:eastAsia="宋体" w:cs="宋体"/>
          <w:color w:val="auto"/>
          <w:sz w:val="22"/>
          <w:szCs w:val="22"/>
          <w:highlight w:val="none"/>
          <w:lang w:val="zh-CN"/>
        </w:rPr>
        <w:t>投标截止日起90日历</w:t>
      </w:r>
      <w:r>
        <w:rPr>
          <w:rFonts w:hint="eastAsia" w:ascii="宋体" w:hAnsi="宋体" w:eastAsia="宋体" w:cs="宋体"/>
          <w:color w:val="auto"/>
          <w:sz w:val="22"/>
          <w:szCs w:val="22"/>
          <w:highlight w:val="none"/>
        </w:rPr>
        <w:t>日。</w:t>
      </w:r>
    </w:p>
    <w:p w14:paraId="1C166190">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二</w:t>
      </w:r>
      <w:r>
        <w:rPr>
          <w:rFonts w:hint="eastAsia" w:ascii="宋体" w:hAnsi="宋体" w:eastAsia="宋体" w:cs="宋体"/>
          <w:bCs/>
          <w:color w:val="auto"/>
          <w:sz w:val="22"/>
          <w:szCs w:val="22"/>
          <w:highlight w:val="none"/>
        </w:rPr>
        <w:t>、我方承诺除技术偏差表列出的偏差外，我方响应招标文件的全部要求。</w:t>
      </w:r>
    </w:p>
    <w:p w14:paraId="5B57309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三、我方愿意向贵方提供任何与本项采购有关的数据</w:t>
      </w:r>
      <w:r>
        <w:rPr>
          <w:rFonts w:hint="eastAsia" w:ascii="宋体" w:hAnsi="宋体" w:eastAsia="宋体" w:cs="宋体"/>
          <w:color w:val="auto"/>
          <w:sz w:val="22"/>
          <w:szCs w:val="22"/>
          <w:highlight w:val="none"/>
        </w:rPr>
        <w:t>、情况和技术</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资料。若贵方需要，我方愿意提供我方作出的一切承诺的证明材料。</w:t>
      </w:r>
    </w:p>
    <w:p w14:paraId="78D82153">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四、我方承诺在招标文件规定的投标有效期内不撤销投标文件。</w:t>
      </w:r>
    </w:p>
    <w:p w14:paraId="79EBA1B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五、我方承诺无企业财产被查封、冻结或处于破产状态或严重亏损状态等情形存在。</w:t>
      </w:r>
    </w:p>
    <w:p w14:paraId="2B3C45C7">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六、我方承诺在投标过程中，保证不予其他单位围标、串标，不出让投标资格，不采取不正当手段诋毁、排挤其他投标人，不向采购人、采购代理机构、评标委员会成员行贿。</w:t>
      </w:r>
    </w:p>
    <w:p w14:paraId="68EB161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七、我方承诺在投标时未列入政府采购严重违法失信行为记录名单、失信被执行人、重大税收违法失信主体</w:t>
      </w:r>
      <w:r>
        <w:rPr>
          <w:rFonts w:hint="eastAsia" w:ascii="宋体" w:hAnsi="宋体" w:eastAsia="宋体" w:cs="宋体"/>
          <w:color w:val="auto"/>
          <w:kern w:val="2"/>
          <w:sz w:val="22"/>
          <w:szCs w:val="22"/>
          <w:highlight w:val="none"/>
          <w:lang w:val="en-US" w:eastAsia="zh-CN" w:bidi="ar-SA"/>
        </w:rPr>
        <w:t>。</w:t>
      </w:r>
    </w:p>
    <w:p w14:paraId="525E458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、我方承诺遵守《中华人民共和国政府采购法》及其实施条例的有关规定，保证在获得中标资格后：</w:t>
      </w:r>
    </w:p>
    <w:p w14:paraId="37B40203">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1.在收到中标通知书后，在中标通知书规定的期限内与采购人签订合同；</w:t>
      </w:r>
    </w:p>
    <w:p w14:paraId="6DE062C9">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2.在签订合同时不向采购人提出附加条件；</w:t>
      </w:r>
    </w:p>
    <w:p w14:paraId="2D302A3C">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3.在合同规定期限内完成合同规定的全部义务；</w:t>
      </w:r>
      <w:r>
        <w:rPr>
          <w:rFonts w:hint="eastAsia" w:ascii="宋体" w:hAnsi="宋体" w:eastAsia="宋体" w:cs="宋体"/>
          <w:bCs/>
          <w:color w:val="auto"/>
          <w:sz w:val="22"/>
          <w:szCs w:val="22"/>
          <w:highlight w:val="none"/>
        </w:rPr>
        <w:t xml:space="preserve"> </w:t>
      </w:r>
    </w:p>
    <w:p w14:paraId="7CBFE33A">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bCs/>
          <w:color w:val="auto"/>
          <w:sz w:val="22"/>
          <w:szCs w:val="22"/>
          <w:highlight w:val="none"/>
        </w:rPr>
        <w:t>按照招标文件规定和标准向贵方交纳招标代理服务费；</w:t>
      </w:r>
    </w:p>
    <w:p w14:paraId="4DAB551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5.按照招标文件规定提交履约保证金。</w:t>
      </w:r>
    </w:p>
    <w:p w14:paraId="7479BEC0">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、我方完全理解并同意招标文件中有关不退还投标保证金条款所规定的情形。</w:t>
      </w:r>
    </w:p>
    <w:p w14:paraId="03B82E3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十</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我方完全理解最低报价不是中标的唯一条件，并尊重评标委员会的评审结论和中标结果。</w:t>
      </w:r>
    </w:p>
    <w:p w14:paraId="5939700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十一</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我方在此声明，所递交的投标文件及有关资料内容完整、真实和准确，且不存在第二章“投标人须知”第1.3.2条款规定的任何一种情形。否则，愿承担《中华人民共和国政府采购法》</w:t>
      </w:r>
      <w:r>
        <w:rPr>
          <w:rFonts w:hint="eastAsia" w:ascii="宋体" w:hAnsi="宋体" w:eastAsia="宋体" w:cs="宋体"/>
          <w:bCs/>
          <w:color w:val="auto"/>
          <w:sz w:val="22"/>
          <w:szCs w:val="22"/>
          <w:highlight w:val="none"/>
        </w:rPr>
        <w:t>第七十七条规定的法律责任。</w:t>
      </w:r>
    </w:p>
    <w:p w14:paraId="34CD1A5E">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十二</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（其他补充说明）。</w:t>
      </w:r>
    </w:p>
    <w:p w14:paraId="55B7230A">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、有关本项目的所有函电，请按下列地址联系：</w:t>
      </w:r>
    </w:p>
    <w:p w14:paraId="1A6AB304">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55162CB0">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法定代表人或委托代理人：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（签字）</w:t>
      </w:r>
    </w:p>
    <w:p w14:paraId="66933CFA">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通讯地址：</w:t>
      </w:r>
    </w:p>
    <w:p w14:paraId="0FB46E42">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w:t>
      </w:r>
    </w:p>
    <w:p w14:paraId="60886ED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p>
    <w:p w14:paraId="324164CD">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w:t>
      </w:r>
    </w:p>
    <w:p w14:paraId="043C9E96">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电子邮件：</w:t>
      </w:r>
    </w:p>
    <w:p w14:paraId="074EE45B">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w:t>
      </w:r>
    </w:p>
    <w:p w14:paraId="6DC352BE">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帐    号：</w:t>
      </w:r>
    </w:p>
    <w:p w14:paraId="1A3D9B82">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期：20   年   月   日</w:t>
      </w:r>
    </w:p>
    <w:p w14:paraId="0216A9DD">
      <w:pPr>
        <w:spacing w:line="300" w:lineRule="atLeast"/>
        <w:outlineLvl w:val="9"/>
        <w:rPr>
          <w:rFonts w:hint="eastAsia" w:asciiTheme="minorEastAsia" w:hAnsiTheme="minorEastAsia" w:eastAsiaTheme="minorEastAsia" w:cstheme="minorEastAsia"/>
          <w:b/>
          <w:color w:val="auto"/>
          <w:sz w:val="28"/>
          <w:szCs w:val="28"/>
          <w:highlight w:val="none"/>
        </w:rPr>
      </w:pPr>
    </w:p>
    <w:p w14:paraId="5839E5A2">
      <w:pPr>
        <w:spacing w:line="300" w:lineRule="atLeast"/>
        <w:outlineLvl w:val="9"/>
        <w:rPr>
          <w:rFonts w:hint="eastAsia" w:ascii="宋体" w:hAnsi="宋体" w:eastAsia="宋体" w:cs="宋体"/>
          <w:b/>
          <w:color w:val="auto"/>
          <w:sz w:val="28"/>
          <w:szCs w:val="28"/>
          <w:highlight w:val="none"/>
        </w:rPr>
      </w:pPr>
    </w:p>
    <w:p w14:paraId="1EA15868">
      <w:pPr>
        <w:spacing w:line="300" w:lineRule="atLeast"/>
        <w:outlineLvl w:val="9"/>
        <w:rPr>
          <w:rFonts w:hint="eastAsia" w:ascii="宋体" w:hAnsi="宋体" w:eastAsia="宋体" w:cs="宋体"/>
          <w:b/>
          <w:color w:val="auto"/>
          <w:sz w:val="28"/>
          <w:szCs w:val="28"/>
          <w:highlight w:val="none"/>
        </w:rPr>
      </w:pPr>
    </w:p>
    <w:p w14:paraId="1E5CEA83">
      <w:pPr>
        <w:spacing w:line="300" w:lineRule="atLeast"/>
        <w:outlineLvl w:val="9"/>
        <w:rPr>
          <w:rFonts w:hint="eastAsia" w:ascii="宋体" w:hAnsi="宋体" w:eastAsia="宋体" w:cs="宋体"/>
          <w:b/>
          <w:color w:val="auto"/>
          <w:sz w:val="28"/>
          <w:szCs w:val="28"/>
          <w:highlight w:val="none"/>
        </w:rPr>
      </w:pPr>
    </w:p>
    <w:p w14:paraId="48E40EE6">
      <w:pPr>
        <w:spacing w:line="300" w:lineRule="atLeast"/>
        <w:outlineLvl w:val="9"/>
        <w:rPr>
          <w:rFonts w:hint="eastAsia" w:ascii="宋体" w:hAnsi="宋体" w:eastAsia="宋体" w:cs="宋体"/>
          <w:b/>
          <w:color w:val="auto"/>
          <w:sz w:val="28"/>
          <w:szCs w:val="28"/>
          <w:highlight w:val="none"/>
        </w:rPr>
      </w:pPr>
    </w:p>
    <w:p w14:paraId="2F93FD33">
      <w:pPr>
        <w:spacing w:line="300" w:lineRule="atLeast"/>
        <w:outlineLvl w:val="9"/>
        <w:rPr>
          <w:rFonts w:hint="eastAsia" w:ascii="宋体" w:hAnsi="宋体" w:eastAsia="宋体" w:cs="宋体"/>
          <w:b/>
          <w:color w:val="auto"/>
          <w:sz w:val="28"/>
          <w:szCs w:val="28"/>
          <w:highlight w:val="none"/>
        </w:rPr>
      </w:pPr>
    </w:p>
    <w:p w14:paraId="630B4435">
      <w:pPr>
        <w:spacing w:line="300" w:lineRule="atLeast"/>
        <w:outlineLvl w:val="9"/>
        <w:rPr>
          <w:rFonts w:hint="eastAsia" w:ascii="宋体" w:hAnsi="宋体" w:eastAsia="宋体" w:cs="宋体"/>
          <w:b/>
          <w:color w:val="auto"/>
          <w:sz w:val="28"/>
          <w:szCs w:val="28"/>
          <w:highlight w:val="none"/>
        </w:rPr>
      </w:pPr>
    </w:p>
    <w:p w14:paraId="481D5ECF">
      <w:pPr>
        <w:spacing w:line="300" w:lineRule="atLeast"/>
        <w:outlineLvl w:val="9"/>
        <w:rPr>
          <w:rFonts w:hint="eastAsia" w:ascii="宋体" w:hAnsi="宋体" w:eastAsia="宋体" w:cs="宋体"/>
          <w:b/>
          <w:color w:val="auto"/>
          <w:sz w:val="28"/>
          <w:szCs w:val="28"/>
          <w:highlight w:val="none"/>
        </w:rPr>
      </w:pPr>
    </w:p>
    <w:p w14:paraId="69C219BC">
      <w:pPr>
        <w:spacing w:line="300" w:lineRule="atLeast"/>
        <w:outlineLvl w:val="9"/>
        <w:rPr>
          <w:rFonts w:hint="eastAsia" w:ascii="宋体" w:hAnsi="宋体" w:eastAsia="宋体" w:cs="宋体"/>
          <w:b/>
          <w:color w:val="auto"/>
          <w:sz w:val="28"/>
          <w:szCs w:val="28"/>
          <w:highlight w:val="none"/>
        </w:rPr>
      </w:pPr>
    </w:p>
    <w:p w14:paraId="2D0E787F">
      <w:pPr>
        <w:spacing w:line="300" w:lineRule="atLeast"/>
        <w:outlineLvl w:val="9"/>
        <w:rPr>
          <w:rFonts w:hint="eastAsia" w:ascii="宋体" w:hAnsi="宋体" w:eastAsia="宋体" w:cs="宋体"/>
          <w:b/>
          <w:color w:val="auto"/>
          <w:sz w:val="28"/>
          <w:szCs w:val="28"/>
          <w:highlight w:val="none"/>
        </w:rPr>
      </w:pPr>
    </w:p>
    <w:p w14:paraId="552B9C6F">
      <w:pPr>
        <w:spacing w:line="300" w:lineRule="atLeast"/>
        <w:outlineLvl w:val="9"/>
        <w:rPr>
          <w:rFonts w:hint="eastAsia" w:ascii="宋体" w:hAnsi="宋体" w:eastAsia="宋体" w:cs="宋体"/>
          <w:b/>
          <w:color w:val="auto"/>
          <w:sz w:val="28"/>
          <w:szCs w:val="28"/>
          <w:highlight w:val="none"/>
        </w:rPr>
      </w:pPr>
    </w:p>
    <w:p w14:paraId="0A7CC512">
      <w:pPr>
        <w:spacing w:line="300" w:lineRule="atLeast"/>
        <w:outlineLvl w:val="9"/>
        <w:rPr>
          <w:rFonts w:hint="eastAsia" w:ascii="宋体" w:hAnsi="宋体" w:eastAsia="宋体" w:cs="宋体"/>
          <w:b/>
          <w:color w:val="auto"/>
          <w:sz w:val="28"/>
          <w:szCs w:val="28"/>
          <w:highlight w:val="none"/>
        </w:rPr>
      </w:pPr>
    </w:p>
    <w:p w14:paraId="779FB2EF">
      <w:pPr>
        <w:spacing w:line="300" w:lineRule="atLeast"/>
        <w:outlineLvl w:val="9"/>
        <w:rPr>
          <w:rFonts w:hint="eastAsia" w:ascii="宋体" w:hAnsi="宋体" w:eastAsia="宋体" w:cs="宋体"/>
          <w:b/>
          <w:color w:val="auto"/>
          <w:sz w:val="28"/>
          <w:szCs w:val="28"/>
          <w:highlight w:val="none"/>
        </w:rPr>
      </w:pPr>
    </w:p>
    <w:p w14:paraId="2C3FF2D9">
      <w:pPr>
        <w:spacing w:line="300" w:lineRule="atLeast"/>
        <w:outlineLvl w:val="9"/>
        <w:rPr>
          <w:rFonts w:hint="eastAsia" w:ascii="宋体" w:hAnsi="宋体" w:eastAsia="宋体" w:cs="宋体"/>
          <w:b/>
          <w:color w:val="auto"/>
          <w:sz w:val="28"/>
          <w:szCs w:val="28"/>
          <w:highlight w:val="none"/>
        </w:rPr>
      </w:pPr>
    </w:p>
    <w:p w14:paraId="6D5160D5">
      <w:pPr>
        <w:spacing w:line="300" w:lineRule="atLeast"/>
        <w:outlineLvl w:val="9"/>
        <w:rPr>
          <w:rFonts w:hint="eastAsia" w:ascii="宋体" w:hAnsi="宋体" w:eastAsia="宋体" w:cs="宋体"/>
          <w:b/>
          <w:color w:val="auto"/>
          <w:sz w:val="28"/>
          <w:szCs w:val="28"/>
          <w:highlight w:val="none"/>
        </w:rPr>
      </w:pPr>
    </w:p>
    <w:p w14:paraId="20D11F4C">
      <w:pPr>
        <w:spacing w:line="300" w:lineRule="atLeast"/>
        <w:outlineLvl w:val="9"/>
        <w:rPr>
          <w:rFonts w:hint="eastAsia" w:ascii="宋体" w:hAnsi="宋体" w:eastAsia="宋体" w:cs="宋体"/>
          <w:b/>
          <w:color w:val="auto"/>
          <w:sz w:val="28"/>
          <w:szCs w:val="28"/>
          <w:highlight w:val="none"/>
        </w:rPr>
      </w:pPr>
    </w:p>
    <w:p w14:paraId="0FC5DD28">
      <w:pPr>
        <w:spacing w:line="300" w:lineRule="atLeast"/>
        <w:outlineLvl w:val="9"/>
        <w:rPr>
          <w:rFonts w:hint="eastAsia" w:ascii="宋体" w:hAnsi="宋体" w:eastAsia="宋体" w:cs="宋体"/>
          <w:b/>
          <w:color w:val="auto"/>
          <w:sz w:val="28"/>
          <w:szCs w:val="28"/>
          <w:highlight w:val="none"/>
        </w:rPr>
      </w:pPr>
    </w:p>
    <w:p w14:paraId="63906BD8">
      <w:pPr>
        <w:spacing w:line="300" w:lineRule="atLeast"/>
        <w:outlineLvl w:val="9"/>
        <w:rPr>
          <w:rFonts w:hint="eastAsia" w:ascii="宋体" w:hAnsi="宋体" w:eastAsia="宋体" w:cs="宋体"/>
          <w:b/>
          <w:color w:val="auto"/>
          <w:sz w:val="28"/>
          <w:szCs w:val="28"/>
          <w:highlight w:val="none"/>
        </w:rPr>
      </w:pPr>
    </w:p>
    <w:p w14:paraId="440E7D75">
      <w:pPr>
        <w:spacing w:line="300" w:lineRule="atLeast"/>
        <w:outlineLvl w:val="9"/>
        <w:rPr>
          <w:rFonts w:hint="eastAsia" w:ascii="宋体" w:hAnsi="宋体" w:eastAsia="宋体" w:cs="宋体"/>
          <w:b/>
          <w:color w:val="auto"/>
          <w:sz w:val="28"/>
          <w:szCs w:val="28"/>
          <w:highlight w:val="none"/>
        </w:rPr>
      </w:pPr>
    </w:p>
    <w:p w14:paraId="4703B5DF">
      <w:pPr>
        <w:spacing w:line="300" w:lineRule="atLeast"/>
        <w:outlineLvl w:val="9"/>
        <w:rPr>
          <w:rFonts w:hint="eastAsia" w:ascii="宋体" w:hAnsi="宋体" w:eastAsia="宋体" w:cs="宋体"/>
          <w:b/>
          <w:color w:val="auto"/>
          <w:sz w:val="28"/>
          <w:szCs w:val="28"/>
          <w:highlight w:val="none"/>
        </w:rPr>
      </w:pPr>
    </w:p>
    <w:p w14:paraId="798C0971">
      <w:pPr>
        <w:spacing w:line="300" w:lineRule="atLeast"/>
        <w:outlineLvl w:val="9"/>
        <w:rPr>
          <w:rFonts w:hint="eastAsia" w:ascii="宋体" w:hAnsi="宋体" w:eastAsia="宋体" w:cs="宋体"/>
          <w:b/>
          <w:color w:val="auto"/>
          <w:sz w:val="28"/>
          <w:szCs w:val="28"/>
          <w:highlight w:val="none"/>
        </w:rPr>
      </w:pPr>
    </w:p>
    <w:p w14:paraId="5C1EE8DB">
      <w:pPr>
        <w:spacing w:line="400" w:lineRule="exact"/>
        <w:outlineLvl w:val="9"/>
        <w:rPr>
          <w:rFonts w:hint="eastAsia" w:ascii="宋体" w:hAnsi="宋体" w:eastAsia="宋体" w:cs="宋体"/>
          <w:b/>
          <w:color w:val="auto"/>
          <w:sz w:val="28"/>
          <w:szCs w:val="28"/>
          <w:highlight w:val="none"/>
        </w:rPr>
      </w:pPr>
    </w:p>
    <w:p w14:paraId="2EF87A13">
      <w:pPr>
        <w:pStyle w:val="14"/>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宋体" w:hAnsi="宋体" w:eastAsia="宋体" w:cs="宋体"/>
          <w:b/>
          <w:color w:val="auto"/>
          <w:sz w:val="32"/>
          <w:szCs w:val="32"/>
          <w:highlight w:val="none"/>
          <w:lang w:val="en-US" w:eastAsia="zh-CN"/>
        </w:rPr>
      </w:pPr>
      <w:bookmarkStart w:id="264" w:name="_Toc32010"/>
      <w:r>
        <w:rPr>
          <w:rFonts w:hint="eastAsia" w:ascii="宋体" w:hAnsi="宋体" w:eastAsia="宋体" w:cs="宋体"/>
          <w:b/>
          <w:color w:val="auto"/>
          <w:sz w:val="32"/>
          <w:szCs w:val="32"/>
          <w:highlight w:val="none"/>
          <w:lang w:val="en-US" w:eastAsia="zh-CN"/>
        </w:rPr>
        <w:t>二、开标一览表</w:t>
      </w:r>
      <w:bookmarkEnd w:id="264"/>
    </w:p>
    <w:p w14:paraId="01C25C15">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color w:val="auto"/>
          <w:sz w:val="22"/>
          <w:szCs w:val="22"/>
          <w:highlight w:val="none"/>
        </w:rPr>
      </w:pPr>
      <w:bookmarkStart w:id="265" w:name="_Toc16704"/>
      <w:r>
        <w:rPr>
          <w:rFonts w:hint="eastAsia" w:ascii="宋体" w:hAnsi="宋体" w:eastAsia="宋体" w:cs="宋体"/>
          <w:color w:val="auto"/>
          <w:sz w:val="22"/>
          <w:szCs w:val="22"/>
          <w:highlight w:val="none"/>
        </w:rPr>
        <w:t>采购项目编号：</w:t>
      </w:r>
      <w:bookmarkEnd w:id="265"/>
      <w:r>
        <w:rPr>
          <w:rFonts w:hint="eastAsia" w:ascii="宋体" w:hAnsi="宋体" w:eastAsia="宋体" w:cs="宋体"/>
          <w:color w:val="auto"/>
          <w:sz w:val="22"/>
          <w:szCs w:val="22"/>
          <w:highlight w:val="none"/>
        </w:rPr>
        <w:t xml:space="preserve">                                                    </w:t>
      </w:r>
    </w:p>
    <w:tbl>
      <w:tblPr>
        <w:tblStyle w:val="23"/>
        <w:tblW w:w="8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748"/>
        <w:gridCol w:w="2234"/>
        <w:gridCol w:w="1763"/>
      </w:tblGrid>
      <w:tr w14:paraId="4E8F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0" w:type="dxa"/>
            <w:gridSpan w:val="4"/>
            <w:noWrap/>
            <w:vAlign w:val="center"/>
          </w:tcPr>
          <w:p w14:paraId="0AD37CDB">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投标人名称：</w:t>
            </w:r>
          </w:p>
        </w:tc>
      </w:tr>
      <w:tr w14:paraId="4D78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35" w:type="dxa"/>
            <w:noWrap/>
            <w:vAlign w:val="center"/>
          </w:tcPr>
          <w:p w14:paraId="7981140C">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项目名称</w:t>
            </w:r>
          </w:p>
        </w:tc>
        <w:tc>
          <w:tcPr>
            <w:tcW w:w="2748" w:type="dxa"/>
            <w:noWrap w:val="0"/>
            <w:vAlign w:val="center"/>
          </w:tcPr>
          <w:p w14:paraId="1BE864A9">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投标</w:t>
            </w:r>
            <w:r>
              <w:rPr>
                <w:rFonts w:hint="eastAsia" w:ascii="宋体" w:hAnsi="宋体" w:eastAsia="宋体" w:cs="宋体"/>
                <w:b w:val="0"/>
                <w:bCs w:val="0"/>
                <w:color w:val="auto"/>
                <w:kern w:val="0"/>
                <w:sz w:val="22"/>
                <w:szCs w:val="22"/>
                <w:highlight w:val="none"/>
              </w:rPr>
              <w:t>总报价（元）</w:t>
            </w:r>
          </w:p>
        </w:tc>
        <w:tc>
          <w:tcPr>
            <w:tcW w:w="2234" w:type="dxa"/>
            <w:noWrap w:val="0"/>
            <w:vAlign w:val="center"/>
          </w:tcPr>
          <w:p w14:paraId="7FEDACA1">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合同履行期限</w:t>
            </w:r>
          </w:p>
        </w:tc>
        <w:tc>
          <w:tcPr>
            <w:tcW w:w="1763" w:type="dxa"/>
            <w:noWrap w:val="0"/>
            <w:vAlign w:val="center"/>
          </w:tcPr>
          <w:p w14:paraId="16D5E5FF">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质保期</w:t>
            </w:r>
          </w:p>
        </w:tc>
      </w:tr>
      <w:tr w14:paraId="367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35" w:type="dxa"/>
            <w:noWrap/>
            <w:vAlign w:val="center"/>
          </w:tcPr>
          <w:p w14:paraId="37CAA05B">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p>
        </w:tc>
        <w:tc>
          <w:tcPr>
            <w:tcW w:w="2748" w:type="dxa"/>
            <w:noWrap/>
            <w:vAlign w:val="center"/>
          </w:tcPr>
          <w:p w14:paraId="6DA6AA8C">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c>
          <w:tcPr>
            <w:tcW w:w="2234" w:type="dxa"/>
            <w:noWrap/>
            <w:vAlign w:val="center"/>
          </w:tcPr>
          <w:p w14:paraId="1E91C1B6">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c>
          <w:tcPr>
            <w:tcW w:w="1763" w:type="dxa"/>
            <w:noWrap/>
            <w:vAlign w:val="center"/>
          </w:tcPr>
          <w:p w14:paraId="17B19917">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r>
      <w:tr w14:paraId="7928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0" w:type="dxa"/>
            <w:gridSpan w:val="4"/>
            <w:noWrap/>
            <w:vAlign w:val="center"/>
          </w:tcPr>
          <w:p w14:paraId="780D024E">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总报价（大写）：                                           </w:t>
            </w:r>
          </w:p>
        </w:tc>
      </w:tr>
    </w:tbl>
    <w:p w14:paraId="5F3A23D0">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1.报价应按总报价填写，精确到小数点后两位，大小写不一致时，以大写为准；</w:t>
      </w:r>
      <w:bookmarkStart w:id="266" w:name="_Toc30777"/>
      <w:r>
        <w:rPr>
          <w:rFonts w:hint="eastAsia" w:ascii="宋体" w:hAnsi="宋体" w:eastAsia="宋体" w:cs="宋体"/>
          <w:color w:val="auto"/>
          <w:sz w:val="22"/>
          <w:szCs w:val="22"/>
          <w:highlight w:val="none"/>
        </w:rPr>
        <w:t>2.“开</w:t>
      </w:r>
    </w:p>
    <w:p w14:paraId="53C71085">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标一览表”以包为单位填写；</w:t>
      </w:r>
      <w:bookmarkEnd w:id="266"/>
      <w:r>
        <w:rPr>
          <w:rFonts w:hint="eastAsia" w:ascii="宋体" w:hAnsi="宋体" w:eastAsia="宋体" w:cs="宋体"/>
          <w:color w:val="auto"/>
          <w:sz w:val="22"/>
          <w:szCs w:val="22"/>
          <w:highlight w:val="none"/>
        </w:rPr>
        <w:t>3.有分包的，项目名称填写分包的项目名称，无分包的填写采购</w:t>
      </w:r>
    </w:p>
    <w:p w14:paraId="7008D88A">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项目名称；4.本表所列各项数据与投标文件其他地方表述不一致时，以本表为准；</w:t>
      </w:r>
    </w:p>
    <w:p w14:paraId="08248560">
      <w:pPr>
        <w:keepNext w:val="0"/>
        <w:keepLines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17478606">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color w:val="auto"/>
          <w:sz w:val="22"/>
          <w:szCs w:val="22"/>
          <w:highlight w:val="none"/>
        </w:rPr>
      </w:pPr>
      <w:bookmarkStart w:id="267" w:name="_Toc23148"/>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67"/>
    </w:p>
    <w:p w14:paraId="446F2D0C">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b/>
          <w:color w:val="auto"/>
          <w:sz w:val="22"/>
          <w:szCs w:val="22"/>
          <w:highlight w:val="none"/>
        </w:rPr>
      </w:pPr>
      <w:bookmarkStart w:id="268" w:name="_Toc10413"/>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bookmarkEnd w:id="268"/>
    </w:p>
    <w:p w14:paraId="36C7B4E3">
      <w:pPr>
        <w:keepNext w:val="0"/>
        <w:keepLines w:val="0"/>
        <w:kinsoku/>
        <w:wordWrap/>
        <w:overflowPunct/>
        <w:topLinePunct w:val="0"/>
        <w:autoSpaceDE/>
        <w:autoSpaceDN/>
        <w:bidi w:val="0"/>
        <w:snapToGrid w:val="0"/>
        <w:spacing w:line="480" w:lineRule="exact"/>
        <w:ind w:left="0" w:leftChars="0"/>
        <w:textAlignment w:val="auto"/>
        <w:outlineLvl w:val="9"/>
        <w:rPr>
          <w:rFonts w:hint="eastAsia" w:ascii="宋体" w:hAnsi="宋体" w:eastAsia="宋体" w:cs="宋体"/>
          <w:b/>
          <w:color w:val="auto"/>
          <w:sz w:val="22"/>
          <w:szCs w:val="22"/>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455108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6"/>
          <w:szCs w:val="36"/>
          <w:highlight w:val="none"/>
        </w:rPr>
      </w:pPr>
      <w:bookmarkStart w:id="269" w:name="_Toc217446086"/>
      <w:r>
        <w:rPr>
          <w:rFonts w:hint="eastAsia" w:ascii="宋体" w:hAnsi="宋体" w:eastAsia="宋体" w:cs="宋体"/>
          <w:b/>
          <w:color w:val="auto"/>
          <w:kern w:val="2"/>
          <w:sz w:val="32"/>
          <w:szCs w:val="32"/>
          <w:highlight w:val="none"/>
          <w:lang w:val="en-US" w:eastAsia="zh-CN" w:bidi="ar-SA"/>
        </w:rPr>
        <w:t>三、货物（产品）分项报价表</w:t>
      </w:r>
    </w:p>
    <w:p w14:paraId="39A58913">
      <w:pPr>
        <w:keepNext w:val="0"/>
        <w:keepLines w:val="0"/>
        <w:pageBreakBefore w:val="0"/>
        <w:widowControl w:val="0"/>
        <w:kinsoku/>
        <w:wordWrap/>
        <w:overflowPunct/>
        <w:topLinePunct w:val="0"/>
        <w:autoSpaceDE/>
        <w:autoSpaceDN/>
        <w:bidi w:val="0"/>
        <w:adjustRightInd/>
        <w:snapToGrid/>
        <w:spacing w:line="480" w:lineRule="exact"/>
        <w:ind w:left="0" w:lef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采购项目编码：</w:t>
      </w:r>
    </w:p>
    <w:tbl>
      <w:tblPr>
        <w:tblStyle w:val="23"/>
        <w:tblW w:w="139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43"/>
        <w:gridCol w:w="1924"/>
        <w:gridCol w:w="1240"/>
        <w:gridCol w:w="2422"/>
        <w:gridCol w:w="1346"/>
        <w:gridCol w:w="959"/>
        <w:gridCol w:w="1021"/>
        <w:gridCol w:w="1272"/>
        <w:gridCol w:w="1264"/>
      </w:tblGrid>
      <w:tr w14:paraId="5C08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1" w:type="dxa"/>
            <w:noWrap w:val="0"/>
            <w:vAlign w:val="center"/>
          </w:tcPr>
          <w:p w14:paraId="42C2DD3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843" w:type="dxa"/>
            <w:noWrap w:val="0"/>
            <w:vAlign w:val="center"/>
          </w:tcPr>
          <w:p w14:paraId="0B16978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1924" w:type="dxa"/>
            <w:noWrap w:val="0"/>
            <w:vAlign w:val="center"/>
          </w:tcPr>
          <w:p w14:paraId="2B8625C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w:t>
            </w:r>
          </w:p>
        </w:tc>
        <w:tc>
          <w:tcPr>
            <w:tcW w:w="1240" w:type="dxa"/>
            <w:noWrap w:val="0"/>
            <w:vAlign w:val="center"/>
          </w:tcPr>
          <w:p w14:paraId="17A94D9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型号规格</w:t>
            </w:r>
          </w:p>
        </w:tc>
        <w:tc>
          <w:tcPr>
            <w:tcW w:w="2422" w:type="dxa"/>
            <w:noWrap w:val="0"/>
            <w:vAlign w:val="center"/>
          </w:tcPr>
          <w:p w14:paraId="452B650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制造商</w:t>
            </w:r>
          </w:p>
        </w:tc>
        <w:tc>
          <w:tcPr>
            <w:tcW w:w="1346" w:type="dxa"/>
            <w:noWrap w:val="0"/>
            <w:vAlign w:val="center"/>
          </w:tcPr>
          <w:p w14:paraId="65ED4EED">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数量/单位</w:t>
            </w:r>
          </w:p>
        </w:tc>
        <w:tc>
          <w:tcPr>
            <w:tcW w:w="959" w:type="dxa"/>
            <w:noWrap w:val="0"/>
            <w:vAlign w:val="center"/>
          </w:tcPr>
          <w:p w14:paraId="3AAE1A5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单价（元）</w:t>
            </w:r>
          </w:p>
        </w:tc>
        <w:tc>
          <w:tcPr>
            <w:tcW w:w="1021" w:type="dxa"/>
            <w:noWrap w:val="0"/>
            <w:vAlign w:val="center"/>
          </w:tcPr>
          <w:p w14:paraId="5649A0D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报价（元）</w:t>
            </w:r>
          </w:p>
        </w:tc>
        <w:tc>
          <w:tcPr>
            <w:tcW w:w="1272" w:type="dxa"/>
            <w:noWrap w:val="0"/>
            <w:vAlign w:val="center"/>
          </w:tcPr>
          <w:p w14:paraId="12067E0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中小</w:t>
            </w:r>
            <w:r>
              <w:rPr>
                <w:rFonts w:hint="eastAsia" w:ascii="宋体" w:hAnsi="宋体" w:eastAsia="宋体" w:cs="宋体"/>
                <w:b/>
                <w:color w:val="auto"/>
                <w:sz w:val="22"/>
                <w:szCs w:val="22"/>
                <w:highlight w:val="none"/>
              </w:rPr>
              <w:t>企业</w:t>
            </w:r>
          </w:p>
        </w:tc>
        <w:tc>
          <w:tcPr>
            <w:tcW w:w="1264" w:type="dxa"/>
            <w:noWrap w:val="0"/>
            <w:vAlign w:val="center"/>
          </w:tcPr>
          <w:p w14:paraId="538A958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16FB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4625AC2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1E7B1ED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7655921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2FC608F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7FA1BDF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4C5B4ECF">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345F203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28B1D5D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743F4453">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76782975">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4DD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7EB4872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3115875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599C89E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653002A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4E6E0E24">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3379DE7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013A7F55">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12A5A26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2ABD2A9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13BF59C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793A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1" w:type="dxa"/>
            <w:noWrap w:val="0"/>
            <w:vAlign w:val="center"/>
          </w:tcPr>
          <w:p w14:paraId="544C44B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5C60DA6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48CB161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0ECB8F6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37E5B6E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512CC68F">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213A1B7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65E4807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5F9A050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48B382F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4B0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6320CA4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3CA77F0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326C7CA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1B7BDB4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43AF6E6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07C9906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26F4B58D">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6F8B43F3">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1B3865D4">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320863FE">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32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257DC0C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0739BCB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合计报价（大写）</w:t>
            </w:r>
          </w:p>
        </w:tc>
        <w:tc>
          <w:tcPr>
            <w:tcW w:w="7891" w:type="dxa"/>
            <w:gridSpan w:val="5"/>
            <w:noWrap w:val="0"/>
            <w:vAlign w:val="top"/>
          </w:tcPr>
          <w:p w14:paraId="36831F7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557" w:type="dxa"/>
            <w:gridSpan w:val="3"/>
            <w:noWrap w:val="0"/>
            <w:vAlign w:val="center"/>
          </w:tcPr>
          <w:p w14:paraId="7C3F3F1C">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14:paraId="291A6C10">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说明：1.品牌和制造商指产品的品牌和生产厂商；</w:t>
      </w:r>
      <w:r>
        <w:rPr>
          <w:rFonts w:hint="eastAsia" w:ascii="宋体" w:hAnsi="宋体" w:eastAsia="宋体" w:cs="宋体"/>
          <w:color w:val="auto"/>
          <w:sz w:val="22"/>
          <w:szCs w:val="22"/>
          <w:highlight w:val="none"/>
          <w:lang w:eastAsia="zh-CN"/>
        </w:rPr>
        <w:t>中小</w:t>
      </w:r>
      <w:r>
        <w:rPr>
          <w:rFonts w:hint="eastAsia" w:ascii="宋体" w:hAnsi="宋体" w:eastAsia="宋体" w:cs="宋体"/>
          <w:color w:val="auto"/>
          <w:sz w:val="22"/>
          <w:szCs w:val="22"/>
          <w:highlight w:val="none"/>
        </w:rPr>
        <w:t>企业是指制造商为</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中型、</w:t>
      </w:r>
      <w:r>
        <w:rPr>
          <w:rFonts w:hint="eastAsia" w:ascii="宋体" w:hAnsi="宋体" w:eastAsia="宋体" w:cs="宋体"/>
          <w:color w:val="auto"/>
          <w:kern w:val="0"/>
          <w:sz w:val="22"/>
          <w:szCs w:val="22"/>
          <w:highlight w:val="none"/>
        </w:rPr>
        <w:t>小型、微型</w:t>
      </w:r>
      <w:r>
        <w:rPr>
          <w:rFonts w:hint="eastAsia" w:ascii="宋体" w:hAnsi="宋体" w:eastAsia="宋体" w:cs="宋体"/>
          <w:color w:val="auto"/>
          <w:sz w:val="22"/>
          <w:szCs w:val="22"/>
          <w:highlight w:val="none"/>
        </w:rPr>
        <w:t>企业</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.投标人必须按“货物（产品）</w:t>
      </w:r>
      <w:r>
        <w:rPr>
          <w:rFonts w:hint="eastAsia" w:ascii="宋体" w:hAnsi="宋体" w:eastAsia="宋体" w:cs="宋体"/>
          <w:bCs/>
          <w:color w:val="auto"/>
          <w:sz w:val="22"/>
          <w:szCs w:val="22"/>
          <w:highlight w:val="none"/>
        </w:rPr>
        <w:t>分项报价表”的格式</w:t>
      </w:r>
      <w:r>
        <w:rPr>
          <w:rFonts w:hint="eastAsia" w:ascii="宋体" w:hAnsi="宋体" w:eastAsia="宋体" w:cs="宋体"/>
          <w:color w:val="auto"/>
          <w:sz w:val="22"/>
          <w:szCs w:val="22"/>
          <w:highlight w:val="none"/>
        </w:rPr>
        <w:t>详细报出投标总价的各个组成部分的报价，否则作无效投标处理；报价精确到小数点后两位；</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w:t>
      </w:r>
      <w:r>
        <w:rPr>
          <w:rFonts w:hint="eastAsia" w:ascii="宋体" w:hAnsi="宋体" w:eastAsia="宋体" w:cs="宋体"/>
          <w:bCs/>
          <w:color w:val="auto"/>
          <w:sz w:val="22"/>
          <w:szCs w:val="22"/>
          <w:highlight w:val="none"/>
        </w:rPr>
        <w:t>表各分项报价合计应当与“开标一览表”总报价相等；</w:t>
      </w:r>
      <w:r>
        <w:rPr>
          <w:rFonts w:hint="eastAsia" w:ascii="宋体" w:hAnsi="宋体" w:eastAsia="宋体" w:cs="宋体"/>
          <w:color w:val="auto"/>
          <w:sz w:val="22"/>
          <w:szCs w:val="22"/>
          <w:highlight w:val="none"/>
        </w:rPr>
        <w:t>如果按单价计算的结果与报价不一致时，以单价为准修正报价与合计报价；</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.本表为多页的，每页均需由法定代表人或委托代理人签字并盖投标人单位章</w:t>
      </w:r>
      <w:r>
        <w:rPr>
          <w:rFonts w:hint="eastAsia" w:ascii="宋体" w:hAnsi="宋体" w:cs="宋体"/>
          <w:color w:val="auto"/>
          <w:sz w:val="22"/>
          <w:szCs w:val="22"/>
          <w:highlight w:val="none"/>
          <w:lang w:eastAsia="zh-CN"/>
        </w:rPr>
        <w:t>。</w:t>
      </w:r>
    </w:p>
    <w:p w14:paraId="2FD4584E">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（盖单位章） </w:t>
      </w:r>
    </w:p>
    <w:p w14:paraId="1A4627C8">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（签字） </w:t>
      </w:r>
    </w:p>
    <w:p w14:paraId="70C1593A">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A29B23">
      <w:pPr>
        <w:adjustRightInd w:val="0"/>
        <w:spacing w:before="360" w:beforeLines="150" w:line="360" w:lineRule="auto"/>
        <w:ind w:firstLine="420" w:firstLineChars="200"/>
        <w:jc w:val="left"/>
        <w:rPr>
          <w:rFonts w:hint="eastAsia" w:ascii="宋体" w:hAnsi="宋体" w:eastAsia="宋体" w:cs="宋体"/>
          <w:color w:val="auto"/>
          <w:szCs w:val="21"/>
          <w:highlight w:val="none"/>
        </w:rPr>
      </w:pPr>
    </w:p>
    <w:bookmarkEnd w:id="269"/>
    <w:p w14:paraId="48C774BB">
      <w:pPr>
        <w:spacing w:after="360" w:afterLines="150" w:line="400" w:lineRule="exact"/>
        <w:ind w:left="777" w:leftChars="86" w:hanging="596" w:hangingChars="165"/>
        <w:jc w:val="center"/>
        <w:rPr>
          <w:rFonts w:hint="eastAsia" w:ascii="宋体" w:hAnsi="宋体" w:eastAsia="宋体" w:cs="宋体"/>
          <w:b/>
          <w:bCs/>
          <w:color w:val="auto"/>
          <w:sz w:val="36"/>
          <w:szCs w:val="36"/>
          <w:highlight w:val="none"/>
          <w:lang w:val="en-US" w:eastAsia="zh-CN"/>
        </w:rPr>
      </w:pPr>
      <w:bookmarkStart w:id="270" w:name="_Toc217446087"/>
    </w:p>
    <w:p w14:paraId="46AFE7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四、货物说明一览表</w:t>
      </w:r>
    </w:p>
    <w:p w14:paraId="41286A61">
      <w:pPr>
        <w:pStyle w:val="7"/>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p>
    <w:tbl>
      <w:tblPr>
        <w:tblStyle w:val="23"/>
        <w:tblpPr w:leftFromText="180" w:rightFromText="180" w:vertAnchor="text" w:horzAnchor="margin" w:tblpXSpec="center" w:tblpY="74"/>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985"/>
        <w:gridCol w:w="2356"/>
        <w:gridCol w:w="3119"/>
        <w:gridCol w:w="2380"/>
        <w:gridCol w:w="976"/>
        <w:gridCol w:w="2024"/>
      </w:tblGrid>
      <w:tr w14:paraId="584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1024" w:type="dxa"/>
            <w:noWrap w:val="0"/>
            <w:vAlign w:val="center"/>
          </w:tcPr>
          <w:p w14:paraId="6D40539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85" w:type="dxa"/>
            <w:noWrap w:val="0"/>
            <w:vAlign w:val="center"/>
          </w:tcPr>
          <w:p w14:paraId="458C943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产品名称</w:t>
            </w:r>
          </w:p>
        </w:tc>
        <w:tc>
          <w:tcPr>
            <w:tcW w:w="2356" w:type="dxa"/>
            <w:noWrap w:val="0"/>
            <w:vAlign w:val="center"/>
          </w:tcPr>
          <w:p w14:paraId="138C3CCA">
            <w:pPr>
              <w:keepNext w:val="0"/>
              <w:keepLines w:val="0"/>
              <w:pageBreakBefore w:val="0"/>
              <w:widowControl w:val="0"/>
              <w:kinsoku/>
              <w:wordWrap/>
              <w:overflowPunct/>
              <w:topLinePunct w:val="0"/>
              <w:autoSpaceDE/>
              <w:autoSpaceDN/>
              <w:bidi w:val="0"/>
              <w:snapToGrid w:val="0"/>
              <w:spacing w:line="480" w:lineRule="exact"/>
              <w:ind w:left="0" w:leftChars="0"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品牌/型号</w:t>
            </w:r>
          </w:p>
        </w:tc>
        <w:tc>
          <w:tcPr>
            <w:tcW w:w="3119" w:type="dxa"/>
            <w:noWrap w:val="0"/>
            <w:vAlign w:val="center"/>
          </w:tcPr>
          <w:p w14:paraId="3654554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规格、配置及主要技术参数</w:t>
            </w:r>
          </w:p>
        </w:tc>
        <w:tc>
          <w:tcPr>
            <w:tcW w:w="2380" w:type="dxa"/>
            <w:noWrap w:val="0"/>
            <w:vAlign w:val="center"/>
          </w:tcPr>
          <w:p w14:paraId="35CC9D8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制造商</w:t>
            </w:r>
          </w:p>
        </w:tc>
        <w:tc>
          <w:tcPr>
            <w:tcW w:w="976" w:type="dxa"/>
            <w:noWrap w:val="0"/>
            <w:vAlign w:val="center"/>
          </w:tcPr>
          <w:p w14:paraId="09261FA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024" w:type="dxa"/>
            <w:noWrap w:val="0"/>
            <w:vAlign w:val="center"/>
          </w:tcPr>
          <w:p w14:paraId="250064B3">
            <w:pPr>
              <w:keepNext w:val="0"/>
              <w:keepLines w:val="0"/>
              <w:pageBreakBefore w:val="0"/>
              <w:widowControl w:val="0"/>
              <w:kinsoku/>
              <w:wordWrap/>
              <w:overflowPunct/>
              <w:topLinePunct w:val="0"/>
              <w:autoSpaceDE/>
              <w:autoSpaceDN/>
              <w:bidi w:val="0"/>
              <w:snapToGrid w:val="0"/>
              <w:spacing w:line="480" w:lineRule="exact"/>
              <w:ind w:left="0" w:leftChars="0" w:firstLine="110" w:firstLineChars="5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合同履行期限</w:t>
            </w:r>
          </w:p>
        </w:tc>
      </w:tr>
      <w:tr w14:paraId="0F8F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24" w:type="dxa"/>
            <w:noWrap w:val="0"/>
            <w:vAlign w:val="center"/>
          </w:tcPr>
          <w:p w14:paraId="2B4FBA7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1A08302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056B264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75D61B2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7B40A53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06D1422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09A1392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CCA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24" w:type="dxa"/>
            <w:noWrap w:val="0"/>
            <w:vAlign w:val="center"/>
          </w:tcPr>
          <w:p w14:paraId="3019939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6C48B78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15E4A1F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4059511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6D17753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9BF8FB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1B1A76F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4B2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24" w:type="dxa"/>
            <w:noWrap w:val="0"/>
            <w:vAlign w:val="center"/>
          </w:tcPr>
          <w:p w14:paraId="7D895FC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368C04C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21EB34B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11B6191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77C0238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96E22A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5024008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03C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24" w:type="dxa"/>
            <w:noWrap w:val="0"/>
            <w:vAlign w:val="center"/>
          </w:tcPr>
          <w:p w14:paraId="05ABF1C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7F08E8D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7CBA2F4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44626E0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8DEBBE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170CD69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0D5CCC2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2C44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24" w:type="dxa"/>
            <w:noWrap w:val="0"/>
            <w:vAlign w:val="center"/>
          </w:tcPr>
          <w:p w14:paraId="1CDE016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05D120B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2E0AA1E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7B3A776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B9CF32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8BD813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53D763D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568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24" w:type="dxa"/>
            <w:noWrap w:val="0"/>
            <w:vAlign w:val="center"/>
          </w:tcPr>
          <w:p w14:paraId="3BF1154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4677038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3F5DF8F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6F1F96B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40A3BC5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229E120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7855216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2E6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024" w:type="dxa"/>
            <w:noWrap w:val="0"/>
            <w:vAlign w:val="center"/>
          </w:tcPr>
          <w:p w14:paraId="3BD0AA3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75E4E22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71826D4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0148054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0AADCFC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03AAB3F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6E44FC0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51C6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4" w:type="dxa"/>
            <w:noWrap w:val="0"/>
            <w:vAlign w:val="center"/>
          </w:tcPr>
          <w:p w14:paraId="0E83263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2A45940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0E263FD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313C80E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AFABD2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298C545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1CAE9F0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bl>
    <w:p w14:paraId="61124B01">
      <w:pPr>
        <w:pStyle w:val="7"/>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说明：1.本表须逐项填写，不得空缺；如空缺将视为没有实质性响应招标文件；2.货物各项详细技术性能可另页描述；若货物没有注册商标和具体型号须注明。</w:t>
      </w:r>
    </w:p>
    <w:p w14:paraId="7B98FA40">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4BE36AD3">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（签字） </w:t>
      </w:r>
    </w:p>
    <w:p w14:paraId="21944198">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3E153FF">
      <w:pPr>
        <w:keepNext w:val="0"/>
        <w:keepLines w:val="0"/>
        <w:pageBreakBefore w:val="0"/>
        <w:widowControl w:val="0"/>
        <w:kinsoku/>
        <w:wordWrap/>
        <w:overflowPunct/>
        <w:topLinePunct w:val="0"/>
        <w:autoSpaceDE/>
        <w:autoSpaceDN/>
        <w:bidi w:val="0"/>
        <w:adjustRightInd w:val="0"/>
        <w:spacing w:line="480" w:lineRule="exact"/>
        <w:ind w:left="0" w:leftChars="0" w:firstLine="880" w:firstLineChars="400"/>
        <w:jc w:val="left"/>
        <w:textAlignment w:val="auto"/>
        <w:rPr>
          <w:rFonts w:hint="eastAsia" w:ascii="宋体" w:hAnsi="宋体" w:eastAsia="宋体" w:cs="宋体"/>
          <w:bCs/>
          <w:color w:val="auto"/>
          <w:sz w:val="22"/>
          <w:szCs w:val="22"/>
          <w:highlight w:val="none"/>
        </w:rPr>
        <w:sectPr>
          <w:pgSz w:w="16840" w:h="11907"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270"/>
    <w:p w14:paraId="5E55E703">
      <w:pPr>
        <w:pStyle w:val="7"/>
        <w:keepNext w:val="0"/>
        <w:keepLines w:val="0"/>
        <w:pageBreakBefore w:val="0"/>
        <w:widowControl w:val="0"/>
        <w:numPr>
          <w:ilvl w:val="0"/>
          <w:numId w:val="2"/>
        </w:numPr>
        <w:kinsoku/>
        <w:wordWrap/>
        <w:overflowPunct/>
        <w:topLinePunct w:val="0"/>
        <w:autoSpaceDE/>
        <w:autoSpaceDN/>
        <w:bidi w:val="0"/>
        <w:spacing w:line="480" w:lineRule="exact"/>
        <w:ind w:left="0" w:leftChars="0" w:right="0" w:firstLine="0"/>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商务条款偏离表</w:t>
      </w:r>
    </w:p>
    <w:p w14:paraId="6AFC96F8">
      <w:pPr>
        <w:pStyle w:val="7"/>
        <w:keepNext w:val="0"/>
        <w:keepLines w:val="0"/>
        <w:pageBreakBefore w:val="0"/>
        <w:widowControl w:val="0"/>
        <w:numPr>
          <w:ilvl w:val="0"/>
          <w:numId w:val="0"/>
        </w:numPr>
        <w:kinsoku/>
        <w:wordWrap/>
        <w:overflowPunct/>
        <w:topLinePunct w:val="0"/>
        <w:autoSpaceDE/>
        <w:autoSpaceDN/>
        <w:bidi w:val="0"/>
        <w:spacing w:line="480" w:lineRule="exact"/>
        <w:ind w:leftChars="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p>
    <w:tbl>
      <w:tblPr>
        <w:tblStyle w:val="2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37"/>
        <w:gridCol w:w="2627"/>
        <w:gridCol w:w="909"/>
        <w:gridCol w:w="1662"/>
        <w:gridCol w:w="858"/>
      </w:tblGrid>
      <w:tr w14:paraId="65D5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47" w:type="dxa"/>
            <w:noWrap w:val="0"/>
            <w:vAlign w:val="center"/>
          </w:tcPr>
          <w:p w14:paraId="0B985B1A">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37" w:type="dxa"/>
            <w:noWrap w:val="0"/>
            <w:vAlign w:val="center"/>
          </w:tcPr>
          <w:p w14:paraId="51CE747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招标文件</w:t>
            </w:r>
            <w:r>
              <w:rPr>
                <w:rFonts w:hint="eastAsia" w:ascii="宋体" w:hAnsi="宋体" w:eastAsia="宋体" w:cs="宋体"/>
                <w:b/>
                <w:bCs/>
                <w:color w:val="auto"/>
                <w:sz w:val="22"/>
                <w:szCs w:val="22"/>
                <w:highlight w:val="none"/>
              </w:rPr>
              <w:t>商务</w:t>
            </w:r>
            <w:r>
              <w:rPr>
                <w:rFonts w:hint="eastAsia" w:ascii="宋体" w:hAnsi="宋体" w:eastAsia="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要求</w:t>
            </w:r>
          </w:p>
        </w:tc>
        <w:tc>
          <w:tcPr>
            <w:tcW w:w="2627" w:type="dxa"/>
            <w:noWrap w:val="0"/>
            <w:vAlign w:val="center"/>
          </w:tcPr>
          <w:p w14:paraId="1F17DB5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响应文件商务</w:t>
            </w:r>
            <w:r>
              <w:rPr>
                <w:rFonts w:hint="eastAsia" w:ascii="宋体" w:hAnsi="宋体" w:eastAsia="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响应</w:t>
            </w:r>
          </w:p>
        </w:tc>
        <w:tc>
          <w:tcPr>
            <w:tcW w:w="909" w:type="dxa"/>
            <w:noWrap w:val="0"/>
            <w:vAlign w:val="center"/>
          </w:tcPr>
          <w:p w14:paraId="425922A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662" w:type="dxa"/>
            <w:noWrap w:val="0"/>
            <w:vAlign w:val="center"/>
          </w:tcPr>
          <w:p w14:paraId="5F9FDDD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858" w:type="dxa"/>
            <w:noWrap w:val="0"/>
            <w:vAlign w:val="center"/>
          </w:tcPr>
          <w:p w14:paraId="6B968C8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14:paraId="51A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BAB88E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64CACC6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5DEA8A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32DF8F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ABD9D0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3198A90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45F4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2EED462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CD6526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16403A5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90EDB1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79DE817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0C95A5C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6849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101DA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61D6A2D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4C7C865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1C6AF3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EF945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4788DB3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9CD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52E513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27973E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0ADEBA1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3C8DD4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7F8F79B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739DB5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794F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6AB0BC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2066FA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74DB5F6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9BB39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00C9F9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6735FF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52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5FC06C1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22BED34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16D3D2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6B3D3C4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963CE4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7A80C69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67F9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1FD954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384B557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00F519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27BC791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439D9C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16B7EA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BA5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5CD3C3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3576EC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4076FA7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4D0E134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53C0397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7A7376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71B0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FEC596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0352909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5FCDBE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0E4F96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427B521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45E1965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0DDE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8F631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1EEBFE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0775F48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4895DD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60DB032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8BBF39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90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64295C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03C5BA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361E5AF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5EABFD5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1B272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DED8F9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C42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F7CD2E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5716AFA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20D5E6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1DE3366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4E08B14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75E981C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7F3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3F514F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8E75EA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5CBBE6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62098DD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17921DF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158CC06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A6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2D0DF1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7F38CD3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F0F7A3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2DF3F9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6833F9D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221E4D6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bl>
    <w:p w14:paraId="5906C252">
      <w:pPr>
        <w:keepNext w:val="0"/>
        <w:keepLines w:val="0"/>
        <w:pageBreakBefore w:val="0"/>
        <w:widowControl w:val="0"/>
        <w:kinsoku/>
        <w:wordWrap/>
        <w:overflowPunct/>
        <w:topLinePunct w:val="0"/>
        <w:autoSpaceDE/>
        <w:autoSpaceDN/>
        <w:bidi w:val="0"/>
        <w:adjustRightInd/>
        <w:snapToGrid/>
        <w:spacing w:line="480" w:lineRule="exact"/>
        <w:ind w:left="660" w:leftChars="0" w:right="0" w:hanging="660" w:hangingChars="3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说明：投标人必须据实填写，不得虚假响应，否则将取消其投标或中标资格，并按有关规定</w:t>
      </w:r>
    </w:p>
    <w:p w14:paraId="2C284390">
      <w:pPr>
        <w:keepNext w:val="0"/>
        <w:keepLines w:val="0"/>
        <w:pageBreakBefore w:val="0"/>
        <w:widowControl w:val="0"/>
        <w:kinsoku/>
        <w:wordWrap/>
        <w:overflowPunct/>
        <w:topLinePunct w:val="0"/>
        <w:autoSpaceDE/>
        <w:autoSpaceDN/>
        <w:bidi w:val="0"/>
        <w:adjustRightInd/>
        <w:snapToGrid/>
        <w:spacing w:line="480" w:lineRule="exact"/>
        <w:ind w:left="660" w:leftChars="0" w:right="0" w:hanging="660" w:hangingChars="3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进行处罚。</w:t>
      </w:r>
    </w:p>
    <w:p w14:paraId="7CCC52E3">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47B0F06">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r>
        <w:rPr>
          <w:rFonts w:hint="eastAsia" w:ascii="宋体" w:hAnsi="宋体" w:eastAsia="宋体" w:cs="宋体"/>
          <w:bCs/>
          <w:color w:val="auto"/>
          <w:sz w:val="22"/>
          <w:szCs w:val="22"/>
          <w:highlight w:val="none"/>
        </w:rPr>
        <w:t xml:space="preserve">                </w:t>
      </w:r>
    </w:p>
    <w:p w14:paraId="5F7D50F2">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 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EF369FB">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284FFBB">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7398009">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1EA3C63">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761CA6C1">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05A0E4AE">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六、技术文件（根据本项目评分标准顺序编写）</w:t>
      </w:r>
    </w:p>
    <w:p w14:paraId="1EFF8EA9">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说明：格式自定。</w:t>
      </w:r>
    </w:p>
    <w:p w14:paraId="331150BC">
      <w:pPr>
        <w:keepNext w:val="0"/>
        <w:keepLines w:val="0"/>
        <w:pageBreakBefore w:val="0"/>
        <w:widowControl w:val="0"/>
        <w:numPr>
          <w:ilvl w:val="0"/>
          <w:numId w:val="3"/>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kern w:val="2"/>
          <w:sz w:val="32"/>
          <w:szCs w:val="32"/>
          <w:highlight w:val="none"/>
          <w:lang w:val="en-US" w:eastAsia="zh-CN" w:bidi="ar-SA"/>
        </w:rPr>
        <w:t>承诺文件</w:t>
      </w:r>
    </w:p>
    <w:p w14:paraId="52E23EA0">
      <w:pPr>
        <w:keepNext w:val="0"/>
        <w:keepLines w:val="0"/>
        <w:pageBreakBefore w:val="0"/>
        <w:widowControl w:val="0"/>
        <w:kinsoku/>
        <w:wordWrap/>
        <w:overflowPunct/>
        <w:topLinePunct w:val="0"/>
        <w:autoSpaceDE/>
        <w:autoSpaceDN/>
        <w:bidi w:val="0"/>
        <w:adjustRightInd w:val="0"/>
        <w:snapToGrid/>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说明：格式自定。投标人根据招标文件要求和采购需求，作出质量保证承诺和质保期服务计划。</w:t>
      </w:r>
    </w:p>
    <w:p w14:paraId="00FF26FF">
      <w:pPr>
        <w:adjustRightInd w:val="0"/>
        <w:spacing w:line="400" w:lineRule="exact"/>
        <w:jc w:val="left"/>
        <w:rPr>
          <w:rFonts w:hint="eastAsia" w:ascii="宋体" w:hAnsi="宋体" w:eastAsia="宋体" w:cs="宋体"/>
          <w:b/>
          <w:bCs/>
          <w:color w:val="auto"/>
          <w:sz w:val="36"/>
          <w:szCs w:val="36"/>
          <w:highlight w:val="none"/>
        </w:rPr>
      </w:pPr>
    </w:p>
    <w:p w14:paraId="5FEA3912">
      <w:pPr>
        <w:adjustRightInd w:val="0"/>
        <w:spacing w:line="400" w:lineRule="exact"/>
        <w:jc w:val="left"/>
        <w:rPr>
          <w:rFonts w:hint="eastAsia" w:ascii="宋体" w:hAnsi="宋体" w:eastAsia="宋体" w:cs="宋体"/>
          <w:b/>
          <w:bCs/>
          <w:color w:val="auto"/>
          <w:sz w:val="36"/>
          <w:szCs w:val="36"/>
          <w:highlight w:val="none"/>
        </w:rPr>
      </w:pPr>
    </w:p>
    <w:p w14:paraId="7C57A787">
      <w:pPr>
        <w:adjustRightInd w:val="0"/>
        <w:spacing w:line="400" w:lineRule="exact"/>
        <w:jc w:val="left"/>
        <w:rPr>
          <w:rFonts w:hint="eastAsia" w:ascii="宋体" w:hAnsi="宋体" w:eastAsia="宋体" w:cs="宋体"/>
          <w:b/>
          <w:bCs/>
          <w:color w:val="auto"/>
          <w:sz w:val="36"/>
          <w:szCs w:val="36"/>
          <w:highlight w:val="none"/>
        </w:rPr>
      </w:pPr>
    </w:p>
    <w:p w14:paraId="646487F7">
      <w:pPr>
        <w:adjustRightInd w:val="0"/>
        <w:spacing w:line="400" w:lineRule="exact"/>
        <w:jc w:val="left"/>
        <w:rPr>
          <w:rFonts w:hint="eastAsia" w:ascii="宋体" w:hAnsi="宋体" w:eastAsia="宋体" w:cs="宋体"/>
          <w:b/>
          <w:bCs/>
          <w:color w:val="auto"/>
          <w:sz w:val="36"/>
          <w:szCs w:val="36"/>
          <w:highlight w:val="none"/>
        </w:rPr>
      </w:pPr>
    </w:p>
    <w:p w14:paraId="10604CCE">
      <w:pPr>
        <w:adjustRightInd w:val="0"/>
        <w:spacing w:line="400" w:lineRule="exact"/>
        <w:jc w:val="left"/>
        <w:rPr>
          <w:rFonts w:hint="eastAsia" w:ascii="宋体" w:hAnsi="宋体" w:eastAsia="宋体" w:cs="宋体"/>
          <w:b/>
          <w:bCs/>
          <w:color w:val="auto"/>
          <w:sz w:val="36"/>
          <w:szCs w:val="36"/>
          <w:highlight w:val="none"/>
        </w:rPr>
      </w:pPr>
    </w:p>
    <w:p w14:paraId="1590AE9D">
      <w:pPr>
        <w:adjustRightInd w:val="0"/>
        <w:spacing w:line="400" w:lineRule="exact"/>
        <w:jc w:val="left"/>
        <w:rPr>
          <w:rFonts w:hint="eastAsia" w:ascii="宋体" w:hAnsi="宋体" w:eastAsia="宋体" w:cs="宋体"/>
          <w:b/>
          <w:bCs/>
          <w:color w:val="auto"/>
          <w:sz w:val="36"/>
          <w:szCs w:val="36"/>
          <w:highlight w:val="none"/>
        </w:rPr>
      </w:pPr>
    </w:p>
    <w:p w14:paraId="17C6B2DD">
      <w:pPr>
        <w:adjustRightInd w:val="0"/>
        <w:spacing w:line="400" w:lineRule="exact"/>
        <w:jc w:val="left"/>
        <w:rPr>
          <w:rFonts w:hint="eastAsia" w:ascii="宋体" w:hAnsi="宋体" w:eastAsia="宋体" w:cs="宋体"/>
          <w:b/>
          <w:bCs/>
          <w:color w:val="auto"/>
          <w:sz w:val="36"/>
          <w:szCs w:val="36"/>
          <w:highlight w:val="none"/>
        </w:rPr>
      </w:pPr>
    </w:p>
    <w:p w14:paraId="0B59D89D">
      <w:pPr>
        <w:adjustRightInd w:val="0"/>
        <w:spacing w:line="400" w:lineRule="exact"/>
        <w:jc w:val="left"/>
        <w:rPr>
          <w:rFonts w:hint="eastAsia" w:ascii="宋体" w:hAnsi="宋体" w:eastAsia="宋体" w:cs="宋体"/>
          <w:b/>
          <w:bCs/>
          <w:color w:val="auto"/>
          <w:sz w:val="36"/>
          <w:szCs w:val="36"/>
          <w:highlight w:val="none"/>
        </w:rPr>
      </w:pPr>
    </w:p>
    <w:p w14:paraId="6BD20CC0">
      <w:pPr>
        <w:adjustRightInd w:val="0"/>
        <w:spacing w:line="400" w:lineRule="exact"/>
        <w:jc w:val="left"/>
        <w:rPr>
          <w:rFonts w:hint="eastAsia" w:ascii="宋体" w:hAnsi="宋体" w:eastAsia="宋体" w:cs="宋体"/>
          <w:b/>
          <w:bCs/>
          <w:color w:val="auto"/>
          <w:sz w:val="36"/>
          <w:szCs w:val="36"/>
          <w:highlight w:val="none"/>
        </w:rPr>
      </w:pPr>
    </w:p>
    <w:p w14:paraId="535C9B13">
      <w:pPr>
        <w:adjustRightInd w:val="0"/>
        <w:spacing w:line="400" w:lineRule="exact"/>
        <w:jc w:val="left"/>
        <w:rPr>
          <w:rFonts w:hint="eastAsia" w:ascii="宋体" w:hAnsi="宋体" w:eastAsia="宋体" w:cs="宋体"/>
          <w:b/>
          <w:bCs/>
          <w:color w:val="auto"/>
          <w:sz w:val="36"/>
          <w:szCs w:val="36"/>
          <w:highlight w:val="none"/>
        </w:rPr>
      </w:pPr>
    </w:p>
    <w:p w14:paraId="454F673D">
      <w:pPr>
        <w:adjustRightInd w:val="0"/>
        <w:spacing w:line="400" w:lineRule="exact"/>
        <w:jc w:val="left"/>
        <w:rPr>
          <w:rFonts w:hint="eastAsia" w:ascii="宋体" w:hAnsi="宋体" w:eastAsia="宋体" w:cs="宋体"/>
          <w:b/>
          <w:bCs/>
          <w:color w:val="auto"/>
          <w:sz w:val="36"/>
          <w:szCs w:val="36"/>
          <w:highlight w:val="none"/>
        </w:rPr>
      </w:pPr>
    </w:p>
    <w:p w14:paraId="7CA00B9E">
      <w:pPr>
        <w:adjustRightInd w:val="0"/>
        <w:spacing w:line="400" w:lineRule="exact"/>
        <w:jc w:val="left"/>
        <w:rPr>
          <w:rFonts w:hint="eastAsia" w:ascii="宋体" w:hAnsi="宋体" w:eastAsia="宋体" w:cs="宋体"/>
          <w:b/>
          <w:bCs/>
          <w:color w:val="auto"/>
          <w:sz w:val="36"/>
          <w:szCs w:val="36"/>
          <w:highlight w:val="none"/>
        </w:rPr>
      </w:pPr>
    </w:p>
    <w:p w14:paraId="0D2D7164">
      <w:pPr>
        <w:adjustRightInd w:val="0"/>
        <w:spacing w:line="400" w:lineRule="exact"/>
        <w:jc w:val="left"/>
        <w:rPr>
          <w:rFonts w:hint="eastAsia" w:ascii="宋体" w:hAnsi="宋体" w:eastAsia="宋体" w:cs="宋体"/>
          <w:b/>
          <w:bCs/>
          <w:color w:val="auto"/>
          <w:sz w:val="36"/>
          <w:szCs w:val="36"/>
          <w:highlight w:val="none"/>
        </w:rPr>
      </w:pPr>
    </w:p>
    <w:p w14:paraId="0507FC8B">
      <w:pPr>
        <w:adjustRightInd w:val="0"/>
        <w:spacing w:line="400" w:lineRule="exact"/>
        <w:jc w:val="left"/>
        <w:rPr>
          <w:rFonts w:hint="eastAsia" w:ascii="宋体" w:hAnsi="宋体" w:eastAsia="宋体" w:cs="宋体"/>
          <w:b/>
          <w:bCs/>
          <w:color w:val="auto"/>
          <w:sz w:val="36"/>
          <w:szCs w:val="36"/>
          <w:highlight w:val="none"/>
        </w:rPr>
      </w:pPr>
    </w:p>
    <w:p w14:paraId="30B5E23D">
      <w:pPr>
        <w:adjustRightInd w:val="0"/>
        <w:spacing w:line="400" w:lineRule="exact"/>
        <w:jc w:val="left"/>
        <w:rPr>
          <w:rFonts w:hint="eastAsia" w:ascii="宋体" w:hAnsi="宋体" w:eastAsia="宋体" w:cs="宋体"/>
          <w:b/>
          <w:bCs/>
          <w:color w:val="auto"/>
          <w:sz w:val="36"/>
          <w:szCs w:val="36"/>
          <w:highlight w:val="none"/>
        </w:rPr>
      </w:pPr>
    </w:p>
    <w:p w14:paraId="24E6F4EB">
      <w:pPr>
        <w:adjustRightInd w:val="0"/>
        <w:spacing w:line="400" w:lineRule="exact"/>
        <w:jc w:val="left"/>
        <w:rPr>
          <w:rFonts w:hint="eastAsia" w:ascii="宋体" w:hAnsi="宋体" w:eastAsia="宋体" w:cs="宋体"/>
          <w:b/>
          <w:bCs/>
          <w:color w:val="auto"/>
          <w:sz w:val="36"/>
          <w:szCs w:val="36"/>
          <w:highlight w:val="none"/>
        </w:rPr>
      </w:pPr>
    </w:p>
    <w:p w14:paraId="4E1DE3B4">
      <w:pPr>
        <w:adjustRightInd w:val="0"/>
        <w:spacing w:line="400" w:lineRule="exact"/>
        <w:jc w:val="left"/>
        <w:rPr>
          <w:rFonts w:hint="eastAsia" w:ascii="宋体" w:hAnsi="宋体" w:eastAsia="宋体" w:cs="宋体"/>
          <w:b/>
          <w:bCs/>
          <w:color w:val="auto"/>
          <w:sz w:val="36"/>
          <w:szCs w:val="36"/>
          <w:highlight w:val="none"/>
        </w:rPr>
      </w:pPr>
    </w:p>
    <w:p w14:paraId="0CB2E4C7">
      <w:pPr>
        <w:adjustRightInd w:val="0"/>
        <w:spacing w:line="400" w:lineRule="exact"/>
        <w:jc w:val="left"/>
        <w:rPr>
          <w:rFonts w:hint="eastAsia" w:ascii="宋体" w:hAnsi="宋体" w:eastAsia="宋体" w:cs="宋体"/>
          <w:b/>
          <w:bCs/>
          <w:color w:val="auto"/>
          <w:sz w:val="36"/>
          <w:szCs w:val="36"/>
          <w:highlight w:val="none"/>
        </w:rPr>
      </w:pPr>
    </w:p>
    <w:p w14:paraId="6041365C">
      <w:pPr>
        <w:adjustRightInd w:val="0"/>
        <w:spacing w:line="400" w:lineRule="exact"/>
        <w:jc w:val="left"/>
        <w:rPr>
          <w:rFonts w:hint="eastAsia" w:ascii="宋体" w:hAnsi="宋体" w:eastAsia="宋体" w:cs="宋体"/>
          <w:b/>
          <w:bCs/>
          <w:color w:val="auto"/>
          <w:sz w:val="36"/>
          <w:szCs w:val="36"/>
          <w:highlight w:val="none"/>
        </w:rPr>
      </w:pPr>
    </w:p>
    <w:p w14:paraId="34405879">
      <w:pPr>
        <w:adjustRightInd w:val="0"/>
        <w:spacing w:line="400" w:lineRule="exact"/>
        <w:jc w:val="left"/>
        <w:rPr>
          <w:rFonts w:hint="eastAsia" w:ascii="宋体" w:hAnsi="宋体" w:eastAsia="宋体" w:cs="宋体"/>
          <w:b/>
          <w:bCs/>
          <w:color w:val="auto"/>
          <w:sz w:val="36"/>
          <w:szCs w:val="36"/>
          <w:highlight w:val="none"/>
        </w:rPr>
      </w:pPr>
    </w:p>
    <w:p w14:paraId="6263C571">
      <w:pPr>
        <w:adjustRightInd w:val="0"/>
        <w:spacing w:line="400" w:lineRule="exact"/>
        <w:jc w:val="left"/>
        <w:rPr>
          <w:rFonts w:hint="eastAsia" w:ascii="宋体" w:hAnsi="宋体" w:eastAsia="宋体" w:cs="宋体"/>
          <w:b/>
          <w:bCs/>
          <w:color w:val="auto"/>
          <w:sz w:val="36"/>
          <w:szCs w:val="36"/>
          <w:highlight w:val="none"/>
        </w:rPr>
      </w:pPr>
    </w:p>
    <w:p w14:paraId="7E3E5DE8">
      <w:pPr>
        <w:adjustRightInd w:val="0"/>
        <w:spacing w:line="400" w:lineRule="exact"/>
        <w:jc w:val="left"/>
        <w:rPr>
          <w:rFonts w:hint="eastAsia" w:ascii="宋体" w:hAnsi="宋体" w:eastAsia="宋体" w:cs="宋体"/>
          <w:b/>
          <w:bCs/>
          <w:color w:val="auto"/>
          <w:sz w:val="36"/>
          <w:szCs w:val="36"/>
          <w:highlight w:val="none"/>
        </w:rPr>
      </w:pPr>
    </w:p>
    <w:p w14:paraId="3C90F156">
      <w:pPr>
        <w:adjustRightInd w:val="0"/>
        <w:spacing w:line="400" w:lineRule="exact"/>
        <w:jc w:val="left"/>
        <w:rPr>
          <w:rFonts w:hint="eastAsia" w:ascii="宋体" w:hAnsi="宋体" w:eastAsia="宋体" w:cs="宋体"/>
          <w:b/>
          <w:bCs/>
          <w:color w:val="auto"/>
          <w:sz w:val="36"/>
          <w:szCs w:val="36"/>
          <w:highlight w:val="none"/>
        </w:rPr>
      </w:pPr>
    </w:p>
    <w:p w14:paraId="69BA51D5">
      <w:pPr>
        <w:adjustRightInd w:val="0"/>
        <w:spacing w:line="400" w:lineRule="exact"/>
        <w:jc w:val="left"/>
        <w:rPr>
          <w:rFonts w:hint="eastAsia" w:ascii="宋体" w:hAnsi="宋体" w:eastAsia="宋体" w:cs="宋体"/>
          <w:b/>
          <w:bCs/>
          <w:color w:val="auto"/>
          <w:sz w:val="36"/>
          <w:szCs w:val="36"/>
          <w:highlight w:val="none"/>
        </w:rPr>
      </w:pPr>
    </w:p>
    <w:p w14:paraId="1B92828B">
      <w:pPr>
        <w:adjustRightInd w:val="0"/>
        <w:spacing w:line="400" w:lineRule="exact"/>
        <w:jc w:val="left"/>
        <w:rPr>
          <w:rFonts w:hint="eastAsia" w:ascii="宋体" w:hAnsi="宋体" w:eastAsia="宋体" w:cs="宋体"/>
          <w:b/>
          <w:bCs/>
          <w:color w:val="auto"/>
          <w:sz w:val="36"/>
          <w:szCs w:val="36"/>
          <w:highlight w:val="none"/>
        </w:rPr>
      </w:pPr>
    </w:p>
    <w:p w14:paraId="3DA238EA">
      <w:pPr>
        <w:adjustRightInd w:val="0"/>
        <w:spacing w:line="400" w:lineRule="exact"/>
        <w:jc w:val="left"/>
        <w:rPr>
          <w:rFonts w:hint="eastAsia" w:ascii="宋体" w:hAnsi="宋体" w:eastAsia="宋体" w:cs="宋体"/>
          <w:b/>
          <w:bCs/>
          <w:color w:val="auto"/>
          <w:sz w:val="36"/>
          <w:szCs w:val="36"/>
          <w:highlight w:val="none"/>
        </w:rPr>
      </w:pPr>
    </w:p>
    <w:p w14:paraId="47AD1194">
      <w:pPr>
        <w:adjustRightInd w:val="0"/>
        <w:spacing w:line="400" w:lineRule="exact"/>
        <w:jc w:val="left"/>
        <w:rPr>
          <w:rFonts w:hint="eastAsia" w:ascii="宋体" w:hAnsi="宋体" w:eastAsia="宋体" w:cs="宋体"/>
          <w:b/>
          <w:bCs/>
          <w:color w:val="auto"/>
          <w:sz w:val="36"/>
          <w:szCs w:val="36"/>
          <w:highlight w:val="none"/>
        </w:rPr>
      </w:pPr>
    </w:p>
    <w:p w14:paraId="7016093E">
      <w:pPr>
        <w:adjustRightInd w:val="0"/>
        <w:spacing w:line="400" w:lineRule="exact"/>
        <w:jc w:val="left"/>
        <w:rPr>
          <w:rFonts w:hint="eastAsia" w:ascii="宋体" w:hAnsi="宋体" w:eastAsia="宋体" w:cs="宋体"/>
          <w:b/>
          <w:bCs/>
          <w:color w:val="auto"/>
          <w:sz w:val="36"/>
          <w:szCs w:val="36"/>
          <w:highlight w:val="none"/>
        </w:rPr>
      </w:pPr>
    </w:p>
    <w:p w14:paraId="4FE2E599">
      <w:pPr>
        <w:adjustRightInd w:val="0"/>
        <w:spacing w:line="400" w:lineRule="exact"/>
        <w:jc w:val="left"/>
        <w:rPr>
          <w:rFonts w:hint="eastAsia" w:ascii="宋体" w:hAnsi="宋体" w:eastAsia="宋体" w:cs="宋体"/>
          <w:b/>
          <w:bCs/>
          <w:color w:val="auto"/>
          <w:sz w:val="36"/>
          <w:szCs w:val="36"/>
          <w:highlight w:val="none"/>
        </w:rPr>
      </w:pPr>
    </w:p>
    <w:p w14:paraId="60A429EC">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r>
        <w:rPr>
          <w:rFonts w:hint="eastAsia" w:ascii="宋体" w:hAnsi="宋体" w:eastAsia="宋体" w:cs="宋体"/>
          <w:b/>
          <w:color w:val="auto"/>
          <w:kern w:val="2"/>
          <w:sz w:val="32"/>
          <w:szCs w:val="32"/>
          <w:highlight w:val="none"/>
          <w:lang w:val="en-US" w:eastAsia="zh-CN" w:bidi="ar-SA"/>
        </w:rPr>
        <w:t>八、售后服务文件</w:t>
      </w:r>
    </w:p>
    <w:p w14:paraId="1F27358D">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1.投标人依据产品特性和需求，按招标文件要求自拟售后服务方案和培训计划。</w:t>
      </w:r>
    </w:p>
    <w:p w14:paraId="105D64F2">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2.投标人应提供在售后服务中心证明材料或与合作方的协议书，这些服务中心和特约维修服务点的名称、地址、电话、联系人应在投标文件中一一列出（参考样式如下）。</w:t>
      </w:r>
    </w:p>
    <w:p w14:paraId="18F225F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货物（产品）售后服务点联系表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3D9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14:paraId="7FE249D0">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服务机构名称</w:t>
            </w:r>
          </w:p>
        </w:tc>
        <w:tc>
          <w:tcPr>
            <w:tcW w:w="1080" w:type="dxa"/>
            <w:noWrap w:val="0"/>
            <w:vAlign w:val="center"/>
          </w:tcPr>
          <w:p w14:paraId="09408AF8">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所在地</w:t>
            </w:r>
          </w:p>
        </w:tc>
        <w:tc>
          <w:tcPr>
            <w:tcW w:w="1260" w:type="dxa"/>
            <w:noWrap w:val="0"/>
            <w:vAlign w:val="center"/>
          </w:tcPr>
          <w:p w14:paraId="392141B9">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联系人</w:t>
            </w:r>
          </w:p>
        </w:tc>
        <w:tc>
          <w:tcPr>
            <w:tcW w:w="1516" w:type="dxa"/>
            <w:noWrap w:val="0"/>
            <w:vAlign w:val="center"/>
          </w:tcPr>
          <w:p w14:paraId="221342E1">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2548" w:type="dxa"/>
            <w:noWrap w:val="0"/>
            <w:vAlign w:val="center"/>
          </w:tcPr>
          <w:p w14:paraId="35603215">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地 址</w:t>
            </w:r>
          </w:p>
        </w:tc>
      </w:tr>
      <w:tr w14:paraId="2802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14:paraId="7F44F099">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F239865">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391654B">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B1242F0">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869E758">
            <w:pPr>
              <w:spacing w:line="480" w:lineRule="exact"/>
              <w:jc w:val="center"/>
              <w:rPr>
                <w:rFonts w:hint="eastAsia" w:ascii="宋体" w:hAnsi="宋体" w:eastAsia="宋体" w:cs="宋体"/>
                <w:color w:val="auto"/>
                <w:sz w:val="22"/>
                <w:szCs w:val="28"/>
                <w:highlight w:val="none"/>
              </w:rPr>
            </w:pPr>
          </w:p>
        </w:tc>
      </w:tr>
      <w:tr w14:paraId="0A39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0EEDF700">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2A84FFC">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18C06DA2">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95D7FBE">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73A6CEF3">
            <w:pPr>
              <w:spacing w:line="480" w:lineRule="exact"/>
              <w:jc w:val="center"/>
              <w:rPr>
                <w:rFonts w:hint="eastAsia" w:ascii="宋体" w:hAnsi="宋体" w:eastAsia="宋体" w:cs="宋体"/>
                <w:color w:val="auto"/>
                <w:sz w:val="22"/>
                <w:szCs w:val="28"/>
                <w:highlight w:val="none"/>
              </w:rPr>
            </w:pPr>
          </w:p>
        </w:tc>
      </w:tr>
      <w:tr w14:paraId="56B3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16A728A8">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104232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B53D026">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3D10EC2E">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A4B6ECC">
            <w:pPr>
              <w:spacing w:line="480" w:lineRule="exact"/>
              <w:jc w:val="center"/>
              <w:rPr>
                <w:rFonts w:hint="eastAsia" w:ascii="宋体" w:hAnsi="宋体" w:eastAsia="宋体" w:cs="宋体"/>
                <w:color w:val="auto"/>
                <w:sz w:val="22"/>
                <w:szCs w:val="28"/>
                <w:highlight w:val="none"/>
              </w:rPr>
            </w:pPr>
          </w:p>
        </w:tc>
      </w:tr>
      <w:tr w14:paraId="582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A6383FF">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DB23FE0">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65DC8F67">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72B39B41">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06B4CF51">
            <w:pPr>
              <w:spacing w:line="480" w:lineRule="exact"/>
              <w:jc w:val="center"/>
              <w:rPr>
                <w:rFonts w:hint="eastAsia" w:ascii="宋体" w:hAnsi="宋体" w:eastAsia="宋体" w:cs="宋体"/>
                <w:color w:val="auto"/>
                <w:sz w:val="22"/>
                <w:szCs w:val="28"/>
                <w:highlight w:val="none"/>
              </w:rPr>
            </w:pPr>
          </w:p>
        </w:tc>
      </w:tr>
      <w:tr w14:paraId="6D70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58A63B7">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1087DDA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9C6F7AF">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65C7DCB">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F84BF02">
            <w:pPr>
              <w:spacing w:line="480" w:lineRule="exact"/>
              <w:jc w:val="center"/>
              <w:rPr>
                <w:rFonts w:hint="eastAsia" w:ascii="宋体" w:hAnsi="宋体" w:eastAsia="宋体" w:cs="宋体"/>
                <w:color w:val="auto"/>
                <w:sz w:val="22"/>
                <w:szCs w:val="28"/>
                <w:highlight w:val="none"/>
              </w:rPr>
            </w:pPr>
          </w:p>
        </w:tc>
      </w:tr>
      <w:tr w14:paraId="1ABD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650BD91">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E717044">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698173DA">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2F28439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69CBCCEE">
            <w:pPr>
              <w:spacing w:line="480" w:lineRule="exact"/>
              <w:jc w:val="center"/>
              <w:rPr>
                <w:rFonts w:hint="eastAsia" w:ascii="宋体" w:hAnsi="宋体" w:eastAsia="宋体" w:cs="宋体"/>
                <w:color w:val="auto"/>
                <w:sz w:val="22"/>
                <w:szCs w:val="28"/>
                <w:highlight w:val="none"/>
              </w:rPr>
            </w:pPr>
          </w:p>
        </w:tc>
      </w:tr>
      <w:tr w14:paraId="58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6345D46E">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5D4E7F4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4642C7B">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14AC2E4C">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78DD29B">
            <w:pPr>
              <w:spacing w:line="480" w:lineRule="exact"/>
              <w:jc w:val="center"/>
              <w:rPr>
                <w:rFonts w:hint="eastAsia" w:ascii="宋体" w:hAnsi="宋体" w:eastAsia="宋体" w:cs="宋体"/>
                <w:color w:val="auto"/>
                <w:sz w:val="22"/>
                <w:szCs w:val="28"/>
                <w:highlight w:val="none"/>
              </w:rPr>
            </w:pPr>
          </w:p>
        </w:tc>
      </w:tr>
      <w:tr w14:paraId="346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401170D">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8FAFBE0">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2B0CC7BA">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66D0AF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77BFE725">
            <w:pPr>
              <w:spacing w:line="480" w:lineRule="exact"/>
              <w:jc w:val="center"/>
              <w:rPr>
                <w:rFonts w:hint="eastAsia" w:ascii="宋体" w:hAnsi="宋体" w:eastAsia="宋体" w:cs="宋体"/>
                <w:color w:val="auto"/>
                <w:sz w:val="22"/>
                <w:szCs w:val="28"/>
                <w:highlight w:val="none"/>
              </w:rPr>
            </w:pPr>
          </w:p>
        </w:tc>
      </w:tr>
      <w:tr w14:paraId="4FC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EFD19A3">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1B6C2F0C">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3085C7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72C6F530">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5492DC5F">
            <w:pPr>
              <w:spacing w:line="480" w:lineRule="exact"/>
              <w:jc w:val="center"/>
              <w:rPr>
                <w:rFonts w:hint="eastAsia" w:ascii="宋体" w:hAnsi="宋体" w:eastAsia="宋体" w:cs="宋体"/>
                <w:color w:val="auto"/>
                <w:sz w:val="22"/>
                <w:szCs w:val="28"/>
                <w:highlight w:val="none"/>
              </w:rPr>
            </w:pPr>
          </w:p>
        </w:tc>
      </w:tr>
      <w:tr w14:paraId="1AE3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6DEA5557">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DA68E01">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4BB9FCD9">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54F29E23">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919AEE4">
            <w:pPr>
              <w:spacing w:line="480" w:lineRule="exact"/>
              <w:jc w:val="center"/>
              <w:rPr>
                <w:rFonts w:hint="eastAsia" w:ascii="宋体" w:hAnsi="宋体" w:eastAsia="宋体" w:cs="宋体"/>
                <w:color w:val="auto"/>
                <w:sz w:val="22"/>
                <w:szCs w:val="28"/>
                <w:highlight w:val="none"/>
              </w:rPr>
            </w:pPr>
          </w:p>
        </w:tc>
      </w:tr>
      <w:tr w14:paraId="6557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ECED07A">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3E1BDFB">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D9627F3">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03EACFC">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4253B585">
            <w:pPr>
              <w:spacing w:line="480" w:lineRule="exact"/>
              <w:jc w:val="center"/>
              <w:rPr>
                <w:rFonts w:hint="eastAsia" w:ascii="宋体" w:hAnsi="宋体" w:eastAsia="宋体" w:cs="宋体"/>
                <w:color w:val="auto"/>
                <w:sz w:val="22"/>
                <w:szCs w:val="28"/>
                <w:highlight w:val="none"/>
              </w:rPr>
            </w:pPr>
          </w:p>
        </w:tc>
      </w:tr>
      <w:tr w14:paraId="5E06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484868A8">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DFFAF0A">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C252EB8">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04C73908">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3E148DA">
            <w:pPr>
              <w:spacing w:line="480" w:lineRule="exact"/>
              <w:jc w:val="center"/>
              <w:rPr>
                <w:rFonts w:hint="eastAsia" w:ascii="宋体" w:hAnsi="宋体" w:eastAsia="宋体" w:cs="宋体"/>
                <w:color w:val="auto"/>
                <w:sz w:val="22"/>
                <w:szCs w:val="28"/>
                <w:highlight w:val="none"/>
              </w:rPr>
            </w:pPr>
          </w:p>
        </w:tc>
      </w:tr>
      <w:tr w14:paraId="2744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0396BBB">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2FE6E789">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935168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092997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058E7140">
            <w:pPr>
              <w:spacing w:line="480" w:lineRule="exact"/>
              <w:jc w:val="center"/>
              <w:rPr>
                <w:rFonts w:hint="eastAsia" w:ascii="宋体" w:hAnsi="宋体" w:eastAsia="宋体" w:cs="宋体"/>
                <w:color w:val="auto"/>
                <w:sz w:val="22"/>
                <w:szCs w:val="28"/>
                <w:highlight w:val="none"/>
              </w:rPr>
            </w:pPr>
          </w:p>
        </w:tc>
      </w:tr>
      <w:tr w14:paraId="42A8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AAC3D01">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59EB3B51">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0FEE03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8BFD90A">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BA0B4F6">
            <w:pPr>
              <w:spacing w:line="480" w:lineRule="exact"/>
              <w:jc w:val="center"/>
              <w:rPr>
                <w:rFonts w:hint="eastAsia" w:ascii="宋体" w:hAnsi="宋体" w:eastAsia="宋体" w:cs="宋体"/>
                <w:color w:val="auto"/>
                <w:sz w:val="22"/>
                <w:szCs w:val="28"/>
                <w:highlight w:val="none"/>
              </w:rPr>
            </w:pPr>
          </w:p>
        </w:tc>
      </w:tr>
    </w:tbl>
    <w:p w14:paraId="518D033A">
      <w:pPr>
        <w:keepNext w:val="0"/>
        <w:keepLines w:val="0"/>
        <w:pageBreakBefore w:val="0"/>
        <w:widowControl w:val="0"/>
        <w:kinsoku/>
        <w:wordWrap/>
        <w:overflowPunct/>
        <w:topLinePunct w:val="0"/>
        <w:autoSpaceDE/>
        <w:autoSpaceDN/>
        <w:bidi w:val="0"/>
        <w:adjustRightInd/>
        <w:snapToGrid/>
        <w:spacing w:line="480" w:lineRule="exact"/>
        <w:ind w:firstLine="429" w:firstLineChars="195"/>
        <w:textAlignment w:val="auto"/>
        <w:rPr>
          <w:rFonts w:hint="eastAsia" w:ascii="宋体" w:hAnsi="宋体" w:eastAsia="宋体" w:cs="宋体"/>
          <w:bCs/>
          <w:iCs/>
          <w:color w:val="auto"/>
          <w:sz w:val="22"/>
          <w:szCs w:val="28"/>
          <w:highlight w:val="none"/>
        </w:rPr>
      </w:pPr>
      <w:r>
        <w:rPr>
          <w:rFonts w:hint="eastAsia" w:ascii="宋体" w:hAnsi="宋体" w:eastAsia="宋体" w:cs="宋体"/>
          <w:bCs/>
          <w:iCs/>
          <w:color w:val="auto"/>
          <w:sz w:val="22"/>
          <w:szCs w:val="28"/>
          <w:highlight w:val="none"/>
        </w:rPr>
        <w:t>注：采购人将核实中标人承诺的售后服务机构，如果不属实，则从扣除合同总额的2％作为违约处罚。</w:t>
      </w:r>
    </w:p>
    <w:p w14:paraId="31A2C0E2">
      <w:pPr>
        <w:spacing w:before="240" w:beforeLines="100" w:line="360" w:lineRule="auto"/>
        <w:ind w:firstLine="409" w:firstLineChars="195"/>
        <w:rPr>
          <w:rFonts w:hint="eastAsia" w:ascii="宋体" w:hAnsi="宋体" w:eastAsia="宋体" w:cs="宋体"/>
          <w:bCs/>
          <w:iCs/>
          <w:color w:val="auto"/>
          <w:highlight w:val="none"/>
        </w:rPr>
      </w:pPr>
    </w:p>
    <w:p w14:paraId="39621EE0">
      <w:pPr>
        <w:spacing w:before="240" w:beforeLines="100" w:line="360" w:lineRule="auto"/>
        <w:ind w:firstLine="409" w:firstLineChars="195"/>
        <w:rPr>
          <w:rFonts w:hint="eastAsia" w:ascii="宋体" w:hAnsi="宋体" w:eastAsia="宋体" w:cs="宋体"/>
          <w:bCs/>
          <w:iCs/>
          <w:color w:val="auto"/>
          <w:highlight w:val="none"/>
        </w:rPr>
      </w:pPr>
    </w:p>
    <w:p w14:paraId="51441BE4">
      <w:pPr>
        <w:spacing w:before="240" w:beforeLines="100" w:line="360" w:lineRule="auto"/>
        <w:ind w:firstLine="409" w:firstLineChars="195"/>
        <w:rPr>
          <w:rFonts w:hint="eastAsia" w:ascii="宋体" w:hAnsi="宋体" w:eastAsia="宋体" w:cs="宋体"/>
          <w:bCs/>
          <w:iCs/>
          <w:color w:val="auto"/>
          <w:highlight w:val="none"/>
        </w:rPr>
      </w:pPr>
    </w:p>
    <w:p w14:paraId="462D2858">
      <w:pPr>
        <w:spacing w:before="240" w:beforeLines="100" w:line="360" w:lineRule="auto"/>
        <w:ind w:firstLine="409" w:firstLineChars="195"/>
        <w:rPr>
          <w:rFonts w:hint="eastAsia" w:ascii="宋体" w:hAnsi="宋体" w:eastAsia="宋体" w:cs="宋体"/>
          <w:bCs/>
          <w:iCs/>
          <w:color w:val="auto"/>
          <w:highlight w:val="none"/>
        </w:rPr>
      </w:pPr>
    </w:p>
    <w:p w14:paraId="7394F040">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九、其他证明材料</w:t>
      </w:r>
    </w:p>
    <w:p w14:paraId="43D84750">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Theme="minorEastAsia" w:hAnsiTheme="minorEastAsia" w:eastAsiaTheme="minorEastAsia" w:cstheme="minorEastAsia"/>
          <w:b w:val="0"/>
          <w:bCs/>
          <w:color w:val="auto"/>
          <w:spacing w:val="6"/>
          <w:kern w:val="0"/>
          <w:sz w:val="22"/>
          <w:szCs w:val="22"/>
          <w:highlight w:val="none"/>
        </w:rPr>
      </w:pPr>
      <w:r>
        <w:rPr>
          <w:rFonts w:hint="eastAsia" w:asciiTheme="minorEastAsia" w:hAnsiTheme="minorEastAsia" w:eastAsiaTheme="minorEastAsia" w:cstheme="minorEastAsia"/>
          <w:color w:val="auto"/>
          <w:sz w:val="22"/>
          <w:szCs w:val="22"/>
          <w:highlight w:val="none"/>
        </w:rPr>
        <w:t>说明：</w:t>
      </w:r>
      <w:bookmarkStart w:id="271" w:name="_Toc205"/>
      <w:r>
        <w:rPr>
          <w:rFonts w:hint="eastAsia" w:asciiTheme="minorEastAsia" w:hAnsiTheme="minorEastAsia" w:eastAsiaTheme="minorEastAsia" w:cstheme="minorEastAsia"/>
          <w:b w:val="0"/>
          <w:bCs/>
          <w:color w:val="auto"/>
          <w:spacing w:val="6"/>
          <w:kern w:val="0"/>
          <w:sz w:val="22"/>
          <w:szCs w:val="22"/>
          <w:highlight w:val="none"/>
          <w:lang w:val="en-US" w:eastAsia="zh-CN"/>
        </w:rPr>
        <w:t>（1）</w:t>
      </w:r>
      <w:r>
        <w:rPr>
          <w:rFonts w:hint="eastAsia" w:asciiTheme="minorEastAsia" w:hAnsiTheme="minorEastAsia" w:eastAsiaTheme="minorEastAsia" w:cstheme="minorEastAsia"/>
          <w:b w:val="0"/>
          <w:bCs/>
          <w:color w:val="auto"/>
          <w:spacing w:val="6"/>
          <w:kern w:val="0"/>
          <w:sz w:val="22"/>
          <w:szCs w:val="22"/>
          <w:highlight w:val="none"/>
        </w:rPr>
        <w:t>投标人提供</w:t>
      </w:r>
      <w:r>
        <w:rPr>
          <w:rFonts w:hint="eastAsia" w:asciiTheme="minorEastAsia" w:hAnsiTheme="minorEastAsia" w:eastAsiaTheme="minorEastAsia" w:cstheme="minorEastAsia"/>
          <w:b w:val="0"/>
          <w:bCs/>
          <w:color w:val="auto"/>
          <w:spacing w:val="6"/>
          <w:kern w:val="0"/>
          <w:sz w:val="22"/>
          <w:szCs w:val="22"/>
          <w:highlight w:val="none"/>
          <w:lang w:val="en-US" w:eastAsia="zh-CN"/>
        </w:rPr>
        <w:t>2023年01月01日至今类似业绩</w:t>
      </w:r>
      <w:r>
        <w:rPr>
          <w:rFonts w:hint="eastAsia" w:asciiTheme="minorEastAsia" w:hAnsiTheme="minorEastAsia" w:eastAsiaTheme="minorEastAsia" w:cstheme="minorEastAsia"/>
          <w:b w:val="0"/>
          <w:bCs/>
          <w:color w:val="auto"/>
          <w:spacing w:val="6"/>
          <w:kern w:val="0"/>
          <w:sz w:val="22"/>
          <w:szCs w:val="22"/>
          <w:highlight w:val="none"/>
        </w:rPr>
        <w:t>证明材料；</w:t>
      </w:r>
      <w:bookmarkEnd w:id="271"/>
    </w:p>
    <w:p w14:paraId="5935E441">
      <w:pPr>
        <w:pStyle w:val="3"/>
        <w:pageBreakBefore w:val="0"/>
        <w:widowControl w:val="0"/>
        <w:kinsoku/>
        <w:wordWrap/>
        <w:overflowPunct/>
        <w:topLinePunct w:val="0"/>
        <w:autoSpaceDE/>
        <w:autoSpaceDN/>
        <w:bidi w:val="0"/>
        <w:snapToGrid/>
        <w:spacing w:before="0" w:after="0" w:line="480" w:lineRule="exact"/>
        <w:textAlignment w:val="auto"/>
        <w:rPr>
          <w:rFonts w:hint="eastAsia" w:asciiTheme="minorEastAsia" w:hAnsiTheme="minorEastAsia" w:eastAsiaTheme="minorEastAsia" w:cstheme="minorEastAsia"/>
          <w:b w:val="0"/>
          <w:bCs/>
          <w:color w:val="auto"/>
          <w:sz w:val="22"/>
          <w:szCs w:val="22"/>
          <w:highlight w:val="none"/>
        </w:rPr>
      </w:pPr>
      <w:bookmarkStart w:id="272" w:name="_Toc16705"/>
      <w:r>
        <w:rPr>
          <w:rFonts w:hint="eastAsia" w:asciiTheme="minorEastAsia" w:hAnsiTheme="minorEastAsia" w:eastAsiaTheme="minorEastAsia" w:cstheme="minorEastAsia"/>
          <w:b w:val="0"/>
          <w:bCs/>
          <w:color w:val="auto"/>
          <w:sz w:val="22"/>
          <w:szCs w:val="22"/>
          <w:highlight w:val="none"/>
        </w:rPr>
        <w:t xml:space="preserve">投标人名称：                                                  </w:t>
      </w:r>
      <w:r>
        <w:rPr>
          <w:rFonts w:hint="eastAsia" w:asciiTheme="minorEastAsia" w:hAnsiTheme="minorEastAsia" w:eastAsiaTheme="minorEastAsia" w:cstheme="minorEastAsia"/>
          <w:b w:val="0"/>
          <w:bCs/>
          <w:color w:val="auto"/>
          <w:sz w:val="22"/>
          <w:szCs w:val="22"/>
          <w:highlight w:val="none"/>
          <w:lang w:val="en-US" w:eastAsia="zh-CN"/>
        </w:rPr>
        <w:t xml:space="preserve">         </w:t>
      </w:r>
      <w:r>
        <w:rPr>
          <w:rFonts w:hint="eastAsia" w:asciiTheme="minorEastAsia" w:hAnsiTheme="minorEastAsia" w:eastAsiaTheme="minorEastAsia" w:cstheme="minorEastAsia"/>
          <w:b w:val="0"/>
          <w:bCs/>
          <w:color w:val="auto"/>
          <w:sz w:val="22"/>
          <w:szCs w:val="22"/>
          <w:highlight w:val="none"/>
        </w:rPr>
        <w:t>单位：万元</w:t>
      </w:r>
      <w:bookmarkEnd w:id="272"/>
    </w:p>
    <w:tbl>
      <w:tblPr>
        <w:tblStyle w:val="2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3"/>
        <w:gridCol w:w="1596"/>
        <w:gridCol w:w="1288"/>
        <w:gridCol w:w="1259"/>
        <w:gridCol w:w="1701"/>
        <w:gridCol w:w="904"/>
      </w:tblGrid>
      <w:tr w14:paraId="01C6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5" w:type="dxa"/>
            <w:noWrap w:val="0"/>
            <w:vAlign w:val="center"/>
          </w:tcPr>
          <w:p w14:paraId="74010E38">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年份</w:t>
            </w:r>
          </w:p>
        </w:tc>
        <w:tc>
          <w:tcPr>
            <w:tcW w:w="1333" w:type="dxa"/>
            <w:noWrap w:val="0"/>
            <w:vAlign w:val="center"/>
          </w:tcPr>
          <w:p w14:paraId="2F503F75">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用户名称</w:t>
            </w:r>
          </w:p>
        </w:tc>
        <w:tc>
          <w:tcPr>
            <w:tcW w:w="1596" w:type="dxa"/>
            <w:noWrap w:val="0"/>
            <w:vAlign w:val="center"/>
          </w:tcPr>
          <w:p w14:paraId="523C73CD">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项目名称</w:t>
            </w:r>
          </w:p>
        </w:tc>
        <w:tc>
          <w:tcPr>
            <w:tcW w:w="1288" w:type="dxa"/>
            <w:noWrap w:val="0"/>
            <w:vAlign w:val="center"/>
          </w:tcPr>
          <w:p w14:paraId="47AD75D4">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合同金额</w:t>
            </w:r>
          </w:p>
        </w:tc>
        <w:tc>
          <w:tcPr>
            <w:tcW w:w="1259" w:type="dxa"/>
            <w:noWrap w:val="0"/>
            <w:vAlign w:val="center"/>
          </w:tcPr>
          <w:p w14:paraId="0E83C711">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完成时间</w:t>
            </w:r>
          </w:p>
        </w:tc>
        <w:tc>
          <w:tcPr>
            <w:tcW w:w="1701" w:type="dxa"/>
            <w:noWrap w:val="0"/>
            <w:vAlign w:val="center"/>
          </w:tcPr>
          <w:p w14:paraId="658FE0A6">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是否通过验收</w:t>
            </w:r>
          </w:p>
        </w:tc>
        <w:tc>
          <w:tcPr>
            <w:tcW w:w="904" w:type="dxa"/>
            <w:noWrap w:val="0"/>
            <w:vAlign w:val="center"/>
          </w:tcPr>
          <w:p w14:paraId="3AE7E7FC">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备注</w:t>
            </w:r>
          </w:p>
        </w:tc>
      </w:tr>
      <w:tr w14:paraId="35B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33D9733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A67C63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27CA1D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40881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2E7E23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16E5075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74A0E13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130B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2140E96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44975B7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063BDD7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235426D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B3D003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67D557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410AF83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7C8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5" w:type="dxa"/>
            <w:noWrap w:val="0"/>
            <w:vAlign w:val="top"/>
          </w:tcPr>
          <w:p w14:paraId="55D549D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598FB27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2CE2FF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4E5A594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2C13F0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771B2A8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08C8F1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28F8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5B0ECAA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4296413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6D282D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00E37EB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50BE46F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8E081B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7550BE0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6CFF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20BD204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00883EC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764CAD4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6CAB8AE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041D6C4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6495C3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379CC64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438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1C883B0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55AAE75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E78C28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4250FC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5F1871A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0893A39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40BD8A1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71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5" w:type="dxa"/>
            <w:noWrap w:val="0"/>
            <w:vAlign w:val="top"/>
          </w:tcPr>
          <w:p w14:paraId="618A50D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65533BD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B9A92C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3180F66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24E429C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FBB2FF8">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44FA09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0A9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6E58201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861404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70178FB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4D68459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7F2E23C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89CD60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51311BB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3306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099E4A3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731D73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EA9A4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605756B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FC3D5C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375DE7A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124F34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691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786A57B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3C179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51E886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36BB17B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3249DC8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59CA52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15DB807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4225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314F18E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25D593C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6D81C30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D300B9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B7CE26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916E22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65E2341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388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75AA2E1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3C739D9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48983B7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7714F8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4ED87A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0798AE0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605C237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11C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678F3ED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B9BA14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200A14D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0D405DA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3654BA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3A277E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547E228">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bl>
    <w:p w14:paraId="3791F2CD">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说明：1</w:t>
      </w:r>
      <w:r>
        <w:rPr>
          <w:rFonts w:hint="eastAsia" w:asciiTheme="minorEastAsia" w:hAnsiTheme="minorEastAsia" w:eastAsiaTheme="minorEastAsia" w:cstheme="minorEastAsia"/>
          <w:color w:val="auto"/>
          <w:kern w:val="0"/>
          <w:sz w:val="22"/>
          <w:szCs w:val="22"/>
          <w:highlight w:val="none"/>
          <w:lang w:val="zh-CN" w:eastAsia="zh-CN"/>
        </w:rPr>
        <w:t>.提供</w:t>
      </w:r>
      <w:r>
        <w:rPr>
          <w:rFonts w:hint="eastAsia" w:asciiTheme="minorEastAsia" w:hAnsiTheme="minorEastAsia" w:eastAsiaTheme="minorEastAsia" w:cstheme="minorEastAsia"/>
          <w:color w:val="auto"/>
          <w:kern w:val="0"/>
          <w:sz w:val="22"/>
          <w:szCs w:val="22"/>
          <w:highlight w:val="none"/>
          <w:lang w:val="en-US" w:eastAsia="zh-CN"/>
        </w:rPr>
        <w:t>2023年01月01日至今</w:t>
      </w:r>
      <w:r>
        <w:rPr>
          <w:rFonts w:hint="eastAsia" w:asciiTheme="minorEastAsia" w:hAnsiTheme="minorEastAsia" w:eastAsiaTheme="minorEastAsia" w:cstheme="minorEastAsia"/>
          <w:color w:val="auto"/>
          <w:kern w:val="0"/>
          <w:sz w:val="22"/>
          <w:szCs w:val="22"/>
          <w:highlight w:val="none"/>
          <w:lang w:val="zh-CN" w:eastAsia="zh-CN"/>
        </w:rPr>
        <w:t>以来的类似业绩证明材料。</w:t>
      </w:r>
      <w:r>
        <w:rPr>
          <w:rFonts w:hint="eastAsia" w:asciiTheme="minorEastAsia" w:hAnsiTheme="minorEastAsia" w:eastAsiaTheme="minorEastAsia" w:cstheme="minorEastAsia"/>
          <w:color w:val="auto"/>
          <w:kern w:val="0"/>
          <w:sz w:val="22"/>
          <w:szCs w:val="22"/>
          <w:highlight w:val="none"/>
          <w:lang w:val="en-US" w:eastAsia="zh-CN"/>
        </w:rPr>
        <w:t>仅限于供应商自己实施的，以上业绩需提供有关书面证明材料</w:t>
      </w:r>
      <w:bookmarkStart w:id="273" w:name="_Toc10015_WPSOffice_Level2"/>
      <w:r>
        <w:rPr>
          <w:rFonts w:hint="eastAsia" w:asciiTheme="minorEastAsia" w:hAnsiTheme="minorEastAsia" w:eastAsiaTheme="minorEastAsia" w:cstheme="minorEastAsia"/>
          <w:color w:val="auto"/>
          <w:kern w:val="0"/>
          <w:sz w:val="22"/>
          <w:szCs w:val="22"/>
          <w:highlight w:val="none"/>
          <w:lang w:val="en-US" w:eastAsia="zh-CN"/>
        </w:rPr>
        <w:t>。</w:t>
      </w:r>
      <w:bookmarkEnd w:id="273"/>
      <w:r>
        <w:rPr>
          <w:rFonts w:hint="eastAsia" w:asciiTheme="minorEastAsia" w:hAnsiTheme="minorEastAsia" w:eastAsiaTheme="minorEastAsia" w:cstheme="minorEastAsia"/>
          <w:color w:val="auto"/>
          <w:kern w:val="0"/>
          <w:sz w:val="22"/>
          <w:szCs w:val="22"/>
          <w:highlight w:val="none"/>
          <w:lang w:val="en-US" w:eastAsia="zh-CN"/>
        </w:rPr>
        <w:t>2</w:t>
      </w:r>
      <w:r>
        <w:rPr>
          <w:rFonts w:hint="eastAsia" w:asciiTheme="minorEastAsia" w:hAnsiTheme="minorEastAsia" w:eastAsiaTheme="minorEastAsia" w:cstheme="minorEastAsia"/>
          <w:color w:val="auto"/>
          <w:kern w:val="0"/>
          <w:sz w:val="22"/>
          <w:szCs w:val="22"/>
          <w:highlight w:val="none"/>
          <w:lang w:val="zh-CN" w:eastAsia="zh-CN"/>
        </w:rPr>
        <w:t>.投标人未按上述要求提供、填写的，评标时不予加分。</w:t>
      </w:r>
    </w:p>
    <w:p w14:paraId="7C916618">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CE308D3">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r>
        <w:rPr>
          <w:rFonts w:hint="eastAsia" w:ascii="宋体" w:hAnsi="宋体" w:eastAsia="宋体" w:cs="宋体"/>
          <w:bCs/>
          <w:color w:val="auto"/>
          <w:sz w:val="22"/>
          <w:szCs w:val="22"/>
          <w:highlight w:val="none"/>
        </w:rPr>
        <w:t xml:space="preserve">                </w:t>
      </w:r>
    </w:p>
    <w:p w14:paraId="41FE4477">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 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B59FA89">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ind w:firstLine="464" w:firstLineChars="200"/>
        <w:textAlignment w:val="auto"/>
        <w:rPr>
          <w:rFonts w:hint="eastAsia" w:asciiTheme="minorEastAsia" w:hAnsiTheme="minorEastAsia" w:eastAsiaTheme="minorEastAsia" w:cstheme="minorEastAsia"/>
          <w:bCs/>
          <w:color w:val="auto"/>
          <w:spacing w:val="6"/>
          <w:kern w:val="0"/>
          <w:sz w:val="22"/>
          <w:szCs w:val="22"/>
          <w:highlight w:val="none"/>
        </w:rPr>
      </w:pPr>
      <w:r>
        <w:rPr>
          <w:rFonts w:hint="eastAsia" w:asciiTheme="minorEastAsia" w:hAnsiTheme="minorEastAsia" w:eastAsiaTheme="minorEastAsia" w:cstheme="minorEastAsia"/>
          <w:bCs/>
          <w:color w:val="auto"/>
          <w:spacing w:val="6"/>
          <w:kern w:val="0"/>
          <w:sz w:val="22"/>
          <w:szCs w:val="22"/>
          <w:highlight w:val="none"/>
          <w:lang w:val="en-US" w:eastAsia="zh-CN"/>
        </w:rPr>
        <w:t>（2）</w:t>
      </w:r>
      <w:r>
        <w:rPr>
          <w:rFonts w:hint="eastAsia" w:asciiTheme="minorEastAsia" w:hAnsiTheme="minorEastAsia" w:eastAsiaTheme="minorEastAsia" w:cstheme="minorEastAsia"/>
          <w:bCs/>
          <w:color w:val="auto"/>
          <w:spacing w:val="6"/>
          <w:kern w:val="0"/>
          <w:sz w:val="22"/>
          <w:szCs w:val="22"/>
          <w:highlight w:val="none"/>
        </w:rPr>
        <w:t>其他条件证明材料，非投标人必备证明材料，仅作为评审的因素。</w:t>
      </w:r>
    </w:p>
    <w:p w14:paraId="6A3398AA">
      <w:pPr>
        <w:pageBreakBefore w:val="0"/>
        <w:widowControl w:val="0"/>
        <w:kinsoku/>
        <w:wordWrap/>
        <w:overflowPunct/>
        <w:topLinePunct w:val="0"/>
        <w:bidi w:val="0"/>
        <w:adjustRightInd w:val="0"/>
        <w:snapToGrid/>
        <w:spacing w:line="480" w:lineRule="exact"/>
        <w:jc w:val="center"/>
        <w:textAlignment w:val="auto"/>
        <w:rPr>
          <w:rFonts w:hint="eastAsia" w:asciiTheme="minorEastAsia" w:hAnsiTheme="minorEastAsia" w:eastAsiaTheme="minorEastAsia" w:cstheme="minorEastAsia"/>
          <w:b/>
          <w:bCs/>
          <w:color w:val="auto"/>
          <w:sz w:val="22"/>
          <w:szCs w:val="22"/>
          <w:highlight w:val="none"/>
        </w:rPr>
      </w:pPr>
    </w:p>
    <w:p w14:paraId="2E6BAA7B">
      <w:pPr>
        <w:adjustRightInd w:val="0"/>
        <w:spacing w:after="480" w:afterLines="200" w:line="360" w:lineRule="auto"/>
        <w:jc w:val="center"/>
        <w:rPr>
          <w:rFonts w:hint="eastAsia" w:ascii="宋体" w:hAnsi="宋体" w:eastAsia="宋体" w:cs="宋体"/>
          <w:b/>
          <w:bCs/>
          <w:color w:val="auto"/>
          <w:sz w:val="36"/>
          <w:szCs w:val="36"/>
          <w:highlight w:val="none"/>
        </w:rPr>
      </w:pPr>
    </w:p>
    <w:p w14:paraId="624EC0F4">
      <w:pPr>
        <w:pStyle w:val="3"/>
        <w:pageBreakBefore w:val="0"/>
        <w:widowControl w:val="0"/>
        <w:kinsoku/>
        <w:wordWrap/>
        <w:overflowPunct/>
        <w:topLinePunct w:val="0"/>
        <w:autoSpaceDE/>
        <w:autoSpaceDN/>
        <w:bidi w:val="0"/>
        <w:spacing w:before="0" w:after="0" w:line="480" w:lineRule="exact"/>
        <w:ind w:right="0"/>
        <w:jc w:val="center"/>
        <w:textAlignment w:val="auto"/>
        <w:rPr>
          <w:rFonts w:hint="eastAsia" w:ascii="宋体" w:hAnsi="宋体" w:eastAsia="宋体" w:cs="宋体"/>
          <w:b/>
          <w:color w:val="auto"/>
          <w:kern w:val="2"/>
          <w:sz w:val="32"/>
          <w:szCs w:val="32"/>
          <w:highlight w:val="none"/>
          <w:lang w:val="en-US" w:eastAsia="zh-CN" w:bidi="ar-SA"/>
        </w:rPr>
      </w:pPr>
      <w:bookmarkStart w:id="274" w:name="_Toc5934"/>
      <w:r>
        <w:rPr>
          <w:rFonts w:hint="eastAsia" w:ascii="宋体" w:hAnsi="宋体" w:eastAsia="宋体" w:cs="宋体"/>
          <w:b/>
          <w:color w:val="auto"/>
          <w:kern w:val="2"/>
          <w:sz w:val="32"/>
          <w:szCs w:val="32"/>
          <w:highlight w:val="none"/>
          <w:lang w:val="en-US" w:eastAsia="zh-CN" w:bidi="ar-SA"/>
        </w:rPr>
        <w:t>十、</w:t>
      </w:r>
      <w:bookmarkEnd w:id="274"/>
      <w:r>
        <w:rPr>
          <w:rFonts w:hint="eastAsia" w:ascii="宋体" w:hAnsi="宋体" w:eastAsia="宋体" w:cs="宋体"/>
          <w:b/>
          <w:color w:val="auto"/>
          <w:kern w:val="2"/>
          <w:sz w:val="32"/>
          <w:szCs w:val="32"/>
          <w:highlight w:val="none"/>
          <w:lang w:val="en-US" w:eastAsia="zh-CN" w:bidi="ar-SA"/>
        </w:rPr>
        <w:t>技术规格偏离表</w:t>
      </w:r>
    </w:p>
    <w:p w14:paraId="1C3FF6CD">
      <w:pPr>
        <w:pStyle w:val="7"/>
        <w:pageBreakBefore w:val="0"/>
        <w:widowControl w:val="0"/>
        <w:kinsoku/>
        <w:wordWrap/>
        <w:overflowPunct/>
        <w:topLinePunct w:val="0"/>
        <w:autoSpaceDE/>
        <w:autoSpaceDN/>
        <w:bidi w:val="0"/>
        <w:spacing w:line="480" w:lineRule="exact"/>
        <w:ind w:right="0" w:firstLine="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投标人名称：                                  </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项目编号：</w:t>
      </w:r>
    </w:p>
    <w:tbl>
      <w:tblPr>
        <w:tblStyle w:val="23"/>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39"/>
        <w:gridCol w:w="2212"/>
        <w:gridCol w:w="1270"/>
        <w:gridCol w:w="1270"/>
        <w:gridCol w:w="813"/>
      </w:tblGrid>
      <w:tr w14:paraId="07CC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47" w:type="dxa"/>
            <w:noWrap w:val="0"/>
            <w:vAlign w:val="center"/>
          </w:tcPr>
          <w:p w14:paraId="02E66ECE">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639" w:type="dxa"/>
            <w:noWrap w:val="0"/>
            <w:vAlign w:val="center"/>
          </w:tcPr>
          <w:p w14:paraId="6835C47A">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cs="宋体"/>
                <w:b/>
                <w:color w:val="auto"/>
                <w:sz w:val="22"/>
                <w:szCs w:val="22"/>
                <w:highlight w:val="none"/>
                <w:lang w:val="en-US" w:eastAsia="zh-CN"/>
              </w:rPr>
              <w:t>招标文件</w:t>
            </w:r>
            <w:r>
              <w:rPr>
                <w:rFonts w:hint="eastAsia" w:ascii="宋体" w:hAnsi="宋体" w:eastAsia="宋体" w:cs="宋体"/>
                <w:b/>
                <w:color w:val="auto"/>
                <w:sz w:val="22"/>
                <w:szCs w:val="22"/>
                <w:highlight w:val="none"/>
              </w:rPr>
              <w:t>采购规格及技术需求</w:t>
            </w:r>
          </w:p>
        </w:tc>
        <w:tc>
          <w:tcPr>
            <w:tcW w:w="2212" w:type="dxa"/>
            <w:noWrap w:val="0"/>
            <w:vAlign w:val="center"/>
          </w:tcPr>
          <w:p w14:paraId="1766D4EA">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投标文件规格及技术参数</w:t>
            </w:r>
          </w:p>
        </w:tc>
        <w:tc>
          <w:tcPr>
            <w:tcW w:w="1270" w:type="dxa"/>
            <w:noWrap w:val="0"/>
            <w:vAlign w:val="center"/>
          </w:tcPr>
          <w:p w14:paraId="6424036D">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270" w:type="dxa"/>
            <w:noWrap w:val="0"/>
            <w:vAlign w:val="center"/>
          </w:tcPr>
          <w:p w14:paraId="0C6EC02D">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813" w:type="dxa"/>
            <w:noWrap w:val="0"/>
            <w:vAlign w:val="center"/>
          </w:tcPr>
          <w:p w14:paraId="11B8455B">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备注</w:t>
            </w:r>
          </w:p>
        </w:tc>
      </w:tr>
      <w:tr w14:paraId="57BE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58C24A3">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1A59FBCC">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896B0BD">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0174B60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0111B0B5">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219CAD8E">
            <w:pPr>
              <w:adjustRightInd w:val="0"/>
              <w:snapToGrid w:val="0"/>
              <w:spacing w:line="360" w:lineRule="auto"/>
              <w:ind w:right="24"/>
              <w:rPr>
                <w:rFonts w:hint="eastAsia" w:ascii="宋体" w:hAnsi="宋体" w:eastAsia="宋体" w:cs="宋体"/>
                <w:bCs/>
                <w:color w:val="auto"/>
                <w:sz w:val="28"/>
                <w:szCs w:val="28"/>
                <w:highlight w:val="none"/>
              </w:rPr>
            </w:pPr>
          </w:p>
        </w:tc>
      </w:tr>
      <w:tr w14:paraId="7D6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64883CF">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E3DCB94">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2312112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6694E1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4370C4B">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79AA73E">
            <w:pPr>
              <w:adjustRightInd w:val="0"/>
              <w:snapToGrid w:val="0"/>
              <w:spacing w:line="360" w:lineRule="auto"/>
              <w:ind w:right="24"/>
              <w:rPr>
                <w:rFonts w:hint="eastAsia" w:ascii="宋体" w:hAnsi="宋体" w:eastAsia="宋体" w:cs="宋体"/>
                <w:bCs/>
                <w:color w:val="auto"/>
                <w:sz w:val="28"/>
                <w:szCs w:val="28"/>
                <w:highlight w:val="none"/>
              </w:rPr>
            </w:pPr>
          </w:p>
        </w:tc>
      </w:tr>
      <w:tr w14:paraId="0CD4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CD7CEAF">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B8667C0">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EAA53E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A159F8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64DF4F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F55D377">
            <w:pPr>
              <w:adjustRightInd w:val="0"/>
              <w:snapToGrid w:val="0"/>
              <w:spacing w:line="360" w:lineRule="auto"/>
              <w:ind w:right="24"/>
              <w:rPr>
                <w:rFonts w:hint="eastAsia" w:ascii="宋体" w:hAnsi="宋体" w:eastAsia="宋体" w:cs="宋体"/>
                <w:bCs/>
                <w:color w:val="auto"/>
                <w:sz w:val="28"/>
                <w:szCs w:val="28"/>
                <w:highlight w:val="none"/>
              </w:rPr>
            </w:pPr>
          </w:p>
        </w:tc>
      </w:tr>
      <w:tr w14:paraId="79B5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7140FF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BA85B3F">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BD0E29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A35BE9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C5C200C">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2B40C8B1">
            <w:pPr>
              <w:adjustRightInd w:val="0"/>
              <w:snapToGrid w:val="0"/>
              <w:spacing w:line="360" w:lineRule="auto"/>
              <w:ind w:right="24"/>
              <w:rPr>
                <w:rFonts w:hint="eastAsia" w:ascii="宋体" w:hAnsi="宋体" w:eastAsia="宋体" w:cs="宋体"/>
                <w:bCs/>
                <w:color w:val="auto"/>
                <w:sz w:val="28"/>
                <w:szCs w:val="28"/>
                <w:highlight w:val="none"/>
              </w:rPr>
            </w:pPr>
          </w:p>
        </w:tc>
      </w:tr>
      <w:tr w14:paraId="6CA9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BE9CB4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34D40979">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1726CA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D17F3D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5033133">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43C4EE6">
            <w:pPr>
              <w:adjustRightInd w:val="0"/>
              <w:snapToGrid w:val="0"/>
              <w:spacing w:line="360" w:lineRule="auto"/>
              <w:ind w:right="24"/>
              <w:rPr>
                <w:rFonts w:hint="eastAsia" w:ascii="宋体" w:hAnsi="宋体" w:eastAsia="宋体" w:cs="宋体"/>
                <w:bCs/>
                <w:color w:val="auto"/>
                <w:sz w:val="28"/>
                <w:szCs w:val="28"/>
                <w:highlight w:val="none"/>
              </w:rPr>
            </w:pPr>
          </w:p>
        </w:tc>
      </w:tr>
      <w:tr w14:paraId="72A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4FFC63A">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C005DE0">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242BFA51">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05D5DD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85406E2">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692C589B">
            <w:pPr>
              <w:adjustRightInd w:val="0"/>
              <w:snapToGrid w:val="0"/>
              <w:spacing w:line="360" w:lineRule="auto"/>
              <w:ind w:right="24"/>
              <w:rPr>
                <w:rFonts w:hint="eastAsia" w:ascii="宋体" w:hAnsi="宋体" w:eastAsia="宋体" w:cs="宋体"/>
                <w:bCs/>
                <w:color w:val="auto"/>
                <w:sz w:val="28"/>
                <w:szCs w:val="28"/>
                <w:highlight w:val="none"/>
              </w:rPr>
            </w:pPr>
          </w:p>
        </w:tc>
      </w:tr>
      <w:tr w14:paraId="2BBB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EB7B86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E52FD8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7E87ABA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CF12F1A">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D6C50B2">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4D96DA98">
            <w:pPr>
              <w:adjustRightInd w:val="0"/>
              <w:snapToGrid w:val="0"/>
              <w:spacing w:line="360" w:lineRule="auto"/>
              <w:ind w:right="24"/>
              <w:rPr>
                <w:rFonts w:hint="eastAsia" w:ascii="宋体" w:hAnsi="宋体" w:eastAsia="宋体" w:cs="宋体"/>
                <w:bCs/>
                <w:color w:val="auto"/>
                <w:sz w:val="28"/>
                <w:szCs w:val="28"/>
                <w:highlight w:val="none"/>
              </w:rPr>
            </w:pPr>
          </w:p>
        </w:tc>
      </w:tr>
      <w:tr w14:paraId="1A9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20A6D473">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21771C78">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4B60744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3180AF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D0BD61C">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69CCC510">
            <w:pPr>
              <w:adjustRightInd w:val="0"/>
              <w:snapToGrid w:val="0"/>
              <w:spacing w:line="360" w:lineRule="auto"/>
              <w:ind w:right="24"/>
              <w:rPr>
                <w:rFonts w:hint="eastAsia" w:ascii="宋体" w:hAnsi="宋体" w:eastAsia="宋体" w:cs="宋体"/>
                <w:bCs/>
                <w:color w:val="auto"/>
                <w:sz w:val="28"/>
                <w:szCs w:val="28"/>
                <w:highlight w:val="none"/>
              </w:rPr>
            </w:pPr>
          </w:p>
        </w:tc>
      </w:tr>
      <w:tr w14:paraId="781F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D05F000">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CCBBD9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1D162846">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051772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8FCC5CE">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A0A32DB">
            <w:pPr>
              <w:adjustRightInd w:val="0"/>
              <w:snapToGrid w:val="0"/>
              <w:spacing w:line="360" w:lineRule="auto"/>
              <w:ind w:right="24"/>
              <w:rPr>
                <w:rFonts w:hint="eastAsia" w:ascii="宋体" w:hAnsi="宋体" w:eastAsia="宋体" w:cs="宋体"/>
                <w:bCs/>
                <w:color w:val="auto"/>
                <w:sz w:val="28"/>
                <w:szCs w:val="28"/>
                <w:highlight w:val="none"/>
              </w:rPr>
            </w:pPr>
          </w:p>
        </w:tc>
      </w:tr>
      <w:tr w14:paraId="3211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4A14240">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E82D7DB">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4E96CEB2">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63155E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CADF0C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5717C4BA">
            <w:pPr>
              <w:adjustRightInd w:val="0"/>
              <w:snapToGrid w:val="0"/>
              <w:spacing w:line="360" w:lineRule="auto"/>
              <w:ind w:right="24"/>
              <w:rPr>
                <w:rFonts w:hint="eastAsia" w:ascii="宋体" w:hAnsi="宋体" w:eastAsia="宋体" w:cs="宋体"/>
                <w:bCs/>
                <w:color w:val="auto"/>
                <w:sz w:val="28"/>
                <w:szCs w:val="28"/>
                <w:highlight w:val="none"/>
              </w:rPr>
            </w:pPr>
          </w:p>
        </w:tc>
      </w:tr>
      <w:tr w14:paraId="7ED8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719B3AB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5E7733D">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E3CD31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97FDDA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30BB65A">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03079EEC">
            <w:pPr>
              <w:adjustRightInd w:val="0"/>
              <w:snapToGrid w:val="0"/>
              <w:spacing w:line="360" w:lineRule="auto"/>
              <w:ind w:right="24"/>
              <w:rPr>
                <w:rFonts w:hint="eastAsia" w:ascii="宋体" w:hAnsi="宋体" w:eastAsia="宋体" w:cs="宋体"/>
                <w:bCs/>
                <w:color w:val="auto"/>
                <w:sz w:val="28"/>
                <w:szCs w:val="28"/>
                <w:highlight w:val="none"/>
              </w:rPr>
            </w:pPr>
          </w:p>
        </w:tc>
      </w:tr>
      <w:tr w14:paraId="69D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02E44E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FCB79B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59309A9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C9C3A1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8E0CB7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5B38002B">
            <w:pPr>
              <w:adjustRightInd w:val="0"/>
              <w:snapToGrid w:val="0"/>
              <w:spacing w:line="360" w:lineRule="auto"/>
              <w:ind w:right="24"/>
              <w:rPr>
                <w:rFonts w:hint="eastAsia" w:ascii="宋体" w:hAnsi="宋体" w:eastAsia="宋体" w:cs="宋体"/>
                <w:bCs/>
                <w:color w:val="auto"/>
                <w:sz w:val="28"/>
                <w:szCs w:val="28"/>
                <w:highlight w:val="none"/>
              </w:rPr>
            </w:pPr>
          </w:p>
        </w:tc>
      </w:tr>
      <w:tr w14:paraId="404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CCC903E">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50C43AD">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641B34D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8F9030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336CF13">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36EC5D05">
            <w:pPr>
              <w:adjustRightInd w:val="0"/>
              <w:snapToGrid w:val="0"/>
              <w:spacing w:line="360" w:lineRule="auto"/>
              <w:ind w:right="24"/>
              <w:rPr>
                <w:rFonts w:hint="eastAsia" w:ascii="宋体" w:hAnsi="宋体" w:eastAsia="宋体" w:cs="宋体"/>
                <w:bCs/>
                <w:color w:val="auto"/>
                <w:sz w:val="28"/>
                <w:szCs w:val="28"/>
                <w:highlight w:val="none"/>
              </w:rPr>
            </w:pPr>
          </w:p>
        </w:tc>
      </w:tr>
      <w:tr w14:paraId="4FA5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6844BA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0902D5D6">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6661666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D610F8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9A9171B">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18722401">
            <w:pPr>
              <w:adjustRightInd w:val="0"/>
              <w:snapToGrid w:val="0"/>
              <w:spacing w:line="360" w:lineRule="auto"/>
              <w:ind w:right="24"/>
              <w:rPr>
                <w:rFonts w:hint="eastAsia" w:ascii="宋体" w:hAnsi="宋体" w:eastAsia="宋体" w:cs="宋体"/>
                <w:bCs/>
                <w:color w:val="auto"/>
                <w:sz w:val="28"/>
                <w:szCs w:val="28"/>
                <w:highlight w:val="none"/>
              </w:rPr>
            </w:pPr>
          </w:p>
        </w:tc>
      </w:tr>
      <w:tr w14:paraId="0CA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94E1247">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043CA46">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04EA79D">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305A3F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288527D">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8CCA648">
            <w:pPr>
              <w:adjustRightInd w:val="0"/>
              <w:snapToGrid w:val="0"/>
              <w:spacing w:line="360" w:lineRule="auto"/>
              <w:ind w:right="24"/>
              <w:rPr>
                <w:rFonts w:hint="eastAsia" w:ascii="宋体" w:hAnsi="宋体" w:eastAsia="宋体" w:cs="宋体"/>
                <w:bCs/>
                <w:color w:val="auto"/>
                <w:sz w:val="28"/>
                <w:szCs w:val="28"/>
                <w:highlight w:val="none"/>
              </w:rPr>
            </w:pPr>
          </w:p>
        </w:tc>
      </w:tr>
    </w:tbl>
    <w:p w14:paraId="2F6A25AD">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注：1、通过篡改数据响应的按照无效标处理并追究法律责任。在交货后，发现部分不能实现，</w:t>
      </w:r>
      <w:r>
        <w:rPr>
          <w:rFonts w:hint="eastAsia" w:ascii="宋体" w:hAnsi="宋体" w:eastAsia="宋体" w:cs="宋体"/>
          <w:b/>
          <w:bCs/>
          <w:color w:val="auto"/>
          <w:sz w:val="22"/>
          <w:szCs w:val="22"/>
          <w:highlight w:val="none"/>
          <w:lang w:val="en-US" w:eastAsia="zh-CN"/>
        </w:rPr>
        <w:t>采购人</w:t>
      </w:r>
      <w:r>
        <w:rPr>
          <w:rFonts w:hint="eastAsia" w:ascii="宋体" w:hAnsi="宋体" w:eastAsia="宋体" w:cs="宋体"/>
          <w:b/>
          <w:bCs/>
          <w:color w:val="auto"/>
          <w:sz w:val="22"/>
          <w:szCs w:val="22"/>
          <w:highlight w:val="none"/>
        </w:rPr>
        <w:t>有权退货并索取赔偿。2、产品中标后验收过程中如果发现有不满足招标要求的、篡改参数，投标产品与交货产品不一致的，用户可以拒绝付款。</w:t>
      </w:r>
    </w:p>
    <w:p w14:paraId="4652E15F">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4865342">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p>
    <w:p w14:paraId="7AAA44D3">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w:t>
      </w:r>
      <w:bookmarkStart w:id="275" w:name="_Toc217446088"/>
      <w:r>
        <w:rPr>
          <w:rFonts w:hint="eastAsia" w:ascii="宋体" w:hAnsi="宋体" w:eastAsia="宋体" w:cs="宋体"/>
          <w:bCs/>
          <w:color w:val="auto"/>
          <w:sz w:val="22"/>
          <w:szCs w:val="22"/>
          <w:highlight w:val="none"/>
        </w:rPr>
        <w:t>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E0A6610">
      <w:pPr>
        <w:pStyle w:val="35"/>
        <w:rPr>
          <w:rFonts w:hint="eastAsia" w:ascii="宋体" w:hAnsi="宋体" w:eastAsia="宋体" w:cs="宋体"/>
          <w:bCs/>
          <w:color w:val="auto"/>
          <w:szCs w:val="21"/>
          <w:highlight w:val="none"/>
        </w:rPr>
      </w:pPr>
    </w:p>
    <w:p w14:paraId="779F8F50">
      <w:pPr>
        <w:pStyle w:val="35"/>
        <w:rPr>
          <w:rFonts w:hint="eastAsia" w:ascii="宋体" w:hAnsi="宋体" w:eastAsia="宋体" w:cs="宋体"/>
          <w:bCs/>
          <w:color w:val="auto"/>
          <w:szCs w:val="21"/>
          <w:highlight w:val="none"/>
        </w:rPr>
      </w:pPr>
    </w:p>
    <w:p w14:paraId="61036E67">
      <w:pPr>
        <w:pStyle w:val="35"/>
        <w:rPr>
          <w:rFonts w:hint="eastAsia" w:ascii="宋体" w:hAnsi="宋体" w:eastAsia="宋体" w:cs="宋体"/>
          <w:bCs/>
          <w:color w:val="auto"/>
          <w:szCs w:val="21"/>
          <w:highlight w:val="none"/>
        </w:rPr>
      </w:pPr>
    </w:p>
    <w:bookmarkEnd w:id="275"/>
    <w:p w14:paraId="3A66F57A">
      <w:pPr>
        <w:pStyle w:val="4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十一、投标人认为有必要补充说明的事项</w:t>
      </w:r>
    </w:p>
    <w:p w14:paraId="0EB32724">
      <w:pPr>
        <w:pStyle w:val="40"/>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 格式自定。</w:t>
      </w:r>
    </w:p>
    <w:p w14:paraId="788BEFBD">
      <w:pPr>
        <w:rPr>
          <w:rFonts w:hint="eastAsia" w:ascii="宋体" w:hAnsi="宋体" w:eastAsia="宋体" w:cs="宋体"/>
          <w:color w:val="auto"/>
          <w:highlight w:val="none"/>
        </w:rPr>
      </w:pPr>
    </w:p>
    <w:p w14:paraId="507A3AC0">
      <w:pPr>
        <w:rPr>
          <w:rFonts w:hint="eastAsia" w:ascii="宋体" w:hAnsi="宋体" w:eastAsia="宋体" w:cs="宋体"/>
          <w:color w:val="auto"/>
          <w:highlight w:val="none"/>
        </w:rPr>
      </w:pPr>
    </w:p>
    <w:p w14:paraId="26E150C6">
      <w:pPr>
        <w:rPr>
          <w:rFonts w:hint="eastAsia" w:ascii="宋体" w:hAnsi="宋体" w:eastAsia="宋体" w:cs="宋体"/>
          <w:color w:val="auto"/>
          <w:highlight w:val="none"/>
        </w:rPr>
      </w:pPr>
    </w:p>
    <w:p w14:paraId="70FC222B">
      <w:pPr>
        <w:rPr>
          <w:rFonts w:hint="eastAsia" w:ascii="宋体" w:hAnsi="宋体" w:eastAsia="宋体" w:cs="宋体"/>
          <w:color w:val="auto"/>
          <w:highlight w:val="none"/>
        </w:rPr>
      </w:pPr>
    </w:p>
    <w:p w14:paraId="3B2B11EB">
      <w:pPr>
        <w:rPr>
          <w:rFonts w:hint="eastAsia" w:ascii="宋体" w:hAnsi="宋体" w:eastAsia="宋体" w:cs="宋体"/>
          <w:color w:val="auto"/>
          <w:highlight w:val="none"/>
        </w:rPr>
      </w:pPr>
    </w:p>
    <w:p w14:paraId="42841B85">
      <w:pPr>
        <w:rPr>
          <w:rFonts w:hint="eastAsia" w:ascii="宋体" w:hAnsi="宋体" w:eastAsia="宋体" w:cs="宋体"/>
          <w:color w:val="auto"/>
          <w:highlight w:val="none"/>
        </w:rPr>
      </w:pPr>
    </w:p>
    <w:p w14:paraId="35A90A3B">
      <w:pPr>
        <w:rPr>
          <w:rFonts w:hint="eastAsia" w:ascii="宋体" w:hAnsi="宋体" w:eastAsia="宋体" w:cs="宋体"/>
          <w:color w:val="auto"/>
          <w:highlight w:val="none"/>
        </w:rPr>
      </w:pPr>
    </w:p>
    <w:p w14:paraId="6B506331">
      <w:pPr>
        <w:rPr>
          <w:rFonts w:hint="eastAsia" w:ascii="宋体" w:hAnsi="宋体" w:eastAsia="宋体" w:cs="宋体"/>
          <w:color w:val="auto"/>
          <w:highlight w:val="none"/>
        </w:rPr>
      </w:pPr>
    </w:p>
    <w:p w14:paraId="1AA0F190">
      <w:pPr>
        <w:rPr>
          <w:rFonts w:hint="eastAsia" w:ascii="宋体" w:hAnsi="宋体" w:eastAsia="宋体" w:cs="宋体"/>
          <w:color w:val="auto"/>
          <w:highlight w:val="none"/>
        </w:rPr>
      </w:pPr>
    </w:p>
    <w:p w14:paraId="45DAE3E6">
      <w:pPr>
        <w:rPr>
          <w:rFonts w:hint="eastAsia" w:ascii="宋体" w:hAnsi="宋体" w:eastAsia="宋体" w:cs="宋体"/>
          <w:color w:val="auto"/>
          <w:highlight w:val="none"/>
        </w:rPr>
      </w:pPr>
    </w:p>
    <w:p w14:paraId="4BF57ABA">
      <w:pPr>
        <w:rPr>
          <w:rFonts w:hint="eastAsia" w:ascii="宋体" w:hAnsi="宋体" w:eastAsia="宋体" w:cs="宋体"/>
          <w:color w:val="auto"/>
          <w:highlight w:val="none"/>
        </w:rPr>
      </w:pPr>
    </w:p>
    <w:p w14:paraId="2FF0BCA7">
      <w:pPr>
        <w:rPr>
          <w:rFonts w:hint="eastAsia" w:ascii="宋体" w:hAnsi="宋体" w:eastAsia="宋体" w:cs="宋体"/>
          <w:color w:val="auto"/>
          <w:highlight w:val="none"/>
        </w:rPr>
      </w:pPr>
    </w:p>
    <w:p w14:paraId="7FBB25C7">
      <w:pPr>
        <w:rPr>
          <w:rFonts w:hint="eastAsia" w:ascii="宋体" w:hAnsi="宋体" w:eastAsia="宋体" w:cs="宋体"/>
          <w:color w:val="auto"/>
          <w:highlight w:val="none"/>
        </w:rPr>
      </w:pPr>
    </w:p>
    <w:p w14:paraId="5D203D29">
      <w:pPr>
        <w:rPr>
          <w:rFonts w:hint="eastAsia" w:ascii="宋体" w:hAnsi="宋体" w:eastAsia="宋体" w:cs="宋体"/>
          <w:color w:val="auto"/>
          <w:highlight w:val="none"/>
        </w:rPr>
      </w:pPr>
    </w:p>
    <w:p w14:paraId="7E932003">
      <w:pPr>
        <w:rPr>
          <w:rFonts w:hint="eastAsia" w:ascii="宋体" w:hAnsi="宋体" w:eastAsia="宋体" w:cs="宋体"/>
          <w:color w:val="auto"/>
          <w:highlight w:val="none"/>
        </w:rPr>
      </w:pPr>
    </w:p>
    <w:p w14:paraId="15DC0AEF">
      <w:pPr>
        <w:rPr>
          <w:rFonts w:hint="eastAsia" w:ascii="宋体" w:hAnsi="宋体" w:eastAsia="宋体" w:cs="宋体"/>
          <w:color w:val="auto"/>
          <w:highlight w:val="none"/>
        </w:rPr>
      </w:pPr>
    </w:p>
    <w:p w14:paraId="4C161CCA">
      <w:pPr>
        <w:rPr>
          <w:rFonts w:hint="eastAsia" w:ascii="宋体" w:hAnsi="宋体" w:eastAsia="宋体" w:cs="宋体"/>
          <w:color w:val="auto"/>
          <w:highlight w:val="none"/>
        </w:rPr>
      </w:pPr>
    </w:p>
    <w:p w14:paraId="1FC13268">
      <w:pPr>
        <w:rPr>
          <w:rFonts w:hint="eastAsia" w:ascii="宋体" w:hAnsi="宋体" w:eastAsia="宋体" w:cs="宋体"/>
          <w:color w:val="auto"/>
          <w:highlight w:val="none"/>
        </w:rPr>
      </w:pPr>
    </w:p>
    <w:p w14:paraId="7F4852BF">
      <w:pPr>
        <w:rPr>
          <w:rFonts w:hint="eastAsia" w:ascii="宋体" w:hAnsi="宋体" w:eastAsia="宋体" w:cs="宋体"/>
          <w:color w:val="auto"/>
          <w:highlight w:val="none"/>
        </w:rPr>
      </w:pPr>
    </w:p>
    <w:p w14:paraId="169149B1">
      <w:pPr>
        <w:rPr>
          <w:rFonts w:hint="eastAsia" w:ascii="宋体" w:hAnsi="宋体" w:eastAsia="宋体" w:cs="宋体"/>
          <w:color w:val="auto"/>
          <w:highlight w:val="none"/>
        </w:rPr>
      </w:pPr>
    </w:p>
    <w:p w14:paraId="2ACA68A9">
      <w:pPr>
        <w:rPr>
          <w:rFonts w:hint="eastAsia" w:ascii="宋体" w:hAnsi="宋体" w:eastAsia="宋体" w:cs="宋体"/>
          <w:color w:val="auto"/>
          <w:highlight w:val="none"/>
        </w:rPr>
      </w:pPr>
    </w:p>
    <w:p w14:paraId="49ABD4BC">
      <w:pPr>
        <w:rPr>
          <w:rFonts w:hint="eastAsia" w:ascii="宋体" w:hAnsi="宋体" w:eastAsia="宋体" w:cs="宋体"/>
          <w:color w:val="auto"/>
          <w:highlight w:val="none"/>
        </w:rPr>
      </w:pPr>
    </w:p>
    <w:p w14:paraId="7A61E3A3">
      <w:pPr>
        <w:rPr>
          <w:rFonts w:hint="eastAsia" w:ascii="宋体" w:hAnsi="宋体" w:eastAsia="宋体" w:cs="宋体"/>
          <w:color w:val="auto"/>
          <w:highlight w:val="none"/>
        </w:rPr>
      </w:pPr>
    </w:p>
    <w:p w14:paraId="7B409234">
      <w:pPr>
        <w:rPr>
          <w:rFonts w:hint="eastAsia" w:ascii="宋体" w:hAnsi="宋体" w:eastAsia="宋体" w:cs="宋体"/>
          <w:color w:val="auto"/>
          <w:highlight w:val="none"/>
        </w:rPr>
      </w:pPr>
    </w:p>
    <w:p w14:paraId="676EC29B">
      <w:pPr>
        <w:rPr>
          <w:rFonts w:hint="eastAsia" w:ascii="宋体" w:hAnsi="宋体" w:eastAsia="宋体" w:cs="宋体"/>
          <w:color w:val="auto"/>
          <w:highlight w:val="none"/>
        </w:rPr>
      </w:pPr>
    </w:p>
    <w:p w14:paraId="1F9AAD96">
      <w:pPr>
        <w:rPr>
          <w:rFonts w:hint="eastAsia" w:ascii="宋体" w:hAnsi="宋体" w:eastAsia="宋体" w:cs="宋体"/>
          <w:color w:val="auto"/>
          <w:highlight w:val="none"/>
        </w:rPr>
      </w:pPr>
    </w:p>
    <w:p w14:paraId="699C898A">
      <w:pPr>
        <w:rPr>
          <w:rFonts w:hint="eastAsia" w:ascii="宋体" w:hAnsi="宋体" w:eastAsia="宋体" w:cs="宋体"/>
          <w:color w:val="auto"/>
          <w:highlight w:val="none"/>
        </w:rPr>
      </w:pPr>
    </w:p>
    <w:p w14:paraId="3E07953F">
      <w:pPr>
        <w:rPr>
          <w:rFonts w:hint="eastAsia" w:ascii="宋体" w:hAnsi="宋体" w:eastAsia="宋体" w:cs="宋体"/>
          <w:color w:val="auto"/>
          <w:highlight w:val="none"/>
        </w:rPr>
      </w:pPr>
    </w:p>
    <w:p w14:paraId="4ACB1866">
      <w:pPr>
        <w:rPr>
          <w:rFonts w:hint="eastAsia" w:ascii="宋体" w:hAnsi="宋体" w:eastAsia="宋体" w:cs="宋体"/>
          <w:color w:val="auto"/>
          <w:highlight w:val="none"/>
        </w:rPr>
      </w:pPr>
    </w:p>
    <w:p w14:paraId="0A42CB2E">
      <w:pPr>
        <w:rPr>
          <w:rFonts w:hint="eastAsia" w:ascii="宋体" w:hAnsi="宋体" w:eastAsia="宋体" w:cs="宋体"/>
          <w:color w:val="auto"/>
          <w:highlight w:val="none"/>
        </w:rPr>
      </w:pPr>
    </w:p>
    <w:p w14:paraId="49890DB4">
      <w:pPr>
        <w:rPr>
          <w:rFonts w:hint="eastAsia" w:ascii="宋体" w:hAnsi="宋体" w:eastAsia="宋体" w:cs="宋体"/>
          <w:color w:val="auto"/>
          <w:highlight w:val="none"/>
        </w:rPr>
      </w:pPr>
    </w:p>
    <w:p w14:paraId="1AFD4871">
      <w:pPr>
        <w:rPr>
          <w:rFonts w:hint="eastAsia" w:ascii="宋体" w:hAnsi="宋体" w:eastAsia="宋体" w:cs="宋体"/>
          <w:color w:val="auto"/>
          <w:highlight w:val="none"/>
        </w:rPr>
      </w:pPr>
    </w:p>
    <w:p w14:paraId="65171326">
      <w:pPr>
        <w:rPr>
          <w:rFonts w:hint="eastAsia" w:ascii="宋体" w:hAnsi="宋体" w:eastAsia="宋体" w:cs="宋体"/>
          <w:color w:val="auto"/>
          <w:highlight w:val="none"/>
        </w:rPr>
      </w:pPr>
    </w:p>
    <w:p w14:paraId="130CE5C7">
      <w:pPr>
        <w:rPr>
          <w:rFonts w:hint="eastAsia" w:ascii="宋体" w:hAnsi="宋体" w:eastAsia="宋体" w:cs="宋体"/>
          <w:color w:val="auto"/>
          <w:highlight w:val="none"/>
        </w:rPr>
      </w:pPr>
    </w:p>
    <w:p w14:paraId="43C2756C">
      <w:pPr>
        <w:rPr>
          <w:rFonts w:hint="eastAsia" w:ascii="宋体" w:hAnsi="宋体" w:eastAsia="宋体" w:cs="宋体"/>
          <w:color w:val="auto"/>
          <w:highlight w:val="none"/>
        </w:rPr>
      </w:pPr>
    </w:p>
    <w:p w14:paraId="777F4A2F">
      <w:pPr>
        <w:rPr>
          <w:rFonts w:hint="eastAsia" w:ascii="宋体" w:hAnsi="宋体" w:eastAsia="宋体" w:cs="宋体"/>
          <w:color w:val="auto"/>
          <w:highlight w:val="none"/>
        </w:rPr>
      </w:pPr>
    </w:p>
    <w:p w14:paraId="63CC4DB6">
      <w:pPr>
        <w:rPr>
          <w:rFonts w:hint="eastAsia" w:ascii="宋体" w:hAnsi="宋体" w:eastAsia="宋体" w:cs="宋体"/>
          <w:color w:val="auto"/>
          <w:highlight w:val="none"/>
        </w:rPr>
      </w:pPr>
    </w:p>
    <w:p w14:paraId="7B2C2334">
      <w:pPr>
        <w:rPr>
          <w:rFonts w:hint="eastAsia" w:ascii="宋体" w:hAnsi="宋体" w:eastAsia="宋体" w:cs="宋体"/>
          <w:color w:val="auto"/>
          <w:highlight w:val="none"/>
        </w:rPr>
      </w:pPr>
    </w:p>
    <w:p w14:paraId="48A11DD5">
      <w:pPr>
        <w:rPr>
          <w:rFonts w:hint="eastAsia" w:ascii="宋体" w:hAnsi="宋体" w:eastAsia="宋体" w:cs="宋体"/>
          <w:color w:val="auto"/>
          <w:highlight w:val="none"/>
        </w:rPr>
      </w:pPr>
    </w:p>
    <w:p w14:paraId="68CAD6A6">
      <w:pPr>
        <w:rPr>
          <w:rFonts w:hint="eastAsia" w:ascii="宋体" w:hAnsi="宋体" w:eastAsia="宋体" w:cs="宋体"/>
          <w:color w:val="auto"/>
          <w:highlight w:val="none"/>
        </w:rPr>
      </w:pPr>
    </w:p>
    <w:p w14:paraId="470DA3DE">
      <w:pPr>
        <w:rPr>
          <w:rFonts w:hint="eastAsia" w:ascii="宋体" w:hAnsi="宋体" w:eastAsia="宋体" w:cs="宋体"/>
          <w:color w:val="auto"/>
          <w:highlight w:val="none"/>
        </w:rPr>
      </w:pPr>
    </w:p>
    <w:p w14:paraId="236593AD">
      <w:pPr>
        <w:rPr>
          <w:rFonts w:hint="eastAsia" w:ascii="宋体" w:hAnsi="宋体" w:eastAsia="宋体" w:cs="宋体"/>
          <w:color w:val="auto"/>
          <w:highlight w:val="none"/>
        </w:rPr>
      </w:pPr>
    </w:p>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embedRegular r:id="rId1" w:fontKey="{E4B88C7E-E1BF-44B3-8B73-6DFF8055C537}"/>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E8F4">
    <w:pPr>
      <w:pStyle w:val="15"/>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49D8">
    <w:pPr>
      <w:pStyle w:val="15"/>
      <w:framePr w:wrap="around" w:vAnchor="text" w:hAnchor="margin" w:xAlign="center" w:y="1"/>
      <w:rPr>
        <w:rStyle w:val="27"/>
      </w:rPr>
    </w:pPr>
    <w:r>
      <w:fldChar w:fldCharType="begin"/>
    </w:r>
    <w:r>
      <w:rPr>
        <w:rStyle w:val="27"/>
      </w:rPr>
      <w:instrText xml:space="preserve">PAGE  </w:instrText>
    </w:r>
    <w:r>
      <w:fldChar w:fldCharType="end"/>
    </w:r>
  </w:p>
  <w:p w14:paraId="24B35B19">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4945">
    <w:pPr>
      <w:pStyle w:val="9"/>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5CF9">
    <w:pPr>
      <w:pStyle w:val="9"/>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3C47">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0711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60711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F964">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CA3CA">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DCA3CA">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048F">
    <w:pPr>
      <w:pStyle w:val="16"/>
      <w:pBdr>
        <w:bottom w:val="single" w:color="auto" w:sz="4" w:space="1"/>
      </w:pBdr>
      <w:jc w:val="both"/>
      <w:rPr>
        <w:rFonts w:hint="default"/>
        <w:sz w:val="18"/>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9759">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9131">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096D">
    <w:pPr>
      <w:pStyle w:val="16"/>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2737"/>
    <w:multiLevelType w:val="singleLevel"/>
    <w:tmpl w:val="8B4E2737"/>
    <w:lvl w:ilvl="0" w:tentative="0">
      <w:start w:val="7"/>
      <w:numFmt w:val="chineseCounting"/>
      <w:suff w:val="nothing"/>
      <w:lvlText w:val="%1、"/>
      <w:lvlJc w:val="left"/>
      <w:rPr>
        <w:rFonts w:hint="eastAsia"/>
      </w:rPr>
    </w:lvl>
  </w:abstractNum>
  <w:abstractNum w:abstractNumId="1">
    <w:nsid w:val="B18517A5"/>
    <w:multiLevelType w:val="singleLevel"/>
    <w:tmpl w:val="B18517A5"/>
    <w:lvl w:ilvl="0" w:tentative="0">
      <w:start w:val="1"/>
      <w:numFmt w:val="decimal"/>
      <w:suff w:val="space"/>
      <w:lvlText w:val="%1."/>
      <w:lvlJc w:val="left"/>
    </w:lvl>
  </w:abstractNum>
  <w:abstractNum w:abstractNumId="2">
    <w:nsid w:val="282C1CF1"/>
    <w:multiLevelType w:val="singleLevel"/>
    <w:tmpl w:val="282C1CF1"/>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OGY3YTMxMmFiZDI4MGUxZmI4Njk2NjdlOWQ1MTIifQ=="/>
  </w:docVars>
  <w:rsids>
    <w:rsidRoot w:val="0BD46CE0"/>
    <w:rsid w:val="00013654"/>
    <w:rsid w:val="001C048E"/>
    <w:rsid w:val="004E43BF"/>
    <w:rsid w:val="005A0FB6"/>
    <w:rsid w:val="005E0AA6"/>
    <w:rsid w:val="005F0D0D"/>
    <w:rsid w:val="006140F3"/>
    <w:rsid w:val="007200AE"/>
    <w:rsid w:val="00732078"/>
    <w:rsid w:val="0075194C"/>
    <w:rsid w:val="007C717F"/>
    <w:rsid w:val="008322BB"/>
    <w:rsid w:val="00874E29"/>
    <w:rsid w:val="00893649"/>
    <w:rsid w:val="00894880"/>
    <w:rsid w:val="008B3C54"/>
    <w:rsid w:val="00951FEE"/>
    <w:rsid w:val="00975D66"/>
    <w:rsid w:val="009C337D"/>
    <w:rsid w:val="00A0756A"/>
    <w:rsid w:val="00A2778E"/>
    <w:rsid w:val="00A53C07"/>
    <w:rsid w:val="00A641FB"/>
    <w:rsid w:val="00A81D22"/>
    <w:rsid w:val="00A97848"/>
    <w:rsid w:val="00B93F2F"/>
    <w:rsid w:val="00C12DE3"/>
    <w:rsid w:val="00ED3BD8"/>
    <w:rsid w:val="00F211EF"/>
    <w:rsid w:val="010D427B"/>
    <w:rsid w:val="010F737D"/>
    <w:rsid w:val="01113D6B"/>
    <w:rsid w:val="011473B7"/>
    <w:rsid w:val="01177A27"/>
    <w:rsid w:val="01181DD9"/>
    <w:rsid w:val="012D66CB"/>
    <w:rsid w:val="013C690E"/>
    <w:rsid w:val="01401F5A"/>
    <w:rsid w:val="014852B3"/>
    <w:rsid w:val="0156177E"/>
    <w:rsid w:val="015772A4"/>
    <w:rsid w:val="01583748"/>
    <w:rsid w:val="016539DF"/>
    <w:rsid w:val="0167398B"/>
    <w:rsid w:val="01695955"/>
    <w:rsid w:val="016F45ED"/>
    <w:rsid w:val="018362EB"/>
    <w:rsid w:val="01875DDB"/>
    <w:rsid w:val="018A1427"/>
    <w:rsid w:val="018C1643"/>
    <w:rsid w:val="01967DCC"/>
    <w:rsid w:val="019D115B"/>
    <w:rsid w:val="01A41E1E"/>
    <w:rsid w:val="01A7647D"/>
    <w:rsid w:val="01A87AFF"/>
    <w:rsid w:val="01B12E58"/>
    <w:rsid w:val="01C81F50"/>
    <w:rsid w:val="01CE3A0A"/>
    <w:rsid w:val="01E23011"/>
    <w:rsid w:val="01E90844"/>
    <w:rsid w:val="01F40F97"/>
    <w:rsid w:val="01FA47FF"/>
    <w:rsid w:val="01FE5971"/>
    <w:rsid w:val="020016E9"/>
    <w:rsid w:val="02072A78"/>
    <w:rsid w:val="02217FDE"/>
    <w:rsid w:val="022E44A8"/>
    <w:rsid w:val="0236335D"/>
    <w:rsid w:val="023A530D"/>
    <w:rsid w:val="0241242E"/>
    <w:rsid w:val="024159EA"/>
    <w:rsid w:val="02557C87"/>
    <w:rsid w:val="025F0B06"/>
    <w:rsid w:val="02674585"/>
    <w:rsid w:val="027D71DE"/>
    <w:rsid w:val="027F4D04"/>
    <w:rsid w:val="028440C8"/>
    <w:rsid w:val="028B4F54"/>
    <w:rsid w:val="028D7D41"/>
    <w:rsid w:val="028E6791"/>
    <w:rsid w:val="029F53A6"/>
    <w:rsid w:val="02BD5273"/>
    <w:rsid w:val="02BE4F7A"/>
    <w:rsid w:val="02D05560"/>
    <w:rsid w:val="02E42DB9"/>
    <w:rsid w:val="02E80AFB"/>
    <w:rsid w:val="02F456F2"/>
    <w:rsid w:val="02F56D74"/>
    <w:rsid w:val="02F70D3E"/>
    <w:rsid w:val="03060F81"/>
    <w:rsid w:val="030B6598"/>
    <w:rsid w:val="030F42DA"/>
    <w:rsid w:val="03165668"/>
    <w:rsid w:val="0321400D"/>
    <w:rsid w:val="03215DBB"/>
    <w:rsid w:val="033755DF"/>
    <w:rsid w:val="034A5312"/>
    <w:rsid w:val="03525F75"/>
    <w:rsid w:val="035C6DF3"/>
    <w:rsid w:val="03764359"/>
    <w:rsid w:val="038274A1"/>
    <w:rsid w:val="038A1BB2"/>
    <w:rsid w:val="038B1487"/>
    <w:rsid w:val="03977E2B"/>
    <w:rsid w:val="039B791C"/>
    <w:rsid w:val="03D177E1"/>
    <w:rsid w:val="03E07A24"/>
    <w:rsid w:val="03EA2651"/>
    <w:rsid w:val="03EC461B"/>
    <w:rsid w:val="03F4527E"/>
    <w:rsid w:val="03F86B1C"/>
    <w:rsid w:val="040134DD"/>
    <w:rsid w:val="040354C1"/>
    <w:rsid w:val="04114082"/>
    <w:rsid w:val="041C7638"/>
    <w:rsid w:val="041D2A27"/>
    <w:rsid w:val="041D6583"/>
    <w:rsid w:val="04215A92"/>
    <w:rsid w:val="042C0EBC"/>
    <w:rsid w:val="04363AE8"/>
    <w:rsid w:val="044B1342"/>
    <w:rsid w:val="045E6F25"/>
    <w:rsid w:val="046C12B8"/>
    <w:rsid w:val="046E6DDE"/>
    <w:rsid w:val="04730898"/>
    <w:rsid w:val="04784101"/>
    <w:rsid w:val="047D34C5"/>
    <w:rsid w:val="048D2BD8"/>
    <w:rsid w:val="049251C3"/>
    <w:rsid w:val="04932CE9"/>
    <w:rsid w:val="04A86794"/>
    <w:rsid w:val="04B05649"/>
    <w:rsid w:val="04B36EE7"/>
    <w:rsid w:val="04C133B2"/>
    <w:rsid w:val="04D23811"/>
    <w:rsid w:val="04D550AF"/>
    <w:rsid w:val="04D74983"/>
    <w:rsid w:val="04F433AE"/>
    <w:rsid w:val="04F96FF0"/>
    <w:rsid w:val="04FD0A58"/>
    <w:rsid w:val="050E236F"/>
    <w:rsid w:val="050E411D"/>
    <w:rsid w:val="05120AEF"/>
    <w:rsid w:val="051554AC"/>
    <w:rsid w:val="051675BB"/>
    <w:rsid w:val="051756C8"/>
    <w:rsid w:val="051E25B2"/>
    <w:rsid w:val="05203B59"/>
    <w:rsid w:val="05237BC9"/>
    <w:rsid w:val="0526590B"/>
    <w:rsid w:val="052B4CCF"/>
    <w:rsid w:val="053242B0"/>
    <w:rsid w:val="053D2709"/>
    <w:rsid w:val="054B711F"/>
    <w:rsid w:val="05634469"/>
    <w:rsid w:val="05654685"/>
    <w:rsid w:val="0565570E"/>
    <w:rsid w:val="05656433"/>
    <w:rsid w:val="05687253"/>
    <w:rsid w:val="056C5B99"/>
    <w:rsid w:val="056D353A"/>
    <w:rsid w:val="05706B86"/>
    <w:rsid w:val="0571302A"/>
    <w:rsid w:val="05746676"/>
    <w:rsid w:val="05790181"/>
    <w:rsid w:val="057C22D7"/>
    <w:rsid w:val="05816FE5"/>
    <w:rsid w:val="05834B0B"/>
    <w:rsid w:val="05976809"/>
    <w:rsid w:val="05A76A4C"/>
    <w:rsid w:val="05B9052D"/>
    <w:rsid w:val="05B922DB"/>
    <w:rsid w:val="05BC1DCB"/>
    <w:rsid w:val="05CC64B2"/>
    <w:rsid w:val="05CF1AFF"/>
    <w:rsid w:val="05D215EF"/>
    <w:rsid w:val="05D26E3A"/>
    <w:rsid w:val="05D45367"/>
    <w:rsid w:val="05D830A9"/>
    <w:rsid w:val="05DC421B"/>
    <w:rsid w:val="05E355AA"/>
    <w:rsid w:val="05E7509A"/>
    <w:rsid w:val="05F477B7"/>
    <w:rsid w:val="06043E9E"/>
    <w:rsid w:val="06071298"/>
    <w:rsid w:val="060A1DD1"/>
    <w:rsid w:val="060C1E02"/>
    <w:rsid w:val="060D7C05"/>
    <w:rsid w:val="060F2843"/>
    <w:rsid w:val="061C410F"/>
    <w:rsid w:val="062537E8"/>
    <w:rsid w:val="062E0F1B"/>
    <w:rsid w:val="06500E91"/>
    <w:rsid w:val="065A3ABE"/>
    <w:rsid w:val="06624721"/>
    <w:rsid w:val="06640499"/>
    <w:rsid w:val="066466EB"/>
    <w:rsid w:val="06710E08"/>
    <w:rsid w:val="06734B80"/>
    <w:rsid w:val="067D155B"/>
    <w:rsid w:val="068376C5"/>
    <w:rsid w:val="06856661"/>
    <w:rsid w:val="0686090F"/>
    <w:rsid w:val="06862B05"/>
    <w:rsid w:val="06874187"/>
    <w:rsid w:val="068943A3"/>
    <w:rsid w:val="068A3C77"/>
    <w:rsid w:val="069A3EBB"/>
    <w:rsid w:val="06AE3E0A"/>
    <w:rsid w:val="06B64A6C"/>
    <w:rsid w:val="06B84C89"/>
    <w:rsid w:val="06B917F9"/>
    <w:rsid w:val="06C76C7A"/>
    <w:rsid w:val="06D575E9"/>
    <w:rsid w:val="06D849E3"/>
    <w:rsid w:val="06D870D9"/>
    <w:rsid w:val="06E11AE9"/>
    <w:rsid w:val="06E25862"/>
    <w:rsid w:val="06E810D0"/>
    <w:rsid w:val="06E93094"/>
    <w:rsid w:val="06F26EE0"/>
    <w:rsid w:val="06F53C79"/>
    <w:rsid w:val="06F6572E"/>
    <w:rsid w:val="06FA704F"/>
    <w:rsid w:val="06FC4AE5"/>
    <w:rsid w:val="06FD08ED"/>
    <w:rsid w:val="0701218C"/>
    <w:rsid w:val="070E5AAE"/>
    <w:rsid w:val="071E0F8F"/>
    <w:rsid w:val="071E297C"/>
    <w:rsid w:val="071F0864"/>
    <w:rsid w:val="071F6AB6"/>
    <w:rsid w:val="07245E7A"/>
    <w:rsid w:val="072D23B6"/>
    <w:rsid w:val="074107DA"/>
    <w:rsid w:val="07464042"/>
    <w:rsid w:val="074A27AC"/>
    <w:rsid w:val="076444C8"/>
    <w:rsid w:val="07697D31"/>
    <w:rsid w:val="076F3599"/>
    <w:rsid w:val="07812C00"/>
    <w:rsid w:val="07830FC8"/>
    <w:rsid w:val="07901E52"/>
    <w:rsid w:val="07921036"/>
    <w:rsid w:val="07927288"/>
    <w:rsid w:val="07966D78"/>
    <w:rsid w:val="07972AF0"/>
    <w:rsid w:val="079E6452"/>
    <w:rsid w:val="07A64AE1"/>
    <w:rsid w:val="07AF7E3A"/>
    <w:rsid w:val="07BA233A"/>
    <w:rsid w:val="07BE007D"/>
    <w:rsid w:val="07C80EFB"/>
    <w:rsid w:val="07D433FC"/>
    <w:rsid w:val="07D653C6"/>
    <w:rsid w:val="07E35D35"/>
    <w:rsid w:val="07E86EA8"/>
    <w:rsid w:val="07F36299"/>
    <w:rsid w:val="08161C67"/>
    <w:rsid w:val="082463FC"/>
    <w:rsid w:val="0825634E"/>
    <w:rsid w:val="082C4FE6"/>
    <w:rsid w:val="083245C7"/>
    <w:rsid w:val="08326375"/>
    <w:rsid w:val="08393BA7"/>
    <w:rsid w:val="08395955"/>
    <w:rsid w:val="083B791F"/>
    <w:rsid w:val="08422A5C"/>
    <w:rsid w:val="0843241C"/>
    <w:rsid w:val="08493B5F"/>
    <w:rsid w:val="08513C0E"/>
    <w:rsid w:val="085602B5"/>
    <w:rsid w:val="086A3D60"/>
    <w:rsid w:val="086E55FF"/>
    <w:rsid w:val="088968DD"/>
    <w:rsid w:val="089A2898"/>
    <w:rsid w:val="089A76B6"/>
    <w:rsid w:val="089B4494"/>
    <w:rsid w:val="089D7C92"/>
    <w:rsid w:val="08A90D2D"/>
    <w:rsid w:val="08B1373D"/>
    <w:rsid w:val="08B466DC"/>
    <w:rsid w:val="08B60D54"/>
    <w:rsid w:val="08B84ACC"/>
    <w:rsid w:val="08BB4929"/>
    <w:rsid w:val="08C6543B"/>
    <w:rsid w:val="08CB0CA3"/>
    <w:rsid w:val="08D12032"/>
    <w:rsid w:val="08D538D0"/>
    <w:rsid w:val="08D77648"/>
    <w:rsid w:val="08DA426D"/>
    <w:rsid w:val="08DF64FD"/>
    <w:rsid w:val="08E12275"/>
    <w:rsid w:val="08EA795F"/>
    <w:rsid w:val="08ED6E6B"/>
    <w:rsid w:val="08F33D56"/>
    <w:rsid w:val="08FE1A92"/>
    <w:rsid w:val="091F4B4B"/>
    <w:rsid w:val="092108C3"/>
    <w:rsid w:val="092B1742"/>
    <w:rsid w:val="092E2FE0"/>
    <w:rsid w:val="0935436E"/>
    <w:rsid w:val="093C56FD"/>
    <w:rsid w:val="09410F65"/>
    <w:rsid w:val="09476079"/>
    <w:rsid w:val="094E6E4D"/>
    <w:rsid w:val="095742E5"/>
    <w:rsid w:val="09694018"/>
    <w:rsid w:val="096B7D90"/>
    <w:rsid w:val="096D3B08"/>
    <w:rsid w:val="097E3F67"/>
    <w:rsid w:val="098B3F8E"/>
    <w:rsid w:val="099C619C"/>
    <w:rsid w:val="09A6701A"/>
    <w:rsid w:val="09A80FE4"/>
    <w:rsid w:val="09A908B8"/>
    <w:rsid w:val="09AB4631"/>
    <w:rsid w:val="09B5725D"/>
    <w:rsid w:val="09C37BCC"/>
    <w:rsid w:val="09C40DDA"/>
    <w:rsid w:val="09C63218"/>
    <w:rsid w:val="09CF6571"/>
    <w:rsid w:val="09D05E45"/>
    <w:rsid w:val="09D9119E"/>
    <w:rsid w:val="09DA6CC4"/>
    <w:rsid w:val="09F4422A"/>
    <w:rsid w:val="09F935EE"/>
    <w:rsid w:val="09FB1114"/>
    <w:rsid w:val="0A0E5ECB"/>
    <w:rsid w:val="0A122902"/>
    <w:rsid w:val="0A1C3158"/>
    <w:rsid w:val="0A1F0A4A"/>
    <w:rsid w:val="0A200B7B"/>
    <w:rsid w:val="0A246083"/>
    <w:rsid w:val="0A2C5771"/>
    <w:rsid w:val="0A2D5046"/>
    <w:rsid w:val="0A342878"/>
    <w:rsid w:val="0A3C386A"/>
    <w:rsid w:val="0A3E680D"/>
    <w:rsid w:val="0A481E7F"/>
    <w:rsid w:val="0A5D3B7D"/>
    <w:rsid w:val="0A5E78F5"/>
    <w:rsid w:val="0A6842D0"/>
    <w:rsid w:val="0A6C3DC0"/>
    <w:rsid w:val="0A70536D"/>
    <w:rsid w:val="0A80786B"/>
    <w:rsid w:val="0A89170D"/>
    <w:rsid w:val="0A9D21CB"/>
    <w:rsid w:val="0A9D666F"/>
    <w:rsid w:val="0AA25A34"/>
    <w:rsid w:val="0ABC5446"/>
    <w:rsid w:val="0ACC0D02"/>
    <w:rsid w:val="0ACE05D7"/>
    <w:rsid w:val="0ACE4A7B"/>
    <w:rsid w:val="0AD32091"/>
    <w:rsid w:val="0AD656DD"/>
    <w:rsid w:val="0ADA341F"/>
    <w:rsid w:val="0AE24082"/>
    <w:rsid w:val="0AE71698"/>
    <w:rsid w:val="0AEA2F37"/>
    <w:rsid w:val="0AEB1631"/>
    <w:rsid w:val="0AF52179"/>
    <w:rsid w:val="0AF54ADE"/>
    <w:rsid w:val="0AFA761E"/>
    <w:rsid w:val="0B04224A"/>
    <w:rsid w:val="0B095AB3"/>
    <w:rsid w:val="0B0E30C9"/>
    <w:rsid w:val="0B19257F"/>
    <w:rsid w:val="0B195150"/>
    <w:rsid w:val="0B1D50BA"/>
    <w:rsid w:val="0B416FFB"/>
    <w:rsid w:val="0B520281"/>
    <w:rsid w:val="0B543AC8"/>
    <w:rsid w:val="0B5F3843"/>
    <w:rsid w:val="0B6B22C9"/>
    <w:rsid w:val="0B7A075E"/>
    <w:rsid w:val="0B7A250D"/>
    <w:rsid w:val="0B8415DD"/>
    <w:rsid w:val="0B884C29"/>
    <w:rsid w:val="0B8B64C8"/>
    <w:rsid w:val="0B8E5FB8"/>
    <w:rsid w:val="0B903ADE"/>
    <w:rsid w:val="0B955093"/>
    <w:rsid w:val="0B9C2483"/>
    <w:rsid w:val="0B9E269F"/>
    <w:rsid w:val="0B9F1F73"/>
    <w:rsid w:val="0BA13F3D"/>
    <w:rsid w:val="0BAB4DBC"/>
    <w:rsid w:val="0BAD643E"/>
    <w:rsid w:val="0BB21CA6"/>
    <w:rsid w:val="0BB27EF8"/>
    <w:rsid w:val="0BB93035"/>
    <w:rsid w:val="0BD0037E"/>
    <w:rsid w:val="0BD46CE0"/>
    <w:rsid w:val="0BD5582F"/>
    <w:rsid w:val="0BD55995"/>
    <w:rsid w:val="0BE67BA2"/>
    <w:rsid w:val="0BF056B3"/>
    <w:rsid w:val="0BF91683"/>
    <w:rsid w:val="0C055274"/>
    <w:rsid w:val="0C0A3890"/>
    <w:rsid w:val="0C0B13B7"/>
    <w:rsid w:val="0C1163E6"/>
    <w:rsid w:val="0C193AD3"/>
    <w:rsid w:val="0C321039"/>
    <w:rsid w:val="0C322DE7"/>
    <w:rsid w:val="0C48085D"/>
    <w:rsid w:val="0C4C20FB"/>
    <w:rsid w:val="0C4F7899"/>
    <w:rsid w:val="0C540FAF"/>
    <w:rsid w:val="0C580AA0"/>
    <w:rsid w:val="0C581E7A"/>
    <w:rsid w:val="0C5B40EC"/>
    <w:rsid w:val="0C5D6764"/>
    <w:rsid w:val="0C5F718D"/>
    <w:rsid w:val="0C6311F3"/>
    <w:rsid w:val="0C656D19"/>
    <w:rsid w:val="0C6D3E1F"/>
    <w:rsid w:val="0C741652"/>
    <w:rsid w:val="0C7451AE"/>
    <w:rsid w:val="0C7E7DDA"/>
    <w:rsid w:val="0C803B53"/>
    <w:rsid w:val="0C86379A"/>
    <w:rsid w:val="0C8C21A0"/>
    <w:rsid w:val="0C92338D"/>
    <w:rsid w:val="0C9615C8"/>
    <w:rsid w:val="0CA05FA3"/>
    <w:rsid w:val="0CB832EC"/>
    <w:rsid w:val="0CC46135"/>
    <w:rsid w:val="0CDF4D1D"/>
    <w:rsid w:val="0CE02843"/>
    <w:rsid w:val="0CE42333"/>
    <w:rsid w:val="0CFB06D3"/>
    <w:rsid w:val="0CFF53BF"/>
    <w:rsid w:val="0D002EE5"/>
    <w:rsid w:val="0D0414C3"/>
    <w:rsid w:val="0D044784"/>
    <w:rsid w:val="0D062163"/>
    <w:rsid w:val="0D062A3C"/>
    <w:rsid w:val="0D110C4F"/>
    <w:rsid w:val="0D216044"/>
    <w:rsid w:val="0D2766C4"/>
    <w:rsid w:val="0D2E35AF"/>
    <w:rsid w:val="0D352B8F"/>
    <w:rsid w:val="0D3C5D68"/>
    <w:rsid w:val="0D3D5EE8"/>
    <w:rsid w:val="0D3F57BC"/>
    <w:rsid w:val="0D466B4A"/>
    <w:rsid w:val="0D470B14"/>
    <w:rsid w:val="0D4728C2"/>
    <w:rsid w:val="0D49663A"/>
    <w:rsid w:val="0D531267"/>
    <w:rsid w:val="0D562B05"/>
    <w:rsid w:val="0D646FD0"/>
    <w:rsid w:val="0D660F9A"/>
    <w:rsid w:val="0D766925"/>
    <w:rsid w:val="0D7C3D12"/>
    <w:rsid w:val="0D7D0092"/>
    <w:rsid w:val="0D887163"/>
    <w:rsid w:val="0D8B27AF"/>
    <w:rsid w:val="0D8E5FAA"/>
    <w:rsid w:val="0D9F26FE"/>
    <w:rsid w:val="0DA41AC3"/>
    <w:rsid w:val="0DA43871"/>
    <w:rsid w:val="0DB66733"/>
    <w:rsid w:val="0DC14423"/>
    <w:rsid w:val="0DC161D1"/>
    <w:rsid w:val="0DC857B1"/>
    <w:rsid w:val="0DC932D7"/>
    <w:rsid w:val="0DD00B0A"/>
    <w:rsid w:val="0DDF67B7"/>
    <w:rsid w:val="0DE34399"/>
    <w:rsid w:val="0DF06AB6"/>
    <w:rsid w:val="0DF4599F"/>
    <w:rsid w:val="0DF91E0E"/>
    <w:rsid w:val="0DFC545B"/>
    <w:rsid w:val="0E0367E9"/>
    <w:rsid w:val="0E056A05"/>
    <w:rsid w:val="0E16227B"/>
    <w:rsid w:val="0E232E17"/>
    <w:rsid w:val="0E2551CB"/>
    <w:rsid w:val="0E2B5D40"/>
    <w:rsid w:val="0E2D7D0A"/>
    <w:rsid w:val="0E3746E5"/>
    <w:rsid w:val="0E4449F4"/>
    <w:rsid w:val="0E455054"/>
    <w:rsid w:val="0E664FCA"/>
    <w:rsid w:val="0E686F94"/>
    <w:rsid w:val="0E7771D7"/>
    <w:rsid w:val="0E7B0A75"/>
    <w:rsid w:val="0E913FA4"/>
    <w:rsid w:val="0E952516"/>
    <w:rsid w:val="0E981627"/>
    <w:rsid w:val="0EA16002"/>
    <w:rsid w:val="0EAA135B"/>
    <w:rsid w:val="0EB14497"/>
    <w:rsid w:val="0EB65F51"/>
    <w:rsid w:val="0EB9159E"/>
    <w:rsid w:val="0EBA5CB8"/>
    <w:rsid w:val="0EBB5316"/>
    <w:rsid w:val="0EC73CBB"/>
    <w:rsid w:val="0ED63EFE"/>
    <w:rsid w:val="0ED9579C"/>
    <w:rsid w:val="0EDD528C"/>
    <w:rsid w:val="0EE06B2A"/>
    <w:rsid w:val="0EE54141"/>
    <w:rsid w:val="0EE859DF"/>
    <w:rsid w:val="0EEE7499"/>
    <w:rsid w:val="0EF83E74"/>
    <w:rsid w:val="0F0071CD"/>
    <w:rsid w:val="0F07055B"/>
    <w:rsid w:val="0F184516"/>
    <w:rsid w:val="0F234C69"/>
    <w:rsid w:val="0F334030"/>
    <w:rsid w:val="0F346E76"/>
    <w:rsid w:val="0F380715"/>
    <w:rsid w:val="0F3F1AA3"/>
    <w:rsid w:val="0F44355D"/>
    <w:rsid w:val="0F474DFC"/>
    <w:rsid w:val="0F58691F"/>
    <w:rsid w:val="0F5F5CA1"/>
    <w:rsid w:val="0F615EBD"/>
    <w:rsid w:val="0F692FC4"/>
    <w:rsid w:val="0F786D63"/>
    <w:rsid w:val="0F8507F1"/>
    <w:rsid w:val="0F985657"/>
    <w:rsid w:val="0F9A317D"/>
    <w:rsid w:val="0FA1450C"/>
    <w:rsid w:val="0FBA5F39"/>
    <w:rsid w:val="0FBF0E36"/>
    <w:rsid w:val="0FDF7A3C"/>
    <w:rsid w:val="0FE16FFE"/>
    <w:rsid w:val="0FE32D76"/>
    <w:rsid w:val="0FE824F8"/>
    <w:rsid w:val="0FF30ADF"/>
    <w:rsid w:val="100625C1"/>
    <w:rsid w:val="10093E5F"/>
    <w:rsid w:val="100D1BA1"/>
    <w:rsid w:val="101271B8"/>
    <w:rsid w:val="1017657C"/>
    <w:rsid w:val="101E3381"/>
    <w:rsid w:val="10234F21"/>
    <w:rsid w:val="10246EEB"/>
    <w:rsid w:val="102962AF"/>
    <w:rsid w:val="102C6FB4"/>
    <w:rsid w:val="103107E9"/>
    <w:rsid w:val="103709CC"/>
    <w:rsid w:val="10412E95"/>
    <w:rsid w:val="104650B3"/>
    <w:rsid w:val="104D6442"/>
    <w:rsid w:val="104F3F68"/>
    <w:rsid w:val="105552F6"/>
    <w:rsid w:val="10615A49"/>
    <w:rsid w:val="10677240"/>
    <w:rsid w:val="106A6FF4"/>
    <w:rsid w:val="10741C20"/>
    <w:rsid w:val="1077526D"/>
    <w:rsid w:val="10A6525C"/>
    <w:rsid w:val="10B169D0"/>
    <w:rsid w:val="10B244F7"/>
    <w:rsid w:val="10BE2E9B"/>
    <w:rsid w:val="10CD1330"/>
    <w:rsid w:val="10D206F5"/>
    <w:rsid w:val="10DB3A4D"/>
    <w:rsid w:val="10DF6FF3"/>
    <w:rsid w:val="10E723F2"/>
    <w:rsid w:val="10F547A6"/>
    <w:rsid w:val="10FD39C4"/>
    <w:rsid w:val="11050ACA"/>
    <w:rsid w:val="110805BA"/>
    <w:rsid w:val="110E3E23"/>
    <w:rsid w:val="110E5BD1"/>
    <w:rsid w:val="111C620F"/>
    <w:rsid w:val="112453F4"/>
    <w:rsid w:val="112D2D43"/>
    <w:rsid w:val="113B0990"/>
    <w:rsid w:val="11427629"/>
    <w:rsid w:val="11494E5B"/>
    <w:rsid w:val="114D0915"/>
    <w:rsid w:val="11551A52"/>
    <w:rsid w:val="11553800"/>
    <w:rsid w:val="115630D4"/>
    <w:rsid w:val="115B4DE3"/>
    <w:rsid w:val="11641C95"/>
    <w:rsid w:val="11667325"/>
    <w:rsid w:val="11673533"/>
    <w:rsid w:val="116E2B13"/>
    <w:rsid w:val="116E48C1"/>
    <w:rsid w:val="1173012A"/>
    <w:rsid w:val="117619C8"/>
    <w:rsid w:val="118447F4"/>
    <w:rsid w:val="11902A8A"/>
    <w:rsid w:val="119A56B6"/>
    <w:rsid w:val="119B31DD"/>
    <w:rsid w:val="119B4F8B"/>
    <w:rsid w:val="119D51A7"/>
    <w:rsid w:val="119F0F1F"/>
    <w:rsid w:val="11A2456B"/>
    <w:rsid w:val="11A622AD"/>
    <w:rsid w:val="11BA7AC1"/>
    <w:rsid w:val="11BB73DB"/>
    <w:rsid w:val="11C72224"/>
    <w:rsid w:val="11D566EF"/>
    <w:rsid w:val="11D64215"/>
    <w:rsid w:val="11D652A1"/>
    <w:rsid w:val="11D84431"/>
    <w:rsid w:val="11E06E41"/>
    <w:rsid w:val="11EA4711"/>
    <w:rsid w:val="11EC57E6"/>
    <w:rsid w:val="11EE5A02"/>
    <w:rsid w:val="11F052D6"/>
    <w:rsid w:val="11F254F3"/>
    <w:rsid w:val="11F73DAB"/>
    <w:rsid w:val="11F8062F"/>
    <w:rsid w:val="120174E4"/>
    <w:rsid w:val="120668A8"/>
    <w:rsid w:val="120B2110"/>
    <w:rsid w:val="12137217"/>
    <w:rsid w:val="12154D3D"/>
    <w:rsid w:val="12296A3A"/>
    <w:rsid w:val="122A544F"/>
    <w:rsid w:val="12331667"/>
    <w:rsid w:val="123D6042"/>
    <w:rsid w:val="124D4697"/>
    <w:rsid w:val="12524C6B"/>
    <w:rsid w:val="125A3098"/>
    <w:rsid w:val="12614426"/>
    <w:rsid w:val="126D730B"/>
    <w:rsid w:val="12767ED2"/>
    <w:rsid w:val="1279351E"/>
    <w:rsid w:val="129C0FBA"/>
    <w:rsid w:val="12A61E39"/>
    <w:rsid w:val="12B5207C"/>
    <w:rsid w:val="12B96010"/>
    <w:rsid w:val="12BD67FA"/>
    <w:rsid w:val="12D1335A"/>
    <w:rsid w:val="12D9220E"/>
    <w:rsid w:val="12E82452"/>
    <w:rsid w:val="12EC1F42"/>
    <w:rsid w:val="12FE7EC7"/>
    <w:rsid w:val="130003A3"/>
    <w:rsid w:val="13021765"/>
    <w:rsid w:val="130A061A"/>
    <w:rsid w:val="13113756"/>
    <w:rsid w:val="13166FBF"/>
    <w:rsid w:val="13201BEB"/>
    <w:rsid w:val="13286CF2"/>
    <w:rsid w:val="132F0080"/>
    <w:rsid w:val="133E2072"/>
    <w:rsid w:val="13405DEA"/>
    <w:rsid w:val="134621D2"/>
    <w:rsid w:val="135B70C7"/>
    <w:rsid w:val="136410DB"/>
    <w:rsid w:val="13655850"/>
    <w:rsid w:val="136A2E67"/>
    <w:rsid w:val="1376180B"/>
    <w:rsid w:val="137D0DEC"/>
    <w:rsid w:val="137D2B9A"/>
    <w:rsid w:val="137F2DB6"/>
    <w:rsid w:val="139D553F"/>
    <w:rsid w:val="13A24CF6"/>
    <w:rsid w:val="13A4001D"/>
    <w:rsid w:val="13A66595"/>
    <w:rsid w:val="13B14F39"/>
    <w:rsid w:val="13BF31B2"/>
    <w:rsid w:val="13C62793"/>
    <w:rsid w:val="13D80718"/>
    <w:rsid w:val="13F51386"/>
    <w:rsid w:val="13F7291D"/>
    <w:rsid w:val="13FF7A53"/>
    <w:rsid w:val="14237BE5"/>
    <w:rsid w:val="142676D5"/>
    <w:rsid w:val="14294AD0"/>
    <w:rsid w:val="143811B7"/>
    <w:rsid w:val="14435965"/>
    <w:rsid w:val="14506500"/>
    <w:rsid w:val="14524026"/>
    <w:rsid w:val="145558C5"/>
    <w:rsid w:val="14575AE1"/>
    <w:rsid w:val="145A6A37"/>
    <w:rsid w:val="145C30F7"/>
    <w:rsid w:val="14641FAC"/>
    <w:rsid w:val="146855F8"/>
    <w:rsid w:val="14694FC9"/>
    <w:rsid w:val="14753551"/>
    <w:rsid w:val="14787805"/>
    <w:rsid w:val="14885C9A"/>
    <w:rsid w:val="149208C7"/>
    <w:rsid w:val="14983A03"/>
    <w:rsid w:val="14991507"/>
    <w:rsid w:val="14A624F0"/>
    <w:rsid w:val="14C15977"/>
    <w:rsid w:val="14C36CD2"/>
    <w:rsid w:val="14C8795A"/>
    <w:rsid w:val="14CA1A46"/>
    <w:rsid w:val="14CE4563"/>
    <w:rsid w:val="14DC1B42"/>
    <w:rsid w:val="14E1184E"/>
    <w:rsid w:val="14E530ED"/>
    <w:rsid w:val="14E8498B"/>
    <w:rsid w:val="14EA24B1"/>
    <w:rsid w:val="14FC3F92"/>
    <w:rsid w:val="15003A82"/>
    <w:rsid w:val="15080B89"/>
    <w:rsid w:val="150F3CC6"/>
    <w:rsid w:val="15115C90"/>
    <w:rsid w:val="151E215B"/>
    <w:rsid w:val="1523710F"/>
    <w:rsid w:val="15267261"/>
    <w:rsid w:val="152C0D1B"/>
    <w:rsid w:val="153951E6"/>
    <w:rsid w:val="154C316C"/>
    <w:rsid w:val="154D0C92"/>
    <w:rsid w:val="154D51ED"/>
    <w:rsid w:val="15535BD1"/>
    <w:rsid w:val="1568787A"/>
    <w:rsid w:val="15712BD2"/>
    <w:rsid w:val="15826B8D"/>
    <w:rsid w:val="15915022"/>
    <w:rsid w:val="15995C85"/>
    <w:rsid w:val="15997A33"/>
    <w:rsid w:val="15A22D8C"/>
    <w:rsid w:val="15A417A0"/>
    <w:rsid w:val="15B64A89"/>
    <w:rsid w:val="15C076B6"/>
    <w:rsid w:val="15CE592F"/>
    <w:rsid w:val="15D24141"/>
    <w:rsid w:val="15D372A6"/>
    <w:rsid w:val="15DA37E6"/>
    <w:rsid w:val="15DB5C31"/>
    <w:rsid w:val="15E50ECA"/>
    <w:rsid w:val="15E81C52"/>
    <w:rsid w:val="15E909BB"/>
    <w:rsid w:val="15ED48A2"/>
    <w:rsid w:val="15F01D49"/>
    <w:rsid w:val="16026BD5"/>
    <w:rsid w:val="161517B0"/>
    <w:rsid w:val="16160912"/>
    <w:rsid w:val="161A0B74"/>
    <w:rsid w:val="161D3945"/>
    <w:rsid w:val="162B149F"/>
    <w:rsid w:val="162C6AF9"/>
    <w:rsid w:val="162D4D4B"/>
    <w:rsid w:val="16315EBE"/>
    <w:rsid w:val="16322361"/>
    <w:rsid w:val="163A54B3"/>
    <w:rsid w:val="163D2AB4"/>
    <w:rsid w:val="16574F7E"/>
    <w:rsid w:val="1674694D"/>
    <w:rsid w:val="16777D74"/>
    <w:rsid w:val="168D5B19"/>
    <w:rsid w:val="169721C5"/>
    <w:rsid w:val="169E79F7"/>
    <w:rsid w:val="16AB5C70"/>
    <w:rsid w:val="16AD4C0B"/>
    <w:rsid w:val="16AE5760"/>
    <w:rsid w:val="16BC01AD"/>
    <w:rsid w:val="16C3120C"/>
    <w:rsid w:val="16D36F75"/>
    <w:rsid w:val="16D74CB7"/>
    <w:rsid w:val="16DD2110"/>
    <w:rsid w:val="16DE4297"/>
    <w:rsid w:val="16E01DBD"/>
    <w:rsid w:val="16E82A20"/>
    <w:rsid w:val="16E83C32"/>
    <w:rsid w:val="16F2564D"/>
    <w:rsid w:val="16F37AE0"/>
    <w:rsid w:val="16F70437"/>
    <w:rsid w:val="16F838BF"/>
    <w:rsid w:val="16F92E7F"/>
    <w:rsid w:val="170F4F7C"/>
    <w:rsid w:val="17101F77"/>
    <w:rsid w:val="17125CEF"/>
    <w:rsid w:val="171657DF"/>
    <w:rsid w:val="171750B3"/>
    <w:rsid w:val="171B2DF6"/>
    <w:rsid w:val="171E28E6"/>
    <w:rsid w:val="17215F32"/>
    <w:rsid w:val="172F064F"/>
    <w:rsid w:val="173E0892"/>
    <w:rsid w:val="174E2C4C"/>
    <w:rsid w:val="17500FFF"/>
    <w:rsid w:val="1763654B"/>
    <w:rsid w:val="17710C68"/>
    <w:rsid w:val="17771FF6"/>
    <w:rsid w:val="17832501"/>
    <w:rsid w:val="17942BA8"/>
    <w:rsid w:val="179E2135"/>
    <w:rsid w:val="17AF353E"/>
    <w:rsid w:val="17B12AF2"/>
    <w:rsid w:val="17CC40F0"/>
    <w:rsid w:val="17D3547E"/>
    <w:rsid w:val="17DF2075"/>
    <w:rsid w:val="17E551B2"/>
    <w:rsid w:val="17EC6540"/>
    <w:rsid w:val="17EF7DDE"/>
    <w:rsid w:val="18001FEB"/>
    <w:rsid w:val="18057602"/>
    <w:rsid w:val="181021C8"/>
    <w:rsid w:val="18131D1F"/>
    <w:rsid w:val="18137F71"/>
    <w:rsid w:val="181F7A9C"/>
    <w:rsid w:val="18226406"/>
    <w:rsid w:val="182F467F"/>
    <w:rsid w:val="18463EA2"/>
    <w:rsid w:val="185365BF"/>
    <w:rsid w:val="185A16FC"/>
    <w:rsid w:val="187C3D68"/>
    <w:rsid w:val="18822A00"/>
    <w:rsid w:val="188B7B07"/>
    <w:rsid w:val="188E75F7"/>
    <w:rsid w:val="189D5A8C"/>
    <w:rsid w:val="18B057C0"/>
    <w:rsid w:val="18B708FC"/>
    <w:rsid w:val="18B76B4E"/>
    <w:rsid w:val="18CB25F9"/>
    <w:rsid w:val="18EE0096"/>
    <w:rsid w:val="18F27B86"/>
    <w:rsid w:val="18F71640"/>
    <w:rsid w:val="18F7519C"/>
    <w:rsid w:val="18FA2EDF"/>
    <w:rsid w:val="19023E8D"/>
    <w:rsid w:val="19067AD5"/>
    <w:rsid w:val="1912647A"/>
    <w:rsid w:val="1921046B"/>
    <w:rsid w:val="192561AE"/>
    <w:rsid w:val="19263CD4"/>
    <w:rsid w:val="19265A82"/>
    <w:rsid w:val="192F0DDA"/>
    <w:rsid w:val="19341F4D"/>
    <w:rsid w:val="19377C8F"/>
    <w:rsid w:val="193A52A0"/>
    <w:rsid w:val="1945415A"/>
    <w:rsid w:val="195425EF"/>
    <w:rsid w:val="19595E57"/>
    <w:rsid w:val="195A572B"/>
    <w:rsid w:val="19630A84"/>
    <w:rsid w:val="19680B28"/>
    <w:rsid w:val="196B6430"/>
    <w:rsid w:val="19720CC7"/>
    <w:rsid w:val="197B3CDD"/>
    <w:rsid w:val="198F3627"/>
    <w:rsid w:val="19921369"/>
    <w:rsid w:val="199364A5"/>
    <w:rsid w:val="19A54BF8"/>
    <w:rsid w:val="19AF7825"/>
    <w:rsid w:val="19B412DF"/>
    <w:rsid w:val="19BC1F42"/>
    <w:rsid w:val="19C15826"/>
    <w:rsid w:val="19C257AA"/>
    <w:rsid w:val="19D13C3F"/>
    <w:rsid w:val="19D41982"/>
    <w:rsid w:val="19D454DE"/>
    <w:rsid w:val="19D83220"/>
    <w:rsid w:val="19E531E6"/>
    <w:rsid w:val="19E576EB"/>
    <w:rsid w:val="19E80F89"/>
    <w:rsid w:val="19EC0A79"/>
    <w:rsid w:val="19F416DC"/>
    <w:rsid w:val="19F636A6"/>
    <w:rsid w:val="19FE255B"/>
    <w:rsid w:val="19FF69FF"/>
    <w:rsid w:val="1A0C4C78"/>
    <w:rsid w:val="1A1324AA"/>
    <w:rsid w:val="1A255D39"/>
    <w:rsid w:val="1A275C64"/>
    <w:rsid w:val="1A293A7B"/>
    <w:rsid w:val="1A3348FA"/>
    <w:rsid w:val="1A383CBF"/>
    <w:rsid w:val="1A385A6D"/>
    <w:rsid w:val="1A3A7A37"/>
    <w:rsid w:val="1A3B555D"/>
    <w:rsid w:val="1A495ECC"/>
    <w:rsid w:val="1A512FD2"/>
    <w:rsid w:val="1A59653A"/>
    <w:rsid w:val="1A5A3A8E"/>
    <w:rsid w:val="1A604FC3"/>
    <w:rsid w:val="1A620D3B"/>
    <w:rsid w:val="1A654388"/>
    <w:rsid w:val="1A6877B3"/>
    <w:rsid w:val="1A6B5E42"/>
    <w:rsid w:val="1A6E5932"/>
    <w:rsid w:val="1A7840BB"/>
    <w:rsid w:val="1A7A42D7"/>
    <w:rsid w:val="1A7E085D"/>
    <w:rsid w:val="1A8011C2"/>
    <w:rsid w:val="1A846F04"/>
    <w:rsid w:val="1A8A0273"/>
    <w:rsid w:val="1A9C1E3E"/>
    <w:rsid w:val="1A9D6217"/>
    <w:rsid w:val="1AB175CD"/>
    <w:rsid w:val="1AB377E9"/>
    <w:rsid w:val="1AB623A5"/>
    <w:rsid w:val="1AB8095B"/>
    <w:rsid w:val="1AB84DFF"/>
    <w:rsid w:val="1AB84FAE"/>
    <w:rsid w:val="1ABC33D0"/>
    <w:rsid w:val="1AC94917"/>
    <w:rsid w:val="1ADF413A"/>
    <w:rsid w:val="1AFC6A9A"/>
    <w:rsid w:val="1B0D0CA7"/>
    <w:rsid w:val="1B0E4092"/>
    <w:rsid w:val="1B261D69"/>
    <w:rsid w:val="1B281F85"/>
    <w:rsid w:val="1B2B21A0"/>
    <w:rsid w:val="1B326960"/>
    <w:rsid w:val="1B361621"/>
    <w:rsid w:val="1B3A5814"/>
    <w:rsid w:val="1B5508A0"/>
    <w:rsid w:val="1B6805D3"/>
    <w:rsid w:val="1B813443"/>
    <w:rsid w:val="1B8160A5"/>
    <w:rsid w:val="1B8617B4"/>
    <w:rsid w:val="1B93683E"/>
    <w:rsid w:val="1B944F25"/>
    <w:rsid w:val="1BA809D0"/>
    <w:rsid w:val="1BAD4238"/>
    <w:rsid w:val="1BAF6202"/>
    <w:rsid w:val="1BB747A9"/>
    <w:rsid w:val="1BC021BE"/>
    <w:rsid w:val="1BC3580A"/>
    <w:rsid w:val="1BCC1635"/>
    <w:rsid w:val="1BD21EF1"/>
    <w:rsid w:val="1BDD2D6F"/>
    <w:rsid w:val="1BE539D2"/>
    <w:rsid w:val="1BE96A15"/>
    <w:rsid w:val="1BEC6B0F"/>
    <w:rsid w:val="1BEF08D2"/>
    <w:rsid w:val="1BF14125"/>
    <w:rsid w:val="1BF41E67"/>
    <w:rsid w:val="1BF65BDF"/>
    <w:rsid w:val="1BFB31F6"/>
    <w:rsid w:val="1C0707B3"/>
    <w:rsid w:val="1C116575"/>
    <w:rsid w:val="1C16002F"/>
    <w:rsid w:val="1C1645A5"/>
    <w:rsid w:val="1C285864"/>
    <w:rsid w:val="1C2E5379"/>
    <w:rsid w:val="1C3246ED"/>
    <w:rsid w:val="1C3861F8"/>
    <w:rsid w:val="1C3D55BC"/>
    <w:rsid w:val="1C4C57FF"/>
    <w:rsid w:val="1C4E5A1B"/>
    <w:rsid w:val="1C4E77C9"/>
    <w:rsid w:val="1C5618EE"/>
    <w:rsid w:val="1C5A616E"/>
    <w:rsid w:val="1C5B5A42"/>
    <w:rsid w:val="1C6074FD"/>
    <w:rsid w:val="1C641230"/>
    <w:rsid w:val="1C662D65"/>
    <w:rsid w:val="1C69015F"/>
    <w:rsid w:val="1C744D56"/>
    <w:rsid w:val="1C765C9F"/>
    <w:rsid w:val="1C784846"/>
    <w:rsid w:val="1C8431EB"/>
    <w:rsid w:val="1C890801"/>
    <w:rsid w:val="1C8C20A0"/>
    <w:rsid w:val="1C8F322B"/>
    <w:rsid w:val="1C931680"/>
    <w:rsid w:val="1C942349"/>
    <w:rsid w:val="1C9553F8"/>
    <w:rsid w:val="1CAC44F0"/>
    <w:rsid w:val="1CB515F6"/>
    <w:rsid w:val="1CB82E95"/>
    <w:rsid w:val="1CC37F98"/>
    <w:rsid w:val="1CC41839"/>
    <w:rsid w:val="1CC63804"/>
    <w:rsid w:val="1CC7757C"/>
    <w:rsid w:val="1CC96E50"/>
    <w:rsid w:val="1CCC554A"/>
    <w:rsid w:val="1CD87093"/>
    <w:rsid w:val="1CEC2B3E"/>
    <w:rsid w:val="1CED18DB"/>
    <w:rsid w:val="1CED6FE2"/>
    <w:rsid w:val="1D0936F0"/>
    <w:rsid w:val="1D0E51AB"/>
    <w:rsid w:val="1D104A7F"/>
    <w:rsid w:val="1D167BBB"/>
    <w:rsid w:val="1D17405F"/>
    <w:rsid w:val="1D183933"/>
    <w:rsid w:val="1D187DD7"/>
    <w:rsid w:val="1D1A76AB"/>
    <w:rsid w:val="1D1B6922"/>
    <w:rsid w:val="1D1C1676"/>
    <w:rsid w:val="1D216C8C"/>
    <w:rsid w:val="1D266050"/>
    <w:rsid w:val="1D296C17"/>
    <w:rsid w:val="1D2E3157"/>
    <w:rsid w:val="1D3F5364"/>
    <w:rsid w:val="1D497BBF"/>
    <w:rsid w:val="1D50131F"/>
    <w:rsid w:val="1D61177E"/>
    <w:rsid w:val="1D6152DA"/>
    <w:rsid w:val="1D63299D"/>
    <w:rsid w:val="1D646B79"/>
    <w:rsid w:val="1D686669"/>
    <w:rsid w:val="1D6F55A4"/>
    <w:rsid w:val="1D6F6D09"/>
    <w:rsid w:val="1D7B2840"/>
    <w:rsid w:val="1D943902"/>
    <w:rsid w:val="1D9531D6"/>
    <w:rsid w:val="1DA63635"/>
    <w:rsid w:val="1DA653E3"/>
    <w:rsid w:val="1DAF4298"/>
    <w:rsid w:val="1DB25B36"/>
    <w:rsid w:val="1DB573D4"/>
    <w:rsid w:val="1DBC0C53"/>
    <w:rsid w:val="1DC046F7"/>
    <w:rsid w:val="1DCF16F9"/>
    <w:rsid w:val="1DD96785"/>
    <w:rsid w:val="1DD97567"/>
    <w:rsid w:val="1DDC7057"/>
    <w:rsid w:val="1DE303E5"/>
    <w:rsid w:val="1DE33F41"/>
    <w:rsid w:val="1E1265D5"/>
    <w:rsid w:val="1E1B7B7F"/>
    <w:rsid w:val="1E214A6A"/>
    <w:rsid w:val="1E285DF8"/>
    <w:rsid w:val="1E2D1660"/>
    <w:rsid w:val="1E3B1FCF"/>
    <w:rsid w:val="1E403142"/>
    <w:rsid w:val="1E432792"/>
    <w:rsid w:val="1E4C5F8A"/>
    <w:rsid w:val="1E51534F"/>
    <w:rsid w:val="1E5A1A7D"/>
    <w:rsid w:val="1E5B61CE"/>
    <w:rsid w:val="1E5E181A"/>
    <w:rsid w:val="1E65704C"/>
    <w:rsid w:val="1E6A01BF"/>
    <w:rsid w:val="1E707ECB"/>
    <w:rsid w:val="1E7A2AF8"/>
    <w:rsid w:val="1E8E20FF"/>
    <w:rsid w:val="1E91399D"/>
    <w:rsid w:val="1E982F7E"/>
    <w:rsid w:val="1EAF2075"/>
    <w:rsid w:val="1EB1403F"/>
    <w:rsid w:val="1EB37DB8"/>
    <w:rsid w:val="1EB63404"/>
    <w:rsid w:val="1EBD4792"/>
    <w:rsid w:val="1ECE2E43"/>
    <w:rsid w:val="1ED55F80"/>
    <w:rsid w:val="1EDA5344"/>
    <w:rsid w:val="1EE371AA"/>
    <w:rsid w:val="1EE937D9"/>
    <w:rsid w:val="1EF67CA4"/>
    <w:rsid w:val="1F046272"/>
    <w:rsid w:val="1F0979D8"/>
    <w:rsid w:val="1F1617FC"/>
    <w:rsid w:val="1F1C3BAF"/>
    <w:rsid w:val="1F2B2044"/>
    <w:rsid w:val="1F2B5BA0"/>
    <w:rsid w:val="1F2D5FFE"/>
    <w:rsid w:val="1F2E5690"/>
    <w:rsid w:val="1F30765A"/>
    <w:rsid w:val="1F316F2E"/>
    <w:rsid w:val="1F3C5FFF"/>
    <w:rsid w:val="1F4924CA"/>
    <w:rsid w:val="1F4B4494"/>
    <w:rsid w:val="1F4D05C8"/>
    <w:rsid w:val="1F574BE7"/>
    <w:rsid w:val="1F5E623E"/>
    <w:rsid w:val="1F642E60"/>
    <w:rsid w:val="1F645556"/>
    <w:rsid w:val="1F69715D"/>
    <w:rsid w:val="1F6B2440"/>
    <w:rsid w:val="1F6B6F1B"/>
    <w:rsid w:val="1F7A6B27"/>
    <w:rsid w:val="1F813A12"/>
    <w:rsid w:val="1F953961"/>
    <w:rsid w:val="1F973235"/>
    <w:rsid w:val="1FA140B4"/>
    <w:rsid w:val="1FA3607E"/>
    <w:rsid w:val="1FAE057F"/>
    <w:rsid w:val="1FBF531F"/>
    <w:rsid w:val="1FC102B2"/>
    <w:rsid w:val="1FC654C7"/>
    <w:rsid w:val="1FCB1E28"/>
    <w:rsid w:val="1FD60202"/>
    <w:rsid w:val="1FD7645F"/>
    <w:rsid w:val="1FDB5818"/>
    <w:rsid w:val="1FDC50EC"/>
    <w:rsid w:val="1FE305D3"/>
    <w:rsid w:val="1FED10A7"/>
    <w:rsid w:val="1FED554B"/>
    <w:rsid w:val="1FF465B9"/>
    <w:rsid w:val="200563F1"/>
    <w:rsid w:val="20104D96"/>
    <w:rsid w:val="20112FE8"/>
    <w:rsid w:val="20120B0E"/>
    <w:rsid w:val="201725C8"/>
    <w:rsid w:val="201D5325"/>
    <w:rsid w:val="202F7912"/>
    <w:rsid w:val="2031368A"/>
    <w:rsid w:val="20360CA0"/>
    <w:rsid w:val="20407429"/>
    <w:rsid w:val="20566C4C"/>
    <w:rsid w:val="205B24B5"/>
    <w:rsid w:val="205C7FDB"/>
    <w:rsid w:val="207D005D"/>
    <w:rsid w:val="208E4638"/>
    <w:rsid w:val="20914128"/>
    <w:rsid w:val="209E05F3"/>
    <w:rsid w:val="20A025BE"/>
    <w:rsid w:val="20A35C0A"/>
    <w:rsid w:val="20B6593D"/>
    <w:rsid w:val="20BD4F1E"/>
    <w:rsid w:val="20C31E08"/>
    <w:rsid w:val="20D12B0B"/>
    <w:rsid w:val="20D64231"/>
    <w:rsid w:val="20D83B05"/>
    <w:rsid w:val="20EF0E4F"/>
    <w:rsid w:val="20F87D04"/>
    <w:rsid w:val="21025026"/>
    <w:rsid w:val="210668C5"/>
    <w:rsid w:val="210E39CB"/>
    <w:rsid w:val="2111004A"/>
    <w:rsid w:val="211B122B"/>
    <w:rsid w:val="211B39F2"/>
    <w:rsid w:val="21260D15"/>
    <w:rsid w:val="212C3E51"/>
    <w:rsid w:val="21303941"/>
    <w:rsid w:val="21334C4D"/>
    <w:rsid w:val="213F1DD6"/>
    <w:rsid w:val="21475C82"/>
    <w:rsid w:val="214A6A99"/>
    <w:rsid w:val="214D162F"/>
    <w:rsid w:val="215313DE"/>
    <w:rsid w:val="215A276C"/>
    <w:rsid w:val="215B0293"/>
    <w:rsid w:val="21703D3E"/>
    <w:rsid w:val="21731A80"/>
    <w:rsid w:val="217A696B"/>
    <w:rsid w:val="217C6B87"/>
    <w:rsid w:val="217D46AD"/>
    <w:rsid w:val="219263AA"/>
    <w:rsid w:val="2196789E"/>
    <w:rsid w:val="219F4623"/>
    <w:rsid w:val="21A12149"/>
    <w:rsid w:val="21B77BBF"/>
    <w:rsid w:val="21B9043A"/>
    <w:rsid w:val="21B922AD"/>
    <w:rsid w:val="21C45D42"/>
    <w:rsid w:val="21D342CD"/>
    <w:rsid w:val="21D87C70"/>
    <w:rsid w:val="21E36C06"/>
    <w:rsid w:val="21ED5A20"/>
    <w:rsid w:val="21FA7AAB"/>
    <w:rsid w:val="22032E04"/>
    <w:rsid w:val="22123EBE"/>
    <w:rsid w:val="2217065D"/>
    <w:rsid w:val="22192627"/>
    <w:rsid w:val="221943D6"/>
    <w:rsid w:val="22196749"/>
    <w:rsid w:val="221B014E"/>
    <w:rsid w:val="223676C5"/>
    <w:rsid w:val="223C1E72"/>
    <w:rsid w:val="22401962"/>
    <w:rsid w:val="224444B4"/>
    <w:rsid w:val="224C6559"/>
    <w:rsid w:val="225862E9"/>
    <w:rsid w:val="22590C76"/>
    <w:rsid w:val="22592A24"/>
    <w:rsid w:val="225B49EE"/>
    <w:rsid w:val="227351F1"/>
    <w:rsid w:val="22743D02"/>
    <w:rsid w:val="227F19D3"/>
    <w:rsid w:val="228219CA"/>
    <w:rsid w:val="229121BE"/>
    <w:rsid w:val="229323DA"/>
    <w:rsid w:val="22943A5C"/>
    <w:rsid w:val="2298179E"/>
    <w:rsid w:val="22A5210D"/>
    <w:rsid w:val="22A53EBB"/>
    <w:rsid w:val="22AF0896"/>
    <w:rsid w:val="22B002C2"/>
    <w:rsid w:val="22B365D8"/>
    <w:rsid w:val="22B440FE"/>
    <w:rsid w:val="22B97967"/>
    <w:rsid w:val="22BA5BB9"/>
    <w:rsid w:val="22BF098E"/>
    <w:rsid w:val="22C049DD"/>
    <w:rsid w:val="22C95DFC"/>
    <w:rsid w:val="22CA1B74"/>
    <w:rsid w:val="22D327D6"/>
    <w:rsid w:val="22E26EBD"/>
    <w:rsid w:val="22E5250A"/>
    <w:rsid w:val="22F369D5"/>
    <w:rsid w:val="22FD09C3"/>
    <w:rsid w:val="22FD7853"/>
    <w:rsid w:val="230961F8"/>
    <w:rsid w:val="231177A3"/>
    <w:rsid w:val="23164DB9"/>
    <w:rsid w:val="23177672"/>
    <w:rsid w:val="231D6147"/>
    <w:rsid w:val="2322550C"/>
    <w:rsid w:val="232C0139"/>
    <w:rsid w:val="23333275"/>
    <w:rsid w:val="2338088B"/>
    <w:rsid w:val="23452FA8"/>
    <w:rsid w:val="234A05BF"/>
    <w:rsid w:val="234E00AF"/>
    <w:rsid w:val="23503E27"/>
    <w:rsid w:val="235220FF"/>
    <w:rsid w:val="235229D8"/>
    <w:rsid w:val="23571659"/>
    <w:rsid w:val="235A2EF8"/>
    <w:rsid w:val="23605C24"/>
    <w:rsid w:val="236505DE"/>
    <w:rsid w:val="236C49D9"/>
    <w:rsid w:val="23706277"/>
    <w:rsid w:val="23827D58"/>
    <w:rsid w:val="23887BB0"/>
    <w:rsid w:val="238C0BD7"/>
    <w:rsid w:val="239A32F4"/>
    <w:rsid w:val="239B0E1A"/>
    <w:rsid w:val="23A3664D"/>
    <w:rsid w:val="23A6613D"/>
    <w:rsid w:val="23AD1279"/>
    <w:rsid w:val="23AF58B1"/>
    <w:rsid w:val="23B048C6"/>
    <w:rsid w:val="23B35357"/>
    <w:rsid w:val="23C10881"/>
    <w:rsid w:val="23C640E9"/>
    <w:rsid w:val="23CD5478"/>
    <w:rsid w:val="23D06603"/>
    <w:rsid w:val="23D26F32"/>
    <w:rsid w:val="23FC7B0B"/>
    <w:rsid w:val="240E507C"/>
    <w:rsid w:val="240E783E"/>
    <w:rsid w:val="2412732E"/>
    <w:rsid w:val="241E0D30"/>
    <w:rsid w:val="2423778D"/>
    <w:rsid w:val="2426102C"/>
    <w:rsid w:val="2432352D"/>
    <w:rsid w:val="24390D5F"/>
    <w:rsid w:val="243E0148"/>
    <w:rsid w:val="244A4D1A"/>
    <w:rsid w:val="244B0A92"/>
    <w:rsid w:val="244F40DF"/>
    <w:rsid w:val="24600A59"/>
    <w:rsid w:val="246062EC"/>
    <w:rsid w:val="24635DDC"/>
    <w:rsid w:val="247E195A"/>
    <w:rsid w:val="2487097B"/>
    <w:rsid w:val="248A15BB"/>
    <w:rsid w:val="248B0E8F"/>
    <w:rsid w:val="248C70E1"/>
    <w:rsid w:val="249146F7"/>
    <w:rsid w:val="2492046F"/>
    <w:rsid w:val="249473FB"/>
    <w:rsid w:val="249935AC"/>
    <w:rsid w:val="24AD52A9"/>
    <w:rsid w:val="24B403E6"/>
    <w:rsid w:val="24BE1264"/>
    <w:rsid w:val="24C34ACD"/>
    <w:rsid w:val="24D1504E"/>
    <w:rsid w:val="24D9609E"/>
    <w:rsid w:val="24E06E24"/>
    <w:rsid w:val="24E10731"/>
    <w:rsid w:val="24E46F1D"/>
    <w:rsid w:val="24F37160"/>
    <w:rsid w:val="24F627AC"/>
    <w:rsid w:val="2500362B"/>
    <w:rsid w:val="250A6257"/>
    <w:rsid w:val="250C1FD0"/>
    <w:rsid w:val="251315B0"/>
    <w:rsid w:val="25237319"/>
    <w:rsid w:val="253B262F"/>
    <w:rsid w:val="253B28B5"/>
    <w:rsid w:val="253F4153"/>
    <w:rsid w:val="2554491A"/>
    <w:rsid w:val="25697422"/>
    <w:rsid w:val="257051A4"/>
    <w:rsid w:val="25781413"/>
    <w:rsid w:val="258C1362"/>
    <w:rsid w:val="258C4EBE"/>
    <w:rsid w:val="25987D07"/>
    <w:rsid w:val="259D70CC"/>
    <w:rsid w:val="25A62424"/>
    <w:rsid w:val="25A641D2"/>
    <w:rsid w:val="25AB17E9"/>
    <w:rsid w:val="25B12B77"/>
    <w:rsid w:val="25BD3CDC"/>
    <w:rsid w:val="25C7239A"/>
    <w:rsid w:val="25DC7BF4"/>
    <w:rsid w:val="25DD396C"/>
    <w:rsid w:val="25DD571A"/>
    <w:rsid w:val="2609650F"/>
    <w:rsid w:val="260D5FFF"/>
    <w:rsid w:val="260E1D77"/>
    <w:rsid w:val="260F1599"/>
    <w:rsid w:val="2612592F"/>
    <w:rsid w:val="26151358"/>
    <w:rsid w:val="261750D0"/>
    <w:rsid w:val="262477ED"/>
    <w:rsid w:val="26321F0A"/>
    <w:rsid w:val="263222D7"/>
    <w:rsid w:val="26395046"/>
    <w:rsid w:val="264A1001"/>
    <w:rsid w:val="264D28A0"/>
    <w:rsid w:val="264D6D44"/>
    <w:rsid w:val="265359DC"/>
    <w:rsid w:val="2657371E"/>
    <w:rsid w:val="265754CC"/>
    <w:rsid w:val="26647BE9"/>
    <w:rsid w:val="267C3185"/>
    <w:rsid w:val="26844491"/>
    <w:rsid w:val="26887D7C"/>
    <w:rsid w:val="268C7923"/>
    <w:rsid w:val="269E134D"/>
    <w:rsid w:val="26AA1AA0"/>
    <w:rsid w:val="26AA5F44"/>
    <w:rsid w:val="26AD1F5C"/>
    <w:rsid w:val="26AD77E2"/>
    <w:rsid w:val="26C2328E"/>
    <w:rsid w:val="26D905D7"/>
    <w:rsid w:val="26D94133"/>
    <w:rsid w:val="26DE5BEE"/>
    <w:rsid w:val="26DE6312"/>
    <w:rsid w:val="26E31456"/>
    <w:rsid w:val="26EC20B9"/>
    <w:rsid w:val="26FB22FC"/>
    <w:rsid w:val="270218DC"/>
    <w:rsid w:val="27076EF2"/>
    <w:rsid w:val="2717265C"/>
    <w:rsid w:val="271D04C4"/>
    <w:rsid w:val="271E248E"/>
    <w:rsid w:val="272160C4"/>
    <w:rsid w:val="27225ADA"/>
    <w:rsid w:val="272F01F7"/>
    <w:rsid w:val="27337CE7"/>
    <w:rsid w:val="273B6E85"/>
    <w:rsid w:val="275639D6"/>
    <w:rsid w:val="275859A0"/>
    <w:rsid w:val="275D4D64"/>
    <w:rsid w:val="2767173F"/>
    <w:rsid w:val="276C31F9"/>
    <w:rsid w:val="279D33B3"/>
    <w:rsid w:val="27A91D58"/>
    <w:rsid w:val="27A961FC"/>
    <w:rsid w:val="27AB1F74"/>
    <w:rsid w:val="27AC5CEC"/>
    <w:rsid w:val="27AF3540"/>
    <w:rsid w:val="27B54BA0"/>
    <w:rsid w:val="27C60B5C"/>
    <w:rsid w:val="27C6290A"/>
    <w:rsid w:val="27CE7A10"/>
    <w:rsid w:val="27D35027"/>
    <w:rsid w:val="27E02036"/>
    <w:rsid w:val="27E1023C"/>
    <w:rsid w:val="27EE3C0E"/>
    <w:rsid w:val="27F531EF"/>
    <w:rsid w:val="27F76F67"/>
    <w:rsid w:val="27FA0805"/>
    <w:rsid w:val="28013942"/>
    <w:rsid w:val="28033B5E"/>
    <w:rsid w:val="280478D6"/>
    <w:rsid w:val="280B656E"/>
    <w:rsid w:val="281C077C"/>
    <w:rsid w:val="282615FA"/>
    <w:rsid w:val="2826784C"/>
    <w:rsid w:val="28292E99"/>
    <w:rsid w:val="282C4737"/>
    <w:rsid w:val="283101DC"/>
    <w:rsid w:val="28322D6E"/>
    <w:rsid w:val="284303FE"/>
    <w:rsid w:val="2849353B"/>
    <w:rsid w:val="28500425"/>
    <w:rsid w:val="285919D0"/>
    <w:rsid w:val="285D2B42"/>
    <w:rsid w:val="28665E9B"/>
    <w:rsid w:val="286D7229"/>
    <w:rsid w:val="286F11F3"/>
    <w:rsid w:val="287E67A4"/>
    <w:rsid w:val="288527C5"/>
    <w:rsid w:val="289E5D8E"/>
    <w:rsid w:val="28A80261"/>
    <w:rsid w:val="28B9246E"/>
    <w:rsid w:val="28BE7A85"/>
    <w:rsid w:val="28C80903"/>
    <w:rsid w:val="28D42E04"/>
    <w:rsid w:val="28D9041B"/>
    <w:rsid w:val="28E079FB"/>
    <w:rsid w:val="28E62B38"/>
    <w:rsid w:val="28EA2628"/>
    <w:rsid w:val="28F9286B"/>
    <w:rsid w:val="28F96D0F"/>
    <w:rsid w:val="2907142C"/>
    <w:rsid w:val="2912392D"/>
    <w:rsid w:val="2920604A"/>
    <w:rsid w:val="292A336C"/>
    <w:rsid w:val="292A40FB"/>
    <w:rsid w:val="292D0766"/>
    <w:rsid w:val="292D69B8"/>
    <w:rsid w:val="292F2731"/>
    <w:rsid w:val="29332221"/>
    <w:rsid w:val="293B2E83"/>
    <w:rsid w:val="294361DC"/>
    <w:rsid w:val="294C5091"/>
    <w:rsid w:val="294E0E09"/>
    <w:rsid w:val="295201CD"/>
    <w:rsid w:val="2953641F"/>
    <w:rsid w:val="29604625"/>
    <w:rsid w:val="2964062C"/>
    <w:rsid w:val="296543A4"/>
    <w:rsid w:val="296A5517"/>
    <w:rsid w:val="297D1637"/>
    <w:rsid w:val="299A22A0"/>
    <w:rsid w:val="299A31C8"/>
    <w:rsid w:val="299A404E"/>
    <w:rsid w:val="299F1664"/>
    <w:rsid w:val="29A7676B"/>
    <w:rsid w:val="29B13146"/>
    <w:rsid w:val="29B449E4"/>
    <w:rsid w:val="29BF3AB4"/>
    <w:rsid w:val="29C27101"/>
    <w:rsid w:val="29C70BBB"/>
    <w:rsid w:val="29DB1DB9"/>
    <w:rsid w:val="29DC2957"/>
    <w:rsid w:val="29DD55F2"/>
    <w:rsid w:val="29E17ECF"/>
    <w:rsid w:val="29FA2D3E"/>
    <w:rsid w:val="2A005E7B"/>
    <w:rsid w:val="2A0911D4"/>
    <w:rsid w:val="2A1A0CEB"/>
    <w:rsid w:val="2A225DF1"/>
    <w:rsid w:val="2A226BAF"/>
    <w:rsid w:val="2A2B114A"/>
    <w:rsid w:val="2A2B2EF8"/>
    <w:rsid w:val="2A360FB4"/>
    <w:rsid w:val="2A50295E"/>
    <w:rsid w:val="2A64465C"/>
    <w:rsid w:val="2A65743E"/>
    <w:rsid w:val="2A693A20"/>
    <w:rsid w:val="2A7228D5"/>
    <w:rsid w:val="2A7778D7"/>
    <w:rsid w:val="2A810D6A"/>
    <w:rsid w:val="2A9A007E"/>
    <w:rsid w:val="2AA16BB2"/>
    <w:rsid w:val="2AA3113F"/>
    <w:rsid w:val="2AB63060"/>
    <w:rsid w:val="2AB7478C"/>
    <w:rsid w:val="2AC24A4E"/>
    <w:rsid w:val="2AC33130"/>
    <w:rsid w:val="2ACF41CB"/>
    <w:rsid w:val="2AD73080"/>
    <w:rsid w:val="2AD87DA3"/>
    <w:rsid w:val="2AE412F9"/>
    <w:rsid w:val="2AE5579D"/>
    <w:rsid w:val="2AE65071"/>
    <w:rsid w:val="2AEC6B2B"/>
    <w:rsid w:val="2AF23A91"/>
    <w:rsid w:val="2AF36273"/>
    <w:rsid w:val="2AF74609"/>
    <w:rsid w:val="2B083239"/>
    <w:rsid w:val="2B1C6CE5"/>
    <w:rsid w:val="2B223C5F"/>
    <w:rsid w:val="2B230A70"/>
    <w:rsid w:val="2B275DB5"/>
    <w:rsid w:val="2B2A31B0"/>
    <w:rsid w:val="2B2C517A"/>
    <w:rsid w:val="2B404781"/>
    <w:rsid w:val="2B487ADA"/>
    <w:rsid w:val="2B4A3852"/>
    <w:rsid w:val="2B4B016A"/>
    <w:rsid w:val="2B501F6F"/>
    <w:rsid w:val="2B522706"/>
    <w:rsid w:val="2B560448"/>
    <w:rsid w:val="2B606BD1"/>
    <w:rsid w:val="2B7900B3"/>
    <w:rsid w:val="2B7B7EAF"/>
    <w:rsid w:val="2B7D59D5"/>
    <w:rsid w:val="2B8A00F2"/>
    <w:rsid w:val="2B941E9C"/>
    <w:rsid w:val="2B944ACD"/>
    <w:rsid w:val="2B966A97"/>
    <w:rsid w:val="2BBE7D9C"/>
    <w:rsid w:val="2BC703B4"/>
    <w:rsid w:val="2BD870AF"/>
    <w:rsid w:val="2BDF21EC"/>
    <w:rsid w:val="2BFC0FF0"/>
    <w:rsid w:val="2C0C4FAB"/>
    <w:rsid w:val="2C122E31"/>
    <w:rsid w:val="2C1D0F66"/>
    <w:rsid w:val="2C267B57"/>
    <w:rsid w:val="2C267E1B"/>
    <w:rsid w:val="2C300C99"/>
    <w:rsid w:val="2C471B3F"/>
    <w:rsid w:val="2C532BDA"/>
    <w:rsid w:val="2C534988"/>
    <w:rsid w:val="2C567FD4"/>
    <w:rsid w:val="2C576226"/>
    <w:rsid w:val="2C5F10AE"/>
    <w:rsid w:val="2C772424"/>
    <w:rsid w:val="2C92725E"/>
    <w:rsid w:val="2C934D84"/>
    <w:rsid w:val="2C970D19"/>
    <w:rsid w:val="2C9D5C03"/>
    <w:rsid w:val="2CA13945"/>
    <w:rsid w:val="2CA80B9C"/>
    <w:rsid w:val="2CA90A4C"/>
    <w:rsid w:val="2CBA4A07"/>
    <w:rsid w:val="2CC43190"/>
    <w:rsid w:val="2CDC2BCF"/>
    <w:rsid w:val="2CE101E6"/>
    <w:rsid w:val="2CF63C91"/>
    <w:rsid w:val="2CFF066C"/>
    <w:rsid w:val="2D0A6526"/>
    <w:rsid w:val="2D144117"/>
    <w:rsid w:val="2D214A86"/>
    <w:rsid w:val="2D241E80"/>
    <w:rsid w:val="2D287BC3"/>
    <w:rsid w:val="2D2A56E9"/>
    <w:rsid w:val="2D2F4203"/>
    <w:rsid w:val="2D2F478A"/>
    <w:rsid w:val="2D307DF6"/>
    <w:rsid w:val="2D341A64"/>
    <w:rsid w:val="2D4F6EFD"/>
    <w:rsid w:val="2D510EC7"/>
    <w:rsid w:val="2D546C0A"/>
    <w:rsid w:val="2D5C5ABE"/>
    <w:rsid w:val="2D5E1836"/>
    <w:rsid w:val="2D616C31"/>
    <w:rsid w:val="2D652BC5"/>
    <w:rsid w:val="2D6A3D37"/>
    <w:rsid w:val="2D713318"/>
    <w:rsid w:val="2D8501CE"/>
    <w:rsid w:val="2D9256AB"/>
    <w:rsid w:val="2DA323B8"/>
    <w:rsid w:val="2DA912EE"/>
    <w:rsid w:val="2DAC25A2"/>
    <w:rsid w:val="2DBE22D5"/>
    <w:rsid w:val="2DC01BA9"/>
    <w:rsid w:val="2DC21DC5"/>
    <w:rsid w:val="2DC23B73"/>
    <w:rsid w:val="2DC86CB0"/>
    <w:rsid w:val="2DCF44E2"/>
    <w:rsid w:val="2DD438A6"/>
    <w:rsid w:val="2DD4637D"/>
    <w:rsid w:val="2DD6761F"/>
    <w:rsid w:val="2DE81100"/>
    <w:rsid w:val="2DE97352"/>
    <w:rsid w:val="2DEC3FBF"/>
    <w:rsid w:val="2DF857E7"/>
    <w:rsid w:val="2E0A72C8"/>
    <w:rsid w:val="2E112405"/>
    <w:rsid w:val="2E2A34C6"/>
    <w:rsid w:val="2E2C5491"/>
    <w:rsid w:val="2E3600BD"/>
    <w:rsid w:val="2E36630F"/>
    <w:rsid w:val="2E424CB4"/>
    <w:rsid w:val="2E4C5B33"/>
    <w:rsid w:val="2E5A0250"/>
    <w:rsid w:val="2E5D2296"/>
    <w:rsid w:val="2E5F13C2"/>
    <w:rsid w:val="2E665B25"/>
    <w:rsid w:val="2E7110F5"/>
    <w:rsid w:val="2E7330BF"/>
    <w:rsid w:val="2E76495E"/>
    <w:rsid w:val="2E772BB0"/>
    <w:rsid w:val="2E89509B"/>
    <w:rsid w:val="2E982B26"/>
    <w:rsid w:val="2E9C71BB"/>
    <w:rsid w:val="2E9D013C"/>
    <w:rsid w:val="2EA72D69"/>
    <w:rsid w:val="2EB45BB2"/>
    <w:rsid w:val="2EB63B09"/>
    <w:rsid w:val="2EB865D8"/>
    <w:rsid w:val="2EBF6EA3"/>
    <w:rsid w:val="2EC1626D"/>
    <w:rsid w:val="2ECE02F6"/>
    <w:rsid w:val="2ED31DB0"/>
    <w:rsid w:val="2ED8567D"/>
    <w:rsid w:val="2EDC6EB7"/>
    <w:rsid w:val="2EDF69A7"/>
    <w:rsid w:val="2EE31FF3"/>
    <w:rsid w:val="2EF51D26"/>
    <w:rsid w:val="2EFA558F"/>
    <w:rsid w:val="2EFB597A"/>
    <w:rsid w:val="2F0B779C"/>
    <w:rsid w:val="2F15414F"/>
    <w:rsid w:val="2F2148C9"/>
    <w:rsid w:val="2F230642"/>
    <w:rsid w:val="2F2E6FE6"/>
    <w:rsid w:val="2F2F5238"/>
    <w:rsid w:val="2F307202"/>
    <w:rsid w:val="2F36237D"/>
    <w:rsid w:val="2F3960B7"/>
    <w:rsid w:val="2F4131BE"/>
    <w:rsid w:val="2F414F6C"/>
    <w:rsid w:val="2F430CE4"/>
    <w:rsid w:val="2F464330"/>
    <w:rsid w:val="2F4800A8"/>
    <w:rsid w:val="2F4B1946"/>
    <w:rsid w:val="2F5248B3"/>
    <w:rsid w:val="2F5C7FF7"/>
    <w:rsid w:val="2F6B1FE9"/>
    <w:rsid w:val="2F77098D"/>
    <w:rsid w:val="2F776BDF"/>
    <w:rsid w:val="2F794705"/>
    <w:rsid w:val="2F7B222C"/>
    <w:rsid w:val="2F822251"/>
    <w:rsid w:val="2F860BD0"/>
    <w:rsid w:val="2F880DEC"/>
    <w:rsid w:val="2FB219C5"/>
    <w:rsid w:val="2FC17E5A"/>
    <w:rsid w:val="2FDE0A0C"/>
    <w:rsid w:val="2FE204FD"/>
    <w:rsid w:val="2FE343B8"/>
    <w:rsid w:val="2FE36023"/>
    <w:rsid w:val="2FEE60FC"/>
    <w:rsid w:val="2FEF6776"/>
    <w:rsid w:val="2FF65D56"/>
    <w:rsid w:val="2FFB336C"/>
    <w:rsid w:val="30006BD5"/>
    <w:rsid w:val="30077F63"/>
    <w:rsid w:val="300A7BA6"/>
    <w:rsid w:val="30136908"/>
    <w:rsid w:val="30183F1E"/>
    <w:rsid w:val="30185CCC"/>
    <w:rsid w:val="301F52AD"/>
    <w:rsid w:val="30234671"/>
    <w:rsid w:val="302A595C"/>
    <w:rsid w:val="302C79CA"/>
    <w:rsid w:val="30311084"/>
    <w:rsid w:val="30316D8E"/>
    <w:rsid w:val="30326874"/>
    <w:rsid w:val="303B7C0D"/>
    <w:rsid w:val="303E7AE9"/>
    <w:rsid w:val="304271ED"/>
    <w:rsid w:val="304A5411"/>
    <w:rsid w:val="305807BF"/>
    <w:rsid w:val="305A03B0"/>
    <w:rsid w:val="30637C21"/>
    <w:rsid w:val="30647164"/>
    <w:rsid w:val="307D0225"/>
    <w:rsid w:val="307F3F9D"/>
    <w:rsid w:val="30801AC4"/>
    <w:rsid w:val="308275EA"/>
    <w:rsid w:val="308B2942"/>
    <w:rsid w:val="308E5F8F"/>
    <w:rsid w:val="30983C2F"/>
    <w:rsid w:val="309D61D2"/>
    <w:rsid w:val="30AA08EF"/>
    <w:rsid w:val="30AB4D93"/>
    <w:rsid w:val="30B009C8"/>
    <w:rsid w:val="30B8300C"/>
    <w:rsid w:val="30B976E9"/>
    <w:rsid w:val="30BA6D84"/>
    <w:rsid w:val="30C3032E"/>
    <w:rsid w:val="30CF7517"/>
    <w:rsid w:val="30D140CD"/>
    <w:rsid w:val="30D2231F"/>
    <w:rsid w:val="30DD6F16"/>
    <w:rsid w:val="30E43E01"/>
    <w:rsid w:val="31083F93"/>
    <w:rsid w:val="31126BC0"/>
    <w:rsid w:val="311346E6"/>
    <w:rsid w:val="31185880"/>
    <w:rsid w:val="311C17EC"/>
    <w:rsid w:val="312C669A"/>
    <w:rsid w:val="312F7772"/>
    <w:rsid w:val="31305298"/>
    <w:rsid w:val="31311FAB"/>
    <w:rsid w:val="313C59EB"/>
    <w:rsid w:val="313E5C07"/>
    <w:rsid w:val="31436D79"/>
    <w:rsid w:val="31466869"/>
    <w:rsid w:val="3146720F"/>
    <w:rsid w:val="314D409C"/>
    <w:rsid w:val="31662A49"/>
    <w:rsid w:val="316F5DC0"/>
    <w:rsid w:val="317A29E0"/>
    <w:rsid w:val="317A6513"/>
    <w:rsid w:val="317B67D5"/>
    <w:rsid w:val="317F1D7B"/>
    <w:rsid w:val="318B6972"/>
    <w:rsid w:val="318C4BC4"/>
    <w:rsid w:val="319C46DB"/>
    <w:rsid w:val="31A17C21"/>
    <w:rsid w:val="31A812D2"/>
    <w:rsid w:val="31B60FAE"/>
    <w:rsid w:val="31BB2DB3"/>
    <w:rsid w:val="31C0486E"/>
    <w:rsid w:val="31C53C32"/>
    <w:rsid w:val="31D71BB7"/>
    <w:rsid w:val="31DE6AA2"/>
    <w:rsid w:val="31EC7411"/>
    <w:rsid w:val="31ED44C0"/>
    <w:rsid w:val="31F75DB5"/>
    <w:rsid w:val="31F81FF4"/>
    <w:rsid w:val="31FE5396"/>
    <w:rsid w:val="32024E86"/>
    <w:rsid w:val="320329AC"/>
    <w:rsid w:val="32127369"/>
    <w:rsid w:val="321B3DE3"/>
    <w:rsid w:val="322B1F07"/>
    <w:rsid w:val="322C1F03"/>
    <w:rsid w:val="323112C7"/>
    <w:rsid w:val="323B2146"/>
    <w:rsid w:val="323C7095"/>
    <w:rsid w:val="32430FFB"/>
    <w:rsid w:val="324A2389"/>
    <w:rsid w:val="325154C6"/>
    <w:rsid w:val="32527C83"/>
    <w:rsid w:val="32584AA6"/>
    <w:rsid w:val="325F4087"/>
    <w:rsid w:val="32607DFF"/>
    <w:rsid w:val="326C0551"/>
    <w:rsid w:val="326F3B9E"/>
    <w:rsid w:val="32755658"/>
    <w:rsid w:val="32786EF6"/>
    <w:rsid w:val="32805DAB"/>
    <w:rsid w:val="328A09D8"/>
    <w:rsid w:val="32AE46C6"/>
    <w:rsid w:val="32B83797"/>
    <w:rsid w:val="32B85545"/>
    <w:rsid w:val="32BA1BBC"/>
    <w:rsid w:val="32BA750F"/>
    <w:rsid w:val="32BF4B25"/>
    <w:rsid w:val="32C75788"/>
    <w:rsid w:val="32CE2FBA"/>
    <w:rsid w:val="32D83E39"/>
    <w:rsid w:val="32ED1692"/>
    <w:rsid w:val="32F04CDF"/>
    <w:rsid w:val="32FC7B27"/>
    <w:rsid w:val="330662B0"/>
    <w:rsid w:val="330C5891"/>
    <w:rsid w:val="330D4536"/>
    <w:rsid w:val="330E33B7"/>
    <w:rsid w:val="331C5AD4"/>
    <w:rsid w:val="33272CFD"/>
    <w:rsid w:val="3330157F"/>
    <w:rsid w:val="33323549"/>
    <w:rsid w:val="333C6176"/>
    <w:rsid w:val="333E1EEE"/>
    <w:rsid w:val="334E5EA9"/>
    <w:rsid w:val="33655F01"/>
    <w:rsid w:val="337575FD"/>
    <w:rsid w:val="337F42B4"/>
    <w:rsid w:val="338C39A2"/>
    <w:rsid w:val="338E62A6"/>
    <w:rsid w:val="33923FE8"/>
    <w:rsid w:val="339B55AD"/>
    <w:rsid w:val="33A31D51"/>
    <w:rsid w:val="33A3495C"/>
    <w:rsid w:val="33A8380B"/>
    <w:rsid w:val="33B91574"/>
    <w:rsid w:val="33BC2E13"/>
    <w:rsid w:val="33BE302F"/>
    <w:rsid w:val="33BF6367"/>
    <w:rsid w:val="33C61EE3"/>
    <w:rsid w:val="33C85C5B"/>
    <w:rsid w:val="33E02FA5"/>
    <w:rsid w:val="33F46A50"/>
    <w:rsid w:val="34000F51"/>
    <w:rsid w:val="340053F5"/>
    <w:rsid w:val="340A1DD0"/>
    <w:rsid w:val="34164C19"/>
    <w:rsid w:val="341B3FDD"/>
    <w:rsid w:val="3421711A"/>
    <w:rsid w:val="34270BD4"/>
    <w:rsid w:val="34272982"/>
    <w:rsid w:val="342B1D46"/>
    <w:rsid w:val="342B6971"/>
    <w:rsid w:val="34360E17"/>
    <w:rsid w:val="343C6B12"/>
    <w:rsid w:val="3446549C"/>
    <w:rsid w:val="345179FF"/>
    <w:rsid w:val="34545741"/>
    <w:rsid w:val="34592D57"/>
    <w:rsid w:val="345A1178"/>
    <w:rsid w:val="345E036E"/>
    <w:rsid w:val="346239BA"/>
    <w:rsid w:val="34627E5E"/>
    <w:rsid w:val="34670FD0"/>
    <w:rsid w:val="346A0AC1"/>
    <w:rsid w:val="346C65E7"/>
    <w:rsid w:val="346D235F"/>
    <w:rsid w:val="347831DE"/>
    <w:rsid w:val="34790D04"/>
    <w:rsid w:val="347C757D"/>
    <w:rsid w:val="3482405C"/>
    <w:rsid w:val="34825E0A"/>
    <w:rsid w:val="348736CE"/>
    <w:rsid w:val="348A2F11"/>
    <w:rsid w:val="349A13A6"/>
    <w:rsid w:val="34B8182C"/>
    <w:rsid w:val="34BD32E6"/>
    <w:rsid w:val="34C04B85"/>
    <w:rsid w:val="34C208FD"/>
    <w:rsid w:val="34D0301A"/>
    <w:rsid w:val="34D348B8"/>
    <w:rsid w:val="34D643A8"/>
    <w:rsid w:val="34D923E8"/>
    <w:rsid w:val="34DA3A0B"/>
    <w:rsid w:val="34DA3E98"/>
    <w:rsid w:val="34DB1C6D"/>
    <w:rsid w:val="34E6283D"/>
    <w:rsid w:val="351729F7"/>
    <w:rsid w:val="35225BD7"/>
    <w:rsid w:val="35245113"/>
    <w:rsid w:val="35277F68"/>
    <w:rsid w:val="352E5F92"/>
    <w:rsid w:val="353335A8"/>
    <w:rsid w:val="353F1F4D"/>
    <w:rsid w:val="353F5AA9"/>
    <w:rsid w:val="354B08F2"/>
    <w:rsid w:val="356773AC"/>
    <w:rsid w:val="356814A4"/>
    <w:rsid w:val="35742745"/>
    <w:rsid w:val="3578720D"/>
    <w:rsid w:val="35843E04"/>
    <w:rsid w:val="358D0F0B"/>
    <w:rsid w:val="359871BA"/>
    <w:rsid w:val="359978AF"/>
    <w:rsid w:val="35A63D7A"/>
    <w:rsid w:val="35AE1CC8"/>
    <w:rsid w:val="35B244CD"/>
    <w:rsid w:val="35BC17F0"/>
    <w:rsid w:val="35C10BB4"/>
    <w:rsid w:val="35C64805"/>
    <w:rsid w:val="35CF507F"/>
    <w:rsid w:val="35D07049"/>
    <w:rsid w:val="35DE3514"/>
    <w:rsid w:val="35E36D7D"/>
    <w:rsid w:val="35E6061B"/>
    <w:rsid w:val="35E825E5"/>
    <w:rsid w:val="35EA010B"/>
    <w:rsid w:val="35EA0AC0"/>
    <w:rsid w:val="360F7B72"/>
    <w:rsid w:val="36280C33"/>
    <w:rsid w:val="3628478F"/>
    <w:rsid w:val="362F3D70"/>
    <w:rsid w:val="36321AB2"/>
    <w:rsid w:val="36323860"/>
    <w:rsid w:val="36435A6D"/>
    <w:rsid w:val="36444283"/>
    <w:rsid w:val="365377F4"/>
    <w:rsid w:val="366003CD"/>
    <w:rsid w:val="36603F29"/>
    <w:rsid w:val="36657792"/>
    <w:rsid w:val="3667350A"/>
    <w:rsid w:val="366A1DF8"/>
    <w:rsid w:val="36743E79"/>
    <w:rsid w:val="3676374D"/>
    <w:rsid w:val="367714D5"/>
    <w:rsid w:val="36826596"/>
    <w:rsid w:val="368C2F70"/>
    <w:rsid w:val="368F2A60"/>
    <w:rsid w:val="3699743B"/>
    <w:rsid w:val="36AA5AEC"/>
    <w:rsid w:val="36C50230"/>
    <w:rsid w:val="36CC5A63"/>
    <w:rsid w:val="36D554E4"/>
    <w:rsid w:val="36E27034"/>
    <w:rsid w:val="36F32FEF"/>
    <w:rsid w:val="36F80606"/>
    <w:rsid w:val="36F9612C"/>
    <w:rsid w:val="36FF7BE6"/>
    <w:rsid w:val="371234AD"/>
    <w:rsid w:val="37180CA8"/>
    <w:rsid w:val="371A057C"/>
    <w:rsid w:val="372633C5"/>
    <w:rsid w:val="37270EEB"/>
    <w:rsid w:val="37272C99"/>
    <w:rsid w:val="372C4753"/>
    <w:rsid w:val="373B6744"/>
    <w:rsid w:val="37427AD3"/>
    <w:rsid w:val="37461371"/>
    <w:rsid w:val="37490E61"/>
    <w:rsid w:val="375F2433"/>
    <w:rsid w:val="375F68D7"/>
    <w:rsid w:val="376712E7"/>
    <w:rsid w:val="37753A04"/>
    <w:rsid w:val="378105FB"/>
    <w:rsid w:val="37814AE6"/>
    <w:rsid w:val="37824373"/>
    <w:rsid w:val="378571E0"/>
    <w:rsid w:val="37866CC0"/>
    <w:rsid w:val="37887BDC"/>
    <w:rsid w:val="378B76CC"/>
    <w:rsid w:val="37901754"/>
    <w:rsid w:val="37A147F9"/>
    <w:rsid w:val="37B63DE0"/>
    <w:rsid w:val="37BA3B0D"/>
    <w:rsid w:val="37BF7375"/>
    <w:rsid w:val="37C329C2"/>
    <w:rsid w:val="37D746BF"/>
    <w:rsid w:val="37E42938"/>
    <w:rsid w:val="3810372D"/>
    <w:rsid w:val="38213B8C"/>
    <w:rsid w:val="3825542A"/>
    <w:rsid w:val="382B67B9"/>
    <w:rsid w:val="3830210D"/>
    <w:rsid w:val="3832581C"/>
    <w:rsid w:val="38351B40"/>
    <w:rsid w:val="383523CC"/>
    <w:rsid w:val="3837515E"/>
    <w:rsid w:val="384A4E91"/>
    <w:rsid w:val="38517386"/>
    <w:rsid w:val="38555055"/>
    <w:rsid w:val="38593326"/>
    <w:rsid w:val="385C4BC4"/>
    <w:rsid w:val="386046B4"/>
    <w:rsid w:val="38651CCB"/>
    <w:rsid w:val="38675A43"/>
    <w:rsid w:val="387168C2"/>
    <w:rsid w:val="38740160"/>
    <w:rsid w:val="387D02B9"/>
    <w:rsid w:val="388C7258"/>
    <w:rsid w:val="38912AC0"/>
    <w:rsid w:val="389205E6"/>
    <w:rsid w:val="389712B7"/>
    <w:rsid w:val="38A5656B"/>
    <w:rsid w:val="38A87E0A"/>
    <w:rsid w:val="38AE3672"/>
    <w:rsid w:val="38B14F10"/>
    <w:rsid w:val="38B85A37"/>
    <w:rsid w:val="38CC7F9C"/>
    <w:rsid w:val="38F816A4"/>
    <w:rsid w:val="38F924F1"/>
    <w:rsid w:val="38FB618B"/>
    <w:rsid w:val="38FD1F03"/>
    <w:rsid w:val="390C2146"/>
    <w:rsid w:val="390E2362"/>
    <w:rsid w:val="39137979"/>
    <w:rsid w:val="393D67A4"/>
    <w:rsid w:val="394408E9"/>
    <w:rsid w:val="3962445C"/>
    <w:rsid w:val="39655A83"/>
    <w:rsid w:val="396C0E37"/>
    <w:rsid w:val="397321C6"/>
    <w:rsid w:val="398048E2"/>
    <w:rsid w:val="398B750F"/>
    <w:rsid w:val="39902D77"/>
    <w:rsid w:val="39934616"/>
    <w:rsid w:val="399430B5"/>
    <w:rsid w:val="399A59A4"/>
    <w:rsid w:val="399C171C"/>
    <w:rsid w:val="399F120C"/>
    <w:rsid w:val="39A64349"/>
    <w:rsid w:val="39A71043"/>
    <w:rsid w:val="39B50A30"/>
    <w:rsid w:val="39C173D5"/>
    <w:rsid w:val="39EB4452"/>
    <w:rsid w:val="39ED1F78"/>
    <w:rsid w:val="3A045513"/>
    <w:rsid w:val="3A20459B"/>
    <w:rsid w:val="3A211C22"/>
    <w:rsid w:val="3A255BB6"/>
    <w:rsid w:val="3A26548A"/>
    <w:rsid w:val="3A267238"/>
    <w:rsid w:val="3A2A31CC"/>
    <w:rsid w:val="3A30455A"/>
    <w:rsid w:val="3A317B94"/>
    <w:rsid w:val="3A377697"/>
    <w:rsid w:val="3A39340F"/>
    <w:rsid w:val="3A3C4CAD"/>
    <w:rsid w:val="3A3F1B1E"/>
    <w:rsid w:val="3A451DB4"/>
    <w:rsid w:val="3A4D6EBA"/>
    <w:rsid w:val="3A502507"/>
    <w:rsid w:val="3A507D03"/>
    <w:rsid w:val="3A5244D1"/>
    <w:rsid w:val="3A86417A"/>
    <w:rsid w:val="3A897053"/>
    <w:rsid w:val="3A8A77C7"/>
    <w:rsid w:val="3A8B75BA"/>
    <w:rsid w:val="3AA34D2C"/>
    <w:rsid w:val="3AAF1923"/>
    <w:rsid w:val="3AB26D1E"/>
    <w:rsid w:val="3AB40CE8"/>
    <w:rsid w:val="3AB50103"/>
    <w:rsid w:val="3AB72586"/>
    <w:rsid w:val="3AC151B3"/>
    <w:rsid w:val="3ACD3B57"/>
    <w:rsid w:val="3AD44EE6"/>
    <w:rsid w:val="3AD82C28"/>
    <w:rsid w:val="3AD849D6"/>
    <w:rsid w:val="3AE07D2F"/>
    <w:rsid w:val="3AF64E5C"/>
    <w:rsid w:val="3AF65112"/>
    <w:rsid w:val="3AFE1F63"/>
    <w:rsid w:val="3B031DF5"/>
    <w:rsid w:val="3B057795"/>
    <w:rsid w:val="3B0F4170"/>
    <w:rsid w:val="3B1F0857"/>
    <w:rsid w:val="3B301EC0"/>
    <w:rsid w:val="3B4756B8"/>
    <w:rsid w:val="3B4D36E8"/>
    <w:rsid w:val="3B512F70"/>
    <w:rsid w:val="3B5D312D"/>
    <w:rsid w:val="3B7A783B"/>
    <w:rsid w:val="3B84690C"/>
    <w:rsid w:val="3B8C57C0"/>
    <w:rsid w:val="3B8D6E91"/>
    <w:rsid w:val="3B90705F"/>
    <w:rsid w:val="3B96663F"/>
    <w:rsid w:val="3BA0301A"/>
    <w:rsid w:val="3BAB4361"/>
    <w:rsid w:val="3BB0325D"/>
    <w:rsid w:val="3BC62A80"/>
    <w:rsid w:val="3BCE7B87"/>
    <w:rsid w:val="3BDA652C"/>
    <w:rsid w:val="3BE15B0C"/>
    <w:rsid w:val="3BE178BA"/>
    <w:rsid w:val="3BE33DA9"/>
    <w:rsid w:val="3BE70C49"/>
    <w:rsid w:val="3BF07AFD"/>
    <w:rsid w:val="3BF4646A"/>
    <w:rsid w:val="3BF82E56"/>
    <w:rsid w:val="3C145EE2"/>
    <w:rsid w:val="3C177780"/>
    <w:rsid w:val="3C335C3C"/>
    <w:rsid w:val="3C463BC1"/>
    <w:rsid w:val="3C4D4F50"/>
    <w:rsid w:val="3C51154D"/>
    <w:rsid w:val="3C597D99"/>
    <w:rsid w:val="3C5C5193"/>
    <w:rsid w:val="3C5F1FE3"/>
    <w:rsid w:val="3C687FDC"/>
    <w:rsid w:val="3C720E5A"/>
    <w:rsid w:val="3C771FCD"/>
    <w:rsid w:val="3C797AF3"/>
    <w:rsid w:val="3C7A4FBF"/>
    <w:rsid w:val="3C8446EA"/>
    <w:rsid w:val="3C862210"/>
    <w:rsid w:val="3C8841DA"/>
    <w:rsid w:val="3C9B3F0D"/>
    <w:rsid w:val="3C9F07CB"/>
    <w:rsid w:val="3CA134EE"/>
    <w:rsid w:val="3CA522D6"/>
    <w:rsid w:val="3CA52FDE"/>
    <w:rsid w:val="3CA8662A"/>
    <w:rsid w:val="3CAB1C76"/>
    <w:rsid w:val="3CB054DF"/>
    <w:rsid w:val="3CB11983"/>
    <w:rsid w:val="3CB43221"/>
    <w:rsid w:val="3CB7061B"/>
    <w:rsid w:val="3CBE5E4E"/>
    <w:rsid w:val="3CC01BC6"/>
    <w:rsid w:val="3CC350C0"/>
    <w:rsid w:val="3CCD6091"/>
    <w:rsid w:val="3CE82ECA"/>
    <w:rsid w:val="3CE84C78"/>
    <w:rsid w:val="3CE968BC"/>
    <w:rsid w:val="3CEA279F"/>
    <w:rsid w:val="3CEC29BB"/>
    <w:rsid w:val="3CFA5E7B"/>
    <w:rsid w:val="3CFE624A"/>
    <w:rsid w:val="3D023F8C"/>
    <w:rsid w:val="3D031AB2"/>
    <w:rsid w:val="3D073351"/>
    <w:rsid w:val="3D0870C9"/>
    <w:rsid w:val="3D115F7D"/>
    <w:rsid w:val="3D163594"/>
    <w:rsid w:val="3D16475B"/>
    <w:rsid w:val="3D281519"/>
    <w:rsid w:val="3D436353"/>
    <w:rsid w:val="3D4A148F"/>
    <w:rsid w:val="3D4A5933"/>
    <w:rsid w:val="3D6D517E"/>
    <w:rsid w:val="3D6E0891"/>
    <w:rsid w:val="3D7529B0"/>
    <w:rsid w:val="3D7F57A8"/>
    <w:rsid w:val="3D85696B"/>
    <w:rsid w:val="3D8E3A72"/>
    <w:rsid w:val="3D8F1598"/>
    <w:rsid w:val="3D8F3346"/>
    <w:rsid w:val="3D913562"/>
    <w:rsid w:val="3D9646D4"/>
    <w:rsid w:val="3D9A6CBA"/>
    <w:rsid w:val="3DA60DBB"/>
    <w:rsid w:val="3DBF00CF"/>
    <w:rsid w:val="3DC2371B"/>
    <w:rsid w:val="3DC41242"/>
    <w:rsid w:val="3DD86A9B"/>
    <w:rsid w:val="3DE2791A"/>
    <w:rsid w:val="3DE74F30"/>
    <w:rsid w:val="3DFF227A"/>
    <w:rsid w:val="3E006048"/>
    <w:rsid w:val="3E0B26DF"/>
    <w:rsid w:val="3E1C107E"/>
    <w:rsid w:val="3E246184"/>
    <w:rsid w:val="3E247F32"/>
    <w:rsid w:val="3E2B12C1"/>
    <w:rsid w:val="3E3E7246"/>
    <w:rsid w:val="3E5E3444"/>
    <w:rsid w:val="3E612F34"/>
    <w:rsid w:val="3E6622F9"/>
    <w:rsid w:val="3E6842C3"/>
    <w:rsid w:val="3E6E73FF"/>
    <w:rsid w:val="3E740EBA"/>
    <w:rsid w:val="3E774506"/>
    <w:rsid w:val="3E7E5894"/>
    <w:rsid w:val="3EA352FB"/>
    <w:rsid w:val="3EA64DEB"/>
    <w:rsid w:val="3EB219E2"/>
    <w:rsid w:val="3EC77AB5"/>
    <w:rsid w:val="3EC82FB3"/>
    <w:rsid w:val="3ECD6D74"/>
    <w:rsid w:val="3ED01E68"/>
    <w:rsid w:val="3ED6747E"/>
    <w:rsid w:val="3EE37DED"/>
    <w:rsid w:val="3EE80F60"/>
    <w:rsid w:val="3EF1250A"/>
    <w:rsid w:val="3EF5367D"/>
    <w:rsid w:val="3EFB7BFF"/>
    <w:rsid w:val="3F0264C5"/>
    <w:rsid w:val="3F055FB6"/>
    <w:rsid w:val="3F251F7F"/>
    <w:rsid w:val="3F2521B4"/>
    <w:rsid w:val="3F281CA4"/>
    <w:rsid w:val="3F312907"/>
    <w:rsid w:val="3F32667F"/>
    <w:rsid w:val="3F450160"/>
    <w:rsid w:val="3F47212A"/>
    <w:rsid w:val="3F48386B"/>
    <w:rsid w:val="3F636838"/>
    <w:rsid w:val="3F6A406B"/>
    <w:rsid w:val="3F6E3B5B"/>
    <w:rsid w:val="3F93711E"/>
    <w:rsid w:val="3FA7706D"/>
    <w:rsid w:val="3FB425B6"/>
    <w:rsid w:val="3FB928FC"/>
    <w:rsid w:val="3FBB6674"/>
    <w:rsid w:val="3FC75019"/>
    <w:rsid w:val="3FC90D91"/>
    <w:rsid w:val="3FC95AB0"/>
    <w:rsid w:val="3FCE63A8"/>
    <w:rsid w:val="3FD15E98"/>
    <w:rsid w:val="3FD17C46"/>
    <w:rsid w:val="3FDA2F9E"/>
    <w:rsid w:val="3FE060DB"/>
    <w:rsid w:val="40181D19"/>
    <w:rsid w:val="40183AC7"/>
    <w:rsid w:val="40210BCD"/>
    <w:rsid w:val="40300E10"/>
    <w:rsid w:val="403D52DB"/>
    <w:rsid w:val="40493C80"/>
    <w:rsid w:val="404B3E9C"/>
    <w:rsid w:val="404F281F"/>
    <w:rsid w:val="4057639D"/>
    <w:rsid w:val="4058639A"/>
    <w:rsid w:val="405A5E8D"/>
    <w:rsid w:val="40632F94"/>
    <w:rsid w:val="40896772"/>
    <w:rsid w:val="408E3D89"/>
    <w:rsid w:val="40907B01"/>
    <w:rsid w:val="40955117"/>
    <w:rsid w:val="40A35A86"/>
    <w:rsid w:val="40A4535A"/>
    <w:rsid w:val="40AD06B3"/>
    <w:rsid w:val="40B01F51"/>
    <w:rsid w:val="40B414F2"/>
    <w:rsid w:val="40B557B9"/>
    <w:rsid w:val="40B57568"/>
    <w:rsid w:val="40B7508E"/>
    <w:rsid w:val="40B824A1"/>
    <w:rsid w:val="40B82BB4"/>
    <w:rsid w:val="40BA692C"/>
    <w:rsid w:val="40D03769"/>
    <w:rsid w:val="40D734D2"/>
    <w:rsid w:val="40E816EB"/>
    <w:rsid w:val="40EA7211"/>
    <w:rsid w:val="40F2256A"/>
    <w:rsid w:val="40F72D63"/>
    <w:rsid w:val="4105404B"/>
    <w:rsid w:val="410858E9"/>
    <w:rsid w:val="410F6C78"/>
    <w:rsid w:val="41111E59"/>
    <w:rsid w:val="41123FC3"/>
    <w:rsid w:val="411249BA"/>
    <w:rsid w:val="41126927"/>
    <w:rsid w:val="41197AF6"/>
    <w:rsid w:val="412304F0"/>
    <w:rsid w:val="41232723"/>
    <w:rsid w:val="41287D39"/>
    <w:rsid w:val="412B104C"/>
    <w:rsid w:val="41390199"/>
    <w:rsid w:val="41401D0D"/>
    <w:rsid w:val="41452699"/>
    <w:rsid w:val="41536C1F"/>
    <w:rsid w:val="41596145"/>
    <w:rsid w:val="415D3E87"/>
    <w:rsid w:val="41601281"/>
    <w:rsid w:val="41720FB5"/>
    <w:rsid w:val="41840E0E"/>
    <w:rsid w:val="419158DF"/>
    <w:rsid w:val="419D0727"/>
    <w:rsid w:val="419E624E"/>
    <w:rsid w:val="41A05B22"/>
    <w:rsid w:val="41A575DC"/>
    <w:rsid w:val="41A73354"/>
    <w:rsid w:val="41A90E7A"/>
    <w:rsid w:val="41AA4248"/>
    <w:rsid w:val="41AF3FB7"/>
    <w:rsid w:val="41B8730F"/>
    <w:rsid w:val="41BB295C"/>
    <w:rsid w:val="41C31810"/>
    <w:rsid w:val="41D103D1"/>
    <w:rsid w:val="41D67795"/>
    <w:rsid w:val="41DD61BA"/>
    <w:rsid w:val="41DF2AEE"/>
    <w:rsid w:val="41E55C2A"/>
    <w:rsid w:val="41E7737C"/>
    <w:rsid w:val="41F47C4C"/>
    <w:rsid w:val="420936C7"/>
    <w:rsid w:val="420E7D4A"/>
    <w:rsid w:val="42137AE0"/>
    <w:rsid w:val="421B789E"/>
    <w:rsid w:val="421F113C"/>
    <w:rsid w:val="421F738E"/>
    <w:rsid w:val="422616C6"/>
    <w:rsid w:val="4230334A"/>
    <w:rsid w:val="42332E3A"/>
    <w:rsid w:val="42402E61"/>
    <w:rsid w:val="4249440B"/>
    <w:rsid w:val="424B0183"/>
    <w:rsid w:val="424E37D0"/>
    <w:rsid w:val="425D1C65"/>
    <w:rsid w:val="427434C5"/>
    <w:rsid w:val="427A2817"/>
    <w:rsid w:val="427B20EB"/>
    <w:rsid w:val="427C747D"/>
    <w:rsid w:val="427E2307"/>
    <w:rsid w:val="42872C3E"/>
    <w:rsid w:val="42905B96"/>
    <w:rsid w:val="42A11B51"/>
    <w:rsid w:val="42AE426E"/>
    <w:rsid w:val="42B20202"/>
    <w:rsid w:val="42BC4BDD"/>
    <w:rsid w:val="42C41CE4"/>
    <w:rsid w:val="42C85330"/>
    <w:rsid w:val="42CA684D"/>
    <w:rsid w:val="42CB4E20"/>
    <w:rsid w:val="42D40179"/>
    <w:rsid w:val="42DA5063"/>
    <w:rsid w:val="42E44134"/>
    <w:rsid w:val="42E4524A"/>
    <w:rsid w:val="42E5489B"/>
    <w:rsid w:val="42E63A08"/>
    <w:rsid w:val="42EB54C2"/>
    <w:rsid w:val="42F06FB7"/>
    <w:rsid w:val="42F36125"/>
    <w:rsid w:val="42F425C9"/>
    <w:rsid w:val="430242C3"/>
    <w:rsid w:val="43170B42"/>
    <w:rsid w:val="431E13F4"/>
    <w:rsid w:val="43326C4D"/>
    <w:rsid w:val="434370AD"/>
    <w:rsid w:val="43470585"/>
    <w:rsid w:val="4365451E"/>
    <w:rsid w:val="4374370A"/>
    <w:rsid w:val="437E00E5"/>
    <w:rsid w:val="43882D11"/>
    <w:rsid w:val="43917E18"/>
    <w:rsid w:val="439B47F3"/>
    <w:rsid w:val="43A23DD3"/>
    <w:rsid w:val="43B21B3C"/>
    <w:rsid w:val="43B835F7"/>
    <w:rsid w:val="43C53F65"/>
    <w:rsid w:val="43C55D14"/>
    <w:rsid w:val="43CA794A"/>
    <w:rsid w:val="43D47D05"/>
    <w:rsid w:val="43D917BF"/>
    <w:rsid w:val="43DB1093"/>
    <w:rsid w:val="43E208A8"/>
    <w:rsid w:val="43E73EDC"/>
    <w:rsid w:val="43EF0FE2"/>
    <w:rsid w:val="43F16B09"/>
    <w:rsid w:val="44024872"/>
    <w:rsid w:val="44054362"/>
    <w:rsid w:val="440F51E1"/>
    <w:rsid w:val="4413108B"/>
    <w:rsid w:val="44135387"/>
    <w:rsid w:val="441427F7"/>
    <w:rsid w:val="44184095"/>
    <w:rsid w:val="4427077C"/>
    <w:rsid w:val="44305DBB"/>
    <w:rsid w:val="443B7D84"/>
    <w:rsid w:val="444C01E3"/>
    <w:rsid w:val="44501A81"/>
    <w:rsid w:val="447357CF"/>
    <w:rsid w:val="447514E8"/>
    <w:rsid w:val="447C0AC8"/>
    <w:rsid w:val="448A687F"/>
    <w:rsid w:val="44983C5E"/>
    <w:rsid w:val="449F6565"/>
    <w:rsid w:val="44A92F3F"/>
    <w:rsid w:val="44AD0C81"/>
    <w:rsid w:val="44AE67A8"/>
    <w:rsid w:val="44B00772"/>
    <w:rsid w:val="44BA514C"/>
    <w:rsid w:val="44CE29A6"/>
    <w:rsid w:val="44D02BC2"/>
    <w:rsid w:val="44D83825"/>
    <w:rsid w:val="44DC50C3"/>
    <w:rsid w:val="44ED72D0"/>
    <w:rsid w:val="44FE772F"/>
    <w:rsid w:val="450862C5"/>
    <w:rsid w:val="45097E82"/>
    <w:rsid w:val="4513485D"/>
    <w:rsid w:val="45344EFF"/>
    <w:rsid w:val="4537679D"/>
    <w:rsid w:val="453C3DB3"/>
    <w:rsid w:val="453D6DBA"/>
    <w:rsid w:val="4541586E"/>
    <w:rsid w:val="45433394"/>
    <w:rsid w:val="45464C32"/>
    <w:rsid w:val="454F3AE7"/>
    <w:rsid w:val="454F7F8B"/>
    <w:rsid w:val="455A06DD"/>
    <w:rsid w:val="455A36D4"/>
    <w:rsid w:val="455F0C25"/>
    <w:rsid w:val="45603F46"/>
    <w:rsid w:val="45790B64"/>
    <w:rsid w:val="4579257A"/>
    <w:rsid w:val="457A48DC"/>
    <w:rsid w:val="457E261E"/>
    <w:rsid w:val="45815C6A"/>
    <w:rsid w:val="4582210E"/>
    <w:rsid w:val="45921C25"/>
    <w:rsid w:val="45A007E6"/>
    <w:rsid w:val="45A04342"/>
    <w:rsid w:val="45B25DBF"/>
    <w:rsid w:val="45B61DB8"/>
    <w:rsid w:val="45B95404"/>
    <w:rsid w:val="45BA3253"/>
    <w:rsid w:val="45BE2A1A"/>
    <w:rsid w:val="45C5024D"/>
    <w:rsid w:val="45CB3220"/>
    <w:rsid w:val="45D747E8"/>
    <w:rsid w:val="45D93CF8"/>
    <w:rsid w:val="45E16709"/>
    <w:rsid w:val="45E701C3"/>
    <w:rsid w:val="45EF0E26"/>
    <w:rsid w:val="45F02A41"/>
    <w:rsid w:val="45F91CA4"/>
    <w:rsid w:val="461412EB"/>
    <w:rsid w:val="46162856"/>
    <w:rsid w:val="46272ADF"/>
    <w:rsid w:val="46284338"/>
    <w:rsid w:val="463158E2"/>
    <w:rsid w:val="46357180"/>
    <w:rsid w:val="46470C62"/>
    <w:rsid w:val="4654512D"/>
    <w:rsid w:val="465F404D"/>
    <w:rsid w:val="46625A9C"/>
    <w:rsid w:val="46A120C2"/>
    <w:rsid w:val="46AE6F33"/>
    <w:rsid w:val="46B1257F"/>
    <w:rsid w:val="46B53706"/>
    <w:rsid w:val="46B53E1D"/>
    <w:rsid w:val="46BA58D8"/>
    <w:rsid w:val="46BB51AC"/>
    <w:rsid w:val="46C202E8"/>
    <w:rsid w:val="46C769A2"/>
    <w:rsid w:val="46D544C0"/>
    <w:rsid w:val="46DE1C38"/>
    <w:rsid w:val="46DF533E"/>
    <w:rsid w:val="46E22739"/>
    <w:rsid w:val="46E93AC7"/>
    <w:rsid w:val="46EE10DD"/>
    <w:rsid w:val="46F26E20"/>
    <w:rsid w:val="46F81F5C"/>
    <w:rsid w:val="47040901"/>
    <w:rsid w:val="471104BE"/>
    <w:rsid w:val="47170634"/>
    <w:rsid w:val="47176886"/>
    <w:rsid w:val="471D19C3"/>
    <w:rsid w:val="472B5FDC"/>
    <w:rsid w:val="472E597E"/>
    <w:rsid w:val="47431429"/>
    <w:rsid w:val="47462CC7"/>
    <w:rsid w:val="475278BE"/>
    <w:rsid w:val="476E3C34"/>
    <w:rsid w:val="47777325"/>
    <w:rsid w:val="477A6E15"/>
    <w:rsid w:val="477F442B"/>
    <w:rsid w:val="47833F1C"/>
    <w:rsid w:val="478973D8"/>
    <w:rsid w:val="478B4B7E"/>
    <w:rsid w:val="47953C4F"/>
    <w:rsid w:val="4799729B"/>
    <w:rsid w:val="479B1265"/>
    <w:rsid w:val="47A67C0A"/>
    <w:rsid w:val="47B02837"/>
    <w:rsid w:val="47C22C96"/>
    <w:rsid w:val="47C307BC"/>
    <w:rsid w:val="47D66741"/>
    <w:rsid w:val="480212E4"/>
    <w:rsid w:val="480768FB"/>
    <w:rsid w:val="480A1F47"/>
    <w:rsid w:val="481903DC"/>
    <w:rsid w:val="481E1BB0"/>
    <w:rsid w:val="48272AF9"/>
    <w:rsid w:val="483671E0"/>
    <w:rsid w:val="48474F49"/>
    <w:rsid w:val="48480CC1"/>
    <w:rsid w:val="4851401A"/>
    <w:rsid w:val="48574740"/>
    <w:rsid w:val="485A1120"/>
    <w:rsid w:val="486024AF"/>
    <w:rsid w:val="4860600B"/>
    <w:rsid w:val="48657AC5"/>
    <w:rsid w:val="486A6E89"/>
    <w:rsid w:val="486F44A0"/>
    <w:rsid w:val="487A3570"/>
    <w:rsid w:val="487E46E3"/>
    <w:rsid w:val="488241D3"/>
    <w:rsid w:val="48861F15"/>
    <w:rsid w:val="48926515"/>
    <w:rsid w:val="48965ED0"/>
    <w:rsid w:val="489839F7"/>
    <w:rsid w:val="489A776F"/>
    <w:rsid w:val="48B819A3"/>
    <w:rsid w:val="48BA6CC3"/>
    <w:rsid w:val="48BB1493"/>
    <w:rsid w:val="48C7608A"/>
    <w:rsid w:val="48C91E02"/>
    <w:rsid w:val="48CB5B7A"/>
    <w:rsid w:val="48D4294E"/>
    <w:rsid w:val="48D662CD"/>
    <w:rsid w:val="48D72771"/>
    <w:rsid w:val="48DE33BE"/>
    <w:rsid w:val="48EC3D42"/>
    <w:rsid w:val="48F36E7F"/>
    <w:rsid w:val="48FC21D7"/>
    <w:rsid w:val="48FF75D2"/>
    <w:rsid w:val="4913307D"/>
    <w:rsid w:val="491868E5"/>
    <w:rsid w:val="491D3EFC"/>
    <w:rsid w:val="491F1A22"/>
    <w:rsid w:val="49350B6D"/>
    <w:rsid w:val="493D6DA4"/>
    <w:rsid w:val="49417BEA"/>
    <w:rsid w:val="49494CF1"/>
    <w:rsid w:val="494B7380"/>
    <w:rsid w:val="494E5F58"/>
    <w:rsid w:val="49560981"/>
    <w:rsid w:val="495711BC"/>
    <w:rsid w:val="495913D8"/>
    <w:rsid w:val="495C67D2"/>
    <w:rsid w:val="495E079C"/>
    <w:rsid w:val="49627B61"/>
    <w:rsid w:val="49647D7D"/>
    <w:rsid w:val="496833C9"/>
    <w:rsid w:val="49786131"/>
    <w:rsid w:val="498A525B"/>
    <w:rsid w:val="499C3073"/>
    <w:rsid w:val="499F2B63"/>
    <w:rsid w:val="49A5461D"/>
    <w:rsid w:val="49AD1724"/>
    <w:rsid w:val="49B605D8"/>
    <w:rsid w:val="49CB1BAA"/>
    <w:rsid w:val="49F64E79"/>
    <w:rsid w:val="49FE1F7F"/>
    <w:rsid w:val="4A01737A"/>
    <w:rsid w:val="4A0550BC"/>
    <w:rsid w:val="4A064990"/>
    <w:rsid w:val="4A0B1FA6"/>
    <w:rsid w:val="4A1B043B"/>
    <w:rsid w:val="4A203CA4"/>
    <w:rsid w:val="4A266DE0"/>
    <w:rsid w:val="4A2C2648"/>
    <w:rsid w:val="4A2F3EE7"/>
    <w:rsid w:val="4A314103"/>
    <w:rsid w:val="4A3B4613"/>
    <w:rsid w:val="4A45195C"/>
    <w:rsid w:val="4A471230"/>
    <w:rsid w:val="4A49144C"/>
    <w:rsid w:val="4A4D25BF"/>
    <w:rsid w:val="4A563B69"/>
    <w:rsid w:val="4A577705"/>
    <w:rsid w:val="4A60772F"/>
    <w:rsid w:val="4A6E0EB3"/>
    <w:rsid w:val="4A7E6C1C"/>
    <w:rsid w:val="4A8675DE"/>
    <w:rsid w:val="4A8E3303"/>
    <w:rsid w:val="4A8F0E29"/>
    <w:rsid w:val="4A946440"/>
    <w:rsid w:val="4A995804"/>
    <w:rsid w:val="4A9D2AB4"/>
    <w:rsid w:val="4AAA17BF"/>
    <w:rsid w:val="4AAA7A11"/>
    <w:rsid w:val="4AAC19DB"/>
    <w:rsid w:val="4AB97C54"/>
    <w:rsid w:val="4AC40AD3"/>
    <w:rsid w:val="4AD131F0"/>
    <w:rsid w:val="4AD60806"/>
    <w:rsid w:val="4AD827D0"/>
    <w:rsid w:val="4ADA6548"/>
    <w:rsid w:val="4AE2174F"/>
    <w:rsid w:val="4AFF5FAF"/>
    <w:rsid w:val="4B187071"/>
    <w:rsid w:val="4B1A4B97"/>
    <w:rsid w:val="4B2B2811"/>
    <w:rsid w:val="4B2E419E"/>
    <w:rsid w:val="4B441C14"/>
    <w:rsid w:val="4B577B99"/>
    <w:rsid w:val="4B6C4CC7"/>
    <w:rsid w:val="4B726781"/>
    <w:rsid w:val="4B7778F3"/>
    <w:rsid w:val="4B810772"/>
    <w:rsid w:val="4B957D3E"/>
    <w:rsid w:val="4BA6467C"/>
    <w:rsid w:val="4BB24DCF"/>
    <w:rsid w:val="4BB52B12"/>
    <w:rsid w:val="4BC30D8B"/>
    <w:rsid w:val="4BCD7E5B"/>
    <w:rsid w:val="4BCF5981"/>
    <w:rsid w:val="4BDE5BC4"/>
    <w:rsid w:val="4BDE7972"/>
    <w:rsid w:val="4BE77D9B"/>
    <w:rsid w:val="4BF54CBC"/>
    <w:rsid w:val="4BF929FE"/>
    <w:rsid w:val="4BF97102"/>
    <w:rsid w:val="4BFA22D2"/>
    <w:rsid w:val="4BFC429C"/>
    <w:rsid w:val="4BFE1DC3"/>
    <w:rsid w:val="4C0360C1"/>
    <w:rsid w:val="4C0513A3"/>
    <w:rsid w:val="4C0E5B16"/>
    <w:rsid w:val="4C1710D6"/>
    <w:rsid w:val="4C2A705C"/>
    <w:rsid w:val="4C2D4456"/>
    <w:rsid w:val="4C3B4DC5"/>
    <w:rsid w:val="4C3B5A15"/>
    <w:rsid w:val="4C40062D"/>
    <w:rsid w:val="4C417F01"/>
    <w:rsid w:val="4C546E1B"/>
    <w:rsid w:val="4C6205A3"/>
    <w:rsid w:val="4C651E42"/>
    <w:rsid w:val="4C665CE7"/>
    <w:rsid w:val="4C673E0C"/>
    <w:rsid w:val="4C687066"/>
    <w:rsid w:val="4C6B457A"/>
    <w:rsid w:val="4C854292"/>
    <w:rsid w:val="4C87625C"/>
    <w:rsid w:val="4C9B3AB5"/>
    <w:rsid w:val="4CA918DF"/>
    <w:rsid w:val="4CBA4888"/>
    <w:rsid w:val="4CC4090C"/>
    <w:rsid w:val="4CCA439B"/>
    <w:rsid w:val="4CCC1EC1"/>
    <w:rsid w:val="4CCE3E8B"/>
    <w:rsid w:val="4CD174D7"/>
    <w:rsid w:val="4CD6689C"/>
    <w:rsid w:val="4CDD4969"/>
    <w:rsid w:val="4CE86476"/>
    <w:rsid w:val="4CF17B79"/>
    <w:rsid w:val="4CFB09F8"/>
    <w:rsid w:val="4CFD02CC"/>
    <w:rsid w:val="4D021D86"/>
    <w:rsid w:val="4D090A1F"/>
    <w:rsid w:val="4D0A29E9"/>
    <w:rsid w:val="4D1A0E7E"/>
    <w:rsid w:val="4D1F6494"/>
    <w:rsid w:val="4D2158B2"/>
    <w:rsid w:val="4D2E66D8"/>
    <w:rsid w:val="4D2F41FE"/>
    <w:rsid w:val="4D341814"/>
    <w:rsid w:val="4D41465D"/>
    <w:rsid w:val="4D532D26"/>
    <w:rsid w:val="4D551EB6"/>
    <w:rsid w:val="4D552926"/>
    <w:rsid w:val="4D5679DC"/>
    <w:rsid w:val="4D5C1497"/>
    <w:rsid w:val="4D6C5536"/>
    <w:rsid w:val="4D6E2F78"/>
    <w:rsid w:val="4D7C5695"/>
    <w:rsid w:val="4D8865FA"/>
    <w:rsid w:val="4D8C1650"/>
    <w:rsid w:val="4D90451E"/>
    <w:rsid w:val="4D9E1AAF"/>
    <w:rsid w:val="4DA4699A"/>
    <w:rsid w:val="4DA76772"/>
    <w:rsid w:val="4DB07878"/>
    <w:rsid w:val="4DB56DF9"/>
    <w:rsid w:val="4DC62DB4"/>
    <w:rsid w:val="4DC66910"/>
    <w:rsid w:val="4DCC4418"/>
    <w:rsid w:val="4DD06D5E"/>
    <w:rsid w:val="4DDB6E0B"/>
    <w:rsid w:val="4DE1199C"/>
    <w:rsid w:val="4DEB281B"/>
    <w:rsid w:val="4DF23BA9"/>
    <w:rsid w:val="4E013DEC"/>
    <w:rsid w:val="4E0613F3"/>
    <w:rsid w:val="4E0833CC"/>
    <w:rsid w:val="4E0B6A19"/>
    <w:rsid w:val="4E241889"/>
    <w:rsid w:val="4E2E44B5"/>
    <w:rsid w:val="4E30647F"/>
    <w:rsid w:val="4E361CE8"/>
    <w:rsid w:val="4E4F4B57"/>
    <w:rsid w:val="4E516B22"/>
    <w:rsid w:val="4E524648"/>
    <w:rsid w:val="4E824F2D"/>
    <w:rsid w:val="4E86609F"/>
    <w:rsid w:val="4E916F1E"/>
    <w:rsid w:val="4E9E788D"/>
    <w:rsid w:val="4E9F6CA2"/>
    <w:rsid w:val="4EA330F5"/>
    <w:rsid w:val="4EA529C9"/>
    <w:rsid w:val="4EA604F0"/>
    <w:rsid w:val="4EA76741"/>
    <w:rsid w:val="4EAE1523"/>
    <w:rsid w:val="4EBE7F2F"/>
    <w:rsid w:val="4ECF5C98"/>
    <w:rsid w:val="4ED67027"/>
    <w:rsid w:val="4EDB463D"/>
    <w:rsid w:val="4EE31744"/>
    <w:rsid w:val="4EE447E9"/>
    <w:rsid w:val="4EFD0A57"/>
    <w:rsid w:val="4F021BCA"/>
    <w:rsid w:val="4F1062EA"/>
    <w:rsid w:val="4F1418FD"/>
    <w:rsid w:val="4F29184C"/>
    <w:rsid w:val="4F2B762F"/>
    <w:rsid w:val="4F381582"/>
    <w:rsid w:val="4F3855EC"/>
    <w:rsid w:val="4F3A5808"/>
    <w:rsid w:val="4F3D70A6"/>
    <w:rsid w:val="4F471CD3"/>
    <w:rsid w:val="4F530677"/>
    <w:rsid w:val="4F55619D"/>
    <w:rsid w:val="4F583EE0"/>
    <w:rsid w:val="4F5A1A06"/>
    <w:rsid w:val="4F691C49"/>
    <w:rsid w:val="4F7D0D94"/>
    <w:rsid w:val="4F7D2F66"/>
    <w:rsid w:val="4F8C5937"/>
    <w:rsid w:val="4F8E345D"/>
    <w:rsid w:val="4F960564"/>
    <w:rsid w:val="4F976877"/>
    <w:rsid w:val="4F9B5B7A"/>
    <w:rsid w:val="4F9D1E71"/>
    <w:rsid w:val="4F9D5D96"/>
    <w:rsid w:val="4FA2515B"/>
    <w:rsid w:val="4FAD6D95"/>
    <w:rsid w:val="4FAF62C8"/>
    <w:rsid w:val="4FB8672C"/>
    <w:rsid w:val="4FC926E8"/>
    <w:rsid w:val="4FCE41A2"/>
    <w:rsid w:val="4FE53195"/>
    <w:rsid w:val="4FF5172F"/>
    <w:rsid w:val="4FF97471"/>
    <w:rsid w:val="500100D3"/>
    <w:rsid w:val="50047BC4"/>
    <w:rsid w:val="500A342C"/>
    <w:rsid w:val="500E27F0"/>
    <w:rsid w:val="50131BB5"/>
    <w:rsid w:val="501E0C85"/>
    <w:rsid w:val="502838B2"/>
    <w:rsid w:val="502913D8"/>
    <w:rsid w:val="502B5150"/>
    <w:rsid w:val="502F2E92"/>
    <w:rsid w:val="503E6C32"/>
    <w:rsid w:val="505521CD"/>
    <w:rsid w:val="505C355C"/>
    <w:rsid w:val="505D7058"/>
    <w:rsid w:val="506568B4"/>
    <w:rsid w:val="506B379F"/>
    <w:rsid w:val="506B422D"/>
    <w:rsid w:val="50724B2D"/>
    <w:rsid w:val="5075461D"/>
    <w:rsid w:val="507C59AC"/>
    <w:rsid w:val="507F03F4"/>
    <w:rsid w:val="5099655E"/>
    <w:rsid w:val="50AD025B"/>
    <w:rsid w:val="50DB26D2"/>
    <w:rsid w:val="50DB3BE9"/>
    <w:rsid w:val="50DB42B0"/>
    <w:rsid w:val="50E33C7D"/>
    <w:rsid w:val="50E517A3"/>
    <w:rsid w:val="50E61077"/>
    <w:rsid w:val="50E83041"/>
    <w:rsid w:val="50F10148"/>
    <w:rsid w:val="50FE4613"/>
    <w:rsid w:val="5100038B"/>
    <w:rsid w:val="51112598"/>
    <w:rsid w:val="5112495F"/>
    <w:rsid w:val="5119144D"/>
    <w:rsid w:val="51254295"/>
    <w:rsid w:val="513314DF"/>
    <w:rsid w:val="51383FC9"/>
    <w:rsid w:val="51385D77"/>
    <w:rsid w:val="513E21AB"/>
    <w:rsid w:val="514B3CFC"/>
    <w:rsid w:val="514E10F6"/>
    <w:rsid w:val="51567653"/>
    <w:rsid w:val="515E50B1"/>
    <w:rsid w:val="516C3C72"/>
    <w:rsid w:val="516F72BF"/>
    <w:rsid w:val="51714DE5"/>
    <w:rsid w:val="517A638F"/>
    <w:rsid w:val="5181771E"/>
    <w:rsid w:val="51856AE2"/>
    <w:rsid w:val="51937451"/>
    <w:rsid w:val="51A0391C"/>
    <w:rsid w:val="51A4340C"/>
    <w:rsid w:val="51A52CE0"/>
    <w:rsid w:val="51C25640"/>
    <w:rsid w:val="51C27D36"/>
    <w:rsid w:val="51C70EA9"/>
    <w:rsid w:val="51D21356"/>
    <w:rsid w:val="51E27A91"/>
    <w:rsid w:val="51E43809"/>
    <w:rsid w:val="51F55A16"/>
    <w:rsid w:val="520143BB"/>
    <w:rsid w:val="520774F7"/>
    <w:rsid w:val="521A1920"/>
    <w:rsid w:val="521A36CE"/>
    <w:rsid w:val="521C11F4"/>
    <w:rsid w:val="52397FF8"/>
    <w:rsid w:val="523E73BD"/>
    <w:rsid w:val="52592449"/>
    <w:rsid w:val="525A3ACB"/>
    <w:rsid w:val="525C7843"/>
    <w:rsid w:val="525E180D"/>
    <w:rsid w:val="525F5585"/>
    <w:rsid w:val="52666914"/>
    <w:rsid w:val="526861E8"/>
    <w:rsid w:val="527C6137"/>
    <w:rsid w:val="52825B8E"/>
    <w:rsid w:val="52884ADC"/>
    <w:rsid w:val="528D5C4E"/>
    <w:rsid w:val="52A01D28"/>
    <w:rsid w:val="52A336C4"/>
    <w:rsid w:val="52A64F62"/>
    <w:rsid w:val="52AF2069"/>
    <w:rsid w:val="52B633F7"/>
    <w:rsid w:val="52BB0A0D"/>
    <w:rsid w:val="52BC29D7"/>
    <w:rsid w:val="52DC6BD6"/>
    <w:rsid w:val="52E00474"/>
    <w:rsid w:val="52E87329"/>
    <w:rsid w:val="52EB3A96"/>
    <w:rsid w:val="52EF6909"/>
    <w:rsid w:val="52F201A7"/>
    <w:rsid w:val="530A3743"/>
    <w:rsid w:val="530C74BB"/>
    <w:rsid w:val="53114AD1"/>
    <w:rsid w:val="53191BD8"/>
    <w:rsid w:val="531B14AC"/>
    <w:rsid w:val="531E71EE"/>
    <w:rsid w:val="532D11DF"/>
    <w:rsid w:val="53333878"/>
    <w:rsid w:val="533802B0"/>
    <w:rsid w:val="533B56AA"/>
    <w:rsid w:val="53634C01"/>
    <w:rsid w:val="53650979"/>
    <w:rsid w:val="53682217"/>
    <w:rsid w:val="537A08C9"/>
    <w:rsid w:val="5385101B"/>
    <w:rsid w:val="538B4884"/>
    <w:rsid w:val="538E1C7E"/>
    <w:rsid w:val="539574B0"/>
    <w:rsid w:val="539A15FA"/>
    <w:rsid w:val="53A62432"/>
    <w:rsid w:val="53AB0A82"/>
    <w:rsid w:val="53BB2150"/>
    <w:rsid w:val="53BD2ACB"/>
    <w:rsid w:val="53CA5755"/>
    <w:rsid w:val="53DA3115"/>
    <w:rsid w:val="53DA7122"/>
    <w:rsid w:val="53E75832"/>
    <w:rsid w:val="53F35F85"/>
    <w:rsid w:val="53F41D4A"/>
    <w:rsid w:val="53F434F6"/>
    <w:rsid w:val="53F8359B"/>
    <w:rsid w:val="53F87A3F"/>
    <w:rsid w:val="54014B46"/>
    <w:rsid w:val="540E2DBF"/>
    <w:rsid w:val="541505F1"/>
    <w:rsid w:val="54260108"/>
    <w:rsid w:val="542720D3"/>
    <w:rsid w:val="54422A68"/>
    <w:rsid w:val="545729B8"/>
    <w:rsid w:val="545A4256"/>
    <w:rsid w:val="545C7FCE"/>
    <w:rsid w:val="545E3D46"/>
    <w:rsid w:val="546D5D37"/>
    <w:rsid w:val="546E1AAF"/>
    <w:rsid w:val="54817A35"/>
    <w:rsid w:val="54843081"/>
    <w:rsid w:val="54886D3A"/>
    <w:rsid w:val="54921C42"/>
    <w:rsid w:val="54930741"/>
    <w:rsid w:val="549A28A4"/>
    <w:rsid w:val="54A31759"/>
    <w:rsid w:val="54AD6A7C"/>
    <w:rsid w:val="54BE2A37"/>
    <w:rsid w:val="54C0055D"/>
    <w:rsid w:val="54D20290"/>
    <w:rsid w:val="54D538DD"/>
    <w:rsid w:val="54D9517B"/>
    <w:rsid w:val="54DB5397"/>
    <w:rsid w:val="54E67898"/>
    <w:rsid w:val="54E83610"/>
    <w:rsid w:val="54EC75A4"/>
    <w:rsid w:val="54ED6E78"/>
    <w:rsid w:val="54F931B7"/>
    <w:rsid w:val="54F975CB"/>
    <w:rsid w:val="550D3076"/>
    <w:rsid w:val="55144405"/>
    <w:rsid w:val="55357F85"/>
    <w:rsid w:val="553C597C"/>
    <w:rsid w:val="55432F3C"/>
    <w:rsid w:val="554A42CB"/>
    <w:rsid w:val="554A7E27"/>
    <w:rsid w:val="554F18E1"/>
    <w:rsid w:val="55560EC1"/>
    <w:rsid w:val="555D2250"/>
    <w:rsid w:val="556233C2"/>
    <w:rsid w:val="55674E7D"/>
    <w:rsid w:val="5572737D"/>
    <w:rsid w:val="55821CB6"/>
    <w:rsid w:val="558477DD"/>
    <w:rsid w:val="558772CD"/>
    <w:rsid w:val="5588094F"/>
    <w:rsid w:val="558C48E3"/>
    <w:rsid w:val="559335DD"/>
    <w:rsid w:val="559424C5"/>
    <w:rsid w:val="55943798"/>
    <w:rsid w:val="55A3500D"/>
    <w:rsid w:val="55A35789"/>
    <w:rsid w:val="55A83B99"/>
    <w:rsid w:val="55AC288F"/>
    <w:rsid w:val="55B41BBF"/>
    <w:rsid w:val="55B47996"/>
    <w:rsid w:val="55B6370E"/>
    <w:rsid w:val="55B856D8"/>
    <w:rsid w:val="55C0633B"/>
    <w:rsid w:val="55C73B6D"/>
    <w:rsid w:val="55CA4320"/>
    <w:rsid w:val="55D342C0"/>
    <w:rsid w:val="55D3606E"/>
    <w:rsid w:val="55D41DE6"/>
    <w:rsid w:val="55D63DE4"/>
    <w:rsid w:val="55E53FF3"/>
    <w:rsid w:val="55F01A8B"/>
    <w:rsid w:val="55F14746"/>
    <w:rsid w:val="55F83D27"/>
    <w:rsid w:val="55F935FB"/>
    <w:rsid w:val="55FA7A9F"/>
    <w:rsid w:val="55FD133D"/>
    <w:rsid w:val="56064695"/>
    <w:rsid w:val="560C1580"/>
    <w:rsid w:val="561072C2"/>
    <w:rsid w:val="56114DE8"/>
    <w:rsid w:val="56156687"/>
    <w:rsid w:val="56293878"/>
    <w:rsid w:val="562E599A"/>
    <w:rsid w:val="563546B0"/>
    <w:rsid w:val="563A7E9B"/>
    <w:rsid w:val="56426E9F"/>
    <w:rsid w:val="56462CE4"/>
    <w:rsid w:val="564C5E20"/>
    <w:rsid w:val="56723AD9"/>
    <w:rsid w:val="567535C9"/>
    <w:rsid w:val="56786C15"/>
    <w:rsid w:val="568320A3"/>
    <w:rsid w:val="568D0913"/>
    <w:rsid w:val="569E667C"/>
    <w:rsid w:val="56AC26B4"/>
    <w:rsid w:val="56B365F2"/>
    <w:rsid w:val="56B45E9F"/>
    <w:rsid w:val="56BE1520"/>
    <w:rsid w:val="56BF4844"/>
    <w:rsid w:val="56C90818"/>
    <w:rsid w:val="56CF0F2B"/>
    <w:rsid w:val="56DC53F6"/>
    <w:rsid w:val="56DE4CCA"/>
    <w:rsid w:val="56DF0A43"/>
    <w:rsid w:val="56E570F0"/>
    <w:rsid w:val="56E60023"/>
    <w:rsid w:val="56EF2533"/>
    <w:rsid w:val="56F50266"/>
    <w:rsid w:val="57007337"/>
    <w:rsid w:val="57014E5D"/>
    <w:rsid w:val="5708338B"/>
    <w:rsid w:val="5721105B"/>
    <w:rsid w:val="572528F9"/>
    <w:rsid w:val="572A6162"/>
    <w:rsid w:val="572D2370"/>
    <w:rsid w:val="57462870"/>
    <w:rsid w:val="57482A8C"/>
    <w:rsid w:val="574D00A2"/>
    <w:rsid w:val="57517B92"/>
    <w:rsid w:val="57521214"/>
    <w:rsid w:val="57527466"/>
    <w:rsid w:val="57572CCF"/>
    <w:rsid w:val="575760F4"/>
    <w:rsid w:val="575B456D"/>
    <w:rsid w:val="575B631B"/>
    <w:rsid w:val="575C02E5"/>
    <w:rsid w:val="57603931"/>
    <w:rsid w:val="57650F48"/>
    <w:rsid w:val="576A0C54"/>
    <w:rsid w:val="576D24F2"/>
    <w:rsid w:val="576D42A0"/>
    <w:rsid w:val="576F626A"/>
    <w:rsid w:val="57802226"/>
    <w:rsid w:val="57814844"/>
    <w:rsid w:val="57852DEC"/>
    <w:rsid w:val="578C2978"/>
    <w:rsid w:val="57945CD1"/>
    <w:rsid w:val="57A35F14"/>
    <w:rsid w:val="57A8672B"/>
    <w:rsid w:val="57B343A9"/>
    <w:rsid w:val="57BB7460"/>
    <w:rsid w:val="57BC2B32"/>
    <w:rsid w:val="57C06AC6"/>
    <w:rsid w:val="57C540DC"/>
    <w:rsid w:val="57CB2959"/>
    <w:rsid w:val="57CF6D09"/>
    <w:rsid w:val="57D4431F"/>
    <w:rsid w:val="57E207EA"/>
    <w:rsid w:val="57E5551B"/>
    <w:rsid w:val="57E62B94"/>
    <w:rsid w:val="57E83927"/>
    <w:rsid w:val="57EF2F07"/>
    <w:rsid w:val="57F14ED1"/>
    <w:rsid w:val="57FF46A2"/>
    <w:rsid w:val="580F7106"/>
    <w:rsid w:val="58123023"/>
    <w:rsid w:val="583077A8"/>
    <w:rsid w:val="5853793A"/>
    <w:rsid w:val="58570C3F"/>
    <w:rsid w:val="585D4315"/>
    <w:rsid w:val="58631DA6"/>
    <w:rsid w:val="587358E6"/>
    <w:rsid w:val="587C0C3F"/>
    <w:rsid w:val="58921AD3"/>
    <w:rsid w:val="589F492D"/>
    <w:rsid w:val="58A12453"/>
    <w:rsid w:val="58A261CC"/>
    <w:rsid w:val="58C3061C"/>
    <w:rsid w:val="58C779E0"/>
    <w:rsid w:val="58CB45A0"/>
    <w:rsid w:val="58E16CF4"/>
    <w:rsid w:val="58E759A5"/>
    <w:rsid w:val="58E80082"/>
    <w:rsid w:val="58E95BA9"/>
    <w:rsid w:val="58F9403E"/>
    <w:rsid w:val="59140E77"/>
    <w:rsid w:val="59227859"/>
    <w:rsid w:val="59260BAB"/>
    <w:rsid w:val="592866D1"/>
    <w:rsid w:val="593432C8"/>
    <w:rsid w:val="59345076"/>
    <w:rsid w:val="593E4146"/>
    <w:rsid w:val="593E7CA2"/>
    <w:rsid w:val="59407EBE"/>
    <w:rsid w:val="594A2AEB"/>
    <w:rsid w:val="594D4389"/>
    <w:rsid w:val="59545718"/>
    <w:rsid w:val="595A2E26"/>
    <w:rsid w:val="5966544B"/>
    <w:rsid w:val="596811C3"/>
    <w:rsid w:val="59747B68"/>
    <w:rsid w:val="598A124D"/>
    <w:rsid w:val="598A2EE8"/>
    <w:rsid w:val="598B6C60"/>
    <w:rsid w:val="59A26483"/>
    <w:rsid w:val="59AE3BED"/>
    <w:rsid w:val="59C3464B"/>
    <w:rsid w:val="59CF1242"/>
    <w:rsid w:val="59F42A57"/>
    <w:rsid w:val="59F56EEF"/>
    <w:rsid w:val="59FE7432"/>
    <w:rsid w:val="5A00764E"/>
    <w:rsid w:val="5A0C5FF2"/>
    <w:rsid w:val="5A113609"/>
    <w:rsid w:val="5A144EA7"/>
    <w:rsid w:val="5A1534DC"/>
    <w:rsid w:val="5A2C3F9F"/>
    <w:rsid w:val="5A2E572C"/>
    <w:rsid w:val="5A3410A5"/>
    <w:rsid w:val="5A3612C1"/>
    <w:rsid w:val="5A386DE8"/>
    <w:rsid w:val="5A461504"/>
    <w:rsid w:val="5A490FF5"/>
    <w:rsid w:val="5A4B6B1B"/>
    <w:rsid w:val="5A625609"/>
    <w:rsid w:val="5A70032F"/>
    <w:rsid w:val="5A785436"/>
    <w:rsid w:val="5A8B5169"/>
    <w:rsid w:val="5A8B6F17"/>
    <w:rsid w:val="5A8E07B6"/>
    <w:rsid w:val="5A90452E"/>
    <w:rsid w:val="5A981634"/>
    <w:rsid w:val="5A985AD8"/>
    <w:rsid w:val="5A9C7376"/>
    <w:rsid w:val="5A9F6E67"/>
    <w:rsid w:val="5AA20705"/>
    <w:rsid w:val="5AA93841"/>
    <w:rsid w:val="5AAE0E58"/>
    <w:rsid w:val="5AB32912"/>
    <w:rsid w:val="5AB3646E"/>
    <w:rsid w:val="5AC07D81"/>
    <w:rsid w:val="5AD36B10"/>
    <w:rsid w:val="5AD51772"/>
    <w:rsid w:val="5AD54636"/>
    <w:rsid w:val="5AE25520"/>
    <w:rsid w:val="5AE605F2"/>
    <w:rsid w:val="5AED1980"/>
    <w:rsid w:val="5AFC7E15"/>
    <w:rsid w:val="5B044F1C"/>
    <w:rsid w:val="5B150ED7"/>
    <w:rsid w:val="5B157129"/>
    <w:rsid w:val="5B1B7148"/>
    <w:rsid w:val="5B1C2265"/>
    <w:rsid w:val="5B340CC6"/>
    <w:rsid w:val="5B3A6B8F"/>
    <w:rsid w:val="5B3E21DC"/>
    <w:rsid w:val="5B4377F2"/>
    <w:rsid w:val="5B527F04"/>
    <w:rsid w:val="5B5C6B06"/>
    <w:rsid w:val="5B6D486F"/>
    <w:rsid w:val="5B835E40"/>
    <w:rsid w:val="5B841BB9"/>
    <w:rsid w:val="5B8C73EB"/>
    <w:rsid w:val="5B9462A0"/>
    <w:rsid w:val="5BA1276A"/>
    <w:rsid w:val="5BA71B9B"/>
    <w:rsid w:val="5BAC183B"/>
    <w:rsid w:val="5BBB508A"/>
    <w:rsid w:val="5BBB7CD0"/>
    <w:rsid w:val="5BBC1352"/>
    <w:rsid w:val="5BC85F49"/>
    <w:rsid w:val="5BCA3A6F"/>
    <w:rsid w:val="5BCE7A03"/>
    <w:rsid w:val="5BD40D92"/>
    <w:rsid w:val="5BE03293"/>
    <w:rsid w:val="5BE10DB9"/>
    <w:rsid w:val="5BED775E"/>
    <w:rsid w:val="5BF40AEC"/>
    <w:rsid w:val="5C052CF9"/>
    <w:rsid w:val="5C142F3C"/>
    <w:rsid w:val="5C163158"/>
    <w:rsid w:val="5C190553"/>
    <w:rsid w:val="5C207B33"/>
    <w:rsid w:val="5C221AFD"/>
    <w:rsid w:val="5C280CFA"/>
    <w:rsid w:val="5C2D3FFE"/>
    <w:rsid w:val="5C2E2250"/>
    <w:rsid w:val="5C384E7D"/>
    <w:rsid w:val="5C3D06E5"/>
    <w:rsid w:val="5C3E620B"/>
    <w:rsid w:val="5C515F3F"/>
    <w:rsid w:val="5C6A7000"/>
    <w:rsid w:val="5C6B60E0"/>
    <w:rsid w:val="5C6C4B26"/>
    <w:rsid w:val="5C7165E1"/>
    <w:rsid w:val="5C746021"/>
    <w:rsid w:val="5C7A5495"/>
    <w:rsid w:val="5C7D6D34"/>
    <w:rsid w:val="5C7F0CFE"/>
    <w:rsid w:val="5C7F75E3"/>
    <w:rsid w:val="5C855BE8"/>
    <w:rsid w:val="5C9A0FE8"/>
    <w:rsid w:val="5C9A53A1"/>
    <w:rsid w:val="5CA2679A"/>
    <w:rsid w:val="5CA532FD"/>
    <w:rsid w:val="5CA644DC"/>
    <w:rsid w:val="5CB14C2F"/>
    <w:rsid w:val="5CB5471F"/>
    <w:rsid w:val="5CB70498"/>
    <w:rsid w:val="5CBA1D36"/>
    <w:rsid w:val="5CCD707A"/>
    <w:rsid w:val="5CCE2C54"/>
    <w:rsid w:val="5CD16E8B"/>
    <w:rsid w:val="5CD5091E"/>
    <w:rsid w:val="5CDD3C76"/>
    <w:rsid w:val="5CE72F5C"/>
    <w:rsid w:val="5CED4F23"/>
    <w:rsid w:val="5CFA4828"/>
    <w:rsid w:val="5CFD7E74"/>
    <w:rsid w:val="5D1256CE"/>
    <w:rsid w:val="5D131446"/>
    <w:rsid w:val="5D1C479E"/>
    <w:rsid w:val="5D1F7DEB"/>
    <w:rsid w:val="5D261179"/>
    <w:rsid w:val="5D267F6F"/>
    <w:rsid w:val="5D276C9F"/>
    <w:rsid w:val="5D333896"/>
    <w:rsid w:val="5D3D1807"/>
    <w:rsid w:val="5D465377"/>
    <w:rsid w:val="5D4E06D0"/>
    <w:rsid w:val="5D4E6620"/>
    <w:rsid w:val="5D521F6E"/>
    <w:rsid w:val="5D633BC6"/>
    <w:rsid w:val="5D663C6C"/>
    <w:rsid w:val="5D6677C8"/>
    <w:rsid w:val="5D6B1282"/>
    <w:rsid w:val="5D7C523D"/>
    <w:rsid w:val="5DA36C6E"/>
    <w:rsid w:val="5DB6074F"/>
    <w:rsid w:val="5DB9023F"/>
    <w:rsid w:val="5DBC7D30"/>
    <w:rsid w:val="5DCA5FA9"/>
    <w:rsid w:val="5DD1318C"/>
    <w:rsid w:val="5DD15589"/>
    <w:rsid w:val="5DE84681"/>
    <w:rsid w:val="5DED1C97"/>
    <w:rsid w:val="5DF70D68"/>
    <w:rsid w:val="5DF9688E"/>
    <w:rsid w:val="5DFF2BC0"/>
    <w:rsid w:val="5E046458"/>
    <w:rsid w:val="5E082F75"/>
    <w:rsid w:val="5E115985"/>
    <w:rsid w:val="5E157EEA"/>
    <w:rsid w:val="5E1B6804"/>
    <w:rsid w:val="5E27164D"/>
    <w:rsid w:val="5E2733FB"/>
    <w:rsid w:val="5E2A518D"/>
    <w:rsid w:val="5E2D4789"/>
    <w:rsid w:val="5E3653EC"/>
    <w:rsid w:val="5E40626B"/>
    <w:rsid w:val="5E48511F"/>
    <w:rsid w:val="5E4C2E61"/>
    <w:rsid w:val="5E4C4C10"/>
    <w:rsid w:val="5E59732C"/>
    <w:rsid w:val="5E5D0BCB"/>
    <w:rsid w:val="5E5E2B95"/>
    <w:rsid w:val="5E5F0DE7"/>
    <w:rsid w:val="5E655CD1"/>
    <w:rsid w:val="5E6A32E8"/>
    <w:rsid w:val="5E6E2DD8"/>
    <w:rsid w:val="5E744166"/>
    <w:rsid w:val="5E7B3747"/>
    <w:rsid w:val="5E7F4FE5"/>
    <w:rsid w:val="5E83071A"/>
    <w:rsid w:val="5E8E6FD6"/>
    <w:rsid w:val="5E914D18"/>
    <w:rsid w:val="5E9F7435"/>
    <w:rsid w:val="5EB427B5"/>
    <w:rsid w:val="5EB51D70"/>
    <w:rsid w:val="5EB97DCB"/>
    <w:rsid w:val="5ECE307B"/>
    <w:rsid w:val="5EF77271"/>
    <w:rsid w:val="5EFD415C"/>
    <w:rsid w:val="5F021772"/>
    <w:rsid w:val="5F064676"/>
    <w:rsid w:val="5F1514A5"/>
    <w:rsid w:val="5F155949"/>
    <w:rsid w:val="5F1D035A"/>
    <w:rsid w:val="5F1F0576"/>
    <w:rsid w:val="5F1F40D2"/>
    <w:rsid w:val="5F1F7677"/>
    <w:rsid w:val="5F217E4A"/>
    <w:rsid w:val="5F28567D"/>
    <w:rsid w:val="5F2C4DCC"/>
    <w:rsid w:val="5F2E2567"/>
    <w:rsid w:val="5F385194"/>
    <w:rsid w:val="5F3C4C84"/>
    <w:rsid w:val="5F434264"/>
    <w:rsid w:val="5F4955F3"/>
    <w:rsid w:val="5F4C0C3F"/>
    <w:rsid w:val="5F4D5334"/>
    <w:rsid w:val="5F5A15AE"/>
    <w:rsid w:val="5F5F0972"/>
    <w:rsid w:val="5F6917F1"/>
    <w:rsid w:val="5F797C86"/>
    <w:rsid w:val="5F7F2DC3"/>
    <w:rsid w:val="5F8108E9"/>
    <w:rsid w:val="5F814D8D"/>
    <w:rsid w:val="5F8B3350"/>
    <w:rsid w:val="5F8E1258"/>
    <w:rsid w:val="5F8E3006"/>
    <w:rsid w:val="5F9C1BC7"/>
    <w:rsid w:val="5FAF36A8"/>
    <w:rsid w:val="5FC92290"/>
    <w:rsid w:val="5FD650D9"/>
    <w:rsid w:val="5FDC0F0C"/>
    <w:rsid w:val="5FDE3F8D"/>
    <w:rsid w:val="60071C9B"/>
    <w:rsid w:val="6008036D"/>
    <w:rsid w:val="600B28A8"/>
    <w:rsid w:val="600E1119"/>
    <w:rsid w:val="601230BB"/>
    <w:rsid w:val="602923F4"/>
    <w:rsid w:val="602C2F4B"/>
    <w:rsid w:val="603040BD"/>
    <w:rsid w:val="60326087"/>
    <w:rsid w:val="603B4F3C"/>
    <w:rsid w:val="603C0CB4"/>
    <w:rsid w:val="603D64BE"/>
    <w:rsid w:val="60427D1F"/>
    <w:rsid w:val="60591866"/>
    <w:rsid w:val="605E217F"/>
    <w:rsid w:val="60600E46"/>
    <w:rsid w:val="60624BBE"/>
    <w:rsid w:val="6065020A"/>
    <w:rsid w:val="60675D31"/>
    <w:rsid w:val="607448F1"/>
    <w:rsid w:val="607B7A2E"/>
    <w:rsid w:val="6084265C"/>
    <w:rsid w:val="60874625"/>
    <w:rsid w:val="608A36C4"/>
    <w:rsid w:val="608C5797"/>
    <w:rsid w:val="60A52CFD"/>
    <w:rsid w:val="60AA0313"/>
    <w:rsid w:val="60C43183"/>
    <w:rsid w:val="60C56EFB"/>
    <w:rsid w:val="60C969EB"/>
    <w:rsid w:val="60CA62C0"/>
    <w:rsid w:val="60CC028A"/>
    <w:rsid w:val="60CE7B5E"/>
    <w:rsid w:val="60DA29A7"/>
    <w:rsid w:val="60E32176"/>
    <w:rsid w:val="60F11E42"/>
    <w:rsid w:val="60F65306"/>
    <w:rsid w:val="60FA136D"/>
    <w:rsid w:val="60FD6695"/>
    <w:rsid w:val="610417D1"/>
    <w:rsid w:val="61137C66"/>
    <w:rsid w:val="611834CF"/>
    <w:rsid w:val="611C2FBF"/>
    <w:rsid w:val="61277D1A"/>
    <w:rsid w:val="61300818"/>
    <w:rsid w:val="61306A6A"/>
    <w:rsid w:val="613300E3"/>
    <w:rsid w:val="614913F6"/>
    <w:rsid w:val="61493688"/>
    <w:rsid w:val="61554315"/>
    <w:rsid w:val="615553C3"/>
    <w:rsid w:val="61587D6F"/>
    <w:rsid w:val="615E3269"/>
    <w:rsid w:val="617C0DC9"/>
    <w:rsid w:val="617F52FC"/>
    <w:rsid w:val="618446C0"/>
    <w:rsid w:val="618E3791"/>
    <w:rsid w:val="619012B7"/>
    <w:rsid w:val="61A51218"/>
    <w:rsid w:val="61BA3AAB"/>
    <w:rsid w:val="61CE1DDF"/>
    <w:rsid w:val="61D90EB0"/>
    <w:rsid w:val="61E15FB7"/>
    <w:rsid w:val="61F47A98"/>
    <w:rsid w:val="61FE0917"/>
    <w:rsid w:val="62061579"/>
    <w:rsid w:val="62071ED3"/>
    <w:rsid w:val="620A72BB"/>
    <w:rsid w:val="621974FF"/>
    <w:rsid w:val="621C6FEF"/>
    <w:rsid w:val="621E4B15"/>
    <w:rsid w:val="622C064E"/>
    <w:rsid w:val="622E3D73"/>
    <w:rsid w:val="62353C0D"/>
    <w:rsid w:val="624327CD"/>
    <w:rsid w:val="625414DF"/>
    <w:rsid w:val="625422E5"/>
    <w:rsid w:val="625E7607"/>
    <w:rsid w:val="626D33A6"/>
    <w:rsid w:val="627B1F67"/>
    <w:rsid w:val="627C183B"/>
    <w:rsid w:val="627D7A8D"/>
    <w:rsid w:val="628801E0"/>
    <w:rsid w:val="62894684"/>
    <w:rsid w:val="62913E4C"/>
    <w:rsid w:val="62960B4F"/>
    <w:rsid w:val="629E5C56"/>
    <w:rsid w:val="62A414BE"/>
    <w:rsid w:val="62AA0157"/>
    <w:rsid w:val="62AF39BF"/>
    <w:rsid w:val="62B611F1"/>
    <w:rsid w:val="62B80AC5"/>
    <w:rsid w:val="62B965EC"/>
    <w:rsid w:val="62C51434"/>
    <w:rsid w:val="62C57339"/>
    <w:rsid w:val="62D82F16"/>
    <w:rsid w:val="62DA4EE0"/>
    <w:rsid w:val="62E53885"/>
    <w:rsid w:val="62E573E1"/>
    <w:rsid w:val="62E775FD"/>
    <w:rsid w:val="62EA3070"/>
    <w:rsid w:val="62FA10DE"/>
    <w:rsid w:val="62FB30A8"/>
    <w:rsid w:val="62FF4946"/>
    <w:rsid w:val="630006BE"/>
    <w:rsid w:val="6300421A"/>
    <w:rsid w:val="63097573"/>
    <w:rsid w:val="630C7063"/>
    <w:rsid w:val="63155F18"/>
    <w:rsid w:val="63164010"/>
    <w:rsid w:val="63247F09"/>
    <w:rsid w:val="63367C3C"/>
    <w:rsid w:val="63400ABB"/>
    <w:rsid w:val="635C3B47"/>
    <w:rsid w:val="635D2D54"/>
    <w:rsid w:val="636B1FDC"/>
    <w:rsid w:val="636D5D54"/>
    <w:rsid w:val="637013A0"/>
    <w:rsid w:val="6372336A"/>
    <w:rsid w:val="63780255"/>
    <w:rsid w:val="637D1D0F"/>
    <w:rsid w:val="638E5DB2"/>
    <w:rsid w:val="63952BB5"/>
    <w:rsid w:val="63996A94"/>
    <w:rsid w:val="63A948B2"/>
    <w:rsid w:val="63B76FCF"/>
    <w:rsid w:val="63E1404C"/>
    <w:rsid w:val="63E853DA"/>
    <w:rsid w:val="63E92F01"/>
    <w:rsid w:val="63F20007"/>
    <w:rsid w:val="63F975E8"/>
    <w:rsid w:val="64081FD3"/>
    <w:rsid w:val="640B2E77"/>
    <w:rsid w:val="641461CF"/>
    <w:rsid w:val="6416019A"/>
    <w:rsid w:val="642342DE"/>
    <w:rsid w:val="642B52C7"/>
    <w:rsid w:val="642F125B"/>
    <w:rsid w:val="64370110"/>
    <w:rsid w:val="643F0D73"/>
    <w:rsid w:val="64410F8F"/>
    <w:rsid w:val="64414AEB"/>
    <w:rsid w:val="645962D8"/>
    <w:rsid w:val="646B7DB9"/>
    <w:rsid w:val="6477050C"/>
    <w:rsid w:val="64794284"/>
    <w:rsid w:val="647A1DAB"/>
    <w:rsid w:val="64813139"/>
    <w:rsid w:val="648570CD"/>
    <w:rsid w:val="64882719"/>
    <w:rsid w:val="64947310"/>
    <w:rsid w:val="649E3CEB"/>
    <w:rsid w:val="64A21A2D"/>
    <w:rsid w:val="64B17EC2"/>
    <w:rsid w:val="64B27B6D"/>
    <w:rsid w:val="64B74DAD"/>
    <w:rsid w:val="64BB2AEF"/>
    <w:rsid w:val="64BB489D"/>
    <w:rsid w:val="64C50F3C"/>
    <w:rsid w:val="64C5571C"/>
    <w:rsid w:val="64C64FF0"/>
    <w:rsid w:val="64CA2D32"/>
    <w:rsid w:val="64DB0A9B"/>
    <w:rsid w:val="64DF4A2F"/>
    <w:rsid w:val="64E831B8"/>
    <w:rsid w:val="64F102BF"/>
    <w:rsid w:val="64FE29DC"/>
    <w:rsid w:val="65000502"/>
    <w:rsid w:val="65075D34"/>
    <w:rsid w:val="65091AAC"/>
    <w:rsid w:val="650E0E71"/>
    <w:rsid w:val="653528A1"/>
    <w:rsid w:val="653C55F0"/>
    <w:rsid w:val="654E3963"/>
    <w:rsid w:val="65516FAF"/>
    <w:rsid w:val="65566374"/>
    <w:rsid w:val="655B1BDC"/>
    <w:rsid w:val="65600071"/>
    <w:rsid w:val="65640A91"/>
    <w:rsid w:val="65717652"/>
    <w:rsid w:val="6578278E"/>
    <w:rsid w:val="657A6506"/>
    <w:rsid w:val="657C227E"/>
    <w:rsid w:val="65907AD8"/>
    <w:rsid w:val="65953340"/>
    <w:rsid w:val="659550EE"/>
    <w:rsid w:val="659A0956"/>
    <w:rsid w:val="659B161D"/>
    <w:rsid w:val="659D0447"/>
    <w:rsid w:val="65A05841"/>
    <w:rsid w:val="65A70610"/>
    <w:rsid w:val="65A74E21"/>
    <w:rsid w:val="65B01F28"/>
    <w:rsid w:val="65C13D88"/>
    <w:rsid w:val="65C459D3"/>
    <w:rsid w:val="65D53851"/>
    <w:rsid w:val="65D75707"/>
    <w:rsid w:val="65E41BD1"/>
    <w:rsid w:val="65E971E8"/>
    <w:rsid w:val="65F31E15"/>
    <w:rsid w:val="65FF4C5D"/>
    <w:rsid w:val="662326FA"/>
    <w:rsid w:val="662E5105"/>
    <w:rsid w:val="662F5543"/>
    <w:rsid w:val="663521C0"/>
    <w:rsid w:val="66372649"/>
    <w:rsid w:val="663A2BAA"/>
    <w:rsid w:val="663A2E25"/>
    <w:rsid w:val="66507267"/>
    <w:rsid w:val="66525B0B"/>
    <w:rsid w:val="665C77AC"/>
    <w:rsid w:val="666B22F3"/>
    <w:rsid w:val="66770A72"/>
    <w:rsid w:val="66770C98"/>
    <w:rsid w:val="66800E54"/>
    <w:rsid w:val="6683763C"/>
    <w:rsid w:val="668D04BB"/>
    <w:rsid w:val="6692787F"/>
    <w:rsid w:val="66A17AC3"/>
    <w:rsid w:val="66AA2E1B"/>
    <w:rsid w:val="66C51A03"/>
    <w:rsid w:val="66CD08B8"/>
    <w:rsid w:val="66D37C0F"/>
    <w:rsid w:val="66D47E98"/>
    <w:rsid w:val="66D63C10"/>
    <w:rsid w:val="66D71736"/>
    <w:rsid w:val="66D734E4"/>
    <w:rsid w:val="66EF4CD2"/>
    <w:rsid w:val="66FC2F4B"/>
    <w:rsid w:val="670267B3"/>
    <w:rsid w:val="6703077D"/>
    <w:rsid w:val="6705401D"/>
    <w:rsid w:val="670A1B0C"/>
    <w:rsid w:val="670F7122"/>
    <w:rsid w:val="672101E2"/>
    <w:rsid w:val="672901E4"/>
    <w:rsid w:val="672E75A8"/>
    <w:rsid w:val="67410F7A"/>
    <w:rsid w:val="67423054"/>
    <w:rsid w:val="6747066A"/>
    <w:rsid w:val="67486190"/>
    <w:rsid w:val="674C3ED2"/>
    <w:rsid w:val="6759214B"/>
    <w:rsid w:val="676673CA"/>
    <w:rsid w:val="677B47B7"/>
    <w:rsid w:val="67801DCE"/>
    <w:rsid w:val="67901C4F"/>
    <w:rsid w:val="6796339F"/>
    <w:rsid w:val="67A21D44"/>
    <w:rsid w:val="67A83914"/>
    <w:rsid w:val="67A96C2F"/>
    <w:rsid w:val="67AC2BC3"/>
    <w:rsid w:val="67AC671F"/>
    <w:rsid w:val="67AF485A"/>
    <w:rsid w:val="67AF51B5"/>
    <w:rsid w:val="67B11F87"/>
    <w:rsid w:val="67B210CD"/>
    <w:rsid w:val="67B850C4"/>
    <w:rsid w:val="67C73559"/>
    <w:rsid w:val="67C779FD"/>
    <w:rsid w:val="67D939B4"/>
    <w:rsid w:val="67E1461B"/>
    <w:rsid w:val="67E20393"/>
    <w:rsid w:val="67E67E83"/>
    <w:rsid w:val="67F325A0"/>
    <w:rsid w:val="67F3434E"/>
    <w:rsid w:val="67F81964"/>
    <w:rsid w:val="67F833D2"/>
    <w:rsid w:val="67FD341E"/>
    <w:rsid w:val="67FD6F7B"/>
    <w:rsid w:val="6813679E"/>
    <w:rsid w:val="681C5653"/>
    <w:rsid w:val="682664D1"/>
    <w:rsid w:val="68282249"/>
    <w:rsid w:val="68352BB8"/>
    <w:rsid w:val="683706DE"/>
    <w:rsid w:val="683828A4"/>
    <w:rsid w:val="684B418A"/>
    <w:rsid w:val="68550B65"/>
    <w:rsid w:val="685B6B1A"/>
    <w:rsid w:val="685C6397"/>
    <w:rsid w:val="68626ABD"/>
    <w:rsid w:val="686F7E78"/>
    <w:rsid w:val="687A4A6F"/>
    <w:rsid w:val="687C2595"/>
    <w:rsid w:val="687C4343"/>
    <w:rsid w:val="687F0831"/>
    <w:rsid w:val="6880464C"/>
    <w:rsid w:val="68863414"/>
    <w:rsid w:val="689773CF"/>
    <w:rsid w:val="689B6EBF"/>
    <w:rsid w:val="68B97345"/>
    <w:rsid w:val="68BA7955"/>
    <w:rsid w:val="68BB130F"/>
    <w:rsid w:val="68BE495C"/>
    <w:rsid w:val="68C06926"/>
    <w:rsid w:val="68C53F3C"/>
    <w:rsid w:val="68C656C9"/>
    <w:rsid w:val="68CB0E27"/>
    <w:rsid w:val="68CF0917"/>
    <w:rsid w:val="68E3372E"/>
    <w:rsid w:val="68EE2FED"/>
    <w:rsid w:val="68F760C0"/>
    <w:rsid w:val="69083562"/>
    <w:rsid w:val="690F11B3"/>
    <w:rsid w:val="69197DE4"/>
    <w:rsid w:val="6922313D"/>
    <w:rsid w:val="69230C63"/>
    <w:rsid w:val="692A0243"/>
    <w:rsid w:val="692F585A"/>
    <w:rsid w:val="692F7608"/>
    <w:rsid w:val="693410C2"/>
    <w:rsid w:val="69381C7D"/>
    <w:rsid w:val="693E784B"/>
    <w:rsid w:val="69472BA3"/>
    <w:rsid w:val="694E3F32"/>
    <w:rsid w:val="6954706E"/>
    <w:rsid w:val="69584DB0"/>
    <w:rsid w:val="695E7EED"/>
    <w:rsid w:val="696279DD"/>
    <w:rsid w:val="69674FF3"/>
    <w:rsid w:val="698773AA"/>
    <w:rsid w:val="698F62F8"/>
    <w:rsid w:val="699456BD"/>
    <w:rsid w:val="69981651"/>
    <w:rsid w:val="69A47FF6"/>
    <w:rsid w:val="69AF24F6"/>
    <w:rsid w:val="69B12712"/>
    <w:rsid w:val="69B47B0D"/>
    <w:rsid w:val="69C77840"/>
    <w:rsid w:val="69D65CD5"/>
    <w:rsid w:val="69E44896"/>
    <w:rsid w:val="69E95A08"/>
    <w:rsid w:val="69EB1FDC"/>
    <w:rsid w:val="69F10D61"/>
    <w:rsid w:val="6A026ACA"/>
    <w:rsid w:val="6A036897"/>
    <w:rsid w:val="6A0A597F"/>
    <w:rsid w:val="6A0B1E23"/>
    <w:rsid w:val="6A0C16F7"/>
    <w:rsid w:val="6A0D3D09"/>
    <w:rsid w:val="6A152CA1"/>
    <w:rsid w:val="6A1D56B2"/>
    <w:rsid w:val="6A2A361C"/>
    <w:rsid w:val="6A310A4A"/>
    <w:rsid w:val="6A464C09"/>
    <w:rsid w:val="6A5512F0"/>
    <w:rsid w:val="6A58493C"/>
    <w:rsid w:val="6A5D1F52"/>
    <w:rsid w:val="6A641533"/>
    <w:rsid w:val="6A6432E1"/>
    <w:rsid w:val="6A6634FD"/>
    <w:rsid w:val="6A72672B"/>
    <w:rsid w:val="6A7D6CAF"/>
    <w:rsid w:val="6AA15FA4"/>
    <w:rsid w:val="6AA656A7"/>
    <w:rsid w:val="6AAB0F10"/>
    <w:rsid w:val="6AB37DC4"/>
    <w:rsid w:val="6AC67AF8"/>
    <w:rsid w:val="6AD404C6"/>
    <w:rsid w:val="6AD66324"/>
    <w:rsid w:val="6AE12B83"/>
    <w:rsid w:val="6AEE0B20"/>
    <w:rsid w:val="6AF02DC7"/>
    <w:rsid w:val="6AF74155"/>
    <w:rsid w:val="6B0A3E88"/>
    <w:rsid w:val="6B0D3978"/>
    <w:rsid w:val="6B19231D"/>
    <w:rsid w:val="6B1940CB"/>
    <w:rsid w:val="6B1A4EC6"/>
    <w:rsid w:val="6B1C36D8"/>
    <w:rsid w:val="6B1E3BA6"/>
    <w:rsid w:val="6B1E7934"/>
    <w:rsid w:val="6B2036AC"/>
    <w:rsid w:val="6B234F4A"/>
    <w:rsid w:val="6B2A277C"/>
    <w:rsid w:val="6B36165F"/>
    <w:rsid w:val="6B397FE0"/>
    <w:rsid w:val="6B40339E"/>
    <w:rsid w:val="6B405AFC"/>
    <w:rsid w:val="6B4078AA"/>
    <w:rsid w:val="6B601CFA"/>
    <w:rsid w:val="6B621DBD"/>
    <w:rsid w:val="6B6F018F"/>
    <w:rsid w:val="6B6F1F3D"/>
    <w:rsid w:val="6B785296"/>
    <w:rsid w:val="6B7B2FD8"/>
    <w:rsid w:val="6B80414A"/>
    <w:rsid w:val="6B8C0D41"/>
    <w:rsid w:val="6B8F438D"/>
    <w:rsid w:val="6B94610F"/>
    <w:rsid w:val="6BA0659B"/>
    <w:rsid w:val="6BA22313"/>
    <w:rsid w:val="6BBA58AE"/>
    <w:rsid w:val="6BD85D34"/>
    <w:rsid w:val="6BD9385B"/>
    <w:rsid w:val="6BDA7CFF"/>
    <w:rsid w:val="6BDD159D"/>
    <w:rsid w:val="6BDF3567"/>
    <w:rsid w:val="6BE20961"/>
    <w:rsid w:val="6BE26BB3"/>
    <w:rsid w:val="6BEC5C84"/>
    <w:rsid w:val="6BF32B6E"/>
    <w:rsid w:val="6BF6265F"/>
    <w:rsid w:val="6C094140"/>
    <w:rsid w:val="6C0E1756"/>
    <w:rsid w:val="6C12145F"/>
    <w:rsid w:val="6C136D6D"/>
    <w:rsid w:val="6C3118E9"/>
    <w:rsid w:val="6C311952"/>
    <w:rsid w:val="6C3311BD"/>
    <w:rsid w:val="6C4258A4"/>
    <w:rsid w:val="6C450EF0"/>
    <w:rsid w:val="6C496C32"/>
    <w:rsid w:val="6C5630FD"/>
    <w:rsid w:val="6C5C0714"/>
    <w:rsid w:val="6C5C6966"/>
    <w:rsid w:val="6C6B6BA9"/>
    <w:rsid w:val="6C711CE5"/>
    <w:rsid w:val="6C7F3644"/>
    <w:rsid w:val="6C8B0FF9"/>
    <w:rsid w:val="6CA43E69"/>
    <w:rsid w:val="6CAB51F7"/>
    <w:rsid w:val="6CBA18DE"/>
    <w:rsid w:val="6CBA7B30"/>
    <w:rsid w:val="6CBC7404"/>
    <w:rsid w:val="6CBF0CA2"/>
    <w:rsid w:val="6CCB0534"/>
    <w:rsid w:val="6CD72490"/>
    <w:rsid w:val="6CDC2EEB"/>
    <w:rsid w:val="6CE1330F"/>
    <w:rsid w:val="6CE60925"/>
    <w:rsid w:val="6CED3A62"/>
    <w:rsid w:val="6CF52916"/>
    <w:rsid w:val="6CFF5543"/>
    <w:rsid w:val="6D01750D"/>
    <w:rsid w:val="6D050DAB"/>
    <w:rsid w:val="6D057430"/>
    <w:rsid w:val="6D08089B"/>
    <w:rsid w:val="6D140FEE"/>
    <w:rsid w:val="6D1F1741"/>
    <w:rsid w:val="6D1F7993"/>
    <w:rsid w:val="6D203E37"/>
    <w:rsid w:val="6D222CB2"/>
    <w:rsid w:val="6D25144D"/>
    <w:rsid w:val="6D284A9A"/>
    <w:rsid w:val="6D3715E9"/>
    <w:rsid w:val="6D384161"/>
    <w:rsid w:val="6D3E250F"/>
    <w:rsid w:val="6D4573FA"/>
    <w:rsid w:val="6D4A37E0"/>
    <w:rsid w:val="6D543AE1"/>
    <w:rsid w:val="6D5533B5"/>
    <w:rsid w:val="6D667370"/>
    <w:rsid w:val="6D727A37"/>
    <w:rsid w:val="6D7813AB"/>
    <w:rsid w:val="6D7B72BF"/>
    <w:rsid w:val="6D8307B0"/>
    <w:rsid w:val="6D862B7B"/>
    <w:rsid w:val="6D8812EF"/>
    <w:rsid w:val="6DA50FAB"/>
    <w:rsid w:val="6DA93E2C"/>
    <w:rsid w:val="6DB54082"/>
    <w:rsid w:val="6DB8406F"/>
    <w:rsid w:val="6DB97DE8"/>
    <w:rsid w:val="6DBB3B60"/>
    <w:rsid w:val="6DBE0F5A"/>
    <w:rsid w:val="6DD15131"/>
    <w:rsid w:val="6DD53A5A"/>
    <w:rsid w:val="6DDA2238"/>
    <w:rsid w:val="6DE76703"/>
    <w:rsid w:val="6DEC3D19"/>
    <w:rsid w:val="6DF80910"/>
    <w:rsid w:val="6E0B0D16"/>
    <w:rsid w:val="6E0E5A3E"/>
    <w:rsid w:val="6E162B44"/>
    <w:rsid w:val="6E182D60"/>
    <w:rsid w:val="6E1B63AC"/>
    <w:rsid w:val="6E1F7C4B"/>
    <w:rsid w:val="6E2434B3"/>
    <w:rsid w:val="6E2711F5"/>
    <w:rsid w:val="6E3631E6"/>
    <w:rsid w:val="6E364F94"/>
    <w:rsid w:val="6E3D27C7"/>
    <w:rsid w:val="6E3D6323"/>
    <w:rsid w:val="6E46167B"/>
    <w:rsid w:val="6E5E1E16"/>
    <w:rsid w:val="6E6164B5"/>
    <w:rsid w:val="6E625D89"/>
    <w:rsid w:val="6E6E472E"/>
    <w:rsid w:val="6E731D44"/>
    <w:rsid w:val="6E761835"/>
    <w:rsid w:val="6E7B6E4B"/>
    <w:rsid w:val="6E8D188A"/>
    <w:rsid w:val="6E91041D"/>
    <w:rsid w:val="6EC407F2"/>
    <w:rsid w:val="6EC425A0"/>
    <w:rsid w:val="6EC627BC"/>
    <w:rsid w:val="6EC9405A"/>
    <w:rsid w:val="6ED0363B"/>
    <w:rsid w:val="6ED547AD"/>
    <w:rsid w:val="6EDA0016"/>
    <w:rsid w:val="6EE13152"/>
    <w:rsid w:val="6EE844E0"/>
    <w:rsid w:val="6EEA46FD"/>
    <w:rsid w:val="6EF235B1"/>
    <w:rsid w:val="6F0937A0"/>
    <w:rsid w:val="6F2F1DA8"/>
    <w:rsid w:val="6F411E43"/>
    <w:rsid w:val="6F413BF1"/>
    <w:rsid w:val="6F481423"/>
    <w:rsid w:val="6F524050"/>
    <w:rsid w:val="6F541B76"/>
    <w:rsid w:val="6F5B73A8"/>
    <w:rsid w:val="6F5C6C7D"/>
    <w:rsid w:val="6F653D83"/>
    <w:rsid w:val="6F6F075E"/>
    <w:rsid w:val="6F7264A0"/>
    <w:rsid w:val="6F782DA8"/>
    <w:rsid w:val="6F810491"/>
    <w:rsid w:val="6F8C57B4"/>
    <w:rsid w:val="6F8E08A3"/>
    <w:rsid w:val="6F906926"/>
    <w:rsid w:val="6F966CC1"/>
    <w:rsid w:val="6FB645DF"/>
    <w:rsid w:val="6FD66A2F"/>
    <w:rsid w:val="6FD76303"/>
    <w:rsid w:val="6FDE6524"/>
    <w:rsid w:val="6FEE2B5C"/>
    <w:rsid w:val="6FF46EB5"/>
    <w:rsid w:val="70001CFE"/>
    <w:rsid w:val="70011985"/>
    <w:rsid w:val="70077DE7"/>
    <w:rsid w:val="70083ED5"/>
    <w:rsid w:val="700A492A"/>
    <w:rsid w:val="70227A0B"/>
    <w:rsid w:val="702C664F"/>
    <w:rsid w:val="702E6166"/>
    <w:rsid w:val="70431C3A"/>
    <w:rsid w:val="704936A5"/>
    <w:rsid w:val="70495453"/>
    <w:rsid w:val="704A2F79"/>
    <w:rsid w:val="704C638F"/>
    <w:rsid w:val="70587444"/>
    <w:rsid w:val="7060454A"/>
    <w:rsid w:val="70666005"/>
    <w:rsid w:val="706E4646"/>
    <w:rsid w:val="706F478E"/>
    <w:rsid w:val="707D7D60"/>
    <w:rsid w:val="708A15C7"/>
    <w:rsid w:val="708E10B8"/>
    <w:rsid w:val="70903082"/>
    <w:rsid w:val="70904E30"/>
    <w:rsid w:val="70944D11"/>
    <w:rsid w:val="709D12FB"/>
    <w:rsid w:val="70A408DB"/>
    <w:rsid w:val="70A5064C"/>
    <w:rsid w:val="70A97C9F"/>
    <w:rsid w:val="70B30B1E"/>
    <w:rsid w:val="70C745CA"/>
    <w:rsid w:val="70D07922"/>
    <w:rsid w:val="70D72A5F"/>
    <w:rsid w:val="70E00857"/>
    <w:rsid w:val="70EB475C"/>
    <w:rsid w:val="70F629BB"/>
    <w:rsid w:val="70FF1FB5"/>
    <w:rsid w:val="7103616B"/>
    <w:rsid w:val="710864C2"/>
    <w:rsid w:val="71175551"/>
    <w:rsid w:val="71234E99"/>
    <w:rsid w:val="7124455A"/>
    <w:rsid w:val="712B4B58"/>
    <w:rsid w:val="71333A0D"/>
    <w:rsid w:val="71361540"/>
    <w:rsid w:val="71445C1A"/>
    <w:rsid w:val="71476A8B"/>
    <w:rsid w:val="715C11B6"/>
    <w:rsid w:val="71663DE2"/>
    <w:rsid w:val="71681909"/>
    <w:rsid w:val="71722787"/>
    <w:rsid w:val="71754026"/>
    <w:rsid w:val="71775FF0"/>
    <w:rsid w:val="71836539"/>
    <w:rsid w:val="71AD37BF"/>
    <w:rsid w:val="71CF3E29"/>
    <w:rsid w:val="71D60F68"/>
    <w:rsid w:val="71E2790D"/>
    <w:rsid w:val="71E33685"/>
    <w:rsid w:val="71EF5B86"/>
    <w:rsid w:val="71F80EDE"/>
    <w:rsid w:val="720C2BDC"/>
    <w:rsid w:val="721003C5"/>
    <w:rsid w:val="72111FA0"/>
    <w:rsid w:val="7214383E"/>
    <w:rsid w:val="721B697B"/>
    <w:rsid w:val="723C62EB"/>
    <w:rsid w:val="72493B56"/>
    <w:rsid w:val="72516841"/>
    <w:rsid w:val="725B146D"/>
    <w:rsid w:val="725E2D0C"/>
    <w:rsid w:val="726245AA"/>
    <w:rsid w:val="726E2F4F"/>
    <w:rsid w:val="727662A7"/>
    <w:rsid w:val="727918F3"/>
    <w:rsid w:val="7294672D"/>
    <w:rsid w:val="72952BD1"/>
    <w:rsid w:val="729606F7"/>
    <w:rsid w:val="7298446F"/>
    <w:rsid w:val="7298621E"/>
    <w:rsid w:val="72987FCC"/>
    <w:rsid w:val="729A1F96"/>
    <w:rsid w:val="729D386D"/>
    <w:rsid w:val="72AE5A41"/>
    <w:rsid w:val="72B172DF"/>
    <w:rsid w:val="72B50B7E"/>
    <w:rsid w:val="72B917BC"/>
    <w:rsid w:val="72C708B1"/>
    <w:rsid w:val="72CC236B"/>
    <w:rsid w:val="72CD1B96"/>
    <w:rsid w:val="72D66D46"/>
    <w:rsid w:val="72DA4A88"/>
    <w:rsid w:val="72EE0533"/>
    <w:rsid w:val="72F21DD2"/>
    <w:rsid w:val="72F35B4A"/>
    <w:rsid w:val="73090EC9"/>
    <w:rsid w:val="73092C77"/>
    <w:rsid w:val="73102258"/>
    <w:rsid w:val="731735E6"/>
    <w:rsid w:val="73191889"/>
    <w:rsid w:val="732A3D34"/>
    <w:rsid w:val="73334198"/>
    <w:rsid w:val="734168B5"/>
    <w:rsid w:val="734B7734"/>
    <w:rsid w:val="73532145"/>
    <w:rsid w:val="7359395E"/>
    <w:rsid w:val="736A17B3"/>
    <w:rsid w:val="736F377D"/>
    <w:rsid w:val="73722F12"/>
    <w:rsid w:val="7375655F"/>
    <w:rsid w:val="737E3665"/>
    <w:rsid w:val="7386251A"/>
    <w:rsid w:val="73893DB8"/>
    <w:rsid w:val="739A7D73"/>
    <w:rsid w:val="739D75BE"/>
    <w:rsid w:val="739E14CF"/>
    <w:rsid w:val="73A34E7A"/>
    <w:rsid w:val="73A806E2"/>
    <w:rsid w:val="73B72B30"/>
    <w:rsid w:val="73BC5F3C"/>
    <w:rsid w:val="73BE7F06"/>
    <w:rsid w:val="73C13552"/>
    <w:rsid w:val="73C80D84"/>
    <w:rsid w:val="73CC7445"/>
    <w:rsid w:val="73DC65DE"/>
    <w:rsid w:val="73E55492"/>
    <w:rsid w:val="73EF1E6D"/>
    <w:rsid w:val="73FC27DC"/>
    <w:rsid w:val="740022CC"/>
    <w:rsid w:val="740A2536"/>
    <w:rsid w:val="740B2A1F"/>
    <w:rsid w:val="74161AF0"/>
    <w:rsid w:val="7416564C"/>
    <w:rsid w:val="741F0BD9"/>
    <w:rsid w:val="7420471D"/>
    <w:rsid w:val="742064CB"/>
    <w:rsid w:val="743E6263"/>
    <w:rsid w:val="7452064E"/>
    <w:rsid w:val="745D771F"/>
    <w:rsid w:val="74634609"/>
    <w:rsid w:val="74650381"/>
    <w:rsid w:val="74654825"/>
    <w:rsid w:val="746960C4"/>
    <w:rsid w:val="746F1200"/>
    <w:rsid w:val="747C102B"/>
    <w:rsid w:val="74850A24"/>
    <w:rsid w:val="74856C75"/>
    <w:rsid w:val="748A4CEE"/>
    <w:rsid w:val="748C3B60"/>
    <w:rsid w:val="74AE7614"/>
    <w:rsid w:val="74B310ED"/>
    <w:rsid w:val="74B60BDD"/>
    <w:rsid w:val="74B86703"/>
    <w:rsid w:val="74B9247B"/>
    <w:rsid w:val="74CC21AE"/>
    <w:rsid w:val="74CC6652"/>
    <w:rsid w:val="74E219D2"/>
    <w:rsid w:val="750556C0"/>
    <w:rsid w:val="750D6F2C"/>
    <w:rsid w:val="750F68C4"/>
    <w:rsid w:val="751678CE"/>
    <w:rsid w:val="751B4EE4"/>
    <w:rsid w:val="7523428C"/>
    <w:rsid w:val="75243D99"/>
    <w:rsid w:val="75267B11"/>
    <w:rsid w:val="752B15CB"/>
    <w:rsid w:val="75396AE8"/>
    <w:rsid w:val="753F5076"/>
    <w:rsid w:val="754C32EF"/>
    <w:rsid w:val="755521A4"/>
    <w:rsid w:val="7556268A"/>
    <w:rsid w:val="7557416E"/>
    <w:rsid w:val="755A3C5E"/>
    <w:rsid w:val="7561323F"/>
    <w:rsid w:val="75644ADD"/>
    <w:rsid w:val="75660855"/>
    <w:rsid w:val="756643B1"/>
    <w:rsid w:val="756E3266"/>
    <w:rsid w:val="75722525"/>
    <w:rsid w:val="757840E4"/>
    <w:rsid w:val="758415D8"/>
    <w:rsid w:val="759F5B15"/>
    <w:rsid w:val="75A650F5"/>
    <w:rsid w:val="75B3511C"/>
    <w:rsid w:val="75B9759E"/>
    <w:rsid w:val="75BF1D13"/>
    <w:rsid w:val="75CA0DE4"/>
    <w:rsid w:val="75E17EDC"/>
    <w:rsid w:val="75E31EA6"/>
    <w:rsid w:val="75F23E97"/>
    <w:rsid w:val="75F95225"/>
    <w:rsid w:val="760065B4"/>
    <w:rsid w:val="760327D0"/>
    <w:rsid w:val="76067942"/>
    <w:rsid w:val="76142A12"/>
    <w:rsid w:val="761F631C"/>
    <w:rsid w:val="76273BFB"/>
    <w:rsid w:val="762D4ECF"/>
    <w:rsid w:val="76366479"/>
    <w:rsid w:val="763C15B6"/>
    <w:rsid w:val="765668DA"/>
    <w:rsid w:val="765972B7"/>
    <w:rsid w:val="76635847"/>
    <w:rsid w:val="766537ED"/>
    <w:rsid w:val="76790114"/>
    <w:rsid w:val="769136B0"/>
    <w:rsid w:val="769C41AB"/>
    <w:rsid w:val="769D02A6"/>
    <w:rsid w:val="76A41635"/>
    <w:rsid w:val="76A64435"/>
    <w:rsid w:val="76AA4771"/>
    <w:rsid w:val="76B346EE"/>
    <w:rsid w:val="76CA0970"/>
    <w:rsid w:val="76D649A4"/>
    <w:rsid w:val="76EE28B0"/>
    <w:rsid w:val="76FF05C0"/>
    <w:rsid w:val="770E2F52"/>
    <w:rsid w:val="771805CB"/>
    <w:rsid w:val="771B11CB"/>
    <w:rsid w:val="771D024C"/>
    <w:rsid w:val="772067E2"/>
    <w:rsid w:val="772269FE"/>
    <w:rsid w:val="7724066E"/>
    <w:rsid w:val="77274014"/>
    <w:rsid w:val="77277B70"/>
    <w:rsid w:val="7730111A"/>
    <w:rsid w:val="773504DF"/>
    <w:rsid w:val="77371170"/>
    <w:rsid w:val="77400C32"/>
    <w:rsid w:val="77440722"/>
    <w:rsid w:val="77444BC6"/>
    <w:rsid w:val="77471FC0"/>
    <w:rsid w:val="774B7D02"/>
    <w:rsid w:val="774C75D7"/>
    <w:rsid w:val="77664B3C"/>
    <w:rsid w:val="776D5ECB"/>
    <w:rsid w:val="777C4360"/>
    <w:rsid w:val="777C7EBC"/>
    <w:rsid w:val="77866F8C"/>
    <w:rsid w:val="77980A6E"/>
    <w:rsid w:val="779A6594"/>
    <w:rsid w:val="779F004E"/>
    <w:rsid w:val="77B70EF4"/>
    <w:rsid w:val="77BE14A6"/>
    <w:rsid w:val="77BF424C"/>
    <w:rsid w:val="77C533C3"/>
    <w:rsid w:val="77CD4BBB"/>
    <w:rsid w:val="77D060AE"/>
    <w:rsid w:val="77DB72D8"/>
    <w:rsid w:val="77DE32D5"/>
    <w:rsid w:val="77E048EF"/>
    <w:rsid w:val="77F57C6E"/>
    <w:rsid w:val="78085BF3"/>
    <w:rsid w:val="782071AE"/>
    <w:rsid w:val="78252301"/>
    <w:rsid w:val="78347A3A"/>
    <w:rsid w:val="78411105"/>
    <w:rsid w:val="784D7AAA"/>
    <w:rsid w:val="78522FAB"/>
    <w:rsid w:val="785B3F75"/>
    <w:rsid w:val="785E3A65"/>
    <w:rsid w:val="78760DAF"/>
    <w:rsid w:val="7878358E"/>
    <w:rsid w:val="788039DC"/>
    <w:rsid w:val="78872FBC"/>
    <w:rsid w:val="78874D6A"/>
    <w:rsid w:val="78880AE2"/>
    <w:rsid w:val="78A05E2C"/>
    <w:rsid w:val="78A53442"/>
    <w:rsid w:val="78B47B29"/>
    <w:rsid w:val="78B611AB"/>
    <w:rsid w:val="78BD69DE"/>
    <w:rsid w:val="78E8577B"/>
    <w:rsid w:val="78ED0487"/>
    <w:rsid w:val="78F16688"/>
    <w:rsid w:val="78FF0DA4"/>
    <w:rsid w:val="790243F1"/>
    <w:rsid w:val="79075EAB"/>
    <w:rsid w:val="791660EE"/>
    <w:rsid w:val="791A5BDE"/>
    <w:rsid w:val="792D2B46"/>
    <w:rsid w:val="79332946"/>
    <w:rsid w:val="79334EF2"/>
    <w:rsid w:val="793D7B1F"/>
    <w:rsid w:val="79501600"/>
    <w:rsid w:val="796E7CD8"/>
    <w:rsid w:val="79703A50"/>
    <w:rsid w:val="79725A1A"/>
    <w:rsid w:val="79747548"/>
    <w:rsid w:val="79751067"/>
    <w:rsid w:val="797572B9"/>
    <w:rsid w:val="797A042B"/>
    <w:rsid w:val="797E5A8D"/>
    <w:rsid w:val="79815C5D"/>
    <w:rsid w:val="7987552E"/>
    <w:rsid w:val="799139C7"/>
    <w:rsid w:val="79935991"/>
    <w:rsid w:val="799B65F3"/>
    <w:rsid w:val="79B3393D"/>
    <w:rsid w:val="79B871A5"/>
    <w:rsid w:val="79B9081F"/>
    <w:rsid w:val="79CE69C9"/>
    <w:rsid w:val="79D7762B"/>
    <w:rsid w:val="79DA711C"/>
    <w:rsid w:val="79DC7338"/>
    <w:rsid w:val="7A055814"/>
    <w:rsid w:val="7A1545F8"/>
    <w:rsid w:val="7A1E34AC"/>
    <w:rsid w:val="7A1F7224"/>
    <w:rsid w:val="7A2B5BC9"/>
    <w:rsid w:val="7A2B7A72"/>
    <w:rsid w:val="7A2D36EF"/>
    <w:rsid w:val="7A3507F6"/>
    <w:rsid w:val="7A3B5B1E"/>
    <w:rsid w:val="7A434CC1"/>
    <w:rsid w:val="7A450285"/>
    <w:rsid w:val="7A4A24F3"/>
    <w:rsid w:val="7A4D3D91"/>
    <w:rsid w:val="7A603AC5"/>
    <w:rsid w:val="7A654604"/>
    <w:rsid w:val="7A70182E"/>
    <w:rsid w:val="7A707A80"/>
    <w:rsid w:val="7A7E3F4B"/>
    <w:rsid w:val="7A87102F"/>
    <w:rsid w:val="7A925C48"/>
    <w:rsid w:val="7AA37E55"/>
    <w:rsid w:val="7AAB2866"/>
    <w:rsid w:val="7AB43E11"/>
    <w:rsid w:val="7AB4796D"/>
    <w:rsid w:val="7AB756AF"/>
    <w:rsid w:val="7AB931D5"/>
    <w:rsid w:val="7AC06311"/>
    <w:rsid w:val="7ACD0A2E"/>
    <w:rsid w:val="7AD95625"/>
    <w:rsid w:val="7AE2272C"/>
    <w:rsid w:val="7AE75F94"/>
    <w:rsid w:val="7AEF6BF7"/>
    <w:rsid w:val="7AF661D7"/>
    <w:rsid w:val="7AFD4919"/>
    <w:rsid w:val="7B072192"/>
    <w:rsid w:val="7B073F40"/>
    <w:rsid w:val="7B0F1047"/>
    <w:rsid w:val="7B164183"/>
    <w:rsid w:val="7B1D19B6"/>
    <w:rsid w:val="7B206849"/>
    <w:rsid w:val="7B2C1BF9"/>
    <w:rsid w:val="7B3D5BB4"/>
    <w:rsid w:val="7B3E01CE"/>
    <w:rsid w:val="7B424F78"/>
    <w:rsid w:val="7B445194"/>
    <w:rsid w:val="7B566C76"/>
    <w:rsid w:val="7B580C40"/>
    <w:rsid w:val="7B590514"/>
    <w:rsid w:val="7B6B0973"/>
    <w:rsid w:val="7B71585E"/>
    <w:rsid w:val="7B7D2454"/>
    <w:rsid w:val="7B8D0065"/>
    <w:rsid w:val="7B8E6410"/>
    <w:rsid w:val="7B9003DA"/>
    <w:rsid w:val="7BB0282A"/>
    <w:rsid w:val="7BB11B26"/>
    <w:rsid w:val="7BC97448"/>
    <w:rsid w:val="7BCB7664"/>
    <w:rsid w:val="7BD77DB7"/>
    <w:rsid w:val="7BDE6A7E"/>
    <w:rsid w:val="7BDF0A19"/>
    <w:rsid w:val="7BDF4EBD"/>
    <w:rsid w:val="7BE129E3"/>
    <w:rsid w:val="7BE61DA8"/>
    <w:rsid w:val="7BE91898"/>
    <w:rsid w:val="7BF045C5"/>
    <w:rsid w:val="7BF85F7F"/>
    <w:rsid w:val="7BF87D2D"/>
    <w:rsid w:val="7C0A5428"/>
    <w:rsid w:val="7C15268D"/>
    <w:rsid w:val="7C156B31"/>
    <w:rsid w:val="7C1A5EF5"/>
    <w:rsid w:val="7C224DAA"/>
    <w:rsid w:val="7C5E2286"/>
    <w:rsid w:val="7C5F7DAC"/>
    <w:rsid w:val="7C6158D2"/>
    <w:rsid w:val="7C7C270C"/>
    <w:rsid w:val="7C9428A4"/>
    <w:rsid w:val="7C953391"/>
    <w:rsid w:val="7C9E08D4"/>
    <w:rsid w:val="7CAD4FBB"/>
    <w:rsid w:val="7CB400F8"/>
    <w:rsid w:val="7CB4634A"/>
    <w:rsid w:val="7CB9570E"/>
    <w:rsid w:val="7CBB76D8"/>
    <w:rsid w:val="7CC80851"/>
    <w:rsid w:val="7CC83BA3"/>
    <w:rsid w:val="7CC86220"/>
    <w:rsid w:val="7CD442F6"/>
    <w:rsid w:val="7CD71937"/>
    <w:rsid w:val="7CDE6F23"/>
    <w:rsid w:val="7CE04A49"/>
    <w:rsid w:val="7CEE13CB"/>
    <w:rsid w:val="7CF16C56"/>
    <w:rsid w:val="7CF44998"/>
    <w:rsid w:val="7D0821F2"/>
    <w:rsid w:val="7D0A7D18"/>
    <w:rsid w:val="7D140B97"/>
    <w:rsid w:val="7D1B0177"/>
    <w:rsid w:val="7D23702C"/>
    <w:rsid w:val="7D27455C"/>
    <w:rsid w:val="7D3B4375"/>
    <w:rsid w:val="7D4274B2"/>
    <w:rsid w:val="7D456FA2"/>
    <w:rsid w:val="7D752E25"/>
    <w:rsid w:val="7D7F0706"/>
    <w:rsid w:val="7D831878"/>
    <w:rsid w:val="7DA67141"/>
    <w:rsid w:val="7DB3215D"/>
    <w:rsid w:val="7DBA3683"/>
    <w:rsid w:val="7DC9372F"/>
    <w:rsid w:val="7DDF73F6"/>
    <w:rsid w:val="7DE8278A"/>
    <w:rsid w:val="7DEE13E8"/>
    <w:rsid w:val="7DF10ED8"/>
    <w:rsid w:val="7DF851BD"/>
    <w:rsid w:val="7E0155BF"/>
    <w:rsid w:val="7E01736D"/>
    <w:rsid w:val="7E064983"/>
    <w:rsid w:val="7E096221"/>
    <w:rsid w:val="7E0A0C53"/>
    <w:rsid w:val="7E0E302F"/>
    <w:rsid w:val="7E1150D6"/>
    <w:rsid w:val="7E1A21DD"/>
    <w:rsid w:val="7E203B02"/>
    <w:rsid w:val="7E221091"/>
    <w:rsid w:val="7E2272E3"/>
    <w:rsid w:val="7E2B6198"/>
    <w:rsid w:val="7E3505E9"/>
    <w:rsid w:val="7E3808B5"/>
    <w:rsid w:val="7E3E236F"/>
    <w:rsid w:val="7E3F39F1"/>
    <w:rsid w:val="7E4D2A5C"/>
    <w:rsid w:val="7E5020A2"/>
    <w:rsid w:val="7E617E0B"/>
    <w:rsid w:val="7E6478FC"/>
    <w:rsid w:val="7E7062A0"/>
    <w:rsid w:val="7E7B3027"/>
    <w:rsid w:val="7E7F64E4"/>
    <w:rsid w:val="7E8B30DA"/>
    <w:rsid w:val="7E8B4E88"/>
    <w:rsid w:val="7E8F4979"/>
    <w:rsid w:val="7E9E2E0E"/>
    <w:rsid w:val="7EA23D68"/>
    <w:rsid w:val="7EBB576E"/>
    <w:rsid w:val="7EBE525E"/>
    <w:rsid w:val="7EC4740D"/>
    <w:rsid w:val="7ECB797B"/>
    <w:rsid w:val="7ECF746B"/>
    <w:rsid w:val="7ED14F91"/>
    <w:rsid w:val="7ED97CFD"/>
    <w:rsid w:val="7EDB7BBE"/>
    <w:rsid w:val="7EE01021"/>
    <w:rsid w:val="7EEA7E01"/>
    <w:rsid w:val="7EEC3798"/>
    <w:rsid w:val="7EF96296"/>
    <w:rsid w:val="7F062761"/>
    <w:rsid w:val="7F116BFC"/>
    <w:rsid w:val="7F1B445E"/>
    <w:rsid w:val="7F1E5CFC"/>
    <w:rsid w:val="7F2C21C7"/>
    <w:rsid w:val="7F370B6C"/>
    <w:rsid w:val="7F385010"/>
    <w:rsid w:val="7F402117"/>
    <w:rsid w:val="7F48126D"/>
    <w:rsid w:val="7F581391"/>
    <w:rsid w:val="7F5B2AAD"/>
    <w:rsid w:val="7F5C05D3"/>
    <w:rsid w:val="7F8042C1"/>
    <w:rsid w:val="7F89761A"/>
    <w:rsid w:val="7FA347F6"/>
    <w:rsid w:val="7FA426A6"/>
    <w:rsid w:val="7FA93818"/>
    <w:rsid w:val="7FCA077A"/>
    <w:rsid w:val="7FCA378E"/>
    <w:rsid w:val="7FCC7507"/>
    <w:rsid w:val="7FD0349B"/>
    <w:rsid w:val="7FD64829"/>
    <w:rsid w:val="7FD77C55"/>
    <w:rsid w:val="7FDD7966"/>
    <w:rsid w:val="7FDF548C"/>
    <w:rsid w:val="7FE572B3"/>
    <w:rsid w:val="7FF2196A"/>
    <w:rsid w:val="7FF4427A"/>
    <w:rsid w:val="7FF768D9"/>
    <w:rsid w:val="7FFC4290"/>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qFormat/>
    <w:uiPriority w:val="0"/>
    <w:pPr>
      <w:keepNext/>
      <w:keepLines/>
      <w:spacing w:before="260" w:after="260" w:line="412" w:lineRule="auto"/>
      <w:outlineLvl w:val="2"/>
    </w:pPr>
    <w:rPr>
      <w:b/>
      <w:sz w:val="32"/>
      <w:szCs w:val="20"/>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semiHidden/>
    <w:qFormat/>
    <w:uiPriority w:val="0"/>
    <w:pPr>
      <w:spacing w:before="100" w:beforeAutospacing="1" w:after="100" w:afterAutospacing="1" w:line="600" w:lineRule="auto"/>
    </w:pPr>
    <w:rPr>
      <w:kern w:val="0"/>
      <w:sz w:val="20"/>
    </w:rPr>
  </w:style>
  <w:style w:type="paragraph" w:styleId="10">
    <w:name w:val="Date"/>
    <w:basedOn w:val="1"/>
    <w:next w:val="1"/>
    <w:qFormat/>
    <w:uiPriority w:val="0"/>
    <w:rPr>
      <w:color w:val="000000"/>
      <w:kern w:val="0"/>
      <w:sz w:val="30"/>
    </w:rPr>
  </w:style>
  <w:style w:type="paragraph" w:styleId="11">
    <w:name w:val="Body Text Indent"/>
    <w:basedOn w:val="1"/>
    <w:next w:val="12"/>
    <w:qFormat/>
    <w:uiPriority w:val="0"/>
    <w:pPr>
      <w:ind w:firstLine="630"/>
    </w:pPr>
    <w:rPr>
      <w:sz w:val="32"/>
      <w:szCs w:val="20"/>
    </w:rPr>
  </w:style>
  <w:style w:type="paragraph" w:styleId="12">
    <w:name w:val="toc 5"/>
    <w:basedOn w:val="1"/>
    <w:next w:val="1"/>
    <w:qFormat/>
    <w:uiPriority w:val="0"/>
    <w:pPr>
      <w:ind w:left="840"/>
      <w:jc w:val="left"/>
    </w:pPr>
    <w:rPr>
      <w:rFonts w:ascii="Calibri" w:hAnsi="Calibri"/>
      <w:sz w:val="18"/>
      <w:szCs w:val="18"/>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qFormat/>
    <w:uiPriority w:val="0"/>
    <w:pPr>
      <w:ind w:firstLine="630"/>
    </w:pPr>
    <w:rPr>
      <w:sz w:val="32"/>
      <w:szCs w:val="20"/>
    </w:rPr>
  </w:style>
  <w:style w:type="paragraph" w:styleId="15">
    <w:name w:val="footer"/>
    <w:basedOn w:val="1"/>
    <w:qFormat/>
    <w:uiPriority w:val="0"/>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0"/>
  </w:style>
  <w:style w:type="paragraph" w:styleId="18">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1">
    <w:name w:val="Body Text First Indent"/>
    <w:basedOn w:val="9"/>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2">
    <w:name w:val="Body Text First Indent 2"/>
    <w:basedOn w:val="11"/>
    <w:next w:val="1"/>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136EC2"/>
      <w:u w:val="single"/>
    </w:rPr>
  </w:style>
  <w:style w:type="character" w:styleId="29">
    <w:name w:val="HTML Sample"/>
    <w:basedOn w:val="25"/>
    <w:qFormat/>
    <w:uiPriority w:val="0"/>
    <w:rPr>
      <w:rFonts w:ascii="Courier New" w:hAnsi="Courier New"/>
    </w:rPr>
  </w:style>
  <w:style w:type="paragraph" w:customStyle="1" w:styleId="30">
    <w:name w:val="段"/>
    <w:next w:val="1"/>
    <w:qFormat/>
    <w:uiPriority w:val="99"/>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customStyle="1" w:styleId="31">
    <w:name w:val="章正文"/>
    <w:basedOn w:val="1"/>
    <w:qFormat/>
    <w:uiPriority w:val="0"/>
    <w:pPr>
      <w:spacing w:beforeLines="50" w:after="120" w:line="300" w:lineRule="auto"/>
      <w:ind w:firstLine="480"/>
    </w:pPr>
    <w:rPr>
      <w:rFonts w:ascii="Helvetica" w:hAnsi="Helvetica" w:eastAsia="宋体" w:cs="Times New Roman"/>
    </w:rPr>
  </w:style>
  <w:style w:type="paragraph" w:customStyle="1" w:styleId="32">
    <w:name w:val="Default"/>
    <w:next w:val="33"/>
    <w:qFormat/>
    <w:uiPriority w:val="0"/>
    <w:pPr>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33">
    <w:name w:val="大标题"/>
    <w:basedOn w:val="1"/>
    <w:next w:val="22"/>
    <w:qFormat/>
    <w:uiPriority w:val="0"/>
    <w:pPr>
      <w:jc w:val="center"/>
    </w:pPr>
    <w:rPr>
      <w:rFonts w:ascii="Arial" w:hAnsi="Arial" w:eastAsia="宋体" w:cs="Times New Roman"/>
      <w:b/>
      <w:sz w:val="28"/>
      <w:szCs w:val="24"/>
    </w:rPr>
  </w:style>
  <w:style w:type="paragraph" w:customStyle="1" w:styleId="34">
    <w:name w:val="正文（缩进）"/>
    <w:basedOn w:val="1"/>
    <w:qFormat/>
    <w:uiPriority w:val="0"/>
    <w:pPr>
      <w:spacing w:beforeLines="50" w:afterLines="50"/>
      <w:ind w:firstLine="480"/>
    </w:pPr>
    <w:rPr>
      <w:sz w:val="24"/>
    </w:rPr>
  </w:style>
  <w:style w:type="paragraph" w:customStyle="1" w:styleId="35">
    <w:name w:val="正文缩进1"/>
    <w:basedOn w:val="1"/>
    <w:qFormat/>
    <w:uiPriority w:val="0"/>
    <w:pPr>
      <w:ind w:firstLine="420" w:firstLineChars="200"/>
    </w:p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p0"/>
    <w:basedOn w:val="1"/>
    <w:qFormat/>
    <w:uiPriority w:val="0"/>
    <w:pPr>
      <w:widowControl/>
    </w:pPr>
    <w:rPr>
      <w:kern w:val="0"/>
      <w:szCs w:val="21"/>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Char1"/>
    <w:basedOn w:val="1"/>
    <w:qFormat/>
    <w:uiPriority w:val="0"/>
    <w:rPr>
      <w:szCs w:val="21"/>
    </w:rPr>
  </w:style>
  <w:style w:type="paragraph" w:styleId="41">
    <w:name w:val="List Paragraph"/>
    <w:basedOn w:val="1"/>
    <w:qFormat/>
    <w:uiPriority w:val="34"/>
    <w:pPr>
      <w:ind w:firstLine="420" w:firstLineChars="200"/>
    </w:pPr>
  </w:style>
  <w:style w:type="paragraph" w:customStyle="1" w:styleId="42">
    <w:name w:val="Other|1"/>
    <w:basedOn w:val="1"/>
    <w:qFormat/>
    <w:uiPriority w:val="0"/>
    <w:rPr>
      <w:rFonts w:ascii="宋体" w:hAnsi="宋体" w:eastAsia="宋体" w:cs="宋体"/>
      <w:sz w:val="17"/>
      <w:szCs w:val="17"/>
      <w:lang w:val="zh-CN" w:eastAsia="zh-CN" w:bidi="zh-CN"/>
    </w:rPr>
  </w:style>
  <w:style w:type="paragraph" w:customStyle="1" w:styleId="43">
    <w:name w:val="Body text|1"/>
    <w:basedOn w:val="1"/>
    <w:qFormat/>
    <w:uiPriority w:val="0"/>
    <w:rPr>
      <w:rFonts w:ascii="宋体" w:hAnsi="宋体" w:eastAsia="宋体" w:cs="宋体"/>
      <w:sz w:val="19"/>
      <w:szCs w:val="19"/>
      <w:lang w:val="zh-CN" w:eastAsia="zh-CN" w:bidi="zh-CN"/>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61"/>
    <w:basedOn w:val="25"/>
    <w:qFormat/>
    <w:uiPriority w:val="0"/>
    <w:rPr>
      <w:rFonts w:hint="default" w:ascii="Arial" w:hAnsi="Arial" w:cs="Arial"/>
      <w:color w:val="000000"/>
      <w:sz w:val="22"/>
      <w:szCs w:val="22"/>
      <w:u w:val="none"/>
    </w:rPr>
  </w:style>
  <w:style w:type="character" w:customStyle="1" w:styleId="46">
    <w:name w:val="font11"/>
    <w:basedOn w:val="25"/>
    <w:qFormat/>
    <w:uiPriority w:val="0"/>
    <w:rPr>
      <w:rFonts w:hint="eastAsia" w:ascii="宋体" w:hAnsi="宋体" w:eastAsia="宋体" w:cs="宋体"/>
      <w:color w:val="000000"/>
      <w:sz w:val="22"/>
      <w:szCs w:val="22"/>
      <w:u w:val="none"/>
    </w:rPr>
  </w:style>
  <w:style w:type="paragraph" w:customStyle="1" w:styleId="47">
    <w:name w:val="UP正文"/>
    <w:basedOn w:val="1"/>
    <w:qFormat/>
    <w:uiPriority w:val="0"/>
    <w:pPr>
      <w:spacing w:line="360" w:lineRule="auto"/>
      <w:ind w:left="420" w:leftChars="200" w:firstLine="420" w:firstLineChars="200"/>
    </w:pPr>
    <w:rPr>
      <w:rFonts w:ascii="Tahoma" w:hAnsi="Calibri"/>
      <w:szCs w:val="20"/>
    </w:rPr>
  </w:style>
  <w:style w:type="character" w:customStyle="1" w:styleId="48">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9">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50">
    <w:name w:val="font51"/>
    <w:basedOn w:val="25"/>
    <w:qFormat/>
    <w:uiPriority w:val="0"/>
    <w:rPr>
      <w:rFonts w:hint="eastAsia" w:ascii="宋体" w:hAnsi="宋体" w:eastAsia="宋体" w:cs="宋体"/>
      <w:color w:val="000000"/>
      <w:sz w:val="20"/>
      <w:szCs w:val="20"/>
      <w:u w:val="none"/>
    </w:rPr>
  </w:style>
  <w:style w:type="character" w:customStyle="1" w:styleId="51">
    <w:name w:val="font41"/>
    <w:basedOn w:val="25"/>
    <w:qFormat/>
    <w:uiPriority w:val="0"/>
    <w:rPr>
      <w:rFonts w:hint="eastAsia" w:ascii="宋体" w:hAnsi="宋体" w:eastAsia="宋体" w:cs="宋体"/>
      <w:color w:val="000000"/>
      <w:sz w:val="20"/>
      <w:szCs w:val="20"/>
      <w:u w:val="none"/>
    </w:rPr>
  </w:style>
  <w:style w:type="character" w:customStyle="1" w:styleId="52">
    <w:name w:val="font31"/>
    <w:basedOn w:val="25"/>
    <w:qFormat/>
    <w:uiPriority w:val="0"/>
    <w:rPr>
      <w:rFonts w:hint="eastAsia" w:ascii="宋体" w:hAnsi="宋体" w:eastAsia="宋体" w:cs="宋体"/>
      <w:color w:val="000000"/>
      <w:sz w:val="22"/>
      <w:szCs w:val="22"/>
      <w:u w:val="none"/>
    </w:rPr>
  </w:style>
  <w:style w:type="character" w:customStyle="1" w:styleId="53">
    <w:name w:val="font01"/>
    <w:basedOn w:val="25"/>
    <w:qFormat/>
    <w:uiPriority w:val="0"/>
    <w:rPr>
      <w:rFonts w:hint="eastAsia" w:ascii="宋体" w:hAnsi="宋体" w:eastAsia="宋体" w:cs="宋体"/>
      <w:color w:val="000000"/>
      <w:sz w:val="21"/>
      <w:szCs w:val="21"/>
      <w:u w:val="none"/>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paragraph" w:customStyle="1" w:styleId="55">
    <w:name w:val="彩色列表1"/>
    <w:basedOn w:val="1"/>
    <w:qFormat/>
    <w:uiPriority w:val="0"/>
    <w:pPr>
      <w:ind w:firstLine="420" w:firstLineChars="200"/>
    </w:pPr>
    <w:rPr>
      <w:rFonts w:ascii="Times New Roman" w:hAnsi="Times New Roman" w:eastAsia="宋体" w:cs="Times New Roman"/>
    </w:rPr>
  </w:style>
  <w:style w:type="character" w:customStyle="1" w:styleId="56">
    <w:name w:val="font21"/>
    <w:basedOn w:val="25"/>
    <w:qFormat/>
    <w:uiPriority w:val="0"/>
    <w:rPr>
      <w:rFonts w:hint="eastAsia" w:ascii="仿宋" w:hAnsi="仿宋" w:eastAsia="仿宋" w:cs="仿宋"/>
      <w:color w:val="000000"/>
      <w:sz w:val="22"/>
      <w:szCs w:val="22"/>
      <w:u w:val="none"/>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_0_0_0_0"/>
    <w:qFormat/>
    <w:uiPriority w:val="0"/>
    <w:pPr>
      <w:widowControl w:val="0"/>
      <w:spacing w:line="360" w:lineRule="auto"/>
      <w:jc w:val="both"/>
    </w:pPr>
    <w:rPr>
      <w:rFonts w:ascii="Calibri" w:hAnsi="Calibri" w:eastAsia="仿宋_GB2312" w:cs="Times New Roman"/>
      <w:kern w:val="2"/>
      <w:sz w:val="24"/>
      <w:szCs w:val="22"/>
      <w:lang w:val="en-US" w:eastAsia="zh-CN" w:bidi="ar-SA"/>
    </w:rPr>
  </w:style>
  <w:style w:type="paragraph" w:customStyle="1" w:styleId="59">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font81"/>
    <w:basedOn w:val="25"/>
    <w:qFormat/>
    <w:uiPriority w:val="0"/>
    <w:rPr>
      <w:rFonts w:hint="eastAsia" w:ascii="宋体" w:hAnsi="宋体" w:eastAsia="宋体" w:cs="宋体"/>
      <w:color w:val="FF0000"/>
      <w:sz w:val="20"/>
      <w:szCs w:val="20"/>
      <w:u w:val="none"/>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WPSOffice手动目录 2"/>
    <w:qFormat/>
    <w:uiPriority w:val="0"/>
    <w:pPr>
      <w:ind w:leftChars="200"/>
    </w:pPr>
    <w:rPr>
      <w:rFonts w:ascii="Times New Roman" w:hAnsi="Times New Roman" w:eastAsia="宋体" w:cs="Times New Roman"/>
      <w:sz w:val="20"/>
      <w:szCs w:val="20"/>
    </w:rPr>
  </w:style>
  <w:style w:type="paragraph" w:customStyle="1" w:styleId="63">
    <w:name w:val="Heading2"/>
    <w:basedOn w:val="1"/>
    <w:next w:val="64"/>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64">
    <w:name w:val="NormalIndent"/>
    <w:basedOn w:val="1"/>
    <w:qFormat/>
    <w:uiPriority w:val="0"/>
    <w:pPr>
      <w:ind w:firstLine="420"/>
      <w:jc w:val="left"/>
      <w:textAlignment w:val="baseline"/>
    </w:pPr>
    <w:rPr>
      <w:rFonts w:ascii="宋体"/>
      <w:kern w:val="0"/>
      <w:sz w:val="24"/>
      <w:szCs w:val="20"/>
      <w:lang w:val="en-US" w:eastAsia="zh-CN" w:bidi="ar-SA"/>
    </w:rPr>
  </w:style>
  <w:style w:type="paragraph" w:customStyle="1" w:styleId="6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33468</Words>
  <Characters>35728</Characters>
  <Lines>0</Lines>
  <Paragraphs>0</Paragraphs>
  <TotalTime>0</TotalTime>
  <ScaleCrop>false</ScaleCrop>
  <LinksUpToDate>false</LinksUpToDate>
  <CharactersWithSpaces>36086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2020-12-22T10:25:00Z</dcterms:created>
  <dc:creator>吴涛</dc:creator>
  <cp:lastModifiedBy>admin</cp:lastModifiedBy>
  <cp:lastPrinted>2024-06-27T10:59:00Z</cp:lastPrinted>
  <dcterms:modified xsi:type="dcterms:W3CDTF">2026-04-22T09:04:07Z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EE4440D110C941E9BCB309F39464C4CD_13</vt:lpwstr>
  </property>
  <property fmtid="{D5CDD505-2E9C-101B-9397-08002B2CF9AE}" pid="4" name="KSOTemplateDocerSaveRecord">
    <vt:lpwstr>eyJoZGlkIjoiOWMwOGY3YTMxMmFiZDI4MGUxZmI4Njk2NjdlOWQ1MTIiLCJ1c2VySWQiOiIzOTcyMzQwMjEifQ==</vt:lpwstr>
  </property>
</Properties>
</file>