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4FA28">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黑体" w:hAnsi="黑体" w:eastAsia="黑体" w:cs="黑体"/>
          <w:b/>
          <w:color w:val="auto"/>
          <w:sz w:val="84"/>
          <w:szCs w:val="84"/>
          <w:lang w:val="en-US" w:eastAsia="zh-CN"/>
        </w:rPr>
      </w:pPr>
      <w:r>
        <w:rPr>
          <w:rFonts w:hint="eastAsia" w:ascii="黑体" w:hAnsi="黑体" w:eastAsia="黑体" w:cs="黑体"/>
          <w:b/>
          <w:bCs/>
          <w:color w:val="auto"/>
          <w:spacing w:val="0"/>
          <w:sz w:val="44"/>
          <w:szCs w:val="44"/>
          <w:lang w:val="en-US" w:eastAsia="zh-CN"/>
        </w:rPr>
        <w:t>临沧市2026年度无线电监测设施设备运行保障及专业维修维护技术服务</w:t>
      </w:r>
    </w:p>
    <w:p w14:paraId="0612F197">
      <w:pPr>
        <w:spacing w:line="1880" w:lineRule="exact"/>
        <w:jc w:val="center"/>
        <w:rPr>
          <w:rFonts w:hint="eastAsia" w:ascii="黑体" w:hAnsi="黑体" w:eastAsia="黑体" w:cs="黑体"/>
          <w:b/>
          <w:color w:val="auto"/>
          <w:sz w:val="84"/>
          <w:szCs w:val="84"/>
          <w:lang w:eastAsia="zh-CN"/>
        </w:rPr>
      </w:pPr>
    </w:p>
    <w:p w14:paraId="1E241423">
      <w:pPr>
        <w:spacing w:line="1880" w:lineRule="exact"/>
        <w:jc w:val="center"/>
        <w:rPr>
          <w:rFonts w:hint="eastAsia" w:ascii="黑体" w:hAnsi="黑体" w:eastAsia="黑体" w:cs="黑体"/>
          <w:b/>
          <w:color w:val="auto"/>
          <w:sz w:val="72"/>
          <w:szCs w:val="96"/>
          <w:highlight w:val="none"/>
        </w:rPr>
      </w:pPr>
      <w:r>
        <w:rPr>
          <w:rFonts w:hint="eastAsia" w:ascii="黑体" w:hAnsi="黑体" w:eastAsia="黑体" w:cs="黑体"/>
          <w:b/>
          <w:color w:val="auto"/>
          <w:sz w:val="84"/>
          <w:szCs w:val="84"/>
          <w:lang w:eastAsia="zh-CN"/>
        </w:rPr>
        <w:t>竞争性磋商</w:t>
      </w:r>
      <w:r>
        <w:rPr>
          <w:rFonts w:hint="eastAsia" w:ascii="黑体" w:hAnsi="黑体" w:eastAsia="黑体" w:cs="黑体"/>
          <w:b/>
          <w:color w:val="auto"/>
          <w:sz w:val="84"/>
          <w:szCs w:val="84"/>
        </w:rPr>
        <w:t>文件</w:t>
      </w:r>
    </w:p>
    <w:p w14:paraId="0E75D402">
      <w:pPr>
        <w:pStyle w:val="14"/>
        <w:jc w:val="center"/>
        <w:rPr>
          <w:rFonts w:hint="eastAsia" w:ascii="黑体" w:hAnsi="黑体" w:eastAsia="黑体" w:cs="黑体"/>
          <w:b/>
          <w:bCs/>
          <w:color w:val="auto"/>
          <w:sz w:val="28"/>
          <w:szCs w:val="28"/>
          <w:highlight w:val="none"/>
          <w:lang w:eastAsia="zh-CN"/>
        </w:rPr>
      </w:pPr>
    </w:p>
    <w:p w14:paraId="4297E2C0">
      <w:pPr>
        <w:pStyle w:val="24"/>
        <w:ind w:left="0" w:leftChars="0" w:firstLine="0" w:firstLineChars="0"/>
        <w:jc w:val="center"/>
        <w:rPr>
          <w:rFonts w:hint="eastAsia" w:ascii="黑体" w:hAnsi="黑体" w:eastAsia="黑体" w:cs="黑体"/>
          <w:color w:val="auto"/>
          <w:lang w:val="en-US" w:eastAsia="zh-CN"/>
        </w:rPr>
      </w:pPr>
      <w:r>
        <w:rPr>
          <w:rFonts w:hint="eastAsia" w:ascii="黑体" w:hAnsi="黑体" w:eastAsia="黑体" w:cs="黑体"/>
          <w:b/>
          <w:bCs/>
          <w:color w:val="auto"/>
          <w:sz w:val="28"/>
          <w:szCs w:val="28"/>
          <w:highlight w:val="none"/>
          <w:lang w:eastAsia="zh-CN"/>
        </w:rPr>
        <w:t>项目</w:t>
      </w:r>
      <w:r>
        <w:rPr>
          <w:rFonts w:hint="eastAsia" w:ascii="黑体" w:hAnsi="黑体" w:eastAsia="黑体" w:cs="黑体"/>
          <w:b/>
          <w:bCs/>
          <w:color w:val="auto"/>
          <w:sz w:val="28"/>
          <w:szCs w:val="28"/>
          <w:highlight w:val="none"/>
        </w:rPr>
        <w:t>编号</w:t>
      </w:r>
      <w:r>
        <w:rPr>
          <w:rFonts w:hint="eastAsia" w:ascii="黑体" w:hAnsi="黑体" w:eastAsia="黑体" w:cs="黑体"/>
          <w:b/>
          <w:bCs/>
          <w:color w:val="auto"/>
          <w:sz w:val="28"/>
          <w:szCs w:val="28"/>
          <w:highlight w:val="none"/>
          <w:lang w:eastAsia="zh-CN"/>
        </w:rPr>
        <w:t>：LCZC2026-C3-00392-YNWH-0010</w:t>
      </w:r>
    </w:p>
    <w:p w14:paraId="282CEDCA">
      <w:pPr>
        <w:tabs>
          <w:tab w:val="left" w:pos="1473"/>
          <w:tab w:val="left" w:pos="1709"/>
        </w:tabs>
        <w:spacing w:line="720" w:lineRule="exact"/>
        <w:ind w:firstLine="2673" w:firstLineChars="951"/>
        <w:jc w:val="left"/>
        <w:rPr>
          <w:rFonts w:hint="eastAsia" w:ascii="黑体" w:hAnsi="黑体" w:eastAsia="黑体" w:cs="黑体"/>
          <w:b/>
          <w:color w:val="auto"/>
          <w:sz w:val="28"/>
        </w:rPr>
      </w:pPr>
    </w:p>
    <w:p w14:paraId="57442980">
      <w:pPr>
        <w:spacing w:line="360" w:lineRule="auto"/>
        <w:rPr>
          <w:rFonts w:hint="eastAsia" w:ascii="黑体" w:hAnsi="黑体" w:eastAsia="黑体" w:cs="黑体"/>
          <w:b/>
          <w:color w:val="auto"/>
          <w:sz w:val="28"/>
          <w:szCs w:val="28"/>
        </w:rPr>
      </w:pPr>
    </w:p>
    <w:p w14:paraId="003D3E0F">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eastAsia" w:ascii="黑体" w:hAnsi="黑体" w:eastAsia="黑体" w:cs="黑体"/>
          <w:b/>
          <w:color w:val="auto"/>
          <w:sz w:val="32"/>
          <w:szCs w:val="32"/>
        </w:rPr>
      </w:pPr>
    </w:p>
    <w:p w14:paraId="2C3D8245">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9"/>
        <w:rPr>
          <w:rFonts w:hint="eastAsia" w:ascii="黑体" w:hAnsi="黑体" w:eastAsia="黑体" w:cs="黑体"/>
          <w:b/>
          <w:color w:val="auto"/>
          <w:sz w:val="32"/>
          <w:szCs w:val="32"/>
          <w:u w:val="none"/>
        </w:rPr>
      </w:pPr>
    </w:p>
    <w:p w14:paraId="3A526441">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9"/>
        <w:rPr>
          <w:rFonts w:hint="eastAsia" w:ascii="黑体" w:hAnsi="黑体" w:eastAsia="黑体" w:cs="黑体"/>
          <w:b/>
          <w:color w:val="auto"/>
          <w:sz w:val="32"/>
          <w:szCs w:val="32"/>
          <w:u w:val="none"/>
        </w:rPr>
      </w:pPr>
    </w:p>
    <w:p w14:paraId="7EAD0F55">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9"/>
        <w:rPr>
          <w:rFonts w:hint="eastAsia" w:ascii="黑体" w:hAnsi="黑体" w:eastAsia="黑体" w:cs="黑体"/>
          <w:b/>
          <w:color w:val="auto"/>
          <w:sz w:val="32"/>
          <w:szCs w:val="32"/>
          <w:u w:val="none"/>
          <w:lang w:val="en-US" w:eastAsia="zh-CN"/>
        </w:rPr>
      </w:pPr>
      <w:r>
        <w:rPr>
          <w:rFonts w:hint="eastAsia" w:ascii="黑体" w:hAnsi="黑体" w:eastAsia="黑体" w:cs="黑体"/>
          <w:b/>
          <w:color w:val="auto"/>
          <w:sz w:val="32"/>
          <w:szCs w:val="32"/>
          <w:u w:val="none"/>
        </w:rPr>
        <w:t>采</w:t>
      </w:r>
      <w:r>
        <w:rPr>
          <w:rFonts w:hint="eastAsia" w:ascii="黑体" w:hAnsi="黑体" w:eastAsia="黑体" w:cs="黑体"/>
          <w:b/>
          <w:color w:val="auto"/>
          <w:sz w:val="32"/>
          <w:szCs w:val="32"/>
          <w:u w:val="none"/>
          <w:lang w:val="en-US" w:eastAsia="zh-CN"/>
        </w:rPr>
        <w:t xml:space="preserve">   </w:t>
      </w:r>
      <w:r>
        <w:rPr>
          <w:rFonts w:hint="eastAsia" w:ascii="黑体" w:hAnsi="黑体" w:eastAsia="黑体" w:cs="黑体"/>
          <w:b/>
          <w:color w:val="auto"/>
          <w:sz w:val="32"/>
          <w:szCs w:val="32"/>
          <w:u w:val="none"/>
        </w:rPr>
        <w:t>购</w:t>
      </w:r>
      <w:r>
        <w:rPr>
          <w:rFonts w:hint="eastAsia" w:ascii="黑体" w:hAnsi="黑体" w:eastAsia="黑体" w:cs="黑体"/>
          <w:b/>
          <w:color w:val="auto"/>
          <w:sz w:val="32"/>
          <w:szCs w:val="32"/>
          <w:u w:val="none"/>
          <w:lang w:val="en-US" w:eastAsia="zh-CN"/>
        </w:rPr>
        <w:t xml:space="preserve">   </w:t>
      </w:r>
      <w:r>
        <w:rPr>
          <w:rFonts w:hint="eastAsia" w:ascii="黑体" w:hAnsi="黑体" w:eastAsia="黑体" w:cs="黑体"/>
          <w:b/>
          <w:color w:val="auto"/>
          <w:sz w:val="32"/>
          <w:szCs w:val="32"/>
          <w:u w:val="none"/>
        </w:rPr>
        <w:t>人：</w:t>
      </w:r>
      <w:r>
        <w:rPr>
          <w:rFonts w:hint="eastAsia" w:ascii="黑体" w:hAnsi="黑体" w:eastAsia="黑体" w:cs="黑体"/>
          <w:b/>
          <w:color w:val="auto"/>
          <w:sz w:val="32"/>
          <w:szCs w:val="32"/>
          <w:u w:val="none"/>
          <w:lang w:eastAsia="zh-CN"/>
        </w:rPr>
        <w:t>临沧市工业和信息化局</w:t>
      </w:r>
    </w:p>
    <w:p w14:paraId="48F3B2F9">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9"/>
        <w:rPr>
          <w:rFonts w:hint="eastAsia" w:ascii="黑体" w:hAnsi="黑体" w:eastAsia="黑体" w:cs="黑体"/>
          <w:b/>
          <w:color w:val="auto"/>
          <w:sz w:val="32"/>
          <w:szCs w:val="32"/>
          <w:u w:val="none"/>
          <w:lang w:eastAsia="zh-CN"/>
        </w:rPr>
      </w:pPr>
      <w:r>
        <w:rPr>
          <w:rFonts w:hint="eastAsia" w:ascii="黑体" w:hAnsi="黑体" w:eastAsia="黑体" w:cs="黑体"/>
          <w:b/>
          <w:color w:val="auto"/>
          <w:sz w:val="32"/>
          <w:szCs w:val="32"/>
          <w:u w:val="none"/>
          <w:lang w:eastAsia="zh-CN"/>
        </w:rPr>
        <w:t>采购</w:t>
      </w:r>
      <w:r>
        <w:rPr>
          <w:rFonts w:hint="eastAsia" w:ascii="黑体" w:hAnsi="黑体" w:eastAsia="黑体" w:cs="黑体"/>
          <w:b/>
          <w:color w:val="auto"/>
          <w:sz w:val="32"/>
          <w:szCs w:val="32"/>
          <w:u w:val="none"/>
        </w:rPr>
        <w:t>代理机构：</w:t>
      </w:r>
      <w:r>
        <w:rPr>
          <w:rFonts w:hint="eastAsia" w:ascii="黑体" w:hAnsi="黑体" w:eastAsia="黑体" w:cs="黑体"/>
          <w:b/>
          <w:color w:val="auto"/>
          <w:sz w:val="32"/>
          <w:szCs w:val="32"/>
          <w:u w:val="none"/>
          <w:lang w:eastAsia="zh-CN"/>
        </w:rPr>
        <w:t>云南万合工程管理有限公司</w:t>
      </w:r>
    </w:p>
    <w:p w14:paraId="79A0BED8">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9"/>
        <w:rPr>
          <w:rFonts w:hint="eastAsia" w:ascii="黑体" w:hAnsi="黑体" w:eastAsia="黑体" w:cs="黑体"/>
          <w:b/>
          <w:color w:val="auto"/>
          <w:sz w:val="44"/>
          <w:lang w:val="en-US" w:eastAsia="zh-CN"/>
        </w:rPr>
        <w:sectPr>
          <w:footerReference r:id="rId5" w:type="first"/>
          <w:footerReference r:id="rId3" w:type="default"/>
          <w:footerReference r:id="rId4" w:type="even"/>
          <w:pgSz w:w="11906" w:h="16838"/>
          <w:pgMar w:top="1440" w:right="1080" w:bottom="1440" w:left="1080" w:header="851" w:footer="851" w:gutter="0"/>
          <w:pgNumType w:fmt="numberInDash" w:start="0"/>
          <w:cols w:space="708" w:num="1"/>
          <w:titlePg/>
          <w:docGrid w:linePitch="312" w:charSpace="0"/>
        </w:sectPr>
      </w:pPr>
      <w:r>
        <w:rPr>
          <w:rFonts w:hint="eastAsia" w:ascii="黑体" w:hAnsi="黑体" w:eastAsia="黑体" w:cs="黑体"/>
          <w:b/>
          <w:color w:val="auto"/>
          <w:sz w:val="32"/>
          <w:szCs w:val="32"/>
          <w:u w:val="none"/>
        </w:rPr>
        <w:t>日</w:t>
      </w:r>
      <w:r>
        <w:rPr>
          <w:rFonts w:hint="eastAsia" w:ascii="黑体" w:hAnsi="黑体" w:eastAsia="黑体" w:cs="黑体"/>
          <w:b/>
          <w:color w:val="auto"/>
          <w:sz w:val="32"/>
          <w:szCs w:val="32"/>
          <w:u w:val="none"/>
          <w:lang w:val="en-US" w:eastAsia="zh-CN"/>
        </w:rPr>
        <w:t xml:space="preserve">        </w:t>
      </w:r>
      <w:r>
        <w:rPr>
          <w:rFonts w:hint="eastAsia" w:ascii="黑体" w:hAnsi="黑体" w:eastAsia="黑体" w:cs="黑体"/>
          <w:b/>
          <w:color w:val="auto"/>
          <w:sz w:val="32"/>
          <w:szCs w:val="32"/>
          <w:u w:val="none"/>
        </w:rPr>
        <w:t>期：</w:t>
      </w:r>
      <w:r>
        <w:rPr>
          <w:rFonts w:hint="eastAsia" w:ascii="黑体" w:hAnsi="黑体" w:eastAsia="黑体" w:cs="黑体"/>
          <w:b/>
          <w:color w:val="auto"/>
          <w:sz w:val="32"/>
          <w:szCs w:val="32"/>
          <w:u w:val="none"/>
          <w:lang w:eastAsia="zh-CN"/>
        </w:rPr>
        <w:t>2026年5月</w:t>
      </w:r>
    </w:p>
    <w:sdt>
      <w:sdtPr>
        <w:rPr>
          <w:rFonts w:hint="eastAsia" w:ascii="宋体" w:hAnsi="宋体" w:eastAsia="宋体" w:cs="宋体"/>
          <w:kern w:val="2"/>
          <w:sz w:val="48"/>
          <w:szCs w:val="44"/>
          <w:lang w:val="en-US" w:eastAsia="zh-CN" w:bidi="ar-SA"/>
        </w:rPr>
        <w:id w:val="147456422"/>
        <w15:color w:val="DBDBDB"/>
      </w:sdtPr>
      <w:sdtEndPr>
        <w:rPr>
          <w:rFonts w:hint="eastAsia" w:ascii="宋体" w:hAnsi="宋体" w:eastAsia="宋体" w:cs="宋体"/>
          <w:bCs/>
          <w:color w:val="000000"/>
          <w:kern w:val="2"/>
          <w:sz w:val="24"/>
          <w:szCs w:val="22"/>
          <w:lang w:val="en-US" w:eastAsia="zh-CN" w:bidi="ar-SA"/>
        </w:rPr>
      </w:sdtEndPr>
      <w:sdtContent>
        <w:p w14:paraId="2BB7E6B0">
          <w:pPr>
            <w:spacing w:before="0" w:beforeLines="0" w:after="0" w:afterLines="0" w:line="240" w:lineRule="auto"/>
            <w:ind w:left="0" w:leftChars="0" w:right="0" w:rightChars="0" w:firstLine="0" w:firstLineChars="0"/>
            <w:jc w:val="center"/>
            <w:rPr>
              <w:rFonts w:hint="eastAsia" w:ascii="宋体" w:hAnsi="宋体" w:eastAsia="宋体" w:cs="宋体"/>
              <w:sz w:val="48"/>
              <w:szCs w:val="44"/>
            </w:rPr>
          </w:pPr>
          <w:r>
            <w:rPr>
              <w:rFonts w:hint="eastAsia" w:ascii="宋体" w:hAnsi="宋体" w:eastAsia="宋体" w:cs="宋体"/>
              <w:sz w:val="48"/>
              <w:szCs w:val="44"/>
            </w:rPr>
            <w:t>目录</w:t>
          </w:r>
        </w:p>
        <w:p w14:paraId="0558BB4C">
          <w:pPr>
            <w:pStyle w:val="18"/>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_Toc20532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第一章</w:t>
          </w:r>
          <w:r>
            <w:rPr>
              <w:rFonts w:hint="eastAsia" w:ascii="宋体" w:hAnsi="宋体" w:eastAsia="宋体" w:cs="宋体"/>
              <w:b w:val="0"/>
              <w:bCs/>
              <w:i w:val="0"/>
              <w:iCs w:val="0"/>
              <w:sz w:val="24"/>
              <w:szCs w:val="24"/>
              <w:lang w:eastAsia="zh-CN"/>
            </w:rPr>
            <w:t>竞争性磋商公告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_Toc20532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3BA8F04">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_Toc7040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一、项目基本情况</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_Toc7040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B5C7B37">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_Toc14115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二、申请人的资格要求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_Toc14115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D3654E8">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_Toc23056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三、获取采购文件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_Toc23056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E4F6712">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_Toc1145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四、响应文件提交</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_Toc1145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EA1002C">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_Toc11681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五、开启</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_Toc11681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784AE32">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_Toc21302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六、公告期限</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_Toc21302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0FCF248">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_Toc28863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七、 其他补充事宜</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_Toc28863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D77535B">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_Toc22782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八、凡对本次采购提出询问，请按以下方式联系</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_Toc22782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CDAFB66">
          <w:pPr>
            <w:pStyle w:val="18"/>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_Toc23201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第二章</w:t>
          </w:r>
          <w:r>
            <w:rPr>
              <w:rFonts w:hint="eastAsia" w:ascii="宋体" w:hAnsi="宋体" w:eastAsia="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eastAsia="zh-CN"/>
            </w:rPr>
            <w:t>供应商</w:t>
          </w:r>
          <w:r>
            <w:rPr>
              <w:rFonts w:hint="eastAsia" w:ascii="宋体" w:hAnsi="宋体" w:eastAsia="宋体" w:cs="宋体"/>
              <w:b w:val="0"/>
              <w:bCs/>
              <w:i w:val="0"/>
              <w:iCs w:val="0"/>
              <w:sz w:val="24"/>
              <w:szCs w:val="24"/>
            </w:rPr>
            <w:t>须知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_Toc23201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B875A58">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_Toc28614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供应商须知前附表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_Toc28614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0E89FC6">
          <w:pPr>
            <w:pStyle w:val="18"/>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_Toc18076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pacing w:val="0"/>
              <w:sz w:val="24"/>
              <w:szCs w:val="24"/>
            </w:rPr>
            <w:t>第三章</w:t>
          </w:r>
          <w:r>
            <w:rPr>
              <w:rFonts w:hint="eastAsia" w:ascii="宋体" w:hAnsi="宋体" w:eastAsia="宋体" w:cs="宋体"/>
              <w:b w:val="0"/>
              <w:bCs/>
              <w:i w:val="0"/>
              <w:iCs w:val="0"/>
              <w:spacing w:val="0"/>
              <w:sz w:val="24"/>
              <w:szCs w:val="24"/>
              <w:lang w:val="en-US" w:eastAsia="zh-CN"/>
            </w:rPr>
            <w:t xml:space="preserve"> </w:t>
          </w:r>
          <w:r>
            <w:rPr>
              <w:rFonts w:hint="eastAsia" w:ascii="宋体" w:hAnsi="宋体" w:eastAsia="宋体" w:cs="宋体"/>
              <w:b w:val="0"/>
              <w:bCs/>
              <w:i w:val="0"/>
              <w:iCs w:val="0"/>
              <w:spacing w:val="0"/>
              <w:sz w:val="24"/>
              <w:szCs w:val="24"/>
            </w:rPr>
            <w:t>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_Toc18076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E226D95">
          <w:pPr>
            <w:pStyle w:val="18"/>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_Toc4604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pacing w:val="0"/>
              <w:sz w:val="24"/>
              <w:szCs w:val="24"/>
            </w:rPr>
            <w:t>第四章  响应性文件格式（部分）</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_Toc4604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01DE07D">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_Toc18472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eastAsia="zh-CN"/>
            </w:rPr>
            <w:t>一、磋商</w:t>
          </w:r>
          <w:r>
            <w:rPr>
              <w:rFonts w:hint="eastAsia" w:ascii="宋体" w:hAnsi="宋体" w:eastAsia="宋体" w:cs="宋体"/>
              <w:b w:val="0"/>
              <w:bCs/>
              <w:i w:val="0"/>
              <w:iCs w:val="0"/>
              <w:sz w:val="24"/>
              <w:szCs w:val="24"/>
            </w:rPr>
            <w:t>报价</w:t>
          </w:r>
          <w:r>
            <w:rPr>
              <w:rFonts w:hint="eastAsia" w:ascii="宋体" w:hAnsi="宋体" w:eastAsia="宋体" w:cs="宋体"/>
              <w:b w:val="0"/>
              <w:bCs/>
              <w:i w:val="0"/>
              <w:iCs w:val="0"/>
              <w:sz w:val="24"/>
              <w:szCs w:val="24"/>
              <w:lang w:val="en-US" w:eastAsia="zh-CN"/>
            </w:rPr>
            <w:t>一览</w:t>
          </w:r>
          <w:r>
            <w:rPr>
              <w:rFonts w:hint="eastAsia" w:ascii="宋体" w:hAnsi="宋体" w:eastAsia="宋体" w:cs="宋体"/>
              <w:b w:val="0"/>
              <w:bCs/>
              <w:i w:val="0"/>
              <w:iCs w:val="0"/>
              <w:sz w:val="24"/>
              <w:szCs w:val="24"/>
              <w:lang w:eastAsia="zh-CN"/>
            </w:rPr>
            <w:t>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_Toc18472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80D9112">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_Toc1263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二、</w:t>
          </w:r>
          <w:r>
            <w:rPr>
              <w:rFonts w:hint="eastAsia" w:ascii="宋体" w:hAnsi="宋体" w:eastAsia="宋体" w:cs="宋体"/>
              <w:b w:val="0"/>
              <w:bCs/>
              <w:i w:val="0"/>
              <w:iCs w:val="0"/>
              <w:sz w:val="24"/>
              <w:szCs w:val="24"/>
              <w:lang w:eastAsia="zh-CN"/>
            </w:rPr>
            <w:t>磋商申请</w:t>
          </w:r>
          <w:r>
            <w:rPr>
              <w:rFonts w:hint="eastAsia" w:ascii="宋体" w:hAnsi="宋体" w:eastAsia="宋体" w:cs="宋体"/>
              <w:b w:val="0"/>
              <w:bCs/>
              <w:i w:val="0"/>
              <w:iCs w:val="0"/>
              <w:sz w:val="24"/>
              <w:szCs w:val="24"/>
            </w:rPr>
            <w:t>函</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_Toc1263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27F80CC">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_Toc30759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三、</w:t>
          </w:r>
          <w:r>
            <w:rPr>
              <w:rFonts w:hint="eastAsia" w:ascii="宋体" w:hAnsi="宋体" w:eastAsia="宋体" w:cs="宋体"/>
              <w:b w:val="0"/>
              <w:bCs/>
              <w:i w:val="0"/>
              <w:iCs w:val="0"/>
              <w:sz w:val="24"/>
              <w:szCs w:val="24"/>
            </w:rPr>
            <w:t>法定代表人身份证明书</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_Toc30759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78ED8CE">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_Toc2949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四、</w:t>
          </w:r>
          <w:r>
            <w:rPr>
              <w:rFonts w:hint="eastAsia" w:ascii="宋体" w:hAnsi="宋体" w:eastAsia="宋体" w:cs="宋体"/>
              <w:b w:val="0"/>
              <w:bCs/>
              <w:i w:val="0"/>
              <w:iCs w:val="0"/>
              <w:sz w:val="24"/>
              <w:szCs w:val="24"/>
            </w:rPr>
            <w:t>法定代表人授权委托书</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_Toc2949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1D0BA5B">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_Toc3405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五、资格证明文件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_Toc3405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D03DD70">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_Toc2937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kern w:val="0"/>
              <w:sz w:val="24"/>
              <w:szCs w:val="24"/>
              <w:lang w:val="en-US" w:eastAsia="zh-CN"/>
            </w:rPr>
            <w:t>六、</w:t>
          </w:r>
          <w:r>
            <w:rPr>
              <w:rFonts w:hint="eastAsia" w:ascii="宋体" w:hAnsi="宋体" w:eastAsia="宋体" w:cs="宋体"/>
              <w:b w:val="0"/>
              <w:bCs/>
              <w:i w:val="0"/>
              <w:iCs w:val="0"/>
              <w:kern w:val="0"/>
              <w:sz w:val="24"/>
              <w:szCs w:val="24"/>
            </w:rPr>
            <w:t>项目管理机构人员</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_Toc2937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E4B943D">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_Toc8410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kern w:val="0"/>
              <w:sz w:val="24"/>
              <w:szCs w:val="24"/>
              <w:lang w:val="en-US" w:eastAsia="zh-CN"/>
            </w:rPr>
            <w:t>七、</w:t>
          </w:r>
          <w:r>
            <w:rPr>
              <w:rFonts w:hint="eastAsia" w:ascii="宋体" w:hAnsi="宋体" w:eastAsia="宋体" w:cs="宋体"/>
              <w:b w:val="0"/>
              <w:bCs/>
              <w:i w:val="0"/>
              <w:iCs w:val="0"/>
              <w:kern w:val="0"/>
              <w:sz w:val="24"/>
              <w:szCs w:val="24"/>
            </w:rPr>
            <w:t>类似项目业绩一览表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_Toc8410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72EE5A7">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_Toc8635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kern w:val="0"/>
              <w:sz w:val="24"/>
              <w:szCs w:val="24"/>
              <w:lang w:val="en-US" w:eastAsia="zh-CN"/>
            </w:rPr>
            <w:t>八、技术</w:t>
          </w:r>
          <w:r>
            <w:rPr>
              <w:rFonts w:hint="eastAsia" w:ascii="宋体" w:hAnsi="宋体" w:eastAsia="宋体" w:cs="宋体"/>
              <w:b w:val="0"/>
              <w:bCs/>
              <w:i w:val="0"/>
              <w:iCs w:val="0"/>
              <w:kern w:val="0"/>
              <w:sz w:val="24"/>
              <w:szCs w:val="24"/>
            </w:rPr>
            <w:t>方案</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_Toc8635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E0AFCA6">
          <w:pPr>
            <w:pStyle w:val="13"/>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_Toc18943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kern w:val="0"/>
              <w:sz w:val="24"/>
              <w:szCs w:val="24"/>
              <w:lang w:val="en-US" w:eastAsia="zh-CN"/>
            </w:rPr>
            <w:t>九、</w:t>
          </w:r>
          <w:r>
            <w:rPr>
              <w:rFonts w:hint="eastAsia" w:ascii="宋体" w:hAnsi="宋体" w:eastAsia="宋体" w:cs="宋体"/>
              <w:b w:val="0"/>
              <w:bCs/>
              <w:i w:val="0"/>
              <w:iCs w:val="0"/>
              <w:kern w:val="0"/>
              <w:sz w:val="24"/>
              <w:szCs w:val="24"/>
            </w:rPr>
            <w:t>构成</w:t>
          </w:r>
          <w:r>
            <w:rPr>
              <w:rFonts w:hint="eastAsia" w:ascii="宋体" w:hAnsi="宋体" w:eastAsia="宋体" w:cs="宋体"/>
              <w:b w:val="0"/>
              <w:bCs/>
              <w:i w:val="0"/>
              <w:iCs w:val="0"/>
              <w:kern w:val="0"/>
              <w:sz w:val="24"/>
              <w:szCs w:val="24"/>
              <w:lang w:eastAsia="zh-CN"/>
            </w:rPr>
            <w:t>响应文件</w:t>
          </w:r>
          <w:r>
            <w:rPr>
              <w:rFonts w:hint="eastAsia" w:ascii="宋体" w:hAnsi="宋体" w:eastAsia="宋体" w:cs="宋体"/>
              <w:b w:val="0"/>
              <w:bCs/>
              <w:i w:val="0"/>
              <w:iCs w:val="0"/>
              <w:kern w:val="0"/>
              <w:sz w:val="24"/>
              <w:szCs w:val="24"/>
            </w:rPr>
            <w:t>的其他资料</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_Toc18943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A7C8FED">
          <w:pPr>
            <w:pStyle w:val="18"/>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_Toc18091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第五章 采购需求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_Toc18091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14EDD05">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_Toc19887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kern w:val="2"/>
              <w:sz w:val="24"/>
              <w:szCs w:val="24"/>
              <w:lang w:val="en-US" w:eastAsia="zh-CN" w:bidi="ar-SA"/>
            </w:rPr>
            <w:t>(一) 采购需求应当完整、明确，包括以下内容：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_Toc19887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3A731AD">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_Toc2908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kern w:val="2"/>
              <w:sz w:val="24"/>
              <w:szCs w:val="24"/>
              <w:lang w:val="en-US" w:eastAsia="zh-CN" w:bidi="ar-SA"/>
            </w:rPr>
            <w:t>(二) 运维工作范围和标准要求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_Toc2908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CCE37F1">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_Toc23811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kern w:val="2"/>
              <w:sz w:val="24"/>
              <w:szCs w:val="24"/>
              <w:lang w:val="en-US" w:eastAsia="zh-CN" w:bidi="ar-SA"/>
            </w:rPr>
            <w:t>(三) 运维工作具体要求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_Toc23811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BC7014B">
          <w:pPr>
            <w:pStyle w:val="18"/>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_Toc6173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pacing w:val="0"/>
              <w:sz w:val="24"/>
              <w:szCs w:val="24"/>
            </w:rPr>
            <w:t>第六章  评审办法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_Toc6173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8625EE6">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_Toc6488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一、评审机构</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_Toc6488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27FC512">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_Toc26677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二、评审原则与标准</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_Toc26677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8A01BB9">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_Toc1315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三、评审纪律</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_Toc1315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9AAEBD6">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_Toc20026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四、评审目的</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_Toc20026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73EA6FA">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_Toc7678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五、评审程序</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_Toc7678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CA951D7">
          <w:pPr>
            <w:pStyle w:val="19"/>
            <w:keepNext w:val="0"/>
            <w:keepLines w:val="0"/>
            <w:pageBreakBefore w:val="0"/>
            <w:widowControl w:val="0"/>
            <w:tabs>
              <w:tab w:val="right" w:leader="dot" w:pos="9746"/>
              <w:tab w:val="clear" w:pos="9344"/>
            </w:tabs>
            <w:kinsoku/>
            <w:wordWrap/>
            <w:overflowPunct/>
            <w:topLinePunct w:val="0"/>
            <w:autoSpaceDE/>
            <w:autoSpaceDN/>
            <w:bidi w:val="0"/>
            <w:adjustRightInd/>
            <w:snapToGrid/>
            <w:spacing w:line="360" w:lineRule="auto"/>
            <w:textAlignment w:val="auto"/>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_Toc19851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六、评审方法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_Toc19851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129943D">
          <w:pPr>
            <w:pStyle w:val="2"/>
            <w:rPr>
              <w:rFonts w:hint="eastAsia" w:ascii="宋体" w:hAnsi="宋体" w:eastAsia="宋体" w:cs="宋体"/>
              <w:bCs/>
              <w:color w:val="000000"/>
              <w:kern w:val="2"/>
              <w:sz w:val="24"/>
              <w:lang w:val="en-US" w:eastAsia="zh-CN" w:bidi="ar-SA"/>
            </w:rPr>
          </w:pPr>
          <w:r>
            <w:rPr>
              <w:rFonts w:hint="eastAsia" w:ascii="宋体" w:hAnsi="宋体" w:eastAsia="宋体" w:cs="宋体"/>
            </w:rPr>
            <w:fldChar w:fldCharType="end"/>
          </w:r>
        </w:p>
      </w:sdtContent>
    </w:sdt>
    <w:p w14:paraId="5804C3D5">
      <w:pPr>
        <w:rPr>
          <w:rFonts w:hint="eastAsia" w:ascii="宋体" w:hAnsi="宋体" w:eastAsia="宋体" w:cs="宋体"/>
          <w:b/>
          <w:bCs/>
          <w:color w:val="auto"/>
          <w:sz w:val="36"/>
          <w:szCs w:val="36"/>
        </w:rPr>
      </w:pPr>
      <w:bookmarkStart w:id="0" w:name="_Toc26470"/>
      <w:bookmarkStart w:id="1" w:name="_Toc265"/>
      <w:bookmarkStart w:id="2" w:name="_Toc31805"/>
      <w:bookmarkStart w:id="3" w:name="_Toc469927602"/>
      <w:r>
        <w:rPr>
          <w:rFonts w:hint="eastAsia" w:ascii="宋体" w:hAnsi="宋体" w:eastAsia="宋体" w:cs="宋体"/>
          <w:b/>
          <w:bCs/>
          <w:color w:val="auto"/>
          <w:sz w:val="36"/>
          <w:szCs w:val="36"/>
        </w:rPr>
        <w:br w:type="page"/>
      </w:r>
    </w:p>
    <w:p w14:paraId="31DB2F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lang w:eastAsia="zh-CN"/>
        </w:rPr>
      </w:pPr>
      <w:bookmarkStart w:id="4" w:name="_Toc20532"/>
      <w:r>
        <w:rPr>
          <w:rFonts w:hint="eastAsia" w:ascii="宋体" w:hAnsi="宋体" w:eastAsia="宋体" w:cs="宋体"/>
          <w:b/>
          <w:bCs/>
          <w:color w:val="auto"/>
          <w:sz w:val="36"/>
          <w:szCs w:val="36"/>
        </w:rPr>
        <w:t>第一章</w:t>
      </w:r>
      <w:r>
        <w:rPr>
          <w:rFonts w:hint="eastAsia" w:ascii="宋体" w:hAnsi="宋体" w:eastAsia="宋体" w:cs="宋体"/>
          <w:b/>
          <w:bCs/>
          <w:color w:val="auto"/>
          <w:sz w:val="36"/>
          <w:szCs w:val="36"/>
          <w:lang w:eastAsia="zh-CN"/>
        </w:rPr>
        <w:t>竞争性磋商公告</w:t>
      </w:r>
      <w:bookmarkEnd w:id="0"/>
      <w:bookmarkEnd w:id="1"/>
      <w:bookmarkEnd w:id="2"/>
      <w:bookmarkEnd w:id="4"/>
    </w:p>
    <w:p w14:paraId="75E92F68">
      <w:pPr>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outlineLvl w:val="9"/>
        <w:rPr>
          <w:rFonts w:hint="eastAsia" w:ascii="宋体" w:hAnsi="宋体" w:eastAsia="宋体" w:cs="宋体"/>
          <w:i w:val="0"/>
          <w:iCs w:val="0"/>
          <w:color w:val="auto"/>
          <w:sz w:val="32"/>
          <w:szCs w:val="32"/>
        </w:rPr>
      </w:pPr>
      <w:bookmarkStart w:id="5" w:name="_Toc28359011"/>
      <w:bookmarkStart w:id="6" w:name="_Toc19683"/>
      <w:bookmarkStart w:id="7" w:name="_Toc14480"/>
      <w:bookmarkStart w:id="8" w:name="_Toc35393797"/>
      <w:bookmarkStart w:id="9" w:name="_Toc10738"/>
      <w:bookmarkStart w:id="10" w:name="_Toc4277"/>
      <w:r>
        <w:rPr>
          <w:rFonts w:hint="eastAsia" w:ascii="宋体" w:hAnsi="宋体" w:cs="宋体"/>
          <w:b/>
          <w:bCs/>
          <w:i w:val="0"/>
          <w:iCs w:val="0"/>
          <w:color w:val="auto"/>
          <w:sz w:val="32"/>
          <w:szCs w:val="32"/>
          <w:lang w:val="en-US" w:eastAsia="zh-CN"/>
        </w:rPr>
        <w:t>临沧市2026年度无线电监测设施设备运行保障及专业维修维护技术服务</w:t>
      </w:r>
      <w:r>
        <w:rPr>
          <w:rFonts w:hint="eastAsia" w:ascii="宋体" w:hAnsi="宋体" w:eastAsia="宋体" w:cs="宋体"/>
          <w:b/>
          <w:bCs/>
          <w:i w:val="0"/>
          <w:iCs w:val="0"/>
          <w:color w:val="auto"/>
          <w:sz w:val="32"/>
          <w:szCs w:val="32"/>
        </w:rPr>
        <w:t>竞争性磋商公告</w:t>
      </w:r>
      <w:bookmarkEnd w:id="5"/>
      <w:bookmarkEnd w:id="6"/>
      <w:bookmarkEnd w:id="7"/>
      <w:bookmarkEnd w:id="8"/>
    </w:p>
    <w:p w14:paraId="436913A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auto"/>
          <w:sz w:val="24"/>
          <w:szCs w:val="24"/>
        </w:rPr>
      </w:pPr>
      <w:bookmarkStart w:id="11" w:name="_Toc28359012"/>
      <w:bookmarkStart w:id="12" w:name="_Toc28359089"/>
      <w:bookmarkStart w:id="13" w:name="_Toc35393629"/>
      <w:bookmarkStart w:id="14" w:name="_Toc35393798"/>
      <w:r>
        <w:rPr>
          <w:rFonts w:hint="eastAsia" w:ascii="宋体" w:hAnsi="宋体" w:eastAsia="宋体" w:cs="宋体"/>
          <w:i w:val="0"/>
          <w:iCs w:val="0"/>
          <w:color w:val="auto"/>
          <w:sz w:val="24"/>
          <w:szCs w:val="24"/>
        </w:rPr>
        <w:t>项目概况</w:t>
      </w:r>
    </w:p>
    <w:p w14:paraId="776AC3A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u w:val="single"/>
          <w:lang w:eastAsia="zh-CN"/>
        </w:rPr>
        <w:t>临沧市2026年度无线电监测设施设备运行保障及专业维修维护技术服务</w:t>
      </w:r>
      <w:r>
        <w:rPr>
          <w:rFonts w:hint="eastAsia" w:ascii="宋体" w:hAnsi="宋体" w:eastAsia="宋体" w:cs="宋体"/>
          <w:i w:val="0"/>
          <w:iCs w:val="0"/>
          <w:color w:val="auto"/>
          <w:sz w:val="24"/>
          <w:szCs w:val="24"/>
        </w:rPr>
        <w:t>的潜在</w:t>
      </w:r>
      <w:r>
        <w:rPr>
          <w:rFonts w:hint="eastAsia" w:ascii="宋体" w:hAnsi="宋体" w:eastAsia="宋体" w:cs="宋体"/>
          <w:i w:val="0"/>
          <w:iCs w:val="0"/>
          <w:color w:val="auto"/>
          <w:sz w:val="24"/>
          <w:szCs w:val="24"/>
          <w:lang w:eastAsia="zh-CN"/>
        </w:rPr>
        <w:t>供应商</w:t>
      </w:r>
      <w:r>
        <w:rPr>
          <w:rFonts w:hint="eastAsia" w:ascii="宋体" w:hAnsi="宋体" w:eastAsia="宋体" w:cs="宋体"/>
          <w:i w:val="0"/>
          <w:iCs w:val="0"/>
          <w:color w:val="auto"/>
          <w:sz w:val="24"/>
          <w:szCs w:val="24"/>
        </w:rPr>
        <w:t>应在</w:t>
      </w:r>
      <w:r>
        <w:rPr>
          <w:rFonts w:hint="eastAsia" w:ascii="宋体" w:hAnsi="宋体" w:eastAsia="宋体" w:cs="宋体"/>
          <w:i w:val="0"/>
          <w:iCs w:val="0"/>
          <w:color w:val="auto"/>
          <w:sz w:val="24"/>
          <w:szCs w:val="24"/>
          <w:highlight w:val="none"/>
          <w:lang w:val="en-US" w:eastAsia="zh-CN"/>
        </w:rPr>
        <w:t>政府采购云平台</w:t>
      </w:r>
      <w:r>
        <w:rPr>
          <w:rFonts w:hint="eastAsia" w:ascii="宋体" w:hAnsi="宋体" w:eastAsia="宋体" w:cs="宋体"/>
          <w:i w:val="0"/>
          <w:iCs w:val="0"/>
          <w:color w:val="auto"/>
          <w:sz w:val="24"/>
          <w:szCs w:val="24"/>
          <w:highlight w:val="none"/>
          <w:u w:val="single"/>
          <w:lang w:val="en-US" w:eastAsia="zh-CN"/>
        </w:rPr>
        <w:t>（网址：www.zcygov.cn）</w:t>
      </w:r>
      <w:r>
        <w:rPr>
          <w:rFonts w:hint="eastAsia" w:ascii="宋体" w:hAnsi="宋体" w:eastAsia="宋体" w:cs="宋体"/>
          <w:i w:val="0"/>
          <w:iCs w:val="0"/>
          <w:color w:val="auto"/>
          <w:sz w:val="24"/>
          <w:szCs w:val="24"/>
        </w:rPr>
        <w:t>获取采购文</w:t>
      </w:r>
      <w:r>
        <w:rPr>
          <w:rFonts w:hint="eastAsia" w:ascii="宋体" w:hAnsi="宋体" w:eastAsia="宋体" w:cs="宋体"/>
          <w:i w:val="0"/>
          <w:iCs w:val="0"/>
          <w:color w:val="auto"/>
          <w:sz w:val="24"/>
          <w:szCs w:val="24"/>
          <w:highlight w:val="none"/>
        </w:rPr>
        <w:t>件，并于</w:t>
      </w:r>
      <w:r>
        <w:rPr>
          <w:rFonts w:hint="eastAsia" w:ascii="宋体" w:hAnsi="宋体" w:cs="宋体"/>
          <w:b w:val="0"/>
          <w:i w:val="0"/>
          <w:iCs w:val="0"/>
          <w:color w:val="auto"/>
          <w:kern w:val="0"/>
          <w:sz w:val="24"/>
          <w:szCs w:val="24"/>
          <w:u w:val="single"/>
          <w:lang w:val="en-US" w:eastAsia="zh-CN" w:bidi="ar-SA"/>
        </w:rPr>
        <w:t>2026年06月11日09时00分</w:t>
      </w:r>
      <w:bookmarkStart w:id="267" w:name="_GoBack"/>
      <w:bookmarkEnd w:id="267"/>
      <w:r>
        <w:rPr>
          <w:rFonts w:hint="eastAsia" w:ascii="宋体" w:hAnsi="宋体" w:eastAsia="宋体" w:cs="宋体"/>
          <w:bCs/>
          <w:i w:val="0"/>
          <w:iCs w:val="0"/>
          <w:color w:val="auto"/>
          <w:sz w:val="24"/>
          <w:szCs w:val="24"/>
          <w:highlight w:val="none"/>
        </w:rPr>
        <w:t>（北</w:t>
      </w:r>
      <w:r>
        <w:rPr>
          <w:rFonts w:hint="eastAsia" w:ascii="宋体" w:hAnsi="宋体" w:eastAsia="宋体" w:cs="宋体"/>
          <w:bCs/>
          <w:i w:val="0"/>
          <w:iCs w:val="0"/>
          <w:color w:val="auto"/>
          <w:sz w:val="24"/>
          <w:szCs w:val="24"/>
        </w:rPr>
        <w:t>京时间）前提交响应文件</w:t>
      </w:r>
      <w:r>
        <w:rPr>
          <w:rFonts w:hint="eastAsia" w:ascii="宋体" w:hAnsi="宋体" w:eastAsia="宋体" w:cs="宋体"/>
          <w:i w:val="0"/>
          <w:iCs w:val="0"/>
          <w:color w:val="auto"/>
          <w:sz w:val="24"/>
          <w:szCs w:val="24"/>
        </w:rPr>
        <w:t>。</w:t>
      </w:r>
    </w:p>
    <w:p w14:paraId="409F72F3">
      <w:pPr>
        <w:bidi w:val="0"/>
        <w:rPr>
          <w:rFonts w:hint="eastAsia"/>
        </w:rPr>
      </w:pPr>
      <w:bookmarkStart w:id="15" w:name="_Toc12726"/>
    </w:p>
    <w:p w14:paraId="4D8A1E53">
      <w:pPr>
        <w:pStyle w:val="4"/>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iCs w:val="0"/>
          <w:color w:val="auto"/>
          <w:sz w:val="24"/>
          <w:szCs w:val="24"/>
        </w:rPr>
      </w:pPr>
      <w:bookmarkStart w:id="16" w:name="_Toc7040"/>
      <w:r>
        <w:rPr>
          <w:rFonts w:hint="eastAsia" w:ascii="宋体" w:hAnsi="宋体" w:eastAsia="宋体" w:cs="宋体"/>
          <w:b/>
          <w:bCs/>
          <w:i w:val="0"/>
          <w:iCs w:val="0"/>
          <w:color w:val="auto"/>
          <w:sz w:val="24"/>
          <w:szCs w:val="24"/>
        </w:rPr>
        <w:t>一、项目基本情况</w:t>
      </w:r>
      <w:bookmarkEnd w:id="11"/>
      <w:bookmarkEnd w:id="12"/>
      <w:bookmarkEnd w:id="13"/>
      <w:bookmarkEnd w:id="14"/>
      <w:bookmarkEnd w:id="15"/>
      <w:bookmarkEnd w:id="16"/>
    </w:p>
    <w:p w14:paraId="72A82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项目编号：</w:t>
      </w:r>
      <w:r>
        <w:rPr>
          <w:rFonts w:hint="eastAsia" w:ascii="宋体" w:hAnsi="宋体" w:cs="宋体"/>
          <w:i w:val="0"/>
          <w:iCs w:val="0"/>
          <w:color w:val="auto"/>
          <w:sz w:val="24"/>
          <w:szCs w:val="24"/>
          <w:lang w:val="en-US" w:eastAsia="zh-CN"/>
        </w:rPr>
        <w:t xml:space="preserve"> LCZC2026-C3-00392-YNWH-0010</w:t>
      </w:r>
    </w:p>
    <w:p w14:paraId="5C635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项目名称：</w:t>
      </w:r>
      <w:r>
        <w:rPr>
          <w:rFonts w:hint="eastAsia" w:ascii="宋体" w:hAnsi="宋体" w:cs="宋体"/>
          <w:i w:val="0"/>
          <w:iCs w:val="0"/>
          <w:color w:val="auto"/>
          <w:sz w:val="24"/>
          <w:szCs w:val="24"/>
          <w:lang w:eastAsia="zh-CN"/>
        </w:rPr>
        <w:t>临沧市2026年度无线电监测设施设备运行保障及专业维修维护技术服务</w:t>
      </w:r>
    </w:p>
    <w:p w14:paraId="087B7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采购方式：竞争性磋商</w:t>
      </w:r>
    </w:p>
    <w:p w14:paraId="4F3D6F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eastAsia="宋体" w:cs="宋体"/>
          <w:i w:val="0"/>
          <w:iCs w:val="0"/>
          <w:color w:val="auto"/>
          <w:sz w:val="24"/>
          <w:szCs w:val="24"/>
          <w:shd w:val="clear"/>
        </w:rPr>
        <w:t>：122.102</w:t>
      </w:r>
      <w:r>
        <w:rPr>
          <w:rFonts w:hint="eastAsia" w:ascii="宋体" w:hAnsi="宋体" w:eastAsia="宋体" w:cs="宋体"/>
          <w:i w:val="0"/>
          <w:iCs w:val="0"/>
          <w:color w:val="auto"/>
          <w:sz w:val="24"/>
          <w:szCs w:val="24"/>
          <w:shd w:val="clear"/>
          <w:lang w:val="en-US" w:eastAsia="zh-CN"/>
        </w:rPr>
        <w:t>万</w:t>
      </w:r>
      <w:r>
        <w:rPr>
          <w:rFonts w:hint="eastAsia" w:ascii="宋体" w:hAnsi="宋体" w:eastAsia="宋体" w:cs="宋体"/>
          <w:i w:val="0"/>
          <w:iCs w:val="0"/>
          <w:color w:val="auto"/>
          <w:sz w:val="24"/>
          <w:szCs w:val="24"/>
          <w:highlight w:val="none"/>
          <w:shd w:val="clear"/>
          <w:lang w:val="en-US" w:eastAsia="zh-CN"/>
        </w:rPr>
        <w:t>元</w:t>
      </w:r>
    </w:p>
    <w:p w14:paraId="05BEB9D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最高限价（如有）：</w:t>
      </w:r>
      <w:r>
        <w:rPr>
          <w:rFonts w:hint="eastAsia" w:ascii="宋体" w:hAnsi="宋体" w:cs="宋体"/>
          <w:i w:val="0"/>
          <w:iCs w:val="0"/>
          <w:color w:val="auto"/>
          <w:sz w:val="24"/>
          <w:szCs w:val="24"/>
          <w:lang w:val="en-US" w:eastAsia="zh-CN"/>
        </w:rPr>
        <w:t>122.102万元</w:t>
      </w:r>
    </w:p>
    <w:p w14:paraId="4D0049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highlight w:val="none"/>
        </w:rPr>
        <w:t>采购需求：</w:t>
      </w:r>
      <w:r>
        <w:rPr>
          <w:rFonts w:hint="eastAsia" w:ascii="宋体" w:hAnsi="宋体" w:cs="宋体"/>
          <w:i w:val="0"/>
          <w:iCs w:val="0"/>
          <w:color w:val="auto"/>
          <w:sz w:val="24"/>
          <w:szCs w:val="24"/>
          <w:highlight w:val="none"/>
          <w:lang w:val="en-US" w:eastAsia="zh-CN"/>
        </w:rPr>
        <w:t>为</w:t>
      </w:r>
      <w:r>
        <w:rPr>
          <w:rFonts w:hint="eastAsia" w:ascii="宋体" w:hAnsi="宋体" w:eastAsia="宋体" w:cs="宋体"/>
          <w:i w:val="0"/>
          <w:iCs w:val="0"/>
          <w:color w:val="auto"/>
          <w:sz w:val="24"/>
          <w:szCs w:val="24"/>
          <w:highlight w:val="none"/>
        </w:rPr>
        <w:t>保障临沧市无线电监测网固定监测站、移动监测站等专业设备正常运行所需的网络传输、铁塔、机房及车辆搭载平台租赁，站点运行产生的电费、水费、物业管理费、保洁安保服务费、车辆运行服务费等各项支出。负责为设置于全市不同地点的31个固定、移动监测站点的技术设施设备提供软硬件专业维修维护技术服务。</w:t>
      </w:r>
    </w:p>
    <w:p w14:paraId="25530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highlight w:val="none"/>
          <w:lang w:val="en-US" w:eastAsia="zh-CN"/>
        </w:rPr>
        <w:t>合同履行期限：</w:t>
      </w:r>
      <w:r>
        <w:rPr>
          <w:rFonts w:hint="eastAsia" w:ascii="宋体" w:hAnsi="宋体" w:cs="宋体"/>
          <w:i w:val="0"/>
          <w:iCs w:val="0"/>
          <w:color w:val="auto"/>
          <w:sz w:val="24"/>
          <w:szCs w:val="24"/>
          <w:highlight w:val="none"/>
          <w:lang w:val="en-US" w:eastAsia="zh-CN"/>
        </w:rPr>
        <w:t>1年，</w:t>
      </w:r>
      <w:r>
        <w:rPr>
          <w:rFonts w:hint="eastAsia" w:ascii="宋体" w:hAnsi="宋体" w:eastAsia="宋体" w:cs="宋体"/>
          <w:i w:val="0"/>
          <w:iCs w:val="0"/>
          <w:color w:val="auto"/>
          <w:sz w:val="24"/>
          <w:szCs w:val="24"/>
          <w:lang w:val="en-US" w:eastAsia="zh-CN"/>
        </w:rPr>
        <w:t>自合同签订之日起</w:t>
      </w:r>
      <w:r>
        <w:rPr>
          <w:rFonts w:hint="eastAsia" w:ascii="宋体" w:hAnsi="宋体" w:cs="宋体"/>
          <w:i w:val="0"/>
          <w:iCs w:val="0"/>
          <w:color w:val="auto"/>
          <w:sz w:val="24"/>
          <w:szCs w:val="24"/>
          <w:lang w:val="en-US" w:eastAsia="zh-CN"/>
        </w:rPr>
        <w:t>算</w:t>
      </w:r>
      <w:r>
        <w:rPr>
          <w:rFonts w:hint="eastAsia" w:ascii="宋体" w:hAnsi="宋体" w:eastAsia="宋体" w:cs="宋体"/>
          <w:i w:val="0"/>
          <w:iCs w:val="0"/>
          <w:color w:val="auto"/>
          <w:sz w:val="24"/>
          <w:szCs w:val="24"/>
          <w:lang w:val="en-US" w:eastAsia="zh-CN"/>
        </w:rPr>
        <w:t>。</w:t>
      </w:r>
    </w:p>
    <w:p w14:paraId="4CE80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质量要求：符合国家现行无线电监测网的相关规范及行业标准。</w:t>
      </w:r>
    </w:p>
    <w:p w14:paraId="1D346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否</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接受联合体。</w:t>
      </w:r>
    </w:p>
    <w:p w14:paraId="0C7FEE35">
      <w:pPr>
        <w:pStyle w:val="4"/>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iCs w:val="0"/>
          <w:color w:val="auto"/>
          <w:sz w:val="24"/>
          <w:szCs w:val="24"/>
        </w:rPr>
      </w:pPr>
      <w:bookmarkStart w:id="17" w:name="_Toc25372"/>
      <w:bookmarkStart w:id="18" w:name="_Toc35393799"/>
      <w:bookmarkStart w:id="19" w:name="_Toc28359090"/>
      <w:bookmarkStart w:id="20" w:name="_Toc35393630"/>
      <w:bookmarkStart w:id="21" w:name="_Toc28359013"/>
      <w:bookmarkStart w:id="22" w:name="_Toc14115"/>
      <w:r>
        <w:rPr>
          <w:rFonts w:hint="eastAsia" w:ascii="宋体" w:hAnsi="宋体" w:eastAsia="宋体" w:cs="宋体"/>
          <w:b/>
          <w:bCs/>
          <w:i w:val="0"/>
          <w:iCs w:val="0"/>
          <w:color w:val="auto"/>
          <w:sz w:val="24"/>
          <w:szCs w:val="24"/>
        </w:rPr>
        <w:t>二、申请人的资格要求</w:t>
      </w:r>
      <w:bookmarkEnd w:id="17"/>
      <w:bookmarkEnd w:id="18"/>
      <w:bookmarkEnd w:id="19"/>
      <w:bookmarkEnd w:id="20"/>
      <w:bookmarkEnd w:id="21"/>
      <w:bookmarkEnd w:id="22"/>
    </w:p>
    <w:p w14:paraId="28C2D57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b/>
          <w:bCs/>
          <w:i w:val="0"/>
          <w:iCs w:val="0"/>
          <w:color w:val="auto"/>
          <w:sz w:val="24"/>
          <w:szCs w:val="24"/>
        </w:rPr>
        <w:t>1.满足《中华人民共和国政府采购法》第二十二条规定；</w:t>
      </w:r>
    </w:p>
    <w:p w14:paraId="42D3E3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1.1具有独立承担民事责任的能力：供应商须为具有独立承担民事责任能力的法人、其他组织或者自然人，具有有效的营业执照或其他法定凭证（扫描件加盖供应商电子公章）；</w:t>
      </w:r>
    </w:p>
    <w:p w14:paraId="1348EE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1.2具有良好的商业信誉和健全的财务会计制度：</w:t>
      </w:r>
    </w:p>
    <w:p w14:paraId="7EBC8F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1.2.1供应商在“信用中国”网站（www.creditchina.gov.cn）中未被列入政府采购严重违法失信行为记录名单、失信被执行人和重大税收违法失信主体（查询结果以采购人、采购代理机构查询结果为准，并将查询记录和证据留存）；</w:t>
      </w:r>
    </w:p>
    <w:p w14:paraId="2993D9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1.2.2供应商在本项目响应文件提交截止时间前在中国政府采购网（www.ccgp.gov.cn）政府采购严重违法失信行为记录名单中无不良信息记录（查询结果以采购人、采购代理机构查询结果为准，并将查询记录和证据留存）；</w:t>
      </w:r>
    </w:p>
    <w:p w14:paraId="67C32F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1.2.3健全的财务会计制度：供应商财务状况良好，提</w:t>
      </w:r>
      <w:r>
        <w:rPr>
          <w:rFonts w:hint="eastAsia" w:ascii="宋体" w:hAnsi="宋体" w:cs="宋体"/>
          <w:i w:val="0"/>
          <w:iCs w:val="0"/>
          <w:color w:val="auto"/>
          <w:sz w:val="24"/>
          <w:szCs w:val="24"/>
          <w:lang w:val="en-US" w:eastAsia="zh-CN"/>
        </w:rPr>
        <w:t>供</w:t>
      </w:r>
      <w:r>
        <w:rPr>
          <w:rFonts w:hint="eastAsia" w:ascii="宋体" w:hAnsi="宋体" w:eastAsia="宋体" w:cs="宋体"/>
          <w:i w:val="0"/>
          <w:iCs w:val="0"/>
          <w:color w:val="auto"/>
          <w:sz w:val="24"/>
          <w:szCs w:val="24"/>
        </w:rPr>
        <w:t>近三年</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rPr>
        <w:t>202</w:t>
      </w:r>
      <w:r>
        <w:rPr>
          <w:rFonts w:hint="eastAsia" w:ascii="宋体" w:hAnsi="宋体" w:cs="宋体"/>
          <w:i w:val="0"/>
          <w:iCs w:val="0"/>
          <w:color w:val="auto"/>
          <w:sz w:val="24"/>
          <w:szCs w:val="24"/>
          <w:lang w:val="en-US" w:eastAsia="zh-CN"/>
        </w:rPr>
        <w:t>3</w:t>
      </w:r>
      <w:r>
        <w:rPr>
          <w:rFonts w:hint="eastAsia" w:ascii="宋体" w:hAnsi="宋体" w:eastAsia="宋体" w:cs="宋体"/>
          <w:i w:val="0"/>
          <w:iCs w:val="0"/>
          <w:color w:val="auto"/>
          <w:sz w:val="24"/>
          <w:szCs w:val="24"/>
        </w:rPr>
        <w:t>年-202</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eastAsia="zh-CN"/>
        </w:rPr>
        <w:t>）</w:t>
      </w:r>
      <w:r>
        <w:rPr>
          <w:rFonts w:hint="eastAsia" w:ascii="宋体" w:hAnsi="宋体" w:eastAsia="宋体" w:cs="宋体"/>
          <w:b/>
          <w:bCs/>
          <w:i w:val="0"/>
          <w:iCs w:val="0"/>
          <w:color w:val="auto"/>
          <w:sz w:val="24"/>
          <w:szCs w:val="24"/>
        </w:rPr>
        <w:t>任意</w:t>
      </w:r>
      <w:r>
        <w:rPr>
          <w:rFonts w:hint="eastAsia" w:ascii="宋体" w:hAnsi="宋体" w:eastAsia="宋体" w:cs="宋体"/>
          <w:i w:val="0"/>
          <w:iCs w:val="0"/>
          <w:color w:val="auto"/>
          <w:sz w:val="24"/>
          <w:szCs w:val="24"/>
        </w:rPr>
        <w:t>一年经第三方机构审计的审计报告和财务报表或内部财务报表（成立不足1年的企业，附成立至今的财务报表或相关财务证明资料）（扫描件加盖供应商电子公章）；</w:t>
      </w:r>
    </w:p>
    <w:p w14:paraId="354E4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1.3具有履行合同所必需的设备和专业技术能力：提供供应商具有履行合同所必需的设备和专业技术能力证明材</w:t>
      </w:r>
      <w:r>
        <w:rPr>
          <w:rFonts w:hint="eastAsia" w:ascii="宋体" w:hAnsi="宋体" w:eastAsia="宋体" w:cs="宋体"/>
          <w:i w:val="0"/>
          <w:iCs w:val="0"/>
          <w:color w:val="auto"/>
          <w:sz w:val="24"/>
          <w:szCs w:val="24"/>
          <w:highlight w:val="none"/>
        </w:rPr>
        <w:t>料或书面声明（加盖供应商电子公章）；</w:t>
      </w:r>
    </w:p>
    <w:p w14:paraId="70F58C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1.4有依法缴纳税收和社会保障资金的良好记录：</w:t>
      </w:r>
    </w:p>
    <w:p w14:paraId="5E59C5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1.4.1提供供应商缴税所属时间在202</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rPr>
        <w:t>月至本项目响应文件提交截止时间前</w:t>
      </w:r>
      <w:r>
        <w:rPr>
          <w:rFonts w:hint="eastAsia" w:ascii="宋体" w:hAnsi="宋体" w:eastAsia="宋体" w:cs="宋体"/>
          <w:b/>
          <w:bCs/>
          <w:i w:val="0"/>
          <w:iCs w:val="0"/>
          <w:color w:val="auto"/>
          <w:sz w:val="24"/>
          <w:szCs w:val="24"/>
        </w:rPr>
        <w:t>任意连续</w:t>
      </w:r>
      <w:r>
        <w:rPr>
          <w:rFonts w:hint="eastAsia" w:ascii="宋体" w:hAnsi="宋体" w:eastAsia="宋体" w:cs="宋体"/>
          <w:i w:val="0"/>
          <w:iCs w:val="0"/>
          <w:color w:val="auto"/>
          <w:sz w:val="24"/>
          <w:szCs w:val="24"/>
        </w:rPr>
        <w:t>3个月的税务局税收通用缴款书或银行电子缴税（费）凭证或税务局出具纳税情况的相关证明，新成立企业，成立时间不足3个月的提供自成立以来的税务局税收通用缴款书扫描件或银行电子缴税（费）凭证扫描件或税务局出具纳税情况的相关证明。供应商依法免税的，应提供依法免税的相关证明文件（加盖供应商电子公章）；</w:t>
      </w:r>
    </w:p>
    <w:p w14:paraId="2C1F2D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1.4.2提供供应商缴费所属时间在202</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rPr>
        <w:t>月至本项目响应文件提交截止时间前</w:t>
      </w:r>
      <w:r>
        <w:rPr>
          <w:rFonts w:hint="eastAsia" w:ascii="宋体" w:hAnsi="宋体" w:eastAsia="宋体" w:cs="宋体"/>
          <w:b/>
          <w:bCs/>
          <w:i w:val="0"/>
          <w:iCs w:val="0"/>
          <w:color w:val="auto"/>
          <w:sz w:val="24"/>
          <w:szCs w:val="24"/>
        </w:rPr>
        <w:t>任意连续</w:t>
      </w:r>
      <w:r>
        <w:rPr>
          <w:rFonts w:hint="eastAsia" w:ascii="宋体" w:hAnsi="宋体" w:eastAsia="宋体" w:cs="宋体"/>
          <w:i w:val="0"/>
          <w:iCs w:val="0"/>
          <w:color w:val="auto"/>
          <w:sz w:val="24"/>
          <w:szCs w:val="24"/>
        </w:rPr>
        <w:t>3个月的社会保险费缴款书或银行电子缴税（费）凭证或社保管理部门出具的有效的缴款证明，新成立企业，成立时间不足3个月的提供自成立以来的社会保险费缴款书扫描件或银行电子缴税（费）凭证扫描件或社保管理部门出具的有效的缴款证明。供应商依法免缴的，应提供依法免缴的相关证明文件（加盖供应商电子公章）；</w:t>
      </w:r>
    </w:p>
    <w:p w14:paraId="0E2B60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1.5参加采购活动前三年内，在经营活动中没有重大违法记录：提供供应商参加采购活动前三年内，在经营活动中没有重大违法记录（重大违法记录，是指供应商因违法经营受到刑事处罚或者责令停产停业、吊销许可证或者执照、较大数额罚款等行政处罚）的书面声明（加盖供应商电子公章）。</w:t>
      </w:r>
    </w:p>
    <w:p w14:paraId="1E9EB4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1.6法律、行政法规规定的其他条件：</w:t>
      </w:r>
    </w:p>
    <w:p w14:paraId="609B1F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1.6.1单位负责人为同一人或者存在直接控股、管理关系的不同供应商，不得参加同一合同项下的政府采购活动，提供书面说明。（加盖供应商电子公章）</w:t>
      </w:r>
    </w:p>
    <w:p w14:paraId="29DC35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1.6.2为本采购项目提供整体设计、规范编制或者项目管理、监理、检测等服务的供应商，不得再参加该采购项目的其他采购活动，提供书面说明。（加盖供应商电子公章）。</w:t>
      </w:r>
    </w:p>
    <w:p w14:paraId="714DA93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color w:val="auto"/>
          <w:sz w:val="24"/>
          <w:szCs w:val="24"/>
          <w:lang w:val="en-US" w:eastAsia="zh-CN"/>
        </w:rPr>
      </w:pPr>
      <w:bookmarkStart w:id="23" w:name="_Toc28359091"/>
      <w:bookmarkStart w:id="24" w:name="_Toc28359014"/>
      <w:r>
        <w:rPr>
          <w:rFonts w:hint="eastAsia" w:ascii="宋体" w:hAnsi="宋体" w:eastAsia="宋体" w:cs="宋体"/>
          <w:b/>
          <w:bCs/>
          <w:i w:val="0"/>
          <w:iCs w:val="0"/>
          <w:color w:val="auto"/>
          <w:sz w:val="24"/>
          <w:szCs w:val="24"/>
          <w:lang w:val="en-US" w:eastAsia="zh-CN"/>
        </w:rPr>
        <w:t>2.</w:t>
      </w:r>
      <w:r>
        <w:rPr>
          <w:rFonts w:hint="eastAsia" w:ascii="宋体" w:hAnsi="宋体" w:eastAsia="宋体" w:cs="宋体"/>
          <w:b/>
          <w:bCs/>
          <w:i w:val="0"/>
          <w:iCs w:val="0"/>
          <w:color w:val="auto"/>
          <w:sz w:val="24"/>
          <w:szCs w:val="24"/>
        </w:rPr>
        <w:t>落实政府采购政策需满足的资格要求：</w:t>
      </w:r>
      <w:r>
        <w:rPr>
          <w:rFonts w:hint="eastAsia" w:ascii="宋体" w:hAnsi="宋体" w:eastAsia="宋体" w:cs="宋体"/>
          <w:i w:val="0"/>
          <w:iCs w:val="0"/>
          <w:color w:val="auto"/>
          <w:sz w:val="24"/>
          <w:szCs w:val="24"/>
          <w:lang w:val="en-US" w:eastAsia="zh-CN"/>
        </w:rPr>
        <w:t>本项目专门面向中小微企业采购。供应商应为中小微企业或残疾人福利性单位或监狱企业，并按照竞争性磋商文件要求提供《中小企业声明函》或《残疾人福利性单位声明函》或监狱企业证明材料。</w:t>
      </w:r>
    </w:p>
    <w:p w14:paraId="18C1BC1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3.本项目的特定资格要求</w:t>
      </w:r>
      <w:r>
        <w:rPr>
          <w:rFonts w:hint="eastAsia" w:ascii="宋体" w:hAnsi="宋体" w:eastAsia="宋体" w:cs="宋体"/>
          <w:i w:val="0"/>
          <w:iCs w:val="0"/>
          <w:color w:val="auto"/>
          <w:sz w:val="24"/>
          <w:szCs w:val="24"/>
          <w:lang w:val="en-US" w:eastAsia="zh-CN"/>
        </w:rPr>
        <w:t>：</w:t>
      </w:r>
      <w:r>
        <w:rPr>
          <w:rFonts w:hint="eastAsia" w:ascii="宋体" w:hAnsi="宋体" w:cs="宋体"/>
          <w:i w:val="0"/>
          <w:iCs w:val="0"/>
          <w:color w:val="auto"/>
          <w:sz w:val="24"/>
          <w:szCs w:val="24"/>
          <w:lang w:val="en-US" w:eastAsia="zh-CN"/>
        </w:rPr>
        <w:t>无</w:t>
      </w:r>
      <w:bookmarkStart w:id="25" w:name="_Toc35393631"/>
      <w:bookmarkStart w:id="26" w:name="_Toc35393800"/>
    </w:p>
    <w:p w14:paraId="6E7B2FF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olor w:val="auto"/>
          <w:sz w:val="24"/>
          <w:szCs w:val="24"/>
          <w:lang w:val="en-US" w:eastAsia="zh-CN"/>
        </w:rPr>
      </w:pPr>
      <w:r>
        <w:rPr>
          <w:rFonts w:hint="eastAsia" w:ascii="宋体" w:hAnsi="宋体" w:cs="宋体"/>
          <w:b/>
          <w:bCs/>
          <w:i w:val="0"/>
          <w:iCs w:val="0"/>
          <w:color w:val="auto"/>
          <w:sz w:val="24"/>
          <w:szCs w:val="24"/>
          <w:lang w:val="en-US" w:eastAsia="zh-CN"/>
        </w:rPr>
        <w:t>4.</w:t>
      </w:r>
      <w:r>
        <w:rPr>
          <w:rFonts w:hint="eastAsia" w:ascii="宋体" w:hAnsi="宋体" w:eastAsia="宋体" w:cs="宋体"/>
          <w:b/>
          <w:bCs/>
          <w:i w:val="0"/>
          <w:iCs w:val="0"/>
          <w:color w:val="auto"/>
          <w:sz w:val="24"/>
          <w:szCs w:val="24"/>
          <w:lang w:val="en-US" w:eastAsia="zh-CN"/>
        </w:rPr>
        <w:t>本项目不接受联合体磋商。</w:t>
      </w:r>
    </w:p>
    <w:bookmarkEnd w:id="23"/>
    <w:bookmarkEnd w:id="24"/>
    <w:bookmarkEnd w:id="25"/>
    <w:bookmarkEnd w:id="26"/>
    <w:p w14:paraId="02E57E0E">
      <w:pPr>
        <w:pStyle w:val="4"/>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iCs w:val="0"/>
          <w:color w:val="auto"/>
          <w:sz w:val="24"/>
          <w:szCs w:val="24"/>
        </w:rPr>
      </w:pPr>
      <w:bookmarkStart w:id="27" w:name="_Toc23056"/>
      <w:bookmarkStart w:id="28" w:name="_Toc4521"/>
      <w:r>
        <w:rPr>
          <w:rFonts w:hint="eastAsia" w:ascii="宋体" w:hAnsi="宋体" w:eastAsia="宋体" w:cs="宋体"/>
          <w:b/>
          <w:bCs/>
          <w:i w:val="0"/>
          <w:iCs w:val="0"/>
          <w:color w:val="auto"/>
          <w:sz w:val="24"/>
          <w:szCs w:val="24"/>
        </w:rPr>
        <w:t>三、获取采购文件</w:t>
      </w:r>
      <w:bookmarkEnd w:id="27"/>
      <w:bookmarkEnd w:id="28"/>
    </w:p>
    <w:p w14:paraId="2FD77137">
      <w:pPr>
        <w:pageBreakBefore w:val="0"/>
        <w:widowControl w:val="0"/>
        <w:kinsoku/>
        <w:wordWrap/>
        <w:overflowPunct/>
        <w:topLinePunct w:val="0"/>
        <w:autoSpaceDE/>
        <w:autoSpaceDN/>
        <w:bidi w:val="0"/>
        <w:adjustRightInd/>
        <w:snapToGrid/>
        <w:spacing w:line="396" w:lineRule="auto"/>
        <w:ind w:firstLine="540"/>
        <w:textAlignment w:val="auto"/>
        <w:rPr>
          <w:rFonts w:hint="eastAsia" w:ascii="宋体" w:hAnsi="宋体" w:eastAsia="宋体" w:cs="宋体"/>
          <w:i w:val="0"/>
          <w:iCs w:val="0"/>
          <w:color w:val="auto"/>
          <w:sz w:val="24"/>
          <w:szCs w:val="24"/>
          <w:highlight w:val="yellow"/>
          <w:lang w:val="en-US" w:eastAsia="zh-CN"/>
        </w:rPr>
      </w:pPr>
      <w:bookmarkStart w:id="29" w:name="_Toc35393801"/>
      <w:bookmarkStart w:id="30" w:name="_Toc28359092"/>
      <w:bookmarkStart w:id="31" w:name="_Toc28359015"/>
      <w:bookmarkStart w:id="32" w:name="_Toc35393632"/>
      <w:r>
        <w:rPr>
          <w:rFonts w:hint="eastAsia" w:ascii="宋体" w:hAnsi="宋体" w:eastAsia="宋体" w:cs="宋体"/>
          <w:i w:val="0"/>
          <w:iCs w:val="0"/>
          <w:color w:val="auto"/>
          <w:sz w:val="24"/>
          <w:szCs w:val="24"/>
          <w:highlight w:val="none"/>
          <w:lang w:val="en-US" w:eastAsia="zh-CN"/>
        </w:rPr>
        <w:t>时间：</w:t>
      </w:r>
      <w:r>
        <w:rPr>
          <w:rFonts w:hint="eastAsia"/>
          <w:b/>
          <w:bCs/>
          <w:color w:val="auto"/>
          <w:sz w:val="24"/>
          <w:szCs w:val="24"/>
          <w:highlight w:val="none"/>
          <w:lang w:val="en-US" w:eastAsia="zh-CN"/>
        </w:rPr>
        <w:t>2026年05月28日06:00时至2026年06月04日23:59时（北京时间）</w:t>
      </w:r>
      <w:r>
        <w:rPr>
          <w:rFonts w:hint="eastAsia" w:ascii="宋体" w:hAnsi="宋体" w:eastAsia="宋体" w:cs="宋体"/>
          <w:i w:val="0"/>
          <w:iCs w:val="0"/>
          <w:color w:val="auto"/>
          <w:sz w:val="24"/>
          <w:szCs w:val="24"/>
          <w:highlight w:val="none"/>
          <w:u w:val="none"/>
          <w:lang w:val="en-US" w:eastAsia="zh-CN"/>
        </w:rPr>
        <w:t>。</w:t>
      </w:r>
    </w:p>
    <w:p w14:paraId="4E232870">
      <w:pPr>
        <w:keepNext w:val="0"/>
        <w:keepLines w:val="0"/>
        <w:pageBreakBefore w:val="0"/>
        <w:widowControl w:val="0"/>
        <w:kinsoku/>
        <w:wordWrap w:val="0"/>
        <w:overflowPunct/>
        <w:topLinePunct w:val="0"/>
        <w:autoSpaceDE/>
        <w:autoSpaceDN/>
        <w:bidi w:val="0"/>
        <w:adjustRightInd/>
        <w:snapToGrid/>
        <w:spacing w:line="396" w:lineRule="auto"/>
        <w:ind w:firstLine="539"/>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地点：云南省政府采购电子交易平台（政采云https://www.zcygov.cn/）。</w:t>
      </w:r>
    </w:p>
    <w:p w14:paraId="0191107F">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方式：1.凡有意参加投标者，须持与云南省政府采购电子交易平台（政采云）兼容的数字证书（CA），在平台绑定后，线上获取采购文件及其它采购资料。CA申领链接：https://middle.zcygov.cn/ca/apply/list?_app_=zcy.sys</w:t>
      </w:r>
    </w:p>
    <w:p w14:paraId="356EB143">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2.按上述要求获取文件的供应商视为合法获取了本项目采购文件，具备本项目的投标资格。</w:t>
      </w:r>
    </w:p>
    <w:p w14:paraId="624AF572">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售价：0.00元</w:t>
      </w:r>
    </w:p>
    <w:p w14:paraId="3CC9BADB">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iCs w:val="0"/>
          <w:color w:val="auto"/>
          <w:sz w:val="24"/>
          <w:szCs w:val="24"/>
        </w:rPr>
      </w:pPr>
      <w:bookmarkStart w:id="33" w:name="_Toc21813"/>
      <w:bookmarkStart w:id="34" w:name="_Toc1145"/>
      <w:r>
        <w:rPr>
          <w:rFonts w:hint="eastAsia" w:ascii="宋体" w:hAnsi="宋体" w:eastAsia="宋体" w:cs="宋体"/>
          <w:b/>
          <w:bCs/>
          <w:i w:val="0"/>
          <w:iCs w:val="0"/>
          <w:color w:val="auto"/>
          <w:sz w:val="24"/>
          <w:szCs w:val="24"/>
        </w:rPr>
        <w:t>四、响应文件提交</w:t>
      </w:r>
      <w:bookmarkEnd w:id="29"/>
      <w:bookmarkEnd w:id="30"/>
      <w:bookmarkEnd w:id="31"/>
      <w:bookmarkEnd w:id="32"/>
      <w:bookmarkEnd w:id="33"/>
      <w:bookmarkEnd w:id="34"/>
    </w:p>
    <w:p w14:paraId="281239FE">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181" w:right="-181" w:firstLine="720" w:firstLineChars="300"/>
        <w:jc w:val="left"/>
        <w:textAlignment w:val="auto"/>
        <w:rPr>
          <w:rFonts w:hint="eastAsia" w:ascii="宋体" w:hAnsi="宋体" w:eastAsia="宋体" w:cs="宋体"/>
          <w:b w:val="0"/>
          <w:i w:val="0"/>
          <w:iCs w:val="0"/>
          <w:color w:val="auto"/>
          <w:kern w:val="0"/>
          <w:sz w:val="24"/>
          <w:szCs w:val="24"/>
          <w:lang w:val="en-US" w:eastAsia="zh-CN" w:bidi="ar-SA"/>
        </w:rPr>
      </w:pPr>
      <w:bookmarkStart w:id="35" w:name="_Toc28359093"/>
      <w:bookmarkStart w:id="36" w:name="_Toc35393633"/>
      <w:bookmarkStart w:id="37" w:name="_Toc28359016"/>
      <w:bookmarkStart w:id="38" w:name="_Toc35393802"/>
      <w:r>
        <w:rPr>
          <w:rFonts w:hint="eastAsia" w:ascii="宋体" w:hAnsi="宋体" w:eastAsia="宋体" w:cs="宋体"/>
          <w:b w:val="0"/>
          <w:i w:val="0"/>
          <w:iCs w:val="0"/>
          <w:color w:val="auto"/>
          <w:kern w:val="0"/>
          <w:sz w:val="24"/>
          <w:szCs w:val="24"/>
          <w:lang w:val="en-US" w:eastAsia="zh-CN" w:bidi="ar-SA"/>
        </w:rPr>
        <w:t>时间：</w:t>
      </w:r>
      <w:r>
        <w:rPr>
          <w:rFonts w:hint="eastAsia" w:ascii="宋体" w:hAnsi="宋体" w:eastAsia="宋体" w:cs="宋体"/>
          <w:b w:val="0"/>
          <w:i w:val="0"/>
          <w:iCs w:val="0"/>
          <w:color w:val="auto"/>
          <w:kern w:val="0"/>
          <w:sz w:val="24"/>
          <w:szCs w:val="24"/>
          <w:u w:val="single"/>
          <w:lang w:val="en-US" w:eastAsia="zh-CN" w:bidi="ar-SA"/>
        </w:rPr>
        <w:t>2026年06月11日09时00分</w:t>
      </w:r>
      <w:r>
        <w:rPr>
          <w:rFonts w:hint="eastAsia" w:ascii="宋体" w:hAnsi="宋体" w:eastAsia="宋体" w:cs="宋体"/>
          <w:b w:val="0"/>
          <w:i w:val="0"/>
          <w:iCs w:val="0"/>
          <w:color w:val="auto"/>
          <w:kern w:val="0"/>
          <w:sz w:val="24"/>
          <w:szCs w:val="24"/>
          <w:lang w:val="en-US" w:eastAsia="zh-CN" w:bidi="ar-SA"/>
        </w:rPr>
        <w:t>。</w:t>
      </w:r>
    </w:p>
    <w:p w14:paraId="40B5A278">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181" w:right="-181" w:firstLine="720" w:firstLineChars="300"/>
        <w:jc w:val="left"/>
        <w:textAlignment w:val="auto"/>
        <w:rPr>
          <w:rFonts w:hint="eastAsia" w:ascii="宋体" w:hAnsi="宋体" w:eastAsia="宋体" w:cs="宋体"/>
          <w:b w:val="0"/>
          <w:i w:val="0"/>
          <w:iCs w:val="0"/>
          <w:color w:val="auto"/>
          <w:kern w:val="0"/>
          <w:sz w:val="24"/>
          <w:szCs w:val="24"/>
          <w:lang w:val="en-US" w:eastAsia="zh-CN" w:bidi="ar-SA"/>
        </w:rPr>
      </w:pPr>
      <w:r>
        <w:rPr>
          <w:rFonts w:hint="eastAsia" w:ascii="宋体" w:hAnsi="宋体" w:eastAsia="宋体" w:cs="宋体"/>
          <w:b w:val="0"/>
          <w:i w:val="0"/>
          <w:iCs w:val="0"/>
          <w:color w:val="auto"/>
          <w:kern w:val="0"/>
          <w:sz w:val="24"/>
          <w:szCs w:val="24"/>
          <w:lang w:val="en-US" w:eastAsia="zh-CN" w:bidi="ar-SA"/>
        </w:rPr>
        <w:t>地点：政府采购云平台（www.zcygov.cn）。</w:t>
      </w:r>
    </w:p>
    <w:p w14:paraId="3F746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方式：</w:t>
      </w:r>
      <w:r>
        <w:rPr>
          <w:rFonts w:hint="eastAsia" w:ascii="宋体" w:hAnsi="宋体" w:cs="宋体"/>
          <w:b/>
          <w:sz w:val="24"/>
          <w:szCs w:val="24"/>
        </w:rPr>
        <w:t>登录政采云平台客户端</w:t>
      </w:r>
      <w:r>
        <w:rPr>
          <w:rFonts w:hint="eastAsia" w:ascii="宋体" w:hAnsi="宋体" w:cs="宋体"/>
          <w:b/>
          <w:sz w:val="24"/>
          <w:szCs w:val="24"/>
          <w:lang w:eastAsia="zh-CN"/>
        </w:rPr>
        <w:t>，进行</w:t>
      </w:r>
      <w:r>
        <w:rPr>
          <w:rFonts w:hint="eastAsia" w:ascii="宋体" w:hAnsi="宋体" w:cs="宋体"/>
          <w:b/>
          <w:sz w:val="24"/>
          <w:szCs w:val="24"/>
        </w:rPr>
        <w:t>在线递交响应文件</w:t>
      </w:r>
    </w:p>
    <w:p w14:paraId="7C9907DE">
      <w:pPr>
        <w:pStyle w:val="4"/>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iCs w:val="0"/>
          <w:color w:val="auto"/>
          <w:sz w:val="24"/>
          <w:szCs w:val="24"/>
        </w:rPr>
      </w:pPr>
      <w:bookmarkStart w:id="39" w:name="_Toc5801"/>
      <w:bookmarkStart w:id="40" w:name="_Toc11681"/>
      <w:r>
        <w:rPr>
          <w:rFonts w:hint="eastAsia" w:ascii="宋体" w:hAnsi="宋体" w:eastAsia="宋体" w:cs="宋体"/>
          <w:b/>
          <w:bCs/>
          <w:i w:val="0"/>
          <w:iCs w:val="0"/>
          <w:color w:val="auto"/>
          <w:sz w:val="24"/>
          <w:szCs w:val="24"/>
        </w:rPr>
        <w:t>五、开启</w:t>
      </w:r>
      <w:bookmarkEnd w:id="35"/>
      <w:bookmarkEnd w:id="36"/>
      <w:bookmarkEnd w:id="37"/>
      <w:bookmarkEnd w:id="38"/>
      <w:bookmarkEnd w:id="39"/>
      <w:bookmarkEnd w:id="40"/>
    </w:p>
    <w:p w14:paraId="79ED65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color w:val="auto"/>
          <w:kern w:val="0"/>
          <w:sz w:val="24"/>
          <w:szCs w:val="24"/>
          <w:u w:val="single"/>
          <w:lang w:val="en-US" w:eastAsia="zh-CN" w:bidi="ar-SA"/>
        </w:rPr>
      </w:pPr>
      <w:bookmarkStart w:id="41" w:name="_Toc35393803"/>
      <w:bookmarkStart w:id="42" w:name="_Toc28359017"/>
      <w:bookmarkStart w:id="43" w:name="_Toc35393634"/>
      <w:bookmarkStart w:id="44" w:name="_Toc28359094"/>
      <w:r>
        <w:rPr>
          <w:rFonts w:hint="eastAsia" w:ascii="宋体" w:hAnsi="宋体" w:eastAsia="宋体" w:cs="宋体"/>
          <w:b w:val="0"/>
          <w:i w:val="0"/>
          <w:iCs w:val="0"/>
          <w:color w:val="auto"/>
          <w:kern w:val="0"/>
          <w:sz w:val="24"/>
          <w:szCs w:val="24"/>
          <w:u w:val="none"/>
          <w:lang w:val="en-US" w:eastAsia="zh-CN" w:bidi="ar-SA"/>
        </w:rPr>
        <w:t>时间：</w:t>
      </w:r>
      <w:r>
        <w:rPr>
          <w:rFonts w:hint="eastAsia" w:ascii="宋体" w:hAnsi="宋体" w:cs="宋体"/>
          <w:b w:val="0"/>
          <w:i w:val="0"/>
          <w:iCs w:val="0"/>
          <w:color w:val="auto"/>
          <w:kern w:val="0"/>
          <w:sz w:val="24"/>
          <w:szCs w:val="24"/>
          <w:u w:val="single"/>
          <w:lang w:val="en-US" w:eastAsia="zh-CN" w:bidi="ar-SA"/>
        </w:rPr>
        <w:t>2026年06月11日09时00分</w:t>
      </w:r>
      <w:r>
        <w:rPr>
          <w:rFonts w:hint="eastAsia" w:ascii="宋体" w:hAnsi="宋体" w:eastAsia="宋体" w:cs="宋体"/>
          <w:b w:val="0"/>
          <w:i w:val="0"/>
          <w:iCs w:val="0"/>
          <w:color w:val="auto"/>
          <w:kern w:val="0"/>
          <w:sz w:val="24"/>
          <w:szCs w:val="24"/>
          <w:u w:val="single"/>
          <w:lang w:val="en-US" w:eastAsia="zh-CN" w:bidi="ar-SA"/>
        </w:rPr>
        <w:t>（北京时间）</w:t>
      </w:r>
    </w:p>
    <w:p w14:paraId="000B01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color w:val="auto"/>
          <w:kern w:val="0"/>
          <w:sz w:val="24"/>
          <w:szCs w:val="24"/>
          <w:u w:val="single"/>
          <w:lang w:val="en-US" w:eastAsia="zh-CN" w:bidi="ar-SA"/>
        </w:rPr>
      </w:pPr>
      <w:r>
        <w:rPr>
          <w:rFonts w:hint="eastAsia" w:ascii="宋体" w:hAnsi="宋体" w:eastAsia="宋体" w:cs="宋体"/>
          <w:b w:val="0"/>
          <w:i w:val="0"/>
          <w:iCs w:val="0"/>
          <w:color w:val="auto"/>
          <w:kern w:val="0"/>
          <w:sz w:val="24"/>
          <w:szCs w:val="24"/>
          <w:u w:val="none"/>
          <w:lang w:val="en-US" w:eastAsia="zh-CN" w:bidi="ar-SA"/>
        </w:rPr>
        <w:t>地点：</w:t>
      </w:r>
      <w:r>
        <w:rPr>
          <w:rFonts w:hint="eastAsia" w:ascii="宋体" w:hAnsi="宋体"/>
          <w:sz w:val="24"/>
          <w:szCs w:val="24"/>
          <w:lang w:eastAsia="zh-CN"/>
        </w:rPr>
        <w:t>临沧市临翔区忙令路339号三楼开标室</w:t>
      </w:r>
    </w:p>
    <w:p w14:paraId="4C343605">
      <w:pPr>
        <w:pStyle w:val="4"/>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iCs w:val="0"/>
          <w:color w:val="auto"/>
          <w:sz w:val="24"/>
          <w:szCs w:val="24"/>
        </w:rPr>
      </w:pPr>
      <w:bookmarkStart w:id="45" w:name="_Toc244"/>
      <w:bookmarkStart w:id="46" w:name="_Toc21302"/>
      <w:r>
        <w:rPr>
          <w:rFonts w:hint="eastAsia" w:ascii="宋体" w:hAnsi="宋体" w:eastAsia="宋体" w:cs="宋体"/>
          <w:b/>
          <w:bCs/>
          <w:i w:val="0"/>
          <w:iCs w:val="0"/>
          <w:color w:val="auto"/>
          <w:sz w:val="24"/>
          <w:szCs w:val="24"/>
        </w:rPr>
        <w:t>六、公告期限</w:t>
      </w:r>
      <w:bookmarkEnd w:id="41"/>
      <w:bookmarkEnd w:id="42"/>
      <w:bookmarkEnd w:id="43"/>
      <w:bookmarkEnd w:id="44"/>
      <w:bookmarkEnd w:id="45"/>
      <w:bookmarkEnd w:id="46"/>
    </w:p>
    <w:p w14:paraId="6A8624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自本公告发布之日起</w:t>
      </w:r>
      <w:r>
        <w:rPr>
          <w:rFonts w:hint="eastAsia" w:ascii="宋体" w:hAnsi="宋体" w:eastAsia="宋体" w:cs="宋体"/>
          <w:i w:val="0"/>
          <w:iCs w:val="0"/>
          <w:color w:val="auto"/>
          <w:kern w:val="0"/>
          <w:sz w:val="24"/>
          <w:szCs w:val="24"/>
          <w:lang w:val="en-US" w:eastAsia="zh-CN"/>
        </w:rPr>
        <w:t>5</w:t>
      </w:r>
      <w:r>
        <w:rPr>
          <w:rFonts w:hint="eastAsia" w:ascii="宋体" w:hAnsi="宋体" w:eastAsia="宋体" w:cs="宋体"/>
          <w:i w:val="0"/>
          <w:iCs w:val="0"/>
          <w:color w:val="auto"/>
          <w:kern w:val="0"/>
          <w:sz w:val="24"/>
          <w:szCs w:val="24"/>
        </w:rPr>
        <w:t>个工作日。</w:t>
      </w:r>
      <w:bookmarkStart w:id="47" w:name="_Toc35393635"/>
      <w:bookmarkStart w:id="48" w:name="_Toc35393804"/>
    </w:p>
    <w:p w14:paraId="130198B3">
      <w:pPr>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i w:val="0"/>
          <w:iCs w:val="0"/>
          <w:color w:val="auto"/>
          <w:sz w:val="24"/>
          <w:szCs w:val="24"/>
        </w:rPr>
      </w:pPr>
      <w:bookmarkStart w:id="49" w:name="_Toc28863"/>
      <w:bookmarkStart w:id="50" w:name="_Toc32077"/>
      <w:r>
        <w:rPr>
          <w:rFonts w:hint="eastAsia" w:ascii="宋体" w:hAnsi="宋体" w:eastAsia="宋体" w:cs="宋体"/>
          <w:b/>
          <w:bCs/>
          <w:i w:val="0"/>
          <w:iCs w:val="0"/>
          <w:color w:val="auto"/>
          <w:sz w:val="24"/>
          <w:szCs w:val="24"/>
        </w:rPr>
        <w:t>其他补充事宜</w:t>
      </w:r>
      <w:bookmarkEnd w:id="47"/>
      <w:bookmarkEnd w:id="48"/>
      <w:bookmarkEnd w:id="49"/>
      <w:bookmarkEnd w:id="50"/>
      <w:bookmarkStart w:id="51" w:name="_Toc28359018"/>
      <w:bookmarkStart w:id="52" w:name="_Toc28359095"/>
      <w:bookmarkStart w:id="53" w:name="_Toc35393636"/>
      <w:bookmarkStart w:id="54" w:name="_Toc35393805"/>
    </w:p>
    <w:p w14:paraId="7B1F114F">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b w:val="0"/>
          <w:i w:val="0"/>
          <w:iCs w:val="0"/>
          <w:color w:val="auto"/>
          <w:sz w:val="24"/>
          <w:szCs w:val="24"/>
          <w:lang w:val="en-US" w:eastAsia="zh-CN"/>
        </w:rPr>
      </w:pPr>
      <w:r>
        <w:rPr>
          <w:rFonts w:hint="eastAsia" w:ascii="宋体" w:hAnsi="宋体" w:eastAsia="宋体" w:cs="宋体"/>
          <w:b w:val="0"/>
          <w:i w:val="0"/>
          <w:iCs w:val="0"/>
          <w:color w:val="auto"/>
          <w:sz w:val="24"/>
          <w:szCs w:val="24"/>
          <w:lang w:val="en-US" w:eastAsia="zh-CN"/>
        </w:rPr>
        <w:t>1.本次采购公告在云南省政府采购网上发布。请各位供应商在递交投标（响应）文件前随时查看，以获取最新的消息。</w:t>
      </w:r>
    </w:p>
    <w:p w14:paraId="2C472435">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b w:val="0"/>
          <w:i w:val="0"/>
          <w:iCs w:val="0"/>
          <w:color w:val="auto"/>
          <w:sz w:val="24"/>
          <w:szCs w:val="24"/>
          <w:lang w:val="en-US" w:eastAsia="zh-CN"/>
        </w:rPr>
      </w:pPr>
      <w:r>
        <w:rPr>
          <w:rFonts w:hint="eastAsia" w:ascii="宋体" w:hAnsi="宋体" w:eastAsia="宋体" w:cs="宋体"/>
          <w:b w:val="0"/>
          <w:i w:val="0"/>
          <w:iCs w:val="0"/>
          <w:color w:val="auto"/>
          <w:sz w:val="24"/>
          <w:szCs w:val="24"/>
          <w:lang w:val="en-US" w:eastAsia="zh-CN"/>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248AFCCF">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3.</w:t>
      </w:r>
      <w:r>
        <w:rPr>
          <w:rFonts w:hint="eastAsia" w:ascii="宋体" w:hAnsi="宋体" w:eastAsia="宋体" w:cs="宋体"/>
          <w:i w:val="0"/>
          <w:iCs w:val="0"/>
          <w:color w:val="auto"/>
          <w:sz w:val="24"/>
          <w:szCs w:val="24"/>
          <w:lang w:val="en-US" w:eastAsia="zh-CN"/>
        </w:rPr>
        <w:t>因供应商不留意网站公告，导致的结果由其自行负责，采购人及采购代理机构不承担任何责任，采购人及采购代理机构对其他网站发布的同类信息不承担任何责任。</w:t>
      </w:r>
    </w:p>
    <w:p w14:paraId="26DF1EA9">
      <w:pPr>
        <w:keepNext w:val="0"/>
        <w:keepLines w:val="0"/>
        <w:pageBreakBefore w:val="0"/>
        <w:kinsoku/>
        <w:wordWrap/>
        <w:overflowPunct/>
        <w:topLinePunct w:val="0"/>
        <w:autoSpaceDE/>
        <w:autoSpaceDN/>
        <w:bidi w:val="0"/>
        <w:adjustRightInd/>
        <w:snapToGrid/>
        <w:spacing w:line="432" w:lineRule="auto"/>
        <w:ind w:firstLine="482" w:firstLineChars="200"/>
        <w:textAlignment w:val="auto"/>
        <w:outlineLvl w:val="1"/>
        <w:rPr>
          <w:rFonts w:hint="eastAsia" w:ascii="宋体" w:hAnsi="宋体" w:eastAsia="宋体" w:cs="宋体"/>
          <w:b/>
          <w:bCs/>
          <w:i w:val="0"/>
          <w:iCs w:val="0"/>
          <w:color w:val="auto"/>
          <w:sz w:val="24"/>
          <w:szCs w:val="24"/>
        </w:rPr>
      </w:pPr>
      <w:bookmarkStart w:id="55" w:name="_Toc22782"/>
      <w:bookmarkStart w:id="56" w:name="_Toc16650"/>
      <w:r>
        <w:rPr>
          <w:rFonts w:hint="eastAsia" w:ascii="宋体" w:hAnsi="宋体" w:eastAsia="宋体" w:cs="宋体"/>
          <w:b/>
          <w:bCs/>
          <w:i w:val="0"/>
          <w:iCs w:val="0"/>
          <w:color w:val="auto"/>
          <w:sz w:val="24"/>
          <w:szCs w:val="24"/>
        </w:rPr>
        <w:t>八、凡对本次采购提出询问，请按以下方式联系</w:t>
      </w:r>
      <w:bookmarkEnd w:id="51"/>
      <w:bookmarkEnd w:id="52"/>
      <w:bookmarkEnd w:id="53"/>
      <w:bookmarkEnd w:id="54"/>
      <w:bookmarkEnd w:id="55"/>
      <w:bookmarkEnd w:id="56"/>
    </w:p>
    <w:p w14:paraId="5EE1B9D0">
      <w:pPr>
        <w:pageBreakBefore w:val="0"/>
        <w:widowControl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宋体" w:hAnsi="宋体" w:eastAsia="宋体" w:cs="宋体"/>
          <w:b w:val="0"/>
          <w:i w:val="0"/>
          <w:iCs w:val="0"/>
          <w:color w:val="auto"/>
          <w:sz w:val="24"/>
          <w:szCs w:val="24"/>
          <w:highlight w:val="none"/>
        </w:rPr>
      </w:pPr>
      <w:bookmarkStart w:id="57" w:name="_Toc6071"/>
      <w:bookmarkStart w:id="58" w:name="_Toc11335"/>
      <w:bookmarkStart w:id="59" w:name="_Toc2547"/>
      <w:bookmarkStart w:id="60" w:name="_Toc30997"/>
      <w:bookmarkStart w:id="61" w:name="_Toc19496"/>
      <w:bookmarkStart w:id="62" w:name="_Toc35393806"/>
      <w:bookmarkStart w:id="63" w:name="_Toc35393637"/>
      <w:bookmarkStart w:id="64" w:name="_Toc28359019"/>
      <w:bookmarkStart w:id="65" w:name="_Toc28359096"/>
      <w:r>
        <w:rPr>
          <w:rFonts w:hint="eastAsia" w:ascii="宋体" w:hAnsi="宋体" w:eastAsia="宋体" w:cs="宋体"/>
          <w:b w:val="0"/>
          <w:i w:val="0"/>
          <w:iCs w:val="0"/>
          <w:color w:val="auto"/>
          <w:sz w:val="24"/>
          <w:szCs w:val="24"/>
          <w:highlight w:val="none"/>
        </w:rPr>
        <w:t>1.采购人信息</w:t>
      </w:r>
      <w:bookmarkEnd w:id="57"/>
      <w:bookmarkEnd w:id="58"/>
      <w:bookmarkEnd w:id="59"/>
      <w:bookmarkEnd w:id="60"/>
      <w:bookmarkEnd w:id="61"/>
      <w:bookmarkEnd w:id="62"/>
      <w:bookmarkEnd w:id="63"/>
      <w:bookmarkEnd w:id="64"/>
      <w:bookmarkEnd w:id="65"/>
    </w:p>
    <w:p w14:paraId="7663E81C">
      <w:pPr>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名    称：</w:t>
      </w:r>
      <w:r>
        <w:rPr>
          <w:rFonts w:hint="eastAsia" w:ascii="宋体" w:hAnsi="宋体" w:eastAsia="宋体" w:cs="宋体"/>
          <w:i w:val="0"/>
          <w:iCs w:val="0"/>
          <w:color w:val="auto"/>
          <w:sz w:val="24"/>
          <w:szCs w:val="24"/>
          <w:highlight w:val="none"/>
          <w:u w:val="single"/>
          <w:lang w:eastAsia="zh-CN"/>
        </w:rPr>
        <w:t>临沧市工业和信息化局</w:t>
      </w:r>
    </w:p>
    <w:p w14:paraId="66C9B584">
      <w:pPr>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临沧市临翔区</w:t>
      </w:r>
      <w:r>
        <w:rPr>
          <w:rFonts w:hint="eastAsia" w:ascii="宋体" w:hAnsi="宋体" w:eastAsia="宋体" w:cs="宋体"/>
          <w:i w:val="0"/>
          <w:iCs w:val="0"/>
          <w:color w:val="auto"/>
          <w:sz w:val="24"/>
          <w:szCs w:val="24"/>
          <w:highlight w:val="none"/>
          <w:u w:val="single"/>
          <w:lang w:eastAsia="zh-CN"/>
        </w:rPr>
        <w:t>忙令南</w:t>
      </w:r>
      <w:r>
        <w:rPr>
          <w:rFonts w:hint="eastAsia" w:ascii="宋体" w:hAnsi="宋体" w:eastAsia="宋体" w:cs="宋体"/>
          <w:i w:val="0"/>
          <w:iCs w:val="0"/>
          <w:color w:val="auto"/>
          <w:sz w:val="24"/>
          <w:szCs w:val="24"/>
          <w:highlight w:val="none"/>
          <w:u w:val="single"/>
        </w:rPr>
        <w:t>路</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号三楼</w:t>
      </w:r>
    </w:p>
    <w:p w14:paraId="452B9E45">
      <w:pPr>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u w:val="single"/>
        </w:rPr>
        <w:t>13</w:t>
      </w:r>
      <w:r>
        <w:rPr>
          <w:rFonts w:hint="eastAsia" w:ascii="宋体" w:hAnsi="宋体" w:eastAsia="宋体" w:cs="宋体"/>
          <w:i w:val="0"/>
          <w:iCs w:val="0"/>
          <w:color w:val="auto"/>
          <w:sz w:val="24"/>
          <w:szCs w:val="24"/>
          <w:highlight w:val="none"/>
          <w:u w:val="single"/>
          <w:lang w:val="en-US" w:eastAsia="zh-CN"/>
        </w:rPr>
        <w:t>759340060</w:t>
      </w:r>
    </w:p>
    <w:p w14:paraId="5C025AB0">
      <w:pPr>
        <w:pageBreakBefore w:val="0"/>
        <w:widowControl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宋体" w:hAnsi="宋体" w:eastAsia="宋体" w:cs="宋体"/>
          <w:b w:val="0"/>
          <w:i w:val="0"/>
          <w:iCs w:val="0"/>
          <w:color w:val="auto"/>
          <w:sz w:val="24"/>
          <w:szCs w:val="24"/>
          <w:highlight w:val="none"/>
        </w:rPr>
      </w:pPr>
      <w:bookmarkStart w:id="66" w:name="_Toc35393807"/>
      <w:bookmarkStart w:id="67" w:name="_Toc22976"/>
      <w:bookmarkStart w:id="68" w:name="_Toc12501"/>
      <w:bookmarkStart w:id="69" w:name="_Toc28359020"/>
      <w:bookmarkStart w:id="70" w:name="_Toc28359097"/>
      <w:bookmarkStart w:id="71" w:name="_Toc26044"/>
      <w:bookmarkStart w:id="72" w:name="_Toc35393638"/>
      <w:bookmarkStart w:id="73" w:name="_Toc9923"/>
      <w:bookmarkStart w:id="74" w:name="_Toc25699"/>
      <w:r>
        <w:rPr>
          <w:rFonts w:hint="eastAsia" w:ascii="宋体" w:hAnsi="宋体" w:eastAsia="宋体" w:cs="宋体"/>
          <w:b w:val="0"/>
          <w:i w:val="0"/>
          <w:iCs w:val="0"/>
          <w:color w:val="auto"/>
          <w:sz w:val="24"/>
          <w:szCs w:val="24"/>
          <w:highlight w:val="none"/>
        </w:rPr>
        <w:t>2.采购代理机构信息</w:t>
      </w:r>
      <w:bookmarkEnd w:id="66"/>
      <w:bookmarkEnd w:id="67"/>
      <w:bookmarkEnd w:id="68"/>
      <w:bookmarkEnd w:id="69"/>
      <w:bookmarkEnd w:id="70"/>
      <w:bookmarkEnd w:id="71"/>
      <w:bookmarkEnd w:id="72"/>
      <w:bookmarkEnd w:id="73"/>
      <w:bookmarkEnd w:id="74"/>
    </w:p>
    <w:p w14:paraId="5FEFB237">
      <w:pPr>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u w:val="single"/>
          <w:lang w:eastAsia="zh-CN"/>
        </w:rPr>
        <w:t>云南万合工程管理有限公司</w:t>
      </w:r>
    </w:p>
    <w:p w14:paraId="2E70AD14">
      <w:pPr>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临沧市临翔区</w:t>
      </w:r>
      <w:r>
        <w:rPr>
          <w:rFonts w:hint="eastAsia" w:ascii="宋体" w:hAnsi="宋体" w:cs="宋体"/>
          <w:i w:val="0"/>
          <w:iCs w:val="0"/>
          <w:color w:val="auto"/>
          <w:sz w:val="24"/>
          <w:szCs w:val="24"/>
          <w:highlight w:val="none"/>
          <w:u w:val="single"/>
          <w:lang w:val="en-US" w:eastAsia="zh-CN"/>
        </w:rPr>
        <w:t>忙令路339号</w:t>
      </w:r>
    </w:p>
    <w:p w14:paraId="753EE6C2">
      <w:pPr>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cs="宋体"/>
          <w:i w:val="0"/>
          <w:iCs w:val="0"/>
          <w:color w:val="auto"/>
          <w:sz w:val="24"/>
          <w:szCs w:val="24"/>
          <w:highlight w:val="none"/>
          <w:u w:val="single"/>
          <w:lang w:val="en-US" w:eastAsia="zh-CN"/>
        </w:rPr>
        <w:t>18187099147</w:t>
      </w:r>
    </w:p>
    <w:p w14:paraId="571C66BB">
      <w:pPr>
        <w:pageBreakBefore w:val="0"/>
        <w:widowControl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宋体" w:hAnsi="宋体" w:eastAsia="宋体" w:cs="宋体"/>
          <w:b w:val="0"/>
          <w:i w:val="0"/>
          <w:iCs w:val="0"/>
          <w:color w:val="auto"/>
          <w:sz w:val="24"/>
          <w:szCs w:val="24"/>
          <w:highlight w:val="none"/>
        </w:rPr>
      </w:pPr>
      <w:bookmarkStart w:id="75" w:name="_Toc5843"/>
      <w:bookmarkStart w:id="76" w:name="_Toc35393808"/>
      <w:bookmarkStart w:id="77" w:name="_Toc15996"/>
      <w:bookmarkStart w:id="78" w:name="_Toc5521"/>
      <w:bookmarkStart w:id="79" w:name="_Toc28359021"/>
      <w:bookmarkStart w:id="80" w:name="_Toc28359098"/>
      <w:bookmarkStart w:id="81" w:name="_Toc28269"/>
      <w:bookmarkStart w:id="82" w:name="_Toc17444"/>
      <w:bookmarkStart w:id="83" w:name="_Toc35393639"/>
      <w:r>
        <w:rPr>
          <w:rFonts w:hint="eastAsia" w:ascii="宋体" w:hAnsi="宋体" w:eastAsia="宋体" w:cs="宋体"/>
          <w:b w:val="0"/>
          <w:i w:val="0"/>
          <w:iCs w:val="0"/>
          <w:color w:val="auto"/>
          <w:sz w:val="24"/>
          <w:szCs w:val="24"/>
          <w:highlight w:val="none"/>
        </w:rPr>
        <w:t>3.项目联系方式</w:t>
      </w:r>
      <w:bookmarkEnd w:id="75"/>
      <w:bookmarkEnd w:id="76"/>
      <w:bookmarkEnd w:id="77"/>
      <w:bookmarkEnd w:id="78"/>
      <w:bookmarkEnd w:id="79"/>
      <w:bookmarkEnd w:id="80"/>
      <w:bookmarkEnd w:id="81"/>
      <w:bookmarkEnd w:id="82"/>
      <w:bookmarkEnd w:id="83"/>
    </w:p>
    <w:p w14:paraId="1C944E74">
      <w:pPr>
        <w:pStyle w:val="14"/>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项目联系人</w:t>
      </w:r>
      <w:r>
        <w:rPr>
          <w:rFonts w:hint="eastAsia" w:ascii="宋体" w:hAnsi="宋体" w:eastAsia="宋体" w:cs="宋体"/>
          <w:i w:val="0"/>
          <w:iCs w:val="0"/>
          <w:color w:val="auto"/>
          <w:sz w:val="24"/>
          <w:szCs w:val="24"/>
          <w:highlight w:val="none"/>
          <w:u w:val="single"/>
        </w:rPr>
        <w:t>：</w:t>
      </w:r>
      <w:r>
        <w:rPr>
          <w:rFonts w:hint="eastAsia" w:hAnsi="宋体" w:cs="宋体"/>
          <w:i w:val="0"/>
          <w:iCs w:val="0"/>
          <w:color w:val="auto"/>
          <w:sz w:val="24"/>
          <w:szCs w:val="24"/>
          <w:highlight w:val="none"/>
          <w:u w:val="single"/>
          <w:lang w:val="en-US" w:eastAsia="zh-CN"/>
        </w:rPr>
        <w:t>宋工、王工</w:t>
      </w:r>
    </w:p>
    <w:p w14:paraId="47AFF9E0">
      <w:pPr>
        <w:pageBreakBefore w:val="0"/>
        <w:widowControl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宋体" w:hAnsi="宋体" w:eastAsia="宋体" w:cs="宋体"/>
          <w:color w:val="auto"/>
        </w:rPr>
      </w:pPr>
      <w:r>
        <w:rPr>
          <w:rFonts w:hint="eastAsia" w:ascii="宋体" w:hAnsi="宋体" w:eastAsia="宋体" w:cs="宋体"/>
          <w:i w:val="0"/>
          <w:iCs w:val="0"/>
          <w:color w:val="auto"/>
          <w:sz w:val="24"/>
          <w:szCs w:val="24"/>
          <w:highlight w:val="none"/>
        </w:rPr>
        <w:t>电　　 话：</w:t>
      </w:r>
      <w:r>
        <w:rPr>
          <w:rFonts w:hint="eastAsia" w:ascii="宋体" w:hAnsi="宋体" w:cs="宋体"/>
          <w:i w:val="0"/>
          <w:iCs w:val="0"/>
          <w:color w:val="auto"/>
          <w:sz w:val="24"/>
          <w:szCs w:val="24"/>
          <w:highlight w:val="none"/>
          <w:u w:val="single"/>
          <w:lang w:val="en-US" w:eastAsia="zh-CN"/>
        </w:rPr>
        <w:t>18187099147、18183610257</w:t>
      </w:r>
      <w:r>
        <w:rPr>
          <w:rFonts w:hint="eastAsia" w:ascii="宋体" w:hAnsi="宋体" w:eastAsia="宋体" w:cs="宋体"/>
          <w:i w:val="0"/>
          <w:caps w:val="0"/>
          <w:color w:val="auto"/>
          <w:spacing w:val="0"/>
          <w:kern w:val="0"/>
          <w:sz w:val="24"/>
          <w:szCs w:val="24"/>
          <w:shd w:val="clear" w:color="auto" w:fill="FFFFFF"/>
          <w:lang w:val="en-US" w:eastAsia="zh-CN" w:bidi="ar"/>
        </w:rPr>
        <w:t xml:space="preserve">   </w:t>
      </w:r>
      <w:r>
        <w:rPr>
          <w:rFonts w:hint="eastAsia" w:ascii="宋体" w:hAnsi="宋体" w:eastAsia="宋体" w:cs="宋体"/>
          <w:i w:val="0"/>
          <w:caps w:val="0"/>
          <w:color w:val="auto"/>
          <w:spacing w:val="0"/>
          <w:kern w:val="0"/>
          <w:sz w:val="21"/>
          <w:szCs w:val="21"/>
          <w:shd w:val="clear" w:color="auto" w:fill="FFFFFF"/>
          <w:lang w:val="en-US" w:eastAsia="zh-CN" w:bidi="ar"/>
        </w:rPr>
        <w:t xml:space="preserve">        </w:t>
      </w:r>
    </w:p>
    <w:p w14:paraId="55A0460B">
      <w:pPr>
        <w:pageBreakBefore w:val="0"/>
        <w:widowControl w:val="0"/>
        <w:kinsoku/>
        <w:wordWrap/>
        <w:overflowPunct/>
        <w:topLinePunct w:val="0"/>
        <w:bidi w:val="0"/>
        <w:snapToGrid/>
        <w:spacing w:line="360" w:lineRule="auto"/>
        <w:ind w:firstLine="1205" w:firstLineChars="300"/>
        <w:jc w:val="center"/>
        <w:textAlignment w:val="auto"/>
        <w:outlineLvl w:val="0"/>
        <w:rPr>
          <w:rFonts w:hint="eastAsia" w:ascii="宋体" w:hAnsi="宋体" w:eastAsia="宋体" w:cs="宋体"/>
          <w:b/>
          <w:bCs/>
          <w:color w:val="auto"/>
          <w:sz w:val="40"/>
          <w:szCs w:val="40"/>
        </w:rPr>
        <w:sectPr>
          <w:footerReference r:id="rId6" w:type="default"/>
          <w:pgSz w:w="11906" w:h="16838"/>
          <w:pgMar w:top="1440" w:right="1080" w:bottom="1440" w:left="1080" w:header="851" w:footer="851" w:gutter="0"/>
          <w:pgNumType w:fmt="decimal"/>
          <w:cols w:space="708" w:num="1"/>
          <w:docGrid w:linePitch="312" w:charSpace="0"/>
        </w:sectPr>
      </w:pPr>
    </w:p>
    <w:bookmarkEnd w:id="3"/>
    <w:bookmarkEnd w:id="9"/>
    <w:bookmarkEnd w:id="10"/>
    <w:p w14:paraId="72673536">
      <w:pPr>
        <w:pageBreakBefore w:val="0"/>
        <w:widowControl w:val="0"/>
        <w:kinsoku/>
        <w:wordWrap/>
        <w:overflowPunct/>
        <w:topLinePunct w:val="0"/>
        <w:bidi w:val="0"/>
        <w:snapToGrid/>
        <w:spacing w:line="360" w:lineRule="auto"/>
        <w:jc w:val="center"/>
        <w:textAlignment w:val="auto"/>
        <w:outlineLvl w:val="0"/>
        <w:rPr>
          <w:rFonts w:hint="eastAsia" w:ascii="黑体" w:hAnsi="黑体" w:eastAsia="黑体" w:cs="黑体"/>
          <w:color w:val="auto"/>
          <w:sz w:val="56"/>
          <w:szCs w:val="56"/>
        </w:rPr>
      </w:pPr>
      <w:bookmarkStart w:id="84" w:name="_Toc388"/>
      <w:bookmarkStart w:id="85" w:name="_Toc23201"/>
      <w:bookmarkStart w:id="86" w:name="_Toc139811273"/>
      <w:bookmarkStart w:id="87" w:name="_Toc78603104"/>
      <w:bookmarkStart w:id="88" w:name="_Toc29357077"/>
      <w:bookmarkStart w:id="89" w:name="_Toc78603129"/>
      <w:r>
        <w:rPr>
          <w:rFonts w:hint="eastAsia" w:ascii="黑体" w:hAnsi="黑体" w:eastAsia="黑体" w:cs="黑体"/>
          <w:b/>
          <w:bCs/>
          <w:color w:val="auto"/>
          <w:sz w:val="36"/>
          <w:szCs w:val="36"/>
        </w:rPr>
        <w:t>第二章</w:t>
      </w:r>
      <w:r>
        <w:rPr>
          <w:rFonts w:hint="eastAsia" w:ascii="黑体" w:hAnsi="黑体" w:eastAsia="黑体" w:cs="黑体"/>
          <w:b/>
          <w:bCs/>
          <w:color w:val="auto"/>
          <w:sz w:val="36"/>
          <w:szCs w:val="36"/>
          <w:lang w:val="en-US" w:eastAsia="zh-CN"/>
        </w:rPr>
        <w:t xml:space="preserve"> </w:t>
      </w:r>
      <w:r>
        <w:rPr>
          <w:rFonts w:hint="eastAsia" w:ascii="黑体" w:hAnsi="黑体" w:eastAsia="黑体" w:cs="黑体"/>
          <w:b/>
          <w:bCs/>
          <w:color w:val="auto"/>
          <w:sz w:val="36"/>
          <w:szCs w:val="36"/>
          <w:lang w:eastAsia="zh-CN"/>
        </w:rPr>
        <w:t>供应商</w:t>
      </w:r>
      <w:r>
        <w:rPr>
          <w:rFonts w:hint="eastAsia" w:ascii="黑体" w:hAnsi="黑体" w:eastAsia="黑体" w:cs="黑体"/>
          <w:b/>
          <w:bCs/>
          <w:color w:val="auto"/>
          <w:sz w:val="36"/>
          <w:szCs w:val="36"/>
        </w:rPr>
        <w:t>须知</w:t>
      </w:r>
      <w:bookmarkEnd w:id="84"/>
      <w:bookmarkEnd w:id="85"/>
    </w:p>
    <w:p w14:paraId="60B72ED5">
      <w:pPr>
        <w:pStyle w:val="4"/>
        <w:spacing w:before="0"/>
        <w:rPr>
          <w:rFonts w:hint="eastAsia" w:ascii="宋体" w:hAnsi="宋体" w:cs="宋体"/>
          <w:color w:val="auto"/>
          <w:szCs w:val="28"/>
        </w:rPr>
      </w:pPr>
      <w:bookmarkStart w:id="90" w:name="_Toc18828"/>
      <w:bookmarkStart w:id="91" w:name="_Toc18155"/>
      <w:bookmarkStart w:id="92" w:name="_Toc28614"/>
      <w:bookmarkStart w:id="93" w:name="_Toc491307461"/>
      <w:bookmarkStart w:id="94" w:name="_Toc86124039"/>
      <w:r>
        <w:rPr>
          <w:rFonts w:hint="eastAsia" w:ascii="宋体" w:hAnsi="宋体" w:cs="宋体"/>
          <w:color w:val="auto"/>
          <w:szCs w:val="28"/>
        </w:rPr>
        <w:t>供应商须知前附表</w:t>
      </w:r>
      <w:bookmarkEnd w:id="90"/>
      <w:bookmarkEnd w:id="91"/>
      <w:bookmarkEnd w:id="92"/>
      <w:bookmarkEnd w:id="93"/>
    </w:p>
    <w:tbl>
      <w:tblPr>
        <w:tblStyle w:val="25"/>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1"/>
        <w:gridCol w:w="2208"/>
        <w:gridCol w:w="6914"/>
      </w:tblGrid>
      <w:tr w14:paraId="3118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751" w:type="dxa"/>
            <w:vAlign w:val="center"/>
          </w:tcPr>
          <w:p w14:paraId="1094E39C">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08" w:type="dxa"/>
            <w:vAlign w:val="center"/>
          </w:tcPr>
          <w:p w14:paraId="7CDFF82C">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6914" w:type="dxa"/>
            <w:vAlign w:val="center"/>
          </w:tcPr>
          <w:p w14:paraId="60BEDC00">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14:paraId="4189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751" w:type="dxa"/>
            <w:vAlign w:val="center"/>
          </w:tcPr>
          <w:p w14:paraId="2E4E3147">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w:t>
            </w:r>
          </w:p>
        </w:tc>
        <w:tc>
          <w:tcPr>
            <w:tcW w:w="2208" w:type="dxa"/>
            <w:vAlign w:val="center"/>
          </w:tcPr>
          <w:p w14:paraId="6350E231">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w:t>
            </w:r>
          </w:p>
        </w:tc>
        <w:tc>
          <w:tcPr>
            <w:tcW w:w="6914" w:type="dxa"/>
            <w:vAlign w:val="center"/>
          </w:tcPr>
          <w:p w14:paraId="21629BEF">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称：临沧市工业和信息化局</w:t>
            </w:r>
          </w:p>
          <w:p w14:paraId="5E876B15">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址：临沧市临翔区忙令南路15号三楼</w:t>
            </w:r>
          </w:p>
          <w:p w14:paraId="4663846C">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联系人：陈工</w:t>
            </w:r>
          </w:p>
          <w:p w14:paraId="3717709C">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话：13759340060</w:t>
            </w:r>
          </w:p>
        </w:tc>
      </w:tr>
      <w:tr w14:paraId="419A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751" w:type="dxa"/>
            <w:vAlign w:val="center"/>
          </w:tcPr>
          <w:p w14:paraId="6717BE10">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w:t>
            </w:r>
          </w:p>
        </w:tc>
        <w:tc>
          <w:tcPr>
            <w:tcW w:w="2208" w:type="dxa"/>
            <w:vAlign w:val="center"/>
          </w:tcPr>
          <w:p w14:paraId="23FB5F11">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采购代理机构</w:t>
            </w:r>
          </w:p>
        </w:tc>
        <w:tc>
          <w:tcPr>
            <w:tcW w:w="6914" w:type="dxa"/>
            <w:vAlign w:val="center"/>
          </w:tcPr>
          <w:p w14:paraId="4AD730E5">
            <w:pPr>
              <w:keepNext w:val="0"/>
              <w:keepLines w:val="0"/>
              <w:pageBreakBefore w:val="0"/>
              <w:tabs>
                <w:tab w:val="left" w:pos="720"/>
                <w:tab w:val="left" w:pos="8295"/>
              </w:tabs>
              <w:kinsoku/>
              <w:overflowPunct/>
              <w:topLinePunct w:val="0"/>
              <w:bidi w:val="0"/>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bCs/>
                <w:color w:val="auto"/>
                <w:sz w:val="24"/>
                <w:szCs w:val="24"/>
                <w:lang w:eastAsia="zh-CN"/>
              </w:rPr>
              <w:t>云南万合工程管理有限公司</w:t>
            </w:r>
          </w:p>
          <w:p w14:paraId="63840277">
            <w:pPr>
              <w:keepNext w:val="0"/>
              <w:keepLines w:val="0"/>
              <w:pageBreakBefore w:val="0"/>
              <w:tabs>
                <w:tab w:val="left" w:pos="720"/>
                <w:tab w:val="left" w:pos="8295"/>
              </w:tabs>
              <w:kinsoku/>
              <w:overflowPunct/>
              <w:topLinePunct w:val="0"/>
              <w:bidi w:val="0"/>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地</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址：</w:t>
            </w:r>
            <w:r>
              <w:rPr>
                <w:rFonts w:hint="eastAsia" w:ascii="宋体" w:hAnsi="宋体" w:eastAsia="宋体" w:cs="宋体"/>
                <w:bCs/>
                <w:color w:val="auto"/>
                <w:sz w:val="24"/>
                <w:szCs w:val="24"/>
                <w:lang w:eastAsia="zh-CN"/>
              </w:rPr>
              <w:t>临沧市临翔区忙令路339号</w:t>
            </w:r>
          </w:p>
          <w:p w14:paraId="665DF569">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联系人：宋工、王工</w:t>
            </w:r>
          </w:p>
          <w:p w14:paraId="34DA4825">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eastAsia="宋体" w:cs="宋体"/>
                <w:bCs/>
                <w:color w:val="auto"/>
                <w:sz w:val="24"/>
                <w:szCs w:val="24"/>
                <w:lang w:eastAsia="zh-CN"/>
              </w:rPr>
              <w:t xml:space="preserve">18187099147、18183610257 </w:t>
            </w:r>
          </w:p>
        </w:tc>
      </w:tr>
      <w:tr w14:paraId="2916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51" w:type="dxa"/>
            <w:vAlign w:val="center"/>
          </w:tcPr>
          <w:p w14:paraId="72DE4C34">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w:t>
            </w:r>
          </w:p>
        </w:tc>
        <w:tc>
          <w:tcPr>
            <w:tcW w:w="2208" w:type="dxa"/>
            <w:vAlign w:val="center"/>
          </w:tcPr>
          <w:p w14:paraId="56622BBA">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项目名称及</w:t>
            </w:r>
          </w:p>
          <w:p w14:paraId="265FE01C">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914" w:type="dxa"/>
            <w:vAlign w:val="center"/>
          </w:tcPr>
          <w:p w14:paraId="7DD47BCB">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pacing w:val="-4"/>
                <w:sz w:val="24"/>
                <w:szCs w:val="24"/>
                <w:lang w:eastAsia="zh-CN"/>
              </w:rPr>
            </w:pPr>
            <w:r>
              <w:rPr>
                <w:rFonts w:hint="eastAsia" w:ascii="宋体" w:hAnsi="宋体" w:eastAsia="宋体" w:cs="宋体"/>
                <w:color w:val="auto"/>
                <w:sz w:val="24"/>
                <w:szCs w:val="24"/>
              </w:rPr>
              <w:t>项目名称：临沧市2026年度无线电监测设施设备运行保障及专业维修维护技术服务</w:t>
            </w:r>
          </w:p>
          <w:p w14:paraId="4E657777">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pacing w:val="-8"/>
                <w:sz w:val="24"/>
                <w:szCs w:val="24"/>
                <w:lang w:eastAsia="zh-CN"/>
              </w:rPr>
            </w:pPr>
            <w:r>
              <w:rPr>
                <w:rFonts w:hint="eastAsia" w:ascii="宋体" w:hAnsi="宋体" w:eastAsia="宋体" w:cs="宋体"/>
                <w:color w:val="auto"/>
                <w:sz w:val="24"/>
                <w:szCs w:val="24"/>
              </w:rPr>
              <w:t>项目编号：LCZC2026-C3-00392-YNWH-0010</w:t>
            </w:r>
          </w:p>
        </w:tc>
      </w:tr>
      <w:tr w14:paraId="12F2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1" w:type="dxa"/>
            <w:vAlign w:val="center"/>
          </w:tcPr>
          <w:p w14:paraId="18FE0A8D">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208" w:type="dxa"/>
            <w:vAlign w:val="center"/>
          </w:tcPr>
          <w:p w14:paraId="0D52AD5B">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资金来源及预算金额</w:t>
            </w:r>
          </w:p>
        </w:tc>
        <w:tc>
          <w:tcPr>
            <w:tcW w:w="6914" w:type="dxa"/>
            <w:vAlign w:val="center"/>
          </w:tcPr>
          <w:p w14:paraId="02957D96">
            <w:pPr>
              <w:keepNext w:val="0"/>
              <w:keepLines w:val="0"/>
              <w:pageBreakBefore w:val="0"/>
              <w:kinsoku/>
              <w:overflowPunct/>
              <w:topLinePunct w:val="0"/>
              <w:bidi w:val="0"/>
              <w:snapToGrid/>
              <w:spacing w:before="40" w:after="4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财政资金，预算金额</w:t>
            </w:r>
            <w:r>
              <w:rPr>
                <w:rFonts w:hint="eastAsia" w:ascii="宋体" w:hAnsi="宋体" w:eastAsia="宋体" w:cs="宋体"/>
                <w:i w:val="0"/>
                <w:iCs w:val="0"/>
                <w:color w:val="auto"/>
                <w:sz w:val="24"/>
                <w:szCs w:val="24"/>
                <w:shd w:val="clear"/>
              </w:rPr>
              <w:t>122.102</w:t>
            </w:r>
            <w:r>
              <w:rPr>
                <w:rFonts w:hint="eastAsia" w:ascii="宋体" w:hAnsi="宋体" w:eastAsia="宋体" w:cs="宋体"/>
                <w:i w:val="0"/>
                <w:iCs w:val="0"/>
                <w:color w:val="auto"/>
                <w:sz w:val="24"/>
                <w:szCs w:val="24"/>
                <w:shd w:val="clear"/>
                <w:lang w:val="en-US" w:eastAsia="zh-CN"/>
              </w:rPr>
              <w:t>万</w:t>
            </w:r>
            <w:r>
              <w:rPr>
                <w:rFonts w:hint="eastAsia" w:ascii="宋体" w:hAnsi="宋体" w:eastAsia="宋体" w:cs="宋体"/>
                <w:i w:val="0"/>
                <w:iCs w:val="0"/>
                <w:color w:val="auto"/>
                <w:sz w:val="24"/>
                <w:szCs w:val="24"/>
                <w:highlight w:val="none"/>
                <w:shd w:val="clear"/>
                <w:lang w:val="en-US" w:eastAsia="zh-CN"/>
              </w:rPr>
              <w:t>元</w:t>
            </w:r>
            <w:r>
              <w:rPr>
                <w:rFonts w:hint="eastAsia" w:ascii="宋体" w:hAnsi="宋体" w:eastAsia="宋体" w:cs="宋体"/>
                <w:color w:val="auto"/>
                <w:sz w:val="24"/>
                <w:szCs w:val="24"/>
              </w:rPr>
              <w:t>。</w:t>
            </w:r>
          </w:p>
        </w:tc>
      </w:tr>
      <w:tr w14:paraId="3E7B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751" w:type="dxa"/>
            <w:vAlign w:val="center"/>
          </w:tcPr>
          <w:p w14:paraId="0699216B">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2208" w:type="dxa"/>
            <w:vAlign w:val="center"/>
          </w:tcPr>
          <w:p w14:paraId="059A387E">
            <w:pPr>
              <w:keepNext w:val="0"/>
              <w:keepLines w:val="0"/>
              <w:pageBreakBefore w:val="0"/>
              <w:kinsoku/>
              <w:overflowPunct/>
              <w:topLinePunct w:val="0"/>
              <w:autoSpaceDE w:val="0"/>
              <w:autoSpaceDN w:val="0"/>
              <w:bidi w:val="0"/>
              <w:adjustRightInd w:val="0"/>
              <w:snapToGrid/>
              <w:spacing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914" w:type="dxa"/>
            <w:vAlign w:val="center"/>
          </w:tcPr>
          <w:p w14:paraId="04AEC5D1">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具体采购内容详见第五章《采购需求》</w:t>
            </w:r>
          </w:p>
        </w:tc>
      </w:tr>
      <w:tr w14:paraId="7D9D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751" w:type="dxa"/>
            <w:vAlign w:val="center"/>
          </w:tcPr>
          <w:p w14:paraId="5F2197DA">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2208" w:type="dxa"/>
            <w:vAlign w:val="center"/>
          </w:tcPr>
          <w:p w14:paraId="10291BBF">
            <w:pPr>
              <w:keepNext w:val="0"/>
              <w:keepLines w:val="0"/>
              <w:pageBreakBefore w:val="0"/>
              <w:kinsoku/>
              <w:overflowPunct/>
              <w:topLinePunct w:val="0"/>
              <w:autoSpaceDE w:val="0"/>
              <w:autoSpaceDN w:val="0"/>
              <w:bidi w:val="0"/>
              <w:adjustRightInd w:val="0"/>
              <w:snapToGrid/>
              <w:spacing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合同履行期限及服务地点</w:t>
            </w:r>
          </w:p>
        </w:tc>
        <w:tc>
          <w:tcPr>
            <w:tcW w:w="6914" w:type="dxa"/>
            <w:vAlign w:val="center"/>
          </w:tcPr>
          <w:p w14:paraId="7013B072">
            <w:pPr>
              <w:keepNext w:val="0"/>
              <w:keepLines w:val="0"/>
              <w:pageBreakBefore w:val="0"/>
              <w:kinsoku/>
              <w:overflowPunct/>
              <w:topLinePunct w:val="0"/>
              <w:bidi w:val="0"/>
              <w:snapToGrid/>
              <w:spacing w:line="360" w:lineRule="auto"/>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合同履行期限：</w:t>
            </w:r>
            <w:r>
              <w:rPr>
                <w:rFonts w:hint="eastAsia" w:ascii="宋体" w:hAnsi="宋体" w:cs="宋体"/>
                <w:i w:val="0"/>
                <w:iCs w:val="0"/>
                <w:color w:val="auto"/>
                <w:sz w:val="24"/>
                <w:szCs w:val="24"/>
                <w:highlight w:val="none"/>
                <w:lang w:val="en-US" w:eastAsia="zh-CN"/>
              </w:rPr>
              <w:t>1年，</w:t>
            </w:r>
            <w:r>
              <w:rPr>
                <w:rFonts w:hint="eastAsia" w:ascii="宋体" w:hAnsi="宋体" w:eastAsia="宋体" w:cs="宋体"/>
                <w:i w:val="0"/>
                <w:iCs w:val="0"/>
                <w:color w:val="auto"/>
                <w:sz w:val="24"/>
                <w:szCs w:val="24"/>
                <w:lang w:val="en-US" w:eastAsia="zh-CN"/>
              </w:rPr>
              <w:t>自合同签订之日起</w:t>
            </w:r>
            <w:r>
              <w:rPr>
                <w:rFonts w:hint="eastAsia" w:ascii="宋体" w:hAnsi="宋体" w:cs="宋体"/>
                <w:i w:val="0"/>
                <w:iCs w:val="0"/>
                <w:color w:val="auto"/>
                <w:sz w:val="24"/>
                <w:szCs w:val="24"/>
                <w:lang w:val="en-US" w:eastAsia="zh-CN"/>
              </w:rPr>
              <w:t>算。</w:t>
            </w:r>
          </w:p>
          <w:p w14:paraId="5373B622">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服务地点：</w:t>
            </w:r>
            <w:r>
              <w:rPr>
                <w:rFonts w:hint="eastAsia" w:ascii="宋体" w:hAnsi="宋体" w:eastAsia="宋体" w:cs="宋体"/>
                <w:color w:val="auto"/>
                <w:sz w:val="24"/>
                <w:szCs w:val="24"/>
                <w:lang w:val="en-US" w:eastAsia="zh-CN"/>
              </w:rPr>
              <w:t>采购人指定地点</w:t>
            </w:r>
            <w:r>
              <w:rPr>
                <w:rFonts w:hint="eastAsia" w:ascii="宋体" w:hAnsi="宋体" w:eastAsia="宋体" w:cs="宋体"/>
                <w:color w:val="auto"/>
                <w:sz w:val="24"/>
                <w:szCs w:val="24"/>
              </w:rPr>
              <w:t>。</w:t>
            </w:r>
          </w:p>
        </w:tc>
      </w:tr>
      <w:tr w14:paraId="188C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4E7AFEB2">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2208" w:type="dxa"/>
            <w:vAlign w:val="center"/>
          </w:tcPr>
          <w:p w14:paraId="5BBBE917">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供应商资格要求</w:t>
            </w:r>
          </w:p>
        </w:tc>
        <w:tc>
          <w:tcPr>
            <w:tcW w:w="6914" w:type="dxa"/>
            <w:vAlign w:val="center"/>
          </w:tcPr>
          <w:p w14:paraId="522175DE">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详见竞争性磋商文件第一章《竞争性磋商公告》</w:t>
            </w:r>
          </w:p>
        </w:tc>
      </w:tr>
      <w:tr w14:paraId="6EAA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45577145">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2208" w:type="dxa"/>
            <w:vAlign w:val="center"/>
          </w:tcPr>
          <w:p w14:paraId="07DE71AB">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采购人根据本项目的特殊要求规定供应商应具备的特定条件</w:t>
            </w:r>
          </w:p>
        </w:tc>
        <w:tc>
          <w:tcPr>
            <w:tcW w:w="6914" w:type="dxa"/>
            <w:vAlign w:val="center"/>
          </w:tcPr>
          <w:p w14:paraId="7EBED2D1">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详见竞争性磋商文件第一章《竞争性磋商公告》</w:t>
            </w:r>
          </w:p>
        </w:tc>
      </w:tr>
      <w:tr w14:paraId="030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10A394FA">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2208" w:type="dxa"/>
            <w:vAlign w:val="center"/>
          </w:tcPr>
          <w:p w14:paraId="3E828459">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是否接受联合体参加</w:t>
            </w:r>
          </w:p>
        </w:tc>
        <w:tc>
          <w:tcPr>
            <w:tcW w:w="6914" w:type="dxa"/>
            <w:vAlign w:val="center"/>
          </w:tcPr>
          <w:p w14:paraId="5ECE29BC">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59FF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top"/>
          </w:tcPr>
          <w:p w14:paraId="50714E3F">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2208" w:type="dxa"/>
            <w:vAlign w:val="top"/>
          </w:tcPr>
          <w:p w14:paraId="7BA7AA53">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现场考察</w:t>
            </w:r>
          </w:p>
        </w:tc>
        <w:tc>
          <w:tcPr>
            <w:tcW w:w="6914" w:type="dxa"/>
            <w:vAlign w:val="top"/>
          </w:tcPr>
          <w:p w14:paraId="1FAABD4D">
            <w:pPr>
              <w:keepNext w:val="0"/>
              <w:keepLines w:val="0"/>
              <w:pageBreakBefore w:val="0"/>
              <w:kinsoku/>
              <w:overflowPunct/>
              <w:topLinePunct w:val="0"/>
              <w:bidi w:val="0"/>
              <w:snapToGrid/>
              <w:spacing w:before="40" w:after="4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不组织</w:t>
            </w:r>
          </w:p>
        </w:tc>
      </w:tr>
      <w:tr w14:paraId="7F61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7725AE25">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2208" w:type="dxa"/>
            <w:vAlign w:val="center"/>
          </w:tcPr>
          <w:p w14:paraId="0D323F0A">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磋商前答疑会</w:t>
            </w:r>
          </w:p>
        </w:tc>
        <w:tc>
          <w:tcPr>
            <w:tcW w:w="6914" w:type="dxa"/>
            <w:vAlign w:val="center"/>
          </w:tcPr>
          <w:p w14:paraId="1CB832EC">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不组织</w:t>
            </w:r>
          </w:p>
        </w:tc>
      </w:tr>
      <w:tr w14:paraId="4C3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751" w:type="dxa"/>
            <w:vAlign w:val="center"/>
          </w:tcPr>
          <w:p w14:paraId="73FCD553">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1</w:t>
            </w:r>
          </w:p>
        </w:tc>
        <w:tc>
          <w:tcPr>
            <w:tcW w:w="2208" w:type="dxa"/>
            <w:vAlign w:val="center"/>
          </w:tcPr>
          <w:p w14:paraId="0FB6CD28">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竞争性磋商文件的询问时间</w:t>
            </w:r>
          </w:p>
        </w:tc>
        <w:tc>
          <w:tcPr>
            <w:tcW w:w="6914" w:type="dxa"/>
            <w:vAlign w:val="center"/>
          </w:tcPr>
          <w:p w14:paraId="6DD3C768">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供应商应认真阅读竞争性磋商文件，如有疑问的，供应商可以向采购人提出询问，采购人在接到询问后的3个工作日内对供应商依法提出的询问作出答复，但答复的内容不涉及商业秘密。</w:t>
            </w:r>
          </w:p>
        </w:tc>
      </w:tr>
      <w:tr w14:paraId="78E7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32040839">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w:t>
            </w:r>
          </w:p>
        </w:tc>
        <w:tc>
          <w:tcPr>
            <w:tcW w:w="2208" w:type="dxa"/>
            <w:vAlign w:val="center"/>
          </w:tcPr>
          <w:p w14:paraId="5EAD6889">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磋商文件询问联系方式</w:t>
            </w:r>
          </w:p>
        </w:tc>
        <w:tc>
          <w:tcPr>
            <w:tcW w:w="6914" w:type="dxa"/>
            <w:vAlign w:val="center"/>
          </w:tcPr>
          <w:p w14:paraId="0221B154">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询问联系人：</w:t>
            </w:r>
            <w:r>
              <w:rPr>
                <w:rFonts w:hint="eastAsia" w:ascii="宋体" w:hAnsi="宋体" w:eastAsia="宋体" w:cs="宋体"/>
                <w:color w:val="auto"/>
                <w:sz w:val="24"/>
                <w:szCs w:val="24"/>
                <w:lang w:val="en-US" w:eastAsia="zh-CN"/>
              </w:rPr>
              <w:t xml:space="preserve">宋工、王工 </w:t>
            </w:r>
          </w:p>
          <w:p w14:paraId="3FFF15A4">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eastAsia="zh-CN"/>
              </w:rPr>
              <w:t xml:space="preserve">18187099147、18183610257 </w:t>
            </w:r>
          </w:p>
          <w:p w14:paraId="466E69EE">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邮箱：</w:t>
            </w:r>
            <w:r>
              <w:rPr>
                <w:rFonts w:hint="eastAsia" w:ascii="宋体" w:hAnsi="宋体" w:eastAsia="宋体" w:cs="宋体"/>
                <w:color w:val="auto"/>
                <w:sz w:val="24"/>
                <w:szCs w:val="24"/>
                <w:lang w:val="en-US" w:eastAsia="zh-CN"/>
              </w:rPr>
              <w:t>964909844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QQ</w:t>
            </w:r>
            <w:r>
              <w:rPr>
                <w:rFonts w:hint="eastAsia" w:ascii="宋体" w:hAnsi="宋体" w:eastAsia="宋体" w:cs="宋体"/>
                <w:color w:val="auto"/>
                <w:sz w:val="24"/>
                <w:szCs w:val="24"/>
              </w:rPr>
              <w:t>.com</w:t>
            </w:r>
          </w:p>
        </w:tc>
      </w:tr>
      <w:tr w14:paraId="44AA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24B70B00">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w:t>
            </w:r>
          </w:p>
        </w:tc>
        <w:tc>
          <w:tcPr>
            <w:tcW w:w="2208" w:type="dxa"/>
            <w:vAlign w:val="center"/>
          </w:tcPr>
          <w:p w14:paraId="567D58B4">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竞争性磋商文件澄清、修改时间</w:t>
            </w:r>
          </w:p>
        </w:tc>
        <w:tc>
          <w:tcPr>
            <w:tcW w:w="6914" w:type="dxa"/>
            <w:vAlign w:val="center"/>
          </w:tcPr>
          <w:p w14:paraId="1132F0B5">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澄清或者修改的内容可能影响响应文件编制的，采购人将在提交首次响应文件截止时间至少5日前，以书面形式通知所有获取磋商文件的供应商；不足5日的，采购人将顺延提交首次响应文件截止时间。</w:t>
            </w:r>
          </w:p>
        </w:tc>
      </w:tr>
      <w:tr w14:paraId="03BA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51" w:type="dxa"/>
            <w:vAlign w:val="center"/>
          </w:tcPr>
          <w:p w14:paraId="69D9CC29">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5</w:t>
            </w:r>
          </w:p>
        </w:tc>
        <w:tc>
          <w:tcPr>
            <w:tcW w:w="2208" w:type="dxa"/>
            <w:vAlign w:val="center"/>
          </w:tcPr>
          <w:p w14:paraId="4C952918">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供应商确认收到竞争性磋商文件澄清、修改时间</w:t>
            </w:r>
          </w:p>
        </w:tc>
        <w:tc>
          <w:tcPr>
            <w:tcW w:w="6914" w:type="dxa"/>
            <w:vAlign w:val="center"/>
          </w:tcPr>
          <w:p w14:paraId="350DAE9F">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供应商确认收到竞争性磋商文件澄清、修改后，应在收到澄清、修改后24小时内以书面形式通知采购人或采购代理机构，确认已收到该澄清、修改。</w:t>
            </w:r>
          </w:p>
        </w:tc>
      </w:tr>
      <w:tr w14:paraId="392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69F89B32">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6</w:t>
            </w:r>
          </w:p>
        </w:tc>
        <w:tc>
          <w:tcPr>
            <w:tcW w:w="2208" w:type="dxa"/>
            <w:vAlign w:val="center"/>
          </w:tcPr>
          <w:p w14:paraId="620706EE">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磋商小组可以根据磋商文件和磋商情况实质性变动的内容</w:t>
            </w:r>
          </w:p>
        </w:tc>
        <w:tc>
          <w:tcPr>
            <w:tcW w:w="6914" w:type="dxa"/>
            <w:vAlign w:val="center"/>
          </w:tcPr>
          <w:p w14:paraId="00765363">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tc>
      </w:tr>
      <w:tr w14:paraId="4E3C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145C81D0">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w:t>
            </w:r>
          </w:p>
        </w:tc>
        <w:tc>
          <w:tcPr>
            <w:tcW w:w="2208" w:type="dxa"/>
            <w:vAlign w:val="center"/>
          </w:tcPr>
          <w:p w14:paraId="6A32837D">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语言文字</w:t>
            </w:r>
          </w:p>
        </w:tc>
        <w:tc>
          <w:tcPr>
            <w:tcW w:w="6914" w:type="dxa"/>
            <w:vAlign w:val="center"/>
          </w:tcPr>
          <w:p w14:paraId="75229399">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供应商的响应文件以及供应商与采购人、采购代理机构、磋商小组就有关磋商的所有来往函电统一使用中文（特别规定除外）。</w:t>
            </w:r>
          </w:p>
        </w:tc>
      </w:tr>
      <w:tr w14:paraId="327B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474DD7C7">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w:t>
            </w:r>
          </w:p>
        </w:tc>
        <w:tc>
          <w:tcPr>
            <w:tcW w:w="2208" w:type="dxa"/>
            <w:vAlign w:val="center"/>
          </w:tcPr>
          <w:p w14:paraId="589D76BB">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6914" w:type="dxa"/>
            <w:vAlign w:val="center"/>
          </w:tcPr>
          <w:p w14:paraId="69EC9993">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响应文件中使用的计量单位除磋商文件中有特殊规定外，一律使用中国法定计量单位。</w:t>
            </w:r>
          </w:p>
        </w:tc>
      </w:tr>
      <w:tr w14:paraId="0530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624F92A8">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w:t>
            </w:r>
          </w:p>
        </w:tc>
        <w:tc>
          <w:tcPr>
            <w:tcW w:w="2208" w:type="dxa"/>
            <w:vAlign w:val="center"/>
          </w:tcPr>
          <w:p w14:paraId="618BDC60">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构成响应文件的其他资料</w:t>
            </w:r>
          </w:p>
        </w:tc>
        <w:tc>
          <w:tcPr>
            <w:tcW w:w="6914" w:type="dxa"/>
            <w:vAlign w:val="center"/>
          </w:tcPr>
          <w:p w14:paraId="5C6504CD">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1、第五章《采购需求》中要求提供的其他资料；</w:t>
            </w:r>
          </w:p>
          <w:p w14:paraId="44644FAC">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2、磋商文件中所</w:t>
            </w:r>
            <w:r>
              <w:rPr>
                <w:rFonts w:hint="eastAsia" w:ascii="宋体" w:hAnsi="宋体" w:cs="宋体"/>
                <w:color w:val="auto"/>
                <w:sz w:val="24"/>
                <w:szCs w:val="24"/>
                <w:lang w:eastAsia="zh-CN"/>
              </w:rPr>
              <w:t>涉及</w:t>
            </w:r>
            <w:r>
              <w:rPr>
                <w:rFonts w:hint="eastAsia" w:ascii="宋体" w:hAnsi="宋体" w:eastAsia="宋体" w:cs="宋体"/>
                <w:color w:val="auto"/>
                <w:sz w:val="24"/>
                <w:szCs w:val="24"/>
              </w:rPr>
              <w:t>的相关资料及证明文件或供应商认为必须提供的其他相关资料。</w:t>
            </w:r>
          </w:p>
        </w:tc>
      </w:tr>
      <w:tr w14:paraId="00B7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51" w:type="dxa"/>
            <w:vAlign w:val="center"/>
          </w:tcPr>
          <w:p w14:paraId="381EC21F">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w:t>
            </w:r>
          </w:p>
        </w:tc>
        <w:tc>
          <w:tcPr>
            <w:tcW w:w="2208" w:type="dxa"/>
            <w:vAlign w:val="center"/>
          </w:tcPr>
          <w:p w14:paraId="47027A4F">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w:t>
            </w:r>
          </w:p>
        </w:tc>
        <w:tc>
          <w:tcPr>
            <w:tcW w:w="6914" w:type="dxa"/>
            <w:vAlign w:val="center"/>
          </w:tcPr>
          <w:p w14:paraId="618D7B86">
            <w:pPr>
              <w:pStyle w:val="21"/>
              <w:keepNext w:val="0"/>
              <w:keepLines w:val="0"/>
              <w:pageBreakBefore w:val="0"/>
              <w:kinsoku/>
              <w:overflowPunct/>
              <w:topLinePunct w:val="0"/>
              <w:bidi w:val="0"/>
              <w:snapToGrid/>
              <w:spacing w:before="40" w:after="4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响应文件提交截止之日起60天</w:t>
            </w:r>
          </w:p>
        </w:tc>
      </w:tr>
      <w:tr w14:paraId="749A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751" w:type="dxa"/>
            <w:vAlign w:val="center"/>
          </w:tcPr>
          <w:p w14:paraId="281FC779">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2208" w:type="dxa"/>
            <w:vAlign w:val="center"/>
          </w:tcPr>
          <w:p w14:paraId="4B9E30FB">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6914" w:type="dxa"/>
            <w:vAlign w:val="center"/>
          </w:tcPr>
          <w:p w14:paraId="7758D6A2">
            <w:pPr>
              <w:wordWrap w:val="0"/>
              <w:snapToGrid w:val="0"/>
              <w:spacing w:before="165" w:beforeLines="50" w:after="0" w:line="360" w:lineRule="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1、保证金的形式：支票、汇票、本票、保函、</w:t>
            </w:r>
            <w:r>
              <w:rPr>
                <w:rFonts w:hint="eastAsia" w:ascii="宋体" w:hAnsi="宋体" w:cs="宋体"/>
                <w:color w:val="auto"/>
                <w:sz w:val="24"/>
                <w:szCs w:val="24"/>
                <w:highlight w:val="none"/>
                <w:lang w:val="en-US" w:eastAsia="zh-CN"/>
              </w:rPr>
              <w:t>银行</w:t>
            </w:r>
            <w:r>
              <w:rPr>
                <w:rFonts w:hint="eastAsia" w:ascii="宋体" w:hAnsi="宋体" w:eastAsia="宋体" w:cs="宋体"/>
                <w:color w:val="auto"/>
                <w:sz w:val="24"/>
                <w:szCs w:val="24"/>
                <w:highlight w:val="none"/>
              </w:rPr>
              <w:t>转账等非现金方式</w:t>
            </w:r>
            <w:r>
              <w:rPr>
                <w:rFonts w:hint="eastAsia" w:ascii="宋体" w:hAnsi="宋体" w:eastAsia="宋体" w:cs="宋体"/>
                <w:i/>
                <w:iCs/>
                <w:color w:val="auto"/>
                <w:sz w:val="24"/>
                <w:szCs w:val="24"/>
                <w:highlight w:val="none"/>
              </w:rPr>
              <w:t>。</w:t>
            </w:r>
          </w:p>
          <w:p w14:paraId="3354DBD9">
            <w:pPr>
              <w:wordWrap w:val="0"/>
              <w:snapToGrid w:val="0"/>
              <w:spacing w:before="165"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w:t>
            </w:r>
            <w:r>
              <w:rPr>
                <w:rFonts w:hint="eastAsia" w:ascii="宋体" w:hAnsi="宋体" w:eastAsia="宋体" w:cs="宋体"/>
                <w:color w:val="auto"/>
                <w:sz w:val="24"/>
                <w:szCs w:val="24"/>
                <w:highlight w:val="none"/>
                <w:lang w:val="en-US" w:eastAsia="zh-CN"/>
              </w:rPr>
              <w:t>10000</w:t>
            </w:r>
            <w:r>
              <w:rPr>
                <w:rFonts w:hint="eastAsia" w:ascii="宋体" w:hAnsi="宋体" w:eastAsia="宋体" w:cs="宋体"/>
                <w:color w:val="auto"/>
                <w:sz w:val="24"/>
                <w:szCs w:val="24"/>
                <w:highlight w:val="none"/>
              </w:rPr>
              <w:t>.00元（大写：</w:t>
            </w: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rPr>
              <w:t>）。</w:t>
            </w:r>
          </w:p>
          <w:p w14:paraId="2CE2C296">
            <w:pPr>
              <w:wordWrap w:val="0"/>
              <w:snapToGrid w:val="0"/>
              <w:spacing w:before="165"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3、提交时间：以专项账户实际到账时间为准，到账截止时间为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递交截止时间，未按时到账的保证金视为未提交。</w:t>
            </w:r>
          </w:p>
          <w:p w14:paraId="67D15E80">
            <w:pPr>
              <w:wordWrap w:val="0"/>
              <w:snapToGrid w:val="0"/>
              <w:spacing w:before="165"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4、接收投标保证金账号、开户行：</w:t>
            </w:r>
          </w:p>
          <w:p w14:paraId="2D693D34">
            <w:pPr>
              <w:wordWrap w:val="0"/>
              <w:snapToGrid w:val="0"/>
              <w:spacing w:before="165" w:beforeLines="50"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r>
              <w:rPr>
                <w:rFonts w:hint="eastAsia" w:ascii="宋体" w:hAnsi="宋体" w:eastAsia="宋体" w:cs="宋体"/>
                <w:b w:val="0"/>
                <w:bCs w:val="0"/>
                <w:color w:val="auto"/>
                <w:sz w:val="24"/>
                <w:szCs w:val="24"/>
                <w:lang w:eastAsia="zh-CN"/>
              </w:rPr>
              <w:t>云南万合工程管理有限公司</w:t>
            </w:r>
          </w:p>
          <w:p w14:paraId="0EEC3333">
            <w:pPr>
              <w:spacing w:before="120" w:beforeLines="50"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b w:val="0"/>
                <w:bCs w:val="0"/>
                <w:color w:val="auto"/>
                <w:sz w:val="24"/>
                <w:szCs w:val="24"/>
              </w:rPr>
              <w:t>5700020100015012</w:t>
            </w:r>
          </w:p>
          <w:p w14:paraId="3A0663CF">
            <w:pPr>
              <w:wordWrap w:val="0"/>
              <w:snapToGrid w:val="0"/>
              <w:spacing w:before="165" w:beforeLines="50" w:after="0"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rPr>
              <w:t>云南省临沧临翔农村商业银行股份有限公司</w:t>
            </w:r>
          </w:p>
          <w:p w14:paraId="24C1EEF0">
            <w:pPr>
              <w:wordWrap w:val="0"/>
              <w:snapToGrid w:val="0"/>
              <w:spacing w:before="165"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保证金截止时间为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递交截止时间，到账时间以保证金专用账户实际到账时间为准，未按时到账的保证金无效。</w:t>
            </w:r>
          </w:p>
          <w:p w14:paraId="072F92A6">
            <w:pPr>
              <w:wordWrap w:val="0"/>
              <w:snapToGrid w:val="0"/>
              <w:spacing w:before="165"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5、投标保证金的缴纳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w:t>
            </w:r>
            <w:r>
              <w:rPr>
                <w:rFonts w:hint="eastAsia" w:ascii="宋体" w:hAnsi="宋体" w:cs="宋体"/>
                <w:color w:val="auto"/>
                <w:sz w:val="24"/>
                <w:szCs w:val="24"/>
                <w:highlight w:val="none"/>
                <w:lang w:val="en-US" w:eastAsia="zh-CN"/>
              </w:rPr>
              <w:t>转账</w:t>
            </w:r>
            <w:r>
              <w:rPr>
                <w:rFonts w:hint="eastAsia" w:ascii="宋体" w:hAnsi="宋体" w:eastAsia="宋体" w:cs="宋体"/>
                <w:color w:val="auto"/>
                <w:sz w:val="24"/>
                <w:szCs w:val="24"/>
                <w:highlight w:val="none"/>
                <w:lang w:val="en-US" w:eastAsia="zh-CN"/>
              </w:rPr>
              <w:t>形式提交的</w:t>
            </w:r>
            <w:r>
              <w:rPr>
                <w:rFonts w:hint="eastAsia" w:ascii="宋体" w:hAnsi="宋体" w:eastAsia="宋体" w:cs="宋体"/>
                <w:color w:val="auto"/>
                <w:sz w:val="24"/>
                <w:szCs w:val="24"/>
                <w:highlight w:val="none"/>
              </w:rPr>
              <w:t>：</w:t>
            </w:r>
          </w:p>
          <w:p w14:paraId="5627C610">
            <w:pPr>
              <w:wordWrap w:val="0"/>
              <w:snapToGrid w:val="0"/>
              <w:spacing w:before="165" w:beforeLines="5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（1）保证金必须从投标方的法人基本账户划出。</w:t>
            </w:r>
          </w:p>
          <w:p w14:paraId="7DFE1D25">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（2）拒绝私人账户汇款及银行存现。</w:t>
            </w:r>
          </w:p>
          <w:p w14:paraId="21A9E017">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保证金缴纳说明：</w:t>
            </w:r>
          </w:p>
          <w:p w14:paraId="4F01E250">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、以</w:t>
            </w:r>
            <w:r>
              <w:rPr>
                <w:rFonts w:hint="eastAsia" w:ascii="宋体" w:hAnsi="宋体" w:cs="宋体"/>
                <w:color w:val="auto"/>
                <w:sz w:val="24"/>
                <w:szCs w:val="24"/>
                <w:highlight w:val="none"/>
                <w:lang w:val="en-US" w:eastAsia="zh-CN"/>
              </w:rPr>
              <w:t>银行转账</w:t>
            </w:r>
            <w:r>
              <w:rPr>
                <w:rFonts w:hint="eastAsia" w:ascii="宋体" w:hAnsi="宋体" w:eastAsia="宋体" w:cs="宋体"/>
                <w:color w:val="auto"/>
                <w:sz w:val="24"/>
                <w:szCs w:val="24"/>
                <w:highlight w:val="none"/>
              </w:rPr>
              <w:t>方式提交的，底单即为缴纳凭证（须注明项目编号）；</w:t>
            </w:r>
          </w:p>
          <w:p w14:paraId="19117846">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2、支票、汇票、本票方式提交的，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须自行进账，进账后回单即为缴纳凭证；</w:t>
            </w:r>
          </w:p>
          <w:p w14:paraId="63132B1F">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文件要求提交</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保证金的，其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文件无效。</w:t>
            </w:r>
          </w:p>
        </w:tc>
      </w:tr>
      <w:tr w14:paraId="5664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51" w:type="dxa"/>
            <w:vAlign w:val="center"/>
          </w:tcPr>
          <w:p w14:paraId="3C8EFB9D">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2208" w:type="dxa"/>
            <w:vAlign w:val="center"/>
          </w:tcPr>
          <w:p w14:paraId="69A9C503">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响应文件的编制</w:t>
            </w:r>
          </w:p>
        </w:tc>
        <w:tc>
          <w:tcPr>
            <w:tcW w:w="6914" w:type="dxa"/>
            <w:vAlign w:val="center"/>
          </w:tcPr>
          <w:p w14:paraId="04B05DE6">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响应文件全部采用电子文档，供应商应安装客户端软件—“政采云电子交易客户端”，并按照磋商文件和政采云电子交易平台的要求编制，编制后应进行电子签名及加密。</w:t>
            </w:r>
          </w:p>
        </w:tc>
      </w:tr>
      <w:tr w14:paraId="7C4D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751" w:type="dxa"/>
            <w:vAlign w:val="center"/>
          </w:tcPr>
          <w:p w14:paraId="61CDBD33">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19.7</w:t>
            </w:r>
          </w:p>
        </w:tc>
        <w:tc>
          <w:tcPr>
            <w:tcW w:w="2208" w:type="dxa"/>
            <w:vAlign w:val="center"/>
          </w:tcPr>
          <w:p w14:paraId="0669FBB4">
            <w:pPr>
              <w:keepNext w:val="0"/>
              <w:keepLines w:val="0"/>
              <w:pageBreakBefore w:val="0"/>
              <w:kinsoku/>
              <w:overflowPunct/>
              <w:topLinePunct w:val="0"/>
              <w:bidi w:val="0"/>
              <w:snapToGrid/>
              <w:spacing w:before="40" w:after="40"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6914" w:type="dxa"/>
            <w:vAlign w:val="center"/>
          </w:tcPr>
          <w:p w14:paraId="7996A15A">
            <w:pPr>
              <w:keepNext w:val="0"/>
              <w:keepLines w:val="0"/>
              <w:pageBreakBefore w:val="0"/>
              <w:kinsoku/>
              <w:overflowPunct/>
              <w:topLinePunct w:val="0"/>
              <w:bidi w:val="0"/>
              <w:snapToGrid/>
              <w:spacing w:before="40" w:after="4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成交供应商应在成交后，制作与电子响应文件内容相同的响应文件一正一副</w:t>
            </w:r>
            <w:r>
              <w:rPr>
                <w:rFonts w:hint="eastAsia" w:ascii="宋体" w:hAnsi="宋体" w:eastAsia="宋体" w:cs="宋体"/>
                <w:color w:val="auto"/>
                <w:sz w:val="24"/>
                <w:szCs w:val="24"/>
                <w:lang w:val="en-US" w:eastAsia="zh-CN"/>
              </w:rPr>
              <w:t>装订成册</w:t>
            </w:r>
            <w:r>
              <w:rPr>
                <w:rFonts w:hint="eastAsia" w:ascii="宋体" w:hAnsi="宋体" w:eastAsia="宋体" w:cs="宋体"/>
                <w:color w:val="auto"/>
                <w:sz w:val="24"/>
                <w:szCs w:val="24"/>
              </w:rPr>
              <w:t>递交给采购人。</w:t>
            </w:r>
          </w:p>
        </w:tc>
      </w:tr>
      <w:tr w14:paraId="4C4D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751" w:type="dxa"/>
            <w:vAlign w:val="center"/>
          </w:tcPr>
          <w:p w14:paraId="0E8C6718">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20.7</w:t>
            </w:r>
          </w:p>
        </w:tc>
        <w:tc>
          <w:tcPr>
            <w:tcW w:w="2208" w:type="dxa"/>
            <w:vAlign w:val="center"/>
          </w:tcPr>
          <w:p w14:paraId="44995C25">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报价方式</w:t>
            </w:r>
          </w:p>
        </w:tc>
        <w:tc>
          <w:tcPr>
            <w:tcW w:w="6914" w:type="dxa"/>
            <w:vAlign w:val="center"/>
          </w:tcPr>
          <w:p w14:paraId="42864131">
            <w:pPr>
              <w:keepNext w:val="0"/>
              <w:keepLines w:val="0"/>
              <w:pageBreakBefore w:val="0"/>
              <w:kinsoku/>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采用总价包干方式进行报价，由供应商结合实际及自身情况进行报价。</w:t>
            </w:r>
          </w:p>
          <w:p w14:paraId="2FECD105">
            <w:pPr>
              <w:keepNext w:val="0"/>
              <w:keepLines w:val="0"/>
              <w:pageBreakBefore w:val="0"/>
              <w:kinsoku/>
              <w:overflowPunct/>
              <w:topLinePunct w:val="0"/>
              <w:bidi w:val="0"/>
              <w:snapToGrid/>
              <w:spacing w:line="360" w:lineRule="auto"/>
              <w:textAlignment w:val="auto"/>
              <w:rPr>
                <w:rFonts w:hint="eastAsia"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磋商报价应包括完成本项目所需的报价包括但不仅限于服务费、</w:t>
            </w:r>
            <w:r>
              <w:rPr>
                <w:rFonts w:hint="eastAsia" w:ascii="宋体" w:hAnsi="宋体" w:eastAsia="宋体" w:cs="宋体"/>
                <w:color w:val="auto"/>
                <w:sz w:val="24"/>
                <w:szCs w:val="24"/>
                <w:lang w:val="en-US" w:eastAsia="zh-CN"/>
              </w:rPr>
              <w:t>材料费、</w:t>
            </w:r>
            <w:r>
              <w:rPr>
                <w:rFonts w:hint="eastAsia" w:ascii="宋体" w:hAnsi="宋体" w:cs="宋体"/>
                <w:color w:val="auto"/>
                <w:sz w:val="24"/>
                <w:szCs w:val="24"/>
                <w:lang w:val="en-US" w:eastAsia="zh-CN"/>
              </w:rPr>
              <w:t>备品备件、</w:t>
            </w:r>
            <w:r>
              <w:rPr>
                <w:rFonts w:hint="eastAsia" w:ascii="宋体" w:hAnsi="宋体" w:eastAsia="宋体" w:cs="宋体"/>
                <w:color w:val="auto"/>
                <w:sz w:val="24"/>
                <w:szCs w:val="24"/>
              </w:rPr>
              <w:t>资料整理费、保险费、税费、验收费等售后服务费、中标服务费等所有费用等，应充分考虑包括在合同条款中约定的风险范围内的各种因素，并结合企业实力自行确定，供应商所报</w:t>
            </w:r>
            <w:r>
              <w:rPr>
                <w:rFonts w:hint="eastAsia" w:ascii="宋体" w:hAnsi="宋体" w:eastAsia="宋体" w:cs="宋体"/>
                <w:color w:val="auto"/>
                <w:sz w:val="24"/>
                <w:szCs w:val="24"/>
                <w:lang w:val="en-US" w:eastAsia="zh-CN"/>
              </w:rPr>
              <w:t>二次报价（最终报价）即</w:t>
            </w:r>
            <w:r>
              <w:rPr>
                <w:rFonts w:hint="eastAsia" w:ascii="宋体" w:hAnsi="宋体" w:eastAsia="宋体" w:cs="宋体"/>
                <w:color w:val="auto"/>
                <w:sz w:val="24"/>
                <w:szCs w:val="24"/>
              </w:rPr>
              <w:t>为合同价，供应商执行过程中，采购人不再额外支付任何费用。</w:t>
            </w:r>
          </w:p>
          <w:p w14:paraId="50555D8C">
            <w:pPr>
              <w:pStyle w:val="14"/>
              <w:keepNext w:val="0"/>
              <w:keepLines w:val="0"/>
              <w:pageBreakBefore w:val="0"/>
              <w:kinsoku/>
              <w:overflowPunct/>
              <w:topLinePunct w:val="0"/>
              <w:bidi w:val="0"/>
              <w:snapToGrid/>
              <w:spacing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2</w:t>
            </w:r>
            <w:r>
              <w:rPr>
                <w:rFonts w:hint="eastAsia" w:ascii="宋体" w:hAnsi="宋体" w:eastAsia="宋体" w:cs="宋体"/>
                <w:b/>
                <w:bCs/>
                <w:color w:val="auto"/>
                <w:kern w:val="2"/>
                <w:sz w:val="24"/>
                <w:szCs w:val="24"/>
                <w:lang w:val="en-US" w:eastAsia="zh-CN" w:bidi="ar-SA"/>
              </w:rPr>
              <w:t>.本项目最高限价：¥1221020.00元（大写：壹佰贰拾贰万壹仟零贰拾元整），供应商报价不得高于最高限价。</w:t>
            </w:r>
          </w:p>
          <w:p w14:paraId="53D7BE8B">
            <w:pPr>
              <w:pStyle w:val="14"/>
              <w:keepNext w:val="0"/>
              <w:keepLines w:val="0"/>
              <w:pageBreakBefore w:val="0"/>
              <w:kinsoku/>
              <w:overflowPunct/>
              <w:topLinePunct w:val="0"/>
              <w:bidi w:val="0"/>
              <w:snapToGrid/>
              <w:spacing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本项目允许二次报价，一次报价为供应商结合实际及自身情况做出的报价，二次报价为经过磋商、澄清后各供应商做出的报价，此报价不得高于最高限价，二次报价即为最终报价。</w:t>
            </w:r>
          </w:p>
          <w:p w14:paraId="447265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rPr>
            </w:pPr>
            <w:r>
              <w:rPr>
                <w:rFonts w:hint="eastAsia" w:ascii="宋体" w:hAnsi="宋体" w:eastAsia="宋体" w:cs="宋体"/>
                <w:b/>
                <w:bCs/>
                <w:color w:val="auto"/>
                <w:kern w:val="2"/>
                <w:sz w:val="24"/>
                <w:szCs w:val="24"/>
                <w:lang w:val="en-US" w:eastAsia="zh-CN" w:bidi="ar-SA"/>
              </w:rPr>
              <w:t>3、供应商不得哄抬报价，也不应低于成本价（或进价）报价。</w:t>
            </w:r>
            <w:r>
              <w:rPr>
                <w:rFonts w:hint="eastAsia" w:ascii="宋体" w:hAnsi="宋体" w:cs="宋体"/>
                <w:b/>
                <w:bCs/>
                <w:color w:val="auto"/>
                <w:kern w:val="2"/>
                <w:sz w:val="24"/>
                <w:szCs w:val="24"/>
                <w:lang w:val="en-US" w:eastAsia="zh-CN" w:bidi="ar-SA"/>
              </w:rPr>
              <w:t>磋商小组</w:t>
            </w:r>
            <w:r>
              <w:rPr>
                <w:rFonts w:hint="eastAsia" w:ascii="宋体" w:hAnsi="宋体" w:eastAsia="宋体" w:cs="宋体"/>
                <w:b/>
                <w:bCs/>
                <w:color w:val="auto"/>
                <w:kern w:val="2"/>
                <w:sz w:val="24"/>
                <w:szCs w:val="24"/>
                <w:lang w:val="en-US" w:eastAsia="zh-CN" w:bidi="ar-SA"/>
              </w:rPr>
              <w:t>认为供应商的报价明显低于其他通过符合性审查供应商的报价，有可能影响产品质量或者不能诚信履约的，将要求其在评标现场合理的时间内提供书面说明，必要时提交相关证明材料；供应商不能证明其报价合理性的，</w:t>
            </w:r>
            <w:r>
              <w:rPr>
                <w:rFonts w:hint="eastAsia" w:ascii="宋体" w:hAnsi="宋体" w:cs="宋体"/>
                <w:b/>
                <w:bCs/>
                <w:color w:val="auto"/>
                <w:kern w:val="2"/>
                <w:sz w:val="24"/>
                <w:szCs w:val="24"/>
                <w:lang w:val="en-US" w:eastAsia="zh-CN" w:bidi="ar-SA"/>
              </w:rPr>
              <w:t>磋商小组</w:t>
            </w:r>
            <w:r>
              <w:rPr>
                <w:rFonts w:hint="eastAsia" w:ascii="宋体" w:hAnsi="宋体" w:eastAsia="宋体" w:cs="宋体"/>
                <w:b/>
                <w:bCs/>
                <w:color w:val="auto"/>
                <w:kern w:val="2"/>
                <w:sz w:val="24"/>
                <w:szCs w:val="24"/>
                <w:lang w:val="en-US" w:eastAsia="zh-CN" w:bidi="ar-SA"/>
              </w:rPr>
              <w:t>应当将其作为无效投标处理。低于成本价（或进价）报价的认定：根据《关于推动解决政府采购异常低价问题的通知》财库〔2026〕2号文要求启动异常低价投标（响应）审查程序。</w:t>
            </w:r>
          </w:p>
        </w:tc>
      </w:tr>
      <w:tr w14:paraId="6917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751" w:type="dxa"/>
            <w:vAlign w:val="center"/>
          </w:tcPr>
          <w:p w14:paraId="6437FDA6">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1</w:t>
            </w:r>
          </w:p>
        </w:tc>
        <w:tc>
          <w:tcPr>
            <w:tcW w:w="2208" w:type="dxa"/>
            <w:vAlign w:val="center"/>
          </w:tcPr>
          <w:p w14:paraId="260132E0">
            <w:pPr>
              <w:keepNext w:val="0"/>
              <w:keepLines w:val="0"/>
              <w:pageBreakBefore w:val="0"/>
              <w:kinsoku/>
              <w:overflowPunct/>
              <w:topLinePunct w:val="0"/>
              <w:bidi w:val="0"/>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响应文件加密</w:t>
            </w:r>
          </w:p>
        </w:tc>
        <w:tc>
          <w:tcPr>
            <w:tcW w:w="6914" w:type="dxa"/>
            <w:vAlign w:val="center"/>
          </w:tcPr>
          <w:p w14:paraId="7BAD5AE1">
            <w:pPr>
              <w:keepNext w:val="0"/>
              <w:keepLines w:val="0"/>
              <w:pageBreakBefore w:val="0"/>
              <w:kinsoku/>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供应商进行电子交易应安装客户端软件—“政采云电子交易客户端”，并按照磋商文件和电子交易平台的要求编制并加密响应文件。供应商未按规定加密的响应文件，电子交易平台将拒收并提示。</w:t>
            </w:r>
          </w:p>
        </w:tc>
      </w:tr>
      <w:tr w14:paraId="49D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751" w:type="dxa"/>
            <w:vAlign w:val="center"/>
          </w:tcPr>
          <w:p w14:paraId="26B79F87">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2208" w:type="dxa"/>
            <w:vAlign w:val="center"/>
          </w:tcPr>
          <w:p w14:paraId="146D1473">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响应文件提交截止时间及地点</w:t>
            </w:r>
          </w:p>
        </w:tc>
        <w:tc>
          <w:tcPr>
            <w:tcW w:w="6914" w:type="dxa"/>
            <w:vAlign w:val="center"/>
          </w:tcPr>
          <w:p w14:paraId="6601DFEA">
            <w:pPr>
              <w:pStyle w:val="21"/>
              <w:keepNext w:val="0"/>
              <w:keepLines w:val="0"/>
              <w:pageBreakBefore w:val="0"/>
              <w:kinsoku/>
              <w:overflowPunct/>
              <w:topLinePunct w:val="0"/>
              <w:bidi w:val="0"/>
              <w:snapToGrid/>
              <w:spacing w:before="0" w:beforeAutospacing="0" w:after="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提交截止时间：详见竞争性磋商文件第一章《竞争性磋商公告》。</w:t>
            </w:r>
          </w:p>
          <w:p w14:paraId="0CBE837F">
            <w:pPr>
              <w:pStyle w:val="21"/>
              <w:keepNext w:val="0"/>
              <w:keepLines w:val="0"/>
              <w:pageBreakBefore w:val="0"/>
              <w:kinsoku/>
              <w:overflowPunct/>
              <w:topLinePunct w:val="0"/>
              <w:bidi w:val="0"/>
              <w:snapToGrid/>
              <w:spacing w:before="0" w:beforeAutospacing="0" w:after="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提交地点：详见竞争性磋商文件第一章《竞争性磋商公告》。</w:t>
            </w:r>
          </w:p>
        </w:tc>
      </w:tr>
      <w:tr w14:paraId="2FC5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51" w:type="dxa"/>
            <w:vAlign w:val="center"/>
          </w:tcPr>
          <w:p w14:paraId="16126519">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w:t>
            </w:r>
          </w:p>
        </w:tc>
        <w:tc>
          <w:tcPr>
            <w:tcW w:w="2208" w:type="dxa"/>
            <w:vAlign w:val="center"/>
          </w:tcPr>
          <w:p w14:paraId="027E7D43">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响应文件是否退还</w:t>
            </w:r>
          </w:p>
        </w:tc>
        <w:tc>
          <w:tcPr>
            <w:tcW w:w="6914" w:type="dxa"/>
            <w:vAlign w:val="center"/>
          </w:tcPr>
          <w:p w14:paraId="39C8C093">
            <w:pPr>
              <w:pStyle w:val="21"/>
              <w:keepNext w:val="0"/>
              <w:keepLines w:val="0"/>
              <w:pageBreakBefore w:val="0"/>
              <w:kinsoku/>
              <w:overflowPunct/>
              <w:topLinePunct w:val="0"/>
              <w:bidi w:val="0"/>
              <w:snapToGrid/>
              <w:spacing w:before="0" w:beforeAutospacing="0" w:after="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4072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751" w:type="dxa"/>
            <w:vAlign w:val="center"/>
          </w:tcPr>
          <w:p w14:paraId="097693B6">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w:t>
            </w:r>
          </w:p>
        </w:tc>
        <w:tc>
          <w:tcPr>
            <w:tcW w:w="2208" w:type="dxa"/>
            <w:vAlign w:val="center"/>
          </w:tcPr>
          <w:p w14:paraId="6327CFD3">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w:t>
            </w:r>
          </w:p>
        </w:tc>
        <w:tc>
          <w:tcPr>
            <w:tcW w:w="6914" w:type="dxa"/>
            <w:vAlign w:val="center"/>
          </w:tcPr>
          <w:p w14:paraId="275BCA99">
            <w:pPr>
              <w:pStyle w:val="21"/>
              <w:keepNext w:val="0"/>
              <w:keepLines w:val="0"/>
              <w:pageBreakBefore w:val="0"/>
              <w:kinsoku/>
              <w:overflowPunct/>
              <w:topLinePunct w:val="0"/>
              <w:bidi w:val="0"/>
              <w:snapToGrid/>
              <w:spacing w:before="0" w:beforeAutospacing="0" w:after="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磋商小组由采购人代表和评审专家共3人及以上单数组成，其中评审专家人数不得少于磋商小组成员总数的2/3。</w:t>
            </w:r>
            <w:r>
              <w:rPr>
                <w:rFonts w:hint="eastAsia" w:ascii="宋体" w:hAnsi="宋体" w:eastAsia="宋体" w:cs="宋体"/>
                <w:color w:val="auto"/>
                <w:sz w:val="24"/>
                <w:szCs w:val="24"/>
                <w:highlight w:val="none"/>
                <w:lang w:val="en-US" w:eastAsia="zh-CN"/>
              </w:rPr>
              <w:t>评审专家</w:t>
            </w:r>
            <w:r>
              <w:rPr>
                <w:rFonts w:hint="eastAsia" w:ascii="宋体" w:hAnsi="宋体" w:eastAsia="宋体" w:cs="宋体"/>
                <w:color w:val="auto"/>
                <w:sz w:val="24"/>
                <w:szCs w:val="24"/>
                <w:highlight w:val="none"/>
              </w:rPr>
              <w:t>由采购人依法</w:t>
            </w:r>
            <w:r>
              <w:rPr>
                <w:rFonts w:hint="eastAsia" w:ascii="宋体" w:hAnsi="宋体" w:eastAsia="宋体" w:cs="宋体"/>
                <w:color w:val="auto"/>
                <w:sz w:val="24"/>
                <w:szCs w:val="24"/>
                <w:highlight w:val="none"/>
                <w:lang w:val="en-US" w:eastAsia="zh-CN"/>
              </w:rPr>
              <w:t>从云南省政府采购评审专家库中随机抽取</w:t>
            </w:r>
            <w:r>
              <w:rPr>
                <w:rFonts w:hint="eastAsia" w:ascii="宋体" w:hAnsi="宋体" w:eastAsia="宋体" w:cs="宋体"/>
                <w:color w:val="auto"/>
                <w:sz w:val="24"/>
                <w:szCs w:val="24"/>
                <w:highlight w:val="none"/>
              </w:rPr>
              <w:t>，磋商由磋商小组负责。</w:t>
            </w:r>
          </w:p>
        </w:tc>
      </w:tr>
      <w:tr w14:paraId="55C8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751" w:type="dxa"/>
            <w:vAlign w:val="center"/>
          </w:tcPr>
          <w:p w14:paraId="479B3F24">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24.5</w:t>
            </w:r>
          </w:p>
        </w:tc>
        <w:tc>
          <w:tcPr>
            <w:tcW w:w="2208" w:type="dxa"/>
            <w:vAlign w:val="center"/>
          </w:tcPr>
          <w:p w14:paraId="13D1A9DF">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评审方法</w:t>
            </w:r>
          </w:p>
        </w:tc>
        <w:tc>
          <w:tcPr>
            <w:tcW w:w="6914" w:type="dxa"/>
            <w:vAlign w:val="center"/>
          </w:tcPr>
          <w:p w14:paraId="1E5F8622">
            <w:pPr>
              <w:pStyle w:val="21"/>
              <w:keepNext w:val="0"/>
              <w:keepLines w:val="0"/>
              <w:pageBreakBefore w:val="0"/>
              <w:kinsoku/>
              <w:overflowPunct/>
              <w:topLinePunct w:val="0"/>
              <w:bidi w:val="0"/>
              <w:snapToGrid/>
              <w:spacing w:before="0" w:beforeAutospacing="0" w:after="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综合评分法。</w:t>
            </w:r>
          </w:p>
        </w:tc>
      </w:tr>
      <w:tr w14:paraId="40F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751" w:type="dxa"/>
            <w:vAlign w:val="center"/>
          </w:tcPr>
          <w:p w14:paraId="7C41C454">
            <w:pPr>
              <w:keepNext w:val="0"/>
              <w:keepLines w:val="0"/>
              <w:pageBreakBefore w:val="0"/>
              <w:kinsoku/>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w:t>
            </w:r>
          </w:p>
        </w:tc>
        <w:tc>
          <w:tcPr>
            <w:tcW w:w="2208" w:type="dxa"/>
            <w:vAlign w:val="center"/>
          </w:tcPr>
          <w:p w14:paraId="72543377">
            <w:pPr>
              <w:keepNext w:val="0"/>
              <w:keepLines w:val="0"/>
              <w:pageBreakBefore w:val="0"/>
              <w:kinsoku/>
              <w:overflowPunct/>
              <w:topLinePunct w:val="0"/>
              <w:bidi w:val="0"/>
              <w:snapToGrid/>
              <w:spacing w:line="360" w:lineRule="auto"/>
              <w:jc w:val="center"/>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履约保证金</w:t>
            </w:r>
          </w:p>
        </w:tc>
        <w:tc>
          <w:tcPr>
            <w:tcW w:w="6914" w:type="dxa"/>
            <w:shd w:val="clear" w:color="auto" w:fill="auto"/>
            <w:vAlign w:val="center"/>
          </w:tcPr>
          <w:p w14:paraId="7ED289C6">
            <w:pPr>
              <w:keepNext w:val="0"/>
              <w:keepLines w:val="0"/>
              <w:pageBreakBefore w:val="0"/>
              <w:kinsoku/>
              <w:wordWrap/>
              <w:overflowPunct/>
              <w:topLinePunct/>
              <w:autoSpaceDE w:val="0"/>
              <w:autoSpaceDN w:val="0"/>
              <w:bidi w:val="0"/>
              <w:adjustRightInd w:val="0"/>
              <w:snapToGrid w:val="0"/>
              <w:spacing w:after="0" w:line="360" w:lineRule="exact"/>
              <w:ind w:left="0" w:leftChars="0" w:firstLine="0" w:firstLineChars="0"/>
              <w:textAlignment w:val="auto"/>
              <w:rPr>
                <w:rFonts w:hint="default" w:ascii="Times New Roman" w:hAnsi="Times New Roman" w:eastAsia="宋体" w:cs="Times New Roman"/>
                <w:b w:val="0"/>
                <w:bCs w:val="0"/>
                <w:snapToGrid w:val="0"/>
                <w:color w:val="auto"/>
                <w:sz w:val="24"/>
                <w:szCs w:val="24"/>
                <w:highlight w:val="none"/>
                <w:lang w:val="zh-CN"/>
              </w:rPr>
            </w:pPr>
            <w:r>
              <w:rPr>
                <w:rFonts w:hint="default" w:ascii="Times New Roman" w:hAnsi="Times New Roman" w:eastAsia="宋体" w:cs="Times New Roman"/>
                <w:b w:val="0"/>
                <w:bCs w:val="0"/>
                <w:color w:val="auto"/>
                <w:sz w:val="24"/>
                <w:szCs w:val="24"/>
                <w:highlight w:val="none"/>
              </w:rPr>
              <w:sym w:font="Wingdings 2" w:char="00A3"/>
            </w:r>
            <w:r>
              <w:rPr>
                <w:rFonts w:hint="default" w:ascii="Times New Roman" w:hAnsi="Times New Roman" w:eastAsia="宋体" w:cs="Times New Roman"/>
                <w:b w:val="0"/>
                <w:bCs w:val="0"/>
                <w:color w:val="auto"/>
                <w:sz w:val="24"/>
                <w:szCs w:val="24"/>
                <w:highlight w:val="none"/>
              </w:rPr>
              <w:t>不要求提供</w:t>
            </w:r>
          </w:p>
          <w:p w14:paraId="227BCD7B">
            <w:pPr>
              <w:pStyle w:val="21"/>
              <w:keepNext w:val="0"/>
              <w:keepLines w:val="0"/>
              <w:pageBreakBefore w:val="0"/>
              <w:widowControl/>
              <w:kinsoku/>
              <w:wordWrap/>
              <w:overflowPunct/>
              <w:bidi w:val="0"/>
              <w:spacing w:beforeAutospacing="0" w:afterAutospacing="0" w:line="360" w:lineRule="exact"/>
              <w:ind w:firstLine="0" w:firstLineChars="0"/>
              <w:textAlignment w:val="auto"/>
              <w:rPr>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sym w:font="Wingdings 2" w:char="0052"/>
            </w:r>
            <w:r>
              <w:rPr>
                <w:rFonts w:hint="default" w:ascii="Times New Roman" w:hAnsi="Times New Roman" w:eastAsia="宋体" w:cs="Times New Roman"/>
                <w:b w:val="0"/>
                <w:bCs w:val="0"/>
                <w:color w:val="auto"/>
                <w:sz w:val="24"/>
                <w:szCs w:val="24"/>
                <w:highlight w:val="none"/>
              </w:rPr>
              <w:t>要求提供：</w:t>
            </w:r>
          </w:p>
          <w:p w14:paraId="2475E67B">
            <w:pPr>
              <w:pStyle w:val="21"/>
              <w:keepNext w:val="0"/>
              <w:keepLines w:val="0"/>
              <w:pageBreakBefore w:val="0"/>
              <w:widowControl/>
              <w:kinsoku/>
              <w:wordWrap/>
              <w:overflowPunct/>
              <w:bidi w:val="0"/>
              <w:spacing w:beforeAutospacing="0" w:afterAutospacing="0" w:line="360" w:lineRule="exact"/>
              <w:ind w:firstLine="0" w:firstLineChars="0"/>
              <w:textAlignment w:val="auto"/>
              <w:rPr>
                <w:rFonts w:hint="eastAsia" w:ascii="宋体" w:hAnsi="宋体"/>
                <w:b/>
                <w:bCs/>
                <w:color w:val="auto"/>
                <w:sz w:val="24"/>
                <w:szCs w:val="24"/>
                <w:highlight w:val="none"/>
                <w:lang w:bidi="ar"/>
              </w:rPr>
            </w:pPr>
            <w:r>
              <w:rPr>
                <w:rFonts w:hint="eastAsia" w:ascii="宋体" w:hAnsi="宋体"/>
                <w:color w:val="auto"/>
                <w:sz w:val="24"/>
                <w:szCs w:val="24"/>
                <w:highlight w:val="none"/>
                <w:lang w:bidi="ar"/>
              </w:rPr>
              <w:t>履约保证金金额：</w:t>
            </w:r>
            <w:r>
              <w:rPr>
                <w:rFonts w:hint="eastAsia" w:ascii="宋体" w:hAnsi="宋体" w:cs="Times New Roman"/>
                <w:color w:val="auto"/>
                <w:sz w:val="24"/>
                <w:szCs w:val="24"/>
                <w:highlight w:val="none"/>
                <w:lang w:val="en-US" w:eastAsia="zh-CN" w:bidi="ar"/>
              </w:rPr>
              <w:t>中标</w:t>
            </w:r>
            <w:r>
              <w:rPr>
                <w:rFonts w:hint="eastAsia" w:ascii="宋体" w:hAnsi="宋体" w:eastAsia="宋体" w:cs="Times New Roman"/>
                <w:color w:val="auto"/>
                <w:sz w:val="24"/>
                <w:szCs w:val="24"/>
                <w:highlight w:val="none"/>
                <w:lang w:val="en-US" w:eastAsia="zh-CN" w:bidi="ar"/>
              </w:rPr>
              <w:t>金额的</w:t>
            </w:r>
            <w:r>
              <w:rPr>
                <w:rFonts w:hint="eastAsia" w:ascii="宋体" w:hAnsi="宋体" w:eastAsia="宋体" w:cs="Times New Roman"/>
                <w:color w:val="auto"/>
                <w:sz w:val="24"/>
                <w:szCs w:val="24"/>
                <w:highlight w:val="none"/>
                <w:u w:val="single"/>
                <w:lang w:val="en-US" w:eastAsia="zh-CN" w:bidi="ar"/>
              </w:rPr>
              <w:t xml:space="preserve"> 5 </w:t>
            </w:r>
            <w:r>
              <w:rPr>
                <w:rFonts w:hint="eastAsia" w:ascii="宋体" w:hAnsi="宋体" w:eastAsia="宋体" w:cs="Times New Roman"/>
                <w:color w:val="auto"/>
                <w:sz w:val="24"/>
                <w:szCs w:val="24"/>
                <w:highlight w:val="none"/>
                <w:lang w:val="en-US" w:eastAsia="zh-CN" w:bidi="ar"/>
              </w:rPr>
              <w:t>%。</w:t>
            </w:r>
          </w:p>
          <w:p w14:paraId="4A5BEC93">
            <w:pPr>
              <w:pStyle w:val="21"/>
              <w:keepNext w:val="0"/>
              <w:keepLines w:val="0"/>
              <w:pageBreakBefore w:val="0"/>
              <w:widowControl/>
              <w:kinsoku/>
              <w:wordWrap/>
              <w:overflowPunct/>
              <w:bidi w:val="0"/>
              <w:spacing w:beforeAutospacing="0" w:afterAutospacing="0" w:line="360" w:lineRule="exact"/>
              <w:ind w:firstLine="0" w:firstLineChars="0"/>
              <w:textAlignment w:val="auto"/>
              <w:rPr>
                <w:rFonts w:hAnsi="宋体"/>
                <w:color w:val="auto"/>
                <w:sz w:val="24"/>
                <w:szCs w:val="24"/>
                <w:highlight w:val="none"/>
              </w:rPr>
            </w:pPr>
            <w:r>
              <w:rPr>
                <w:rFonts w:hint="eastAsia" w:ascii="宋体" w:hAnsi="宋体"/>
                <w:color w:val="auto"/>
                <w:sz w:val="24"/>
                <w:szCs w:val="24"/>
                <w:highlight w:val="none"/>
                <w:lang w:bidi="ar"/>
              </w:rPr>
              <w:t>履约保证金形式：</w:t>
            </w:r>
            <w:r>
              <w:rPr>
                <w:rFonts w:hint="eastAsia" w:ascii="宋体" w:hAnsi="宋体"/>
                <w:color w:val="auto"/>
                <w:sz w:val="24"/>
                <w:szCs w:val="24"/>
                <w:highlight w:val="none"/>
                <w:lang w:val="en-US" w:eastAsia="zh-CN" w:bidi="ar"/>
              </w:rPr>
              <w:t>供应商</w:t>
            </w:r>
            <w:r>
              <w:rPr>
                <w:rFonts w:hint="eastAsia" w:ascii="宋体" w:hAnsi="宋体"/>
                <w:color w:val="auto"/>
                <w:sz w:val="24"/>
                <w:szCs w:val="24"/>
                <w:highlight w:val="none"/>
                <w:lang w:bidi="ar"/>
              </w:rPr>
              <w:t>应当以网上银行转账</w:t>
            </w:r>
            <w:r>
              <w:rPr>
                <w:rFonts w:hint="eastAsia" w:ascii="宋体" w:hAnsi="宋体"/>
                <w:color w:val="auto"/>
                <w:sz w:val="24"/>
                <w:szCs w:val="24"/>
                <w:highlight w:val="none"/>
                <w:lang w:eastAsia="zh-CN" w:bidi="ar"/>
              </w:rPr>
              <w:t>、保函、</w:t>
            </w:r>
            <w:r>
              <w:rPr>
                <w:rFonts w:hint="eastAsia" w:ascii="宋体" w:hAnsi="宋体"/>
                <w:color w:val="auto"/>
                <w:sz w:val="24"/>
                <w:szCs w:val="24"/>
                <w:highlight w:val="none"/>
                <w:lang w:bidi="ar"/>
              </w:rPr>
              <w:t>支票、汇票、本票等非现金形式提交。</w:t>
            </w:r>
          </w:p>
          <w:p w14:paraId="1C12CF5F">
            <w:pPr>
              <w:keepNext w:val="0"/>
              <w:keepLines w:val="0"/>
              <w:pageBreakBefore w:val="0"/>
              <w:widowControl/>
              <w:kinsoku/>
              <w:wordWrap/>
              <w:overflowPunct/>
              <w:bidi w:val="0"/>
              <w:spacing w:line="360" w:lineRule="exact"/>
              <w:ind w:firstLine="0" w:firstLineChars="0"/>
              <w:jc w:val="left"/>
              <w:textAlignment w:val="auto"/>
              <w:rPr>
                <w:rFonts w:hint="default" w:ascii="宋体" w:hAnsi="宋体" w:cs="Times New Roman"/>
                <w:color w:val="auto"/>
                <w:sz w:val="24"/>
                <w:szCs w:val="24"/>
                <w:shd w:val="clear" w:color="auto" w:fill="FFFFFF"/>
                <w:lang w:val="en-US" w:bidi="ar"/>
              </w:rPr>
            </w:pPr>
            <w:r>
              <w:rPr>
                <w:rFonts w:hint="eastAsia" w:ascii="宋体" w:hAnsi="宋体" w:cs="Times New Roman"/>
                <w:color w:val="auto"/>
                <w:sz w:val="24"/>
                <w:szCs w:val="24"/>
                <w:shd w:val="clear" w:color="auto" w:fill="FFFFFF"/>
                <w:lang w:val="en-US" w:eastAsia="zh-CN" w:bidi="ar"/>
              </w:rPr>
              <w:t>以银行转账方式缴纳的</w:t>
            </w:r>
            <w:r>
              <w:rPr>
                <w:rFonts w:hint="eastAsia" w:ascii="宋体" w:hAnsi="宋体" w:cs="Times New Roman"/>
                <w:color w:val="auto"/>
                <w:sz w:val="24"/>
                <w:szCs w:val="24"/>
                <w:shd w:val="clear" w:color="auto" w:fill="FFFFFF"/>
                <w:lang w:bidi="ar"/>
              </w:rPr>
              <w:t>履约担保期限</w:t>
            </w:r>
            <w:r>
              <w:rPr>
                <w:rFonts w:hint="eastAsia" w:ascii="宋体" w:hAnsi="宋体" w:cs="Times New Roman"/>
                <w:color w:val="auto"/>
                <w:sz w:val="24"/>
                <w:szCs w:val="24"/>
                <w:shd w:val="clear" w:color="auto" w:fill="FFFFFF"/>
                <w:lang w:val="en-US" w:eastAsia="zh-CN" w:bidi="ar"/>
              </w:rPr>
              <w:t>及退还</w:t>
            </w:r>
            <w:r>
              <w:rPr>
                <w:rFonts w:hint="eastAsia" w:ascii="宋体" w:hAnsi="宋体" w:cs="Times New Roman"/>
                <w:color w:val="auto"/>
                <w:sz w:val="24"/>
                <w:szCs w:val="24"/>
                <w:shd w:val="clear" w:color="auto" w:fill="FFFFFF"/>
                <w:lang w:bidi="ar"/>
              </w:rPr>
              <w:t>：</w:t>
            </w:r>
            <w:r>
              <w:rPr>
                <w:rFonts w:hint="eastAsia" w:ascii="宋体" w:hAnsi="宋体" w:cs="Times New Roman"/>
                <w:color w:val="auto"/>
                <w:sz w:val="24"/>
                <w:szCs w:val="24"/>
                <w:shd w:val="clear" w:color="auto" w:fill="FFFFFF"/>
                <w:lang w:val="en-US" w:eastAsia="zh-CN" w:bidi="ar"/>
              </w:rPr>
              <w:t>服务期满后</w:t>
            </w:r>
            <w:r>
              <w:rPr>
                <w:rFonts w:hint="eastAsia" w:ascii="宋体" w:hAnsi="宋体" w:cs="Times New Roman"/>
                <w:color w:val="auto"/>
                <w:sz w:val="24"/>
                <w:szCs w:val="24"/>
                <w:shd w:val="clear" w:color="auto" w:fill="FFFFFF"/>
                <w:lang w:bidi="ar"/>
              </w:rPr>
              <w:t>三十日内</w:t>
            </w:r>
            <w:r>
              <w:rPr>
                <w:rFonts w:hint="eastAsia" w:ascii="宋体" w:hAnsi="宋体" w:cs="Times New Roman"/>
                <w:color w:val="auto"/>
                <w:sz w:val="24"/>
                <w:szCs w:val="24"/>
                <w:shd w:val="clear" w:color="auto" w:fill="FFFFFF"/>
                <w:lang w:eastAsia="zh-CN" w:bidi="ar"/>
              </w:rPr>
              <w:t>，</w:t>
            </w:r>
            <w:r>
              <w:rPr>
                <w:rFonts w:hint="eastAsia" w:ascii="宋体" w:hAnsi="宋体" w:cs="Times New Roman"/>
                <w:color w:val="auto"/>
                <w:sz w:val="24"/>
                <w:szCs w:val="24"/>
                <w:shd w:val="clear" w:color="auto" w:fill="FFFFFF"/>
                <w:lang w:val="en-US" w:eastAsia="zh-CN" w:bidi="ar"/>
              </w:rPr>
              <w:t>无违约，无息原路退还。</w:t>
            </w:r>
          </w:p>
          <w:p w14:paraId="39BCC277">
            <w:pPr>
              <w:keepNext w:val="0"/>
              <w:keepLines w:val="0"/>
              <w:pageBreakBefore w:val="0"/>
              <w:widowControl/>
              <w:kinsoku/>
              <w:wordWrap/>
              <w:overflowPunct/>
              <w:bidi w:val="0"/>
              <w:spacing w:line="360" w:lineRule="exact"/>
              <w:ind w:firstLine="0" w:firstLineChars="0"/>
              <w:jc w:val="left"/>
              <w:textAlignment w:val="auto"/>
              <w:rPr>
                <w:rFonts w:hint="eastAsia" w:ascii="Times New Roman" w:hAnsi="Times New Roman" w:eastAsia="宋体" w:cs="Times New Roman"/>
                <w:color w:val="FF0000"/>
                <w:kern w:val="2"/>
                <w:sz w:val="24"/>
                <w:szCs w:val="24"/>
                <w:lang w:val="en-US" w:eastAsia="zh-CN" w:bidi="ar-SA"/>
              </w:rPr>
            </w:pPr>
            <w:r>
              <w:rPr>
                <w:rFonts w:hint="eastAsia" w:ascii="宋体" w:hAnsi="宋体" w:cs="Times New Roman"/>
                <w:color w:val="auto"/>
                <w:sz w:val="24"/>
                <w:szCs w:val="24"/>
                <w:shd w:val="clear" w:color="auto" w:fill="FFFFFF"/>
                <w:lang w:val="en-US" w:eastAsia="zh-CN" w:bidi="ar"/>
              </w:rPr>
              <w:t>其他方式</w:t>
            </w:r>
            <w:r>
              <w:rPr>
                <w:rFonts w:hint="eastAsia" w:ascii="宋体" w:hAnsi="宋体" w:cs="Times New Roman"/>
                <w:color w:val="auto"/>
                <w:sz w:val="24"/>
                <w:szCs w:val="24"/>
                <w:shd w:val="clear" w:color="auto" w:fill="FFFFFF"/>
                <w:lang w:bidi="ar"/>
              </w:rPr>
              <w:t>履约担保期限</w:t>
            </w:r>
            <w:r>
              <w:rPr>
                <w:rFonts w:hint="eastAsia" w:ascii="宋体" w:hAnsi="宋体" w:cs="Times New Roman"/>
                <w:color w:val="auto"/>
                <w:sz w:val="24"/>
                <w:szCs w:val="24"/>
                <w:shd w:val="clear" w:color="auto" w:fill="FFFFFF"/>
                <w:lang w:val="en-US" w:eastAsia="zh-CN" w:bidi="ar"/>
              </w:rPr>
              <w:t>及退还：服务期满后</w:t>
            </w:r>
            <w:r>
              <w:rPr>
                <w:rFonts w:hint="eastAsia" w:ascii="宋体" w:hAnsi="宋体" w:cs="Times New Roman"/>
                <w:color w:val="auto"/>
                <w:sz w:val="24"/>
                <w:szCs w:val="24"/>
                <w:shd w:val="clear" w:color="auto" w:fill="FFFFFF"/>
                <w:lang w:bidi="ar"/>
              </w:rPr>
              <w:t>三十日内</w:t>
            </w:r>
            <w:r>
              <w:rPr>
                <w:rFonts w:hint="eastAsia" w:ascii="宋体" w:hAnsi="宋体" w:cs="Times New Roman"/>
                <w:color w:val="auto"/>
                <w:sz w:val="24"/>
                <w:szCs w:val="24"/>
                <w:shd w:val="clear" w:color="auto" w:fill="FFFFFF"/>
                <w:lang w:eastAsia="zh-CN" w:bidi="ar"/>
              </w:rPr>
              <w:t>，</w:t>
            </w:r>
            <w:r>
              <w:rPr>
                <w:rFonts w:hint="eastAsia" w:ascii="宋体" w:hAnsi="宋体" w:cs="Times New Roman"/>
                <w:color w:val="auto"/>
                <w:sz w:val="24"/>
                <w:szCs w:val="24"/>
                <w:shd w:val="clear" w:color="auto" w:fill="FFFFFF"/>
                <w:lang w:val="en-US" w:eastAsia="zh-CN" w:bidi="ar"/>
              </w:rPr>
              <w:t>无违约，将退还票据（保函）原件</w:t>
            </w:r>
            <w:r>
              <w:rPr>
                <w:rFonts w:hint="eastAsia" w:ascii="宋体" w:hAnsi="宋体" w:cs="Times New Roman"/>
                <w:color w:val="auto"/>
                <w:sz w:val="24"/>
                <w:szCs w:val="24"/>
                <w:shd w:val="clear" w:color="auto" w:fill="FFFFFF"/>
                <w:lang w:bidi="ar"/>
              </w:rPr>
              <w:t>。</w:t>
            </w:r>
          </w:p>
        </w:tc>
      </w:tr>
      <w:tr w14:paraId="6BEF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751" w:type="dxa"/>
            <w:vAlign w:val="center"/>
          </w:tcPr>
          <w:p w14:paraId="1476B55D">
            <w:pPr>
              <w:keepNext w:val="0"/>
              <w:keepLines w:val="0"/>
              <w:pageBreakBefore w:val="0"/>
              <w:kinsoku/>
              <w:overflowPunct/>
              <w:topLinePunct w:val="0"/>
              <w:bidi w:val="0"/>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29.1</w:t>
            </w:r>
          </w:p>
        </w:tc>
        <w:tc>
          <w:tcPr>
            <w:tcW w:w="2208" w:type="dxa"/>
            <w:vAlign w:val="center"/>
          </w:tcPr>
          <w:p w14:paraId="3B5AE24F">
            <w:pPr>
              <w:keepNext w:val="0"/>
              <w:keepLines w:val="0"/>
              <w:pageBreakBefore w:val="0"/>
              <w:kinsoku/>
              <w:overflowPunct/>
              <w:topLinePunct w:val="0"/>
              <w:bidi w:val="0"/>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代理服务费</w:t>
            </w:r>
            <w:r>
              <w:rPr>
                <w:rFonts w:hint="eastAsia" w:ascii="宋体" w:hAnsi="宋体" w:eastAsia="宋体" w:cs="宋体"/>
                <w:color w:val="auto"/>
                <w:sz w:val="24"/>
                <w:szCs w:val="24"/>
                <w:lang w:eastAsia="zh-CN"/>
              </w:rPr>
              <w:t>（中标服务费）</w:t>
            </w:r>
          </w:p>
        </w:tc>
        <w:tc>
          <w:tcPr>
            <w:tcW w:w="6914" w:type="dxa"/>
            <w:vAlign w:val="center"/>
          </w:tcPr>
          <w:p w14:paraId="580B4625">
            <w:pPr>
              <w:pStyle w:val="21"/>
              <w:keepNext w:val="0"/>
              <w:keepLines w:val="0"/>
              <w:pageBreakBefore w:val="0"/>
              <w:kinsoku/>
              <w:overflowPunct/>
              <w:topLinePunct w:val="0"/>
              <w:bidi w:val="0"/>
              <w:snapToGrid/>
              <w:spacing w:before="0" w:beforeAutospacing="0" w:after="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参照</w:t>
            </w:r>
            <w:r>
              <w:rPr>
                <w:rFonts w:hint="eastAsia" w:ascii="宋体" w:hAnsi="宋体" w:eastAsia="宋体" w:cs="宋体"/>
                <w:color w:val="auto"/>
                <w:sz w:val="24"/>
                <w:szCs w:val="24"/>
              </w:rPr>
              <w:t>《云南省建设工程及政府采购代理服务收费参考意见》云建招协〔2026〕11号文件</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类收费标准收取，由</w:t>
            </w:r>
            <w:r>
              <w:rPr>
                <w:rFonts w:hint="eastAsia" w:ascii="宋体" w:hAnsi="宋体" w:eastAsia="宋体" w:cs="宋体"/>
                <w:color w:val="auto"/>
                <w:sz w:val="24"/>
                <w:szCs w:val="24"/>
                <w:lang w:val="en-US" w:eastAsia="zh-CN"/>
              </w:rPr>
              <w:t>成交人</w:t>
            </w:r>
            <w:r>
              <w:rPr>
                <w:rFonts w:hint="eastAsia" w:ascii="宋体" w:hAnsi="宋体" w:eastAsia="宋体" w:cs="宋体"/>
                <w:color w:val="auto"/>
                <w:sz w:val="24"/>
                <w:szCs w:val="24"/>
              </w:rPr>
              <w:t>在领取中标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通知书</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一次付清。</w:t>
            </w:r>
          </w:p>
        </w:tc>
      </w:tr>
      <w:tr w14:paraId="1B39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1" w:type="dxa"/>
            <w:vAlign w:val="center"/>
          </w:tcPr>
          <w:p w14:paraId="1BD8E8F8">
            <w:pPr>
              <w:keepNext w:val="0"/>
              <w:keepLines w:val="0"/>
              <w:pageBreakBefore w:val="0"/>
              <w:kinsoku/>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5</w:t>
            </w:r>
          </w:p>
        </w:tc>
        <w:tc>
          <w:tcPr>
            <w:tcW w:w="2208" w:type="dxa"/>
            <w:vAlign w:val="center"/>
          </w:tcPr>
          <w:p w14:paraId="785B19ED">
            <w:pPr>
              <w:pStyle w:val="21"/>
              <w:keepNext w:val="0"/>
              <w:keepLines w:val="0"/>
              <w:pageBreakBefore w:val="0"/>
              <w:kinsoku/>
              <w:overflowPunct/>
              <w:topLinePunct w:val="0"/>
              <w:bidi w:val="0"/>
              <w:snapToGrid/>
              <w:spacing w:before="40" w:after="40" w:line="360" w:lineRule="auto"/>
              <w:ind w:left="120" w:leftChars="57"/>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需要补充的其他内容</w:t>
            </w:r>
          </w:p>
        </w:tc>
        <w:tc>
          <w:tcPr>
            <w:tcW w:w="6914" w:type="dxa"/>
            <w:vAlign w:val="center"/>
          </w:tcPr>
          <w:p w14:paraId="37147170">
            <w:pPr>
              <w:pStyle w:val="21"/>
              <w:keepNext w:val="0"/>
              <w:keepLines w:val="0"/>
              <w:pageBreakBefore w:val="0"/>
              <w:kinsoku/>
              <w:overflowPunct/>
              <w:topLinePunct w:val="0"/>
              <w:bidi w:val="0"/>
              <w:snapToGrid/>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电子交易活动的中止。采购过程中出现以下情形，导致电子交易平台无法正常运行，或者无法保证电子交易的公平、公正和安全时，采购机构可中止电子交易活动：</w:t>
            </w:r>
          </w:p>
          <w:p w14:paraId="44A0A798">
            <w:pPr>
              <w:pStyle w:val="21"/>
              <w:keepNext w:val="0"/>
              <w:keepLines w:val="0"/>
              <w:pageBreakBefore w:val="0"/>
              <w:kinsoku/>
              <w:overflowPunct/>
              <w:topLinePunct w:val="0"/>
              <w:bidi w:val="0"/>
              <w:snapToGrid/>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（1）电子交易平台发生故障而无法登录访问的；</w:t>
            </w:r>
          </w:p>
          <w:p w14:paraId="3A00CE51">
            <w:pPr>
              <w:pStyle w:val="21"/>
              <w:keepNext w:val="0"/>
              <w:keepLines w:val="0"/>
              <w:pageBreakBefore w:val="0"/>
              <w:kinsoku/>
              <w:overflowPunct/>
              <w:topLinePunct w:val="0"/>
              <w:bidi w:val="0"/>
              <w:snapToGrid/>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（2）电子交易平台应用或数据库出现错误，不能进行正常操作的；</w:t>
            </w:r>
          </w:p>
          <w:p w14:paraId="10B57EA6">
            <w:pPr>
              <w:pStyle w:val="21"/>
              <w:keepNext w:val="0"/>
              <w:keepLines w:val="0"/>
              <w:pageBreakBefore w:val="0"/>
              <w:kinsoku/>
              <w:overflowPunct/>
              <w:topLinePunct w:val="0"/>
              <w:bidi w:val="0"/>
              <w:snapToGrid/>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（3）电子交易平台发现严重安全漏洞，有潜在泄密危险的；</w:t>
            </w:r>
          </w:p>
          <w:p w14:paraId="6A37772E">
            <w:pPr>
              <w:pStyle w:val="21"/>
              <w:keepNext w:val="0"/>
              <w:keepLines w:val="0"/>
              <w:pageBreakBefore w:val="0"/>
              <w:kinsoku/>
              <w:overflowPunct/>
              <w:topLinePunct w:val="0"/>
              <w:bidi w:val="0"/>
              <w:snapToGrid/>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（4）病毒发作导致不能进行正常操作的；</w:t>
            </w:r>
          </w:p>
          <w:p w14:paraId="1A02FC9C">
            <w:pPr>
              <w:pStyle w:val="21"/>
              <w:keepNext w:val="0"/>
              <w:keepLines w:val="0"/>
              <w:pageBreakBefore w:val="0"/>
              <w:kinsoku/>
              <w:overflowPunct/>
              <w:topLinePunct w:val="0"/>
              <w:bidi w:val="0"/>
              <w:snapToGrid/>
              <w:spacing w:before="0" w:beforeAutospacing="0" w:after="0" w:afterAutospacing="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（5）其他无法保证电子交易的公平、公正和安全的情况。</w:t>
            </w:r>
          </w:p>
          <w:p w14:paraId="748DC2A5">
            <w:pPr>
              <w:pStyle w:val="21"/>
              <w:keepNext w:val="0"/>
              <w:keepLines w:val="0"/>
              <w:pageBreakBefore w:val="0"/>
              <w:kinsoku/>
              <w:overflowPunct/>
              <w:topLinePunct w:val="0"/>
              <w:bidi w:val="0"/>
              <w:snapToGrid/>
              <w:spacing w:before="0" w:beforeAutospacing="0" w:after="0" w:afterAutospacing="0" w:line="360" w:lineRule="auto"/>
              <w:jc w:val="both"/>
              <w:textAlignment w:val="auto"/>
              <w:rPr>
                <w:rFonts w:hint="eastAsia" w:ascii="宋体" w:hAnsi="宋体" w:eastAsia="宋体" w:cs="宋体"/>
                <w:b/>
                <w:bCs/>
                <w:color w:val="auto"/>
                <w:sz w:val="24"/>
                <w:szCs w:val="24"/>
              </w:rPr>
            </w:pPr>
            <w:r>
              <w:rPr>
                <w:rFonts w:hint="eastAsia" w:ascii="宋体" w:hAnsi="宋体" w:eastAsia="宋体" w:cs="宋体"/>
                <w:bCs/>
                <w:color w:val="auto"/>
                <w:sz w:val="24"/>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tc>
      </w:tr>
      <w:tr w14:paraId="56E7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trPr>
        <w:tc>
          <w:tcPr>
            <w:tcW w:w="751" w:type="dxa"/>
            <w:vAlign w:val="center"/>
          </w:tcPr>
          <w:p w14:paraId="690786C5">
            <w:pPr>
              <w:keepNext w:val="0"/>
              <w:keepLines w:val="0"/>
              <w:pageBreakBefore w:val="0"/>
              <w:kinsoku/>
              <w:wordWrap w:val="0"/>
              <w:overflowPunct/>
              <w:topLinePunct w:val="0"/>
              <w:bidi w:val="0"/>
              <w:snapToGrid/>
              <w:spacing w:before="40" w:after="4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2208" w:type="dxa"/>
            <w:vAlign w:val="center"/>
          </w:tcPr>
          <w:p w14:paraId="7BC00859">
            <w:pPr>
              <w:pStyle w:val="14"/>
              <w:keepNext w:val="0"/>
              <w:keepLines w:val="0"/>
              <w:pageBreakBefore w:val="0"/>
              <w:kinsoku/>
              <w:wordWrap w:val="0"/>
              <w:overflowPunct/>
              <w:topLinePunct w:val="0"/>
              <w:bidi w:val="0"/>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其它内容</w:t>
            </w:r>
          </w:p>
        </w:tc>
        <w:tc>
          <w:tcPr>
            <w:tcW w:w="6914" w:type="dxa"/>
            <w:vAlign w:val="center"/>
          </w:tcPr>
          <w:p w14:paraId="071F02E5">
            <w:pPr>
              <w:keepNext w:val="0"/>
              <w:keepLines w:val="0"/>
              <w:pageBreakBefore w:val="0"/>
              <w:kinsoku/>
              <w:wordWrap w:val="0"/>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根据《财政部关于在政府采购活动中查询及使用信用记录有关问题的通知</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财库〔2016〕125号相关要求，采购人或者采购代理机构对信用记录进行核实，对列入失信被执行人、重大税收违法案件当事人名单、政府采购严重违法失信行为记录名单及其他不符合《中华人民共和国政府采购法》第二十二条规定条件的供应商，拒绝其参与政府采购活动。</w:t>
            </w:r>
          </w:p>
        </w:tc>
      </w:tr>
    </w:tbl>
    <w:p w14:paraId="6E37E753">
      <w:pPr>
        <w:tabs>
          <w:tab w:val="left" w:pos="3150"/>
          <w:tab w:val="center" w:pos="4734"/>
        </w:tabs>
        <w:spacing w:line="360" w:lineRule="auto"/>
        <w:ind w:firstLine="321" w:firstLineChars="100"/>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22"/>
        </w:rPr>
        <w:t>一、总则</w:t>
      </w:r>
    </w:p>
    <w:p w14:paraId="36D5667E">
      <w:pPr>
        <w:tabs>
          <w:tab w:val="left" w:pos="3150"/>
          <w:tab w:val="center" w:pos="4734"/>
        </w:tabs>
        <w:spacing w:line="360" w:lineRule="auto"/>
        <w:ind w:firstLine="241" w:firstLineChars="1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项目概况</w:t>
      </w:r>
    </w:p>
    <w:p w14:paraId="7B24F345">
      <w:pPr>
        <w:tabs>
          <w:tab w:val="left" w:pos="105"/>
          <w:tab w:val="left" w:pos="735"/>
          <w:tab w:val="left" w:pos="945"/>
          <w:tab w:val="left" w:pos="3360"/>
        </w:tabs>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1根据《中华人民共和国政府采购法》《中华人民共和国政府采购法实施条例》《政府采购竞争性磋商采购方式管理暂行办法》等有关法律、法规的规定,经相关主管部门批准，采购代理机构受采购人委托，采用竞争性磋商方式选定供应商承担本项目，诚邀具备实施本项目能力，满足资格条件的供应商参加。</w:t>
      </w:r>
    </w:p>
    <w:p w14:paraId="7CE67BBF">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2本项目采购人：详见《供应商须知前附表》。</w:t>
      </w:r>
    </w:p>
    <w:p w14:paraId="4B4366A2">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3本项目采购代理机构：详见《供应商须知前附表》。</w:t>
      </w:r>
    </w:p>
    <w:p w14:paraId="2EB23C1E">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4项目名称及项目编号：详见《供应商须知前附表》。</w:t>
      </w:r>
    </w:p>
    <w:p w14:paraId="6E96AD8F">
      <w:pPr>
        <w:tabs>
          <w:tab w:val="left" w:pos="3150"/>
          <w:tab w:val="center" w:pos="4734"/>
        </w:tabs>
        <w:spacing w:line="360" w:lineRule="auto"/>
        <w:ind w:firstLine="241" w:firstLineChars="1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资金来源及预算金额</w:t>
      </w:r>
    </w:p>
    <w:p w14:paraId="500964CE">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2.1资金来源及预算金额：详见《供应商须知前附表》。</w:t>
      </w:r>
    </w:p>
    <w:p w14:paraId="5E3CB2F2">
      <w:pPr>
        <w:tabs>
          <w:tab w:val="left" w:pos="3150"/>
          <w:tab w:val="center" w:pos="4734"/>
        </w:tabs>
        <w:spacing w:line="360" w:lineRule="auto"/>
        <w:ind w:firstLine="241" w:firstLineChars="1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采购内容、合同履行期限及服务地点</w:t>
      </w:r>
    </w:p>
    <w:p w14:paraId="2B9FC96A">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3.1采购内容：详见《供应商须知前附表》。</w:t>
      </w:r>
    </w:p>
    <w:p w14:paraId="6A161C93">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3.2合同履行期限及服务地点：详见《供应商须知前附表》。</w:t>
      </w:r>
    </w:p>
    <w:p w14:paraId="39BCC88C">
      <w:pPr>
        <w:tabs>
          <w:tab w:val="left" w:pos="105"/>
          <w:tab w:val="left" w:pos="735"/>
          <w:tab w:val="left" w:pos="945"/>
          <w:tab w:val="left" w:pos="3360"/>
        </w:tabs>
        <w:adjustRightInd w:val="0"/>
        <w:snapToGrid w:val="0"/>
        <w:spacing w:line="360" w:lineRule="auto"/>
        <w:ind w:firstLine="240" w:firstLineChars="100"/>
        <w:rPr>
          <w:rFonts w:hint="eastAsia" w:ascii="宋体" w:hAnsi="宋体" w:eastAsia="宋体" w:cs="宋体"/>
          <w:b/>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4、</w:t>
      </w:r>
      <w:r>
        <w:rPr>
          <w:rFonts w:hint="eastAsia" w:ascii="宋体" w:hAnsi="宋体" w:eastAsia="宋体" w:cs="宋体"/>
          <w:b/>
          <w:color w:val="auto"/>
          <w:sz w:val="24"/>
          <w:szCs w:val="24"/>
        </w:rPr>
        <w:t>供应商资格要求</w:t>
      </w:r>
    </w:p>
    <w:p w14:paraId="41C8BA95">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4.1供应商资格要求：详见《供应商须知前附表》。</w:t>
      </w:r>
    </w:p>
    <w:p w14:paraId="727DB941">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4.2采购人根据本项目的特殊要求规定供应商应具备的特定条件：详见《供应商须知前附表》。</w:t>
      </w:r>
    </w:p>
    <w:p w14:paraId="5E5DD67D">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4.3是否接受联合体参加：不接受。</w:t>
      </w:r>
    </w:p>
    <w:p w14:paraId="47AE6D0B">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4.4如供应商为满足供应商资格要求提供虚假材料，一经查实，视为未实质性响应竞争性磋商文件，供应商响应文件将按无效响应处理。</w:t>
      </w:r>
    </w:p>
    <w:p w14:paraId="3C487527">
      <w:pPr>
        <w:tabs>
          <w:tab w:val="left" w:pos="105"/>
          <w:tab w:val="left" w:pos="735"/>
          <w:tab w:val="left" w:pos="945"/>
          <w:tab w:val="left" w:pos="3360"/>
        </w:tabs>
        <w:adjustRightInd w:val="0"/>
        <w:snapToGrid w:val="0"/>
        <w:spacing w:line="360" w:lineRule="auto"/>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5、费用承担</w:t>
      </w:r>
    </w:p>
    <w:p w14:paraId="237FDE81">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5.1无论是否成交，供应商自行承担所有与参加本次竞争性磋商采购活动所产生的全部费用。</w:t>
      </w:r>
    </w:p>
    <w:p w14:paraId="3A7CFD3C">
      <w:pPr>
        <w:autoSpaceDE w:val="0"/>
        <w:autoSpaceDN w:val="0"/>
        <w:adjustRightInd w:val="0"/>
        <w:spacing w:line="360" w:lineRule="auto"/>
        <w:ind w:firstLine="236" w:firstLineChars="98"/>
        <w:rPr>
          <w:rFonts w:hint="eastAsia" w:ascii="宋体" w:hAnsi="宋体" w:eastAsia="宋体" w:cs="宋体"/>
          <w:b/>
          <w:bCs/>
          <w:color w:val="auto"/>
          <w:sz w:val="24"/>
          <w:szCs w:val="24"/>
        </w:rPr>
      </w:pPr>
      <w:r>
        <w:rPr>
          <w:rFonts w:hint="eastAsia" w:ascii="宋体" w:hAnsi="宋体" w:eastAsia="宋体" w:cs="宋体"/>
          <w:b/>
          <w:bCs/>
          <w:color w:val="auto"/>
          <w:sz w:val="24"/>
          <w:szCs w:val="24"/>
        </w:rPr>
        <w:t>6、现场考察</w:t>
      </w:r>
    </w:p>
    <w:p w14:paraId="08755322">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6.1本项目采购人不组织现场考察。</w:t>
      </w:r>
    </w:p>
    <w:p w14:paraId="4274D985">
      <w:pPr>
        <w:autoSpaceDE w:val="0"/>
        <w:autoSpaceDN w:val="0"/>
        <w:adjustRightInd w:val="0"/>
        <w:spacing w:line="360" w:lineRule="auto"/>
        <w:ind w:firstLine="236" w:firstLineChars="98"/>
        <w:rPr>
          <w:rFonts w:hint="eastAsia" w:ascii="宋体" w:hAnsi="宋体" w:eastAsia="宋体" w:cs="宋体"/>
          <w:b/>
          <w:bCs/>
          <w:color w:val="auto"/>
          <w:sz w:val="24"/>
          <w:szCs w:val="24"/>
        </w:rPr>
      </w:pPr>
      <w:r>
        <w:rPr>
          <w:rFonts w:hint="eastAsia" w:ascii="宋体" w:hAnsi="宋体" w:eastAsia="宋体" w:cs="宋体"/>
          <w:b/>
          <w:bCs/>
          <w:color w:val="auto"/>
          <w:sz w:val="24"/>
          <w:szCs w:val="24"/>
        </w:rPr>
        <w:t>7、磋商前答疑会</w:t>
      </w:r>
    </w:p>
    <w:p w14:paraId="4013510F">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7.1本项目采购人不组织磋商前答疑会。</w:t>
      </w:r>
    </w:p>
    <w:p w14:paraId="4EEB6A84">
      <w:pPr>
        <w:autoSpaceDE w:val="0"/>
        <w:autoSpaceDN w:val="0"/>
        <w:adjustRightInd w:val="0"/>
        <w:spacing w:line="360" w:lineRule="auto"/>
        <w:ind w:firstLine="236" w:firstLineChars="98"/>
        <w:rPr>
          <w:rFonts w:hint="eastAsia" w:ascii="宋体" w:hAnsi="宋体" w:eastAsia="宋体" w:cs="宋体"/>
          <w:b/>
          <w:bCs/>
          <w:color w:val="auto"/>
          <w:sz w:val="24"/>
          <w:szCs w:val="24"/>
        </w:rPr>
      </w:pPr>
      <w:r>
        <w:rPr>
          <w:rFonts w:hint="eastAsia" w:ascii="宋体" w:hAnsi="宋体" w:eastAsia="宋体" w:cs="宋体"/>
          <w:b/>
          <w:bCs/>
          <w:color w:val="auto"/>
          <w:sz w:val="24"/>
          <w:szCs w:val="24"/>
        </w:rPr>
        <w:t>8、质疑</w:t>
      </w:r>
    </w:p>
    <w:p w14:paraId="53F0FC14">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bookmarkStart w:id="95" w:name="_Toc482343732"/>
      <w:bookmarkStart w:id="96" w:name="_Toc383175058"/>
      <w:bookmarkStart w:id="97" w:name="_Toc432194832"/>
      <w:bookmarkStart w:id="98" w:name="_Toc383175480"/>
      <w:bookmarkStart w:id="99" w:name="_Toc470507046"/>
      <w:bookmarkStart w:id="100" w:name="_Toc432106481"/>
      <w:bookmarkStart w:id="101" w:name="_Toc383175282"/>
      <w:r>
        <w:rPr>
          <w:rFonts w:hint="eastAsia" w:ascii="宋体" w:hAnsi="宋体" w:eastAsia="宋体" w:cs="宋体"/>
          <w:color w:val="auto"/>
          <w:sz w:val="24"/>
          <w:szCs w:val="24"/>
        </w:rPr>
        <w:t>8.1供应商认为竞争性磋商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63384504">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8.2竞争性磋商文件第二章《供应商须知</w:t>
      </w:r>
      <w:r>
        <w:rPr>
          <w:rFonts w:hint="eastAsia" w:ascii="宋体" w:hAnsi="宋体" w:cs="宋体"/>
          <w:color w:val="auto"/>
          <w:sz w:val="24"/>
          <w:szCs w:val="24"/>
          <w:lang w:eastAsia="zh-CN"/>
        </w:rPr>
        <w:t>》第</w:t>
      </w:r>
      <w:r>
        <w:rPr>
          <w:rFonts w:hint="eastAsia" w:ascii="宋体" w:hAnsi="宋体" w:eastAsia="宋体" w:cs="宋体"/>
          <w:color w:val="auto"/>
          <w:sz w:val="24"/>
          <w:szCs w:val="24"/>
        </w:rPr>
        <w:t>8.1条中“知道或者应知其权益受到损害之日”是指：</w:t>
      </w:r>
    </w:p>
    <w:p w14:paraId="5B1A5B15">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（一）对可以质疑的竞争性磋商文件提出质疑的，为收到竞争性磋商文件之日或者竞争性磋商文件公告期限届满之日；</w:t>
      </w:r>
    </w:p>
    <w:p w14:paraId="7AF4AA53">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（二）对采购过程提出质疑的，为各采购程序环节结束之日；</w:t>
      </w:r>
    </w:p>
    <w:p w14:paraId="540FC8F5">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（三）对成交或者成交结果提出质疑的，为成交或者成交结果公告期限届满之日。</w:t>
      </w:r>
    </w:p>
    <w:p w14:paraId="6391B2B8">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24F4EB1A">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提出质疑的供应商应当是参与所质疑项目采购活动的供应商。</w:t>
      </w:r>
    </w:p>
    <w:p w14:paraId="371B6C27">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5EBD6E2F">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（一）供应商的姓名或者名称、地址、邮编、联系人及联系电话；</w:t>
      </w:r>
    </w:p>
    <w:p w14:paraId="48B0876A">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w:t>
      </w:r>
    </w:p>
    <w:p w14:paraId="42E908A0">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14:paraId="1BC74E8A">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14:paraId="5E2DFB55">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14:paraId="7C035B7E">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14:paraId="7643EC53">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供应商为自然人的，应当由本人签字；供应商为法人或者其他组织的，应当由法定代表人、主要负责人，或者其授权代表签字或者盖章，并加盖公章。</w:t>
      </w:r>
    </w:p>
    <w:p w14:paraId="7802156F">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8.5供应商不得捏造事实、提供虚假材料或者以非法手段取得证明材料。</w:t>
      </w:r>
    </w:p>
    <w:p w14:paraId="6F0F94DE">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8.6质疑函应当使用中文。相关当事人提供外文书证或者外国语视听资料的，应当附有中文译本，由翻译机构盖章或者翻译人员签名。相关当事人向有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宋体"/>
          <w:color w:val="auto"/>
          <w:sz w:val="24"/>
          <w:szCs w:val="24"/>
          <w:lang w:eastAsia="zh-CN"/>
        </w:rPr>
        <w:t>中国台湾地区</w:t>
      </w:r>
      <w:r>
        <w:rPr>
          <w:rFonts w:hint="eastAsia" w:ascii="宋体" w:hAnsi="宋体" w:eastAsia="宋体" w:cs="宋体"/>
          <w:color w:val="auto"/>
          <w:sz w:val="24"/>
          <w:szCs w:val="24"/>
        </w:rPr>
        <w:t>内形成的证据，应当履行相关的证明手续。</w:t>
      </w:r>
    </w:p>
    <w:p w14:paraId="08740E82">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8.7采购人、采购代理机构将在收到供应商质疑函后七个工作日内作出答复，但质疑答复的内容不涉及商业秘密。</w:t>
      </w:r>
    </w:p>
    <w:p w14:paraId="1AC04AE7">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8.8供应商对评审过程、成交结果提出质疑的，采购人、采购代理机构可以组织原</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协助答复质疑。质疑答复导致成交结果改变的，采购人或者采购代理机构会将有关情况书面报告本级有关部门。</w:t>
      </w:r>
    </w:p>
    <w:p w14:paraId="57458349">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8.9接收质疑函的方式：书面方式；接收质疑函的部门：</w:t>
      </w:r>
      <w:r>
        <w:rPr>
          <w:rFonts w:hint="eastAsia" w:ascii="宋体" w:hAnsi="宋体" w:eastAsia="宋体" w:cs="宋体"/>
          <w:bCs/>
          <w:color w:val="auto"/>
          <w:sz w:val="24"/>
          <w:szCs w:val="24"/>
          <w:u w:val="single"/>
          <w:lang w:eastAsia="zh-CN"/>
        </w:rPr>
        <w:t>云南万合工程管理有限公司</w:t>
      </w:r>
      <w:r>
        <w:rPr>
          <w:rFonts w:hint="eastAsia" w:ascii="宋体" w:hAnsi="宋体" w:eastAsia="宋体" w:cs="宋体"/>
          <w:color w:val="auto"/>
          <w:sz w:val="24"/>
          <w:szCs w:val="24"/>
        </w:rPr>
        <w:t>；联系人、联系电话：</w:t>
      </w:r>
      <w:r>
        <w:rPr>
          <w:rFonts w:hint="eastAsia" w:ascii="宋体" w:hAnsi="宋体" w:eastAsia="宋体" w:cs="宋体"/>
          <w:color w:val="auto"/>
          <w:sz w:val="24"/>
          <w:szCs w:val="24"/>
          <w:u w:val="single"/>
          <w:lang w:val="en-US" w:eastAsia="zh-CN"/>
        </w:rPr>
        <w:t>宋瑞</w:t>
      </w:r>
      <w:r>
        <w:rPr>
          <w:rFonts w:hint="eastAsia" w:ascii="宋体" w:hAnsi="宋体" w:cs="宋体"/>
          <w:color w:val="auto"/>
          <w:sz w:val="24"/>
          <w:szCs w:val="24"/>
          <w:u w:val="single"/>
          <w:lang w:val="en-US" w:eastAsia="zh-CN"/>
        </w:rPr>
        <w:t>、</w:t>
      </w:r>
      <w:r>
        <w:rPr>
          <w:rFonts w:hint="eastAsia" w:ascii="宋体" w:hAnsi="宋体" w:eastAsia="宋体" w:cs="宋体"/>
          <w:bCs/>
          <w:color w:val="auto"/>
          <w:sz w:val="24"/>
          <w:szCs w:val="24"/>
          <w:u w:val="single"/>
          <w:lang w:val="en-US" w:eastAsia="zh-CN"/>
        </w:rPr>
        <w:t>18187099147</w:t>
      </w:r>
      <w:r>
        <w:rPr>
          <w:rFonts w:hint="eastAsia" w:ascii="宋体" w:hAnsi="宋体" w:eastAsia="宋体" w:cs="宋体"/>
          <w:color w:val="auto"/>
          <w:sz w:val="24"/>
          <w:szCs w:val="24"/>
        </w:rPr>
        <w:t>；通讯地址：</w:t>
      </w:r>
      <w:r>
        <w:rPr>
          <w:rFonts w:hint="eastAsia" w:ascii="宋体" w:hAnsi="宋体" w:eastAsia="宋体" w:cs="宋体"/>
          <w:bCs/>
          <w:color w:val="auto"/>
          <w:sz w:val="24"/>
          <w:szCs w:val="24"/>
          <w:u w:val="single"/>
          <w:lang w:eastAsia="zh-CN"/>
        </w:rPr>
        <w:t>临沧市临翔区忙令路339号</w:t>
      </w:r>
      <w:r>
        <w:rPr>
          <w:rFonts w:hint="eastAsia" w:ascii="宋体" w:hAnsi="宋体" w:eastAsia="宋体" w:cs="宋体"/>
          <w:bCs/>
          <w:color w:val="auto"/>
          <w:sz w:val="24"/>
          <w:szCs w:val="24"/>
          <w:u w:val="single"/>
        </w:rPr>
        <w:t>。</w:t>
      </w:r>
    </w:p>
    <w:p w14:paraId="6A3D6CDF">
      <w:pPr>
        <w:tabs>
          <w:tab w:val="left" w:pos="105"/>
          <w:tab w:val="left" w:pos="735"/>
          <w:tab w:val="left" w:pos="945"/>
          <w:tab w:val="left" w:pos="3360"/>
        </w:tabs>
        <w:adjustRightInd w:val="0"/>
        <w:snapToGrid w:val="0"/>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9.投诉</w:t>
      </w:r>
    </w:p>
    <w:p w14:paraId="6F38CEAC">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9.1投诉必须首先经过质疑程序。质疑供应商对采购人、采购代理机构的答复不满意，或者采购人、采购代理机构未在规定时间内作出答复的，可以在答复期满后十五个工作日内书面向财政部门提起投诉。</w:t>
      </w:r>
    </w:p>
    <w:p w14:paraId="2E429DFE">
      <w:pPr>
        <w:tabs>
          <w:tab w:val="left" w:pos="105"/>
          <w:tab w:val="left" w:pos="735"/>
          <w:tab w:val="left" w:pos="945"/>
          <w:tab w:val="left" w:pos="3360"/>
        </w:tabs>
        <w:adjustRightInd w:val="0"/>
        <w:snapToGrid w:val="0"/>
        <w:spacing w:line="360" w:lineRule="auto"/>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二、磋商文件</w:t>
      </w:r>
    </w:p>
    <w:p w14:paraId="49DD32B8">
      <w:pPr>
        <w:tabs>
          <w:tab w:val="left" w:pos="105"/>
          <w:tab w:val="left" w:pos="735"/>
          <w:tab w:val="left" w:pos="945"/>
          <w:tab w:val="left" w:pos="3360"/>
        </w:tabs>
        <w:adjustRightInd w:val="0"/>
        <w:snapToGrid w:val="0"/>
        <w:spacing w:line="360" w:lineRule="auto"/>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10、磋商文件的组成</w:t>
      </w:r>
      <w:bookmarkEnd w:id="95"/>
      <w:bookmarkEnd w:id="96"/>
      <w:bookmarkEnd w:id="97"/>
      <w:bookmarkEnd w:id="98"/>
      <w:bookmarkEnd w:id="99"/>
      <w:bookmarkEnd w:id="100"/>
      <w:bookmarkEnd w:id="101"/>
    </w:p>
    <w:p w14:paraId="2B31676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采购人要求提供的</w:t>
      </w:r>
      <w:r>
        <w:rPr>
          <w:rFonts w:hint="eastAsia" w:ascii="宋体" w:hAnsi="宋体" w:eastAsia="宋体" w:cs="宋体"/>
          <w:color w:val="auto"/>
          <w:kern w:val="0"/>
          <w:sz w:val="24"/>
          <w:szCs w:val="24"/>
        </w:rPr>
        <w:t>货物、工程或者服务、</w:t>
      </w:r>
      <w:r>
        <w:rPr>
          <w:rFonts w:hint="eastAsia" w:ascii="宋体" w:hAnsi="宋体" w:eastAsia="宋体" w:cs="宋体"/>
          <w:color w:val="auto"/>
          <w:sz w:val="24"/>
          <w:szCs w:val="24"/>
        </w:rPr>
        <w:t>采购过程及合同条款在竞争性磋商文件中均有说明，竞争性磋商文件共六章，各章的内容如下：</w:t>
      </w:r>
    </w:p>
    <w:p w14:paraId="4DF72C96">
      <w:pPr>
        <w:spacing w:line="360" w:lineRule="auto"/>
        <w:ind w:left="502"/>
        <w:jc w:val="left"/>
        <w:rPr>
          <w:rFonts w:hint="eastAsia" w:ascii="宋体" w:hAnsi="宋体" w:eastAsia="宋体" w:cs="宋体"/>
          <w:color w:val="auto"/>
          <w:sz w:val="24"/>
          <w:szCs w:val="24"/>
        </w:rPr>
      </w:pPr>
      <w:r>
        <w:rPr>
          <w:rFonts w:hint="eastAsia" w:ascii="宋体" w:hAnsi="宋体" w:eastAsia="宋体" w:cs="宋体"/>
          <w:color w:val="auto"/>
          <w:sz w:val="24"/>
          <w:szCs w:val="24"/>
        </w:rPr>
        <w:t>第一章  竞争性磋商公告</w:t>
      </w:r>
    </w:p>
    <w:p w14:paraId="5DFC7DFB">
      <w:pPr>
        <w:spacing w:line="360" w:lineRule="auto"/>
        <w:ind w:left="502"/>
        <w:jc w:val="left"/>
        <w:rPr>
          <w:rFonts w:hint="eastAsia" w:ascii="宋体" w:hAnsi="宋体" w:eastAsia="宋体" w:cs="宋体"/>
          <w:color w:val="auto"/>
          <w:sz w:val="24"/>
          <w:szCs w:val="24"/>
        </w:rPr>
      </w:pPr>
      <w:r>
        <w:rPr>
          <w:rFonts w:hint="eastAsia" w:ascii="宋体" w:hAnsi="宋体" w:eastAsia="宋体" w:cs="宋体"/>
          <w:color w:val="auto"/>
          <w:sz w:val="24"/>
          <w:szCs w:val="24"/>
        </w:rPr>
        <w:t>第二章  供应商须知</w:t>
      </w:r>
    </w:p>
    <w:p w14:paraId="2060B550">
      <w:pPr>
        <w:spacing w:line="360" w:lineRule="auto"/>
        <w:ind w:left="502"/>
        <w:jc w:val="left"/>
        <w:rPr>
          <w:rFonts w:hint="eastAsia" w:ascii="宋体" w:hAnsi="宋体" w:eastAsia="宋体" w:cs="宋体"/>
          <w:color w:val="auto"/>
          <w:sz w:val="24"/>
          <w:szCs w:val="24"/>
        </w:rPr>
      </w:pPr>
      <w:r>
        <w:rPr>
          <w:rFonts w:hint="eastAsia" w:ascii="宋体" w:hAnsi="宋体" w:eastAsia="宋体" w:cs="宋体"/>
          <w:color w:val="auto"/>
          <w:sz w:val="24"/>
          <w:szCs w:val="24"/>
        </w:rPr>
        <w:t>第三章  合同书样式及主要条款</w:t>
      </w:r>
    </w:p>
    <w:p w14:paraId="15DB122C">
      <w:pPr>
        <w:spacing w:line="360" w:lineRule="auto"/>
        <w:ind w:left="502"/>
        <w:jc w:val="left"/>
        <w:rPr>
          <w:rFonts w:hint="eastAsia" w:ascii="宋体" w:hAnsi="宋体" w:eastAsia="宋体" w:cs="宋体"/>
          <w:color w:val="auto"/>
          <w:sz w:val="24"/>
          <w:szCs w:val="24"/>
        </w:rPr>
      </w:pPr>
      <w:r>
        <w:rPr>
          <w:rFonts w:hint="eastAsia" w:ascii="宋体" w:hAnsi="宋体" w:eastAsia="宋体" w:cs="宋体"/>
          <w:color w:val="auto"/>
          <w:sz w:val="24"/>
          <w:szCs w:val="24"/>
        </w:rPr>
        <w:t>第四章  响应文件格式</w:t>
      </w:r>
    </w:p>
    <w:p w14:paraId="435F838E">
      <w:pPr>
        <w:spacing w:line="360" w:lineRule="auto"/>
        <w:ind w:left="502"/>
        <w:jc w:val="left"/>
        <w:rPr>
          <w:rFonts w:hint="eastAsia" w:ascii="宋体" w:hAnsi="宋体" w:eastAsia="宋体" w:cs="宋体"/>
          <w:color w:val="auto"/>
          <w:sz w:val="24"/>
          <w:szCs w:val="24"/>
        </w:rPr>
      </w:pPr>
      <w:r>
        <w:rPr>
          <w:rFonts w:hint="eastAsia" w:ascii="宋体" w:hAnsi="宋体" w:eastAsia="宋体" w:cs="宋体"/>
          <w:color w:val="auto"/>
          <w:sz w:val="24"/>
          <w:szCs w:val="24"/>
        </w:rPr>
        <w:t>第五章  采购需求</w:t>
      </w:r>
    </w:p>
    <w:p w14:paraId="0F051587">
      <w:pPr>
        <w:spacing w:line="360" w:lineRule="auto"/>
        <w:ind w:left="502"/>
        <w:jc w:val="left"/>
        <w:rPr>
          <w:rFonts w:hint="eastAsia" w:ascii="宋体" w:hAnsi="宋体" w:eastAsia="宋体" w:cs="宋体"/>
          <w:color w:val="auto"/>
          <w:sz w:val="24"/>
          <w:szCs w:val="24"/>
        </w:rPr>
      </w:pPr>
      <w:r>
        <w:rPr>
          <w:rFonts w:hint="eastAsia" w:ascii="宋体" w:hAnsi="宋体" w:eastAsia="宋体" w:cs="宋体"/>
          <w:color w:val="auto"/>
          <w:sz w:val="24"/>
          <w:szCs w:val="24"/>
        </w:rPr>
        <w:t>第六章  磋商程序和方法</w:t>
      </w:r>
    </w:p>
    <w:p w14:paraId="65046C1E">
      <w:pPr>
        <w:autoSpaceDE w:val="0"/>
        <w:autoSpaceDN w:val="0"/>
        <w:adjustRightInd w:val="0"/>
        <w:spacing w:line="360" w:lineRule="auto"/>
        <w:ind w:firstLine="236" w:firstLineChars="98"/>
        <w:rPr>
          <w:rFonts w:hint="eastAsia" w:ascii="宋体" w:hAnsi="宋体" w:eastAsia="宋体" w:cs="宋体"/>
          <w:b/>
          <w:bCs/>
          <w:color w:val="auto"/>
          <w:sz w:val="24"/>
          <w:szCs w:val="24"/>
        </w:rPr>
      </w:pPr>
      <w:r>
        <w:rPr>
          <w:rFonts w:hint="eastAsia" w:ascii="宋体" w:hAnsi="宋体" w:eastAsia="宋体" w:cs="宋体"/>
          <w:b/>
          <w:bCs/>
          <w:color w:val="auto"/>
          <w:sz w:val="24"/>
          <w:szCs w:val="24"/>
        </w:rPr>
        <w:t>11、竞争性磋商文件的询问、澄清、修改</w:t>
      </w:r>
      <w:r>
        <w:rPr>
          <w:rFonts w:hint="eastAsia" w:ascii="宋体" w:hAnsi="宋体" w:eastAsia="宋体" w:cs="宋体"/>
          <w:b/>
          <w:bCs/>
          <w:color w:val="auto"/>
          <w:sz w:val="24"/>
          <w:szCs w:val="24"/>
        </w:rPr>
        <w:tab/>
      </w:r>
    </w:p>
    <w:p w14:paraId="5885E569">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1供应商应认真阅读竞争性磋商文件，如有疑问的，供应商可以向采购人或采购代理机构提出询问，采购人或者采购代理机构在接到询问后的3个工作日内对供应商依法提出的询问作出答复，但答复的内容不涉及商业秘密。</w:t>
      </w:r>
    </w:p>
    <w:p w14:paraId="6D48FABE">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2磋商文件询问联系方式：详见《供应商须知前附表》。</w:t>
      </w:r>
    </w:p>
    <w:p w14:paraId="5F58C276">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3提交首次响应文件截止之日前，采购人、采购代理机构或者磋商小组可以对已发出的磋商文件进行必要的澄清或者修改，澄清或者修改的内容作为磋商文件的组成部分。</w:t>
      </w:r>
    </w:p>
    <w:p w14:paraId="3869C320">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4澄清或者修改的内容可能影响响应文件编制的，采购人将在提交首次响应文件截止时间至少5日前，以书面形式通知所有获取磋商文件的供应商；不足5日的，采购人将顺延提交首次响应文件截止时间。</w:t>
      </w:r>
    </w:p>
    <w:p w14:paraId="1B2441C0">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5供应商确认收到竞争性磋商文件澄清、修改后，应在收到澄清、修改后24小时内以书面形式通知采购人或采购代理机构，确认已收到该澄清、修改。</w:t>
      </w:r>
    </w:p>
    <w:p w14:paraId="13CDC29C">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6在磋商过程中，磋商小组可以根据磋商文件和磋商情况实质性变动采购需求中的技术、服务要求以及合同草案条款，但不得变动磋商文件中的其他内容。实质性变动的内容，须经采购人代表确认。本项目磋商小组根据与供应商磋商情况可能实质性变动的内</w:t>
      </w:r>
      <w:r>
        <w:rPr>
          <w:rFonts w:hint="eastAsia" w:ascii="宋体" w:hAnsi="宋体" w:cs="宋体"/>
          <w:color w:val="auto"/>
          <w:sz w:val="24"/>
          <w:szCs w:val="24"/>
          <w:lang w:eastAsia="zh-CN"/>
        </w:rPr>
        <w:t>容详</w:t>
      </w:r>
      <w:r>
        <w:rPr>
          <w:rFonts w:hint="eastAsia" w:ascii="宋体" w:hAnsi="宋体" w:eastAsia="宋体" w:cs="宋体"/>
          <w:color w:val="auto"/>
          <w:sz w:val="24"/>
          <w:szCs w:val="24"/>
        </w:rPr>
        <w:t>见《供应商须知前附表》。</w:t>
      </w:r>
    </w:p>
    <w:p w14:paraId="6895916E">
      <w:pPr>
        <w:tabs>
          <w:tab w:val="left" w:pos="105"/>
          <w:tab w:val="left" w:pos="735"/>
          <w:tab w:val="left" w:pos="945"/>
          <w:tab w:val="left" w:pos="336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7实质性变动采购需求中的技术、服务要求以及合同草案条款不得对涉及竞争性磋商文件公平、公正性内容进行修改、变动。</w:t>
      </w:r>
    </w:p>
    <w:p w14:paraId="728495D8">
      <w:pPr>
        <w:tabs>
          <w:tab w:val="left" w:pos="3150"/>
          <w:tab w:val="center" w:pos="4734"/>
        </w:tabs>
        <w:spacing w:line="360" w:lineRule="auto"/>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三、响应文件</w:t>
      </w:r>
    </w:p>
    <w:p w14:paraId="5D4DC143">
      <w:pPr>
        <w:tabs>
          <w:tab w:val="left" w:pos="105"/>
          <w:tab w:val="left" w:pos="735"/>
          <w:tab w:val="left" w:pos="945"/>
          <w:tab w:val="left" w:pos="3360"/>
          <w:tab w:val="left" w:pos="4988"/>
        </w:tabs>
        <w:adjustRightInd w:val="0"/>
        <w:snapToGrid w:val="0"/>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12、</w:t>
      </w:r>
      <w:bookmarkStart w:id="102" w:name="_Toc470507049"/>
      <w:bookmarkStart w:id="103" w:name="_Toc383175483"/>
      <w:bookmarkStart w:id="104" w:name="_Toc432194835"/>
      <w:bookmarkStart w:id="105" w:name="_Toc482343735"/>
      <w:bookmarkStart w:id="106" w:name="_Toc383175061"/>
      <w:bookmarkStart w:id="107" w:name="_Toc432106484"/>
      <w:bookmarkStart w:id="108" w:name="_Toc383175285"/>
      <w:r>
        <w:rPr>
          <w:rFonts w:hint="eastAsia" w:ascii="宋体" w:hAnsi="宋体" w:eastAsia="宋体" w:cs="宋体"/>
          <w:b/>
          <w:bCs/>
          <w:color w:val="auto"/>
          <w:sz w:val="24"/>
          <w:szCs w:val="24"/>
        </w:rPr>
        <w:t>响应文件编写注意事项</w:t>
      </w:r>
      <w:bookmarkEnd w:id="102"/>
      <w:bookmarkEnd w:id="103"/>
      <w:bookmarkEnd w:id="104"/>
      <w:bookmarkEnd w:id="105"/>
      <w:bookmarkEnd w:id="106"/>
      <w:bookmarkEnd w:id="107"/>
      <w:bookmarkEnd w:id="108"/>
    </w:p>
    <w:p w14:paraId="3B6F52D2">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12.1供应商应仔细阅读竞争性磋商文件，在完全了解采购的内容、技术性能要求（见第五章《采购需求》）和商务条件后，根据竞争性磋商文件要求编写响应文件。</w:t>
      </w:r>
    </w:p>
    <w:p w14:paraId="57FBD28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对磋商文件提出的实质性要求和条件作出响应是指供应商的响应文件必须对竞争性磋商文件中规定的成交实质性要求和条件作出满足或者优于原要求和条件的承诺，并提供相应的证明材料，否则按无效响应处理。</w:t>
      </w:r>
    </w:p>
    <w:p w14:paraId="436DC90F">
      <w:pPr>
        <w:tabs>
          <w:tab w:val="left" w:pos="105"/>
          <w:tab w:val="left" w:pos="735"/>
          <w:tab w:val="left" w:pos="945"/>
          <w:tab w:val="left" w:pos="3360"/>
          <w:tab w:val="left" w:pos="4988"/>
        </w:tabs>
        <w:adjustRightInd w:val="0"/>
        <w:snapToGrid w:val="0"/>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13、语言文字</w:t>
      </w:r>
    </w:p>
    <w:p w14:paraId="6133638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13.1供应商的响应文件以及供应商与采购人、采购代理机构、磋商小组就有关磋商的所有来往函电统一使用中文（特别规定除外）。</w:t>
      </w:r>
    </w:p>
    <w:p w14:paraId="15C3E683">
      <w:pPr>
        <w:tabs>
          <w:tab w:val="left" w:pos="105"/>
          <w:tab w:val="left" w:pos="735"/>
          <w:tab w:val="left" w:pos="945"/>
          <w:tab w:val="left" w:pos="3360"/>
          <w:tab w:val="left" w:pos="4988"/>
        </w:tabs>
        <w:adjustRightInd w:val="0"/>
        <w:snapToGrid w:val="0"/>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14、计量单位</w:t>
      </w:r>
    </w:p>
    <w:p w14:paraId="2B814B8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14.1响应文件中使用的计量单位除磋商文件中有特殊规定外，一律使用中国法定计量单位。</w:t>
      </w:r>
    </w:p>
    <w:p w14:paraId="78402752">
      <w:pPr>
        <w:tabs>
          <w:tab w:val="left" w:pos="105"/>
          <w:tab w:val="left" w:pos="735"/>
          <w:tab w:val="left" w:pos="945"/>
          <w:tab w:val="left" w:pos="3360"/>
          <w:tab w:val="left" w:pos="4988"/>
        </w:tabs>
        <w:adjustRightInd w:val="0"/>
        <w:snapToGrid w:val="0"/>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15、响应文件的组成</w:t>
      </w:r>
    </w:p>
    <w:p w14:paraId="6AB42737">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15.1供应商编写的响应文件应由下列部分构成，并按第四章《响应文件格式》要求填写。有关文件的提交如未特别注明需提供原件的，可提供扫描件。</w:t>
      </w:r>
    </w:p>
    <w:p w14:paraId="788C8B3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15.2供应商同时参加多个标段（若分标段时）的，响应文件应按标段分别编制，单独成册。</w:t>
      </w:r>
    </w:p>
    <w:p w14:paraId="6D55356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15.3构成响应文件的其他资料：详见《供应商须知前附表》</w:t>
      </w:r>
    </w:p>
    <w:p w14:paraId="7A9DBD38">
      <w:pPr>
        <w:tabs>
          <w:tab w:val="left" w:pos="105"/>
          <w:tab w:val="left" w:pos="735"/>
          <w:tab w:val="left" w:pos="945"/>
          <w:tab w:val="left" w:pos="3360"/>
          <w:tab w:val="left" w:pos="4988"/>
        </w:tabs>
        <w:adjustRightInd w:val="0"/>
        <w:snapToGrid w:val="0"/>
        <w:spacing w:line="360" w:lineRule="auto"/>
        <w:ind w:firstLine="240" w:firstLineChars="100"/>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16、响应文件的格式要求</w:t>
      </w:r>
    </w:p>
    <w:p w14:paraId="1C96C4F1">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16.1供应商应按第四章《响应文件格式》提供的格式完整地填写，未按磋商文件规定格式填写的响应文件按无效响应处理。</w:t>
      </w:r>
    </w:p>
    <w:p w14:paraId="37122881">
      <w:pPr>
        <w:tabs>
          <w:tab w:val="left" w:pos="105"/>
          <w:tab w:val="left" w:pos="735"/>
          <w:tab w:val="left" w:pos="945"/>
          <w:tab w:val="left" w:pos="3360"/>
          <w:tab w:val="left" w:pos="4988"/>
        </w:tabs>
        <w:adjustRightInd w:val="0"/>
        <w:snapToGrid w:val="0"/>
        <w:spacing w:line="360" w:lineRule="auto"/>
        <w:ind w:firstLine="240" w:firstLineChars="100"/>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17、响应文件有效期</w:t>
      </w:r>
    </w:p>
    <w:p w14:paraId="563E1166">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17.1在《供应商须知前附表》规定的有效期内，供应商不得要求撤销或修改其响应文件。</w:t>
      </w:r>
    </w:p>
    <w:p w14:paraId="790ECC0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17.2因特殊情况需要延长响应文件有效期的，采购代理机构以书面形式通知所有供应商延长有效期。供应商同意延长的，应相应延长其响应文件中所有内容及磋商保证金的有效期，但不得要求或被允许修改或撤销其响应文件；供应商拒绝延长的，其响应文件失效，但供应商有权收回其磋商保证金。</w:t>
      </w:r>
    </w:p>
    <w:p w14:paraId="1EB9F311">
      <w:pPr>
        <w:autoSpaceDE w:val="0"/>
        <w:autoSpaceDN w:val="0"/>
        <w:adjustRightInd w:val="0"/>
        <w:spacing w:line="360" w:lineRule="auto"/>
        <w:ind w:firstLine="235" w:firstLineChars="98"/>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rPr>
        <w:t>18、磋商保证金交纳及退还</w:t>
      </w:r>
    </w:p>
    <w:p w14:paraId="5FE24E2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18.1供应商应按《供应商须知前附表》规定的金额、形式向采购代理机构交纳磋商保证金，磋商保证金须在响应文件提交截止时间前从供应商基本账户交纳到</w:t>
      </w:r>
      <w:r>
        <w:rPr>
          <w:rFonts w:hint="eastAsia" w:ascii="宋体" w:hAnsi="宋体" w:eastAsia="宋体" w:cs="宋体"/>
          <w:color w:val="auto"/>
          <w:sz w:val="24"/>
          <w:szCs w:val="24"/>
          <w:lang w:eastAsia="zh-CN"/>
        </w:rPr>
        <w:t>云南万合工程管理有限公司</w:t>
      </w:r>
      <w:r>
        <w:rPr>
          <w:rFonts w:hint="eastAsia" w:ascii="宋体" w:hAnsi="宋体" w:cs="宋体"/>
          <w:color w:val="auto"/>
          <w:sz w:val="24"/>
          <w:szCs w:val="24"/>
          <w:lang w:eastAsia="zh-CN"/>
        </w:rPr>
        <w:t>指定的账户</w:t>
      </w:r>
      <w:r>
        <w:rPr>
          <w:rFonts w:hint="eastAsia" w:ascii="宋体" w:hAnsi="宋体" w:eastAsia="宋体" w:cs="宋体"/>
          <w:color w:val="auto"/>
          <w:sz w:val="24"/>
          <w:szCs w:val="24"/>
        </w:rPr>
        <w:t>，供应商未按照磋商文件要求提交磋商保证金的，响应无效。</w:t>
      </w:r>
    </w:p>
    <w:p w14:paraId="406713A5">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18.2采购代理机构在成交通知书发出后5个工作日内退还未成交供应商的磋商保证金，成交供应商的磋商保证金在采购合同签订后5个工作日内退还，但因供应商自身原因导致无法及时退还的除外。出现下列情形之一的，磋商保证金不予退还：</w:t>
      </w:r>
    </w:p>
    <w:p w14:paraId="560E1C67">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3008F93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4495A2B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（3）除因不可抗力或磋商文件认可的情形以外，成交供应商不与采购人签订合同的；</w:t>
      </w:r>
    </w:p>
    <w:p w14:paraId="69C97A5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0C1C6E9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（5）竞争性磋商文件规定的其他情形。</w:t>
      </w:r>
    </w:p>
    <w:p w14:paraId="764757D7">
      <w:pPr>
        <w:autoSpaceDE w:val="0"/>
        <w:autoSpaceDN w:val="0"/>
        <w:adjustRightInd w:val="0"/>
        <w:spacing w:line="360" w:lineRule="auto"/>
        <w:ind w:firstLine="236" w:firstLineChars="98"/>
        <w:rPr>
          <w:rFonts w:hint="eastAsia" w:ascii="宋体" w:hAnsi="宋体" w:eastAsia="宋体" w:cs="宋体"/>
          <w:b/>
          <w:bCs/>
          <w:color w:val="auto"/>
          <w:sz w:val="24"/>
          <w:szCs w:val="24"/>
        </w:rPr>
      </w:pPr>
      <w:r>
        <w:rPr>
          <w:rFonts w:hint="eastAsia" w:ascii="宋体" w:hAnsi="宋体" w:eastAsia="宋体" w:cs="宋体"/>
          <w:b/>
          <w:bCs/>
          <w:color w:val="auto"/>
          <w:sz w:val="24"/>
          <w:szCs w:val="24"/>
        </w:rPr>
        <w:t>19、响应文件的编制</w:t>
      </w:r>
    </w:p>
    <w:p w14:paraId="0AC5D81E">
      <w:pPr>
        <w:spacing w:line="360" w:lineRule="auto"/>
        <w:ind w:firstLine="480" w:firstLineChars="200"/>
        <w:jc w:val="left"/>
        <w:rPr>
          <w:rFonts w:hint="eastAsia" w:ascii="宋体" w:hAnsi="宋体" w:eastAsia="宋体" w:cs="宋体"/>
          <w:color w:val="auto"/>
          <w:sz w:val="24"/>
          <w:szCs w:val="24"/>
        </w:rPr>
      </w:pPr>
      <w:bookmarkStart w:id="109" w:name="_Toc383175287"/>
      <w:bookmarkStart w:id="110" w:name="_Toc432194837"/>
      <w:bookmarkStart w:id="111" w:name="_Toc482343737"/>
      <w:bookmarkStart w:id="112" w:name="_Toc383175485"/>
      <w:bookmarkStart w:id="113" w:name="_Toc470507051"/>
      <w:bookmarkStart w:id="114" w:name="_Toc383175063"/>
      <w:bookmarkStart w:id="115" w:name="_Toc432106486"/>
      <w:r>
        <w:rPr>
          <w:rFonts w:hint="eastAsia" w:ascii="宋体" w:hAnsi="宋体" w:eastAsia="宋体" w:cs="宋体"/>
          <w:color w:val="auto"/>
          <w:sz w:val="24"/>
          <w:szCs w:val="24"/>
        </w:rPr>
        <w:t>19.1响应文件全部采用电子文档，供应商应安装客户端软件—“政采云电子交易客户端”，并按照磋商文件和政采云电子交易平台的要求编制，编制后应进行电子签名及加密。</w:t>
      </w:r>
    </w:p>
    <w:p w14:paraId="14ACAC4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19.2如供应商提交的电子标书磋商文件要求或开标时无法读取导入或解密，其响应文件将不予受理。</w:t>
      </w:r>
    </w:p>
    <w:p w14:paraId="0C7FDC9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19.3响应文件应尽量避免涂改、行间插字或删除。如果出现上述情况，改动之处应加盖供应商的公章或供应商法定代表人或委托代理人签字确认。</w:t>
      </w:r>
    </w:p>
    <w:p w14:paraId="20462C7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19.4响应文件应在竞争性磋商文件规定格式使用法定代表人电子签名或电子签章，要求签章处应加盖供应商电子公章。</w:t>
      </w:r>
    </w:p>
    <w:p w14:paraId="72196276">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19.5响应文件和来往函件均应采用中文书写，计量单位使用中国或国际标准单位。</w:t>
      </w:r>
    </w:p>
    <w:p w14:paraId="3754688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19.6最后报价采用人民币进行报价，若中文文字形式表示的数值与数字形式表示的数值不一致，以中文文字形式表示的数值为准。</w:t>
      </w:r>
    </w:p>
    <w:p w14:paraId="2BA567C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19.7响应文件的组成应包括下列内容（但不限于）：详见：《响应文件格式》部分。</w:t>
      </w:r>
    </w:p>
    <w:p w14:paraId="1273B07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19.8</w:t>
      </w:r>
      <w:r>
        <w:rPr>
          <w:rFonts w:hint="eastAsia" w:ascii="宋体" w:hAnsi="宋体" w:eastAsia="宋体" w:cs="宋体"/>
          <w:color w:val="auto"/>
          <w:kern w:val="0"/>
          <w:sz w:val="24"/>
          <w:szCs w:val="24"/>
        </w:rPr>
        <w:t>响应文件份数：</w:t>
      </w:r>
      <w:r>
        <w:rPr>
          <w:rFonts w:hint="eastAsia" w:ascii="宋体" w:hAnsi="宋体" w:eastAsia="宋体" w:cs="宋体"/>
          <w:color w:val="auto"/>
          <w:sz w:val="24"/>
          <w:szCs w:val="24"/>
        </w:rPr>
        <w:t>成交供应商应在成交后制作与电子响应文件内容相同的响应文件一正一副递交给采购人。</w:t>
      </w:r>
    </w:p>
    <w:p w14:paraId="2C57B2A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19.9响应文件中提供的资料（扫描件）、关键内容必须清晰可辨，若出现字迹潦草、表达不清、未按要求填写而导致非唯一理解，视为未实质性响应竞争性磋商文件，供应商响应文件将按无效响应处理。</w:t>
      </w:r>
    </w:p>
    <w:p w14:paraId="4DDE2B12">
      <w:pPr>
        <w:autoSpaceDE w:val="0"/>
        <w:autoSpaceDN w:val="0"/>
        <w:adjustRightInd w:val="0"/>
        <w:spacing w:line="360" w:lineRule="auto"/>
        <w:ind w:firstLine="236" w:firstLineChars="98"/>
        <w:rPr>
          <w:rFonts w:hint="eastAsia" w:ascii="宋体" w:hAnsi="宋体" w:eastAsia="宋体" w:cs="宋体"/>
          <w:b/>
          <w:bCs/>
          <w:color w:val="auto"/>
          <w:sz w:val="24"/>
          <w:szCs w:val="24"/>
        </w:rPr>
      </w:pPr>
      <w:r>
        <w:rPr>
          <w:rFonts w:hint="eastAsia" w:ascii="宋体" w:hAnsi="宋体" w:eastAsia="宋体" w:cs="宋体"/>
          <w:b/>
          <w:bCs/>
          <w:color w:val="auto"/>
          <w:sz w:val="24"/>
          <w:szCs w:val="24"/>
        </w:rPr>
        <w:t>20、报价和报价货币</w:t>
      </w:r>
      <w:bookmarkEnd w:id="109"/>
      <w:bookmarkEnd w:id="110"/>
      <w:bookmarkEnd w:id="111"/>
      <w:bookmarkEnd w:id="112"/>
      <w:bookmarkEnd w:id="113"/>
      <w:bookmarkEnd w:id="114"/>
      <w:bookmarkEnd w:id="115"/>
    </w:p>
    <w:p w14:paraId="04443A96">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20.1磋商结束后，磋商小组将要求所有实质性响应的供应商在规定时间内提交最后报价，提交最后报价的供应商不得少于3家。最后报价超过采购预算金额的供应商将被视为未实质性响应竞争性磋商文件要求，按无效响应处理。</w:t>
      </w:r>
    </w:p>
    <w:p w14:paraId="0E78EF0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20.2最后报价是供应商响应文件的有效组成部分，供应商必须对所参加项目内所有内容进行完整唯一报价，不得缺项、漏项，否则按无效响应处理。</w:t>
      </w:r>
    </w:p>
    <w:p w14:paraId="3B4DBA2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包括但不限于人工费、文本制作费以及税收等所有费用，不得以任何理由予以重复计价。合同一旦签订，此价格在合同实施期间将不因市场价格等的变化而调整。</w:t>
      </w:r>
    </w:p>
    <w:p w14:paraId="0E397A8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20.4最后报价文件应由法定代表人或委托代理人签字，在规定的时</w:t>
      </w:r>
      <w:r>
        <w:rPr>
          <w:rFonts w:hint="eastAsia" w:ascii="宋体" w:hAnsi="宋体" w:cs="宋体"/>
          <w:color w:val="auto"/>
          <w:sz w:val="24"/>
          <w:szCs w:val="24"/>
          <w:lang w:eastAsia="zh-CN"/>
        </w:rPr>
        <w:t>间内</w:t>
      </w:r>
      <w:r>
        <w:rPr>
          <w:rFonts w:hint="eastAsia" w:ascii="宋体" w:hAnsi="宋体" w:eastAsia="宋体" w:cs="宋体"/>
          <w:color w:val="auto"/>
          <w:sz w:val="24"/>
          <w:szCs w:val="24"/>
        </w:rPr>
        <w:t>统一密封递交。若已递交的最后报价中出现含义不明确、同类问题表述不一致或者签署不完整、有明显文字和计算错误的，可以进行澄清、补充和修正，但不得改变响应文件中实质性内容。</w:t>
      </w:r>
    </w:p>
    <w:p w14:paraId="5054317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20.5供应商不得哄抬报价，也不应低于成本价（或进价）报价。磋商小组认为供应商的最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14:paraId="10A07C4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20.6报价货币为人民币。</w:t>
      </w:r>
    </w:p>
    <w:p w14:paraId="381DCCF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20.7报价方式：</w:t>
      </w:r>
    </w:p>
    <w:p w14:paraId="06AF87D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采用总价包干方式进行报价，由供应商结合实际及自身情况进行报价。</w:t>
      </w:r>
    </w:p>
    <w:p w14:paraId="30F3C59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磋商报价应包括完成本项目所需的人工费、</w:t>
      </w:r>
      <w:r>
        <w:rPr>
          <w:rFonts w:hint="eastAsia" w:ascii="宋体" w:hAnsi="宋体" w:eastAsia="宋体" w:cs="宋体"/>
          <w:color w:val="auto"/>
          <w:sz w:val="24"/>
          <w:szCs w:val="24"/>
          <w:lang w:eastAsia="zh-CN"/>
        </w:rPr>
        <w:t>规划设计费、文本制作费</w:t>
      </w:r>
      <w:r>
        <w:rPr>
          <w:rFonts w:hint="eastAsia" w:ascii="宋体" w:hAnsi="宋体" w:eastAsia="宋体" w:cs="宋体"/>
          <w:color w:val="auto"/>
          <w:sz w:val="24"/>
          <w:szCs w:val="24"/>
        </w:rPr>
        <w:t>和利润等，应充分考虑包括在合同条款中约定的风险范围内的各种因素，并结合企业实力自行确定，供应商所报价格</w:t>
      </w:r>
      <w:r>
        <w:rPr>
          <w:rFonts w:hint="eastAsia" w:ascii="宋体" w:hAnsi="宋体" w:cs="宋体"/>
          <w:color w:val="auto"/>
          <w:sz w:val="24"/>
          <w:szCs w:val="24"/>
          <w:lang w:eastAsia="zh-CN"/>
        </w:rPr>
        <w:t>即</w:t>
      </w:r>
      <w:r>
        <w:rPr>
          <w:rFonts w:hint="eastAsia" w:ascii="宋体" w:hAnsi="宋体" w:eastAsia="宋体" w:cs="宋体"/>
          <w:color w:val="auto"/>
          <w:sz w:val="24"/>
          <w:szCs w:val="24"/>
        </w:rPr>
        <w:t>为合同价，供应商执行过程中，采购人不再额外支付任何费用。</w:t>
      </w:r>
    </w:p>
    <w:p w14:paraId="76E21F5C">
      <w:pPr>
        <w:spacing w:line="360" w:lineRule="auto"/>
        <w:ind w:firstLine="482" w:firstLineChars="200"/>
        <w:rPr>
          <w:rFonts w:hint="eastAsia" w:ascii="宋体" w:hAnsi="宋体" w:eastAsia="宋体" w:cs="宋体"/>
          <w:color w:val="auto"/>
          <w:sz w:val="24"/>
          <w:szCs w:val="24"/>
          <w:u w:val="single"/>
        </w:rPr>
      </w:pPr>
      <w:r>
        <w:rPr>
          <w:rFonts w:hint="eastAsia" w:ascii="宋体" w:hAnsi="宋体" w:eastAsia="宋体" w:cs="宋体"/>
          <w:b/>
          <w:bCs/>
          <w:color w:val="auto"/>
          <w:kern w:val="2"/>
          <w:sz w:val="24"/>
          <w:szCs w:val="24"/>
          <w:lang w:val="en-US" w:eastAsia="zh-CN" w:bidi="ar-SA"/>
        </w:rPr>
        <w:t>本项目最高限价：¥122102</w:t>
      </w:r>
      <w:r>
        <w:rPr>
          <w:rFonts w:hint="eastAsia" w:ascii="宋体" w:hAnsi="宋体" w:cs="宋体"/>
          <w:b/>
          <w:bCs/>
          <w:color w:val="auto"/>
          <w:kern w:val="2"/>
          <w:sz w:val="24"/>
          <w:szCs w:val="24"/>
          <w:lang w:val="en-US" w:eastAsia="zh-CN" w:bidi="ar-SA"/>
        </w:rPr>
        <w:t>0</w:t>
      </w:r>
      <w:r>
        <w:rPr>
          <w:rFonts w:hint="eastAsia" w:ascii="宋体" w:hAnsi="宋体" w:eastAsia="宋体" w:cs="宋体"/>
          <w:b/>
          <w:bCs/>
          <w:color w:val="auto"/>
          <w:kern w:val="2"/>
          <w:sz w:val="24"/>
          <w:szCs w:val="24"/>
          <w:lang w:val="en-US" w:eastAsia="zh-CN" w:bidi="ar-SA"/>
        </w:rPr>
        <w:t>.00元（大写：壹佰贰拾贰万壹仟零贰拾元整），供应商报价不得高于最高限价。</w:t>
      </w:r>
    </w:p>
    <w:p w14:paraId="73C69216">
      <w:pPr>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本项目允许二次报价，一次报价为供应商结合实际及自身情况做出的报价，二次报价为经过磋商、澄清后各供应商做出的报价，</w:t>
      </w:r>
      <w:r>
        <w:rPr>
          <w:rFonts w:hint="eastAsia" w:ascii="宋体" w:hAnsi="宋体" w:eastAsia="宋体" w:cs="宋体"/>
          <w:b/>
          <w:bCs/>
          <w:color w:val="auto"/>
          <w:sz w:val="24"/>
          <w:szCs w:val="24"/>
          <w:lang w:val="en-US" w:eastAsia="zh-CN"/>
        </w:rPr>
        <w:t>此报价不得高于最高限价，</w:t>
      </w:r>
      <w:r>
        <w:rPr>
          <w:rFonts w:hint="eastAsia" w:ascii="宋体" w:hAnsi="宋体" w:eastAsia="宋体" w:cs="宋体"/>
          <w:b/>
          <w:bCs/>
          <w:color w:val="auto"/>
          <w:sz w:val="24"/>
          <w:szCs w:val="24"/>
        </w:rPr>
        <w:t>二次报价</w:t>
      </w:r>
      <w:r>
        <w:rPr>
          <w:rFonts w:hint="eastAsia" w:ascii="宋体" w:hAnsi="宋体" w:eastAsia="宋体" w:cs="宋体"/>
          <w:b/>
          <w:bCs/>
          <w:color w:val="auto"/>
          <w:sz w:val="24"/>
          <w:szCs w:val="24"/>
          <w:lang w:val="en-US" w:eastAsia="zh-CN"/>
        </w:rPr>
        <w:t>即</w:t>
      </w:r>
      <w:r>
        <w:rPr>
          <w:rFonts w:hint="eastAsia" w:ascii="宋体" w:hAnsi="宋体" w:eastAsia="宋体" w:cs="宋体"/>
          <w:b/>
          <w:bCs/>
          <w:color w:val="auto"/>
          <w:sz w:val="24"/>
          <w:szCs w:val="24"/>
        </w:rPr>
        <w:t>为最终报价。</w:t>
      </w:r>
    </w:p>
    <w:p w14:paraId="104ED7CF">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供应商不得哄抬报价，也不应低于成本价（或进价）报价。</w:t>
      </w:r>
      <w:r>
        <w:rPr>
          <w:rFonts w:hint="eastAsia" w:ascii="宋体" w:hAnsi="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为供应商的报价明显低于其他通过符合性审查供应商的报价，有可能影响产品质量或者不能诚信履约的，将要求其在评标现场合理的时间内提供书面说明，必要时提交相关证明材料；供应商不能证明其报价合理性的，</w:t>
      </w:r>
      <w:r>
        <w:rPr>
          <w:rFonts w:hint="eastAsia" w:ascii="宋体" w:hAnsi="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应当将其作为无效投标处理。低于成本价（或进价）报价的认定：根据《关于推动解决政府采购异常低价问题的通知》财库〔2026〕2号文要求启动异常低价投标（响应）审查程序。</w:t>
      </w:r>
    </w:p>
    <w:p w14:paraId="0A6FE5A4">
      <w:pPr>
        <w:tabs>
          <w:tab w:val="left" w:pos="3150"/>
          <w:tab w:val="center" w:pos="4734"/>
        </w:tabs>
        <w:spacing w:line="360" w:lineRule="auto"/>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四、提交响应文件</w:t>
      </w:r>
    </w:p>
    <w:p w14:paraId="0D7C0CF2">
      <w:pPr>
        <w:autoSpaceDE w:val="0"/>
        <w:autoSpaceDN w:val="0"/>
        <w:adjustRightInd w:val="0"/>
        <w:spacing w:line="360" w:lineRule="auto"/>
        <w:ind w:firstLine="118" w:firstLineChars="49"/>
        <w:rPr>
          <w:rFonts w:hint="eastAsia" w:ascii="宋体" w:hAnsi="宋体" w:eastAsia="宋体" w:cs="宋体"/>
          <w:b/>
          <w:bCs/>
          <w:color w:val="auto"/>
          <w:sz w:val="24"/>
          <w:szCs w:val="24"/>
        </w:rPr>
      </w:pPr>
      <w:r>
        <w:rPr>
          <w:rFonts w:hint="eastAsia" w:ascii="宋体" w:hAnsi="宋体" w:eastAsia="宋体" w:cs="宋体"/>
          <w:b/>
          <w:bCs/>
          <w:color w:val="auto"/>
          <w:sz w:val="24"/>
          <w:szCs w:val="24"/>
        </w:rPr>
        <w:t>21、响应文件的加密</w:t>
      </w:r>
    </w:p>
    <w:p w14:paraId="3367DA0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1供应商进行电子交易应安装客户端软件—“政采云电子交易客户端”，并按照磋商文件和电子交易平台的要求编制并加密响应文件。供应商未按规定加密的响应文件，电子交易平台将拒收并提示。</w:t>
      </w:r>
    </w:p>
    <w:p w14:paraId="2639A7F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2使用“政采云电子交易客户端”需要提前申领 CA 数字证书，详询政采云技术支持电话：4008817190（客服热线）；</w:t>
      </w:r>
    </w:p>
    <w:p w14:paraId="10A7B5D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3逾期送达或者未按照磋商文件要求密封的响应文件，采购人、采购代理机构将拒收。</w:t>
      </w:r>
    </w:p>
    <w:p w14:paraId="61404307">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4供应商在提交截止时</w:t>
      </w:r>
      <w:r>
        <w:rPr>
          <w:rFonts w:hint="eastAsia" w:ascii="宋体" w:hAnsi="宋体" w:cs="宋体"/>
          <w:color w:val="auto"/>
          <w:sz w:val="24"/>
          <w:szCs w:val="24"/>
          <w:lang w:eastAsia="zh-CN"/>
        </w:rPr>
        <w:t>间之</w:t>
      </w:r>
      <w:r>
        <w:rPr>
          <w:rFonts w:hint="eastAsia" w:ascii="宋体" w:hAnsi="宋体" w:eastAsia="宋体" w:cs="宋体"/>
          <w:color w:val="auto"/>
          <w:sz w:val="24"/>
          <w:szCs w:val="24"/>
        </w:rPr>
        <w:t>前，可以对所提交的响应文件进行补充、修改或者撤回，并书面通知采购人或者采购代理机构。补充、修改的内容应当按照磋商文件要求签署、盖章、密封后，作为响应文件的组成部分。</w:t>
      </w:r>
    </w:p>
    <w:p w14:paraId="2B496034">
      <w:pPr>
        <w:autoSpaceDE w:val="0"/>
        <w:autoSpaceDN w:val="0"/>
        <w:adjustRightInd w:val="0"/>
        <w:spacing w:line="360" w:lineRule="auto"/>
        <w:ind w:firstLine="236" w:firstLineChars="98"/>
        <w:rPr>
          <w:rFonts w:hint="eastAsia" w:ascii="宋体" w:hAnsi="宋体" w:eastAsia="宋体" w:cs="宋体"/>
          <w:b/>
          <w:bCs/>
          <w:color w:val="auto"/>
          <w:sz w:val="24"/>
          <w:szCs w:val="24"/>
        </w:rPr>
      </w:pPr>
      <w:r>
        <w:rPr>
          <w:rFonts w:hint="eastAsia" w:ascii="宋体" w:hAnsi="宋体" w:eastAsia="宋体" w:cs="宋体"/>
          <w:b/>
          <w:bCs/>
          <w:color w:val="auto"/>
          <w:sz w:val="24"/>
          <w:szCs w:val="24"/>
        </w:rPr>
        <w:t>22、响应文件的提交</w:t>
      </w:r>
    </w:p>
    <w:p w14:paraId="09B038DC">
      <w:pPr>
        <w:spacing w:line="360" w:lineRule="auto"/>
        <w:ind w:firstLine="480" w:firstLineChars="200"/>
        <w:jc w:val="left"/>
        <w:rPr>
          <w:rFonts w:hint="eastAsia" w:ascii="宋体" w:hAnsi="宋体" w:eastAsia="宋体" w:cs="宋体"/>
          <w:color w:val="auto"/>
          <w:sz w:val="24"/>
          <w:szCs w:val="24"/>
        </w:rPr>
      </w:pPr>
      <w:bookmarkStart w:id="116" w:name="_Toc296602445"/>
      <w:r>
        <w:rPr>
          <w:rFonts w:hint="eastAsia" w:ascii="宋体" w:hAnsi="宋体" w:eastAsia="宋体" w:cs="宋体"/>
          <w:color w:val="auto"/>
          <w:sz w:val="24"/>
          <w:szCs w:val="24"/>
        </w:rPr>
        <w:t>22.1响应文件提</w:t>
      </w:r>
      <w:bookmarkEnd w:id="116"/>
      <w:r>
        <w:rPr>
          <w:rFonts w:hint="eastAsia" w:ascii="宋体" w:hAnsi="宋体" w:eastAsia="宋体" w:cs="宋体"/>
          <w:color w:val="auto"/>
          <w:sz w:val="24"/>
          <w:szCs w:val="24"/>
        </w:rPr>
        <w:t>交截止时间、提交响应文件的地点：详见《供应商须知前附表》</w:t>
      </w:r>
    </w:p>
    <w:p w14:paraId="14D01B1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22.2供应商应当在磋商文件要求提交响应文件的截止时间前，供应商应按照本项目竞争性磋商文件和"政采云"平台的要求编制、加密后在响应文件提交截止时间前上传至"政采云"平台，响应文件提交截止时间前未完成响应文件上传的，视为撤回响应文件。任何单位和个人不得在磋商前开启响应文件。</w:t>
      </w:r>
    </w:p>
    <w:p w14:paraId="607923B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22.3响应文件的解密：采购代理机构将在“供应商须知前附表”规定的磋商时</w:t>
      </w:r>
      <w:r>
        <w:rPr>
          <w:rFonts w:hint="eastAsia" w:ascii="宋体" w:hAnsi="宋体" w:cs="宋体"/>
          <w:color w:val="auto"/>
          <w:sz w:val="24"/>
          <w:szCs w:val="24"/>
          <w:lang w:eastAsia="zh-CN"/>
        </w:rPr>
        <w:t>间内</w:t>
      </w:r>
      <w:r>
        <w:rPr>
          <w:rFonts w:hint="eastAsia" w:ascii="宋体" w:hAnsi="宋体" w:eastAsia="宋体" w:cs="宋体"/>
          <w:color w:val="auto"/>
          <w:sz w:val="24"/>
          <w:szCs w:val="24"/>
        </w:rPr>
        <w:t>通过电子交易平台组织响应文件开启，采购机构依托电子交易平台发起开始解密指令，供应商的法定代表人或其委托代理人须携带加密时所用的CA锁按平台提示和竞争性磋商文件的规定登录到“政采云”平台电子开标大厅签到，并在发起解密指令之时起</w:t>
      </w:r>
      <w:r>
        <w:rPr>
          <w:rFonts w:hint="eastAsia" w:ascii="宋体" w:hAnsi="宋体" w:eastAsia="宋体" w:cs="宋体"/>
          <w:b/>
          <w:bCs/>
          <w:color w:val="auto"/>
          <w:sz w:val="24"/>
          <w:szCs w:val="24"/>
          <w:lang w:val="en-US" w:eastAsia="zh-CN"/>
        </w:rPr>
        <w:t>30</w:t>
      </w:r>
      <w:r>
        <w:rPr>
          <w:rFonts w:hint="eastAsia" w:ascii="宋体" w:hAnsi="宋体" w:eastAsia="宋体" w:cs="宋体"/>
          <w:color w:val="auto"/>
          <w:sz w:val="24"/>
          <w:szCs w:val="24"/>
        </w:rPr>
        <w:t>分钟内完成对电子响应文件在线解密。发起解密指令之时起5分钟内供应商还未进行解密的，代理机构可通知供应商，供应商</w:t>
      </w:r>
      <w:r>
        <w:rPr>
          <w:rFonts w:hint="eastAsia" w:ascii="宋体" w:hAnsi="宋体" w:cs="宋体"/>
          <w:color w:val="auto"/>
          <w:sz w:val="24"/>
          <w:szCs w:val="24"/>
          <w:lang w:eastAsia="zh-CN"/>
        </w:rPr>
        <w:t>没有</w:t>
      </w:r>
      <w:r>
        <w:rPr>
          <w:rFonts w:hint="eastAsia" w:ascii="宋体" w:hAnsi="宋体" w:eastAsia="宋体" w:cs="宋体"/>
          <w:color w:val="auto"/>
          <w:sz w:val="24"/>
          <w:szCs w:val="24"/>
        </w:rPr>
        <w:t>预留联系方式或预留联系方式无效，导致代理机构无法联系到供应商进行解密的，视为撤回响应文件。（解密异常情况处理：详见本章3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5需要补充的其他内容。）如供应商成功解密响应文件，但未在“政采云”电子开标大厅参加磋商的，视同认可磋商过程和结果，由此产生的后果由供应商自行负责。</w:t>
      </w:r>
    </w:p>
    <w:p w14:paraId="00C8E900">
      <w:pPr>
        <w:tabs>
          <w:tab w:val="left" w:pos="105"/>
          <w:tab w:val="left" w:pos="945"/>
          <w:tab w:val="left" w:pos="3360"/>
        </w:tabs>
        <w:adjustRightInd w:val="0"/>
        <w:snapToGrid w:val="0"/>
        <w:spacing w:line="360" w:lineRule="auto"/>
        <w:ind w:firstLine="118" w:firstLineChars="49"/>
        <w:rPr>
          <w:rFonts w:hint="eastAsia" w:ascii="宋体" w:hAnsi="宋体" w:eastAsia="宋体" w:cs="宋体"/>
          <w:b/>
          <w:bCs/>
          <w:color w:val="auto"/>
          <w:sz w:val="24"/>
          <w:szCs w:val="24"/>
        </w:rPr>
      </w:pPr>
      <w:r>
        <w:rPr>
          <w:rFonts w:hint="eastAsia" w:ascii="宋体" w:hAnsi="宋体" w:eastAsia="宋体" w:cs="宋体"/>
          <w:b/>
          <w:bCs/>
          <w:color w:val="auto"/>
          <w:sz w:val="24"/>
          <w:szCs w:val="24"/>
        </w:rPr>
        <w:t>23、响应文件的补充、修改或者撤回</w:t>
      </w:r>
    </w:p>
    <w:p w14:paraId="7246F75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08D9BB71">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23.2 供应商在提交截止时间前撤回已提交的响应文件的，采购人或者采购代理机构将自收到供应商书面撤回通知之日起5个工作日内，退还已收取的磋商保证金，但因供应商自身原因导致无法及时退还的除外。</w:t>
      </w:r>
    </w:p>
    <w:p w14:paraId="3E52E212">
      <w:pPr>
        <w:tabs>
          <w:tab w:val="left" w:pos="3150"/>
          <w:tab w:val="center" w:pos="4734"/>
        </w:tabs>
        <w:spacing w:line="360" w:lineRule="auto"/>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五、磋商</w:t>
      </w:r>
    </w:p>
    <w:p w14:paraId="501126D1">
      <w:pPr>
        <w:snapToGrid w:val="0"/>
        <w:spacing w:line="360" w:lineRule="auto"/>
        <w:ind w:firstLine="118" w:firstLineChars="49"/>
        <w:rPr>
          <w:rFonts w:hint="eastAsia" w:ascii="宋体" w:hAnsi="宋体" w:eastAsia="宋体" w:cs="宋体"/>
          <w:b/>
          <w:color w:val="auto"/>
          <w:sz w:val="24"/>
          <w:szCs w:val="24"/>
        </w:rPr>
      </w:pPr>
      <w:r>
        <w:rPr>
          <w:rFonts w:hint="eastAsia" w:ascii="宋体" w:hAnsi="宋体" w:eastAsia="宋体" w:cs="宋体"/>
          <w:b/>
          <w:bCs/>
          <w:color w:val="auto"/>
          <w:sz w:val="24"/>
          <w:szCs w:val="24"/>
        </w:rPr>
        <w:t>24、</w:t>
      </w:r>
      <w:r>
        <w:rPr>
          <w:rFonts w:hint="eastAsia" w:ascii="宋体" w:hAnsi="宋体" w:eastAsia="宋体" w:cs="宋体"/>
          <w:b/>
          <w:color w:val="auto"/>
          <w:sz w:val="24"/>
          <w:szCs w:val="24"/>
        </w:rPr>
        <w:t>磋商小组</w:t>
      </w:r>
    </w:p>
    <w:p w14:paraId="32A1F99F">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24.1磋商小组将在规定的时间和地点进行磋商，供应商的法定代表人或其委托代理人应按时参加。</w:t>
      </w:r>
    </w:p>
    <w:p w14:paraId="3609C0CA">
      <w:pPr>
        <w:wordWrap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rPr>
        <w:t>24.2</w:t>
      </w:r>
      <w:r>
        <w:rPr>
          <w:rFonts w:hint="eastAsia" w:ascii="宋体" w:hAnsi="宋体" w:eastAsia="宋体" w:cs="宋体"/>
          <w:color w:val="auto"/>
          <w:sz w:val="24"/>
          <w:szCs w:val="24"/>
          <w:highlight w:val="none"/>
        </w:rPr>
        <w:t>磋商小组由采购人代表和评审专家共3人及以上单数组成，其中评审专家人数不得少于磋商小组成员总数的2/3。评审专家由采购人依法从云南省政府采购评审专家库中随机抽取，磋商由磋商小组负责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磋商小组应当推选组长</w:t>
      </w:r>
      <w:r>
        <w:rPr>
          <w:rFonts w:hint="eastAsia" w:ascii="宋体" w:hAnsi="宋体" w:cs="宋体"/>
          <w:color w:val="auto"/>
          <w:sz w:val="24"/>
          <w:szCs w:val="24"/>
          <w:highlight w:val="none"/>
          <w:lang w:eastAsia="zh-CN"/>
        </w:rPr>
        <w:t>，但采购人代表不得担任组长。</w:t>
      </w:r>
    </w:p>
    <w:p w14:paraId="0BB615FD">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24.3磋商小组成员人数及名单在磋商结束之前保密。</w:t>
      </w:r>
    </w:p>
    <w:p w14:paraId="75CF2805">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24.4采购人委派代表参加磋商会议的，要向采购代理机构出具授权函。除授权代表外，</w:t>
      </w:r>
      <w:r>
        <w:rPr>
          <w:rFonts w:hint="eastAsia" w:ascii="宋体" w:hAnsi="宋体" w:eastAsia="宋体" w:cs="宋体"/>
          <w:color w:val="auto"/>
          <w:sz w:val="24"/>
          <w:szCs w:val="24"/>
          <w:highlight w:val="none"/>
        </w:rPr>
        <w:t>采购人可以委派</w:t>
      </w:r>
      <w:r>
        <w:rPr>
          <w:rFonts w:hint="eastAsia" w:ascii="宋体" w:hAnsi="宋体" w:cs="宋体"/>
          <w:color w:val="auto"/>
          <w:sz w:val="24"/>
          <w:szCs w:val="24"/>
          <w:highlight w:val="none"/>
          <w:lang w:val="en-US" w:eastAsia="zh-CN"/>
        </w:rPr>
        <w:t>本单位</w:t>
      </w:r>
      <w:r>
        <w:rPr>
          <w:rFonts w:hint="eastAsia" w:ascii="宋体" w:hAnsi="宋体" w:eastAsia="宋体" w:cs="宋体"/>
          <w:color w:val="auto"/>
          <w:sz w:val="24"/>
          <w:szCs w:val="24"/>
          <w:highlight w:val="none"/>
        </w:rPr>
        <w:t>相关人员</w:t>
      </w:r>
      <w:r>
        <w:rPr>
          <w:rFonts w:hint="eastAsia" w:ascii="宋体" w:hAnsi="宋体" w:cs="宋体"/>
          <w:color w:val="auto"/>
          <w:sz w:val="24"/>
          <w:szCs w:val="24"/>
          <w:highlight w:val="none"/>
          <w:lang w:val="en-US" w:eastAsia="zh-CN"/>
        </w:rPr>
        <w:t>参会</w:t>
      </w:r>
      <w:r>
        <w:rPr>
          <w:rFonts w:hint="eastAsia" w:ascii="宋体" w:hAnsi="宋体" w:eastAsia="宋体" w:cs="宋体"/>
          <w:color w:val="auto"/>
          <w:sz w:val="24"/>
          <w:szCs w:val="24"/>
          <w:highlight w:val="none"/>
        </w:rPr>
        <w:t>，对磋商</w:t>
      </w:r>
      <w:r>
        <w:rPr>
          <w:rFonts w:hint="eastAsia" w:ascii="宋体" w:hAnsi="宋体" w:cs="宋体"/>
          <w:color w:val="auto"/>
          <w:sz w:val="24"/>
          <w:szCs w:val="24"/>
          <w:highlight w:val="none"/>
          <w:lang w:val="en-US" w:eastAsia="zh-CN"/>
        </w:rPr>
        <w:t>会议</w:t>
      </w:r>
      <w:r>
        <w:rPr>
          <w:rFonts w:hint="eastAsia" w:ascii="宋体" w:hAnsi="宋体" w:eastAsia="宋体" w:cs="宋体"/>
          <w:color w:val="auto"/>
          <w:sz w:val="24"/>
          <w:szCs w:val="24"/>
          <w:highlight w:val="none"/>
        </w:rPr>
        <w:t>实施监督。</w:t>
      </w:r>
    </w:p>
    <w:p w14:paraId="64163F49">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24.5评审方法：综合评分法，是指响应文件满足磋商文件全部实质性要求且按评审因素的量化指标评审得分最高的供应商为成交候选供应商的评审方法。</w:t>
      </w:r>
    </w:p>
    <w:p w14:paraId="09548970">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717FF6">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24.7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7B69369">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63C694E0">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24.9从响应文件提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67A356E0">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24.10磋商小组根据竞争性磋商文件规定的磋商程序和方法对各供应商的响应文件进行综合评分，按照评审得分由高到低顺序推荐</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名以上成交候选供应商，并编写评审报告。</w:t>
      </w:r>
      <w:r>
        <w:rPr>
          <w:rFonts w:hint="eastAsia" w:ascii="宋体" w:hAnsi="宋体" w:eastAsia="宋体" w:cs="宋体"/>
          <w:b w:val="0"/>
          <w:bCs w:val="0"/>
          <w:color w:val="auto"/>
          <w:sz w:val="24"/>
          <w:szCs w:val="24"/>
          <w:lang w:val="en-US" w:eastAsia="zh-CN"/>
        </w:rPr>
        <w:t>本项目</w:t>
      </w:r>
      <w:r>
        <w:rPr>
          <w:rFonts w:hint="eastAsia" w:ascii="宋体" w:hAnsi="宋体" w:eastAsia="宋体" w:cs="宋体"/>
          <w:b w:val="0"/>
          <w:bCs w:val="0"/>
          <w:color w:val="auto"/>
          <w:sz w:val="24"/>
          <w:szCs w:val="24"/>
        </w:rPr>
        <w:t>符合财库</w:t>
      </w:r>
      <w:r>
        <w:rPr>
          <w:rFonts w:hint="eastAsia" w:ascii="宋体" w:hAnsi="宋体" w:cs="宋体"/>
          <w:b w:val="0"/>
          <w:bCs w:val="0"/>
          <w:color w:val="auto"/>
          <w:sz w:val="24"/>
          <w:szCs w:val="24"/>
          <w:lang w:eastAsia="zh-CN"/>
        </w:rPr>
        <w:t>〔2014〕214号</w:t>
      </w:r>
      <w:r>
        <w:rPr>
          <w:rFonts w:hint="eastAsia" w:ascii="宋体" w:hAnsi="宋体" w:eastAsia="宋体" w:cs="宋体"/>
          <w:b w:val="0"/>
          <w:bCs w:val="0"/>
          <w:color w:val="auto"/>
          <w:sz w:val="24"/>
          <w:szCs w:val="24"/>
        </w:rPr>
        <w:t>文、财库</w:t>
      </w:r>
      <w:r>
        <w:rPr>
          <w:rFonts w:hint="eastAsia" w:ascii="宋体" w:hAnsi="宋体" w:cs="宋体"/>
          <w:b w:val="0"/>
          <w:bCs w:val="0"/>
          <w:color w:val="auto"/>
          <w:sz w:val="24"/>
          <w:szCs w:val="24"/>
          <w:lang w:eastAsia="zh-CN"/>
        </w:rPr>
        <w:t>〔2015〕124号</w:t>
      </w:r>
      <w:r>
        <w:rPr>
          <w:rFonts w:hint="eastAsia" w:ascii="宋体" w:hAnsi="宋体" w:eastAsia="宋体" w:cs="宋体"/>
          <w:b w:val="0"/>
          <w:bCs w:val="0"/>
          <w:color w:val="auto"/>
          <w:sz w:val="24"/>
          <w:szCs w:val="24"/>
        </w:rPr>
        <w:t>文情形的，可以推荐2家成交候选供应商。</w:t>
      </w:r>
      <w:r>
        <w:rPr>
          <w:rFonts w:hint="eastAsia" w:ascii="宋体" w:hAnsi="宋体" w:eastAsia="宋体" w:cs="宋体"/>
          <w:color w:val="auto"/>
          <w:sz w:val="24"/>
          <w:szCs w:val="24"/>
        </w:rPr>
        <w:t>评审得分相同的，按照最后报价（符合中小企业划分标准或残疾人福利性单位产品的用扣除后的价格参与评审）由低到高的顺序推荐。评审得分且最后报价相同的，按照技术指标优劣顺序推荐。</w:t>
      </w:r>
    </w:p>
    <w:p w14:paraId="6F789954">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w:t>
      </w:r>
      <w:bookmarkStart w:id="117" w:name="_Toc482343747"/>
      <w:bookmarkStart w:id="118" w:name="_Toc383175297"/>
      <w:bookmarkStart w:id="119" w:name="_Toc432106496"/>
      <w:bookmarkStart w:id="120" w:name="_Toc470507061"/>
      <w:bookmarkStart w:id="121" w:name="_Toc383175073"/>
      <w:bookmarkStart w:id="122" w:name="_Toc86124068"/>
      <w:bookmarkStart w:id="123" w:name="_Toc329810208"/>
      <w:bookmarkStart w:id="124" w:name="_Toc378499713"/>
      <w:bookmarkStart w:id="125" w:name="_Toc383175495"/>
      <w:bookmarkStart w:id="126" w:name="_Toc432194847"/>
      <w:r>
        <w:rPr>
          <w:rFonts w:hint="eastAsia" w:ascii="宋体" w:hAnsi="宋体" w:eastAsia="宋体" w:cs="宋体"/>
          <w:color w:val="auto"/>
          <w:sz w:val="24"/>
          <w:szCs w:val="24"/>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117"/>
      <w:bookmarkEnd w:id="118"/>
      <w:bookmarkEnd w:id="119"/>
      <w:bookmarkEnd w:id="120"/>
      <w:bookmarkEnd w:id="121"/>
      <w:bookmarkEnd w:id="122"/>
      <w:bookmarkEnd w:id="123"/>
      <w:bookmarkEnd w:id="124"/>
      <w:bookmarkEnd w:id="125"/>
      <w:bookmarkEnd w:id="126"/>
    </w:p>
    <w:p w14:paraId="7B42EC8F">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24.12出现下列情形之一的，将终止竞争性磋商采购活动，并发布项目终止公告并说明原因，重新开展采购活动：</w:t>
      </w:r>
    </w:p>
    <w:p w14:paraId="051D2A50">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4D0F14A5">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4EB8141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（3）在采购过程中符合要求的供应商或者报价未超过采购预算的供应商不足3家的。</w:t>
      </w:r>
    </w:p>
    <w:p w14:paraId="153B1F67">
      <w:pPr>
        <w:tabs>
          <w:tab w:val="left" w:pos="3150"/>
          <w:tab w:val="center" w:pos="4734"/>
        </w:tabs>
        <w:spacing w:line="360" w:lineRule="auto"/>
        <w:ind w:firstLine="240" w:firstLineChars="100"/>
        <w:jc w:val="center"/>
        <w:rPr>
          <w:rFonts w:hint="eastAsia" w:ascii="宋体" w:hAnsi="宋体" w:eastAsia="宋体" w:cs="宋体"/>
          <w:color w:val="auto"/>
          <w:sz w:val="24"/>
          <w:szCs w:val="24"/>
        </w:rPr>
      </w:pPr>
    </w:p>
    <w:p w14:paraId="4568B442">
      <w:pPr>
        <w:tabs>
          <w:tab w:val="left" w:pos="3150"/>
          <w:tab w:val="center" w:pos="4734"/>
        </w:tabs>
        <w:spacing w:line="360" w:lineRule="auto"/>
        <w:ind w:firstLine="241" w:firstLine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六、成交结果</w:t>
      </w:r>
    </w:p>
    <w:p w14:paraId="0077F732">
      <w:pPr>
        <w:snapToGrid w:val="0"/>
        <w:spacing w:line="360" w:lineRule="auto"/>
        <w:ind w:firstLine="118" w:firstLineChars="49"/>
        <w:rPr>
          <w:rFonts w:hint="eastAsia" w:ascii="宋体" w:hAnsi="宋体" w:eastAsia="宋体" w:cs="宋体"/>
          <w:b/>
          <w:color w:val="auto"/>
          <w:sz w:val="24"/>
          <w:szCs w:val="24"/>
        </w:rPr>
      </w:pPr>
      <w:r>
        <w:rPr>
          <w:rFonts w:hint="eastAsia" w:ascii="宋体" w:hAnsi="宋体" w:eastAsia="宋体" w:cs="宋体"/>
          <w:b/>
          <w:color w:val="auto"/>
          <w:sz w:val="24"/>
          <w:szCs w:val="24"/>
        </w:rPr>
        <w:t>25、成交供应商的确定</w:t>
      </w:r>
    </w:p>
    <w:p w14:paraId="6E4B3C7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25.1采购代理机构在评审结束后2个工作日内将评审报告送采购人确认。</w:t>
      </w:r>
    </w:p>
    <w:p w14:paraId="2CEF54E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25.2采购人应当在收到评审报告后5个工作日内，从评审报告提出的成交候选人中，按照排序由高到低的原则确定成交供应商。</w:t>
      </w:r>
    </w:p>
    <w:p w14:paraId="67488AE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25.3采购代理机构无义务向未成交供应商解释未成交原因和退回响应文件。</w:t>
      </w:r>
    </w:p>
    <w:p w14:paraId="416E519E">
      <w:pPr>
        <w:snapToGrid w:val="0"/>
        <w:spacing w:line="360" w:lineRule="auto"/>
        <w:ind w:firstLine="118" w:firstLineChars="49"/>
        <w:rPr>
          <w:rFonts w:hint="eastAsia" w:ascii="宋体" w:hAnsi="宋体" w:eastAsia="宋体" w:cs="宋体"/>
          <w:b/>
          <w:color w:val="auto"/>
          <w:sz w:val="24"/>
          <w:szCs w:val="24"/>
        </w:rPr>
      </w:pPr>
      <w:bookmarkStart w:id="127" w:name="_Toc320890573"/>
      <w:bookmarkStart w:id="128" w:name="_Toc497127308"/>
      <w:bookmarkStart w:id="129" w:name="_Toc112595555"/>
      <w:r>
        <w:rPr>
          <w:rFonts w:hint="eastAsia" w:ascii="宋体" w:hAnsi="宋体" w:eastAsia="宋体" w:cs="宋体"/>
          <w:b/>
          <w:color w:val="auto"/>
          <w:sz w:val="24"/>
          <w:szCs w:val="24"/>
        </w:rPr>
        <w:t>26、</w:t>
      </w:r>
      <w:bookmarkEnd w:id="127"/>
      <w:bookmarkEnd w:id="128"/>
      <w:bookmarkEnd w:id="129"/>
      <w:r>
        <w:rPr>
          <w:rFonts w:hint="eastAsia" w:ascii="宋体" w:hAnsi="宋体" w:eastAsia="宋体" w:cs="宋体"/>
          <w:b/>
          <w:color w:val="auto"/>
          <w:sz w:val="24"/>
          <w:szCs w:val="24"/>
        </w:rPr>
        <w:t>成交通知书</w:t>
      </w:r>
    </w:p>
    <w:p w14:paraId="786D021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26.1成交供应商确定之日起2个工作日内，采购人向成交供应商发出成交通知书，并在信息发布媒体上公告成交结果。成交公告期限为1个工作日。</w:t>
      </w:r>
    </w:p>
    <w:p w14:paraId="78824BF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26.2成交通知书是合同的一个组成部分。</w:t>
      </w:r>
    </w:p>
    <w:p w14:paraId="4E467EB3">
      <w:pPr>
        <w:snapToGrid w:val="0"/>
        <w:spacing w:line="360" w:lineRule="auto"/>
        <w:ind w:firstLine="118" w:firstLineChars="49"/>
        <w:rPr>
          <w:rFonts w:hint="eastAsia" w:ascii="宋体" w:hAnsi="宋体" w:eastAsia="宋体" w:cs="宋体"/>
          <w:b/>
          <w:color w:val="auto"/>
          <w:sz w:val="24"/>
          <w:szCs w:val="24"/>
        </w:rPr>
      </w:pPr>
      <w:r>
        <w:rPr>
          <w:rFonts w:hint="eastAsia" w:ascii="宋体" w:hAnsi="宋体" w:eastAsia="宋体" w:cs="宋体"/>
          <w:b/>
          <w:color w:val="auto"/>
          <w:sz w:val="24"/>
          <w:szCs w:val="24"/>
        </w:rPr>
        <w:t>27、签订合同</w:t>
      </w:r>
    </w:p>
    <w:p w14:paraId="06541EA2">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27.1采购人与成交供应商应当在成交通知书发出之日起30日内，按照磋商文件确定的合同文本以及采购标的、规格型号、采购金额、采购数量、技术和服务要求等事项签订政府采购合同。</w:t>
      </w:r>
    </w:p>
    <w:p w14:paraId="024AFD7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8574FB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27.3除采购人与成交供应商在合同中另行商定将成交项目的非主体、非关键性工作分包的，成交供应商在成交后将成交项目分包的，采购人取消其成交资格，其磋商保证金不予退还；给采购人造成的损失超过磋商保证金数额的，成交供应商还应当对超过部分予以赔偿。</w:t>
      </w:r>
    </w:p>
    <w:p w14:paraId="1551D16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27.4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C5F847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27.5除不可抗力等因素外，成交通知书发出后，采购人改变成交结果，或者成交供应商拒绝签订政府采购合同的，应当承担相应的法律责任。</w:t>
      </w:r>
    </w:p>
    <w:p w14:paraId="2B028D1E">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27.6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70EFBEBD">
      <w:pPr>
        <w:snapToGrid w:val="0"/>
        <w:spacing w:line="360" w:lineRule="auto"/>
        <w:ind w:firstLine="118" w:firstLineChars="49"/>
        <w:rPr>
          <w:rFonts w:hint="eastAsia" w:ascii="宋体" w:hAnsi="宋体" w:eastAsia="宋体" w:cs="宋体"/>
          <w:b/>
          <w:color w:val="auto"/>
          <w:sz w:val="24"/>
          <w:szCs w:val="24"/>
          <w:lang w:eastAsia="zh-CN"/>
        </w:rPr>
      </w:pPr>
      <w:bookmarkStart w:id="130" w:name="_Toc152042345"/>
      <w:bookmarkStart w:id="131" w:name="_Toc488184244"/>
      <w:bookmarkStart w:id="132" w:name="_Toc296602459"/>
      <w:bookmarkStart w:id="133" w:name="_Toc461115644"/>
      <w:bookmarkStart w:id="134" w:name="_Toc179632587"/>
      <w:bookmarkStart w:id="135" w:name="_Toc144974537"/>
      <w:bookmarkStart w:id="136" w:name="_Toc246996213"/>
      <w:bookmarkStart w:id="137" w:name="_Toc246996956"/>
      <w:bookmarkStart w:id="138" w:name="_Toc247085727"/>
      <w:bookmarkStart w:id="139" w:name="_Toc152045569"/>
      <w:r>
        <w:rPr>
          <w:rFonts w:hint="eastAsia" w:ascii="宋体" w:hAnsi="宋体" w:eastAsia="宋体" w:cs="宋体"/>
          <w:b/>
          <w:color w:val="auto"/>
          <w:sz w:val="24"/>
          <w:szCs w:val="24"/>
        </w:rPr>
        <w:t>28、</w:t>
      </w:r>
      <w:bookmarkEnd w:id="130"/>
      <w:bookmarkEnd w:id="131"/>
      <w:bookmarkEnd w:id="132"/>
      <w:bookmarkEnd w:id="133"/>
      <w:bookmarkEnd w:id="134"/>
      <w:bookmarkEnd w:id="135"/>
      <w:bookmarkEnd w:id="136"/>
      <w:bookmarkEnd w:id="137"/>
      <w:bookmarkEnd w:id="138"/>
      <w:bookmarkEnd w:id="139"/>
      <w:bookmarkStart w:id="140" w:name="_Toc482343752"/>
      <w:r>
        <w:rPr>
          <w:rFonts w:hint="eastAsia" w:ascii="宋体" w:hAnsi="宋体" w:eastAsia="宋体" w:cs="宋体"/>
          <w:b/>
          <w:color w:val="auto"/>
          <w:sz w:val="24"/>
          <w:szCs w:val="24"/>
        </w:rPr>
        <w:t>履约保证金</w:t>
      </w:r>
      <w:bookmarkEnd w:id="140"/>
    </w:p>
    <w:p w14:paraId="066074F0">
      <w:pPr>
        <w:snapToGrid w:val="0"/>
        <w:spacing w:line="360" w:lineRule="auto"/>
        <w:ind w:firstLine="597" w:firstLineChars="24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28.1《供应商须知前附表》收取履约保证金的，成交人应按《供应商须知前附表》确定的履约保证金的金额及形式，向采购人提交履约保证金，联合体中标的，其履约保证金由牵头人提交。否则，视为放弃中标项目，投标保证金将不予退还。</w:t>
      </w:r>
    </w:p>
    <w:p w14:paraId="7121A5F9">
      <w:pPr>
        <w:snapToGrid w:val="0"/>
        <w:spacing w:line="360" w:lineRule="auto"/>
        <w:ind w:firstLine="597" w:firstLineChars="24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28.2签订合同后，如成交人不按双方签订合同约定履约，则没收其全部履约保证金，给采购人造成的损失超过履约保证金数额的，成交人还应当对超过部分予以赔偿。</w:t>
      </w:r>
    </w:p>
    <w:p w14:paraId="06239D1A">
      <w:pPr>
        <w:snapToGrid w:val="0"/>
        <w:spacing w:line="360" w:lineRule="auto"/>
        <w:ind w:firstLine="118" w:firstLineChars="49"/>
        <w:rPr>
          <w:rFonts w:hint="eastAsia" w:ascii="宋体" w:hAnsi="宋体" w:eastAsia="宋体" w:cs="宋体"/>
          <w:b/>
          <w:color w:val="auto"/>
          <w:sz w:val="24"/>
          <w:szCs w:val="24"/>
        </w:rPr>
      </w:pPr>
      <w:r>
        <w:rPr>
          <w:rFonts w:hint="eastAsia" w:ascii="宋体" w:hAnsi="宋体" w:eastAsia="宋体" w:cs="宋体"/>
          <w:b/>
          <w:color w:val="auto"/>
          <w:sz w:val="24"/>
          <w:szCs w:val="24"/>
        </w:rPr>
        <w:t>29、采购代理服务费</w:t>
      </w:r>
    </w:p>
    <w:p w14:paraId="4EB1E2F0">
      <w:pPr>
        <w:tabs>
          <w:tab w:val="left" w:pos="105"/>
          <w:tab w:val="left" w:pos="945"/>
          <w:tab w:val="left" w:pos="3360"/>
        </w:tabs>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29.1</w:t>
      </w:r>
      <w:r>
        <w:rPr>
          <w:rFonts w:hint="eastAsia" w:ascii="宋体" w:hAnsi="宋体" w:eastAsia="宋体" w:cs="宋体"/>
          <w:color w:val="auto"/>
          <w:sz w:val="24"/>
          <w:szCs w:val="24"/>
          <w:lang w:val="en-US" w:eastAsia="zh-CN"/>
        </w:rPr>
        <w:t>参照</w:t>
      </w:r>
      <w:r>
        <w:rPr>
          <w:rFonts w:hint="eastAsia" w:ascii="宋体" w:hAnsi="宋体" w:eastAsia="宋体" w:cs="宋体"/>
          <w:color w:val="auto"/>
          <w:sz w:val="24"/>
          <w:szCs w:val="24"/>
        </w:rPr>
        <w:t>《云南省建设工程及政府采购代理服务收费参考意见》云建招协〔2026〕11号文件</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类收费标准收取，由</w:t>
      </w:r>
      <w:r>
        <w:rPr>
          <w:rFonts w:hint="eastAsia" w:ascii="宋体" w:hAnsi="宋体" w:eastAsia="宋体" w:cs="宋体"/>
          <w:color w:val="auto"/>
          <w:sz w:val="24"/>
          <w:szCs w:val="24"/>
          <w:lang w:val="en-US" w:eastAsia="zh-CN"/>
        </w:rPr>
        <w:t>成交人</w:t>
      </w:r>
      <w:r>
        <w:rPr>
          <w:rFonts w:hint="eastAsia" w:ascii="宋体" w:hAnsi="宋体" w:eastAsia="宋体" w:cs="宋体"/>
          <w:color w:val="auto"/>
          <w:sz w:val="24"/>
          <w:szCs w:val="24"/>
        </w:rPr>
        <w:t>在领取中标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通知书</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一次付清。</w:t>
      </w:r>
    </w:p>
    <w:p w14:paraId="37703842">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29.2成交供应商应在接受“成交通知书”前向采购代理机构一次付清采购代理服务费。</w:t>
      </w:r>
    </w:p>
    <w:p w14:paraId="38021DF6">
      <w:pPr>
        <w:snapToGrid w:val="0"/>
        <w:spacing w:line="360" w:lineRule="auto"/>
        <w:ind w:firstLine="118" w:firstLineChars="49"/>
        <w:rPr>
          <w:rFonts w:hint="eastAsia" w:ascii="宋体" w:hAnsi="宋体" w:eastAsia="宋体" w:cs="宋体"/>
          <w:b/>
          <w:color w:val="auto"/>
          <w:sz w:val="24"/>
          <w:szCs w:val="24"/>
        </w:rPr>
      </w:pPr>
      <w:r>
        <w:rPr>
          <w:rFonts w:hint="eastAsia" w:ascii="宋体" w:hAnsi="宋体" w:eastAsia="宋体" w:cs="宋体"/>
          <w:b/>
          <w:color w:val="auto"/>
          <w:sz w:val="24"/>
          <w:szCs w:val="24"/>
        </w:rPr>
        <w:t>30、磋商文件编制依据</w:t>
      </w:r>
    </w:p>
    <w:bookmarkEnd w:id="94"/>
    <w:p w14:paraId="00633527">
      <w:pPr>
        <w:tabs>
          <w:tab w:val="left" w:pos="105"/>
          <w:tab w:val="left" w:pos="945"/>
          <w:tab w:val="left" w:pos="3360"/>
        </w:tabs>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30.1本磋商文件根据《中华人民共和国政府采购法》《中华人民共和国政府采购法实施条例》《政府采购竞争性磋商采购方式管理暂行办法》等有关法律、法规和规章进行编制，解释权属于采购人、采购代理机构。</w:t>
      </w:r>
    </w:p>
    <w:p w14:paraId="663EBBC7">
      <w:pPr>
        <w:snapToGrid w:val="0"/>
        <w:spacing w:line="360" w:lineRule="auto"/>
        <w:ind w:firstLine="118" w:firstLineChars="49"/>
        <w:rPr>
          <w:rFonts w:hint="eastAsia" w:ascii="宋体" w:hAnsi="宋体" w:eastAsia="宋体" w:cs="宋体"/>
          <w:b/>
          <w:color w:val="auto"/>
          <w:sz w:val="24"/>
          <w:szCs w:val="24"/>
        </w:rPr>
      </w:pPr>
      <w:r>
        <w:rPr>
          <w:rFonts w:hint="eastAsia" w:ascii="宋体" w:hAnsi="宋体" w:eastAsia="宋体" w:cs="宋体"/>
          <w:b/>
          <w:color w:val="auto"/>
          <w:sz w:val="24"/>
          <w:szCs w:val="24"/>
        </w:rPr>
        <w:t>31、需要补充的其他内容</w:t>
      </w:r>
    </w:p>
    <w:p w14:paraId="714F25C9">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1关于中小企业：</w:t>
      </w:r>
    </w:p>
    <w:p w14:paraId="6BBEF71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1根据《关于印发</w:t>
      </w:r>
      <w:r>
        <w:rPr>
          <w:rFonts w:hint="eastAsia" w:ascii="宋体" w:hAnsi="宋体" w:cs="宋体"/>
          <w:color w:val="auto"/>
          <w:sz w:val="24"/>
          <w:szCs w:val="24"/>
          <w:lang w:eastAsia="zh-CN"/>
        </w:rPr>
        <w:t>〈</w:t>
      </w:r>
      <w:r>
        <w:rPr>
          <w:rFonts w:hint="eastAsia" w:ascii="宋体" w:hAnsi="宋体" w:eastAsia="宋体" w:cs="宋体"/>
          <w:color w:val="auto"/>
          <w:sz w:val="24"/>
          <w:szCs w:val="24"/>
        </w:rPr>
        <w:t>政府采购促进中小企业发展管理办法</w:t>
      </w:r>
      <w:r>
        <w:rPr>
          <w:rFonts w:hint="eastAsia" w:ascii="宋体" w:hAnsi="宋体" w:cs="宋体"/>
          <w:color w:val="auto"/>
          <w:sz w:val="24"/>
          <w:szCs w:val="24"/>
          <w:lang w:eastAsia="zh-CN"/>
        </w:rPr>
        <w:t>〉的通知》</w:t>
      </w:r>
      <w:r>
        <w:rPr>
          <w:rFonts w:hint="eastAsia" w:ascii="宋体" w:hAnsi="宋体" w:eastAsia="宋体" w:cs="宋体"/>
          <w:color w:val="auto"/>
          <w:sz w:val="24"/>
          <w:szCs w:val="24"/>
        </w:rPr>
        <w:t>（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5E2DBB65">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2符合中小企业划分标准的个体工商户，在政府采购活动中视同中小企业。</w:t>
      </w:r>
    </w:p>
    <w:p w14:paraId="514441DA">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3在政府采购活动中，供应商提供的货物、工程或者服务符合下列情形的，享受《关于印发</w:t>
      </w:r>
      <w:r>
        <w:rPr>
          <w:rFonts w:hint="eastAsia" w:ascii="宋体" w:hAnsi="宋体" w:cs="宋体"/>
          <w:color w:val="auto"/>
          <w:sz w:val="24"/>
          <w:szCs w:val="24"/>
          <w:lang w:eastAsia="zh-CN"/>
        </w:rPr>
        <w:t>〈</w:t>
      </w:r>
      <w:r>
        <w:rPr>
          <w:rFonts w:hint="eastAsia" w:ascii="宋体" w:hAnsi="宋体" w:eastAsia="宋体" w:cs="宋体"/>
          <w:color w:val="auto"/>
          <w:sz w:val="24"/>
          <w:szCs w:val="24"/>
        </w:rPr>
        <w:t>政府采购促进中小企业发展管理办法</w:t>
      </w:r>
      <w:r>
        <w:rPr>
          <w:rFonts w:hint="eastAsia" w:ascii="宋体" w:hAnsi="宋体" w:cs="宋体"/>
          <w:color w:val="auto"/>
          <w:sz w:val="24"/>
          <w:szCs w:val="24"/>
          <w:lang w:eastAsia="zh-CN"/>
        </w:rPr>
        <w:t>〉的通知》</w:t>
      </w:r>
      <w:r>
        <w:rPr>
          <w:rFonts w:hint="eastAsia" w:ascii="宋体" w:hAnsi="宋体" w:eastAsia="宋体" w:cs="宋体"/>
          <w:color w:val="auto"/>
          <w:sz w:val="24"/>
          <w:szCs w:val="24"/>
        </w:rPr>
        <w:t>（财库〔2020〕46号）规定的中小企业扶持政策：</w:t>
      </w:r>
    </w:p>
    <w:p w14:paraId="52B518A9">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（一）在货物采购项目中，货物由中小企业制造，即货物由中小企业生产且使用该中小企业商号或者注册商标；</w:t>
      </w:r>
    </w:p>
    <w:p w14:paraId="5E49C150">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（二）在工程采购项目中，工程由中小企业承建，即工程施工单位为中小企业；</w:t>
      </w:r>
    </w:p>
    <w:p w14:paraId="624B53B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（三）在服务采购项目中，服务由中小企业承接，即提供服务的人员为中小企业依照《中华人民共和国劳动合同法》订立劳动合同的从业人员。</w:t>
      </w:r>
    </w:p>
    <w:p w14:paraId="6598E98B">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4在货物采购项目中，供应商提供的货物既有中小企业制造货物，也有大型企业制造货物的，不享受本办法规定的中小企业扶持政策。</w:t>
      </w:r>
    </w:p>
    <w:p w14:paraId="0517B0DF">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5以联合体形式参加政府采购活动，联合体各方均为中小企业的，联合体视同中小企业。其中，联合体各方均为小微企业的</w:t>
      </w:r>
      <w:r>
        <w:rPr>
          <w:rFonts w:hint="eastAsia" w:ascii="宋体" w:hAnsi="宋体" w:cs="宋体"/>
          <w:color w:val="auto"/>
          <w:sz w:val="24"/>
          <w:szCs w:val="24"/>
          <w:lang w:eastAsia="zh-CN"/>
        </w:rPr>
        <w:t>，</w:t>
      </w:r>
      <w:r>
        <w:rPr>
          <w:rFonts w:hint="eastAsia" w:ascii="宋体" w:hAnsi="宋体" w:eastAsia="宋体" w:cs="宋体"/>
          <w:color w:val="auto"/>
          <w:sz w:val="24"/>
          <w:szCs w:val="24"/>
        </w:rPr>
        <w:t>联合体视同小微企业。</w:t>
      </w:r>
    </w:p>
    <w:p w14:paraId="289FA8AF">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6中小企业参加政府采购活动，应当出具《关于印发</w:t>
      </w:r>
      <w:r>
        <w:rPr>
          <w:rFonts w:hint="eastAsia" w:ascii="宋体" w:hAnsi="宋体" w:cs="宋体"/>
          <w:color w:val="auto"/>
          <w:sz w:val="24"/>
          <w:szCs w:val="24"/>
          <w:lang w:eastAsia="zh-CN"/>
        </w:rPr>
        <w:t>〈</w:t>
      </w:r>
      <w:r>
        <w:rPr>
          <w:rFonts w:hint="eastAsia" w:ascii="宋体" w:hAnsi="宋体" w:eastAsia="宋体" w:cs="宋体"/>
          <w:color w:val="auto"/>
          <w:sz w:val="24"/>
          <w:szCs w:val="24"/>
        </w:rPr>
        <w:t>政府采购促进中小企业发展管理办法</w:t>
      </w:r>
      <w:r>
        <w:rPr>
          <w:rFonts w:hint="eastAsia" w:ascii="宋体" w:hAnsi="宋体" w:cs="宋体"/>
          <w:color w:val="auto"/>
          <w:sz w:val="24"/>
          <w:szCs w:val="24"/>
          <w:lang w:eastAsia="zh-CN"/>
        </w:rPr>
        <w:t>〉的通知》</w:t>
      </w:r>
      <w:r>
        <w:rPr>
          <w:rFonts w:hint="eastAsia" w:ascii="宋体" w:hAnsi="宋体" w:eastAsia="宋体" w:cs="宋体"/>
          <w:color w:val="auto"/>
          <w:sz w:val="24"/>
          <w:szCs w:val="24"/>
        </w:rPr>
        <w:t>（财库〔2020〕46号）规定的《中小企业声明函》，否则不得享受相关中小企业扶持政策。</w:t>
      </w:r>
    </w:p>
    <w:p w14:paraId="243DB469">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7依据《关于印发</w:t>
      </w:r>
      <w:r>
        <w:rPr>
          <w:rFonts w:hint="eastAsia" w:ascii="宋体" w:hAnsi="宋体" w:cs="宋体"/>
          <w:color w:val="auto"/>
          <w:sz w:val="24"/>
          <w:szCs w:val="24"/>
          <w:lang w:eastAsia="zh-CN"/>
        </w:rPr>
        <w:t>〈</w:t>
      </w:r>
      <w:r>
        <w:rPr>
          <w:rFonts w:hint="eastAsia" w:ascii="宋体" w:hAnsi="宋体" w:eastAsia="宋体" w:cs="宋体"/>
          <w:color w:val="auto"/>
          <w:sz w:val="24"/>
          <w:szCs w:val="24"/>
        </w:rPr>
        <w:t>政府采购促进中小企业发展管理办法</w:t>
      </w:r>
      <w:r>
        <w:rPr>
          <w:rFonts w:hint="eastAsia" w:ascii="宋体" w:hAnsi="宋体" w:cs="宋体"/>
          <w:color w:val="auto"/>
          <w:sz w:val="24"/>
          <w:szCs w:val="24"/>
          <w:lang w:eastAsia="zh-CN"/>
        </w:rPr>
        <w:t>〉的通知》</w:t>
      </w:r>
      <w:r>
        <w:rPr>
          <w:rFonts w:hint="eastAsia" w:ascii="宋体" w:hAnsi="宋体" w:eastAsia="宋体" w:cs="宋体"/>
          <w:color w:val="auto"/>
          <w:sz w:val="24"/>
          <w:szCs w:val="24"/>
        </w:rPr>
        <w:t>（财库〔2020〕46号）规定享受扶持政策获得政府采购合同的，小微企业不得将合同分包给大中型企业，中型企业不得将合同分包给大型企业。</w:t>
      </w:r>
    </w:p>
    <w:p w14:paraId="551CBE6B">
      <w:pPr>
        <w:wordWrap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1.1.</w:t>
      </w:r>
      <w:r>
        <w:rPr>
          <w:rFonts w:hint="eastAsia" w:ascii="宋体" w:hAnsi="宋体" w:eastAsia="宋体" w:cs="宋体"/>
          <w:b/>
          <w:bCs/>
          <w:color w:val="auto"/>
          <w:sz w:val="24"/>
          <w:szCs w:val="24"/>
        </w:rPr>
        <w:t>8本项目采购标的对应的中小企业划分标准所属行业为</w:t>
      </w:r>
      <w:r>
        <w:rPr>
          <w:rFonts w:hint="eastAsia" w:ascii="宋体" w:hAnsi="宋体" w:eastAsia="宋体" w:cs="宋体"/>
          <w:b/>
          <w:bCs/>
          <w:color w:val="auto"/>
          <w:sz w:val="24"/>
          <w:szCs w:val="24"/>
          <w:u w:val="single"/>
          <w:lang w:eastAsia="zh-CN"/>
        </w:rPr>
        <w:t>（十六）其他未列明行业</w:t>
      </w:r>
      <w:r>
        <w:rPr>
          <w:rFonts w:hint="eastAsia" w:ascii="宋体" w:hAnsi="宋体" w:eastAsia="宋体" w:cs="宋体"/>
          <w:b/>
          <w:bCs/>
          <w:color w:val="auto"/>
          <w:sz w:val="24"/>
          <w:szCs w:val="24"/>
        </w:rPr>
        <w:t>。</w:t>
      </w:r>
    </w:p>
    <w:p w14:paraId="1FB57EDF">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1.1.</w:t>
      </w:r>
      <w:r>
        <w:rPr>
          <w:rFonts w:hint="eastAsia" w:ascii="宋体" w:hAnsi="宋体" w:eastAsia="宋体" w:cs="宋体"/>
          <w:color w:val="auto"/>
          <w:sz w:val="24"/>
          <w:szCs w:val="24"/>
        </w:rPr>
        <w:t>9成交供应商享受本办法规定的中小企业扶持政策的，采购人、采购代理机构将随成交结果公开成交供应商的《中小企业声明函》。</w:t>
      </w:r>
    </w:p>
    <w:p w14:paraId="2E29DF9C">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2关于节能产品及环境标志产品：</w:t>
      </w:r>
    </w:p>
    <w:p w14:paraId="4E53E923">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2.1根据《财政部 发展改革委 生态环境部 市场监管总局 关于调整优化节能产品、环境标志产品政府采购执行机制的通知》（财库〔2019〕9号），对政府采购节能产品、环境标志产品实施品目清单管理。</w:t>
      </w:r>
    </w:p>
    <w:p w14:paraId="044F14B8">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2.2节能产品是指列入财政部和发展改革委公布的《关于印发节能产品政府采购品目清单的通知》（财库〔2019〕19号）《节能产品政府采购品目清单》中的产品，其中以“★”标注的为政府强制采购产品。</w:t>
      </w:r>
    </w:p>
    <w:p w14:paraId="1F487CFE">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2.3环境标志产品是指列入财政部和生态环境部公布的《关于印发环境标志产品政府采购品目清单的通知》（财库〔2019〕18号）《环境标志产品政府采购品目清单》中的产品。</w:t>
      </w:r>
    </w:p>
    <w:p w14:paraId="67EB9ED0">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2.4产品属于节能产品或环境标志产品的，供应商需在响应文件中提供产品经国家确定的参与实施政府采购节能产品认证机构或参与实施政府采购环境标志产品认证机构出具的、处于有效期之内的节能产品、环境标志产品认证证书（扫描件加盖供应商电子公章），采购人及采购代理机构将对获得证书的产品实施政府优先采购或强制采购。</w:t>
      </w:r>
    </w:p>
    <w:p w14:paraId="52EC5403">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2.5若供应商在响应文件中未提供或未按要求提供产品经国家确定的参与实施政府采购节能产品认证机构或参与实施政府采购环境标志产品认证机构出具的、处于有效期之内的节能产品、环境标志产品认证证书，磋商小组在评审过程中将不予认可，由此造成的一切后</w:t>
      </w:r>
      <w:r>
        <w:rPr>
          <w:rFonts w:hint="eastAsia" w:ascii="宋体" w:hAnsi="宋体" w:cs="宋体"/>
          <w:color w:val="auto"/>
          <w:sz w:val="24"/>
          <w:szCs w:val="24"/>
          <w:lang w:eastAsia="zh-CN"/>
        </w:rPr>
        <w:t>果由</w:t>
      </w:r>
      <w:r>
        <w:rPr>
          <w:rFonts w:hint="eastAsia" w:ascii="宋体" w:hAnsi="宋体" w:eastAsia="宋体" w:cs="宋体"/>
          <w:color w:val="auto"/>
          <w:sz w:val="24"/>
          <w:szCs w:val="24"/>
        </w:rPr>
        <w:t>供应商自行承担。</w:t>
      </w:r>
    </w:p>
    <w:p w14:paraId="64552A02">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3关于监狱企业：</w:t>
      </w:r>
    </w:p>
    <w:p w14:paraId="3590F8A1">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3A842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3.2监狱企业参加政府采购活动时，应当提供由省级以上监狱管理局、戒毒管理局（含新疆生产建设兵团）出具的属于监狱企业的证明文件。</w:t>
      </w:r>
    </w:p>
    <w:p w14:paraId="1F94F251">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3.3在政府采购活动中，监狱企业视同小型、微型企业，享受预留份额、评审中价格扣除等政府采购促进中小企业发展的政府采购政策。</w:t>
      </w:r>
    </w:p>
    <w:p w14:paraId="528E423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4关于残疾人福利性单位：</w:t>
      </w:r>
    </w:p>
    <w:p w14:paraId="32067FA9">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4.1根据《三部门联合发布关于促进残疾人就业政府采购政策的通知》（财库〔2017〕141号）的规定，享受政府采购支持政策的残疾人福利性单位应当同时满足以下条件：</w:t>
      </w:r>
    </w:p>
    <w:p w14:paraId="0D00F971">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（一）安置的残疾人占本单位在职职工人数的比例不低于25%（含25%），并且安置的残疾人人数不少于10人（含10人）；</w:t>
      </w:r>
    </w:p>
    <w:p w14:paraId="5D7D9E4B">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（二）依法与安置的每位残疾人签订了一年以上（含一年）的劳动合同或服务协议；</w:t>
      </w:r>
    </w:p>
    <w:p w14:paraId="30E8451D">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（三）为安置的每位残疾人按月足额缴纳了基本养老保险、基本医疗保险、失业保险、工伤保险和生育保险等社会保险费；</w:t>
      </w:r>
    </w:p>
    <w:p w14:paraId="02FF406F">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（四）通过银行等金融机构向安置的每位残疾人，按月支付了不低于单位所在区县适用的经省级人民政府批准的月最低工资标准的工资；</w:t>
      </w:r>
    </w:p>
    <w:p w14:paraId="53E8DAE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（五）提供本单位制造的货物、承担的工程或者服务，或者提供其他残疾人福利性单位制造的货物（不包括使用非残疾人福利性单位注册商标的货物）。</w:t>
      </w:r>
    </w:p>
    <w:p w14:paraId="732E6322">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061CED">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4.2符合条件的残疾人福利性单位在参加政府采购活动时，应当按《三部门联合发布关于促进残疾人就业政府采购政策的通知》（财库〔2017〕141号）提供规定的《残疾人福利性单位声明函》，并对声明的真实性负责。</w:t>
      </w:r>
    </w:p>
    <w:p w14:paraId="2C02136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4.3本项目针对残疾人福利性单位的价格给予10%的扣除，用扣除后的价格参与评审。残疾人福利性单位属于小型、微型企业的，不重复享受政策。</w:t>
      </w:r>
    </w:p>
    <w:p w14:paraId="66D35D47">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5其它需要补充的其他内容：详见《供应商须知前附表》。</w:t>
      </w:r>
    </w:p>
    <w:p w14:paraId="714700A2">
      <w:pPr>
        <w:wordWrap w:val="0"/>
        <w:snapToGrid w:val="0"/>
        <w:spacing w:line="360" w:lineRule="auto"/>
        <w:ind w:firstLine="118" w:firstLineChars="49"/>
        <w:rPr>
          <w:rFonts w:hint="eastAsia" w:ascii="宋体" w:hAnsi="宋体" w:eastAsia="宋体" w:cs="宋体"/>
          <w:b/>
          <w:color w:val="auto"/>
          <w:sz w:val="24"/>
          <w:szCs w:val="24"/>
        </w:rPr>
      </w:pPr>
      <w:r>
        <w:rPr>
          <w:rFonts w:hint="eastAsia" w:ascii="宋体" w:hAnsi="宋体" w:eastAsia="宋体" w:cs="宋体"/>
          <w:b/>
          <w:color w:val="auto"/>
          <w:sz w:val="24"/>
          <w:szCs w:val="24"/>
        </w:rPr>
        <w:t>▲32、其它内容</w:t>
      </w:r>
    </w:p>
    <w:p w14:paraId="0265F8C8">
      <w:pPr>
        <w:wordWrap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根据《财政部关于在政府采购活动中查询及使用信用记录有关问题的通知</w:t>
      </w:r>
      <w:r>
        <w:rPr>
          <w:rFonts w:hint="eastAsia" w:ascii="宋体" w:hAnsi="宋体" w:cs="宋体"/>
          <w:color w:val="auto"/>
          <w:sz w:val="24"/>
          <w:szCs w:val="24"/>
          <w:lang w:eastAsia="zh-CN"/>
        </w:rPr>
        <w:t>》</w:t>
      </w:r>
      <w:r>
        <w:rPr>
          <w:rFonts w:hint="eastAsia" w:ascii="宋体" w:hAnsi="宋体" w:eastAsia="宋体" w:cs="宋体"/>
          <w:color w:val="auto"/>
          <w:sz w:val="24"/>
          <w:szCs w:val="24"/>
        </w:rPr>
        <w:t>财库〔2016〕125 号相关要求，采购人或者采购代理机构对信用记录进行核实，对列入失信被执行人、重大税收违法案件当事人名单、政府采购严重违法失信行为记录名单及其他不符合《中华人民共和国政府采购法》第二十二条规定条件的供应商，拒绝其参与政府采购活动。</w:t>
      </w:r>
    </w:p>
    <w:p w14:paraId="303B4072">
      <w:pPr>
        <w:bidi w:val="0"/>
        <w:rPr>
          <w:rFonts w:hint="eastAsia"/>
        </w:rPr>
      </w:pPr>
    </w:p>
    <w:p w14:paraId="2096A695">
      <w:pPr>
        <w:bidi w:val="0"/>
        <w:rPr>
          <w:rFonts w:hint="eastAsia"/>
        </w:rPr>
      </w:pPr>
    </w:p>
    <w:p w14:paraId="0D2629BB">
      <w:pPr>
        <w:rPr>
          <w:rFonts w:hint="eastAsia" w:ascii="宋体" w:hAnsi="宋体" w:eastAsia="宋体" w:cs="宋体"/>
          <w:color w:val="auto"/>
          <w:spacing w:val="0"/>
          <w:sz w:val="44"/>
          <w:szCs w:val="44"/>
        </w:rPr>
      </w:pPr>
      <w:bookmarkStart w:id="141" w:name="_Toc469927634"/>
      <w:bookmarkStart w:id="142" w:name="_Toc26990"/>
      <w:bookmarkStart w:id="143" w:name="_Toc18076"/>
      <w:bookmarkStart w:id="144" w:name="_Toc15082"/>
      <w:bookmarkStart w:id="145" w:name="_Toc984"/>
      <w:r>
        <w:rPr>
          <w:rFonts w:hint="eastAsia" w:ascii="宋体" w:hAnsi="宋体" w:eastAsia="宋体" w:cs="宋体"/>
          <w:color w:val="auto"/>
          <w:spacing w:val="0"/>
          <w:sz w:val="44"/>
          <w:szCs w:val="44"/>
        </w:rPr>
        <w:br w:type="page"/>
      </w:r>
    </w:p>
    <w:p w14:paraId="79A5FE5D">
      <w:pPr>
        <w:pStyle w:val="3"/>
        <w:keepNext w:val="0"/>
        <w:keepLines w:val="0"/>
        <w:spacing w:before="0" w:after="0"/>
        <w:outlineLvl w:val="0"/>
        <w:rPr>
          <w:rFonts w:hint="eastAsia" w:ascii="宋体" w:hAnsi="宋体" w:eastAsia="宋体" w:cs="宋体"/>
          <w:color w:val="auto"/>
          <w:spacing w:val="0"/>
          <w:sz w:val="44"/>
          <w:szCs w:val="44"/>
        </w:rPr>
      </w:pPr>
      <w:r>
        <w:rPr>
          <w:rFonts w:hint="eastAsia" w:ascii="宋体" w:hAnsi="宋体" w:eastAsia="宋体" w:cs="宋体"/>
          <w:color w:val="auto"/>
          <w:spacing w:val="0"/>
          <w:sz w:val="44"/>
          <w:szCs w:val="44"/>
        </w:rPr>
        <w:t>第三章</w:t>
      </w:r>
      <w:r>
        <w:rPr>
          <w:rFonts w:hint="eastAsia" w:ascii="宋体" w:hAnsi="宋体" w:eastAsia="宋体" w:cs="宋体"/>
          <w:color w:val="auto"/>
          <w:spacing w:val="0"/>
          <w:sz w:val="44"/>
          <w:szCs w:val="44"/>
          <w:lang w:val="en-US" w:eastAsia="zh-CN"/>
        </w:rPr>
        <w:t xml:space="preserve"> </w:t>
      </w:r>
      <w:r>
        <w:rPr>
          <w:rFonts w:hint="eastAsia" w:ascii="宋体" w:hAnsi="宋体" w:eastAsia="宋体" w:cs="宋体"/>
          <w:color w:val="auto"/>
          <w:spacing w:val="0"/>
          <w:sz w:val="44"/>
          <w:szCs w:val="44"/>
        </w:rPr>
        <w:t>合同</w:t>
      </w:r>
      <w:bookmarkEnd w:id="86"/>
      <w:bookmarkEnd w:id="87"/>
      <w:bookmarkEnd w:id="141"/>
      <w:bookmarkEnd w:id="142"/>
      <w:bookmarkEnd w:id="143"/>
      <w:bookmarkEnd w:id="144"/>
      <w:bookmarkEnd w:id="145"/>
    </w:p>
    <w:p w14:paraId="07C6AA20">
      <w:pPr>
        <w:spacing w:line="480" w:lineRule="exact"/>
        <w:ind w:firstLine="510"/>
        <w:jc w:val="center"/>
        <w:rPr>
          <w:rFonts w:hint="eastAsia" w:ascii="宋体" w:hAnsi="宋体" w:eastAsia="宋体" w:cs="宋体"/>
          <w:color w:val="auto"/>
        </w:rPr>
      </w:pPr>
      <w:r>
        <w:rPr>
          <w:rFonts w:hint="eastAsia" w:ascii="宋体" w:hAnsi="宋体" w:eastAsia="宋体" w:cs="宋体"/>
          <w:color w:val="auto"/>
          <w:sz w:val="24"/>
        </w:rPr>
        <w:t>（仅供参考，不做实质性响应要求，具体以成交人与</w:t>
      </w:r>
      <w:r>
        <w:rPr>
          <w:rFonts w:hint="eastAsia" w:ascii="宋体" w:hAnsi="宋体" w:eastAsia="宋体" w:cs="宋体"/>
          <w:color w:val="auto"/>
          <w:sz w:val="24"/>
          <w:lang w:eastAsia="zh-CN"/>
        </w:rPr>
        <w:t>采购人</w:t>
      </w:r>
      <w:r>
        <w:rPr>
          <w:rFonts w:hint="eastAsia" w:ascii="宋体" w:hAnsi="宋体" w:eastAsia="宋体" w:cs="宋体"/>
          <w:color w:val="auto"/>
          <w:sz w:val="24"/>
        </w:rPr>
        <w:t>签订为准）</w:t>
      </w:r>
    </w:p>
    <w:p w14:paraId="46C4FE34">
      <w:pPr>
        <w:rPr>
          <w:rFonts w:hint="eastAsia" w:ascii="宋体" w:hAnsi="宋体" w:eastAsia="宋体" w:cs="宋体"/>
          <w:color w:val="auto"/>
        </w:rPr>
      </w:pPr>
    </w:p>
    <w:p w14:paraId="39EC5EEE">
      <w:pPr>
        <w:autoSpaceDE w:val="0"/>
        <w:autoSpaceDN w:val="0"/>
        <w:adjustRightInd w:val="0"/>
        <w:jc w:val="left"/>
        <w:rPr>
          <w:rFonts w:hint="eastAsia" w:ascii="宋体" w:hAnsi="宋体" w:eastAsia="宋体" w:cs="宋体"/>
          <w:b/>
          <w:color w:val="auto"/>
          <w:kern w:val="0"/>
          <w:sz w:val="24"/>
        </w:rPr>
      </w:pPr>
    </w:p>
    <w:p w14:paraId="407322D0">
      <w:pPr>
        <w:jc w:val="center"/>
        <w:rPr>
          <w:rFonts w:hint="eastAsia" w:ascii="宋体" w:hAnsi="宋体" w:eastAsia="宋体" w:cs="宋体"/>
          <w:b/>
          <w:bCs/>
          <w:color w:val="auto"/>
          <w:sz w:val="28"/>
          <w:szCs w:val="28"/>
        </w:rPr>
      </w:pPr>
    </w:p>
    <w:p w14:paraId="44C26983">
      <w:pPr>
        <w:bidi w:val="0"/>
        <w:rPr>
          <w:rFonts w:hint="eastAsia"/>
          <w:lang w:val="en-US" w:eastAsia="zh-CN"/>
        </w:rPr>
      </w:pPr>
      <w:bookmarkStart w:id="146" w:name="_Toc31357"/>
      <w:bookmarkStart w:id="147" w:name="_Toc469927635"/>
      <w:bookmarkStart w:id="148" w:name="_Toc18313"/>
    </w:p>
    <w:p w14:paraId="37734A0D">
      <w:pPr>
        <w:keepNext w:val="0"/>
        <w:keepLines w:val="0"/>
        <w:widowControl/>
        <w:suppressLineNumbers w:val="0"/>
        <w:jc w:val="center"/>
        <w:rPr>
          <w:rFonts w:hint="eastAsia" w:ascii="宋体" w:hAnsi="宋体" w:eastAsia="宋体" w:cs="宋体"/>
          <w:color w:val="auto"/>
          <w:kern w:val="0"/>
          <w:sz w:val="72"/>
          <w:szCs w:val="72"/>
          <w:lang w:val="en-US" w:eastAsia="zh-CN" w:bidi="ar"/>
        </w:rPr>
      </w:pPr>
    </w:p>
    <w:p w14:paraId="66CD60E1">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color w:val="auto"/>
          <w:kern w:val="0"/>
          <w:sz w:val="72"/>
          <w:szCs w:val="72"/>
          <w:lang w:val="en-US" w:eastAsia="zh-CN" w:bidi="ar"/>
        </w:rPr>
        <w:t>政府采购合同</w:t>
      </w:r>
    </w:p>
    <w:p w14:paraId="5D6B31D3">
      <w:pPr>
        <w:spacing w:line="336" w:lineRule="auto"/>
        <w:ind w:firstLine="420" w:firstLineChars="200"/>
        <w:rPr>
          <w:rFonts w:hint="eastAsia" w:ascii="宋体" w:hAnsi="宋体" w:eastAsia="宋体" w:cs="宋体"/>
          <w:color w:val="auto"/>
          <w:sz w:val="21"/>
          <w:szCs w:val="21"/>
          <w:highlight w:val="none"/>
        </w:rPr>
      </w:pPr>
    </w:p>
    <w:p w14:paraId="5D813391">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color w:val="auto"/>
          <w:kern w:val="0"/>
          <w:sz w:val="33"/>
          <w:szCs w:val="33"/>
          <w:lang w:val="en-US" w:eastAsia="zh-CN" w:bidi="ar"/>
        </w:rPr>
        <w:t>（电子交易项目适用）</w:t>
      </w:r>
    </w:p>
    <w:p w14:paraId="57468F31">
      <w:pPr>
        <w:pStyle w:val="2"/>
        <w:jc w:val="both"/>
        <w:rPr>
          <w:rFonts w:hint="eastAsia" w:ascii="宋体" w:hAnsi="宋体" w:eastAsia="宋体" w:cs="宋体"/>
          <w:color w:val="auto"/>
        </w:rPr>
      </w:pPr>
    </w:p>
    <w:p w14:paraId="50D496A7">
      <w:pPr>
        <w:rPr>
          <w:rFonts w:hint="eastAsia" w:ascii="宋体" w:hAnsi="宋体" w:eastAsia="宋体" w:cs="宋体"/>
          <w:color w:val="auto"/>
        </w:rPr>
      </w:pPr>
    </w:p>
    <w:p w14:paraId="4626CB66">
      <w:pPr>
        <w:keepNext w:val="0"/>
        <w:keepLines w:val="0"/>
        <w:widowControl/>
        <w:suppressLineNumbers w:val="0"/>
        <w:jc w:val="left"/>
        <w:rPr>
          <w:rFonts w:hint="eastAsia" w:ascii="宋体" w:hAnsi="宋体" w:eastAsia="宋体" w:cs="宋体"/>
          <w:color w:val="auto"/>
          <w:kern w:val="0"/>
          <w:sz w:val="37"/>
          <w:szCs w:val="37"/>
          <w:lang w:val="en-US" w:eastAsia="zh-CN" w:bidi="ar"/>
        </w:rPr>
      </w:pPr>
    </w:p>
    <w:p w14:paraId="748AB81F">
      <w:pPr>
        <w:keepNext w:val="0"/>
        <w:keepLines w:val="0"/>
        <w:widowControl/>
        <w:suppressLineNumbers w:val="0"/>
        <w:jc w:val="left"/>
        <w:rPr>
          <w:rFonts w:hint="eastAsia" w:ascii="宋体" w:hAnsi="宋体" w:eastAsia="宋体" w:cs="宋体"/>
          <w:color w:val="auto"/>
          <w:kern w:val="0"/>
          <w:sz w:val="37"/>
          <w:szCs w:val="37"/>
          <w:lang w:val="en-US" w:eastAsia="zh-CN" w:bidi="ar"/>
        </w:rPr>
      </w:pPr>
    </w:p>
    <w:p w14:paraId="6E0F40DA">
      <w:pPr>
        <w:keepNext w:val="0"/>
        <w:keepLines w:val="0"/>
        <w:widowControl/>
        <w:suppressLineNumbers w:val="0"/>
        <w:jc w:val="left"/>
        <w:rPr>
          <w:rFonts w:hint="eastAsia" w:ascii="宋体" w:hAnsi="宋体" w:eastAsia="宋体" w:cs="宋体"/>
          <w:color w:val="auto"/>
          <w:kern w:val="0"/>
          <w:sz w:val="37"/>
          <w:szCs w:val="37"/>
          <w:lang w:val="en-US" w:eastAsia="zh-CN" w:bidi="ar"/>
        </w:rPr>
      </w:pPr>
    </w:p>
    <w:p w14:paraId="14E0AD78">
      <w:pPr>
        <w:keepNext w:val="0"/>
        <w:keepLines w:val="0"/>
        <w:widowControl/>
        <w:suppressLineNumbers w:val="0"/>
        <w:ind w:firstLine="640" w:firstLineChars="200"/>
        <w:jc w:val="left"/>
        <w:rPr>
          <w:rFonts w:hint="eastAsia" w:ascii="宋体" w:hAnsi="宋体" w:eastAsia="宋体" w:cs="宋体"/>
          <w:color w:val="auto"/>
        </w:rPr>
      </w:pPr>
      <w:r>
        <w:rPr>
          <w:rFonts w:hint="eastAsia" w:ascii="宋体" w:hAnsi="宋体" w:eastAsia="宋体" w:cs="宋体"/>
          <w:color w:val="auto"/>
          <w:kern w:val="0"/>
          <w:sz w:val="32"/>
          <w:szCs w:val="32"/>
          <w:lang w:val="en-US" w:eastAsia="zh-CN" w:bidi="ar"/>
        </w:rPr>
        <w:t>项 目 名 称：</w:t>
      </w:r>
      <w:r>
        <w:rPr>
          <w:rFonts w:hint="eastAsia" w:ascii="宋体" w:hAnsi="宋体" w:cs="宋体"/>
          <w:b/>
          <w:bCs/>
          <w:color w:val="auto"/>
          <w:kern w:val="0"/>
          <w:sz w:val="32"/>
          <w:szCs w:val="32"/>
          <w:u w:val="single"/>
          <w:lang w:val="en-US" w:eastAsia="zh-CN" w:bidi="ar"/>
        </w:rPr>
        <w:t>临沧市2026年度无线电监测设施设备运行保障及专业维修维护技术服务</w:t>
      </w:r>
    </w:p>
    <w:p w14:paraId="5DBD040F">
      <w:pPr>
        <w:pStyle w:val="2"/>
        <w:rPr>
          <w:rFonts w:hint="eastAsia" w:ascii="宋体" w:hAnsi="宋体" w:eastAsia="宋体" w:cs="宋体"/>
          <w:color w:val="auto"/>
        </w:rPr>
      </w:pPr>
    </w:p>
    <w:p w14:paraId="1EB3F987">
      <w:pPr>
        <w:rPr>
          <w:rFonts w:hint="eastAsia" w:ascii="宋体" w:hAnsi="宋体" w:eastAsia="宋体" w:cs="宋体"/>
          <w:color w:val="auto"/>
        </w:rPr>
      </w:pPr>
    </w:p>
    <w:p w14:paraId="68A29051">
      <w:pPr>
        <w:keepNext w:val="0"/>
        <w:keepLines w:val="0"/>
        <w:widowControl/>
        <w:suppressLineNumbers w:val="0"/>
        <w:ind w:firstLine="640" w:firstLineChars="200"/>
        <w:jc w:val="left"/>
        <w:rPr>
          <w:rFonts w:hint="eastAsia" w:ascii="宋体" w:hAnsi="宋体" w:eastAsia="宋体" w:cs="宋体"/>
          <w:color w:val="auto"/>
          <w:sz w:val="18"/>
          <w:szCs w:val="16"/>
        </w:rPr>
      </w:pPr>
      <w:r>
        <w:rPr>
          <w:rFonts w:hint="eastAsia" w:ascii="宋体" w:hAnsi="宋体" w:eastAsia="宋体" w:cs="宋体"/>
          <w:color w:val="auto"/>
          <w:kern w:val="0"/>
          <w:sz w:val="32"/>
          <w:szCs w:val="32"/>
          <w:lang w:val="en-US" w:eastAsia="zh-CN" w:bidi="ar"/>
        </w:rPr>
        <w:t>合 同 编 号：</w:t>
      </w:r>
      <w:r>
        <w:rPr>
          <w:rFonts w:hint="eastAsia" w:ascii="宋体" w:hAnsi="宋体" w:eastAsia="宋体" w:cs="宋体"/>
          <w:color w:val="auto"/>
          <w:kern w:val="0"/>
          <w:sz w:val="32"/>
          <w:szCs w:val="32"/>
          <w:u w:val="single"/>
          <w:lang w:val="en-US" w:eastAsia="zh-CN" w:bidi="ar"/>
        </w:rPr>
        <w:t xml:space="preserve">               </w:t>
      </w:r>
      <w:r>
        <w:rPr>
          <w:rFonts w:hint="eastAsia" w:ascii="宋体" w:hAnsi="宋体" w:eastAsia="宋体" w:cs="宋体"/>
          <w:color w:val="auto"/>
          <w:kern w:val="0"/>
          <w:sz w:val="32"/>
          <w:szCs w:val="32"/>
          <w:lang w:val="en-US" w:eastAsia="zh-CN" w:bidi="ar"/>
        </w:rPr>
        <w:t>（系统编号）</w:t>
      </w:r>
    </w:p>
    <w:p w14:paraId="48419541">
      <w:pPr>
        <w:keepNext w:val="0"/>
        <w:keepLines w:val="0"/>
        <w:widowControl/>
        <w:suppressLineNumbers w:val="0"/>
        <w:jc w:val="center"/>
        <w:rPr>
          <w:rFonts w:hint="eastAsia" w:ascii="宋体" w:hAnsi="宋体" w:eastAsia="宋体" w:cs="宋体"/>
          <w:color w:val="auto"/>
          <w:kern w:val="0"/>
          <w:sz w:val="28"/>
          <w:szCs w:val="28"/>
          <w:lang w:val="en-US" w:eastAsia="zh-CN" w:bidi="ar"/>
        </w:rPr>
      </w:pPr>
    </w:p>
    <w:p w14:paraId="2AAD4BC5">
      <w:pPr>
        <w:keepNext w:val="0"/>
        <w:keepLines w:val="0"/>
        <w:widowControl/>
        <w:suppressLineNumbers w:val="0"/>
        <w:jc w:val="center"/>
        <w:rPr>
          <w:rFonts w:hint="eastAsia" w:ascii="宋体" w:hAnsi="宋体" w:eastAsia="宋体" w:cs="宋体"/>
          <w:color w:val="auto"/>
          <w:sz w:val="18"/>
          <w:szCs w:val="16"/>
        </w:rPr>
      </w:pPr>
      <w:r>
        <w:rPr>
          <w:rFonts w:hint="eastAsia" w:ascii="宋体" w:hAnsi="宋体" w:eastAsia="宋体" w:cs="宋体"/>
          <w:color w:val="auto"/>
          <w:kern w:val="0"/>
          <w:sz w:val="28"/>
          <w:szCs w:val="28"/>
          <w:lang w:val="en-US" w:eastAsia="zh-CN" w:bidi="ar"/>
        </w:rPr>
        <w:t>（自编号，如有）</w:t>
      </w:r>
    </w:p>
    <w:p w14:paraId="2613604F">
      <w:pPr>
        <w:pStyle w:val="2"/>
        <w:rPr>
          <w:rFonts w:hint="eastAsia" w:ascii="宋体" w:hAnsi="宋体" w:eastAsia="宋体" w:cs="宋体"/>
          <w:color w:val="auto"/>
          <w:sz w:val="21"/>
          <w:szCs w:val="16"/>
        </w:rPr>
      </w:pPr>
    </w:p>
    <w:p w14:paraId="5A9FB09C">
      <w:pPr>
        <w:keepNext w:val="0"/>
        <w:keepLines w:val="0"/>
        <w:widowControl/>
        <w:suppressLineNumbers w:val="0"/>
        <w:ind w:firstLine="640" w:firstLineChars="200"/>
        <w:jc w:val="left"/>
        <w:rPr>
          <w:rFonts w:hint="eastAsia" w:ascii="宋体" w:hAnsi="宋体" w:eastAsia="宋体" w:cs="宋体"/>
          <w:color w:val="auto"/>
          <w:kern w:val="0"/>
          <w:sz w:val="32"/>
          <w:szCs w:val="32"/>
          <w:lang w:val="en-US" w:eastAsia="zh-CN" w:bidi="ar"/>
        </w:rPr>
      </w:pPr>
    </w:p>
    <w:p w14:paraId="0B2623BB">
      <w:pPr>
        <w:keepNext w:val="0"/>
        <w:keepLines w:val="0"/>
        <w:widowControl/>
        <w:suppressLineNumbers w:val="0"/>
        <w:ind w:firstLine="640" w:firstLineChars="200"/>
        <w:jc w:val="left"/>
        <w:rPr>
          <w:rFonts w:hint="eastAsia" w:ascii="宋体" w:hAnsi="宋体" w:eastAsia="宋体" w:cs="宋体"/>
          <w:color w:val="auto"/>
          <w:sz w:val="18"/>
          <w:szCs w:val="16"/>
          <w:u w:val="single"/>
        </w:rPr>
      </w:pPr>
      <w:r>
        <w:rPr>
          <w:rFonts w:hint="eastAsia" w:ascii="宋体" w:hAnsi="宋体" w:eastAsia="宋体" w:cs="宋体"/>
          <w:color w:val="auto"/>
          <w:kern w:val="0"/>
          <w:sz w:val="32"/>
          <w:szCs w:val="32"/>
          <w:lang w:val="en-US" w:eastAsia="zh-CN" w:bidi="ar"/>
        </w:rPr>
        <w:t>甲     方：</w:t>
      </w:r>
      <w:r>
        <w:rPr>
          <w:rFonts w:hint="eastAsia" w:ascii="宋体" w:hAnsi="宋体" w:eastAsia="宋体" w:cs="宋体"/>
          <w:color w:val="auto"/>
          <w:kern w:val="0"/>
          <w:sz w:val="32"/>
          <w:szCs w:val="32"/>
          <w:u w:val="single"/>
          <w:lang w:val="en-US" w:eastAsia="zh-CN" w:bidi="ar"/>
        </w:rPr>
        <w:t xml:space="preserve">临沧市工业和信息化局 </w:t>
      </w:r>
    </w:p>
    <w:p w14:paraId="4127B684">
      <w:pPr>
        <w:keepNext w:val="0"/>
        <w:keepLines w:val="0"/>
        <w:widowControl/>
        <w:suppressLineNumbers w:val="0"/>
        <w:ind w:firstLine="640" w:firstLineChars="200"/>
        <w:jc w:val="left"/>
        <w:rPr>
          <w:rFonts w:hint="eastAsia" w:ascii="宋体" w:hAnsi="宋体" w:eastAsia="宋体" w:cs="宋体"/>
          <w:color w:val="auto"/>
          <w:kern w:val="0"/>
          <w:sz w:val="32"/>
          <w:szCs w:val="32"/>
          <w:lang w:val="en-US" w:eastAsia="zh-CN" w:bidi="ar"/>
        </w:rPr>
      </w:pPr>
    </w:p>
    <w:p w14:paraId="3CA3E621">
      <w:pPr>
        <w:keepNext w:val="0"/>
        <w:keepLines w:val="0"/>
        <w:widowControl/>
        <w:suppressLineNumbers w:val="0"/>
        <w:ind w:firstLine="640" w:firstLineChars="200"/>
        <w:jc w:val="left"/>
        <w:rPr>
          <w:rFonts w:hint="eastAsia" w:ascii="宋体" w:hAnsi="宋体" w:eastAsia="宋体" w:cs="宋体"/>
          <w:color w:val="auto"/>
          <w:sz w:val="18"/>
          <w:szCs w:val="16"/>
          <w:u w:val="single"/>
          <w:lang w:val="en-US" w:eastAsia="zh-CN"/>
        </w:rPr>
        <w:sectPr>
          <w:pgSz w:w="11906" w:h="16838"/>
          <w:pgMar w:top="1440" w:right="1080" w:bottom="1440" w:left="1080" w:header="851" w:footer="851" w:gutter="0"/>
          <w:pgNumType w:fmt="decimal"/>
          <w:cols w:space="708" w:num="1"/>
          <w:docGrid w:linePitch="312" w:charSpace="0"/>
        </w:sectPr>
      </w:pPr>
      <w:r>
        <w:rPr>
          <w:rFonts w:hint="eastAsia" w:ascii="宋体" w:hAnsi="宋体" w:eastAsia="宋体" w:cs="宋体"/>
          <w:color w:val="auto"/>
          <w:kern w:val="0"/>
          <w:sz w:val="32"/>
          <w:szCs w:val="32"/>
          <w:lang w:val="en-US" w:eastAsia="zh-CN" w:bidi="ar"/>
        </w:rPr>
        <w:t>乙     方：</w:t>
      </w:r>
      <w:r>
        <w:rPr>
          <w:rFonts w:hint="eastAsia" w:ascii="宋体" w:hAnsi="宋体" w:eastAsia="宋体" w:cs="宋体"/>
          <w:color w:val="auto"/>
          <w:kern w:val="0"/>
          <w:sz w:val="32"/>
          <w:szCs w:val="32"/>
          <w:u w:val="single"/>
          <w:lang w:val="en-US" w:eastAsia="zh-CN" w:bidi="ar"/>
        </w:rPr>
        <w:t xml:space="preserve">                         </w:t>
      </w:r>
    </w:p>
    <w:p w14:paraId="39474FEF">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甲方（采购人公章）名称：</w:t>
      </w:r>
      <w:r>
        <w:rPr>
          <w:rFonts w:hint="eastAsia" w:ascii="宋体" w:hAnsi="宋体" w:eastAsia="宋体" w:cs="宋体"/>
          <w:spacing w:val="-4"/>
          <w:sz w:val="24"/>
          <w:szCs w:val="24"/>
          <w:lang w:val="en-US" w:eastAsia="zh-CN"/>
        </w:rPr>
        <w:t>临沧</w:t>
      </w:r>
      <w:r>
        <w:rPr>
          <w:rFonts w:hint="eastAsia" w:ascii="宋体" w:hAnsi="宋体" w:eastAsia="宋体" w:cs="宋体"/>
          <w:spacing w:val="-4"/>
          <w:sz w:val="24"/>
          <w:szCs w:val="24"/>
        </w:rPr>
        <w:t>市工业和信息化局</w:t>
      </w:r>
    </w:p>
    <w:p w14:paraId="0ECE37CB">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rPr>
        <w:t>地址</w:t>
      </w:r>
      <w:r>
        <w:rPr>
          <w:rFonts w:hint="eastAsia" w:ascii="宋体" w:hAnsi="宋体" w:eastAsia="宋体" w:cs="宋体"/>
          <w:spacing w:val="-4"/>
          <w:sz w:val="24"/>
          <w:szCs w:val="24"/>
          <w:lang w:eastAsia="zh-CN"/>
        </w:rPr>
        <w:t>：</w:t>
      </w:r>
    </w:p>
    <w:p w14:paraId="5FFF0AF3">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邮编：</w:t>
      </w:r>
    </w:p>
    <w:p w14:paraId="333F3545">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法定代表人或委托代理人：</w:t>
      </w:r>
    </w:p>
    <w:p w14:paraId="4E0ED52B">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项目（技术）负责人：</w:t>
      </w:r>
    </w:p>
    <w:p w14:paraId="7121D931">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电 话：</w:t>
      </w:r>
    </w:p>
    <w:p w14:paraId="349A9C31">
      <w:pPr>
        <w:bidi w:val="0"/>
        <w:rPr>
          <w:rFonts w:hint="eastAsia"/>
        </w:rPr>
      </w:pPr>
    </w:p>
    <w:p w14:paraId="6FB75DF0">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签订日期：</w:t>
      </w:r>
    </w:p>
    <w:p w14:paraId="53A74116">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p>
    <w:p w14:paraId="48C0CB8A">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乙方（</w:t>
      </w:r>
      <w:r>
        <w:rPr>
          <w:rFonts w:hint="eastAsia" w:ascii="宋体" w:hAnsi="宋体" w:eastAsia="宋体" w:cs="宋体"/>
          <w:spacing w:val="-4"/>
          <w:sz w:val="24"/>
          <w:szCs w:val="24"/>
          <w:lang w:val="en-US" w:eastAsia="zh-CN"/>
        </w:rPr>
        <w:t>供应商</w:t>
      </w:r>
      <w:r>
        <w:rPr>
          <w:rFonts w:hint="eastAsia" w:ascii="宋体" w:hAnsi="宋体" w:eastAsia="宋体" w:cs="宋体"/>
          <w:spacing w:val="-4"/>
          <w:sz w:val="24"/>
          <w:szCs w:val="24"/>
        </w:rPr>
        <w:t>公章）名 称：</w:t>
      </w:r>
    </w:p>
    <w:p w14:paraId="3970C214">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 xml:space="preserve">地 址： </w:t>
      </w:r>
    </w:p>
    <w:p w14:paraId="6EE4E694">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邮 编：</w:t>
      </w:r>
    </w:p>
    <w:p w14:paraId="7ECB0634">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法定代表人或委托代理人：</w:t>
      </w:r>
    </w:p>
    <w:p w14:paraId="1C7F12B2">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经办人：</w:t>
      </w:r>
    </w:p>
    <w:p w14:paraId="557764B7">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电 话：</w:t>
      </w:r>
    </w:p>
    <w:p w14:paraId="186D9C8A">
      <w:pPr>
        <w:bidi w:val="0"/>
        <w:rPr>
          <w:rFonts w:hint="eastAsia"/>
        </w:rPr>
      </w:pPr>
    </w:p>
    <w:p w14:paraId="1BED45F3">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签订日期：</w:t>
      </w:r>
      <w:r>
        <w:rPr>
          <w:rFonts w:hint="eastAsia" w:ascii="宋体" w:hAnsi="宋体" w:eastAsia="宋体" w:cs="宋体"/>
          <w:spacing w:val="-4"/>
          <w:sz w:val="24"/>
          <w:szCs w:val="24"/>
        </w:rPr>
        <w:br w:type="page"/>
      </w:r>
    </w:p>
    <w:p w14:paraId="41F199FC">
      <w:pPr>
        <w:keepNext w:val="0"/>
        <w:keepLines w:val="0"/>
        <w:pageBreakBefore w:val="0"/>
        <w:widowControl w:val="0"/>
        <w:kinsoku/>
        <w:wordWrap/>
        <w:overflowPunct/>
        <w:topLinePunct w:val="0"/>
        <w:autoSpaceDE/>
        <w:autoSpaceDN/>
        <w:bidi w:val="0"/>
        <w:adjustRightInd/>
        <w:snapToGrid/>
        <w:spacing w:before="48" w:line="360" w:lineRule="auto"/>
        <w:textAlignment w:val="auto"/>
        <w:rPr>
          <w:rFonts w:hint="eastAsia" w:ascii="宋体" w:hAnsi="宋体" w:eastAsia="宋体" w:cs="宋体"/>
          <w:sz w:val="24"/>
          <w:szCs w:val="24"/>
        </w:rPr>
      </w:pPr>
      <w:r>
        <w:rPr>
          <w:rFonts w:hint="eastAsia" w:ascii="宋体" w:hAnsi="宋体" w:eastAsia="宋体" w:cs="宋体"/>
          <w:spacing w:val="-4"/>
          <w:sz w:val="24"/>
          <w:szCs w:val="24"/>
        </w:rPr>
        <w:t>甲方：</w:t>
      </w:r>
      <w:r>
        <w:rPr>
          <w:rFonts w:hint="eastAsia" w:ascii="宋体" w:hAnsi="宋体" w:eastAsia="宋体" w:cs="宋体"/>
          <w:spacing w:val="-4"/>
          <w:sz w:val="24"/>
          <w:szCs w:val="24"/>
          <w:u w:val="single"/>
          <w:lang w:val="en-US" w:eastAsia="zh-CN"/>
        </w:rPr>
        <w:t xml:space="preserve">  临沧市工业和信息化局    </w:t>
      </w:r>
      <w:r>
        <w:rPr>
          <w:rFonts w:hint="eastAsia" w:ascii="宋体" w:hAnsi="宋体" w:eastAsia="宋体" w:cs="宋体"/>
          <w:spacing w:val="-4"/>
          <w:sz w:val="24"/>
          <w:szCs w:val="24"/>
        </w:rPr>
        <w:t>（以下简称“</w:t>
      </w:r>
      <w:r>
        <w:rPr>
          <w:rFonts w:hint="eastAsia" w:ascii="宋体" w:hAnsi="宋体" w:eastAsia="宋体" w:cs="宋体"/>
          <w:spacing w:val="-72"/>
          <w:sz w:val="24"/>
          <w:szCs w:val="24"/>
        </w:rPr>
        <w:t xml:space="preserve"> </w:t>
      </w:r>
      <w:r>
        <w:rPr>
          <w:rFonts w:hint="eastAsia" w:ascii="宋体" w:hAnsi="宋体" w:eastAsia="宋体" w:cs="宋体"/>
          <w:spacing w:val="-4"/>
          <w:sz w:val="24"/>
          <w:szCs w:val="24"/>
        </w:rPr>
        <w:t>甲方</w:t>
      </w:r>
      <w:r>
        <w:rPr>
          <w:rFonts w:hint="eastAsia" w:ascii="宋体" w:hAnsi="宋体" w:eastAsia="宋体" w:cs="宋体"/>
          <w:spacing w:val="-88"/>
          <w:sz w:val="24"/>
          <w:szCs w:val="24"/>
        </w:rPr>
        <w:t xml:space="preserve"> </w:t>
      </w:r>
      <w:r>
        <w:rPr>
          <w:rFonts w:hint="eastAsia" w:ascii="宋体" w:hAnsi="宋体" w:eastAsia="宋体" w:cs="宋体"/>
          <w:spacing w:val="-5"/>
          <w:sz w:val="24"/>
          <w:szCs w:val="24"/>
        </w:rPr>
        <w:t>”）</w:t>
      </w:r>
    </w:p>
    <w:p w14:paraId="3E616D45">
      <w:pPr>
        <w:keepNext w:val="0"/>
        <w:keepLines w:val="0"/>
        <w:pageBreakBefore w:val="0"/>
        <w:widowControl w:val="0"/>
        <w:kinsoku/>
        <w:wordWrap/>
        <w:overflowPunct/>
        <w:topLinePunct w:val="0"/>
        <w:autoSpaceDE/>
        <w:autoSpaceDN/>
        <w:bidi w:val="0"/>
        <w:adjustRightInd/>
        <w:snapToGrid/>
        <w:spacing w:before="178" w:line="360" w:lineRule="auto"/>
        <w:textAlignment w:val="auto"/>
        <w:rPr>
          <w:rFonts w:hint="eastAsia" w:ascii="宋体" w:hAnsi="宋体" w:eastAsia="宋体" w:cs="宋体"/>
          <w:sz w:val="24"/>
          <w:szCs w:val="24"/>
        </w:rPr>
      </w:pPr>
      <w:r>
        <w:rPr>
          <w:rFonts w:hint="eastAsia" w:ascii="宋体" w:hAnsi="宋体" w:eastAsia="宋体" w:cs="宋体"/>
          <w:spacing w:val="-3"/>
          <w:sz w:val="24"/>
          <w:szCs w:val="24"/>
        </w:rPr>
        <w:t>乙方</w:t>
      </w:r>
      <w:r>
        <w:rPr>
          <w:rFonts w:hint="eastAsia" w:ascii="宋体" w:hAnsi="宋体" w:eastAsia="宋体" w:cs="宋体"/>
          <w:spacing w:val="-16"/>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16"/>
          <w:sz w:val="24"/>
          <w:szCs w:val="24"/>
        </w:rPr>
        <w:t>（</w:t>
      </w:r>
      <w:r>
        <w:rPr>
          <w:rFonts w:hint="eastAsia" w:ascii="宋体" w:hAnsi="宋体" w:eastAsia="宋体" w:cs="宋体"/>
          <w:spacing w:val="-3"/>
          <w:sz w:val="24"/>
          <w:szCs w:val="24"/>
        </w:rPr>
        <w:t>以下简称“</w:t>
      </w:r>
      <w:r>
        <w:rPr>
          <w:rFonts w:hint="eastAsia" w:ascii="宋体" w:hAnsi="宋体" w:eastAsia="宋体" w:cs="宋体"/>
          <w:spacing w:val="-79"/>
          <w:sz w:val="24"/>
          <w:szCs w:val="24"/>
        </w:rPr>
        <w:t xml:space="preserve"> </w:t>
      </w:r>
      <w:r>
        <w:rPr>
          <w:rFonts w:hint="eastAsia" w:ascii="宋体" w:hAnsi="宋体" w:eastAsia="宋体" w:cs="宋体"/>
          <w:spacing w:val="-3"/>
          <w:sz w:val="24"/>
          <w:szCs w:val="24"/>
        </w:rPr>
        <w:t>乙方</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w:t>
      </w:r>
    </w:p>
    <w:p w14:paraId="6F93B83C">
      <w:pPr>
        <w:keepNext w:val="0"/>
        <w:keepLines w:val="0"/>
        <w:pageBreakBefore w:val="0"/>
        <w:widowControl w:val="0"/>
        <w:kinsoku/>
        <w:wordWrap/>
        <w:overflowPunct/>
        <w:topLinePunct w:val="0"/>
        <w:autoSpaceDE/>
        <w:autoSpaceDN/>
        <w:bidi w:val="0"/>
        <w:adjustRightInd/>
        <w:snapToGrid/>
        <w:spacing w:before="179" w:line="360" w:lineRule="auto"/>
        <w:ind w:firstLine="464" w:firstLineChars="200"/>
        <w:textAlignment w:val="auto"/>
        <w:rPr>
          <w:rFonts w:hint="eastAsia" w:ascii="宋体" w:hAnsi="宋体" w:eastAsia="宋体" w:cs="宋体"/>
          <w:spacing w:val="-9"/>
          <w:sz w:val="24"/>
          <w:szCs w:val="24"/>
        </w:rPr>
      </w:pPr>
      <w:r>
        <w:rPr>
          <w:rFonts w:hint="eastAsia" w:ascii="宋体" w:hAnsi="宋体" w:eastAsia="宋体" w:cs="宋体"/>
          <w:spacing w:val="-4"/>
          <w:sz w:val="24"/>
          <w:szCs w:val="24"/>
        </w:rPr>
        <w:t>根据《中华人民共和国政府采购法》和有关规定，甲乙双方根据编号为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72"/>
          <w:sz w:val="24"/>
          <w:szCs w:val="24"/>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4"/>
          <w:sz w:val="24"/>
          <w:szCs w:val="24"/>
        </w:rPr>
        <w:t>项目招标的结果，经双方协定达成一致，签订</w:t>
      </w:r>
      <w:r>
        <w:rPr>
          <w:rFonts w:hint="eastAsia" w:ascii="宋体" w:hAnsi="宋体" w:eastAsia="宋体" w:cs="宋体"/>
          <w:spacing w:val="-9"/>
          <w:sz w:val="24"/>
          <w:szCs w:val="24"/>
        </w:rPr>
        <w:t>以下内容：</w:t>
      </w:r>
    </w:p>
    <w:p w14:paraId="385E0563">
      <w:pPr>
        <w:keepNext w:val="0"/>
        <w:keepLines w:val="0"/>
        <w:pageBreakBefore w:val="0"/>
        <w:widowControl w:val="0"/>
        <w:numPr>
          <w:ilvl w:val="0"/>
          <w:numId w:val="0"/>
        </w:numPr>
        <w:kinsoku/>
        <w:wordWrap/>
        <w:overflowPunct/>
        <w:topLinePunct w:val="0"/>
        <w:autoSpaceDE/>
        <w:autoSpaceDN/>
        <w:bidi w:val="0"/>
        <w:adjustRightInd/>
        <w:snapToGrid/>
        <w:spacing w:before="179" w:line="360" w:lineRule="auto"/>
        <w:ind w:firstLine="460" w:firstLineChars="200"/>
        <w:textAlignment w:val="auto"/>
        <w:rPr>
          <w:rFonts w:hint="eastAsia" w:ascii="宋体" w:hAnsi="宋体" w:eastAsia="宋体" w:cs="宋体"/>
          <w:spacing w:val="-5"/>
          <w:sz w:val="24"/>
          <w:szCs w:val="24"/>
          <w:lang w:eastAsia="zh-CN"/>
        </w:rPr>
      </w:pPr>
      <w:r>
        <w:rPr>
          <w:rFonts w:hint="eastAsia" w:ascii="宋体" w:hAnsi="宋体" w:eastAsia="宋体" w:cs="宋体"/>
          <w:spacing w:val="-5"/>
          <w:kern w:val="2"/>
          <w:sz w:val="24"/>
          <w:szCs w:val="24"/>
          <w:lang w:val="en-US" w:eastAsia="zh-CN" w:bidi="ar-SA"/>
        </w:rPr>
        <w:t>一、</w:t>
      </w:r>
      <w:r>
        <w:rPr>
          <w:rFonts w:hint="eastAsia" w:ascii="宋体" w:hAnsi="宋体" w:eastAsia="宋体" w:cs="宋体"/>
          <w:spacing w:val="-5"/>
          <w:sz w:val="24"/>
          <w:szCs w:val="24"/>
        </w:rPr>
        <w:t>项目名称</w:t>
      </w:r>
      <w:r>
        <w:rPr>
          <w:rFonts w:hint="eastAsia" w:ascii="宋体" w:hAnsi="宋体" w:eastAsia="宋体" w:cs="宋体"/>
          <w:spacing w:val="-5"/>
          <w:sz w:val="24"/>
          <w:szCs w:val="24"/>
          <w:lang w:eastAsia="zh-CN"/>
        </w:rPr>
        <w:t>：</w:t>
      </w:r>
      <w:r>
        <w:rPr>
          <w:rFonts w:hint="eastAsia" w:ascii="宋体" w:hAnsi="宋体" w:eastAsia="宋体" w:cs="宋体"/>
          <w:spacing w:val="-4"/>
          <w:sz w:val="24"/>
          <w:szCs w:val="24"/>
          <w:u w:val="single"/>
          <w:lang w:val="en-US" w:eastAsia="zh-CN"/>
        </w:rPr>
        <w:t xml:space="preserve"> </w:t>
      </w:r>
      <w:r>
        <w:rPr>
          <w:rFonts w:hint="eastAsia" w:ascii="宋体" w:hAnsi="宋体" w:cs="宋体"/>
          <w:spacing w:val="-4"/>
          <w:sz w:val="24"/>
          <w:szCs w:val="24"/>
          <w:u w:val="single"/>
          <w:lang w:val="en-US" w:eastAsia="zh-CN"/>
        </w:rPr>
        <w:t>临沧市2026年度无线电监测设施设备运行保障及专业维修维护技术服务</w:t>
      </w:r>
      <w:r>
        <w:rPr>
          <w:rFonts w:hint="eastAsia" w:ascii="宋体" w:hAnsi="宋体" w:eastAsia="宋体" w:cs="宋体"/>
          <w:spacing w:val="-4"/>
          <w:sz w:val="24"/>
          <w:szCs w:val="24"/>
          <w:u w:val="single"/>
          <w:lang w:val="en-US" w:eastAsia="zh-CN"/>
        </w:rPr>
        <w:t xml:space="preserve">  </w:t>
      </w:r>
    </w:p>
    <w:p w14:paraId="3ED99937">
      <w:pPr>
        <w:keepNext w:val="0"/>
        <w:keepLines w:val="0"/>
        <w:pageBreakBefore w:val="0"/>
        <w:widowControl w:val="0"/>
        <w:numPr>
          <w:ilvl w:val="0"/>
          <w:numId w:val="0"/>
        </w:numPr>
        <w:kinsoku/>
        <w:wordWrap/>
        <w:overflowPunct/>
        <w:topLinePunct w:val="0"/>
        <w:autoSpaceDE/>
        <w:autoSpaceDN/>
        <w:bidi w:val="0"/>
        <w:adjustRightInd/>
        <w:snapToGrid/>
        <w:spacing w:before="179" w:line="360" w:lineRule="auto"/>
        <w:ind w:firstLine="460" w:firstLineChars="200"/>
        <w:textAlignment w:val="auto"/>
        <w:rPr>
          <w:rFonts w:hint="eastAsia" w:ascii="宋体" w:hAnsi="宋体" w:eastAsia="宋体" w:cs="宋体"/>
          <w:spacing w:val="-5"/>
          <w:sz w:val="24"/>
          <w:szCs w:val="24"/>
          <w:lang w:eastAsia="zh-CN"/>
        </w:rPr>
      </w:pPr>
      <w:r>
        <w:rPr>
          <w:rFonts w:hint="eastAsia" w:ascii="宋体" w:hAnsi="宋体" w:eastAsia="宋体" w:cs="宋体"/>
          <w:spacing w:val="-5"/>
          <w:sz w:val="24"/>
          <w:szCs w:val="24"/>
        </w:rPr>
        <w:t>服务内容</w:t>
      </w:r>
      <w:r>
        <w:rPr>
          <w:rFonts w:hint="eastAsia" w:ascii="宋体" w:hAnsi="宋体" w:eastAsia="宋体" w:cs="宋体"/>
          <w:spacing w:val="-5"/>
          <w:sz w:val="24"/>
          <w:szCs w:val="24"/>
          <w:lang w:eastAsia="zh-CN"/>
        </w:rPr>
        <w:t>：</w:t>
      </w:r>
      <w:r>
        <w:rPr>
          <w:rFonts w:hint="eastAsia" w:ascii="宋体" w:hAnsi="宋体" w:eastAsia="宋体" w:cs="宋体"/>
          <w:spacing w:val="-4"/>
          <w:sz w:val="24"/>
          <w:szCs w:val="24"/>
          <w:u w:val="single"/>
          <w:lang w:val="en-US" w:eastAsia="zh-CN"/>
        </w:rPr>
        <w:t xml:space="preserve">                            </w:t>
      </w:r>
    </w:p>
    <w:p w14:paraId="7A22AF56">
      <w:pPr>
        <w:keepNext w:val="0"/>
        <w:keepLines w:val="0"/>
        <w:pageBreakBefore w:val="0"/>
        <w:widowControl w:val="0"/>
        <w:numPr>
          <w:ilvl w:val="0"/>
          <w:numId w:val="0"/>
        </w:numPr>
        <w:kinsoku/>
        <w:wordWrap/>
        <w:overflowPunct/>
        <w:topLinePunct w:val="0"/>
        <w:autoSpaceDE/>
        <w:autoSpaceDN/>
        <w:bidi w:val="0"/>
        <w:adjustRightInd/>
        <w:snapToGrid/>
        <w:spacing w:before="179" w:line="360" w:lineRule="auto"/>
        <w:ind w:firstLine="460" w:firstLineChars="200"/>
        <w:textAlignment w:val="auto"/>
        <w:rPr>
          <w:rFonts w:hint="eastAsia" w:ascii="宋体" w:hAnsi="宋体" w:eastAsia="宋体" w:cs="宋体"/>
          <w:spacing w:val="-5"/>
          <w:sz w:val="24"/>
          <w:szCs w:val="24"/>
          <w:lang w:eastAsia="zh-CN"/>
        </w:rPr>
      </w:pPr>
      <w:r>
        <w:rPr>
          <w:rFonts w:hint="eastAsia" w:ascii="宋体" w:hAnsi="宋体" w:eastAsia="宋体" w:cs="宋体"/>
          <w:spacing w:val="-5"/>
          <w:sz w:val="24"/>
          <w:szCs w:val="24"/>
        </w:rPr>
        <w:t>单价</w:t>
      </w:r>
      <w:r>
        <w:rPr>
          <w:rFonts w:hint="eastAsia" w:ascii="宋体" w:hAnsi="宋体" w:eastAsia="宋体" w:cs="宋体"/>
          <w:spacing w:val="-5"/>
          <w:sz w:val="24"/>
          <w:szCs w:val="24"/>
          <w:lang w:eastAsia="zh-CN"/>
        </w:rPr>
        <w:t>：</w:t>
      </w:r>
      <w:r>
        <w:rPr>
          <w:rFonts w:hint="eastAsia" w:ascii="宋体" w:hAnsi="宋体" w:eastAsia="宋体" w:cs="宋体"/>
          <w:spacing w:val="-4"/>
          <w:sz w:val="24"/>
          <w:szCs w:val="24"/>
          <w:u w:val="single"/>
          <w:lang w:val="en-US" w:eastAsia="zh-CN"/>
        </w:rPr>
        <w:t xml:space="preserve">                            </w:t>
      </w:r>
    </w:p>
    <w:p w14:paraId="3C872575">
      <w:pPr>
        <w:keepNext w:val="0"/>
        <w:keepLines w:val="0"/>
        <w:pageBreakBefore w:val="0"/>
        <w:widowControl w:val="0"/>
        <w:numPr>
          <w:ilvl w:val="0"/>
          <w:numId w:val="0"/>
        </w:numPr>
        <w:kinsoku/>
        <w:wordWrap/>
        <w:overflowPunct/>
        <w:topLinePunct w:val="0"/>
        <w:autoSpaceDE/>
        <w:autoSpaceDN/>
        <w:bidi w:val="0"/>
        <w:adjustRightInd/>
        <w:snapToGrid/>
        <w:spacing w:before="179" w:line="360" w:lineRule="auto"/>
        <w:ind w:firstLine="460" w:firstLineChars="200"/>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总价</w:t>
      </w:r>
      <w:r>
        <w:rPr>
          <w:rFonts w:hint="eastAsia" w:ascii="宋体" w:hAnsi="宋体" w:eastAsia="宋体" w:cs="宋体"/>
          <w:spacing w:val="-5"/>
          <w:sz w:val="24"/>
          <w:szCs w:val="24"/>
          <w:lang w:eastAsia="zh-CN"/>
        </w:rPr>
        <w:t>：</w:t>
      </w:r>
      <w:r>
        <w:rPr>
          <w:rFonts w:hint="eastAsia" w:ascii="宋体" w:hAnsi="宋体" w:eastAsia="宋体" w:cs="宋体"/>
          <w:spacing w:val="-4"/>
          <w:sz w:val="24"/>
          <w:szCs w:val="24"/>
          <w:u w:val="single"/>
          <w:lang w:val="en-US" w:eastAsia="zh-CN"/>
        </w:rPr>
        <w:t xml:space="preserve">                            </w:t>
      </w:r>
    </w:p>
    <w:p w14:paraId="31A19125">
      <w:pPr>
        <w:keepNext w:val="0"/>
        <w:keepLines w:val="0"/>
        <w:pageBreakBefore w:val="0"/>
        <w:widowControl w:val="0"/>
        <w:kinsoku/>
        <w:wordWrap/>
        <w:overflowPunct/>
        <w:topLinePunct w:val="0"/>
        <w:autoSpaceDE/>
        <w:autoSpaceDN/>
        <w:bidi w:val="0"/>
        <w:adjustRightInd/>
        <w:snapToGrid/>
        <w:spacing w:before="177" w:line="360" w:lineRule="auto"/>
        <w:ind w:left="1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二、标的技术内容，范围及要求</w:t>
      </w:r>
    </w:p>
    <w:p w14:paraId="000A23B4">
      <w:pPr>
        <w:keepNext w:val="0"/>
        <w:keepLines w:val="0"/>
        <w:pageBreakBefore w:val="0"/>
        <w:widowControl w:val="0"/>
        <w:kinsoku/>
        <w:wordWrap/>
        <w:overflowPunct/>
        <w:topLinePunct w:val="0"/>
        <w:autoSpaceDE/>
        <w:autoSpaceDN/>
        <w:bidi w:val="0"/>
        <w:adjustRightInd/>
        <w:snapToGrid/>
        <w:spacing w:before="179" w:line="360" w:lineRule="auto"/>
        <w:ind w:left="9" w:firstLine="464" w:firstLineChars="200"/>
        <w:textAlignment w:val="auto"/>
        <w:rPr>
          <w:rFonts w:hint="eastAsia" w:ascii="宋体" w:hAnsi="宋体" w:eastAsia="宋体" w:cs="宋体"/>
          <w:spacing w:val="-2"/>
          <w:sz w:val="24"/>
          <w:szCs w:val="24"/>
        </w:rPr>
      </w:pPr>
      <w:r>
        <w:rPr>
          <w:rFonts w:hint="eastAsia" w:ascii="宋体" w:hAnsi="宋体" w:eastAsia="宋体" w:cs="宋体"/>
          <w:spacing w:val="-4"/>
          <w:sz w:val="24"/>
          <w:szCs w:val="24"/>
          <w:u w:val="single"/>
          <w:lang w:val="en-US" w:eastAsia="zh-CN"/>
        </w:rPr>
        <w:t xml:space="preserve">                           </w:t>
      </w:r>
    </w:p>
    <w:p w14:paraId="0313C83C">
      <w:pPr>
        <w:keepNext w:val="0"/>
        <w:keepLines w:val="0"/>
        <w:pageBreakBefore w:val="0"/>
        <w:widowControl w:val="0"/>
        <w:kinsoku/>
        <w:wordWrap/>
        <w:overflowPunct/>
        <w:topLinePunct w:val="0"/>
        <w:autoSpaceDE/>
        <w:autoSpaceDN/>
        <w:bidi w:val="0"/>
        <w:adjustRightInd/>
        <w:snapToGrid/>
        <w:spacing w:before="179" w:line="360" w:lineRule="auto"/>
        <w:ind w:left="9"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三、项目应达到的服务质量要求：按照“招标技术规范及说明</w:t>
      </w:r>
      <w:r>
        <w:rPr>
          <w:rFonts w:hint="eastAsia" w:ascii="宋体" w:hAnsi="宋体" w:eastAsia="宋体" w:cs="宋体"/>
          <w:spacing w:val="-80"/>
          <w:sz w:val="24"/>
          <w:szCs w:val="24"/>
        </w:rPr>
        <w:t xml:space="preserve"> </w:t>
      </w:r>
      <w:r>
        <w:rPr>
          <w:rFonts w:hint="eastAsia" w:ascii="宋体" w:hAnsi="宋体" w:eastAsia="宋体" w:cs="宋体"/>
          <w:spacing w:val="-2"/>
          <w:sz w:val="24"/>
          <w:szCs w:val="24"/>
        </w:rPr>
        <w:t>”的要求。</w:t>
      </w:r>
    </w:p>
    <w:p w14:paraId="04402A46">
      <w:pPr>
        <w:keepNext w:val="0"/>
        <w:keepLines w:val="0"/>
        <w:pageBreakBefore w:val="0"/>
        <w:widowControl w:val="0"/>
        <w:kinsoku/>
        <w:wordWrap/>
        <w:overflowPunct/>
        <w:topLinePunct w:val="0"/>
        <w:autoSpaceDE/>
        <w:autoSpaceDN/>
        <w:bidi w:val="0"/>
        <w:adjustRightInd/>
        <w:snapToGrid/>
        <w:spacing w:before="177" w:line="360" w:lineRule="auto"/>
        <w:ind w:left="30" w:firstLine="464" w:firstLineChars="200"/>
        <w:textAlignment w:val="auto"/>
        <w:rPr>
          <w:rFonts w:hint="eastAsia" w:ascii="宋体" w:hAnsi="宋体" w:eastAsia="宋体" w:cs="宋体"/>
          <w:spacing w:val="-8"/>
          <w:sz w:val="24"/>
          <w:szCs w:val="24"/>
        </w:rPr>
      </w:pPr>
      <w:r>
        <w:rPr>
          <w:rFonts w:hint="eastAsia" w:ascii="宋体" w:hAnsi="宋体" w:eastAsia="宋体" w:cs="宋体"/>
          <w:spacing w:val="-4"/>
          <w:sz w:val="24"/>
          <w:szCs w:val="24"/>
          <w:u w:val="single"/>
          <w:lang w:val="en-US" w:eastAsia="zh-CN"/>
        </w:rPr>
        <w:t xml:space="preserve">                           </w:t>
      </w:r>
    </w:p>
    <w:p w14:paraId="5B876BA5">
      <w:pPr>
        <w:keepNext w:val="0"/>
        <w:keepLines w:val="0"/>
        <w:pageBreakBefore w:val="0"/>
        <w:widowControl w:val="0"/>
        <w:kinsoku/>
        <w:wordWrap/>
        <w:overflowPunct/>
        <w:topLinePunct w:val="0"/>
        <w:autoSpaceDE/>
        <w:autoSpaceDN/>
        <w:bidi w:val="0"/>
        <w:adjustRightInd/>
        <w:snapToGrid/>
        <w:spacing w:before="179" w:line="360" w:lineRule="auto"/>
        <w:ind w:left="9"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四</w:t>
      </w:r>
      <w:r>
        <w:rPr>
          <w:rFonts w:hint="eastAsia" w:ascii="宋体" w:hAnsi="宋体" w:eastAsia="宋体" w:cs="宋体"/>
          <w:spacing w:val="-2"/>
          <w:sz w:val="24"/>
          <w:szCs w:val="24"/>
        </w:rPr>
        <w:t>、合同总价</w:t>
      </w:r>
      <w:r>
        <w:rPr>
          <w:rFonts w:hint="eastAsia" w:ascii="宋体" w:hAnsi="宋体" w:cs="宋体"/>
          <w:spacing w:val="-2"/>
          <w:sz w:val="24"/>
          <w:szCs w:val="24"/>
          <w:lang w:eastAsia="zh-CN"/>
        </w:rPr>
        <w:t>（</w:t>
      </w:r>
      <w:r>
        <w:rPr>
          <w:rFonts w:hint="eastAsia" w:ascii="宋体" w:hAnsi="宋体" w:eastAsia="宋体" w:cs="宋体"/>
          <w:spacing w:val="-2"/>
          <w:sz w:val="24"/>
          <w:szCs w:val="24"/>
        </w:rPr>
        <w:t>大写</w:t>
      </w:r>
      <w:r>
        <w:rPr>
          <w:rFonts w:hint="eastAsia" w:ascii="宋体" w:hAnsi="宋体" w:cs="宋体"/>
          <w:spacing w:val="-2"/>
          <w:sz w:val="24"/>
          <w:szCs w:val="24"/>
          <w:lang w:eastAsia="zh-CN"/>
        </w:rPr>
        <w:t>）</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 xml:space="preserve"> </w:t>
      </w:r>
      <w:r>
        <w:rPr>
          <w:rFonts w:hint="eastAsia" w:ascii="宋体" w:hAnsi="宋体" w:cs="宋体"/>
          <w:spacing w:val="-2"/>
          <w:sz w:val="24"/>
          <w:szCs w:val="24"/>
          <w:lang w:val="en-US" w:eastAsia="zh-CN"/>
        </w:rPr>
        <w:t>（</w:t>
      </w:r>
      <w:r>
        <w:rPr>
          <w:rFonts w:hint="eastAsia" w:ascii="宋体" w:hAnsi="宋体" w:eastAsia="宋体" w:cs="宋体"/>
          <w:spacing w:val="-2"/>
          <w:sz w:val="24"/>
          <w:szCs w:val="24"/>
        </w:rPr>
        <w:t>人民币</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2"/>
          <w:sz w:val="24"/>
          <w:szCs w:val="24"/>
        </w:rPr>
        <w:t>元</w:t>
      </w:r>
      <w:r>
        <w:rPr>
          <w:rFonts w:hint="eastAsia" w:ascii="宋体" w:hAnsi="宋体" w:cs="宋体"/>
          <w:spacing w:val="-2"/>
          <w:sz w:val="24"/>
          <w:szCs w:val="24"/>
          <w:lang w:eastAsia="zh-CN"/>
        </w:rPr>
        <w:t>）</w:t>
      </w:r>
      <w:r>
        <w:rPr>
          <w:rFonts w:hint="eastAsia" w:ascii="宋体" w:hAnsi="宋体" w:eastAsia="宋体" w:cs="宋体"/>
          <w:spacing w:val="-2"/>
          <w:sz w:val="24"/>
          <w:szCs w:val="24"/>
        </w:rPr>
        <w:t xml:space="preserve"> 小写：</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元</w:t>
      </w:r>
    </w:p>
    <w:p w14:paraId="3FC426A6">
      <w:pPr>
        <w:keepNext w:val="0"/>
        <w:keepLines w:val="0"/>
        <w:pageBreakBefore w:val="0"/>
        <w:widowControl w:val="0"/>
        <w:kinsoku/>
        <w:wordWrap/>
        <w:overflowPunct/>
        <w:topLinePunct w:val="0"/>
        <w:autoSpaceDE/>
        <w:autoSpaceDN/>
        <w:bidi w:val="0"/>
        <w:adjustRightInd/>
        <w:snapToGrid/>
        <w:spacing w:before="179" w:line="360" w:lineRule="auto"/>
        <w:ind w:left="9" w:firstLine="472" w:firstLineChars="2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以上价格为完成本项目所需的所有</w:t>
      </w:r>
      <w:r>
        <w:rPr>
          <w:rFonts w:hint="eastAsia" w:ascii="宋体" w:hAnsi="宋体" w:cs="宋体"/>
          <w:color w:val="auto"/>
          <w:spacing w:val="-2"/>
          <w:sz w:val="24"/>
          <w:szCs w:val="24"/>
          <w:lang w:val="en-US" w:eastAsia="zh-CN"/>
        </w:rPr>
        <w:t>技术</w:t>
      </w:r>
      <w:r>
        <w:rPr>
          <w:rFonts w:hint="eastAsia" w:ascii="宋体" w:hAnsi="宋体" w:eastAsia="宋体" w:cs="宋体"/>
          <w:color w:val="auto"/>
          <w:spacing w:val="-2"/>
          <w:sz w:val="24"/>
          <w:szCs w:val="24"/>
        </w:rPr>
        <w:t>服务</w:t>
      </w:r>
      <w:r>
        <w:rPr>
          <w:rFonts w:hint="eastAsia" w:ascii="宋体" w:hAnsi="宋体" w:cs="宋体"/>
          <w:color w:val="auto"/>
          <w:spacing w:val="-2"/>
          <w:sz w:val="24"/>
          <w:szCs w:val="24"/>
          <w:lang w:eastAsia="zh-CN"/>
        </w:rPr>
        <w:t>，</w:t>
      </w:r>
      <w:r>
        <w:rPr>
          <w:rFonts w:hint="eastAsia" w:ascii="宋体" w:hAnsi="宋体" w:eastAsia="宋体" w:cs="宋体"/>
          <w:color w:val="auto"/>
          <w:spacing w:val="-2"/>
          <w:sz w:val="24"/>
          <w:szCs w:val="24"/>
        </w:rPr>
        <w:t>包括人工费、</w:t>
      </w:r>
      <w:r>
        <w:rPr>
          <w:rFonts w:hint="eastAsia" w:ascii="宋体" w:hAnsi="宋体" w:cs="宋体"/>
          <w:color w:val="auto"/>
          <w:spacing w:val="-2"/>
          <w:sz w:val="24"/>
          <w:szCs w:val="24"/>
          <w:lang w:val="en-US" w:eastAsia="zh-CN"/>
        </w:rPr>
        <w:t>备品备件、材料费、</w:t>
      </w:r>
      <w:r>
        <w:rPr>
          <w:rFonts w:hint="eastAsia" w:ascii="宋体" w:hAnsi="宋体" w:eastAsia="宋体" w:cs="宋体"/>
          <w:color w:val="auto"/>
          <w:spacing w:val="-2"/>
          <w:sz w:val="24"/>
          <w:szCs w:val="24"/>
        </w:rPr>
        <w:t>保险、税收等后续服务等所有费用。</w:t>
      </w:r>
    </w:p>
    <w:p w14:paraId="636A4769">
      <w:pPr>
        <w:keepNext w:val="0"/>
        <w:keepLines w:val="0"/>
        <w:pageBreakBefore w:val="0"/>
        <w:widowControl w:val="0"/>
        <w:kinsoku/>
        <w:wordWrap/>
        <w:overflowPunct/>
        <w:topLinePunct w:val="0"/>
        <w:autoSpaceDE/>
        <w:autoSpaceDN/>
        <w:bidi w:val="0"/>
        <w:adjustRightInd/>
        <w:snapToGrid/>
        <w:spacing w:before="36" w:line="360" w:lineRule="auto"/>
        <w:ind w:left="4"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五</w:t>
      </w:r>
      <w:r>
        <w:rPr>
          <w:rFonts w:hint="eastAsia" w:ascii="宋体" w:hAnsi="宋体" w:eastAsia="宋体" w:cs="宋体"/>
          <w:spacing w:val="-2"/>
          <w:sz w:val="24"/>
          <w:szCs w:val="24"/>
        </w:rPr>
        <w:t>、履行的期限、地点和方式</w:t>
      </w:r>
    </w:p>
    <w:p w14:paraId="7CD6B800">
      <w:pPr>
        <w:keepNext w:val="0"/>
        <w:keepLines w:val="0"/>
        <w:pageBreakBefore w:val="0"/>
        <w:widowControl w:val="0"/>
        <w:kinsoku/>
        <w:wordWrap/>
        <w:overflowPunct/>
        <w:topLinePunct w:val="0"/>
        <w:autoSpaceDE/>
        <w:autoSpaceDN/>
        <w:bidi w:val="0"/>
        <w:adjustRightInd/>
        <w:snapToGrid/>
        <w:spacing w:before="181" w:line="360" w:lineRule="auto"/>
        <w:ind w:left="7"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六</w:t>
      </w:r>
      <w:r>
        <w:rPr>
          <w:rFonts w:hint="eastAsia" w:ascii="宋体" w:hAnsi="宋体" w:eastAsia="宋体" w:cs="宋体"/>
          <w:spacing w:val="-2"/>
          <w:sz w:val="24"/>
          <w:szCs w:val="24"/>
        </w:rPr>
        <w:t>、</w:t>
      </w:r>
      <w:r>
        <w:rPr>
          <w:rFonts w:hint="eastAsia" w:ascii="宋体" w:hAnsi="宋体" w:cs="宋体"/>
          <w:spacing w:val="-2"/>
          <w:sz w:val="24"/>
          <w:szCs w:val="24"/>
          <w:lang w:eastAsia="zh-CN"/>
        </w:rPr>
        <w:t>资料</w:t>
      </w:r>
      <w:r>
        <w:rPr>
          <w:rFonts w:hint="eastAsia" w:ascii="宋体" w:hAnsi="宋体" w:eastAsia="宋体" w:cs="宋体"/>
          <w:spacing w:val="-2"/>
          <w:sz w:val="24"/>
          <w:szCs w:val="24"/>
        </w:rPr>
        <w:t>保密数据的安全</w:t>
      </w:r>
    </w:p>
    <w:p w14:paraId="1B46DB49">
      <w:pPr>
        <w:keepNext w:val="0"/>
        <w:keepLines w:val="0"/>
        <w:pageBreakBefore w:val="0"/>
        <w:widowControl w:val="0"/>
        <w:kinsoku/>
        <w:wordWrap/>
        <w:overflowPunct/>
        <w:topLinePunct w:val="0"/>
        <w:autoSpaceDE/>
        <w:autoSpaceDN/>
        <w:bidi w:val="0"/>
        <w:adjustRightInd/>
        <w:snapToGrid/>
        <w:spacing w:before="182" w:line="360" w:lineRule="auto"/>
        <w:ind w:left="19" w:right="36"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七</w:t>
      </w:r>
      <w:r>
        <w:rPr>
          <w:rFonts w:hint="eastAsia" w:ascii="宋体" w:hAnsi="宋体" w:eastAsia="宋体" w:cs="宋体"/>
          <w:spacing w:val="-2"/>
          <w:sz w:val="24"/>
          <w:szCs w:val="24"/>
        </w:rPr>
        <w:t>、甲方在设备使用/使用服务成果过程中发生问题，乙方应提供及时有效的技术支持。</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乙方技术支持电话</w:t>
      </w:r>
      <w:r>
        <w:rPr>
          <w:rFonts w:hint="eastAsia" w:ascii="宋体" w:hAnsi="宋体" w:eastAsia="宋体" w:cs="宋体"/>
          <w:spacing w:val="-6"/>
          <w:sz w:val="24"/>
          <w:szCs w:val="24"/>
        </w:rPr>
        <w:t>：</w:t>
      </w:r>
      <w:r>
        <w:rPr>
          <w:rFonts w:hint="eastAsia" w:ascii="宋体" w:hAnsi="宋体" w:eastAsia="宋体" w:cs="宋体"/>
          <w:spacing w:val="34"/>
          <w:sz w:val="24"/>
          <w:szCs w:val="24"/>
          <w:u w:val="single"/>
          <w:lang w:val="en-US" w:eastAsia="zh-CN"/>
        </w:rPr>
        <w:t xml:space="preserve">       </w:t>
      </w:r>
      <w:r>
        <w:rPr>
          <w:rFonts w:hint="eastAsia" w:ascii="宋体" w:hAnsi="宋体" w:eastAsia="宋体" w:cs="宋体"/>
          <w:spacing w:val="-6"/>
          <w:sz w:val="24"/>
          <w:szCs w:val="24"/>
        </w:rPr>
        <w:t>，</w:t>
      </w:r>
      <w:r>
        <w:rPr>
          <w:rFonts w:hint="eastAsia" w:ascii="宋体" w:hAnsi="宋体" w:eastAsia="宋体" w:cs="宋体"/>
          <w:spacing w:val="-4"/>
          <w:sz w:val="24"/>
          <w:szCs w:val="24"/>
        </w:rPr>
        <w:t>联系人</w:t>
      </w:r>
      <w:r>
        <w:rPr>
          <w:rFonts w:hint="eastAsia" w:ascii="宋体" w:hAnsi="宋体" w:cs="宋体"/>
          <w:spacing w:val="-4"/>
          <w:sz w:val="24"/>
          <w:szCs w:val="24"/>
          <w:lang w:eastAsia="zh-CN"/>
        </w:rPr>
        <w:t>：</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w:t>
      </w:r>
    </w:p>
    <w:p w14:paraId="00526FF8">
      <w:pPr>
        <w:keepNext w:val="0"/>
        <w:keepLines w:val="0"/>
        <w:pageBreakBefore w:val="0"/>
        <w:widowControl w:val="0"/>
        <w:kinsoku/>
        <w:wordWrap/>
        <w:overflowPunct/>
        <w:topLinePunct w:val="0"/>
        <w:autoSpaceDE/>
        <w:autoSpaceDN/>
        <w:bidi w:val="0"/>
        <w:adjustRightInd/>
        <w:snapToGrid/>
        <w:spacing w:before="180" w:line="360" w:lineRule="auto"/>
        <w:ind w:left="9"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八</w:t>
      </w:r>
      <w:r>
        <w:rPr>
          <w:rFonts w:hint="eastAsia" w:ascii="宋体" w:hAnsi="宋体" w:eastAsia="宋体" w:cs="宋体"/>
          <w:spacing w:val="-4"/>
          <w:sz w:val="24"/>
          <w:szCs w:val="24"/>
        </w:rPr>
        <w:t>、整体项目完成时间为合同签订生效后</w:t>
      </w:r>
      <w:r>
        <w:rPr>
          <w:rFonts w:hint="eastAsia" w:ascii="宋体" w:hAnsi="宋体" w:eastAsia="宋体" w:cs="宋体"/>
          <w:spacing w:val="33"/>
          <w:sz w:val="24"/>
          <w:szCs w:val="24"/>
          <w:u w:val="single"/>
          <w:lang w:val="en-US" w:eastAsia="zh-CN"/>
        </w:rPr>
        <w:t xml:space="preserve">          </w:t>
      </w:r>
      <w:r>
        <w:rPr>
          <w:rFonts w:hint="eastAsia" w:ascii="宋体" w:hAnsi="宋体" w:eastAsia="宋体" w:cs="宋体"/>
          <w:spacing w:val="-5"/>
          <w:sz w:val="24"/>
          <w:szCs w:val="24"/>
        </w:rPr>
        <w:t>。</w:t>
      </w:r>
    </w:p>
    <w:p w14:paraId="0B484C6E">
      <w:pPr>
        <w:keepNext w:val="0"/>
        <w:keepLines w:val="0"/>
        <w:pageBreakBefore w:val="0"/>
        <w:widowControl w:val="0"/>
        <w:kinsoku/>
        <w:wordWrap/>
        <w:overflowPunct/>
        <w:topLinePunct w:val="0"/>
        <w:autoSpaceDE/>
        <w:autoSpaceDN/>
        <w:bidi w:val="0"/>
        <w:adjustRightInd/>
        <w:snapToGrid/>
        <w:spacing w:before="179" w:line="360" w:lineRule="auto"/>
        <w:ind w:left="9"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九</w:t>
      </w:r>
      <w:r>
        <w:rPr>
          <w:rFonts w:hint="eastAsia" w:ascii="宋体" w:hAnsi="宋体" w:eastAsia="宋体" w:cs="宋体"/>
          <w:spacing w:val="-3"/>
          <w:sz w:val="24"/>
          <w:szCs w:val="24"/>
        </w:rPr>
        <w:t>、验收及验收标准</w:t>
      </w:r>
    </w:p>
    <w:p w14:paraId="7BFA5903">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十、 </w:t>
      </w:r>
      <w:r>
        <w:rPr>
          <w:rFonts w:hint="eastAsia" w:ascii="宋体" w:hAnsi="宋体" w:cs="宋体"/>
          <w:spacing w:val="-3"/>
          <w:sz w:val="24"/>
          <w:szCs w:val="24"/>
          <w:lang w:eastAsia="zh-CN"/>
        </w:rPr>
        <w:t>（</w:t>
      </w:r>
      <w:r>
        <w:rPr>
          <w:rFonts w:hint="eastAsia" w:ascii="宋体" w:hAnsi="宋体" w:eastAsia="宋体" w:cs="宋体"/>
          <w:spacing w:val="-3"/>
          <w:sz w:val="24"/>
          <w:szCs w:val="24"/>
        </w:rPr>
        <w:t>一</w:t>
      </w:r>
      <w:r>
        <w:rPr>
          <w:rFonts w:hint="eastAsia" w:ascii="宋体" w:hAnsi="宋体" w:cs="宋体"/>
          <w:spacing w:val="-3"/>
          <w:sz w:val="24"/>
          <w:szCs w:val="24"/>
          <w:lang w:eastAsia="zh-CN"/>
        </w:rPr>
        <w:t>）</w:t>
      </w:r>
      <w:r>
        <w:rPr>
          <w:rFonts w:hint="eastAsia" w:ascii="宋体" w:hAnsi="宋体" w:eastAsia="宋体" w:cs="宋体"/>
          <w:spacing w:val="-3"/>
          <w:sz w:val="24"/>
          <w:szCs w:val="24"/>
        </w:rPr>
        <w:t>合同生效</w:t>
      </w:r>
    </w:p>
    <w:p w14:paraId="196C5D35">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甲、乙双方签字盖章后，合同正式生效。</w:t>
      </w:r>
    </w:p>
    <w:p w14:paraId="029B4532">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pacing w:val="-3"/>
          <w:sz w:val="24"/>
          <w:szCs w:val="24"/>
        </w:rPr>
      </w:pPr>
      <w:r>
        <w:rPr>
          <w:rFonts w:hint="eastAsia" w:ascii="宋体" w:hAnsi="宋体" w:cs="宋体"/>
          <w:spacing w:val="-3"/>
          <w:sz w:val="24"/>
          <w:szCs w:val="24"/>
          <w:lang w:eastAsia="zh-CN"/>
        </w:rPr>
        <w:t>（二）</w:t>
      </w:r>
      <w:r>
        <w:rPr>
          <w:rFonts w:hint="eastAsia" w:ascii="宋体" w:hAnsi="宋体" w:eastAsia="宋体" w:cs="宋体"/>
          <w:spacing w:val="-3"/>
          <w:sz w:val="24"/>
          <w:szCs w:val="24"/>
        </w:rPr>
        <w:t>价款的结算</w:t>
      </w:r>
    </w:p>
    <w:p w14:paraId="0EDBF35B">
      <w:pPr>
        <w:keepNext w:val="0"/>
        <w:keepLines w:val="0"/>
        <w:pageBreakBefore w:val="0"/>
        <w:widowControl w:val="0"/>
        <w:kinsoku/>
        <w:wordWrap/>
        <w:overflowPunct/>
        <w:topLinePunct w:val="0"/>
        <w:autoSpaceDE/>
        <w:autoSpaceDN/>
        <w:bidi w:val="0"/>
        <w:adjustRightInd/>
        <w:snapToGrid/>
        <w:spacing w:before="180" w:line="360" w:lineRule="auto"/>
        <w:ind w:firstLine="476"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具体付款条件及付款方式以采购</w:t>
      </w:r>
      <w:r>
        <w:rPr>
          <w:rFonts w:hint="eastAsia" w:ascii="宋体" w:hAnsi="宋体" w:eastAsia="宋体" w:cs="宋体"/>
          <w:color w:val="auto"/>
          <w:spacing w:val="-3"/>
          <w:sz w:val="24"/>
          <w:szCs w:val="24"/>
          <w:highlight w:val="none"/>
        </w:rPr>
        <w:t>人和成交供应商在合同谈判中双方商定的内容为</w:t>
      </w:r>
      <w:r>
        <w:rPr>
          <w:rFonts w:hint="eastAsia" w:ascii="宋体" w:hAnsi="宋体" w:eastAsia="宋体" w:cs="宋体"/>
          <w:color w:val="auto"/>
          <w:spacing w:val="-4"/>
          <w:sz w:val="24"/>
          <w:szCs w:val="24"/>
          <w:highlight w:val="none"/>
        </w:rPr>
        <w:t>准</w:t>
      </w:r>
      <w:r>
        <w:rPr>
          <w:rFonts w:hint="eastAsia" w:ascii="宋体" w:hAnsi="宋体" w:eastAsia="宋体" w:cs="宋体"/>
          <w:color w:val="auto"/>
          <w:spacing w:val="-4"/>
          <w:sz w:val="24"/>
          <w:szCs w:val="24"/>
          <w:highlight w:val="none"/>
          <w:lang w:eastAsia="zh-CN"/>
        </w:rPr>
        <w:t>。</w:t>
      </w:r>
    </w:p>
    <w:p w14:paraId="2236B104">
      <w:pPr>
        <w:keepNext w:val="0"/>
        <w:keepLines w:val="0"/>
        <w:pageBreakBefore w:val="0"/>
        <w:widowControl w:val="0"/>
        <w:numPr>
          <w:ilvl w:val="0"/>
          <w:numId w:val="0"/>
        </w:numPr>
        <w:kinsoku/>
        <w:wordWrap/>
        <w:overflowPunct/>
        <w:topLinePunct w:val="0"/>
        <w:autoSpaceDE/>
        <w:autoSpaceDN/>
        <w:bidi w:val="0"/>
        <w:adjustRightInd/>
        <w:snapToGrid/>
        <w:spacing w:before="180" w:line="360" w:lineRule="auto"/>
        <w:ind w:firstLine="468" w:firstLineChars="200"/>
        <w:jc w:val="both"/>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3"/>
          <w:sz w:val="24"/>
          <w:szCs w:val="24"/>
          <w:highlight w:val="none"/>
        </w:rPr>
        <w:t>十</w:t>
      </w:r>
      <w:r>
        <w:rPr>
          <w:rFonts w:hint="eastAsia" w:ascii="宋体" w:hAnsi="宋体" w:eastAsia="宋体" w:cs="宋体"/>
          <w:color w:val="auto"/>
          <w:spacing w:val="-3"/>
          <w:sz w:val="24"/>
          <w:szCs w:val="24"/>
          <w:highlight w:val="none"/>
          <w:lang w:val="en-US" w:eastAsia="zh-CN"/>
        </w:rPr>
        <w:t>一</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
          <w:sz w:val="24"/>
          <w:szCs w:val="24"/>
          <w:highlight w:val="none"/>
          <w:lang w:val="en-US" w:eastAsia="zh-CN"/>
        </w:rPr>
        <w:t>定期评估机制</w:t>
      </w:r>
    </w:p>
    <w:p w14:paraId="5AC4924F">
      <w:pPr>
        <w:keepNext w:val="0"/>
        <w:keepLines w:val="0"/>
        <w:pageBreakBefore w:val="0"/>
        <w:widowControl w:val="0"/>
        <w:numPr>
          <w:ilvl w:val="0"/>
          <w:numId w:val="0"/>
        </w:numPr>
        <w:kinsoku/>
        <w:wordWrap/>
        <w:overflowPunct/>
        <w:topLinePunct w:val="0"/>
        <w:autoSpaceDE/>
        <w:autoSpaceDN/>
        <w:bidi w:val="0"/>
        <w:adjustRightInd/>
        <w:snapToGrid/>
        <w:spacing w:before="180" w:line="360" w:lineRule="auto"/>
        <w:ind w:firstLine="476" w:firstLineChars="200"/>
        <w:jc w:val="both"/>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kern w:val="2"/>
          <w:sz w:val="24"/>
          <w:szCs w:val="24"/>
          <w:lang w:val="en-US" w:eastAsia="zh-CN" w:bidi="ar-SA"/>
        </w:rPr>
        <w:t>（一）</w:t>
      </w:r>
      <w:r>
        <w:rPr>
          <w:rFonts w:hint="eastAsia" w:ascii="宋体" w:hAnsi="宋体" w:eastAsia="宋体" w:cs="宋体"/>
          <w:color w:val="auto"/>
          <w:spacing w:val="-1"/>
          <w:sz w:val="24"/>
          <w:szCs w:val="24"/>
          <w:highlight w:val="none"/>
          <w:lang w:val="en-US" w:eastAsia="zh-CN"/>
        </w:rPr>
        <w:t>评估人员组成</w:t>
      </w:r>
    </w:p>
    <w:p w14:paraId="1D969F80">
      <w:pPr>
        <w:keepNext w:val="0"/>
        <w:keepLines w:val="0"/>
        <w:pageBreakBefore w:val="0"/>
        <w:widowControl w:val="0"/>
        <w:numPr>
          <w:ilvl w:val="0"/>
          <w:numId w:val="0"/>
        </w:numPr>
        <w:kinsoku/>
        <w:wordWrap/>
        <w:overflowPunct/>
        <w:topLinePunct w:val="0"/>
        <w:autoSpaceDE/>
        <w:autoSpaceDN/>
        <w:bidi w:val="0"/>
        <w:adjustRightInd/>
        <w:snapToGrid/>
        <w:spacing w:before="180" w:line="360" w:lineRule="auto"/>
        <w:ind w:firstLine="476" w:firstLineChars="200"/>
        <w:jc w:val="both"/>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为保证维保服务效果，维保期内，甲方组建运维评估小组每季度对维保服务进行评估，评估小组成员由临沧市工业和信息化局办公室、无线电管理科、无线电监测</w:t>
      </w:r>
      <w:r>
        <w:rPr>
          <w:rFonts w:hint="eastAsia" w:ascii="宋体" w:hAnsi="宋体" w:cs="宋体"/>
          <w:color w:val="000000" w:themeColor="text1"/>
          <w:spacing w:val="-1"/>
          <w:sz w:val="24"/>
          <w:szCs w:val="24"/>
          <w:highlight w:val="none"/>
          <w:lang w:val="en-US" w:eastAsia="zh-CN"/>
          <w14:textFill>
            <w14:solidFill>
              <w14:schemeClr w14:val="tx1"/>
            </w14:solidFill>
          </w14:textFill>
        </w:rPr>
        <w:t>中心</w:t>
      </w:r>
      <w:r>
        <w:rPr>
          <w:rFonts w:hint="eastAsia" w:ascii="宋体" w:hAnsi="宋体" w:eastAsia="宋体" w:cs="宋体"/>
          <w:color w:val="auto"/>
          <w:spacing w:val="-1"/>
          <w:sz w:val="24"/>
          <w:szCs w:val="24"/>
          <w:highlight w:val="none"/>
          <w:lang w:val="en-US" w:eastAsia="zh-CN"/>
        </w:rPr>
        <w:t>人员组成。</w:t>
      </w:r>
    </w:p>
    <w:p w14:paraId="2565000C">
      <w:pPr>
        <w:keepNext w:val="0"/>
        <w:keepLines w:val="0"/>
        <w:pageBreakBefore w:val="0"/>
        <w:widowControl w:val="0"/>
        <w:numPr>
          <w:ilvl w:val="0"/>
          <w:numId w:val="0"/>
        </w:numPr>
        <w:kinsoku/>
        <w:wordWrap/>
        <w:overflowPunct/>
        <w:topLinePunct w:val="0"/>
        <w:autoSpaceDE/>
        <w:autoSpaceDN/>
        <w:bidi w:val="0"/>
        <w:adjustRightInd/>
        <w:snapToGrid/>
        <w:spacing w:before="180" w:line="360" w:lineRule="auto"/>
        <w:ind w:firstLine="476" w:firstLineChars="200"/>
        <w:jc w:val="both"/>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kern w:val="2"/>
          <w:sz w:val="24"/>
          <w:szCs w:val="24"/>
          <w:lang w:val="en-US" w:eastAsia="zh-CN" w:bidi="ar-SA"/>
        </w:rPr>
        <w:t>（二）</w:t>
      </w:r>
      <w:r>
        <w:rPr>
          <w:rFonts w:hint="eastAsia" w:ascii="宋体" w:hAnsi="宋体" w:eastAsia="宋体" w:cs="宋体"/>
          <w:color w:val="auto"/>
          <w:spacing w:val="-1"/>
          <w:sz w:val="24"/>
          <w:szCs w:val="24"/>
          <w:highlight w:val="none"/>
          <w:lang w:val="en-US" w:eastAsia="zh-CN"/>
        </w:rPr>
        <w:t>评估标准及处理</w:t>
      </w:r>
    </w:p>
    <w:p w14:paraId="22566692">
      <w:pPr>
        <w:keepNext w:val="0"/>
        <w:keepLines w:val="0"/>
        <w:pageBreakBefore w:val="0"/>
        <w:widowControl w:val="0"/>
        <w:kinsoku/>
        <w:wordWrap/>
        <w:overflowPunct/>
        <w:topLinePunct w:val="0"/>
        <w:autoSpaceDE/>
        <w:autoSpaceDN/>
        <w:bidi w:val="0"/>
        <w:adjustRightInd/>
        <w:snapToGrid/>
        <w:spacing w:before="37" w:line="360" w:lineRule="auto"/>
        <w:ind w:left="11" w:firstLine="476" w:firstLineChars="200"/>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1"/>
          <w:sz w:val="24"/>
          <w:szCs w:val="24"/>
          <w:highlight w:val="none"/>
          <w:lang w:val="en-US" w:eastAsia="zh-CN"/>
        </w:rPr>
        <w:t>评估标准为对照维护服务方案，检查服务完成情况，评估结果满意率低于60%的，甲方有权终止合同执行，要求乙方退还剩余期间的服务费。对评估中出现争议问题，乙方有权申辩，必要时应提供第三方证明。</w:t>
      </w:r>
    </w:p>
    <w:p w14:paraId="4E8AB75E">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十</w:t>
      </w:r>
      <w:r>
        <w:rPr>
          <w:rFonts w:hint="eastAsia" w:ascii="宋体" w:hAnsi="宋体" w:eastAsia="宋体" w:cs="宋体"/>
          <w:spacing w:val="-3"/>
          <w:sz w:val="24"/>
          <w:szCs w:val="24"/>
          <w:lang w:val="en-US" w:eastAsia="zh-CN"/>
        </w:rPr>
        <w:t>二</w:t>
      </w:r>
      <w:r>
        <w:rPr>
          <w:rFonts w:hint="eastAsia" w:ascii="宋体" w:hAnsi="宋体" w:eastAsia="宋体" w:cs="宋体"/>
          <w:spacing w:val="-3"/>
          <w:sz w:val="24"/>
          <w:szCs w:val="24"/>
        </w:rPr>
        <w:t>、违约责任：</w:t>
      </w:r>
    </w:p>
    <w:p w14:paraId="5B698BCA">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违反本合同约定，违约方按照《中华人民共和国民法典》有关条款的规定承担违约责任。 乙方不能按合同服务，服务质量达不到要求，以及由于乙方原因造成此项目延误，发生其他使合同无法履行的行为，应由乙方承担赔偿责任。具体处理方式：每延误一日按合同总金额的</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‰支付赔偿金；造成总验收磋商文件延误的，五日内按每日</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‰支付赔偿金，五日以上自第六日算起，每日按</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3"/>
          <w:sz w:val="24"/>
          <w:szCs w:val="24"/>
        </w:rPr>
        <w:t xml:space="preserve">‰支付赔偿金，赔偿金最高限额不超过合同总金额的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3"/>
          <w:sz w:val="24"/>
          <w:szCs w:val="24"/>
        </w:rPr>
        <w:t>%.</w:t>
      </w:r>
    </w:p>
    <w:p w14:paraId="5E0A4673">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除非双方另行协议将本合同终止，或因一方违约使合同无法履行，违约方承担上述违约责 任后仍应继续履行合同。</w:t>
      </w:r>
    </w:p>
    <w:p w14:paraId="1EDE92C5">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因一方违约使合同不能履行，另一方欲终止合同或解除全部合同，应提前通知违约方后， 方可终止或解除合同，由违约方承担违约责任。</w:t>
      </w:r>
    </w:p>
    <w:p w14:paraId="5F4ADE5A">
      <w:pPr>
        <w:keepNext w:val="0"/>
        <w:keepLines w:val="0"/>
        <w:pageBreakBefore w:val="0"/>
        <w:widowControl w:val="0"/>
        <w:kinsoku/>
        <w:wordWrap/>
        <w:overflowPunct/>
        <w:topLinePunct w:val="0"/>
        <w:autoSpaceDE/>
        <w:autoSpaceDN/>
        <w:bidi w:val="0"/>
        <w:adjustRightInd/>
        <w:snapToGrid/>
        <w:spacing w:before="37" w:line="360" w:lineRule="auto"/>
        <w:ind w:left="11"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十</w:t>
      </w:r>
      <w:r>
        <w:rPr>
          <w:rFonts w:hint="eastAsia" w:ascii="宋体" w:hAnsi="宋体" w:eastAsia="宋体" w:cs="宋体"/>
          <w:spacing w:val="-3"/>
          <w:sz w:val="24"/>
          <w:szCs w:val="24"/>
          <w:lang w:val="en-US" w:eastAsia="zh-CN"/>
        </w:rPr>
        <w:t>三</w:t>
      </w:r>
      <w:r>
        <w:rPr>
          <w:rFonts w:hint="eastAsia" w:ascii="宋体" w:hAnsi="宋体" w:eastAsia="宋体" w:cs="宋体"/>
          <w:spacing w:val="-3"/>
          <w:sz w:val="24"/>
          <w:szCs w:val="24"/>
        </w:rPr>
        <w:t>、腐败终止条款：</w:t>
      </w:r>
    </w:p>
    <w:p w14:paraId="401F09E1">
      <w:pPr>
        <w:keepNext w:val="0"/>
        <w:keepLines w:val="0"/>
        <w:pageBreakBefore w:val="0"/>
        <w:widowControl w:val="0"/>
        <w:kinsoku/>
        <w:wordWrap/>
        <w:overflowPunct/>
        <w:topLinePunct w:val="0"/>
        <w:autoSpaceDE/>
        <w:autoSpaceDN/>
        <w:bidi w:val="0"/>
        <w:adjustRightInd/>
        <w:snapToGrid/>
        <w:spacing w:before="180" w:line="360" w:lineRule="auto"/>
        <w:ind w:left="6"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如果乙方在合同实施过程中发生腐败和欺诈行为，</w:t>
      </w:r>
      <w:r>
        <w:rPr>
          <w:rFonts w:hint="eastAsia" w:ascii="宋体" w:hAnsi="宋体" w:eastAsia="宋体" w:cs="宋体"/>
          <w:spacing w:val="-2"/>
          <w:sz w:val="24"/>
          <w:szCs w:val="24"/>
        </w:rPr>
        <w:t>甲方有权提出终止协议。“腐败行为</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是指提供、给予、接受或索取任何有价值的</w:t>
      </w:r>
      <w:r>
        <w:rPr>
          <w:rFonts w:hint="eastAsia" w:ascii="宋体" w:hAnsi="宋体" w:eastAsia="宋体" w:cs="宋体"/>
          <w:spacing w:val="-4"/>
          <w:sz w:val="24"/>
          <w:szCs w:val="24"/>
        </w:rPr>
        <w:t>东西来影响公共官员在采购过程或合同实施过程中的行为；“欺诈行为</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”是指为了影响采购过程或合同实</w:t>
      </w:r>
      <w:r>
        <w:rPr>
          <w:rFonts w:hint="eastAsia" w:ascii="宋体" w:hAnsi="宋体" w:eastAsia="宋体" w:cs="宋体"/>
          <w:spacing w:val="-5"/>
          <w:sz w:val="24"/>
          <w:szCs w:val="24"/>
        </w:rPr>
        <w:t>施过程而谎报事实，损害甲方</w:t>
      </w:r>
      <w:r>
        <w:rPr>
          <w:rFonts w:hint="eastAsia" w:ascii="宋体" w:hAnsi="宋体" w:eastAsia="宋体" w:cs="宋体"/>
          <w:spacing w:val="-1"/>
          <w:sz w:val="24"/>
          <w:szCs w:val="24"/>
        </w:rPr>
        <w:t>利益，包括与其他供应商恶意串通，人为地使</w:t>
      </w:r>
      <w:r>
        <w:rPr>
          <w:rFonts w:hint="eastAsia" w:ascii="宋体" w:hAnsi="宋体" w:eastAsia="宋体" w:cs="宋体"/>
          <w:color w:val="auto"/>
          <w:spacing w:val="-1"/>
          <w:sz w:val="24"/>
          <w:szCs w:val="24"/>
        </w:rPr>
        <w:t>投标</w:t>
      </w:r>
      <w:r>
        <w:rPr>
          <w:rFonts w:hint="eastAsia" w:ascii="宋体" w:hAnsi="宋体" w:eastAsia="宋体" w:cs="宋体"/>
          <w:spacing w:val="-1"/>
          <w:sz w:val="24"/>
          <w:szCs w:val="24"/>
        </w:rPr>
        <w:t>丧失竞争性的行为。</w:t>
      </w:r>
    </w:p>
    <w:p w14:paraId="3FB99621">
      <w:pPr>
        <w:keepNext w:val="0"/>
        <w:keepLines w:val="0"/>
        <w:pageBreakBefore w:val="0"/>
        <w:widowControl w:val="0"/>
        <w:kinsoku/>
        <w:wordWrap/>
        <w:overflowPunct/>
        <w:topLinePunct w:val="0"/>
        <w:autoSpaceDE/>
        <w:autoSpaceDN/>
        <w:bidi w:val="0"/>
        <w:adjustRightInd/>
        <w:snapToGrid/>
        <w:spacing w:before="41" w:line="360" w:lineRule="auto"/>
        <w:ind w:left="11"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十</w:t>
      </w:r>
      <w:r>
        <w:rPr>
          <w:rFonts w:hint="eastAsia" w:ascii="宋体" w:hAnsi="宋体" w:eastAsia="宋体" w:cs="宋体"/>
          <w:spacing w:val="-3"/>
          <w:sz w:val="24"/>
          <w:szCs w:val="24"/>
          <w:lang w:val="en-US" w:eastAsia="zh-CN"/>
        </w:rPr>
        <w:t>四</w:t>
      </w:r>
      <w:r>
        <w:rPr>
          <w:rFonts w:hint="eastAsia" w:ascii="宋体" w:hAnsi="宋体" w:eastAsia="宋体" w:cs="宋体"/>
          <w:spacing w:val="-3"/>
          <w:sz w:val="24"/>
          <w:szCs w:val="24"/>
        </w:rPr>
        <w:t>、争议的解决</w:t>
      </w:r>
    </w:p>
    <w:p w14:paraId="6F74285A">
      <w:pPr>
        <w:keepNext w:val="0"/>
        <w:keepLines w:val="0"/>
        <w:pageBreakBefore w:val="0"/>
        <w:widowControl w:val="0"/>
        <w:kinsoku/>
        <w:wordWrap/>
        <w:overflowPunct/>
        <w:topLinePunct w:val="0"/>
        <w:autoSpaceDE/>
        <w:autoSpaceDN/>
        <w:bidi w:val="0"/>
        <w:adjustRightInd/>
        <w:snapToGrid/>
        <w:spacing w:before="179" w:line="360" w:lineRule="auto"/>
        <w:ind w:left="9" w:right="114"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1.甲乙双方应按照诚实信用的原则严格履行本合同。一方不履行本合同或履行合同不符合</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要求的，应积极采取补救措施。给对方造成损失的，应承担赔偿责任。</w:t>
      </w:r>
    </w:p>
    <w:p w14:paraId="14902C9A">
      <w:pPr>
        <w:keepNext w:val="0"/>
        <w:keepLines w:val="0"/>
        <w:pageBreakBefore w:val="0"/>
        <w:widowControl w:val="0"/>
        <w:kinsoku/>
        <w:wordWrap/>
        <w:overflowPunct/>
        <w:topLinePunct w:val="0"/>
        <w:autoSpaceDE/>
        <w:autoSpaceDN/>
        <w:bidi w:val="0"/>
        <w:adjustRightInd/>
        <w:snapToGrid/>
        <w:spacing w:before="40" w:line="360" w:lineRule="auto"/>
        <w:ind w:left="5" w:right="115" w:firstLine="468" w:firstLineChars="200"/>
        <w:jc w:val="both"/>
        <w:textAlignment w:val="auto"/>
        <w:rPr>
          <w:rFonts w:hint="eastAsia" w:ascii="宋体" w:hAnsi="宋体" w:eastAsia="宋体" w:cs="宋体"/>
          <w:spacing w:val="69"/>
          <w:sz w:val="24"/>
          <w:szCs w:val="24"/>
        </w:rPr>
      </w:pPr>
      <w:r>
        <w:rPr>
          <w:rFonts w:hint="eastAsia" w:ascii="宋体" w:hAnsi="宋体" w:eastAsia="宋体" w:cs="宋体"/>
          <w:spacing w:val="-3"/>
          <w:sz w:val="24"/>
          <w:szCs w:val="24"/>
        </w:rPr>
        <w:t>2.甲乙双方在履行合同过程中发生纠纷，应及时向有关监督</w:t>
      </w:r>
      <w:r>
        <w:rPr>
          <w:rFonts w:hint="eastAsia" w:ascii="宋体" w:hAnsi="宋体" w:eastAsia="宋体" w:cs="宋体"/>
          <w:spacing w:val="-4"/>
          <w:sz w:val="24"/>
          <w:szCs w:val="24"/>
        </w:rPr>
        <w:t>管理部门投诉，以便相关部门</w:t>
      </w:r>
      <w:r>
        <w:rPr>
          <w:rFonts w:hint="eastAsia" w:ascii="宋体" w:hAnsi="宋体" w:eastAsia="宋体" w:cs="宋体"/>
          <w:sz w:val="24"/>
          <w:szCs w:val="24"/>
        </w:rPr>
        <w:t xml:space="preserve"> </w:t>
      </w:r>
      <w:r>
        <w:rPr>
          <w:rFonts w:hint="eastAsia" w:ascii="宋体" w:hAnsi="宋体" w:eastAsia="宋体" w:cs="宋体"/>
          <w:spacing w:val="-7"/>
          <w:sz w:val="24"/>
          <w:szCs w:val="24"/>
        </w:rPr>
        <w:t>进行协调或处理；或按以下方式处理：</w:t>
      </w:r>
      <w:r>
        <w:rPr>
          <w:rFonts w:hint="eastAsia" w:ascii="宋体" w:hAnsi="宋体" w:eastAsia="宋体" w:cs="宋体"/>
          <w:spacing w:val="-69"/>
          <w:sz w:val="24"/>
          <w:szCs w:val="24"/>
        </w:rPr>
        <w:t xml:space="preserve"> </w:t>
      </w:r>
      <w:r>
        <w:rPr>
          <w:rFonts w:hint="eastAsia" w:ascii="宋体" w:hAnsi="宋体" w:cs="宋体"/>
          <w:spacing w:val="-69"/>
          <w:sz w:val="24"/>
          <w:szCs w:val="24"/>
          <w:lang w:eastAsia="zh-CN"/>
        </w:rPr>
        <w:t>（</w:t>
      </w:r>
      <w:r>
        <w:rPr>
          <w:rFonts w:hint="eastAsia" w:ascii="宋体" w:hAnsi="宋体" w:eastAsia="宋体" w:cs="宋体"/>
          <w:spacing w:val="-7"/>
          <w:sz w:val="24"/>
          <w:szCs w:val="24"/>
        </w:rPr>
        <w:t>请在□内打√</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67"/>
          <w:sz w:val="24"/>
          <w:szCs w:val="24"/>
        </w:rPr>
        <w:t xml:space="preserve"> </w:t>
      </w:r>
      <w:r>
        <w:rPr>
          <w:rFonts w:hint="eastAsia" w:ascii="宋体" w:hAnsi="宋体" w:eastAsia="宋体" w:cs="宋体"/>
          <w:spacing w:val="-7"/>
          <w:sz w:val="24"/>
          <w:szCs w:val="24"/>
        </w:rPr>
        <w:t>其余</w:t>
      </w:r>
      <w:r>
        <w:rPr>
          <w:rFonts w:hint="eastAsia" w:ascii="宋体" w:hAnsi="宋体" w:eastAsia="宋体" w:cs="宋体"/>
          <w:spacing w:val="-8"/>
          <w:sz w:val="24"/>
          <w:szCs w:val="24"/>
        </w:rPr>
        <w:t>打×</w:t>
      </w:r>
      <w:r>
        <w:rPr>
          <w:rFonts w:hint="eastAsia" w:ascii="宋体" w:hAnsi="宋体" w:cs="宋体"/>
          <w:spacing w:val="-8"/>
          <w:sz w:val="24"/>
          <w:szCs w:val="24"/>
          <w:lang w:eastAsia="zh-CN"/>
        </w:rPr>
        <w:t>）</w:t>
      </w:r>
      <w:r>
        <w:rPr>
          <w:rFonts w:hint="eastAsia" w:ascii="宋体" w:hAnsi="宋体" w:eastAsia="宋体" w:cs="宋体"/>
          <w:spacing w:val="69"/>
          <w:sz w:val="24"/>
          <w:szCs w:val="24"/>
        </w:rPr>
        <w:t xml:space="preserve"> </w:t>
      </w:r>
    </w:p>
    <w:p w14:paraId="5D81852D">
      <w:pPr>
        <w:keepNext w:val="0"/>
        <w:keepLines w:val="0"/>
        <w:pageBreakBefore w:val="0"/>
        <w:widowControl w:val="0"/>
        <w:kinsoku/>
        <w:wordWrap/>
        <w:overflowPunct/>
        <w:topLinePunct w:val="0"/>
        <w:autoSpaceDE/>
        <w:autoSpaceDN/>
        <w:bidi w:val="0"/>
        <w:adjustRightInd/>
        <w:snapToGrid/>
        <w:spacing w:before="40" w:line="360" w:lineRule="auto"/>
        <w:ind w:left="5" w:right="115" w:firstLine="464" w:firstLineChars="200"/>
        <w:jc w:val="both"/>
        <w:textAlignment w:val="auto"/>
        <w:rPr>
          <w:rFonts w:hint="eastAsia" w:ascii="宋体" w:hAnsi="宋体" w:eastAsia="宋体" w:cs="宋体"/>
          <w:spacing w:val="-3"/>
          <w:sz w:val="24"/>
          <w:szCs w:val="24"/>
        </w:rPr>
      </w:pPr>
      <w:r>
        <w:rPr>
          <w:rFonts w:hint="eastAsia" w:ascii="宋体" w:hAnsi="宋体" w:cs="宋体"/>
          <w:spacing w:val="-4"/>
          <w:sz w:val="24"/>
          <w:szCs w:val="24"/>
          <w:lang w:eastAsia="zh-CN"/>
        </w:rPr>
        <w:t>□</w:t>
      </w:r>
      <w:r>
        <w:rPr>
          <w:rFonts w:hint="eastAsia" w:ascii="宋体" w:hAnsi="宋体" w:eastAsia="宋体" w:cs="宋体"/>
          <w:spacing w:val="-73"/>
          <w:sz w:val="24"/>
          <w:szCs w:val="24"/>
        </w:rPr>
        <w:t xml:space="preserve"> </w:t>
      </w:r>
      <w:r>
        <w:rPr>
          <w:rFonts w:hint="eastAsia" w:ascii="宋体" w:hAnsi="宋体" w:eastAsia="宋体" w:cs="宋体"/>
          <w:spacing w:val="-8"/>
          <w:sz w:val="24"/>
          <w:szCs w:val="24"/>
        </w:rPr>
        <w:t>向合同签订地仲裁</w:t>
      </w:r>
      <w:r>
        <w:rPr>
          <w:rFonts w:hint="eastAsia" w:ascii="宋体" w:hAnsi="宋体" w:eastAsia="宋体" w:cs="宋体"/>
          <w:spacing w:val="-3"/>
          <w:sz w:val="24"/>
          <w:szCs w:val="24"/>
        </w:rPr>
        <w:t>部门申请仲裁；</w:t>
      </w:r>
    </w:p>
    <w:p w14:paraId="310AE996">
      <w:pPr>
        <w:keepNext w:val="0"/>
        <w:keepLines w:val="0"/>
        <w:pageBreakBefore w:val="0"/>
        <w:widowControl w:val="0"/>
        <w:kinsoku/>
        <w:wordWrap/>
        <w:overflowPunct/>
        <w:topLinePunct w:val="0"/>
        <w:autoSpaceDE/>
        <w:autoSpaceDN/>
        <w:bidi w:val="0"/>
        <w:adjustRightInd/>
        <w:snapToGrid/>
        <w:spacing w:before="40" w:line="360" w:lineRule="auto"/>
        <w:ind w:left="5" w:right="115" w:firstLine="464" w:firstLineChars="200"/>
        <w:jc w:val="both"/>
        <w:textAlignment w:val="auto"/>
        <w:rPr>
          <w:rFonts w:hint="eastAsia" w:ascii="宋体" w:hAnsi="宋体" w:eastAsia="宋体" w:cs="宋体"/>
          <w:sz w:val="24"/>
          <w:szCs w:val="24"/>
        </w:rPr>
      </w:pPr>
      <w:r>
        <w:rPr>
          <w:rFonts w:hint="eastAsia" w:ascii="宋体" w:hAnsi="宋体" w:cs="宋体"/>
          <w:spacing w:val="-4"/>
          <w:sz w:val="24"/>
          <w:szCs w:val="24"/>
          <w:lang w:eastAsia="zh-CN"/>
        </w:rPr>
        <w:t>☑</w:t>
      </w:r>
      <w:r>
        <w:rPr>
          <w:rFonts w:hint="eastAsia" w:ascii="宋体" w:hAnsi="宋体" w:eastAsia="宋体" w:cs="宋体"/>
          <w:spacing w:val="-4"/>
          <w:sz w:val="24"/>
          <w:szCs w:val="24"/>
        </w:rPr>
        <w:t>向合同签订地人民法院管辖提起诉讼。</w:t>
      </w:r>
      <w:r>
        <w:rPr>
          <w:rFonts w:hint="eastAsia" w:ascii="宋体" w:hAnsi="宋体" w:eastAsia="宋体" w:cs="宋体"/>
          <w:sz w:val="24"/>
          <w:szCs w:val="24"/>
        </w:rPr>
        <w:t xml:space="preserve"> </w:t>
      </w:r>
    </w:p>
    <w:p w14:paraId="449F4EC1">
      <w:pPr>
        <w:keepNext w:val="0"/>
        <w:keepLines w:val="0"/>
        <w:pageBreakBefore w:val="0"/>
        <w:widowControl w:val="0"/>
        <w:kinsoku/>
        <w:wordWrap/>
        <w:overflowPunct/>
        <w:topLinePunct w:val="0"/>
        <w:autoSpaceDE/>
        <w:autoSpaceDN/>
        <w:bidi w:val="0"/>
        <w:adjustRightInd/>
        <w:snapToGrid/>
        <w:spacing w:before="40" w:line="360" w:lineRule="auto"/>
        <w:ind w:left="5" w:right="115"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十五、</w:t>
      </w:r>
      <w:r>
        <w:rPr>
          <w:rFonts w:hint="eastAsia" w:ascii="宋体" w:hAnsi="宋体" w:eastAsia="宋体" w:cs="宋体"/>
          <w:spacing w:val="-2"/>
          <w:sz w:val="24"/>
          <w:szCs w:val="24"/>
        </w:rPr>
        <w:t>本合同一式</w:t>
      </w:r>
      <w:r>
        <w:rPr>
          <w:rFonts w:hint="eastAsia" w:ascii="宋体" w:hAnsi="宋体" w:eastAsia="宋体" w:cs="宋体"/>
          <w:spacing w:val="9"/>
          <w:sz w:val="24"/>
          <w:szCs w:val="24"/>
          <w:u w:val="single"/>
        </w:rPr>
        <w:t xml:space="preserve"> </w:t>
      </w:r>
      <w:r>
        <w:rPr>
          <w:rFonts w:hint="eastAsia" w:ascii="宋体" w:hAnsi="宋体" w:cs="宋体"/>
          <w:spacing w:val="9"/>
          <w:sz w:val="24"/>
          <w:szCs w:val="24"/>
          <w:u w:val="single"/>
          <w:lang w:val="en-US" w:eastAsia="zh-CN"/>
        </w:rPr>
        <w:t xml:space="preserve">  </w:t>
      </w:r>
      <w:r>
        <w:rPr>
          <w:rFonts w:hint="eastAsia" w:ascii="宋体" w:hAnsi="宋体" w:eastAsia="宋体" w:cs="宋体"/>
          <w:spacing w:val="9"/>
          <w:sz w:val="24"/>
          <w:szCs w:val="24"/>
          <w:u w:val="single"/>
        </w:rPr>
        <w:t xml:space="preserve"> </w:t>
      </w:r>
      <w:r>
        <w:rPr>
          <w:rFonts w:hint="eastAsia" w:ascii="宋体" w:hAnsi="宋体" w:eastAsia="宋体" w:cs="宋体"/>
          <w:spacing w:val="-2"/>
          <w:sz w:val="24"/>
          <w:szCs w:val="24"/>
        </w:rPr>
        <w:t>份，甲乙双方各执</w:t>
      </w:r>
      <w:r>
        <w:rPr>
          <w:rFonts w:hint="eastAsia" w:ascii="宋体" w:hAnsi="宋体" w:eastAsia="宋体" w:cs="宋体"/>
          <w:spacing w:val="9"/>
          <w:sz w:val="24"/>
          <w:szCs w:val="24"/>
          <w:u w:val="single"/>
        </w:rPr>
        <w:t xml:space="preserve"> </w:t>
      </w:r>
      <w:r>
        <w:rPr>
          <w:rFonts w:hint="eastAsia" w:ascii="宋体" w:hAnsi="宋体" w:cs="宋体"/>
          <w:spacing w:val="9"/>
          <w:sz w:val="24"/>
          <w:szCs w:val="24"/>
          <w:u w:val="single"/>
          <w:lang w:val="en-US" w:eastAsia="zh-CN"/>
        </w:rPr>
        <w:t xml:space="preserve">  </w:t>
      </w:r>
      <w:r>
        <w:rPr>
          <w:rFonts w:hint="eastAsia" w:ascii="宋体" w:hAnsi="宋体" w:eastAsia="宋体" w:cs="宋体"/>
          <w:spacing w:val="9"/>
          <w:sz w:val="24"/>
          <w:szCs w:val="24"/>
          <w:u w:val="single"/>
        </w:rPr>
        <w:t xml:space="preserve"> </w:t>
      </w:r>
      <w:r>
        <w:rPr>
          <w:rFonts w:hint="eastAsia" w:ascii="宋体" w:hAnsi="宋体" w:eastAsia="宋体" w:cs="宋体"/>
          <w:spacing w:val="-2"/>
          <w:sz w:val="24"/>
          <w:szCs w:val="24"/>
        </w:rPr>
        <w:t>份。</w:t>
      </w:r>
    </w:p>
    <w:p w14:paraId="45D340A8">
      <w:pPr>
        <w:keepNext w:val="0"/>
        <w:keepLines w:val="0"/>
        <w:pageBreakBefore w:val="0"/>
        <w:widowControl w:val="0"/>
        <w:kinsoku/>
        <w:wordWrap/>
        <w:overflowPunct/>
        <w:topLinePunct w:val="0"/>
        <w:autoSpaceDE/>
        <w:autoSpaceDN/>
        <w:bidi w:val="0"/>
        <w:adjustRightInd/>
        <w:snapToGrid/>
        <w:spacing w:before="178" w:line="360" w:lineRule="auto"/>
        <w:ind w:left="11"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十</w:t>
      </w:r>
      <w:r>
        <w:rPr>
          <w:rFonts w:hint="eastAsia" w:ascii="宋体" w:hAnsi="宋体" w:cs="宋体"/>
          <w:spacing w:val="-1"/>
          <w:sz w:val="24"/>
          <w:szCs w:val="24"/>
          <w:lang w:val="en-US" w:eastAsia="zh-CN"/>
        </w:rPr>
        <w:t>六</w:t>
      </w:r>
      <w:r>
        <w:rPr>
          <w:rFonts w:hint="eastAsia" w:ascii="宋体" w:hAnsi="宋体" w:eastAsia="宋体" w:cs="宋体"/>
          <w:spacing w:val="-1"/>
          <w:sz w:val="24"/>
          <w:szCs w:val="24"/>
        </w:rPr>
        <w:t>、本合同其他未尽事宜，按国家</w:t>
      </w:r>
      <w:r>
        <w:rPr>
          <w:rFonts w:hint="eastAsia" w:ascii="宋体" w:hAnsi="宋体" w:cs="宋体"/>
          <w:spacing w:val="-1"/>
          <w:sz w:val="24"/>
          <w:szCs w:val="24"/>
          <w:lang w:eastAsia="zh-CN"/>
        </w:rPr>
        <w:t>《中华人民共和国民法典》</w:t>
      </w:r>
      <w:r>
        <w:rPr>
          <w:rFonts w:hint="eastAsia" w:ascii="宋体" w:hAnsi="宋体" w:eastAsia="宋体" w:cs="宋体"/>
          <w:spacing w:val="-1"/>
          <w:sz w:val="24"/>
          <w:szCs w:val="24"/>
        </w:rPr>
        <w:t>有关规定处理。</w:t>
      </w:r>
    </w:p>
    <w:p w14:paraId="3F535F10">
      <w:pPr>
        <w:keepNext w:val="0"/>
        <w:keepLines w:val="0"/>
        <w:pageBreakBefore w:val="0"/>
        <w:widowControl w:val="0"/>
        <w:kinsoku/>
        <w:wordWrap/>
        <w:overflowPunct/>
        <w:topLinePunct w:val="0"/>
        <w:autoSpaceDE/>
        <w:autoSpaceDN/>
        <w:bidi w:val="0"/>
        <w:adjustRightInd/>
        <w:snapToGrid/>
        <w:spacing w:before="178" w:line="360" w:lineRule="auto"/>
        <w:ind w:left="11"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十</w:t>
      </w:r>
      <w:r>
        <w:rPr>
          <w:rFonts w:hint="eastAsia" w:ascii="宋体" w:hAnsi="宋体" w:cs="宋体"/>
          <w:spacing w:val="-2"/>
          <w:sz w:val="24"/>
          <w:szCs w:val="24"/>
          <w:lang w:val="en-US" w:eastAsia="zh-CN"/>
        </w:rPr>
        <w:t>七</w:t>
      </w:r>
      <w:r>
        <w:rPr>
          <w:rFonts w:hint="eastAsia" w:ascii="宋体" w:hAnsi="宋体" w:eastAsia="宋体" w:cs="宋体"/>
          <w:spacing w:val="-2"/>
          <w:sz w:val="24"/>
          <w:szCs w:val="24"/>
        </w:rPr>
        <w:t>、本合同自签订之日起生效；</w:t>
      </w:r>
    </w:p>
    <w:p w14:paraId="6752B9B0">
      <w:pPr>
        <w:keepNext w:val="0"/>
        <w:keepLines w:val="0"/>
        <w:pageBreakBefore w:val="0"/>
        <w:widowControl w:val="0"/>
        <w:kinsoku/>
        <w:wordWrap/>
        <w:overflowPunct/>
        <w:topLinePunct w:val="0"/>
        <w:autoSpaceDE/>
        <w:autoSpaceDN/>
        <w:bidi w:val="0"/>
        <w:adjustRightInd/>
        <w:snapToGrid/>
        <w:spacing w:before="177" w:line="360" w:lineRule="auto"/>
        <w:ind w:left="12" w:firstLine="472" w:firstLineChars="200"/>
        <w:textAlignment w:val="auto"/>
        <w:rPr>
          <w:rFonts w:hint="eastAsia" w:ascii="宋体" w:hAnsi="宋体" w:eastAsia="宋体" w:cs="宋体"/>
          <w:sz w:val="24"/>
          <w:szCs w:val="24"/>
        </w:rPr>
      </w:pPr>
      <w:r>
        <w:rPr>
          <w:rFonts w:hint="eastAsia" w:ascii="宋体" w:hAnsi="宋体" w:cs="宋体"/>
          <w:spacing w:val="-2"/>
          <w:sz w:val="24"/>
          <w:szCs w:val="24"/>
          <w:lang w:val="en-US" w:eastAsia="zh-CN"/>
        </w:rPr>
        <w:t>十八</w:t>
      </w:r>
      <w:r>
        <w:rPr>
          <w:rFonts w:hint="eastAsia" w:ascii="宋体" w:hAnsi="宋体" w:eastAsia="宋体" w:cs="宋体"/>
          <w:spacing w:val="-2"/>
          <w:sz w:val="24"/>
          <w:szCs w:val="24"/>
        </w:rPr>
        <w:t>、本合同不可分割之部分：</w:t>
      </w:r>
    </w:p>
    <w:p w14:paraId="1934F608">
      <w:pPr>
        <w:keepNext w:val="0"/>
        <w:keepLines w:val="0"/>
        <w:pageBreakBefore w:val="0"/>
        <w:widowControl w:val="0"/>
        <w:kinsoku/>
        <w:wordWrap/>
        <w:overflowPunct/>
        <w:topLinePunct w:val="0"/>
        <w:autoSpaceDE/>
        <w:autoSpaceDN/>
        <w:bidi w:val="0"/>
        <w:adjustRightInd/>
        <w:snapToGrid/>
        <w:spacing w:before="179" w:line="360" w:lineRule="auto"/>
        <w:ind w:left="14"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1.磋商</w:t>
      </w:r>
      <w:r>
        <w:rPr>
          <w:rFonts w:hint="eastAsia" w:ascii="宋体" w:hAnsi="宋体" w:cs="宋体"/>
          <w:spacing w:val="-1"/>
          <w:sz w:val="24"/>
          <w:szCs w:val="24"/>
          <w:lang w:val="en-US" w:eastAsia="zh-CN"/>
        </w:rPr>
        <w:t>响应</w:t>
      </w:r>
      <w:r>
        <w:rPr>
          <w:rFonts w:hint="eastAsia" w:ascii="宋体" w:hAnsi="宋体" w:eastAsia="宋体" w:cs="宋体"/>
          <w:spacing w:val="-1"/>
          <w:sz w:val="24"/>
          <w:szCs w:val="24"/>
        </w:rPr>
        <w:t xml:space="preserve">文件； </w:t>
      </w:r>
    </w:p>
    <w:p w14:paraId="222FE441">
      <w:pPr>
        <w:keepNext w:val="0"/>
        <w:keepLines w:val="0"/>
        <w:pageBreakBefore w:val="0"/>
        <w:widowControl w:val="0"/>
        <w:kinsoku/>
        <w:wordWrap/>
        <w:overflowPunct/>
        <w:topLinePunct w:val="0"/>
        <w:autoSpaceDE/>
        <w:autoSpaceDN/>
        <w:bidi w:val="0"/>
        <w:adjustRightInd/>
        <w:snapToGrid/>
        <w:spacing w:before="179" w:line="360" w:lineRule="auto"/>
        <w:ind w:left="14"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2.成交通知书；</w:t>
      </w:r>
    </w:p>
    <w:p w14:paraId="5118BB79">
      <w:pPr>
        <w:keepNext w:val="0"/>
        <w:keepLines w:val="0"/>
        <w:pageBreakBefore w:val="0"/>
        <w:widowControl w:val="0"/>
        <w:kinsoku/>
        <w:wordWrap/>
        <w:overflowPunct/>
        <w:topLinePunct w:val="0"/>
        <w:autoSpaceDE/>
        <w:autoSpaceDN/>
        <w:bidi w:val="0"/>
        <w:adjustRightInd/>
        <w:snapToGrid/>
        <w:spacing w:before="179" w:line="360" w:lineRule="auto"/>
        <w:ind w:left="14"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 3.合同书附件。</w:t>
      </w:r>
    </w:p>
    <w:p w14:paraId="5DB120AA">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rPr>
      </w:pPr>
      <w:r>
        <w:rPr>
          <w:rFonts w:hint="eastAsia" w:ascii="宋体" w:hAnsi="宋体" w:eastAsia="宋体" w:cs="宋体"/>
          <w:spacing w:val="-2"/>
          <w:sz w:val="24"/>
          <w:szCs w:val="24"/>
        </w:rPr>
        <w:t>（以下无正文，为签字页）</w:t>
      </w:r>
    </w:p>
    <w:bookmarkEnd w:id="88"/>
    <w:bookmarkEnd w:id="89"/>
    <w:bookmarkEnd w:id="146"/>
    <w:bookmarkEnd w:id="147"/>
    <w:bookmarkEnd w:id="148"/>
    <w:p w14:paraId="2B753F69">
      <w:pPr>
        <w:bidi w:val="0"/>
        <w:rPr>
          <w:rFonts w:hint="eastAsia"/>
        </w:rPr>
      </w:pPr>
      <w:bookmarkStart w:id="149" w:name="_Toc11775"/>
      <w:bookmarkStart w:id="150" w:name="_Toc26968"/>
    </w:p>
    <w:p w14:paraId="19687C49">
      <w:pPr>
        <w:bidi w:val="0"/>
        <w:rPr>
          <w:rFonts w:hint="eastAsia"/>
        </w:rPr>
      </w:pPr>
    </w:p>
    <w:p w14:paraId="392C878C">
      <w:pPr>
        <w:bidi w:val="0"/>
        <w:rPr>
          <w:rFonts w:hint="eastAsia"/>
        </w:rPr>
      </w:pPr>
    </w:p>
    <w:p w14:paraId="35E8C4F8">
      <w:pPr>
        <w:bidi w:val="0"/>
        <w:rPr>
          <w:rFonts w:hint="eastAsia"/>
        </w:rPr>
      </w:pPr>
    </w:p>
    <w:p w14:paraId="4A4AD82E">
      <w:pPr>
        <w:bidi w:val="0"/>
        <w:rPr>
          <w:rFonts w:hint="eastAsia"/>
        </w:rPr>
      </w:pPr>
    </w:p>
    <w:p w14:paraId="3B188403">
      <w:pPr>
        <w:bidi w:val="0"/>
        <w:rPr>
          <w:rFonts w:hint="eastAsia"/>
        </w:rPr>
      </w:pPr>
    </w:p>
    <w:p w14:paraId="27CE29CA">
      <w:pPr>
        <w:bidi w:val="0"/>
        <w:rPr>
          <w:rFonts w:hint="eastAsia"/>
        </w:rPr>
      </w:pPr>
      <w:bookmarkStart w:id="151" w:name="_Toc31639"/>
      <w:r>
        <w:rPr>
          <w:rFonts w:hint="eastAsia"/>
        </w:rPr>
        <w:br w:type="page"/>
      </w:r>
    </w:p>
    <w:p w14:paraId="59366396">
      <w:pPr>
        <w:bidi w:val="0"/>
        <w:rPr>
          <w:rFonts w:hint="eastAsia"/>
        </w:rPr>
      </w:pPr>
    </w:p>
    <w:p w14:paraId="26E60865">
      <w:pPr>
        <w:rPr>
          <w:rFonts w:hint="eastAsia"/>
        </w:rPr>
      </w:pPr>
    </w:p>
    <w:p w14:paraId="2B760C31">
      <w:pPr>
        <w:pStyle w:val="3"/>
        <w:keepNext w:val="0"/>
        <w:keepLines w:val="0"/>
        <w:spacing w:before="0" w:after="0"/>
        <w:outlineLvl w:val="0"/>
        <w:rPr>
          <w:rFonts w:hint="eastAsia" w:ascii="宋体" w:hAnsi="宋体" w:eastAsia="宋体" w:cs="宋体"/>
          <w:color w:val="auto"/>
          <w:spacing w:val="0"/>
          <w:sz w:val="44"/>
          <w:szCs w:val="44"/>
        </w:rPr>
      </w:pPr>
      <w:bookmarkStart w:id="152" w:name="_Toc4604"/>
      <w:r>
        <w:rPr>
          <w:rFonts w:hint="eastAsia" w:ascii="宋体" w:hAnsi="宋体" w:eastAsia="宋体" w:cs="宋体"/>
          <w:color w:val="auto"/>
          <w:spacing w:val="0"/>
          <w:sz w:val="44"/>
          <w:szCs w:val="44"/>
        </w:rPr>
        <w:t>第四章  响应性文件格式</w:t>
      </w:r>
      <w:bookmarkEnd w:id="151"/>
      <w:bookmarkEnd w:id="152"/>
    </w:p>
    <w:p w14:paraId="31611AC4">
      <w:pPr>
        <w:spacing w:line="400" w:lineRule="exact"/>
        <w:rPr>
          <w:rFonts w:hint="eastAsia" w:ascii="宋体" w:hAnsi="宋体" w:eastAsia="宋体" w:cs="宋体"/>
          <w:b/>
          <w:color w:val="auto"/>
          <w:sz w:val="24"/>
        </w:rPr>
      </w:pPr>
    </w:p>
    <w:p w14:paraId="0F1361CD">
      <w:pPr>
        <w:pStyle w:val="9"/>
        <w:tabs>
          <w:tab w:val="left" w:pos="5820"/>
        </w:tabs>
        <w:spacing w:line="800" w:lineRule="exact"/>
        <w:jc w:val="center"/>
        <w:rPr>
          <w:rFonts w:hint="eastAsia" w:ascii="宋体" w:hAnsi="宋体" w:eastAsia="宋体" w:cs="宋体"/>
          <w:color w:val="auto"/>
          <w:spacing w:val="0"/>
          <w:sz w:val="44"/>
          <w:szCs w:val="44"/>
          <w:lang w:val="en-US" w:eastAsia="zh-CN"/>
        </w:rPr>
      </w:pPr>
      <w:bookmarkStart w:id="153" w:name="_Toc78603130"/>
      <w:r>
        <w:rPr>
          <w:rFonts w:hint="eastAsia" w:cs="宋体"/>
          <w:b/>
          <w:color w:val="auto"/>
          <w:spacing w:val="0"/>
          <w:kern w:val="44"/>
          <w:sz w:val="44"/>
          <w:szCs w:val="44"/>
          <w:lang w:val="en-US" w:eastAsia="zh-CN" w:bidi="ar-SA"/>
        </w:rPr>
        <w:t>临沧市2026年度无线电监测设施设备运行保障及专业维修维护技术服务</w:t>
      </w:r>
      <w:r>
        <w:rPr>
          <w:rFonts w:hint="eastAsia" w:ascii="宋体" w:hAnsi="宋体" w:eastAsia="宋体" w:cs="宋体"/>
          <w:b/>
          <w:color w:val="auto"/>
          <w:spacing w:val="0"/>
          <w:kern w:val="44"/>
          <w:sz w:val="44"/>
          <w:szCs w:val="44"/>
          <w:lang w:val="en-US" w:eastAsia="zh-CN" w:bidi="ar-SA"/>
        </w:rPr>
        <w:t xml:space="preserve"> </w:t>
      </w:r>
      <w:r>
        <w:rPr>
          <w:rFonts w:hint="eastAsia" w:ascii="宋体" w:hAnsi="宋体" w:eastAsia="宋体" w:cs="宋体"/>
          <w:color w:val="auto"/>
          <w:spacing w:val="0"/>
          <w:sz w:val="44"/>
          <w:szCs w:val="44"/>
          <w:lang w:val="en-US" w:eastAsia="zh-CN"/>
        </w:rPr>
        <w:t xml:space="preserve">     </w:t>
      </w:r>
    </w:p>
    <w:p w14:paraId="5D595E28">
      <w:pPr>
        <w:pStyle w:val="9"/>
        <w:tabs>
          <w:tab w:val="left" w:pos="5820"/>
        </w:tabs>
        <w:spacing w:line="800" w:lineRule="exact"/>
        <w:jc w:val="center"/>
        <w:rPr>
          <w:rFonts w:hint="eastAsia" w:ascii="宋体" w:hAnsi="宋体" w:eastAsia="宋体" w:cs="宋体"/>
          <w:color w:val="auto"/>
          <w:spacing w:val="0"/>
          <w:sz w:val="44"/>
          <w:szCs w:val="44"/>
          <w:lang w:val="en-US" w:eastAsia="zh-CN"/>
        </w:rPr>
      </w:pPr>
    </w:p>
    <w:p w14:paraId="3D725440">
      <w:pPr>
        <w:bidi w:val="0"/>
        <w:rPr>
          <w:rFonts w:hint="eastAsia"/>
        </w:rPr>
      </w:pPr>
    </w:p>
    <w:p w14:paraId="683E703F">
      <w:pPr>
        <w:jc w:val="both"/>
        <w:rPr>
          <w:rFonts w:hint="eastAsia" w:ascii="宋体" w:hAnsi="宋体" w:eastAsia="宋体" w:cs="宋体"/>
          <w:b/>
          <w:bCs/>
          <w:color w:val="auto"/>
          <w:sz w:val="42"/>
          <w:szCs w:val="40"/>
        </w:rPr>
      </w:pPr>
      <w:r>
        <w:rPr>
          <w:rFonts w:hint="eastAsia" w:ascii="宋体" w:hAnsi="宋体" w:eastAsia="宋体" w:cs="宋体"/>
          <w:b/>
          <w:bCs/>
          <w:color w:val="auto"/>
          <w:sz w:val="38"/>
          <w:szCs w:val="40"/>
        </w:rPr>
        <w:t xml:space="preserve">  </w:t>
      </w:r>
    </w:p>
    <w:p w14:paraId="0BFC5AE2">
      <w:pPr>
        <w:spacing w:line="400" w:lineRule="atLeast"/>
        <w:jc w:val="center"/>
        <w:rPr>
          <w:rFonts w:hint="eastAsia" w:ascii="宋体" w:hAnsi="宋体" w:eastAsia="宋体" w:cs="宋体"/>
          <w:b/>
          <w:bCs/>
          <w:color w:val="auto"/>
          <w:sz w:val="28"/>
        </w:rPr>
      </w:pPr>
    </w:p>
    <w:p w14:paraId="32B116DE">
      <w:pPr>
        <w:spacing w:line="400" w:lineRule="atLeast"/>
        <w:jc w:val="both"/>
        <w:rPr>
          <w:rFonts w:hint="eastAsia" w:ascii="宋体" w:hAnsi="宋体" w:eastAsia="宋体" w:cs="宋体"/>
          <w:color w:val="auto"/>
          <w:sz w:val="24"/>
        </w:rPr>
      </w:pPr>
    </w:p>
    <w:p w14:paraId="7F7EAAFC">
      <w:pPr>
        <w:spacing w:line="400" w:lineRule="atLeast"/>
        <w:jc w:val="center"/>
        <w:rPr>
          <w:rFonts w:hint="eastAsia" w:ascii="宋体" w:hAnsi="宋体" w:eastAsia="宋体" w:cs="宋体"/>
          <w:color w:val="auto"/>
          <w:sz w:val="24"/>
        </w:rPr>
      </w:pPr>
    </w:p>
    <w:p w14:paraId="760B83D9">
      <w:pPr>
        <w:spacing w:line="400" w:lineRule="atLeast"/>
        <w:jc w:val="center"/>
        <w:rPr>
          <w:rFonts w:hint="eastAsia" w:ascii="宋体" w:hAnsi="宋体" w:eastAsia="宋体" w:cs="宋体"/>
          <w:b/>
          <w:bCs/>
          <w:color w:val="auto"/>
          <w:sz w:val="44"/>
          <w:szCs w:val="28"/>
          <w:lang w:eastAsia="zh-CN"/>
        </w:rPr>
      </w:pPr>
      <w:r>
        <w:rPr>
          <w:rFonts w:hint="eastAsia" w:ascii="宋体" w:hAnsi="宋体" w:cs="宋体"/>
          <w:b/>
          <w:color w:val="auto"/>
          <w:sz w:val="112"/>
          <w:szCs w:val="144"/>
          <w:lang w:val="en-US" w:eastAsia="zh-CN"/>
        </w:rPr>
        <w:t>响应文件</w:t>
      </w:r>
    </w:p>
    <w:p w14:paraId="309F5656">
      <w:pPr>
        <w:spacing w:line="400" w:lineRule="atLeast"/>
        <w:jc w:val="center"/>
        <w:rPr>
          <w:rFonts w:hint="eastAsia" w:ascii="宋体" w:hAnsi="宋体" w:eastAsia="宋体" w:cs="宋体"/>
          <w:b/>
          <w:color w:val="auto"/>
          <w:lang w:val="en-US" w:eastAsia="zh-CN"/>
        </w:rPr>
      </w:pPr>
      <w:r>
        <w:rPr>
          <w:rFonts w:hint="eastAsia" w:ascii="宋体" w:hAnsi="宋体" w:eastAsia="宋体" w:cs="宋体"/>
          <w:b/>
          <w:bCs/>
          <w:color w:val="auto"/>
          <w:sz w:val="28"/>
        </w:rPr>
        <w:t>项目编号</w:t>
      </w:r>
      <w:r>
        <w:rPr>
          <w:rFonts w:hint="eastAsia" w:ascii="宋体" w:hAnsi="宋体" w:eastAsia="宋体" w:cs="宋体"/>
          <w:b/>
          <w:bCs/>
          <w:color w:val="auto"/>
          <w:sz w:val="28"/>
          <w:highlight w:val="none"/>
        </w:rPr>
        <w:t>：</w:t>
      </w:r>
    </w:p>
    <w:p w14:paraId="7EE026CC">
      <w:pPr>
        <w:spacing w:line="400" w:lineRule="atLeast"/>
        <w:jc w:val="center"/>
        <w:rPr>
          <w:rFonts w:hint="eastAsia" w:ascii="宋体" w:hAnsi="宋体" w:eastAsia="宋体" w:cs="宋体"/>
          <w:b/>
          <w:color w:val="auto"/>
        </w:rPr>
      </w:pPr>
    </w:p>
    <w:p w14:paraId="23F59F8D">
      <w:pPr>
        <w:spacing w:line="700" w:lineRule="exact"/>
        <w:rPr>
          <w:rFonts w:hint="eastAsia" w:ascii="宋体" w:hAnsi="宋体" w:eastAsia="宋体" w:cs="宋体"/>
          <w:b/>
          <w:bCs/>
          <w:color w:val="auto"/>
          <w:sz w:val="30"/>
        </w:rPr>
      </w:pPr>
    </w:p>
    <w:p w14:paraId="0ADBAEC5">
      <w:pPr>
        <w:spacing w:line="700" w:lineRule="exact"/>
        <w:rPr>
          <w:rFonts w:hint="eastAsia" w:ascii="宋体" w:hAnsi="宋体" w:eastAsia="宋体" w:cs="宋体"/>
          <w:b/>
          <w:bCs/>
          <w:color w:val="auto"/>
          <w:sz w:val="30"/>
        </w:rPr>
      </w:pPr>
    </w:p>
    <w:p w14:paraId="0D7DB0F2">
      <w:pPr>
        <w:spacing w:line="700" w:lineRule="exact"/>
        <w:rPr>
          <w:rFonts w:hint="eastAsia" w:ascii="宋体" w:hAnsi="宋体" w:eastAsia="宋体" w:cs="宋体"/>
          <w:b/>
          <w:bCs/>
          <w:color w:val="auto"/>
          <w:sz w:val="30"/>
          <w:lang w:eastAsia="zh-CN"/>
        </w:rPr>
      </w:pPr>
    </w:p>
    <w:p w14:paraId="4B90A787">
      <w:pPr>
        <w:spacing w:line="700" w:lineRule="exact"/>
        <w:rPr>
          <w:rFonts w:hint="eastAsia" w:ascii="宋体" w:hAnsi="宋体" w:eastAsia="宋体" w:cs="宋体"/>
          <w:b/>
          <w:bCs/>
          <w:color w:val="auto"/>
          <w:sz w:val="30"/>
          <w:lang w:eastAsia="zh-CN"/>
        </w:rPr>
      </w:pPr>
    </w:p>
    <w:p w14:paraId="08183B1A">
      <w:pPr>
        <w:spacing w:line="700" w:lineRule="exact"/>
        <w:ind w:firstLine="904" w:firstLineChars="300"/>
        <w:rPr>
          <w:rFonts w:hint="eastAsia" w:ascii="宋体" w:hAnsi="宋体" w:eastAsia="宋体" w:cs="宋体"/>
          <w:b/>
          <w:bCs/>
          <w:color w:val="auto"/>
          <w:sz w:val="30"/>
          <w:u w:val="single"/>
        </w:rPr>
      </w:pPr>
      <w:r>
        <w:rPr>
          <w:rFonts w:hint="eastAsia" w:ascii="宋体" w:hAnsi="宋体" w:eastAsia="宋体" w:cs="宋体"/>
          <w:b/>
          <w:bCs/>
          <w:color w:val="auto"/>
          <w:sz w:val="30"/>
          <w:lang w:eastAsia="zh-CN"/>
        </w:rPr>
        <w:t>供应商</w:t>
      </w:r>
      <w:r>
        <w:rPr>
          <w:rFonts w:hint="eastAsia" w:ascii="宋体" w:hAnsi="宋体" w:eastAsia="宋体" w:cs="宋体"/>
          <w:b/>
          <w:bCs/>
          <w:color w:val="auto"/>
          <w:sz w:val="30"/>
        </w:rPr>
        <w:t>全称（电子签章）：</w:t>
      </w:r>
      <w:r>
        <w:rPr>
          <w:rFonts w:hint="eastAsia" w:ascii="宋体" w:hAnsi="宋体" w:eastAsia="宋体" w:cs="宋体"/>
          <w:b/>
          <w:bCs/>
          <w:color w:val="auto"/>
          <w:sz w:val="30"/>
          <w:u w:val="single"/>
        </w:rPr>
        <w:t xml:space="preserve">                          </w:t>
      </w:r>
    </w:p>
    <w:p w14:paraId="0042AE6B">
      <w:pPr>
        <w:spacing w:line="700" w:lineRule="exact"/>
        <w:ind w:firstLine="904" w:firstLineChars="300"/>
        <w:rPr>
          <w:rFonts w:hint="eastAsia" w:ascii="宋体" w:hAnsi="宋体" w:eastAsia="宋体" w:cs="宋体"/>
          <w:b/>
          <w:bCs/>
          <w:color w:val="auto"/>
          <w:sz w:val="30"/>
          <w:u w:val="single"/>
        </w:rPr>
      </w:pPr>
      <w:r>
        <w:rPr>
          <w:rFonts w:hint="eastAsia" w:ascii="宋体" w:hAnsi="宋体" w:eastAsia="宋体" w:cs="宋体"/>
          <w:b/>
          <w:bCs/>
          <w:color w:val="auto"/>
          <w:sz w:val="30"/>
        </w:rPr>
        <w:t>法定代表人或其委托代理人（电子签名）：</w:t>
      </w:r>
      <w:r>
        <w:rPr>
          <w:rFonts w:hint="eastAsia" w:ascii="宋体" w:hAnsi="宋体" w:eastAsia="宋体" w:cs="宋体"/>
          <w:b/>
          <w:bCs/>
          <w:color w:val="auto"/>
          <w:sz w:val="30"/>
          <w:u w:val="single"/>
        </w:rPr>
        <w:t xml:space="preserve">            </w:t>
      </w:r>
    </w:p>
    <w:p w14:paraId="2D5A796C">
      <w:pPr>
        <w:spacing w:line="700" w:lineRule="exact"/>
        <w:ind w:firstLine="904" w:firstLineChars="300"/>
        <w:rPr>
          <w:rFonts w:hint="eastAsia" w:ascii="宋体" w:hAnsi="宋体" w:eastAsia="宋体" w:cs="宋体"/>
          <w:b/>
          <w:bCs/>
          <w:color w:val="auto"/>
          <w:sz w:val="30"/>
          <w:u w:val="single"/>
        </w:rPr>
        <w:sectPr>
          <w:pgSz w:w="11906" w:h="16838"/>
          <w:pgMar w:top="1440" w:right="1080" w:bottom="1440" w:left="1080" w:header="851" w:footer="851" w:gutter="0"/>
          <w:pgNumType w:fmt="decimal"/>
          <w:cols w:space="708" w:num="1"/>
          <w:docGrid w:linePitch="312" w:charSpace="0"/>
        </w:sectPr>
      </w:pPr>
      <w:r>
        <w:rPr>
          <w:rFonts w:hint="eastAsia" w:ascii="宋体" w:hAnsi="宋体" w:eastAsia="宋体" w:cs="宋体"/>
          <w:b/>
          <w:bCs/>
          <w:color w:val="auto"/>
          <w:sz w:val="30"/>
        </w:rPr>
        <w:t>日  期：</w:t>
      </w:r>
      <w:r>
        <w:rPr>
          <w:rFonts w:hint="eastAsia" w:ascii="宋体" w:hAnsi="宋体" w:eastAsia="宋体" w:cs="宋体"/>
          <w:b/>
          <w:bCs/>
          <w:color w:val="auto"/>
          <w:sz w:val="30"/>
          <w:u w:val="single"/>
        </w:rPr>
        <w:t xml:space="preserve">      </w:t>
      </w:r>
      <w:r>
        <w:rPr>
          <w:rFonts w:hint="eastAsia" w:ascii="宋体" w:hAnsi="宋体" w:eastAsia="宋体" w:cs="宋体"/>
          <w:b/>
          <w:bCs/>
          <w:color w:val="auto"/>
          <w:sz w:val="30"/>
        </w:rPr>
        <w:t>年</w:t>
      </w:r>
      <w:r>
        <w:rPr>
          <w:rFonts w:hint="eastAsia" w:ascii="宋体" w:hAnsi="宋体" w:eastAsia="宋体" w:cs="宋体"/>
          <w:b/>
          <w:bCs/>
          <w:color w:val="auto"/>
          <w:sz w:val="30"/>
          <w:u w:val="single"/>
        </w:rPr>
        <w:t xml:space="preserve">      </w:t>
      </w:r>
      <w:r>
        <w:rPr>
          <w:rFonts w:hint="eastAsia" w:ascii="宋体" w:hAnsi="宋体" w:eastAsia="宋体" w:cs="宋体"/>
          <w:b/>
          <w:bCs/>
          <w:color w:val="auto"/>
          <w:sz w:val="30"/>
        </w:rPr>
        <w:t>月</w:t>
      </w:r>
      <w:r>
        <w:rPr>
          <w:rFonts w:hint="eastAsia" w:ascii="宋体" w:hAnsi="宋体" w:eastAsia="宋体" w:cs="宋体"/>
          <w:b/>
          <w:bCs/>
          <w:color w:val="auto"/>
          <w:sz w:val="30"/>
          <w:u w:val="single"/>
        </w:rPr>
        <w:t xml:space="preserve">        </w:t>
      </w:r>
      <w:r>
        <w:rPr>
          <w:rFonts w:hint="eastAsia" w:ascii="宋体" w:hAnsi="宋体" w:eastAsia="宋体" w:cs="宋体"/>
          <w:b/>
          <w:bCs/>
          <w:color w:val="auto"/>
          <w:sz w:val="30"/>
        </w:rPr>
        <w:t xml:space="preserve">日   </w:t>
      </w:r>
    </w:p>
    <w:bookmarkEnd w:id="153"/>
    <w:p w14:paraId="454F5B6C">
      <w:pPr>
        <w:jc w:val="center"/>
        <w:rPr>
          <w:rFonts w:hint="default" w:ascii="宋体" w:hAnsi="宋体" w:cs="宋体"/>
          <w:b/>
          <w:sz w:val="36"/>
          <w:lang w:val="en-US" w:eastAsia="zh-CN"/>
        </w:rPr>
      </w:pPr>
      <w:bookmarkStart w:id="154" w:name="_Toc30879"/>
      <w:bookmarkStart w:id="155" w:name="_Toc11571"/>
      <w:r>
        <w:rPr>
          <w:rFonts w:hint="eastAsia" w:ascii="宋体" w:hAnsi="宋体" w:cs="宋体"/>
          <w:b/>
          <w:sz w:val="36"/>
          <w:lang w:val="en-US" w:eastAsia="zh-CN"/>
        </w:rPr>
        <w:t>目录</w:t>
      </w:r>
    </w:p>
    <w:p w14:paraId="7DE8D461">
      <w:pPr>
        <w:rPr>
          <w:rFonts w:hint="eastAsia" w:ascii="宋体" w:hAnsi="宋体" w:eastAsia="宋体" w:cs="宋体"/>
          <w:color w:val="auto"/>
          <w:sz w:val="28"/>
          <w:szCs w:val="21"/>
          <w:lang w:eastAsia="zh-CN"/>
        </w:rPr>
      </w:pPr>
      <w:bookmarkStart w:id="156" w:name="_Toc14346"/>
      <w:bookmarkStart w:id="157" w:name="_Toc18472"/>
    </w:p>
    <w:p w14:paraId="540FCCF6">
      <w:pPr>
        <w:numPr>
          <w:ilvl w:val="0"/>
          <w:numId w:val="3"/>
        </w:numP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磋商报价一览表</w:t>
      </w:r>
    </w:p>
    <w:p w14:paraId="5E4508A9">
      <w:pPr>
        <w:pStyle w:val="2"/>
        <w:numPr>
          <w:ilvl w:val="0"/>
          <w:numId w:val="3"/>
        </w:numPr>
        <w:rPr>
          <w:rFonts w:hint="eastAsia"/>
          <w:lang w:eastAsia="zh-CN"/>
        </w:rPr>
      </w:pPr>
      <w:r>
        <w:rPr>
          <w:rFonts w:hint="eastAsia"/>
          <w:lang w:val="en-US" w:eastAsia="zh-CN"/>
        </w:rPr>
        <w:t>磋商申请函</w:t>
      </w:r>
    </w:p>
    <w:p w14:paraId="1F309F98">
      <w:pPr>
        <w:pStyle w:val="2"/>
        <w:numPr>
          <w:ilvl w:val="0"/>
          <w:numId w:val="3"/>
        </w:numPr>
        <w:rPr>
          <w:rFonts w:hint="eastAsia"/>
          <w:lang w:eastAsia="zh-CN"/>
        </w:rPr>
      </w:pPr>
      <w:r>
        <w:rPr>
          <w:rFonts w:hint="eastAsia"/>
          <w:lang w:val="en-US" w:eastAsia="zh-CN"/>
        </w:rPr>
        <w:t>法定代表人身份证明书</w:t>
      </w:r>
    </w:p>
    <w:p w14:paraId="00B06AFC">
      <w:pPr>
        <w:pStyle w:val="2"/>
        <w:numPr>
          <w:ilvl w:val="0"/>
          <w:numId w:val="3"/>
        </w:numPr>
        <w:rPr>
          <w:rFonts w:hint="eastAsia"/>
          <w:lang w:eastAsia="zh-CN"/>
        </w:rPr>
      </w:pPr>
      <w:r>
        <w:rPr>
          <w:rFonts w:hint="eastAsia"/>
          <w:lang w:val="en-US" w:eastAsia="zh-CN"/>
        </w:rPr>
        <w:t>法定代表人授权委托书</w:t>
      </w:r>
    </w:p>
    <w:p w14:paraId="1A2A7C3F">
      <w:pPr>
        <w:pStyle w:val="2"/>
        <w:numPr>
          <w:ilvl w:val="0"/>
          <w:numId w:val="3"/>
        </w:numPr>
        <w:rPr>
          <w:rFonts w:hint="eastAsia"/>
          <w:lang w:eastAsia="zh-CN"/>
        </w:rPr>
      </w:pPr>
      <w:r>
        <w:rPr>
          <w:rFonts w:hint="eastAsia"/>
          <w:lang w:val="en-US" w:eastAsia="zh-CN"/>
        </w:rPr>
        <w:t>资格证明文件</w:t>
      </w:r>
    </w:p>
    <w:p w14:paraId="0A075F37">
      <w:pPr>
        <w:pStyle w:val="2"/>
        <w:numPr>
          <w:ilvl w:val="0"/>
          <w:numId w:val="3"/>
        </w:numPr>
        <w:rPr>
          <w:rFonts w:hint="eastAsia"/>
          <w:lang w:eastAsia="zh-CN"/>
        </w:rPr>
      </w:pPr>
      <w:r>
        <w:rPr>
          <w:rFonts w:hint="eastAsia"/>
          <w:lang w:val="en-US" w:eastAsia="zh-CN"/>
        </w:rPr>
        <w:t>项目管理机构人员</w:t>
      </w:r>
    </w:p>
    <w:p w14:paraId="7C300C06">
      <w:pPr>
        <w:pStyle w:val="2"/>
        <w:numPr>
          <w:ilvl w:val="0"/>
          <w:numId w:val="3"/>
        </w:numPr>
        <w:rPr>
          <w:rFonts w:hint="eastAsia"/>
          <w:lang w:eastAsia="zh-CN"/>
        </w:rPr>
      </w:pPr>
      <w:r>
        <w:rPr>
          <w:rFonts w:hint="eastAsia"/>
          <w:lang w:val="en-US" w:eastAsia="zh-CN"/>
        </w:rPr>
        <w:t>类似项目业绩一览表</w:t>
      </w:r>
    </w:p>
    <w:p w14:paraId="59C38D17">
      <w:pPr>
        <w:pStyle w:val="2"/>
        <w:numPr>
          <w:ilvl w:val="0"/>
          <w:numId w:val="3"/>
        </w:numPr>
        <w:rPr>
          <w:rFonts w:hint="eastAsia"/>
          <w:lang w:eastAsia="zh-CN"/>
        </w:rPr>
      </w:pPr>
      <w:r>
        <w:rPr>
          <w:rFonts w:hint="eastAsia"/>
          <w:lang w:val="en-US" w:eastAsia="zh-CN"/>
        </w:rPr>
        <w:t>技术方案</w:t>
      </w:r>
    </w:p>
    <w:p w14:paraId="2429B2AD">
      <w:pPr>
        <w:pStyle w:val="2"/>
        <w:numPr>
          <w:ilvl w:val="0"/>
          <w:numId w:val="3"/>
        </w:numPr>
        <w:rPr>
          <w:rFonts w:hint="eastAsia"/>
          <w:lang w:eastAsia="zh-CN"/>
        </w:rPr>
      </w:pPr>
      <w:r>
        <w:rPr>
          <w:rFonts w:hint="eastAsia"/>
          <w:lang w:val="en-US" w:eastAsia="zh-CN"/>
        </w:rPr>
        <w:t>构成响应文件的其他资料</w:t>
      </w:r>
    </w:p>
    <w:p w14:paraId="44510201">
      <w:pPr>
        <w:pStyle w:val="20"/>
        <w:rPr>
          <w:rFonts w:hint="eastAsia"/>
          <w:lang w:eastAsia="zh-CN"/>
        </w:rPr>
      </w:pPr>
    </w:p>
    <w:p w14:paraId="624DF22F">
      <w:pPr>
        <w:rPr>
          <w:rFonts w:hint="eastAsia" w:ascii="宋体" w:hAnsi="宋体" w:eastAsia="宋体" w:cs="宋体"/>
          <w:color w:val="auto"/>
          <w:sz w:val="36"/>
          <w:szCs w:val="24"/>
          <w:lang w:eastAsia="zh-CN"/>
        </w:rPr>
      </w:pPr>
      <w:r>
        <w:rPr>
          <w:rFonts w:hint="eastAsia" w:ascii="宋体" w:hAnsi="宋体" w:eastAsia="宋体" w:cs="宋体"/>
          <w:color w:val="auto"/>
          <w:sz w:val="36"/>
          <w:szCs w:val="24"/>
          <w:lang w:eastAsia="zh-CN"/>
        </w:rPr>
        <w:br w:type="page"/>
      </w:r>
    </w:p>
    <w:p w14:paraId="3A0B8C1D">
      <w:pPr>
        <w:pStyle w:val="5"/>
        <w:keepNext w:val="0"/>
        <w:keepLines w:val="0"/>
        <w:jc w:val="center"/>
        <w:outlineLvl w:val="2"/>
        <w:rPr>
          <w:rFonts w:hint="eastAsia" w:ascii="宋体" w:hAnsi="宋体" w:eastAsia="宋体" w:cs="宋体"/>
          <w:color w:val="auto"/>
          <w:lang w:val="en-US" w:eastAsia="zh-CN"/>
        </w:rPr>
      </w:pPr>
      <w:r>
        <w:rPr>
          <w:rFonts w:hint="eastAsia" w:ascii="宋体" w:hAnsi="宋体" w:eastAsia="宋体" w:cs="宋体"/>
          <w:color w:val="auto"/>
          <w:sz w:val="36"/>
          <w:szCs w:val="24"/>
          <w:lang w:eastAsia="zh-CN"/>
        </w:rPr>
        <w:t>一、磋商</w:t>
      </w:r>
      <w:r>
        <w:rPr>
          <w:rFonts w:hint="eastAsia" w:ascii="宋体" w:hAnsi="宋体" w:eastAsia="宋体" w:cs="宋体"/>
          <w:color w:val="auto"/>
          <w:sz w:val="36"/>
          <w:szCs w:val="24"/>
        </w:rPr>
        <w:t>报价</w:t>
      </w:r>
      <w:r>
        <w:rPr>
          <w:rFonts w:hint="eastAsia" w:ascii="宋体" w:hAnsi="宋体" w:eastAsia="宋体" w:cs="宋体"/>
          <w:color w:val="auto"/>
          <w:sz w:val="36"/>
          <w:szCs w:val="24"/>
          <w:lang w:val="en-US" w:eastAsia="zh-CN"/>
        </w:rPr>
        <w:t>一览</w:t>
      </w:r>
      <w:r>
        <w:rPr>
          <w:rFonts w:hint="eastAsia" w:ascii="宋体" w:hAnsi="宋体" w:eastAsia="宋体" w:cs="宋体"/>
          <w:color w:val="auto"/>
          <w:sz w:val="36"/>
          <w:szCs w:val="24"/>
          <w:lang w:eastAsia="zh-CN"/>
        </w:rPr>
        <w:t>表</w:t>
      </w:r>
      <w:bookmarkEnd w:id="156"/>
      <w:bookmarkEnd w:id="157"/>
    </w:p>
    <w:p w14:paraId="4AC5C68E">
      <w:pPr>
        <w:spacing w:line="420" w:lineRule="exact"/>
        <w:rPr>
          <w:rFonts w:hint="eastAsia" w:ascii="宋体" w:hAnsi="宋体" w:eastAsia="宋体" w:cs="宋体"/>
          <w:b/>
          <w:color w:val="auto"/>
          <w:sz w:val="24"/>
        </w:rPr>
      </w:pPr>
    </w:p>
    <w:p w14:paraId="4AB78228">
      <w:pPr>
        <w:spacing w:line="420" w:lineRule="exact"/>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FBDB062">
      <w:pPr>
        <w:spacing w:line="42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rPr>
        <w:t xml:space="preserve">                                                                                                                                                                      </w:t>
      </w:r>
    </w:p>
    <w:tbl>
      <w:tblPr>
        <w:tblStyle w:val="25"/>
        <w:tblW w:w="95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6"/>
        <w:gridCol w:w="5623"/>
        <w:gridCol w:w="1677"/>
      </w:tblGrid>
      <w:tr w14:paraId="7FEEF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2" w:hRule="atLeast"/>
          <w:jc w:val="center"/>
        </w:trPr>
        <w:tc>
          <w:tcPr>
            <w:tcW w:w="2276" w:type="dxa"/>
            <w:vAlign w:val="center"/>
          </w:tcPr>
          <w:p w14:paraId="09188B8E">
            <w:pPr>
              <w:pStyle w:val="14"/>
              <w:jc w:val="center"/>
              <w:rPr>
                <w:rFonts w:hint="eastAsia" w:ascii="宋体" w:hAnsi="宋体" w:eastAsia="宋体" w:cs="宋体"/>
                <w:color w:val="auto"/>
                <w:sz w:val="24"/>
              </w:rPr>
            </w:pPr>
            <w:r>
              <w:rPr>
                <w:rFonts w:hint="eastAsia" w:ascii="宋体" w:hAnsi="宋体" w:eastAsia="宋体" w:cs="宋体"/>
                <w:color w:val="auto"/>
                <w:sz w:val="24"/>
              </w:rPr>
              <w:t>内容</w:t>
            </w:r>
          </w:p>
        </w:tc>
        <w:tc>
          <w:tcPr>
            <w:tcW w:w="5623" w:type="dxa"/>
            <w:vAlign w:val="center"/>
          </w:tcPr>
          <w:p w14:paraId="7D4BE13E">
            <w:pPr>
              <w:pStyle w:val="14"/>
              <w:jc w:val="center"/>
              <w:rPr>
                <w:rFonts w:hint="eastAsia" w:ascii="宋体" w:hAnsi="宋体" w:eastAsia="宋体" w:cs="宋体"/>
                <w:color w:val="auto"/>
                <w:sz w:val="24"/>
              </w:rPr>
            </w:pPr>
            <w:r>
              <w:rPr>
                <w:rFonts w:hint="eastAsia" w:ascii="宋体" w:hAnsi="宋体" w:eastAsia="宋体" w:cs="宋体"/>
                <w:color w:val="auto"/>
                <w:sz w:val="24"/>
              </w:rPr>
              <w:t>承诺</w:t>
            </w:r>
          </w:p>
        </w:tc>
        <w:tc>
          <w:tcPr>
            <w:tcW w:w="1677" w:type="dxa"/>
            <w:vAlign w:val="center"/>
          </w:tcPr>
          <w:p w14:paraId="2ABA5097">
            <w:pPr>
              <w:pStyle w:val="14"/>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4B63E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2276" w:type="dxa"/>
            <w:vMerge w:val="restart"/>
            <w:vAlign w:val="center"/>
          </w:tcPr>
          <w:p w14:paraId="28A6FBBA">
            <w:pPr>
              <w:pStyle w:val="14"/>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总报价</w:t>
            </w:r>
          </w:p>
        </w:tc>
        <w:tc>
          <w:tcPr>
            <w:tcW w:w="5623" w:type="dxa"/>
            <w:tcBorders>
              <w:bottom w:val="single" w:color="auto" w:sz="4" w:space="0"/>
            </w:tcBorders>
            <w:vAlign w:val="center"/>
          </w:tcPr>
          <w:p w14:paraId="3AE7BD97">
            <w:pPr>
              <w:pStyle w:val="14"/>
              <w:rPr>
                <w:rFonts w:hint="eastAsia" w:ascii="宋体" w:hAnsi="宋体" w:eastAsia="宋体" w:cs="宋体"/>
                <w:color w:val="auto"/>
                <w:sz w:val="24"/>
              </w:rPr>
            </w:pPr>
            <w:r>
              <w:rPr>
                <w:rFonts w:hint="eastAsia" w:ascii="宋体" w:hAnsi="宋体" w:eastAsia="宋体" w:cs="宋体"/>
                <w:color w:val="auto"/>
                <w:sz w:val="24"/>
              </w:rPr>
              <w:t>小写</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tc>
        <w:tc>
          <w:tcPr>
            <w:tcW w:w="1677" w:type="dxa"/>
            <w:vMerge w:val="restart"/>
            <w:vAlign w:val="center"/>
          </w:tcPr>
          <w:p w14:paraId="3B899E06">
            <w:pPr>
              <w:pStyle w:val="14"/>
              <w:jc w:val="center"/>
              <w:rPr>
                <w:rFonts w:hint="eastAsia" w:ascii="宋体" w:hAnsi="宋体" w:eastAsia="宋体" w:cs="宋体"/>
                <w:color w:val="auto"/>
                <w:sz w:val="24"/>
              </w:rPr>
            </w:pPr>
          </w:p>
        </w:tc>
      </w:tr>
      <w:tr w14:paraId="13301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2276" w:type="dxa"/>
            <w:vMerge w:val="continue"/>
            <w:vAlign w:val="center"/>
          </w:tcPr>
          <w:p w14:paraId="74950767">
            <w:pPr>
              <w:pStyle w:val="14"/>
              <w:jc w:val="center"/>
              <w:rPr>
                <w:rFonts w:hint="eastAsia" w:ascii="宋体" w:hAnsi="宋体" w:eastAsia="宋体" w:cs="宋体"/>
                <w:color w:val="auto"/>
                <w:sz w:val="24"/>
              </w:rPr>
            </w:pPr>
          </w:p>
        </w:tc>
        <w:tc>
          <w:tcPr>
            <w:tcW w:w="5623" w:type="dxa"/>
            <w:tcBorders>
              <w:top w:val="single" w:color="auto" w:sz="4" w:space="0"/>
            </w:tcBorders>
            <w:vAlign w:val="center"/>
          </w:tcPr>
          <w:p w14:paraId="3DD6F842">
            <w:pPr>
              <w:pStyle w:val="14"/>
              <w:rPr>
                <w:rFonts w:hint="eastAsia" w:ascii="宋体" w:hAnsi="宋体" w:eastAsia="宋体" w:cs="宋体"/>
                <w:color w:val="auto"/>
                <w:sz w:val="24"/>
              </w:rPr>
            </w:pPr>
            <w:r>
              <w:rPr>
                <w:rFonts w:hint="eastAsia" w:ascii="宋体" w:hAnsi="宋体" w:eastAsia="宋体" w:cs="宋体"/>
                <w:color w:val="auto"/>
                <w:sz w:val="24"/>
              </w:rPr>
              <w:t>大写</w:t>
            </w:r>
            <w:r>
              <w:rPr>
                <w:rFonts w:hint="eastAsia" w:ascii="宋体" w:hAnsi="宋体" w:eastAsia="宋体" w:cs="宋体"/>
                <w:color w:val="auto"/>
                <w:sz w:val="24"/>
                <w:lang w:eastAsia="zh-CN"/>
              </w:rPr>
              <w:t>：</w:t>
            </w:r>
            <w:r>
              <w:rPr>
                <w:rFonts w:hint="eastAsia" w:ascii="宋体" w:hAnsi="宋体" w:eastAsia="宋体" w:cs="宋体"/>
                <w:color w:val="auto"/>
                <w:sz w:val="24"/>
              </w:rPr>
              <w:t>人民币</w:t>
            </w:r>
            <w:r>
              <w:rPr>
                <w:rFonts w:hint="eastAsia" w:ascii="宋体" w:hAnsi="宋体" w:eastAsia="宋体" w:cs="宋体"/>
                <w:color w:val="auto"/>
                <w:sz w:val="24"/>
                <w:u w:val="single"/>
              </w:rPr>
              <w:t xml:space="preserve">          </w:t>
            </w:r>
          </w:p>
        </w:tc>
        <w:tc>
          <w:tcPr>
            <w:tcW w:w="1677" w:type="dxa"/>
            <w:vMerge w:val="continue"/>
            <w:vAlign w:val="center"/>
          </w:tcPr>
          <w:p w14:paraId="7055982B">
            <w:pPr>
              <w:pStyle w:val="14"/>
              <w:jc w:val="center"/>
              <w:rPr>
                <w:rFonts w:hint="eastAsia" w:ascii="宋体" w:hAnsi="宋体" w:eastAsia="宋体" w:cs="宋体"/>
                <w:color w:val="auto"/>
                <w:sz w:val="24"/>
              </w:rPr>
            </w:pPr>
          </w:p>
        </w:tc>
      </w:tr>
      <w:tr w14:paraId="22BA6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7" w:hRule="atLeast"/>
          <w:jc w:val="center"/>
        </w:trPr>
        <w:tc>
          <w:tcPr>
            <w:tcW w:w="2276" w:type="dxa"/>
            <w:vAlign w:val="center"/>
          </w:tcPr>
          <w:p w14:paraId="45D3F9BA">
            <w:pPr>
              <w:pStyle w:val="14"/>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合同履行期限</w:t>
            </w:r>
          </w:p>
        </w:tc>
        <w:tc>
          <w:tcPr>
            <w:tcW w:w="5623" w:type="dxa"/>
            <w:vAlign w:val="center"/>
          </w:tcPr>
          <w:p w14:paraId="2859B0D1">
            <w:pPr>
              <w:pStyle w:val="14"/>
              <w:rPr>
                <w:rFonts w:hint="eastAsia" w:ascii="宋体" w:hAnsi="宋体" w:eastAsia="宋体" w:cs="宋体"/>
                <w:color w:val="auto"/>
                <w:sz w:val="24"/>
              </w:rPr>
            </w:pPr>
          </w:p>
        </w:tc>
        <w:tc>
          <w:tcPr>
            <w:tcW w:w="1677" w:type="dxa"/>
            <w:vAlign w:val="center"/>
          </w:tcPr>
          <w:p w14:paraId="67B0D47A">
            <w:pPr>
              <w:pStyle w:val="14"/>
              <w:rPr>
                <w:rFonts w:hint="eastAsia" w:ascii="宋体" w:hAnsi="宋体" w:eastAsia="宋体" w:cs="宋体"/>
                <w:color w:val="auto"/>
                <w:szCs w:val="21"/>
              </w:rPr>
            </w:pPr>
          </w:p>
        </w:tc>
      </w:tr>
      <w:tr w14:paraId="06168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7" w:hRule="atLeast"/>
          <w:jc w:val="center"/>
        </w:trPr>
        <w:tc>
          <w:tcPr>
            <w:tcW w:w="2276" w:type="dxa"/>
            <w:vAlign w:val="center"/>
          </w:tcPr>
          <w:p w14:paraId="4E02B07D">
            <w:pPr>
              <w:pStyle w:val="14"/>
              <w:jc w:val="center"/>
              <w:rPr>
                <w:rFonts w:hint="default" w:ascii="宋体" w:hAnsi="宋体" w:eastAsia="宋体" w:cs="宋体"/>
                <w:color w:val="auto"/>
                <w:sz w:val="24"/>
                <w:lang w:val="en-US" w:eastAsia="zh-CN"/>
              </w:rPr>
            </w:pPr>
            <w:r>
              <w:rPr>
                <w:rFonts w:hint="eastAsia" w:hAnsi="宋体" w:cs="宋体"/>
                <w:color w:val="auto"/>
                <w:sz w:val="24"/>
                <w:lang w:val="en-US" w:eastAsia="zh-CN"/>
              </w:rPr>
              <w:t>保证金</w:t>
            </w:r>
          </w:p>
        </w:tc>
        <w:tc>
          <w:tcPr>
            <w:tcW w:w="5623" w:type="dxa"/>
            <w:vAlign w:val="center"/>
          </w:tcPr>
          <w:p w14:paraId="05255752">
            <w:pPr>
              <w:pStyle w:val="14"/>
              <w:rPr>
                <w:rFonts w:hint="eastAsia" w:hAnsi="宋体" w:cs="宋体"/>
                <w:color w:val="auto"/>
                <w:sz w:val="24"/>
                <w:lang w:val="en-US" w:eastAsia="zh-CN"/>
              </w:rPr>
            </w:pPr>
            <w:r>
              <w:rPr>
                <w:rFonts w:hint="eastAsia" w:hAnsi="宋体" w:cs="宋体"/>
                <w:color w:val="auto"/>
                <w:sz w:val="24"/>
                <w:lang w:val="en-US" w:eastAsia="zh-CN"/>
              </w:rPr>
              <w:t>形式：</w:t>
            </w:r>
          </w:p>
          <w:p w14:paraId="75A0913E">
            <w:pPr>
              <w:rPr>
                <w:rFonts w:hint="default"/>
                <w:lang w:val="en-US" w:eastAsia="zh-CN"/>
              </w:rPr>
            </w:pPr>
            <w:r>
              <w:rPr>
                <w:rFonts w:hint="eastAsia" w:hAnsi="宋体" w:cs="宋体"/>
                <w:color w:val="auto"/>
                <w:sz w:val="24"/>
                <w:lang w:val="en-US" w:eastAsia="zh-CN"/>
              </w:rPr>
              <w:t>金额：</w:t>
            </w:r>
          </w:p>
        </w:tc>
        <w:tc>
          <w:tcPr>
            <w:tcW w:w="1677" w:type="dxa"/>
            <w:vAlign w:val="center"/>
          </w:tcPr>
          <w:p w14:paraId="37A2FE2A">
            <w:pPr>
              <w:pStyle w:val="14"/>
              <w:rPr>
                <w:rFonts w:hint="eastAsia" w:ascii="宋体" w:hAnsi="宋体" w:eastAsia="宋体" w:cs="宋体"/>
                <w:color w:val="auto"/>
                <w:szCs w:val="21"/>
              </w:rPr>
            </w:pPr>
          </w:p>
        </w:tc>
      </w:tr>
      <w:tr w14:paraId="35E8B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4" w:hRule="atLeast"/>
          <w:jc w:val="center"/>
        </w:trPr>
        <w:tc>
          <w:tcPr>
            <w:tcW w:w="2276" w:type="dxa"/>
            <w:vAlign w:val="center"/>
          </w:tcPr>
          <w:p w14:paraId="2DE91F84">
            <w:pPr>
              <w:pStyle w:val="14"/>
              <w:jc w:val="center"/>
              <w:rPr>
                <w:rFonts w:hint="eastAsia" w:ascii="宋体" w:hAnsi="宋体" w:eastAsia="宋体" w:cs="宋体"/>
                <w:color w:val="auto"/>
                <w:sz w:val="24"/>
              </w:rPr>
            </w:pPr>
            <w:r>
              <w:rPr>
                <w:rFonts w:hint="eastAsia" w:ascii="宋体" w:hAnsi="宋体" w:eastAsia="宋体" w:cs="宋体"/>
                <w:color w:val="auto"/>
                <w:sz w:val="24"/>
                <w:lang w:val="en-US" w:eastAsia="zh-CN"/>
              </w:rPr>
              <w:t>服务</w:t>
            </w:r>
            <w:r>
              <w:rPr>
                <w:rFonts w:hint="eastAsia" w:ascii="宋体" w:hAnsi="宋体" w:eastAsia="宋体" w:cs="宋体"/>
                <w:color w:val="auto"/>
                <w:sz w:val="24"/>
              </w:rPr>
              <w:t>地点</w:t>
            </w:r>
          </w:p>
        </w:tc>
        <w:tc>
          <w:tcPr>
            <w:tcW w:w="5623" w:type="dxa"/>
            <w:vAlign w:val="center"/>
          </w:tcPr>
          <w:p w14:paraId="6DF3458B">
            <w:pPr>
              <w:pStyle w:val="14"/>
              <w:rPr>
                <w:rFonts w:hint="eastAsia" w:ascii="宋体" w:hAnsi="宋体" w:eastAsia="宋体" w:cs="宋体"/>
                <w:color w:val="auto"/>
                <w:sz w:val="24"/>
              </w:rPr>
            </w:pPr>
          </w:p>
        </w:tc>
        <w:tc>
          <w:tcPr>
            <w:tcW w:w="1677" w:type="dxa"/>
            <w:vAlign w:val="center"/>
          </w:tcPr>
          <w:p w14:paraId="1C4E7A56">
            <w:pPr>
              <w:pStyle w:val="14"/>
              <w:rPr>
                <w:rFonts w:hint="eastAsia" w:ascii="宋体" w:hAnsi="宋体" w:eastAsia="宋体" w:cs="宋体"/>
                <w:color w:val="auto"/>
                <w:szCs w:val="21"/>
              </w:rPr>
            </w:pPr>
          </w:p>
        </w:tc>
      </w:tr>
      <w:tr w14:paraId="2E617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2" w:hRule="atLeast"/>
          <w:jc w:val="center"/>
        </w:trPr>
        <w:tc>
          <w:tcPr>
            <w:tcW w:w="2276" w:type="dxa"/>
            <w:vAlign w:val="center"/>
          </w:tcPr>
          <w:p w14:paraId="2F6FC649">
            <w:pPr>
              <w:pStyle w:val="14"/>
              <w:jc w:val="center"/>
              <w:rPr>
                <w:rFonts w:hint="eastAsia" w:ascii="宋体" w:hAnsi="宋体" w:eastAsia="宋体" w:cs="宋体"/>
                <w:color w:val="auto"/>
                <w:sz w:val="24"/>
                <w:lang w:eastAsia="zh-CN"/>
              </w:rPr>
            </w:pPr>
            <w:r>
              <w:rPr>
                <w:rFonts w:hint="eastAsia" w:hAnsi="宋体" w:cs="宋体"/>
                <w:color w:val="auto"/>
                <w:sz w:val="24"/>
                <w:lang w:val="en-US" w:eastAsia="zh-CN"/>
              </w:rPr>
              <w:t>备注</w:t>
            </w:r>
          </w:p>
        </w:tc>
        <w:tc>
          <w:tcPr>
            <w:tcW w:w="5623" w:type="dxa"/>
            <w:vAlign w:val="center"/>
          </w:tcPr>
          <w:p w14:paraId="6003B1BC">
            <w:pPr>
              <w:pStyle w:val="14"/>
              <w:rPr>
                <w:rFonts w:hint="eastAsia" w:ascii="宋体" w:hAnsi="宋体" w:eastAsia="宋体" w:cs="宋体"/>
                <w:color w:val="auto"/>
                <w:sz w:val="24"/>
              </w:rPr>
            </w:pPr>
          </w:p>
        </w:tc>
        <w:tc>
          <w:tcPr>
            <w:tcW w:w="1677" w:type="dxa"/>
            <w:vAlign w:val="center"/>
          </w:tcPr>
          <w:p w14:paraId="52A26A18">
            <w:pPr>
              <w:pStyle w:val="14"/>
              <w:rPr>
                <w:rFonts w:hint="eastAsia" w:ascii="宋体" w:hAnsi="宋体" w:eastAsia="宋体" w:cs="宋体"/>
                <w:color w:val="auto"/>
                <w:szCs w:val="21"/>
              </w:rPr>
            </w:pPr>
          </w:p>
        </w:tc>
      </w:tr>
    </w:tbl>
    <w:p w14:paraId="51B5FFE7">
      <w:pPr>
        <w:spacing w:line="360" w:lineRule="auto"/>
        <w:ind w:firstLine="588" w:firstLineChars="245"/>
        <w:rPr>
          <w:rFonts w:hint="eastAsia" w:ascii="宋体" w:hAnsi="宋体" w:eastAsia="宋体" w:cs="宋体"/>
          <w:b/>
          <w:color w:val="auto"/>
          <w:sz w:val="24"/>
        </w:rPr>
      </w:pPr>
      <w:r>
        <w:rPr>
          <w:rFonts w:hint="eastAsia" w:ascii="宋体" w:hAnsi="宋体" w:eastAsia="宋体" w:cs="宋体"/>
          <w:color w:val="auto"/>
          <w:sz w:val="24"/>
        </w:rPr>
        <w:t xml:space="preserve">    </w:t>
      </w:r>
    </w:p>
    <w:p w14:paraId="0CEA7A08">
      <w:pPr>
        <w:spacing w:line="360" w:lineRule="auto"/>
        <w:ind w:firstLine="4440" w:firstLineChars="1850"/>
        <w:rPr>
          <w:rFonts w:hint="eastAsia" w:ascii="宋体" w:hAnsi="宋体" w:eastAsia="宋体" w:cs="宋体"/>
          <w:color w:val="auto"/>
          <w:sz w:val="24"/>
        </w:rPr>
      </w:pPr>
    </w:p>
    <w:p w14:paraId="13A5FDD5">
      <w:pPr>
        <w:pStyle w:val="7"/>
        <w:spacing w:line="360" w:lineRule="exact"/>
        <w:ind w:firstLine="3240" w:firstLineChars="1350"/>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全称（</w:t>
      </w:r>
      <w:r>
        <w:rPr>
          <w:rFonts w:hint="eastAsia" w:ascii="宋体" w:hAnsi="宋体" w:eastAsia="宋体" w:cs="宋体"/>
          <w:color w:val="auto"/>
          <w:sz w:val="24"/>
          <w:szCs w:val="24"/>
          <w:lang w:val="en-US" w:eastAsia="zh-CN"/>
        </w:rPr>
        <w:t>电子</w:t>
      </w: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3A84E4AA">
      <w:pPr>
        <w:pStyle w:val="7"/>
        <w:spacing w:line="360" w:lineRule="exact"/>
        <w:ind w:firstLine="0"/>
        <w:rPr>
          <w:rFonts w:hint="eastAsia" w:ascii="宋体" w:hAnsi="宋体" w:eastAsia="宋体" w:cs="宋体"/>
          <w:color w:val="auto"/>
          <w:sz w:val="24"/>
          <w:szCs w:val="24"/>
        </w:rPr>
      </w:pPr>
    </w:p>
    <w:p w14:paraId="27159988">
      <w:pPr>
        <w:pStyle w:val="7"/>
        <w:spacing w:line="360" w:lineRule="exact"/>
        <w:ind w:firstLine="3240" w:firstLineChars="135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电子签名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4C8E4339">
      <w:pPr>
        <w:pStyle w:val="7"/>
        <w:spacing w:line="360" w:lineRule="exact"/>
        <w:ind w:firstLine="0"/>
        <w:rPr>
          <w:rFonts w:hint="eastAsia" w:ascii="宋体" w:hAnsi="宋体" w:eastAsia="宋体" w:cs="宋体"/>
          <w:color w:val="auto"/>
          <w:sz w:val="24"/>
          <w:szCs w:val="24"/>
        </w:rPr>
      </w:pPr>
    </w:p>
    <w:p w14:paraId="1D51CB68">
      <w:pPr>
        <w:pStyle w:val="7"/>
        <w:spacing w:line="360" w:lineRule="exact"/>
        <w:ind w:firstLine="3240" w:firstLineChars="1350"/>
        <w:rPr>
          <w:rFonts w:hint="eastAsia" w:ascii="宋体" w:hAnsi="宋体" w:eastAsia="宋体" w:cs="宋体"/>
          <w:color w:val="auto"/>
          <w:sz w:val="24"/>
        </w:rPr>
        <w:sectPr>
          <w:pgSz w:w="11906" w:h="16838"/>
          <w:pgMar w:top="1440" w:right="1080" w:bottom="1440" w:left="1080" w:header="851" w:footer="851" w:gutter="0"/>
          <w:pgNumType w:fmt="decimal"/>
          <w:cols w:space="708" w:num="1"/>
          <w:docGrid w:linePitch="312" w:charSpace="0"/>
        </w:sectPr>
      </w:pPr>
      <w:r>
        <w:rPr>
          <w:rFonts w:hint="eastAsia" w:ascii="宋体" w:hAnsi="宋体" w:eastAsia="宋体" w:cs="宋体"/>
          <w:color w:val="auto"/>
          <w:sz w:val="24"/>
          <w:szCs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8B495AC">
      <w:pPr>
        <w:pStyle w:val="5"/>
        <w:keepNext/>
        <w:keepLines/>
        <w:pageBreakBefore w:val="0"/>
        <w:widowControl w:val="0"/>
        <w:kinsoku/>
        <w:wordWrap/>
        <w:overflowPunct/>
        <w:topLinePunct w:val="0"/>
        <w:autoSpaceDE/>
        <w:autoSpaceDN/>
        <w:bidi w:val="0"/>
        <w:adjustRightInd/>
        <w:snapToGrid/>
        <w:spacing w:beforeLines="100"/>
        <w:jc w:val="center"/>
        <w:textAlignment w:val="auto"/>
        <w:outlineLvl w:val="2"/>
        <w:rPr>
          <w:rFonts w:hint="eastAsia" w:ascii="宋体" w:hAnsi="宋体" w:eastAsia="宋体" w:cs="宋体"/>
          <w:sz w:val="36"/>
        </w:rPr>
      </w:pPr>
      <w:bookmarkStart w:id="158" w:name="_Toc1263"/>
      <w:r>
        <w:rPr>
          <w:rFonts w:hint="eastAsia" w:ascii="宋体" w:hAnsi="宋体" w:cs="宋体"/>
          <w:b/>
          <w:sz w:val="36"/>
          <w:lang w:val="en-US" w:eastAsia="zh-CN"/>
        </w:rPr>
        <w:t>二</w:t>
      </w:r>
      <w:r>
        <w:rPr>
          <w:rFonts w:hint="eastAsia" w:ascii="宋体" w:hAnsi="宋体" w:eastAsia="宋体" w:cs="宋体"/>
          <w:b/>
          <w:sz w:val="36"/>
          <w:lang w:val="en-US" w:eastAsia="zh-CN"/>
        </w:rPr>
        <w:t>、</w:t>
      </w:r>
      <w:r>
        <w:rPr>
          <w:rFonts w:hint="eastAsia" w:ascii="宋体" w:hAnsi="宋体" w:eastAsia="宋体" w:cs="宋体"/>
          <w:sz w:val="36"/>
          <w:lang w:eastAsia="zh-CN"/>
        </w:rPr>
        <w:t>磋商申请</w:t>
      </w:r>
      <w:r>
        <w:rPr>
          <w:rFonts w:hint="eastAsia" w:ascii="宋体" w:hAnsi="宋体" w:eastAsia="宋体" w:cs="宋体"/>
          <w:sz w:val="36"/>
        </w:rPr>
        <w:t>函</w:t>
      </w:r>
      <w:bookmarkEnd w:id="154"/>
      <w:bookmarkEnd w:id="158"/>
    </w:p>
    <w:p w14:paraId="35F97400">
      <w:pPr>
        <w:spacing w:line="360" w:lineRule="auto"/>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u w:val="single"/>
        </w:rPr>
        <w:t>（采购人）</w:t>
      </w:r>
    </w:p>
    <w:p w14:paraId="5F0D6A7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根据贵方为</w:t>
      </w:r>
      <w:r>
        <w:rPr>
          <w:rFonts w:hint="eastAsia" w:ascii="宋体" w:hAnsi="宋体" w:eastAsia="宋体" w:cs="宋体"/>
          <w:sz w:val="24"/>
          <w:szCs w:val="24"/>
          <w:u w:val="single"/>
        </w:rPr>
        <w:t xml:space="preserve">（采购项目名称）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）项目竞争性磋商文件，正式授权下述签字人</w:t>
      </w:r>
      <w:r>
        <w:rPr>
          <w:rFonts w:hint="eastAsia" w:ascii="宋体" w:hAnsi="宋体" w:eastAsia="宋体" w:cs="宋体"/>
          <w:sz w:val="24"/>
          <w:szCs w:val="24"/>
          <w:u w:val="single"/>
        </w:rPr>
        <w:t xml:space="preserve">   （姓名和职务）    </w:t>
      </w:r>
      <w:r>
        <w:rPr>
          <w:rFonts w:hint="eastAsia" w:ascii="宋体" w:hAnsi="宋体" w:eastAsia="宋体" w:cs="宋体"/>
          <w:sz w:val="24"/>
          <w:szCs w:val="24"/>
        </w:rPr>
        <w:t>全权代表供应商</w:t>
      </w:r>
      <w:r>
        <w:rPr>
          <w:rFonts w:hint="eastAsia" w:ascii="宋体" w:hAnsi="宋体" w:eastAsia="宋体" w:cs="宋体"/>
          <w:sz w:val="24"/>
          <w:szCs w:val="24"/>
          <w:u w:val="single"/>
        </w:rPr>
        <w:t xml:space="preserve">（供应商全称） </w:t>
      </w:r>
      <w:r>
        <w:rPr>
          <w:rFonts w:hint="eastAsia" w:ascii="宋体" w:hAnsi="宋体" w:eastAsia="宋体" w:cs="宋体"/>
          <w:sz w:val="24"/>
          <w:szCs w:val="24"/>
        </w:rPr>
        <w:t>参加投标。据此函，签字人兹宣布同意如下：</w:t>
      </w:r>
    </w:p>
    <w:p w14:paraId="50FE318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按竞争性磋商文件“</w:t>
      </w:r>
      <w:r>
        <w:rPr>
          <w:rFonts w:hint="eastAsia" w:ascii="宋体" w:hAnsi="宋体" w:eastAsia="宋体" w:cs="宋体"/>
          <w:sz w:val="24"/>
          <w:szCs w:val="24"/>
          <w:lang w:val="en-US" w:eastAsia="zh-CN"/>
        </w:rPr>
        <w:t>采购需求</w:t>
      </w:r>
      <w:r>
        <w:rPr>
          <w:rFonts w:hint="eastAsia" w:ascii="宋体" w:hAnsi="宋体" w:eastAsia="宋体" w:cs="宋体"/>
          <w:sz w:val="24"/>
          <w:szCs w:val="24"/>
        </w:rPr>
        <w:t>”和“</w:t>
      </w:r>
      <w:r>
        <w:rPr>
          <w:rFonts w:hint="eastAsia" w:ascii="宋体" w:hAnsi="宋体" w:eastAsia="宋体" w:cs="宋体"/>
          <w:sz w:val="24"/>
          <w:szCs w:val="24"/>
          <w:lang w:val="en-US" w:eastAsia="zh-CN"/>
        </w:rPr>
        <w:t>磋商报价</w:t>
      </w:r>
      <w:r>
        <w:rPr>
          <w:rFonts w:hint="eastAsia" w:ascii="宋体" w:hAnsi="宋体" w:eastAsia="宋体" w:cs="宋体"/>
          <w:sz w:val="24"/>
          <w:szCs w:val="24"/>
        </w:rPr>
        <w:t>一览表”</w:t>
      </w:r>
      <w:r>
        <w:rPr>
          <w:rFonts w:hint="eastAsia" w:ascii="宋体" w:hAnsi="宋体" w:eastAsia="宋体" w:cs="宋体"/>
          <w:sz w:val="24"/>
          <w:szCs w:val="24"/>
          <w:lang w:val="en-US" w:eastAsia="zh-CN"/>
        </w:rPr>
        <w:t>中的报价参与本次竞争性磋商</w:t>
      </w:r>
      <w:r>
        <w:rPr>
          <w:rFonts w:hint="eastAsia" w:ascii="宋体" w:hAnsi="宋体" w:eastAsia="宋体" w:cs="宋体"/>
          <w:sz w:val="24"/>
          <w:szCs w:val="24"/>
        </w:rPr>
        <w:t>。</w:t>
      </w:r>
    </w:p>
    <w:p w14:paraId="2590004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我方承诺已经具备《中华人民共和国政府采购法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政府采购竞争性磋商采购方式管理暂行办法》中规定的参加政府采购活动的供应商应当具备的条件。</w:t>
      </w:r>
    </w:p>
    <w:p w14:paraId="7DD69A3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如我方投标被接受，我方将按</w:t>
      </w:r>
      <w:r>
        <w:rPr>
          <w:rFonts w:hint="eastAsia" w:ascii="宋体" w:hAnsi="宋体" w:cs="宋体"/>
          <w:sz w:val="24"/>
          <w:szCs w:val="24"/>
          <w:lang w:val="en-US" w:eastAsia="zh-CN"/>
        </w:rPr>
        <w:t>竞争性</w:t>
      </w:r>
      <w:r>
        <w:rPr>
          <w:rFonts w:hint="eastAsia" w:ascii="宋体" w:hAnsi="宋体" w:eastAsia="宋体" w:cs="宋体"/>
          <w:sz w:val="24"/>
          <w:szCs w:val="24"/>
        </w:rPr>
        <w:t>磋商文件的规定履行合同责任和义务，保证在约定的合同履行期</w:t>
      </w:r>
      <w:r>
        <w:rPr>
          <w:rFonts w:hint="eastAsia" w:ascii="宋体" w:hAnsi="宋体" w:eastAsia="宋体" w:cs="宋体"/>
          <w:sz w:val="24"/>
          <w:szCs w:val="24"/>
          <w:lang w:eastAsia="zh-CN"/>
        </w:rPr>
        <w:t>限内</w:t>
      </w:r>
      <w:r>
        <w:rPr>
          <w:rFonts w:hint="eastAsia" w:ascii="宋体" w:hAnsi="宋体" w:eastAsia="宋体" w:cs="宋体"/>
          <w:sz w:val="24"/>
          <w:szCs w:val="24"/>
        </w:rPr>
        <w:t>完成，并承担合同规定的责任义务。</w:t>
      </w:r>
    </w:p>
    <w:p w14:paraId="35D931C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我方已详细审核竞争性磋商文件，我方知道必须放弃提出含糊不清或误解问题的权利。</w:t>
      </w:r>
    </w:p>
    <w:p w14:paraId="4CD65E6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如果在响应文件有效期内撤回投标或者有其他违约行为，我方</w:t>
      </w:r>
      <w:r>
        <w:rPr>
          <w:rFonts w:hint="eastAsia" w:ascii="宋体" w:hAnsi="宋体" w:eastAsia="宋体" w:cs="宋体"/>
          <w:sz w:val="24"/>
          <w:szCs w:val="24"/>
          <w:lang w:val="en-US" w:eastAsia="zh-CN"/>
        </w:rPr>
        <w:t>将承担相应的法律责任</w:t>
      </w:r>
      <w:r>
        <w:rPr>
          <w:rFonts w:hint="eastAsia" w:ascii="宋体" w:hAnsi="宋体" w:eastAsia="宋体" w:cs="宋体"/>
          <w:sz w:val="24"/>
          <w:szCs w:val="24"/>
        </w:rPr>
        <w:t>。</w:t>
      </w:r>
    </w:p>
    <w:p w14:paraId="0C7CCFF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同意应贵方要求提供与本项目有关的数据或资料。</w:t>
      </w:r>
    </w:p>
    <w:p w14:paraId="4D714BB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本</w:t>
      </w:r>
      <w:r>
        <w:rPr>
          <w:rFonts w:hint="eastAsia" w:ascii="宋体" w:hAnsi="宋体" w:eastAsia="宋体" w:cs="宋体"/>
          <w:sz w:val="24"/>
          <w:szCs w:val="24"/>
          <w:lang w:val="en-US" w:eastAsia="zh-CN"/>
        </w:rPr>
        <w:t>响应文件</w:t>
      </w:r>
      <w:r>
        <w:rPr>
          <w:rFonts w:hint="eastAsia" w:ascii="宋体" w:hAnsi="宋体" w:eastAsia="宋体" w:cs="宋体"/>
          <w:sz w:val="24"/>
          <w:szCs w:val="24"/>
        </w:rPr>
        <w:t>自贵方收到之</w:t>
      </w:r>
      <w:r>
        <w:rPr>
          <w:rFonts w:hint="eastAsia" w:ascii="宋体" w:hAnsi="宋体" w:eastAsia="宋体" w:cs="宋体"/>
          <w:sz w:val="24"/>
          <w:szCs w:val="24"/>
          <w:lang w:eastAsia="zh-CN"/>
        </w:rPr>
        <w:t>日起</w:t>
      </w:r>
      <w:r>
        <w:rPr>
          <w:rFonts w:hint="eastAsia" w:ascii="宋体" w:hAnsi="宋体" w:eastAsia="宋体" w:cs="宋体"/>
          <w:sz w:val="24"/>
          <w:szCs w:val="24"/>
        </w:rPr>
        <w:t>生效，</w:t>
      </w:r>
      <w:r>
        <w:rPr>
          <w:rFonts w:hint="eastAsia" w:ascii="宋体" w:hAnsi="宋体" w:cs="宋体"/>
          <w:sz w:val="24"/>
          <w:szCs w:val="24"/>
          <w:lang w:eastAsia="zh-CN"/>
        </w:rPr>
        <w:t>磋商</w:t>
      </w:r>
      <w:r>
        <w:rPr>
          <w:rFonts w:hint="eastAsia" w:ascii="宋体" w:hAnsi="宋体" w:eastAsia="宋体" w:cs="宋体"/>
          <w:sz w:val="24"/>
          <w:szCs w:val="24"/>
        </w:rPr>
        <w:t>有效期至开标后</w:t>
      </w:r>
      <w:r>
        <w:rPr>
          <w:rFonts w:hint="eastAsia" w:ascii="宋体" w:hAnsi="宋体" w:eastAsia="宋体" w:cs="宋体"/>
          <w:sz w:val="24"/>
          <w:szCs w:val="24"/>
          <w:lang w:val="en-US" w:eastAsia="zh-CN"/>
        </w:rPr>
        <w:t>9</w:t>
      </w:r>
      <w:r>
        <w:rPr>
          <w:rFonts w:hint="eastAsia" w:ascii="宋体" w:hAnsi="宋体" w:eastAsia="宋体" w:cs="宋体"/>
          <w:sz w:val="24"/>
          <w:szCs w:val="24"/>
        </w:rPr>
        <w:t>0</w:t>
      </w:r>
      <w:r>
        <w:rPr>
          <w:rFonts w:hint="eastAsia" w:ascii="宋体" w:hAnsi="宋体" w:eastAsia="宋体" w:cs="宋体"/>
          <w:sz w:val="24"/>
          <w:szCs w:val="24"/>
          <w:lang w:val="en-US" w:eastAsia="zh-CN"/>
        </w:rPr>
        <w:t>日历天</w:t>
      </w:r>
      <w:r>
        <w:rPr>
          <w:rFonts w:hint="eastAsia" w:ascii="宋体" w:hAnsi="宋体" w:eastAsia="宋体" w:cs="宋体"/>
          <w:sz w:val="24"/>
          <w:szCs w:val="24"/>
        </w:rPr>
        <w:t>，在此期间本投标书之规定对我方具有约束力。</w:t>
      </w:r>
    </w:p>
    <w:p w14:paraId="61A1E5B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如果我方</w:t>
      </w:r>
      <w:r>
        <w:rPr>
          <w:rFonts w:hint="eastAsia" w:ascii="宋体" w:hAnsi="宋体" w:cs="宋体"/>
          <w:sz w:val="24"/>
          <w:szCs w:val="24"/>
          <w:lang w:val="en-US" w:eastAsia="zh-CN"/>
        </w:rPr>
        <w:t>响应文件</w:t>
      </w:r>
      <w:r>
        <w:rPr>
          <w:rFonts w:hint="eastAsia" w:ascii="宋体" w:hAnsi="宋体" w:eastAsia="宋体" w:cs="宋体"/>
          <w:sz w:val="24"/>
          <w:szCs w:val="24"/>
        </w:rPr>
        <w:t>被接受，则至合同履行</w:t>
      </w:r>
      <w:r>
        <w:rPr>
          <w:rFonts w:hint="eastAsia" w:ascii="宋体" w:hAnsi="宋体" w:eastAsia="宋体" w:cs="宋体"/>
          <w:sz w:val="24"/>
          <w:szCs w:val="24"/>
          <w:lang w:eastAsia="zh-CN"/>
        </w:rPr>
        <w:t>完成</w:t>
      </w:r>
      <w:r>
        <w:rPr>
          <w:rFonts w:hint="eastAsia" w:ascii="宋体" w:hAnsi="宋体" w:eastAsia="宋体" w:cs="宋体"/>
          <w:sz w:val="24"/>
          <w:szCs w:val="24"/>
        </w:rPr>
        <w:t>、质保期满为止，本投标函保持有效。</w:t>
      </w:r>
    </w:p>
    <w:p w14:paraId="2237CB5C">
      <w:pPr>
        <w:spacing w:line="360" w:lineRule="auto"/>
        <w:jc w:val="left"/>
        <w:rPr>
          <w:rFonts w:hint="eastAsia" w:ascii="宋体" w:hAnsi="宋体" w:eastAsia="宋体" w:cs="宋体"/>
          <w:sz w:val="24"/>
          <w:szCs w:val="24"/>
        </w:rPr>
      </w:pPr>
    </w:p>
    <w:p w14:paraId="32AB0D27">
      <w:pPr>
        <w:spacing w:line="480" w:lineRule="auto"/>
        <w:ind w:firstLine="510"/>
        <w:rPr>
          <w:rFonts w:hint="eastAsia" w:ascii="宋体" w:hAnsi="宋体" w:eastAsia="宋体" w:cs="宋体"/>
          <w:sz w:val="24"/>
          <w:u w:val="single"/>
        </w:rPr>
      </w:pPr>
      <w:r>
        <w:rPr>
          <w:rFonts w:hint="eastAsia" w:ascii="宋体" w:hAnsi="宋体" w:eastAsia="宋体" w:cs="宋体"/>
          <w:sz w:val="24"/>
        </w:rPr>
        <w:t>供应商全称（</w:t>
      </w:r>
      <w:r>
        <w:rPr>
          <w:rFonts w:hint="eastAsia" w:ascii="宋体" w:hAnsi="宋体" w:eastAsia="宋体" w:cs="宋体"/>
          <w:bCs/>
          <w:sz w:val="24"/>
          <w:szCs w:val="24"/>
          <w:lang w:val="en-US" w:eastAsia="zh-CN"/>
        </w:rPr>
        <w:t>电子签章</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4808C28">
      <w:pPr>
        <w:spacing w:line="480" w:lineRule="auto"/>
        <w:ind w:firstLine="51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1A048AC">
      <w:pPr>
        <w:spacing w:line="480" w:lineRule="auto"/>
        <w:ind w:firstLine="510"/>
        <w:rPr>
          <w:rFonts w:hint="eastAsia" w:ascii="宋体" w:hAnsi="宋体" w:eastAsia="宋体" w:cs="宋体"/>
          <w:sz w:val="24"/>
        </w:rPr>
      </w:pPr>
      <w:r>
        <w:rPr>
          <w:rFonts w:hint="eastAsia" w:ascii="宋体" w:hAnsi="宋体" w:eastAsia="宋体" w:cs="宋体"/>
          <w:sz w:val="24"/>
        </w:rPr>
        <w:t>邮  编：</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14:paraId="43B92E54">
      <w:pPr>
        <w:spacing w:beforeLines="100"/>
        <w:ind w:firstLine="480" w:firstLineChars="200"/>
        <w:jc w:val="both"/>
        <w:outlineLvl w:val="9"/>
        <w:rPr>
          <w:rFonts w:hint="eastAsia" w:ascii="宋体" w:hAnsi="宋体" w:eastAsia="宋体" w:cs="宋体"/>
          <w:sz w:val="36"/>
          <w:lang w:eastAsia="zh-CN"/>
        </w:rPr>
        <w:sectPr>
          <w:headerReference r:id="rId7" w:type="default"/>
          <w:footerReference r:id="rId8" w:type="default"/>
          <w:pgSz w:w="11906" w:h="16838"/>
          <w:pgMar w:top="1440" w:right="1080" w:bottom="1440" w:left="1080" w:header="851" w:footer="851" w:gutter="0"/>
          <w:pgNumType w:fmt="decimal"/>
          <w:cols w:space="708" w:num="1"/>
          <w:docGrid w:linePitch="312" w:charSpace="0"/>
        </w:sectPr>
      </w:pPr>
      <w:r>
        <w:rPr>
          <w:rFonts w:hint="eastAsia" w:ascii="宋体" w:hAnsi="宋体" w:eastAsia="宋体" w:cs="宋体"/>
          <w:sz w:val="24"/>
        </w:rPr>
        <w:t>法定代表人或委托代理人（</w:t>
      </w:r>
      <w:r>
        <w:rPr>
          <w:rFonts w:hint="eastAsia" w:ascii="宋体" w:hAnsi="宋体" w:eastAsia="宋体" w:cs="宋体"/>
          <w:bCs/>
          <w:sz w:val="24"/>
          <w:szCs w:val="24"/>
        </w:rPr>
        <w:t>签字</w:t>
      </w:r>
      <w:r>
        <w:rPr>
          <w:rFonts w:hint="eastAsia" w:ascii="宋体" w:hAnsi="宋体" w:eastAsia="宋体" w:cs="宋体"/>
          <w:bCs/>
          <w:sz w:val="24"/>
          <w:szCs w:val="24"/>
          <w:lang w:val="en-US" w:eastAsia="zh-CN"/>
        </w:rPr>
        <w:t>或盖章</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77D02DC">
      <w:pPr>
        <w:pStyle w:val="5"/>
        <w:spacing w:beforeLines="100"/>
        <w:jc w:val="center"/>
        <w:outlineLvl w:val="2"/>
        <w:rPr>
          <w:rFonts w:hint="eastAsia" w:ascii="宋体" w:hAnsi="宋体" w:eastAsia="宋体" w:cs="宋体"/>
          <w:sz w:val="36"/>
        </w:rPr>
      </w:pPr>
      <w:bookmarkStart w:id="159" w:name="_Toc21924"/>
      <w:bookmarkStart w:id="160" w:name="_Toc30759"/>
      <w:r>
        <w:rPr>
          <w:rFonts w:hint="eastAsia" w:hAnsi="宋体" w:cs="宋体"/>
          <w:sz w:val="36"/>
          <w:lang w:val="en-US" w:eastAsia="zh-CN"/>
        </w:rPr>
        <w:t>三</w:t>
      </w:r>
      <w:r>
        <w:rPr>
          <w:rFonts w:hint="eastAsia" w:ascii="宋体" w:hAnsi="宋体" w:eastAsia="宋体" w:cs="宋体"/>
          <w:sz w:val="36"/>
          <w:lang w:val="en-US" w:eastAsia="zh-CN"/>
        </w:rPr>
        <w:t>、</w:t>
      </w:r>
      <w:r>
        <w:rPr>
          <w:rFonts w:hint="eastAsia" w:ascii="宋体" w:hAnsi="宋体" w:eastAsia="宋体" w:cs="宋体"/>
          <w:sz w:val="36"/>
        </w:rPr>
        <w:t>法定代表人身份证明书</w:t>
      </w:r>
      <w:bookmarkEnd w:id="159"/>
      <w:bookmarkEnd w:id="160"/>
    </w:p>
    <w:p w14:paraId="55C9A34B">
      <w:pPr>
        <w:jc w:val="center"/>
        <w:rPr>
          <w:rFonts w:hint="eastAsia" w:ascii="宋体" w:hAnsi="宋体" w:eastAsia="宋体" w:cs="宋体"/>
          <w:b/>
          <w:sz w:val="36"/>
        </w:rPr>
      </w:pPr>
    </w:p>
    <w:p w14:paraId="3E3781FD">
      <w:pPr>
        <w:jc w:val="center"/>
        <w:rPr>
          <w:rFonts w:hint="eastAsia" w:ascii="宋体" w:hAnsi="宋体" w:eastAsia="宋体" w:cs="宋体"/>
          <w:b/>
          <w:sz w:val="36"/>
        </w:rPr>
      </w:pPr>
    </w:p>
    <w:p w14:paraId="13470A7E">
      <w:pPr>
        <w:rPr>
          <w:rFonts w:hint="eastAsia" w:ascii="宋体" w:hAnsi="宋体" w:eastAsia="宋体" w:cs="宋体"/>
          <w:b/>
        </w:rPr>
      </w:pPr>
    </w:p>
    <w:p w14:paraId="3E20E2BC">
      <w:pPr>
        <w:spacing w:line="360" w:lineRule="auto"/>
        <w:ind w:firstLine="612"/>
        <w:rPr>
          <w:rFonts w:hint="eastAsia" w:ascii="宋体" w:hAnsi="宋体" w:eastAsia="宋体" w:cs="宋体"/>
          <w:sz w:val="24"/>
        </w:rPr>
      </w:pPr>
      <w:r>
        <w:rPr>
          <w:rFonts w:hint="eastAsia" w:ascii="宋体" w:hAnsi="宋体" w:eastAsia="宋体" w:cs="宋体"/>
          <w:sz w:val="24"/>
        </w:rPr>
        <w:t>单位名称：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7F04D396">
      <w:pPr>
        <w:spacing w:line="360" w:lineRule="auto"/>
        <w:ind w:firstLine="612"/>
        <w:rPr>
          <w:rFonts w:hint="eastAsia" w:ascii="宋体" w:hAnsi="宋体" w:eastAsia="宋体" w:cs="宋体"/>
          <w:sz w:val="24"/>
        </w:rPr>
      </w:pPr>
    </w:p>
    <w:p w14:paraId="24AAE105">
      <w:pPr>
        <w:spacing w:line="360" w:lineRule="auto"/>
        <w:ind w:firstLine="61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1DB808E0">
      <w:pPr>
        <w:spacing w:line="360" w:lineRule="auto"/>
        <w:ind w:firstLine="610"/>
        <w:rPr>
          <w:rFonts w:hint="eastAsia" w:ascii="宋体" w:hAnsi="宋体" w:eastAsia="宋体" w:cs="宋体"/>
          <w:sz w:val="24"/>
        </w:rPr>
      </w:pPr>
    </w:p>
    <w:p w14:paraId="4A650CA0">
      <w:pPr>
        <w:spacing w:line="360" w:lineRule="auto"/>
        <w:ind w:firstLine="61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p>
    <w:p w14:paraId="22D4E495">
      <w:pPr>
        <w:spacing w:line="360" w:lineRule="auto"/>
        <w:ind w:firstLine="610"/>
        <w:rPr>
          <w:rFonts w:hint="eastAsia" w:ascii="宋体" w:hAnsi="宋体" w:eastAsia="宋体" w:cs="宋体"/>
          <w:sz w:val="24"/>
        </w:rPr>
      </w:pPr>
    </w:p>
    <w:p w14:paraId="0F1645BD">
      <w:pPr>
        <w:spacing w:line="360" w:lineRule="auto"/>
        <w:ind w:firstLine="61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9E3808E">
      <w:pPr>
        <w:spacing w:line="360" w:lineRule="auto"/>
        <w:ind w:firstLine="610"/>
        <w:rPr>
          <w:rFonts w:hint="eastAsia" w:ascii="宋体" w:hAnsi="宋体" w:eastAsia="宋体" w:cs="宋体"/>
          <w:sz w:val="24"/>
        </w:rPr>
      </w:pPr>
    </w:p>
    <w:p w14:paraId="55CAB695">
      <w:pPr>
        <w:spacing w:line="360" w:lineRule="auto"/>
        <w:ind w:firstLine="61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p>
    <w:p w14:paraId="55AE056D">
      <w:pPr>
        <w:spacing w:line="360" w:lineRule="auto"/>
        <w:ind w:firstLine="610"/>
        <w:rPr>
          <w:rFonts w:hint="eastAsia" w:ascii="宋体" w:hAnsi="宋体" w:eastAsia="宋体" w:cs="宋体"/>
          <w:sz w:val="24"/>
        </w:rPr>
      </w:pPr>
    </w:p>
    <w:p w14:paraId="171FE461">
      <w:pPr>
        <w:spacing w:line="360" w:lineRule="auto"/>
        <w:ind w:firstLine="610"/>
        <w:rPr>
          <w:rFonts w:hint="eastAsia"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ab/>
      </w:r>
      <w:r>
        <w:rPr>
          <w:rFonts w:hint="eastAsia" w:ascii="宋体" w:hAnsi="宋体" w:eastAsia="宋体" w:cs="宋体"/>
          <w:sz w:val="24"/>
          <w:u w:val="single"/>
        </w:rPr>
        <w:tab/>
      </w:r>
    </w:p>
    <w:p w14:paraId="266B28CE">
      <w:pPr>
        <w:spacing w:line="360" w:lineRule="auto"/>
        <w:ind w:firstLine="610"/>
        <w:rPr>
          <w:rFonts w:hint="eastAsia" w:ascii="宋体" w:hAnsi="宋体" w:eastAsia="宋体" w:cs="宋体"/>
          <w:sz w:val="24"/>
        </w:rPr>
      </w:pPr>
    </w:p>
    <w:p w14:paraId="32D5833A">
      <w:pPr>
        <w:spacing w:line="360" w:lineRule="auto"/>
        <w:ind w:firstLine="61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rPr>
        <w:t>供应商单位名称</w:t>
      </w:r>
      <w:r>
        <w:rPr>
          <w:rFonts w:hint="eastAsia" w:ascii="宋体" w:hAnsi="宋体" w:eastAsia="宋体" w:cs="宋体"/>
          <w:sz w:val="24"/>
          <w:u w:val="single"/>
          <w:lang w:eastAsia="zh-CN"/>
        </w:rPr>
        <w:t>）</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71927189">
      <w:pPr>
        <w:spacing w:line="360" w:lineRule="auto"/>
        <w:ind w:firstLine="610"/>
        <w:rPr>
          <w:rFonts w:hint="eastAsia" w:ascii="宋体" w:hAnsi="宋体" w:eastAsia="宋体" w:cs="宋体"/>
          <w:sz w:val="24"/>
        </w:rPr>
      </w:pPr>
    </w:p>
    <w:p w14:paraId="5F7C6A89">
      <w:pPr>
        <w:spacing w:line="360" w:lineRule="auto"/>
        <w:ind w:firstLine="610"/>
        <w:rPr>
          <w:rFonts w:hint="eastAsia" w:ascii="宋体" w:hAnsi="宋体" w:eastAsia="宋体" w:cs="宋体"/>
          <w:sz w:val="24"/>
        </w:rPr>
      </w:pPr>
      <w:r>
        <w:rPr>
          <w:rFonts w:hint="eastAsia" w:ascii="宋体" w:hAnsi="宋体" w:eastAsia="宋体" w:cs="宋体"/>
          <w:sz w:val="24"/>
        </w:rPr>
        <w:t>特此证明。</w:t>
      </w:r>
    </w:p>
    <w:p w14:paraId="56362ABA">
      <w:pPr>
        <w:tabs>
          <w:tab w:val="left" w:pos="720"/>
          <w:tab w:val="left" w:pos="900"/>
        </w:tabs>
        <w:spacing w:line="360" w:lineRule="auto"/>
        <w:ind w:firstLine="4560" w:firstLineChars="1900"/>
        <w:rPr>
          <w:rFonts w:hint="eastAsia" w:ascii="宋体" w:hAnsi="宋体" w:eastAsia="宋体" w:cs="宋体"/>
          <w:sz w:val="24"/>
        </w:rPr>
      </w:pPr>
    </w:p>
    <w:p w14:paraId="4E445E44">
      <w:pPr>
        <w:tabs>
          <w:tab w:val="left" w:pos="720"/>
          <w:tab w:val="left" w:pos="900"/>
        </w:tabs>
        <w:spacing w:line="420" w:lineRule="auto"/>
        <w:ind w:firstLine="5040" w:firstLineChars="2100"/>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（电子</w:t>
      </w:r>
      <w:r>
        <w:rPr>
          <w:rFonts w:hint="eastAsia" w:ascii="宋体" w:hAnsi="宋体" w:eastAsia="宋体" w:cs="宋体"/>
          <w:sz w:val="24"/>
          <w:u w:val="single"/>
          <w:lang w:val="en-US" w:eastAsia="zh-CN"/>
        </w:rPr>
        <w:t>签</w:t>
      </w:r>
      <w:r>
        <w:rPr>
          <w:rFonts w:hint="eastAsia" w:ascii="宋体" w:hAnsi="宋体" w:eastAsia="宋体" w:cs="宋体"/>
          <w:sz w:val="24"/>
          <w:u w:val="single"/>
        </w:rPr>
        <w:t xml:space="preserve">章）        </w:t>
      </w:r>
    </w:p>
    <w:p w14:paraId="766E0956">
      <w:pPr>
        <w:tabs>
          <w:tab w:val="left" w:pos="720"/>
          <w:tab w:val="left" w:pos="900"/>
        </w:tabs>
        <w:spacing w:line="420" w:lineRule="auto"/>
        <w:ind w:firstLine="5040" w:firstLineChars="21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9D631FB">
      <w:pPr>
        <w:tabs>
          <w:tab w:val="left" w:pos="720"/>
          <w:tab w:val="left" w:pos="900"/>
        </w:tabs>
        <w:spacing w:line="360" w:lineRule="auto"/>
        <w:rPr>
          <w:rFonts w:hint="eastAsia" w:ascii="宋体" w:hAnsi="宋体" w:eastAsia="宋体" w:cs="宋体"/>
        </w:rPr>
      </w:pPr>
      <w:r>
        <w:rPr>
          <w:rFonts w:hint="eastAsia" w:ascii="宋体" w:hAnsi="宋体" w:eastAsia="宋体" w:cs="宋体"/>
          <w:b/>
          <w:sz w:val="24"/>
        </w:rPr>
        <w:t>（附法定代表人身份证正反面扫描件）</w:t>
      </w:r>
    </w:p>
    <w:p w14:paraId="02E79AAA">
      <w:pPr>
        <w:tabs>
          <w:tab w:val="left" w:pos="720"/>
          <w:tab w:val="left" w:pos="900"/>
        </w:tabs>
        <w:spacing w:line="360" w:lineRule="auto"/>
        <w:ind w:firstLine="4188" w:firstLineChars="1490"/>
        <w:rPr>
          <w:rFonts w:hint="eastAsia" w:ascii="宋体" w:hAnsi="宋体" w:eastAsia="宋体" w:cs="宋体"/>
          <w:b/>
          <w:sz w:val="28"/>
          <w:szCs w:val="28"/>
        </w:rPr>
      </w:pPr>
    </w:p>
    <w:p w14:paraId="7C8A63F5">
      <w:pPr>
        <w:pStyle w:val="5"/>
        <w:spacing w:beforeLines="100"/>
        <w:jc w:val="center"/>
        <w:outlineLvl w:val="2"/>
        <w:rPr>
          <w:rFonts w:hint="eastAsia" w:ascii="宋体" w:hAnsi="宋体" w:eastAsia="宋体" w:cs="宋体"/>
          <w:sz w:val="36"/>
        </w:rPr>
      </w:pPr>
      <w:r>
        <w:rPr>
          <w:rFonts w:hint="eastAsia" w:ascii="宋体" w:hAnsi="宋体" w:eastAsia="宋体" w:cs="宋体"/>
          <w:b w:val="0"/>
          <w:sz w:val="28"/>
          <w:szCs w:val="28"/>
        </w:rPr>
        <w:br w:type="page"/>
      </w:r>
      <w:bookmarkStart w:id="161" w:name="_Toc13690"/>
      <w:bookmarkStart w:id="162" w:name="_Toc2949"/>
      <w:r>
        <w:rPr>
          <w:rFonts w:hint="eastAsia" w:hAnsi="宋体" w:cs="宋体"/>
          <w:sz w:val="36"/>
          <w:lang w:val="en-US" w:eastAsia="zh-CN"/>
        </w:rPr>
        <w:t>四</w:t>
      </w:r>
      <w:r>
        <w:rPr>
          <w:rFonts w:hint="eastAsia" w:ascii="宋体" w:hAnsi="宋体" w:eastAsia="宋体" w:cs="宋体"/>
          <w:sz w:val="36"/>
          <w:lang w:val="en-US" w:eastAsia="zh-CN"/>
        </w:rPr>
        <w:t>、</w:t>
      </w:r>
      <w:r>
        <w:rPr>
          <w:rFonts w:hint="eastAsia" w:ascii="宋体" w:hAnsi="宋体" w:eastAsia="宋体" w:cs="宋体"/>
          <w:sz w:val="36"/>
        </w:rPr>
        <w:t>法定代表人授权委托书</w:t>
      </w:r>
      <w:bookmarkEnd w:id="161"/>
      <w:bookmarkEnd w:id="162"/>
    </w:p>
    <w:p w14:paraId="70A86098">
      <w:pPr>
        <w:spacing w:line="500" w:lineRule="exact"/>
        <w:rPr>
          <w:rFonts w:hint="eastAsia" w:ascii="宋体" w:hAnsi="宋体" w:eastAsia="宋体" w:cs="宋体"/>
          <w:sz w:val="24"/>
        </w:rPr>
      </w:pPr>
    </w:p>
    <w:p w14:paraId="213C5425">
      <w:pPr>
        <w:spacing w:line="500" w:lineRule="exact"/>
        <w:ind w:firstLine="420"/>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rPr>
        <w:t>姓名</w:t>
      </w:r>
      <w:r>
        <w:rPr>
          <w:rFonts w:hint="eastAsia" w:ascii="宋体" w:hAnsi="宋体" w:eastAsia="宋体" w:cs="宋体"/>
          <w:sz w:val="24"/>
          <w:lang w:eastAsia="zh-CN"/>
        </w:rPr>
        <w:t>）</w:t>
      </w: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bCs/>
          <w:sz w:val="24"/>
          <w:szCs w:val="24"/>
        </w:rPr>
        <w:t>供应商</w:t>
      </w:r>
      <w:r>
        <w:rPr>
          <w:rFonts w:hint="eastAsia" w:ascii="宋体" w:hAnsi="宋体" w:eastAsia="宋体" w:cs="宋体"/>
          <w:sz w:val="24"/>
        </w:rPr>
        <w:t>名称</w:t>
      </w:r>
      <w:r>
        <w:rPr>
          <w:rFonts w:hint="eastAsia" w:ascii="宋体" w:hAnsi="宋体" w:eastAsia="宋体" w:cs="宋体"/>
          <w:sz w:val="24"/>
          <w:lang w:eastAsia="zh-CN"/>
        </w:rPr>
        <w:t>）</w:t>
      </w:r>
      <w:r>
        <w:rPr>
          <w:rFonts w:hint="eastAsia" w:ascii="宋体" w:hAnsi="宋体" w:eastAsia="宋体" w:cs="宋体"/>
          <w:sz w:val="24"/>
        </w:rPr>
        <w:t xml:space="preserve">的法定代表人，现授权委托我单位的 </w:t>
      </w:r>
      <w:r>
        <w:rPr>
          <w:rFonts w:hint="eastAsia" w:ascii="宋体" w:hAnsi="宋体" w:eastAsia="宋体" w:cs="宋体"/>
          <w:sz w:val="24"/>
          <w:lang w:eastAsia="zh-CN"/>
        </w:rPr>
        <w:t>（</w:t>
      </w:r>
      <w:r>
        <w:rPr>
          <w:rFonts w:hint="eastAsia" w:ascii="宋体" w:hAnsi="宋体" w:eastAsia="宋体" w:cs="宋体"/>
          <w:sz w:val="24"/>
        </w:rPr>
        <w:t>姓名</w:t>
      </w:r>
      <w:r>
        <w:rPr>
          <w:rFonts w:hint="eastAsia" w:ascii="宋体" w:hAnsi="宋体" w:eastAsia="宋体" w:cs="宋体"/>
          <w:sz w:val="24"/>
          <w:lang w:eastAsia="zh-CN"/>
        </w:rPr>
        <w:t>）</w:t>
      </w:r>
      <w:r>
        <w:rPr>
          <w:rFonts w:hint="eastAsia" w:ascii="宋体" w:hAnsi="宋体" w:eastAsia="宋体" w:cs="宋体"/>
          <w:sz w:val="24"/>
        </w:rPr>
        <w:t>为我公司代理人，以公司名义参加代理的</w:t>
      </w:r>
      <w:r>
        <w:rPr>
          <w:rFonts w:hint="eastAsia" w:ascii="宋体" w:hAnsi="宋体" w:eastAsia="宋体" w:cs="宋体"/>
          <w:sz w:val="24"/>
          <w:u w:val="single"/>
        </w:rPr>
        <w:t xml:space="preserve">   （项目名称）    </w:t>
      </w:r>
      <w:r>
        <w:rPr>
          <w:rFonts w:hint="eastAsia" w:ascii="宋体" w:hAnsi="宋体" w:eastAsia="宋体" w:cs="宋体"/>
          <w:sz w:val="24"/>
        </w:rPr>
        <w:t>的投标活动。代理人在开标、评标、合同谈判过程中所签署的一切文件和处理与之有关的一切事务，我均予以承认。</w:t>
      </w:r>
    </w:p>
    <w:p w14:paraId="539688EF">
      <w:pPr>
        <w:spacing w:line="500" w:lineRule="exact"/>
        <w:ind w:firstLine="420"/>
        <w:rPr>
          <w:rFonts w:hint="eastAsia" w:ascii="宋体" w:hAnsi="宋体" w:eastAsia="宋体" w:cs="宋体"/>
          <w:sz w:val="24"/>
        </w:rPr>
      </w:pPr>
      <w:r>
        <w:rPr>
          <w:rFonts w:hint="eastAsia" w:ascii="宋体" w:hAnsi="宋体" w:eastAsia="宋体" w:cs="宋体"/>
          <w:sz w:val="24"/>
        </w:rPr>
        <w:t>委托期限：</w:t>
      </w:r>
    </w:p>
    <w:p w14:paraId="4E807ECB">
      <w:pPr>
        <w:spacing w:line="360" w:lineRule="auto"/>
        <w:ind w:firstLine="720" w:firstLineChars="300"/>
        <w:rPr>
          <w:rFonts w:hint="eastAsia" w:ascii="宋体" w:hAnsi="宋体" w:eastAsia="宋体" w:cs="宋体"/>
          <w:sz w:val="24"/>
          <w:lang w:eastAsia="zh-CN"/>
        </w:rPr>
      </w:pPr>
      <w:r>
        <w:rPr>
          <w:rFonts w:hint="eastAsia" w:ascii="宋体" w:hAnsi="宋体" w:eastAsia="宋体" w:cs="宋体"/>
          <w:sz w:val="24"/>
        </w:rPr>
        <w:t>附：委托人身份证复印件</w:t>
      </w:r>
      <w:r>
        <w:rPr>
          <w:rFonts w:hint="eastAsia" w:ascii="宋体" w:hAnsi="宋体" w:eastAsia="宋体" w:cs="宋体"/>
          <w:sz w:val="24"/>
          <w:lang w:eastAsia="zh-CN"/>
        </w:rPr>
        <w:t>。</w:t>
      </w:r>
    </w:p>
    <w:tbl>
      <w:tblPr>
        <w:tblStyle w:val="25"/>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3975"/>
      </w:tblGrid>
      <w:tr w14:paraId="1FB0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3975" w:type="dxa"/>
            <w:tcBorders>
              <w:top w:val="single" w:color="auto" w:sz="4" w:space="0"/>
              <w:left w:val="single" w:color="auto" w:sz="4" w:space="0"/>
              <w:bottom w:val="single" w:color="auto" w:sz="4" w:space="0"/>
              <w:right w:val="single" w:color="auto" w:sz="4" w:space="0"/>
            </w:tcBorders>
            <w:vAlign w:val="center"/>
          </w:tcPr>
          <w:p w14:paraId="72F4D38C">
            <w:pPr>
              <w:spacing w:line="360" w:lineRule="auto"/>
              <w:jc w:val="center"/>
              <w:rPr>
                <w:rFonts w:hint="eastAsia" w:ascii="宋体" w:hAnsi="宋体" w:eastAsia="宋体" w:cs="宋体"/>
                <w:sz w:val="24"/>
              </w:rPr>
            </w:pPr>
            <w:r>
              <w:rPr>
                <w:rFonts w:hint="eastAsia" w:ascii="宋体" w:hAnsi="宋体" w:eastAsia="宋体" w:cs="宋体"/>
                <w:sz w:val="24"/>
              </w:rPr>
              <w:t>正面</w:t>
            </w:r>
          </w:p>
        </w:tc>
        <w:tc>
          <w:tcPr>
            <w:tcW w:w="3975" w:type="dxa"/>
            <w:tcBorders>
              <w:top w:val="single" w:color="auto" w:sz="4" w:space="0"/>
              <w:left w:val="single" w:color="auto" w:sz="4" w:space="0"/>
              <w:bottom w:val="single" w:color="auto" w:sz="4" w:space="0"/>
              <w:right w:val="single" w:color="auto" w:sz="4" w:space="0"/>
            </w:tcBorders>
            <w:vAlign w:val="center"/>
          </w:tcPr>
          <w:p w14:paraId="078E0B13">
            <w:pPr>
              <w:spacing w:line="360" w:lineRule="auto"/>
              <w:jc w:val="center"/>
              <w:rPr>
                <w:rFonts w:hint="eastAsia" w:ascii="宋体" w:hAnsi="宋体" w:eastAsia="宋体" w:cs="宋体"/>
                <w:sz w:val="24"/>
              </w:rPr>
            </w:pPr>
            <w:r>
              <w:rPr>
                <w:rFonts w:hint="eastAsia" w:ascii="宋体" w:hAnsi="宋体" w:eastAsia="宋体" w:cs="宋体"/>
                <w:sz w:val="24"/>
              </w:rPr>
              <w:t>背面</w:t>
            </w:r>
          </w:p>
        </w:tc>
      </w:tr>
    </w:tbl>
    <w:p w14:paraId="0E296EE0">
      <w:pPr>
        <w:spacing w:line="560" w:lineRule="exact"/>
        <w:jc w:val="center"/>
        <w:rPr>
          <w:rFonts w:hint="eastAsia" w:ascii="宋体" w:hAnsi="宋体" w:eastAsia="宋体" w:cs="宋体"/>
          <w:b/>
          <w:sz w:val="36"/>
        </w:rPr>
      </w:pPr>
    </w:p>
    <w:p w14:paraId="77EA8F71">
      <w:pPr>
        <w:spacing w:beforeLines="50" w:line="500" w:lineRule="exact"/>
        <w:rPr>
          <w:rFonts w:hint="eastAsia" w:ascii="宋体" w:hAnsi="宋体" w:eastAsia="宋体" w:cs="宋体"/>
          <w:sz w:val="24"/>
          <w:u w:val="single"/>
        </w:rPr>
      </w:pPr>
      <w:r>
        <w:rPr>
          <w:rFonts w:hint="eastAsia" w:ascii="宋体" w:hAnsi="宋体" w:eastAsia="宋体" w:cs="宋体"/>
          <w:sz w:val="24"/>
        </w:rPr>
        <w:t>代理人（签字）：</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p>
    <w:p w14:paraId="341564AA">
      <w:pPr>
        <w:spacing w:beforeLines="50" w:line="500" w:lineRule="exact"/>
        <w:rPr>
          <w:rFonts w:hint="eastAsia" w:ascii="宋体" w:hAnsi="宋体" w:eastAsia="宋体" w:cs="宋体"/>
          <w:b/>
          <w:sz w:val="24"/>
          <w:u w:val="single"/>
        </w:rPr>
      </w:pPr>
      <w:r>
        <w:rPr>
          <w:rFonts w:hint="eastAsia" w:ascii="宋体" w:hAnsi="宋体" w:eastAsia="宋体" w:cs="宋体"/>
          <w:sz w:val="24"/>
        </w:rPr>
        <w:t>部门：</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14:paraId="76942C80">
      <w:pPr>
        <w:spacing w:beforeLines="50" w:line="500" w:lineRule="exact"/>
        <w:rPr>
          <w:rFonts w:hint="eastAsia" w:ascii="宋体" w:hAnsi="宋体" w:eastAsia="宋体" w:cs="宋体"/>
          <w:sz w:val="24"/>
        </w:rPr>
      </w:pPr>
      <w:r>
        <w:rPr>
          <w:rFonts w:hint="eastAsia" w:ascii="宋体" w:hAnsi="宋体" w:eastAsia="宋体" w:cs="宋体"/>
          <w:sz w:val="24"/>
        </w:rPr>
        <w:t>代理人无转委权。特此委托。</w:t>
      </w:r>
    </w:p>
    <w:p w14:paraId="0F87C2D1">
      <w:pPr>
        <w:spacing w:beforeLines="50" w:line="500" w:lineRule="exact"/>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bCs/>
          <w:sz w:val="24"/>
          <w:szCs w:val="24"/>
          <w:lang w:val="en-US" w:eastAsia="zh-CN"/>
        </w:rPr>
        <w:t>电子签章</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3EB24F9">
      <w:pPr>
        <w:spacing w:beforeLines="50" w:line="500" w:lineRule="exact"/>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val="en-US" w:eastAsia="zh-CN"/>
        </w:rPr>
        <w:t>电子签名</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E6F9CC0">
      <w:pPr>
        <w:spacing w:beforeLines="50" w:line="500" w:lineRule="exac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CA5C123">
      <w:pPr>
        <w:rPr>
          <w:rFonts w:hint="eastAsia" w:ascii="宋体" w:hAnsi="宋体" w:eastAsia="宋体" w:cs="宋体"/>
          <w:b/>
          <w:sz w:val="36"/>
          <w:lang w:eastAsia="zh-CN"/>
        </w:rPr>
      </w:pPr>
    </w:p>
    <w:p w14:paraId="0D5DFFAA">
      <w:pPr>
        <w:rPr>
          <w:rFonts w:hint="eastAsia" w:ascii="宋体" w:hAnsi="宋体" w:eastAsia="宋体" w:cs="宋体"/>
          <w:b/>
          <w:sz w:val="36"/>
          <w:lang w:eastAsia="zh-CN"/>
        </w:rPr>
      </w:pPr>
      <w:r>
        <w:rPr>
          <w:rFonts w:hint="eastAsia" w:ascii="宋体" w:hAnsi="宋体" w:eastAsia="宋体" w:cs="宋体"/>
          <w:b/>
          <w:sz w:val="36"/>
          <w:lang w:eastAsia="zh-CN"/>
        </w:rPr>
        <w:br w:type="page"/>
      </w:r>
    </w:p>
    <w:p w14:paraId="66DAED9A">
      <w:pPr>
        <w:jc w:val="center"/>
        <w:outlineLvl w:val="2"/>
        <w:rPr>
          <w:rFonts w:hint="eastAsia" w:ascii="宋体" w:hAnsi="宋体" w:eastAsia="宋体" w:cs="宋体"/>
          <w:b/>
          <w:sz w:val="36"/>
          <w:lang w:val="en-US" w:eastAsia="zh-CN"/>
        </w:rPr>
      </w:pPr>
      <w:bookmarkStart w:id="163" w:name="_Toc3405"/>
      <w:bookmarkStart w:id="164" w:name="_Toc17400"/>
      <w:r>
        <w:rPr>
          <w:rFonts w:hint="eastAsia" w:ascii="宋体" w:hAnsi="宋体" w:eastAsia="宋体" w:cs="宋体"/>
          <w:b/>
          <w:sz w:val="36"/>
          <w:lang w:val="en-US" w:eastAsia="zh-CN"/>
        </w:rPr>
        <w:t>五、资格证明文件</w:t>
      </w:r>
      <w:bookmarkEnd w:id="163"/>
    </w:p>
    <w:p w14:paraId="7993E31F">
      <w:pPr>
        <w:rPr>
          <w:rFonts w:hint="eastAsia" w:ascii="宋体" w:hAnsi="宋体" w:eastAsia="宋体" w:cs="宋体"/>
          <w:b/>
          <w:sz w:val="36"/>
          <w:lang w:val="en-US" w:eastAsia="zh-CN"/>
        </w:rPr>
      </w:pPr>
    </w:p>
    <w:p w14:paraId="7F416208">
      <w:pPr>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宋体" w:hAnsi="宋体" w:eastAsia="宋体" w:cs="宋体"/>
          <w:b/>
          <w:kern w:val="0"/>
          <w:sz w:val="36"/>
        </w:rPr>
      </w:pPr>
      <w:bookmarkStart w:id="165" w:name="_Toc20988"/>
      <w:r>
        <w:rPr>
          <w:rFonts w:hint="eastAsia" w:ascii="宋体" w:hAnsi="宋体" w:eastAsia="宋体" w:cs="宋体"/>
          <w:b/>
          <w:kern w:val="0"/>
          <w:sz w:val="36"/>
          <w:lang w:eastAsia="zh-CN"/>
        </w:rPr>
        <w:t>（</w:t>
      </w:r>
      <w:r>
        <w:rPr>
          <w:rFonts w:hint="eastAsia" w:ascii="宋体" w:hAnsi="宋体" w:eastAsia="宋体" w:cs="宋体"/>
          <w:b/>
          <w:kern w:val="0"/>
          <w:sz w:val="36"/>
          <w:lang w:val="en-US" w:eastAsia="zh-CN"/>
        </w:rPr>
        <w:t>一</w:t>
      </w:r>
      <w:r>
        <w:rPr>
          <w:rFonts w:hint="eastAsia" w:ascii="宋体" w:hAnsi="宋体" w:eastAsia="宋体" w:cs="宋体"/>
          <w:b/>
          <w:kern w:val="0"/>
          <w:sz w:val="36"/>
          <w:lang w:eastAsia="zh-CN"/>
        </w:rPr>
        <w:t>）</w:t>
      </w:r>
      <w:r>
        <w:rPr>
          <w:rFonts w:hint="eastAsia" w:ascii="宋体" w:hAnsi="宋体" w:eastAsia="宋体" w:cs="宋体"/>
          <w:b/>
          <w:kern w:val="0"/>
          <w:sz w:val="36"/>
        </w:rPr>
        <w:t>供应商情况表</w:t>
      </w:r>
      <w:bookmarkEnd w:id="165"/>
    </w:p>
    <w:p w14:paraId="3C57AEF5">
      <w:pPr>
        <w:ind w:firstLine="240" w:firstLineChars="100"/>
        <w:rPr>
          <w:rFonts w:hint="eastAsia" w:ascii="宋体" w:hAnsi="宋体" w:eastAsia="宋体" w:cs="宋体"/>
          <w:sz w:val="24"/>
          <w:szCs w:val="32"/>
        </w:rPr>
      </w:pPr>
    </w:p>
    <w:tbl>
      <w:tblPr>
        <w:tblStyle w:val="25"/>
        <w:tblW w:w="959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47"/>
        <w:gridCol w:w="1065"/>
        <w:gridCol w:w="1322"/>
        <w:gridCol w:w="1375"/>
        <w:gridCol w:w="1460"/>
        <w:gridCol w:w="435"/>
        <w:gridCol w:w="2295"/>
      </w:tblGrid>
      <w:tr w14:paraId="70EBDD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1" w:hRule="atLeast"/>
          <w:jc w:val="center"/>
        </w:trPr>
        <w:tc>
          <w:tcPr>
            <w:tcW w:w="1647" w:type="dxa"/>
            <w:vAlign w:val="center"/>
          </w:tcPr>
          <w:p w14:paraId="2238E191">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供应商名称</w:t>
            </w:r>
          </w:p>
        </w:tc>
        <w:tc>
          <w:tcPr>
            <w:tcW w:w="7952" w:type="dxa"/>
            <w:gridSpan w:val="6"/>
            <w:vAlign w:val="center"/>
          </w:tcPr>
          <w:p w14:paraId="1BC4839A">
            <w:pPr>
              <w:autoSpaceDE w:val="0"/>
              <w:autoSpaceDN w:val="0"/>
              <w:adjustRightInd w:val="0"/>
              <w:spacing w:line="400" w:lineRule="exact"/>
              <w:ind w:firstLine="480"/>
              <w:jc w:val="center"/>
              <w:rPr>
                <w:rFonts w:hint="eastAsia" w:ascii="宋体" w:hAnsi="宋体" w:eastAsia="宋体" w:cs="宋体"/>
                <w:sz w:val="24"/>
              </w:rPr>
            </w:pPr>
          </w:p>
        </w:tc>
      </w:tr>
      <w:tr w14:paraId="10BCFF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647" w:type="dxa"/>
            <w:vAlign w:val="center"/>
          </w:tcPr>
          <w:p w14:paraId="4BD5F32B">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供应商地址</w:t>
            </w:r>
          </w:p>
        </w:tc>
        <w:tc>
          <w:tcPr>
            <w:tcW w:w="7952" w:type="dxa"/>
            <w:gridSpan w:val="6"/>
            <w:vAlign w:val="center"/>
          </w:tcPr>
          <w:p w14:paraId="260175FE">
            <w:pPr>
              <w:autoSpaceDE w:val="0"/>
              <w:autoSpaceDN w:val="0"/>
              <w:adjustRightInd w:val="0"/>
              <w:spacing w:line="400" w:lineRule="exact"/>
              <w:ind w:firstLine="480"/>
              <w:jc w:val="center"/>
              <w:rPr>
                <w:rFonts w:hint="eastAsia" w:ascii="宋体" w:hAnsi="宋体" w:eastAsia="宋体" w:cs="宋体"/>
                <w:sz w:val="24"/>
              </w:rPr>
            </w:pPr>
          </w:p>
        </w:tc>
      </w:tr>
      <w:tr w14:paraId="2F1B82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3" w:hRule="atLeast"/>
          <w:jc w:val="center"/>
        </w:trPr>
        <w:tc>
          <w:tcPr>
            <w:tcW w:w="1647" w:type="dxa"/>
            <w:vAlign w:val="center"/>
          </w:tcPr>
          <w:p w14:paraId="05C92DE5">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联系方式</w:t>
            </w:r>
          </w:p>
        </w:tc>
        <w:tc>
          <w:tcPr>
            <w:tcW w:w="1065" w:type="dxa"/>
            <w:vAlign w:val="center"/>
          </w:tcPr>
          <w:p w14:paraId="5B4CACF8">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联系人</w:t>
            </w:r>
          </w:p>
        </w:tc>
        <w:tc>
          <w:tcPr>
            <w:tcW w:w="2697" w:type="dxa"/>
            <w:gridSpan w:val="2"/>
            <w:vAlign w:val="center"/>
          </w:tcPr>
          <w:p w14:paraId="77C32FE6">
            <w:pPr>
              <w:autoSpaceDE w:val="0"/>
              <w:autoSpaceDN w:val="0"/>
              <w:adjustRightInd w:val="0"/>
              <w:spacing w:line="400" w:lineRule="exact"/>
              <w:ind w:firstLine="480"/>
              <w:jc w:val="center"/>
              <w:rPr>
                <w:rFonts w:hint="eastAsia" w:ascii="宋体" w:hAnsi="宋体" w:eastAsia="宋体" w:cs="宋体"/>
                <w:sz w:val="24"/>
              </w:rPr>
            </w:pPr>
          </w:p>
        </w:tc>
        <w:tc>
          <w:tcPr>
            <w:tcW w:w="1460" w:type="dxa"/>
            <w:vAlign w:val="center"/>
          </w:tcPr>
          <w:p w14:paraId="51E20CB2">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2730" w:type="dxa"/>
            <w:gridSpan w:val="2"/>
            <w:vAlign w:val="center"/>
          </w:tcPr>
          <w:p w14:paraId="2CD0948A">
            <w:pPr>
              <w:autoSpaceDE w:val="0"/>
              <w:autoSpaceDN w:val="0"/>
              <w:adjustRightInd w:val="0"/>
              <w:spacing w:line="400" w:lineRule="exact"/>
              <w:ind w:firstLine="480"/>
              <w:jc w:val="center"/>
              <w:rPr>
                <w:rFonts w:hint="eastAsia" w:ascii="宋体" w:hAnsi="宋体" w:eastAsia="宋体" w:cs="宋体"/>
                <w:sz w:val="24"/>
              </w:rPr>
            </w:pPr>
          </w:p>
        </w:tc>
      </w:tr>
      <w:tr w14:paraId="202F62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647" w:type="dxa"/>
            <w:vAlign w:val="center"/>
          </w:tcPr>
          <w:p w14:paraId="527B8741">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法定代表人</w:t>
            </w:r>
          </w:p>
        </w:tc>
        <w:tc>
          <w:tcPr>
            <w:tcW w:w="1065" w:type="dxa"/>
            <w:vAlign w:val="center"/>
          </w:tcPr>
          <w:p w14:paraId="20ACE131">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2697" w:type="dxa"/>
            <w:gridSpan w:val="2"/>
            <w:vAlign w:val="center"/>
          </w:tcPr>
          <w:p w14:paraId="4D5A84DB">
            <w:pPr>
              <w:autoSpaceDE w:val="0"/>
              <w:autoSpaceDN w:val="0"/>
              <w:adjustRightInd w:val="0"/>
              <w:spacing w:line="400" w:lineRule="exact"/>
              <w:rPr>
                <w:rFonts w:hint="eastAsia" w:ascii="宋体" w:hAnsi="宋体" w:eastAsia="宋体" w:cs="宋体"/>
                <w:sz w:val="24"/>
              </w:rPr>
            </w:pPr>
          </w:p>
        </w:tc>
        <w:tc>
          <w:tcPr>
            <w:tcW w:w="1460" w:type="dxa"/>
            <w:vAlign w:val="center"/>
          </w:tcPr>
          <w:p w14:paraId="747A27DB">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电话</w:t>
            </w:r>
          </w:p>
        </w:tc>
        <w:tc>
          <w:tcPr>
            <w:tcW w:w="2730" w:type="dxa"/>
            <w:gridSpan w:val="2"/>
            <w:vAlign w:val="center"/>
          </w:tcPr>
          <w:p w14:paraId="044B7AE3">
            <w:pPr>
              <w:autoSpaceDE w:val="0"/>
              <w:autoSpaceDN w:val="0"/>
              <w:adjustRightInd w:val="0"/>
              <w:spacing w:line="400" w:lineRule="exact"/>
              <w:ind w:firstLine="482"/>
              <w:jc w:val="center"/>
              <w:rPr>
                <w:rFonts w:hint="eastAsia" w:ascii="宋体" w:hAnsi="宋体" w:eastAsia="宋体" w:cs="宋体"/>
                <w:b/>
                <w:bCs/>
                <w:sz w:val="24"/>
              </w:rPr>
            </w:pPr>
          </w:p>
        </w:tc>
      </w:tr>
      <w:tr w14:paraId="26FD0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47" w:type="dxa"/>
            <w:vAlign w:val="center"/>
          </w:tcPr>
          <w:p w14:paraId="6517E3C5">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成立时间</w:t>
            </w:r>
          </w:p>
        </w:tc>
        <w:tc>
          <w:tcPr>
            <w:tcW w:w="2387" w:type="dxa"/>
            <w:gridSpan w:val="2"/>
            <w:vAlign w:val="center"/>
          </w:tcPr>
          <w:p w14:paraId="7FA7EEDC">
            <w:pPr>
              <w:autoSpaceDE w:val="0"/>
              <w:autoSpaceDN w:val="0"/>
              <w:adjustRightInd w:val="0"/>
              <w:spacing w:line="400" w:lineRule="exact"/>
              <w:ind w:firstLine="480"/>
              <w:jc w:val="center"/>
              <w:rPr>
                <w:rFonts w:hint="eastAsia" w:ascii="宋体" w:hAnsi="宋体" w:eastAsia="宋体" w:cs="宋体"/>
                <w:sz w:val="24"/>
              </w:rPr>
            </w:pPr>
          </w:p>
        </w:tc>
        <w:tc>
          <w:tcPr>
            <w:tcW w:w="5565" w:type="dxa"/>
            <w:gridSpan w:val="4"/>
            <w:vAlign w:val="center"/>
          </w:tcPr>
          <w:p w14:paraId="4F7ED1CD">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员工总人数：</w:t>
            </w:r>
          </w:p>
        </w:tc>
      </w:tr>
      <w:tr w14:paraId="7E05D0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647" w:type="dxa"/>
            <w:vAlign w:val="center"/>
          </w:tcPr>
          <w:p w14:paraId="1469BCE6">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营业执照号</w:t>
            </w:r>
          </w:p>
        </w:tc>
        <w:tc>
          <w:tcPr>
            <w:tcW w:w="2387" w:type="dxa"/>
            <w:gridSpan w:val="2"/>
            <w:vAlign w:val="center"/>
          </w:tcPr>
          <w:p w14:paraId="5539047C">
            <w:pPr>
              <w:autoSpaceDE w:val="0"/>
              <w:autoSpaceDN w:val="0"/>
              <w:adjustRightInd w:val="0"/>
              <w:spacing w:line="400" w:lineRule="exact"/>
              <w:ind w:firstLine="480"/>
              <w:jc w:val="center"/>
              <w:rPr>
                <w:rFonts w:hint="eastAsia" w:ascii="宋体" w:hAnsi="宋体" w:eastAsia="宋体" w:cs="宋体"/>
                <w:sz w:val="24"/>
              </w:rPr>
            </w:pPr>
          </w:p>
        </w:tc>
        <w:tc>
          <w:tcPr>
            <w:tcW w:w="1375" w:type="dxa"/>
            <w:vMerge w:val="restart"/>
            <w:vAlign w:val="center"/>
          </w:tcPr>
          <w:p w14:paraId="42A7A852">
            <w:pPr>
              <w:autoSpaceDE w:val="0"/>
              <w:autoSpaceDN w:val="0"/>
              <w:adjustRightInd w:val="0"/>
              <w:spacing w:line="400" w:lineRule="exact"/>
              <w:ind w:firstLine="480"/>
              <w:jc w:val="center"/>
              <w:rPr>
                <w:rFonts w:hint="eastAsia" w:ascii="宋体" w:hAnsi="宋体" w:eastAsia="宋体" w:cs="宋体"/>
                <w:sz w:val="24"/>
              </w:rPr>
            </w:pPr>
          </w:p>
        </w:tc>
        <w:tc>
          <w:tcPr>
            <w:tcW w:w="1895" w:type="dxa"/>
            <w:gridSpan w:val="2"/>
            <w:vAlign w:val="center"/>
          </w:tcPr>
          <w:p w14:paraId="6210C1C7">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高级职称人员</w:t>
            </w:r>
          </w:p>
        </w:tc>
        <w:tc>
          <w:tcPr>
            <w:tcW w:w="2295" w:type="dxa"/>
            <w:vAlign w:val="center"/>
          </w:tcPr>
          <w:p w14:paraId="3271ED0B">
            <w:pPr>
              <w:autoSpaceDE w:val="0"/>
              <w:autoSpaceDN w:val="0"/>
              <w:adjustRightInd w:val="0"/>
              <w:spacing w:line="400" w:lineRule="exact"/>
              <w:ind w:firstLine="482"/>
              <w:jc w:val="center"/>
              <w:rPr>
                <w:rFonts w:hint="eastAsia" w:ascii="宋体" w:hAnsi="宋体" w:eastAsia="宋体" w:cs="宋体"/>
                <w:b/>
                <w:bCs/>
                <w:sz w:val="24"/>
              </w:rPr>
            </w:pPr>
          </w:p>
        </w:tc>
      </w:tr>
      <w:tr w14:paraId="781724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1647" w:type="dxa"/>
            <w:vAlign w:val="center"/>
          </w:tcPr>
          <w:p w14:paraId="3CA36513">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注册资金</w:t>
            </w:r>
          </w:p>
        </w:tc>
        <w:tc>
          <w:tcPr>
            <w:tcW w:w="2387" w:type="dxa"/>
            <w:gridSpan w:val="2"/>
            <w:vAlign w:val="center"/>
          </w:tcPr>
          <w:p w14:paraId="3CBAF54F">
            <w:pPr>
              <w:autoSpaceDE w:val="0"/>
              <w:autoSpaceDN w:val="0"/>
              <w:adjustRightInd w:val="0"/>
              <w:spacing w:line="400" w:lineRule="exact"/>
              <w:ind w:firstLine="480"/>
              <w:jc w:val="center"/>
              <w:rPr>
                <w:rFonts w:hint="eastAsia" w:ascii="宋体" w:hAnsi="宋体" w:eastAsia="宋体" w:cs="宋体"/>
                <w:sz w:val="24"/>
              </w:rPr>
            </w:pPr>
          </w:p>
        </w:tc>
        <w:tc>
          <w:tcPr>
            <w:tcW w:w="1375" w:type="dxa"/>
            <w:vMerge w:val="continue"/>
            <w:vAlign w:val="center"/>
          </w:tcPr>
          <w:p w14:paraId="3CBEC397">
            <w:pPr>
              <w:autoSpaceDE w:val="0"/>
              <w:autoSpaceDN w:val="0"/>
              <w:adjustRightInd w:val="0"/>
              <w:spacing w:line="400" w:lineRule="exact"/>
              <w:ind w:firstLine="480"/>
              <w:jc w:val="center"/>
              <w:rPr>
                <w:rFonts w:hint="eastAsia" w:ascii="宋体" w:hAnsi="宋体" w:eastAsia="宋体" w:cs="宋体"/>
                <w:sz w:val="24"/>
              </w:rPr>
            </w:pPr>
          </w:p>
        </w:tc>
        <w:tc>
          <w:tcPr>
            <w:tcW w:w="1895" w:type="dxa"/>
            <w:gridSpan w:val="2"/>
            <w:vAlign w:val="center"/>
          </w:tcPr>
          <w:p w14:paraId="51F066CB">
            <w:pPr>
              <w:autoSpaceDE w:val="0"/>
              <w:autoSpaceDN w:val="0"/>
              <w:adjustRightInd w:val="0"/>
              <w:spacing w:line="400" w:lineRule="exact"/>
              <w:rPr>
                <w:rFonts w:hint="eastAsia" w:ascii="宋体" w:hAnsi="宋体" w:eastAsia="宋体" w:cs="宋体"/>
                <w:sz w:val="24"/>
              </w:rPr>
            </w:pPr>
            <w:r>
              <w:rPr>
                <w:rFonts w:hint="eastAsia" w:ascii="宋体" w:hAnsi="宋体" w:eastAsia="宋体" w:cs="宋体"/>
                <w:sz w:val="24"/>
              </w:rPr>
              <w:t>中级职称人员</w:t>
            </w:r>
          </w:p>
        </w:tc>
        <w:tc>
          <w:tcPr>
            <w:tcW w:w="2295" w:type="dxa"/>
            <w:vAlign w:val="center"/>
          </w:tcPr>
          <w:p w14:paraId="7026BDB3">
            <w:pPr>
              <w:autoSpaceDE w:val="0"/>
              <w:autoSpaceDN w:val="0"/>
              <w:adjustRightInd w:val="0"/>
              <w:spacing w:line="400" w:lineRule="exact"/>
              <w:ind w:firstLine="482"/>
              <w:jc w:val="center"/>
              <w:rPr>
                <w:rFonts w:hint="eastAsia" w:ascii="宋体" w:hAnsi="宋体" w:eastAsia="宋体" w:cs="宋体"/>
                <w:b/>
                <w:bCs/>
                <w:sz w:val="24"/>
              </w:rPr>
            </w:pPr>
          </w:p>
        </w:tc>
      </w:tr>
      <w:tr w14:paraId="7CBD8A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jc w:val="center"/>
        </w:trPr>
        <w:tc>
          <w:tcPr>
            <w:tcW w:w="1647" w:type="dxa"/>
            <w:vAlign w:val="center"/>
          </w:tcPr>
          <w:p w14:paraId="4689B35E">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基本户账号</w:t>
            </w:r>
          </w:p>
        </w:tc>
        <w:tc>
          <w:tcPr>
            <w:tcW w:w="7952" w:type="dxa"/>
            <w:gridSpan w:val="6"/>
          </w:tcPr>
          <w:p w14:paraId="581FA14A">
            <w:pPr>
              <w:autoSpaceDE w:val="0"/>
              <w:autoSpaceDN w:val="0"/>
              <w:adjustRightInd w:val="0"/>
              <w:spacing w:line="400" w:lineRule="exact"/>
              <w:ind w:firstLine="480"/>
              <w:rPr>
                <w:rFonts w:hint="eastAsia" w:ascii="宋体" w:hAnsi="宋体" w:eastAsia="宋体" w:cs="宋体"/>
                <w:sz w:val="24"/>
              </w:rPr>
            </w:pPr>
          </w:p>
        </w:tc>
      </w:tr>
      <w:tr w14:paraId="55878F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0" w:hRule="atLeast"/>
          <w:jc w:val="center"/>
        </w:trPr>
        <w:tc>
          <w:tcPr>
            <w:tcW w:w="1647" w:type="dxa"/>
            <w:vAlign w:val="center"/>
          </w:tcPr>
          <w:p w14:paraId="003F2470">
            <w:pPr>
              <w:autoSpaceDE w:val="0"/>
              <w:autoSpaceDN w:val="0"/>
              <w:adjustRightInd w:val="0"/>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7952" w:type="dxa"/>
            <w:gridSpan w:val="6"/>
          </w:tcPr>
          <w:p w14:paraId="55743598">
            <w:pPr>
              <w:autoSpaceDE w:val="0"/>
              <w:autoSpaceDN w:val="0"/>
              <w:adjustRightInd w:val="0"/>
              <w:spacing w:line="400" w:lineRule="exact"/>
              <w:ind w:firstLine="480"/>
              <w:rPr>
                <w:rFonts w:hint="eastAsia" w:ascii="宋体" w:hAnsi="宋体" w:eastAsia="宋体" w:cs="宋体"/>
                <w:sz w:val="24"/>
              </w:rPr>
            </w:pPr>
          </w:p>
        </w:tc>
      </w:tr>
    </w:tbl>
    <w:p w14:paraId="529B23CF">
      <w:pPr>
        <w:ind w:firstLine="240" w:firstLineChars="100"/>
        <w:rPr>
          <w:rFonts w:hint="eastAsia" w:ascii="宋体" w:hAnsi="宋体" w:eastAsia="宋体" w:cs="宋体"/>
          <w:sz w:val="24"/>
          <w:szCs w:val="32"/>
        </w:rPr>
      </w:pPr>
    </w:p>
    <w:p w14:paraId="2123E73C">
      <w:pPr>
        <w:rPr>
          <w:rFonts w:hint="eastAsia" w:ascii="宋体" w:hAnsi="宋体" w:eastAsia="宋体" w:cs="宋体"/>
          <w:sz w:val="30"/>
          <w:szCs w:val="30"/>
        </w:rPr>
      </w:pPr>
      <w:r>
        <w:rPr>
          <w:rFonts w:hint="eastAsia" w:ascii="宋体" w:hAnsi="宋体" w:eastAsia="宋体" w:cs="宋体"/>
          <w:sz w:val="30"/>
          <w:szCs w:val="30"/>
        </w:rPr>
        <w:br w:type="page"/>
      </w:r>
    </w:p>
    <w:p w14:paraId="3BE463BD">
      <w:pPr>
        <w:spacing w:line="432" w:lineRule="auto"/>
        <w:ind w:firstLine="480" w:firstLineChars="200"/>
        <w:rPr>
          <w:rFonts w:hint="eastAsia" w:ascii="宋体" w:hAnsi="宋体" w:eastAsia="宋体" w:cs="宋体"/>
          <w:iCs/>
          <w:sz w:val="24"/>
          <w:szCs w:val="24"/>
        </w:rPr>
        <w:sectPr>
          <w:headerReference r:id="rId9" w:type="default"/>
          <w:footerReference r:id="rId10" w:type="default"/>
          <w:pgSz w:w="11906" w:h="16838"/>
          <w:pgMar w:top="1440" w:right="1080" w:bottom="1440" w:left="1080" w:header="851" w:footer="851" w:gutter="0"/>
          <w:pgNumType w:fmt="decimal"/>
          <w:cols w:space="708" w:num="1"/>
          <w:docGrid w:linePitch="312" w:charSpace="0"/>
        </w:sectPr>
      </w:pPr>
    </w:p>
    <w:p w14:paraId="6D3A1836">
      <w:pPr>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宋体" w:hAnsi="宋体" w:eastAsia="宋体" w:cs="宋体"/>
          <w:b/>
          <w:sz w:val="28"/>
          <w:szCs w:val="28"/>
        </w:rPr>
      </w:pPr>
      <w:bookmarkStart w:id="166" w:name="_Toc5456"/>
      <w:r>
        <w:rPr>
          <w:rFonts w:hint="eastAsia" w:ascii="宋体" w:hAnsi="宋体" w:eastAsia="宋体" w:cs="宋体"/>
          <w:b/>
          <w:kern w:val="0"/>
          <w:sz w:val="32"/>
          <w:szCs w:val="18"/>
          <w:lang w:val="en-US" w:eastAsia="zh-CN"/>
        </w:rPr>
        <w:t>（二）</w:t>
      </w:r>
      <w:r>
        <w:rPr>
          <w:rFonts w:hint="eastAsia" w:ascii="宋体" w:hAnsi="宋体" w:eastAsia="宋体" w:cs="宋体"/>
          <w:b/>
          <w:kern w:val="0"/>
          <w:sz w:val="32"/>
          <w:szCs w:val="18"/>
          <w:lang w:eastAsia="zh-CN"/>
        </w:rPr>
        <w:t>满足《中华人民共和国政府采购法》第二十二条规定；</w:t>
      </w:r>
      <w:bookmarkEnd w:id="166"/>
    </w:p>
    <w:p w14:paraId="3278834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val="en-US" w:eastAsia="zh-CN"/>
        </w:rPr>
      </w:pPr>
      <w:bookmarkStart w:id="167" w:name="_Toc3043"/>
    </w:p>
    <w:p w14:paraId="31C015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.1具有独立承担民事责任的能力：供应商须为具有独立承担民事责任能力的法人、其他组织或者自然人，具有有效的营业执照或其他法定凭证（扫描件加盖供应商电子公章）；</w:t>
      </w:r>
    </w:p>
    <w:p w14:paraId="4736BE67">
      <w:pP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br w:type="page"/>
      </w:r>
    </w:p>
    <w:p w14:paraId="691B97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.2具有良好的商业信誉和健全的财务会计制度：</w:t>
      </w:r>
    </w:p>
    <w:p w14:paraId="64E1E9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2.1供应商在“信用中国”网站（www.creditchina.gov.cn）中未被列入政府采购严重违法失信行为记录名单、失信被执行人和重大税收违法失信主体（查询结果以采购人、采购代理机构查询结果为准，并将查询记录和证据留存）；</w:t>
      </w:r>
    </w:p>
    <w:p w14:paraId="327497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2.2供应商在本项目响应文件提交截止时间前在中国政府采购网（www.ccgp.gov.cn）政府采购严重违法失信行为记录名单中无不良信息记录（查询结果以采购人、采购代理机构查询结果为准，并将查询记录和证据留存）；</w:t>
      </w:r>
    </w:p>
    <w:p w14:paraId="7DB84A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.2.3健全的财务会计制度：供应商财务状况良好，提</w:t>
      </w:r>
      <w:r>
        <w:rPr>
          <w:rFonts w:hint="eastAsia" w:ascii="宋体" w:hAnsi="宋体" w:cs="宋体"/>
          <w:i w:val="0"/>
          <w:iCs w:val="0"/>
          <w:color w:val="auto"/>
          <w:sz w:val="24"/>
          <w:szCs w:val="24"/>
          <w:lang w:val="en-US" w:eastAsia="zh-CN"/>
        </w:rPr>
        <w:t>供</w:t>
      </w:r>
      <w:r>
        <w:rPr>
          <w:rFonts w:hint="eastAsia" w:ascii="宋体" w:hAnsi="宋体" w:eastAsia="宋体" w:cs="宋体"/>
          <w:i w:val="0"/>
          <w:iCs w:val="0"/>
          <w:color w:val="auto"/>
          <w:sz w:val="24"/>
          <w:szCs w:val="24"/>
        </w:rPr>
        <w:t>近三年</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rPr>
        <w:t>202</w:t>
      </w:r>
      <w:r>
        <w:rPr>
          <w:rFonts w:hint="eastAsia" w:ascii="宋体" w:hAnsi="宋体" w:cs="宋体"/>
          <w:i w:val="0"/>
          <w:iCs w:val="0"/>
          <w:color w:val="auto"/>
          <w:sz w:val="24"/>
          <w:szCs w:val="24"/>
          <w:lang w:val="en-US" w:eastAsia="zh-CN"/>
        </w:rPr>
        <w:t>3</w:t>
      </w:r>
      <w:r>
        <w:rPr>
          <w:rFonts w:hint="eastAsia" w:ascii="宋体" w:hAnsi="宋体" w:eastAsia="宋体" w:cs="宋体"/>
          <w:i w:val="0"/>
          <w:iCs w:val="0"/>
          <w:color w:val="auto"/>
          <w:sz w:val="24"/>
          <w:szCs w:val="24"/>
        </w:rPr>
        <w:t>年</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202</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eastAsia="zh-CN"/>
        </w:rPr>
        <w:t>）</w:t>
      </w:r>
      <w:r>
        <w:rPr>
          <w:rFonts w:hint="eastAsia" w:ascii="宋体" w:hAnsi="宋体" w:eastAsia="宋体" w:cs="宋体"/>
          <w:b/>
          <w:bCs/>
          <w:i w:val="0"/>
          <w:iCs w:val="0"/>
          <w:color w:val="auto"/>
          <w:sz w:val="24"/>
          <w:szCs w:val="24"/>
        </w:rPr>
        <w:t>任意</w:t>
      </w:r>
      <w:r>
        <w:rPr>
          <w:rFonts w:hint="eastAsia" w:ascii="宋体" w:hAnsi="宋体" w:eastAsia="宋体" w:cs="宋体"/>
          <w:i w:val="0"/>
          <w:iCs w:val="0"/>
          <w:color w:val="auto"/>
          <w:sz w:val="24"/>
          <w:szCs w:val="24"/>
        </w:rPr>
        <w:t>一年经第三方机构审计的审计报告和财务报表或内部财务报表（成立不足1年的企业，附成立至今的财务报表或相关财务证明资料）（扫描件加盖供应商电子公章）；</w:t>
      </w:r>
    </w:p>
    <w:p w14:paraId="002CFE84">
      <w:pP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br w:type="page"/>
      </w:r>
    </w:p>
    <w:p w14:paraId="54D6F5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.3具有履行合同所必需的设备和专业技术能力：提供供应商具有履行合同所必需的设备和专业技术能力证明材料或书面声明（加盖供应商电子公章）；</w:t>
      </w:r>
    </w:p>
    <w:p w14:paraId="190B60D9">
      <w:pP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br w:type="page"/>
      </w:r>
    </w:p>
    <w:p w14:paraId="2FBB048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.4有依法缴纳税收和社会保障资金的良好记录：</w:t>
      </w:r>
    </w:p>
    <w:p w14:paraId="39B841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.4.1提供供应商缴税所属时间在202</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rPr>
        <w:t>月至本项目响应文件提交截止时间前</w:t>
      </w:r>
      <w:r>
        <w:rPr>
          <w:rFonts w:hint="eastAsia" w:ascii="宋体" w:hAnsi="宋体" w:eastAsia="宋体" w:cs="宋体"/>
          <w:b/>
          <w:bCs/>
          <w:i w:val="0"/>
          <w:iCs w:val="0"/>
          <w:color w:val="auto"/>
          <w:sz w:val="24"/>
          <w:szCs w:val="24"/>
        </w:rPr>
        <w:t>任意连续</w:t>
      </w:r>
      <w:r>
        <w:rPr>
          <w:rFonts w:hint="eastAsia" w:ascii="宋体" w:hAnsi="宋体" w:eastAsia="宋体" w:cs="宋体"/>
          <w:i w:val="0"/>
          <w:iCs w:val="0"/>
          <w:color w:val="auto"/>
          <w:sz w:val="24"/>
          <w:szCs w:val="24"/>
        </w:rPr>
        <w:t>3个月的税务局税收通用缴款书或银行电子缴税（费）凭证或税务局出具纳税情况的相关证明，新成立企业，成立时间不足3个月的提供自成立以来的税务局税收通用缴款书扫描件或银行电子缴税（费）凭证扫描件或税务局出具纳税情况的相关证明。供应商依法免税的，应提供依法免税的相关证明文件（加盖供应商电子公章）；</w:t>
      </w:r>
    </w:p>
    <w:p w14:paraId="0A20D21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.4.2提供供应商缴费所属时间在202</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val="en-US" w:eastAsia="zh-CN"/>
        </w:rPr>
        <w:t>6</w:t>
      </w:r>
      <w:r>
        <w:rPr>
          <w:rFonts w:hint="eastAsia" w:ascii="宋体" w:hAnsi="宋体" w:eastAsia="宋体" w:cs="宋体"/>
          <w:i w:val="0"/>
          <w:iCs w:val="0"/>
          <w:color w:val="auto"/>
          <w:sz w:val="24"/>
          <w:szCs w:val="24"/>
        </w:rPr>
        <w:t>月至本项目响应文件提交截止时间前</w:t>
      </w:r>
      <w:r>
        <w:rPr>
          <w:rFonts w:hint="eastAsia" w:ascii="宋体" w:hAnsi="宋体" w:eastAsia="宋体" w:cs="宋体"/>
          <w:b/>
          <w:bCs/>
          <w:i w:val="0"/>
          <w:iCs w:val="0"/>
          <w:color w:val="auto"/>
          <w:sz w:val="24"/>
          <w:szCs w:val="24"/>
        </w:rPr>
        <w:t>任意连续</w:t>
      </w:r>
      <w:r>
        <w:rPr>
          <w:rFonts w:hint="eastAsia" w:ascii="宋体" w:hAnsi="宋体" w:eastAsia="宋体" w:cs="宋体"/>
          <w:i w:val="0"/>
          <w:iCs w:val="0"/>
          <w:color w:val="auto"/>
          <w:sz w:val="24"/>
          <w:szCs w:val="24"/>
        </w:rPr>
        <w:t>3个月的社会保险费缴款书或银行电子缴税（费）凭证或社保管理部门出具的有效的缴款证明，新成立企业，成立时间不足3个月的提供自成立以来的社会保险费缴款书扫描件或银行电子缴税（费）凭证扫描件或社保管理部门出具的有效的缴款证明。供应商依法免缴的，应提供依法免缴的相关证明文件（加盖供应商电子公章）；</w:t>
      </w:r>
    </w:p>
    <w:p w14:paraId="60DB6BD9">
      <w:pP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br w:type="page"/>
      </w:r>
    </w:p>
    <w:p w14:paraId="57C0BF6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5参加采购活动前三年内，在经营活动中没有重大违法记录：提供供应商参加采购活动前三年内，在经营活动中没有重大违法记录（重大违法记录，是指供应商因违法经营受到刑事处罚或者责令停产停业、吊销许可证或者执照、较大数额罚款等行政处罚）的书面声明（加盖供应商电子公章）。</w:t>
      </w:r>
    </w:p>
    <w:p w14:paraId="32996118">
      <w:pPr>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br w:type="page"/>
      </w:r>
    </w:p>
    <w:p w14:paraId="59C6B0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.6法律、行政法规规定的其他条件：</w:t>
      </w:r>
    </w:p>
    <w:p w14:paraId="5F0551C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1.6.1单位负责人为同一人或者存在直接控股、管理关系的不同供应商，不得参加同一合同项下的政府采购活动，提供书面说明。（加盖供应商电子公章）</w:t>
      </w:r>
    </w:p>
    <w:p w14:paraId="3B5593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1.6.2为本采购项目提供整体设计、规范编制或者项目管理、监理、检测等服务的供应商，不得再参加该采购项目的其他采购活动，提供书面说明。（加盖供应商电子公章）。</w:t>
      </w:r>
    </w:p>
    <w:p w14:paraId="7C881175">
      <w:pPr>
        <w:pStyle w:val="19"/>
        <w:rPr>
          <w:rFonts w:hint="eastAsia"/>
          <w:lang w:val="en-US" w:eastAsia="zh-CN"/>
        </w:rPr>
      </w:pPr>
    </w:p>
    <w:p w14:paraId="36B20A15">
      <w:pPr>
        <w:rPr>
          <w:rFonts w:hint="eastAsia"/>
          <w:lang w:val="en-US" w:eastAsia="zh-CN"/>
        </w:rPr>
      </w:pPr>
    </w:p>
    <w:p w14:paraId="4D7D3EB2">
      <w:pPr>
        <w:pStyle w:val="19"/>
        <w:rPr>
          <w:rFonts w:hint="eastAsia"/>
          <w:lang w:val="en-US" w:eastAsia="zh-CN"/>
        </w:rPr>
      </w:pPr>
    </w:p>
    <w:p w14:paraId="09E9C670">
      <w:pPr>
        <w:bidi w:val="0"/>
        <w:rPr>
          <w:rFonts w:hint="eastAsia"/>
          <w:lang w:val="en-US" w:eastAsia="zh-CN"/>
        </w:rPr>
      </w:pPr>
    </w:p>
    <w:p w14:paraId="6481F527">
      <w:pPr>
        <w:rPr>
          <w:rFonts w:hint="eastAsia" w:ascii="宋体" w:hAnsi="宋体" w:eastAsia="宋体" w:cs="宋体"/>
          <w:b/>
          <w:kern w:val="2"/>
          <w:sz w:val="36"/>
          <w:lang w:val="en-US" w:eastAsia="zh-CN" w:bidi="ar-SA"/>
        </w:rPr>
      </w:pPr>
      <w:r>
        <w:rPr>
          <w:rFonts w:hint="eastAsia" w:ascii="宋体" w:hAnsi="宋体" w:eastAsia="宋体" w:cs="宋体"/>
          <w:b/>
          <w:kern w:val="2"/>
          <w:sz w:val="36"/>
          <w:lang w:val="en-US" w:eastAsia="zh-CN" w:bidi="ar-SA"/>
        </w:rPr>
        <w:br w:type="page"/>
      </w:r>
    </w:p>
    <w:p w14:paraId="3949DB11">
      <w:pPr>
        <w:pStyle w:val="6"/>
        <w:keepNext/>
        <w:keepLines/>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3"/>
        <w:rPr>
          <w:rFonts w:hint="eastAsia" w:ascii="宋体" w:hAnsi="宋体" w:eastAsia="宋体" w:cs="宋体"/>
          <w:b/>
          <w:kern w:val="2"/>
          <w:sz w:val="36"/>
          <w:lang w:val="en-US" w:eastAsia="zh-CN" w:bidi="ar-SA"/>
        </w:rPr>
      </w:pPr>
      <w:r>
        <w:rPr>
          <w:rFonts w:hint="eastAsia" w:ascii="宋体" w:hAnsi="宋体" w:eastAsia="宋体" w:cs="宋体"/>
          <w:b/>
          <w:kern w:val="2"/>
          <w:sz w:val="36"/>
          <w:lang w:val="en-US" w:eastAsia="zh-CN" w:bidi="ar-SA"/>
        </w:rPr>
        <w:t>（三）落实政府采购政策需满足的资格要求</w:t>
      </w:r>
      <w:bookmarkEnd w:id="167"/>
    </w:p>
    <w:p w14:paraId="13F87B13">
      <w:pPr>
        <w:keepNext w:val="0"/>
        <w:keepLines w:val="0"/>
        <w:pageBreakBefore w:val="0"/>
        <w:widowControl/>
        <w:kinsoku/>
        <w:wordWrap/>
        <w:overflowPunct/>
        <w:topLinePunct w:val="0"/>
        <w:autoSpaceDE/>
        <w:autoSpaceDN/>
        <w:bidi w:val="0"/>
        <w:adjustRightInd/>
        <w:snapToGrid/>
        <w:spacing w:after="240" w:line="360" w:lineRule="atLeast"/>
        <w:jc w:val="center"/>
        <w:textAlignment w:val="auto"/>
        <w:outlineLvl w:val="9"/>
        <w:rPr>
          <w:rFonts w:hint="eastAsia" w:ascii="宋体" w:hAnsi="宋体" w:eastAsia="宋体" w:cs="宋体"/>
          <w:b/>
          <w:bCs/>
          <w:sz w:val="30"/>
          <w:szCs w:val="32"/>
          <w:lang w:eastAsia="zh-CN"/>
        </w:rPr>
      </w:pPr>
      <w:bookmarkStart w:id="168" w:name="_Toc1748"/>
      <w:r>
        <w:rPr>
          <w:rFonts w:hint="eastAsia" w:ascii="宋体" w:hAnsi="宋体" w:eastAsia="宋体" w:cs="宋体"/>
          <w:b/>
          <w:bCs/>
          <w:sz w:val="30"/>
          <w:szCs w:val="32"/>
          <w:lang w:eastAsia="zh-CN"/>
        </w:rPr>
        <w:t>（</w:t>
      </w:r>
      <w:r>
        <w:rPr>
          <w:rFonts w:hint="eastAsia" w:ascii="宋体" w:hAnsi="宋体" w:eastAsia="宋体" w:cs="宋体"/>
          <w:b/>
          <w:bCs/>
          <w:sz w:val="30"/>
          <w:szCs w:val="32"/>
          <w:lang w:val="en-US" w:eastAsia="zh-CN"/>
        </w:rPr>
        <w:t>1</w:t>
      </w:r>
      <w:r>
        <w:rPr>
          <w:rFonts w:hint="eastAsia" w:ascii="宋体" w:hAnsi="宋体" w:eastAsia="宋体" w:cs="宋体"/>
          <w:b/>
          <w:bCs/>
          <w:sz w:val="30"/>
          <w:szCs w:val="32"/>
          <w:lang w:eastAsia="zh-CN"/>
        </w:rPr>
        <w:t>）</w:t>
      </w:r>
      <w:r>
        <w:rPr>
          <w:rFonts w:hint="eastAsia" w:ascii="宋体" w:hAnsi="宋体" w:eastAsia="宋体" w:cs="宋体"/>
          <w:b/>
          <w:bCs/>
          <w:sz w:val="30"/>
          <w:szCs w:val="32"/>
        </w:rPr>
        <w:t>中小企业声明函</w:t>
      </w:r>
      <w:bookmarkEnd w:id="168"/>
      <w:r>
        <w:rPr>
          <w:rFonts w:hint="eastAsia" w:ascii="宋体" w:hAnsi="宋体" w:cs="宋体"/>
          <w:b/>
          <w:bCs/>
          <w:sz w:val="30"/>
          <w:szCs w:val="32"/>
          <w:lang w:eastAsia="zh-CN"/>
        </w:rPr>
        <w:t>（</w:t>
      </w:r>
      <w:r>
        <w:rPr>
          <w:rFonts w:hint="eastAsia" w:ascii="宋体" w:hAnsi="宋体" w:cs="宋体"/>
          <w:b/>
          <w:bCs/>
          <w:sz w:val="30"/>
          <w:szCs w:val="32"/>
          <w:lang w:val="en-US" w:eastAsia="zh-CN"/>
        </w:rPr>
        <w:t>服务</w:t>
      </w:r>
      <w:r>
        <w:rPr>
          <w:rFonts w:hint="eastAsia" w:ascii="宋体" w:hAnsi="宋体" w:cs="宋体"/>
          <w:b/>
          <w:bCs/>
          <w:sz w:val="30"/>
          <w:szCs w:val="32"/>
          <w:lang w:eastAsia="zh-CN"/>
        </w:rPr>
        <w:t>）</w:t>
      </w:r>
    </w:p>
    <w:p w14:paraId="53451DDD">
      <w:pPr>
        <w:keepNext w:val="0"/>
        <w:keepLines w:val="0"/>
        <w:pageBreakBefore w:val="0"/>
        <w:widowControl w:val="0"/>
        <w:kinsoku/>
        <w:wordWrap w:val="0"/>
        <w:overflowPunct/>
        <w:topLinePunct w:val="0"/>
        <w:autoSpaceDE/>
        <w:autoSpaceDN/>
        <w:bidi w:val="0"/>
        <w:adjustRightInd/>
        <w:snapToGrid/>
        <w:spacing w:after="120" w:line="360" w:lineRule="auto"/>
        <w:ind w:firstLine="720" w:firstLineChars="300"/>
        <w:textAlignment w:val="auto"/>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本公司（联合体）郑重声明，根据《政府采购促进中小企业发展管理办法》（财库﹝2020﹞46号）的规定，本公司（联合体）参加</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单位名称 ）</w:t>
      </w:r>
      <w:r>
        <w:rPr>
          <w:rFonts w:hint="eastAsia" w:ascii="宋体" w:hAnsi="宋体" w:eastAsia="宋体" w:cs="宋体"/>
          <w:sz w:val="24"/>
        </w:rPr>
        <w:t xml:space="preserve"> 的</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项目名称 ）</w:t>
      </w:r>
      <w:r>
        <w:rPr>
          <w:rFonts w:hint="eastAsia" w:ascii="宋体" w:hAnsi="宋体" w:eastAsia="宋体" w:cs="宋体"/>
          <w:sz w:val="24"/>
        </w:rPr>
        <w:t xml:space="preserve">  采购活动，服务全部由符合政策要求的中小企业承接。相关企业（含联合体中的中小企业、签订分包意向协议的中小企业）的具体情况如下：</w:t>
      </w:r>
    </w:p>
    <w:p w14:paraId="557145F0">
      <w:pPr>
        <w:keepNext w:val="0"/>
        <w:keepLines w:val="0"/>
        <w:pageBreakBefore w:val="0"/>
        <w:widowControl w:val="0"/>
        <w:kinsoku/>
        <w:wordWrap w:val="0"/>
        <w:overflowPunct/>
        <w:topLinePunct w:val="0"/>
        <w:autoSpaceDE/>
        <w:autoSpaceDN/>
        <w:bidi w:val="0"/>
        <w:adjustRightInd/>
        <w:snapToGrid/>
        <w:spacing w:after="120" w:line="360" w:lineRule="auto"/>
        <w:ind w:firstLine="720" w:firstLineChars="300"/>
        <w:textAlignment w:val="auto"/>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标的名称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，属于</w:t>
      </w:r>
      <w:r>
        <w:rPr>
          <w:rFonts w:hint="eastAsia" w:ascii="宋体" w:hAnsi="宋体" w:eastAsia="宋体" w:cs="宋体"/>
          <w:b/>
          <w:sz w:val="24"/>
          <w:u w:val="single"/>
          <w:lang w:val="en-US" w:eastAsia="zh-CN"/>
        </w:rPr>
        <w:t xml:space="preserve">      </w:t>
      </w:r>
      <w:r>
        <w:rPr>
          <w:rFonts w:hint="eastAsia" w:ascii="宋体" w:hAnsi="宋体" w:cs="宋体"/>
          <w:b/>
          <w:sz w:val="24"/>
          <w:u w:val="single"/>
          <w:lang w:val="en-US" w:eastAsia="zh-CN"/>
        </w:rPr>
        <w:t xml:space="preserve"> </w:t>
      </w:r>
      <w:r>
        <w:rPr>
          <w:rFonts w:hint="eastAsia" w:ascii="宋体" w:hAnsi="宋体" w:eastAsia="宋体" w:cs="宋体"/>
          <w:b/>
          <w:sz w:val="24"/>
          <w:u w:val="single"/>
          <w:lang w:val="en-US" w:eastAsia="zh-CN"/>
        </w:rPr>
        <w:t xml:space="preserve">   </w:t>
      </w:r>
      <w:r>
        <w:rPr>
          <w:rFonts w:hint="eastAsia" w:ascii="宋体" w:hAnsi="宋体" w:eastAsia="宋体" w:cs="宋体"/>
          <w:b/>
          <w:sz w:val="24"/>
          <w:u w:val="single"/>
        </w:rPr>
        <w:t>。</w:t>
      </w:r>
      <w:r>
        <w:rPr>
          <w:rFonts w:hint="eastAsia" w:ascii="宋体" w:hAnsi="宋体" w:eastAsia="宋体" w:cs="宋体"/>
          <w:sz w:val="24"/>
        </w:rPr>
        <w:t>行业；承建（承接）企业为</w:t>
      </w:r>
      <w:r>
        <w:rPr>
          <w:rFonts w:hint="eastAsia" w:ascii="宋体" w:hAnsi="宋体" w:eastAsia="宋体" w:cs="宋体"/>
          <w:sz w:val="24"/>
          <w:u w:val="single"/>
        </w:rPr>
        <w:t xml:space="preserve">  （ 企业名称 ）  </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 xml:space="preserve">      （ 中型企业 、 小型企业 、 微型企业） </w:t>
      </w:r>
      <w:r>
        <w:rPr>
          <w:rFonts w:hint="eastAsia" w:ascii="宋体" w:hAnsi="宋体" w:eastAsia="宋体" w:cs="宋体"/>
          <w:sz w:val="24"/>
        </w:rPr>
        <w:t xml:space="preserve">； </w:t>
      </w:r>
    </w:p>
    <w:p w14:paraId="0E6E10F5">
      <w:pPr>
        <w:keepNext w:val="0"/>
        <w:keepLines w:val="0"/>
        <w:pageBreakBefore w:val="0"/>
        <w:widowControl w:val="0"/>
        <w:kinsoku/>
        <w:wordWrap w:val="0"/>
        <w:overflowPunct/>
        <w:topLinePunct w:val="0"/>
        <w:autoSpaceDE/>
        <w:autoSpaceDN/>
        <w:bidi w:val="0"/>
        <w:adjustRightInd/>
        <w:snapToGrid/>
        <w:spacing w:after="120" w:line="360" w:lineRule="auto"/>
        <w:ind w:firstLine="720" w:firstLineChars="300"/>
        <w:textAlignment w:val="auto"/>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u w:val="single"/>
        </w:rPr>
        <w:t xml:space="preserve">（ 标的名称 ） </w:t>
      </w:r>
      <w:r>
        <w:rPr>
          <w:rFonts w:hint="eastAsia" w:ascii="宋体" w:hAnsi="宋体" w:eastAsia="宋体" w:cs="宋体"/>
          <w:sz w:val="24"/>
        </w:rPr>
        <w:t>，属于</w:t>
      </w:r>
      <w:r>
        <w:rPr>
          <w:rFonts w:hint="eastAsia" w:ascii="宋体" w:hAnsi="宋体" w:eastAsia="宋体" w:cs="宋体"/>
          <w:b/>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sz w:val="24"/>
        </w:rPr>
        <w:t>行业；承建（承接）企业为</w:t>
      </w:r>
      <w:r>
        <w:rPr>
          <w:rFonts w:hint="eastAsia" w:ascii="宋体" w:hAnsi="宋体" w:eastAsia="宋体" w:cs="宋体"/>
          <w:sz w:val="24"/>
          <w:u w:val="single"/>
        </w:rPr>
        <w:t xml:space="preserve">  （ 企业名称 ）  </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 xml:space="preserve">      （ 中型 企业 、 小型企业 、 微型企业 ） </w:t>
      </w:r>
      <w:r>
        <w:rPr>
          <w:rFonts w:hint="eastAsia" w:ascii="宋体" w:hAnsi="宋体" w:eastAsia="宋体" w:cs="宋体"/>
          <w:sz w:val="24"/>
        </w:rPr>
        <w:t>；</w:t>
      </w:r>
    </w:p>
    <w:p w14:paraId="2A4606F9">
      <w:pPr>
        <w:spacing w:after="120" w:line="360" w:lineRule="auto"/>
        <w:ind w:firstLine="720" w:firstLineChars="300"/>
        <w:rPr>
          <w:rFonts w:hint="eastAsia" w:ascii="宋体" w:hAnsi="宋体" w:eastAsia="宋体" w:cs="宋体"/>
          <w:sz w:val="24"/>
        </w:rPr>
      </w:pPr>
      <w:r>
        <w:rPr>
          <w:rFonts w:hint="eastAsia" w:ascii="宋体" w:hAnsi="宋体" w:eastAsia="宋体" w:cs="宋体"/>
          <w:sz w:val="24"/>
        </w:rPr>
        <w:t xml:space="preserve">…… </w:t>
      </w:r>
    </w:p>
    <w:p w14:paraId="6B56069C">
      <w:pPr>
        <w:spacing w:after="120" w:line="360" w:lineRule="auto"/>
        <w:ind w:firstLine="720" w:firstLineChars="300"/>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50894552">
      <w:pPr>
        <w:spacing w:after="120" w:line="360" w:lineRule="auto"/>
        <w:ind w:firstLine="720" w:firstLineChars="300"/>
        <w:rPr>
          <w:rFonts w:hint="eastAsia" w:ascii="宋体" w:hAnsi="宋体" w:eastAsia="宋体" w:cs="宋体"/>
          <w:sz w:val="24"/>
        </w:rPr>
      </w:pPr>
      <w:r>
        <w:rPr>
          <w:rFonts w:hint="eastAsia" w:ascii="宋体" w:hAnsi="宋体" w:eastAsia="宋体" w:cs="宋体"/>
          <w:sz w:val="24"/>
        </w:rPr>
        <w:t xml:space="preserve">本企业对上述声明内容的真实性负责。如有虚假，将依法承担相应责任。 </w:t>
      </w:r>
    </w:p>
    <w:p w14:paraId="08D7579C">
      <w:pPr>
        <w:spacing w:after="120" w:line="360" w:lineRule="auto"/>
        <w:ind w:firstLine="3600" w:firstLineChars="1500"/>
        <w:rPr>
          <w:rFonts w:hint="eastAsia" w:ascii="宋体" w:hAnsi="宋体" w:eastAsia="宋体" w:cs="宋体"/>
          <w:sz w:val="24"/>
        </w:rPr>
      </w:pPr>
    </w:p>
    <w:p w14:paraId="517D93B5">
      <w:pPr>
        <w:spacing w:after="120" w:line="360" w:lineRule="auto"/>
        <w:ind w:firstLine="3855" w:firstLineChars="1600"/>
        <w:rPr>
          <w:rFonts w:hint="eastAsia" w:ascii="宋体" w:hAnsi="宋体" w:eastAsia="宋体" w:cs="宋体"/>
          <w:b/>
          <w:sz w:val="24"/>
        </w:rPr>
      </w:pPr>
      <w:r>
        <w:rPr>
          <w:rFonts w:hint="eastAsia" w:ascii="宋体" w:hAnsi="宋体" w:eastAsia="宋体" w:cs="宋体"/>
          <w:b/>
          <w:sz w:val="24"/>
          <w:lang w:val="en-US" w:eastAsia="zh-CN"/>
        </w:rPr>
        <w:t>供应商</w:t>
      </w:r>
      <w:r>
        <w:rPr>
          <w:rFonts w:hint="eastAsia" w:ascii="宋体" w:hAnsi="宋体" w:eastAsia="宋体" w:cs="宋体"/>
          <w:b/>
          <w:sz w:val="24"/>
        </w:rPr>
        <w:t>名称（电子</w:t>
      </w:r>
      <w:r>
        <w:rPr>
          <w:rFonts w:hint="eastAsia" w:ascii="宋体" w:hAnsi="宋体" w:eastAsia="宋体" w:cs="宋体"/>
          <w:b/>
          <w:sz w:val="24"/>
          <w:lang w:val="en-US" w:eastAsia="zh-CN"/>
        </w:rPr>
        <w:t>公</w:t>
      </w:r>
      <w:r>
        <w:rPr>
          <w:rFonts w:hint="eastAsia" w:ascii="宋体" w:hAnsi="宋体" w:eastAsia="宋体" w:cs="宋体"/>
          <w:b/>
          <w:sz w:val="24"/>
        </w:rPr>
        <w:t>章）：</w:t>
      </w:r>
    </w:p>
    <w:p w14:paraId="0A8B368E">
      <w:pPr>
        <w:spacing w:line="360" w:lineRule="auto"/>
        <w:ind w:firstLine="3855" w:firstLineChars="1600"/>
        <w:rPr>
          <w:rFonts w:hint="eastAsia" w:ascii="宋体" w:hAnsi="宋体" w:eastAsia="宋体" w:cs="宋体"/>
          <w:b/>
          <w:sz w:val="24"/>
        </w:rPr>
      </w:pPr>
      <w:r>
        <w:rPr>
          <w:rFonts w:hint="eastAsia" w:ascii="宋体" w:hAnsi="宋体" w:eastAsia="宋体" w:cs="宋体"/>
          <w:b/>
          <w:sz w:val="24"/>
        </w:rPr>
        <w:t>日 期：</w:t>
      </w:r>
    </w:p>
    <w:p w14:paraId="138D681A">
      <w:pPr>
        <w:spacing w:line="360" w:lineRule="auto"/>
        <w:ind w:firstLine="420" w:firstLineChars="200"/>
        <w:rPr>
          <w:rFonts w:hint="eastAsia" w:ascii="宋体" w:hAnsi="宋体" w:eastAsia="宋体" w:cs="宋体"/>
          <w:b w:val="0"/>
          <w:bCs/>
          <w:sz w:val="21"/>
          <w:szCs w:val="16"/>
        </w:rPr>
      </w:pPr>
      <w:r>
        <w:rPr>
          <w:rFonts w:hint="eastAsia" w:ascii="宋体" w:hAnsi="宋体" w:eastAsia="宋体" w:cs="宋体"/>
          <w:b w:val="0"/>
          <w:bCs/>
          <w:sz w:val="21"/>
          <w:szCs w:val="16"/>
        </w:rPr>
        <w:t>注：上表中从业人员、营业收入、资产总额填报上一年度数据，无上一年度数据的新成立企业可不填报。</w:t>
      </w:r>
    </w:p>
    <w:p w14:paraId="59413A95">
      <w:pPr>
        <w:spacing w:line="360" w:lineRule="auto"/>
        <w:ind w:firstLine="420" w:firstLineChars="200"/>
        <w:rPr>
          <w:rFonts w:hint="eastAsia" w:ascii="宋体" w:hAnsi="宋体" w:eastAsia="宋体" w:cs="宋体"/>
          <w:b w:val="0"/>
          <w:bCs/>
          <w:sz w:val="21"/>
          <w:szCs w:val="16"/>
        </w:rPr>
      </w:pPr>
      <w:r>
        <w:rPr>
          <w:rFonts w:hint="eastAsia" w:ascii="宋体" w:hAnsi="宋体" w:eastAsia="宋体" w:cs="宋体"/>
          <w:b w:val="0"/>
          <w:bCs/>
          <w:color w:val="000000" w:themeColor="text1"/>
          <w:sz w:val="21"/>
          <w:szCs w:val="16"/>
          <w14:textFill>
            <w14:solidFill>
              <w14:schemeClr w14:val="tx1"/>
            </w14:solidFill>
          </w14:textFill>
        </w:rPr>
        <w:t>1</w:t>
      </w:r>
      <w:r>
        <w:rPr>
          <w:rFonts w:hint="eastAsia" w:ascii="宋体" w:hAnsi="宋体" w:eastAsia="宋体" w:cs="宋体"/>
          <w:b w:val="0"/>
          <w:bCs/>
          <w:color w:val="000000" w:themeColor="text1"/>
          <w:sz w:val="21"/>
          <w:szCs w:val="16"/>
          <w:lang w:val="en-US" w:eastAsia="zh-CN"/>
          <w14:textFill>
            <w14:solidFill>
              <w14:schemeClr w14:val="tx1"/>
            </w14:solidFill>
          </w14:textFill>
        </w:rPr>
        <w:t>.</w:t>
      </w:r>
      <w:r>
        <w:rPr>
          <w:rFonts w:hint="eastAsia" w:ascii="宋体" w:hAnsi="宋体" w:eastAsia="宋体" w:cs="宋体"/>
          <w:b w:val="0"/>
          <w:bCs/>
          <w:sz w:val="21"/>
          <w:szCs w:val="16"/>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5F95492">
      <w:pPr>
        <w:spacing w:line="360" w:lineRule="auto"/>
        <w:ind w:firstLine="420" w:firstLineChars="200"/>
        <w:rPr>
          <w:rFonts w:hint="eastAsia" w:ascii="宋体" w:hAnsi="宋体" w:eastAsia="宋体" w:cs="宋体"/>
          <w:b w:val="0"/>
          <w:bCs/>
          <w:sz w:val="21"/>
          <w:szCs w:val="16"/>
        </w:rPr>
      </w:pPr>
      <w:r>
        <w:rPr>
          <w:rFonts w:hint="eastAsia" w:ascii="宋体" w:hAnsi="宋体" w:cs="宋体"/>
          <w:b w:val="0"/>
          <w:bCs/>
          <w:sz w:val="21"/>
          <w:szCs w:val="16"/>
          <w:lang w:val="en-US" w:eastAsia="zh-CN"/>
        </w:rPr>
        <w:t>2</w:t>
      </w:r>
      <w:r>
        <w:rPr>
          <w:rFonts w:hint="eastAsia" w:ascii="宋体" w:hAnsi="宋体" w:eastAsia="宋体" w:cs="宋体"/>
          <w:b w:val="0"/>
          <w:bCs/>
          <w:sz w:val="21"/>
          <w:szCs w:val="16"/>
          <w:lang w:val="en-US" w:eastAsia="zh-CN"/>
        </w:rPr>
        <w:t>.</w:t>
      </w:r>
      <w:r>
        <w:rPr>
          <w:rFonts w:hint="eastAsia" w:ascii="宋体" w:hAnsi="宋体" w:eastAsia="宋体" w:cs="宋体"/>
          <w:b w:val="0"/>
          <w:bCs/>
          <w:sz w:val="21"/>
          <w:szCs w:val="16"/>
        </w:rPr>
        <w:t>供应商须核对《关于印发中小企业划型标准规定的通知》（工信部联企业〔2011〕300号）规定的中小企业划型标准，如实填写声明函。所声明的从业人员人数或营业收入金额不符合中小企业划型标准规定或未按采购文件明确的所属行业填写的，磋商小组将不予认可，责任由供应商自行承担。根据政府采购主管部门关于政府采购信息公示的相关要求，如中标单位为中小型（或微型）企业，其响应文件中所提供的中小企业声明函需在云南省政府采购网随中标结果一并公示，请各供应商如实提供及填写本单位企业情况。</w:t>
      </w:r>
    </w:p>
    <w:p w14:paraId="63BAE970">
      <w:pPr>
        <w:spacing w:line="360" w:lineRule="auto"/>
        <w:ind w:firstLine="420" w:firstLineChars="200"/>
        <w:rPr>
          <w:rFonts w:hint="eastAsia" w:ascii="宋体" w:hAnsi="宋体" w:eastAsia="宋体" w:cs="宋体"/>
          <w:b w:val="0"/>
          <w:bCs/>
          <w:sz w:val="21"/>
          <w:szCs w:val="16"/>
        </w:rPr>
      </w:pPr>
      <w:r>
        <w:rPr>
          <w:rFonts w:hint="eastAsia" w:ascii="宋体" w:hAnsi="宋体" w:eastAsia="宋体" w:cs="宋体"/>
          <w:b w:val="0"/>
          <w:bCs/>
          <w:sz w:val="21"/>
          <w:szCs w:val="16"/>
          <w:lang w:val="en-US" w:eastAsia="zh-CN"/>
        </w:rPr>
        <w:t>3.</w:t>
      </w:r>
      <w:r>
        <w:rPr>
          <w:rFonts w:hint="eastAsia" w:ascii="宋体" w:hAnsi="宋体" w:eastAsia="宋体" w:cs="宋体"/>
          <w:b w:val="0"/>
          <w:bCs/>
          <w:sz w:val="21"/>
          <w:szCs w:val="16"/>
        </w:rPr>
        <w:t>本项目标的所属《关于印发中小企业划型标准规定的通知》（工信部联企业〔2011〕300号）中所列“</w:t>
      </w:r>
      <w:r>
        <w:rPr>
          <w:rFonts w:hint="eastAsia" w:ascii="宋体" w:hAnsi="宋体" w:eastAsia="宋体" w:cs="宋体"/>
          <w:b/>
          <w:bCs w:val="0"/>
          <w:sz w:val="21"/>
          <w:szCs w:val="16"/>
        </w:rPr>
        <w:t>（十</w:t>
      </w:r>
      <w:r>
        <w:rPr>
          <w:rFonts w:hint="eastAsia" w:ascii="宋体" w:hAnsi="宋体" w:eastAsia="宋体" w:cs="宋体"/>
          <w:b/>
          <w:bCs w:val="0"/>
          <w:sz w:val="21"/>
          <w:szCs w:val="16"/>
          <w:lang w:val="en-US" w:eastAsia="zh-CN"/>
        </w:rPr>
        <w:t>六</w:t>
      </w:r>
      <w:r>
        <w:rPr>
          <w:rFonts w:hint="eastAsia" w:ascii="宋体" w:hAnsi="宋体" w:eastAsia="宋体" w:cs="宋体"/>
          <w:b/>
          <w:bCs w:val="0"/>
          <w:sz w:val="21"/>
          <w:szCs w:val="16"/>
        </w:rPr>
        <w:t>）其他未列明行业。</w:t>
      </w:r>
      <w:r>
        <w:rPr>
          <w:rFonts w:hint="eastAsia" w:ascii="宋体" w:hAnsi="宋体" w:eastAsia="宋体" w:cs="宋体"/>
          <w:b w:val="0"/>
          <w:bCs/>
          <w:sz w:val="21"/>
          <w:szCs w:val="16"/>
        </w:rPr>
        <w:t>”的行业。</w:t>
      </w:r>
    </w:p>
    <w:p w14:paraId="4797B038">
      <w:pPr>
        <w:spacing w:line="360" w:lineRule="auto"/>
        <w:ind w:firstLine="420" w:firstLineChars="200"/>
        <w:rPr>
          <w:rFonts w:hint="eastAsia" w:ascii="宋体" w:hAnsi="宋体" w:eastAsia="宋体" w:cs="宋体"/>
          <w:b/>
          <w:sz w:val="21"/>
          <w:szCs w:val="16"/>
        </w:rPr>
      </w:pPr>
      <w:r>
        <w:rPr>
          <w:rFonts w:hint="eastAsia" w:ascii="宋体" w:hAnsi="宋体" w:eastAsia="宋体" w:cs="宋体"/>
          <w:b w:val="0"/>
          <w:bCs/>
          <w:sz w:val="21"/>
          <w:szCs w:val="16"/>
        </w:rPr>
        <w:t>注：</w:t>
      </w:r>
      <w:r>
        <w:rPr>
          <w:rFonts w:hint="eastAsia" w:ascii="宋体" w:hAnsi="宋体" w:cs="宋体"/>
          <w:b w:val="0"/>
          <w:bCs/>
          <w:sz w:val="21"/>
          <w:szCs w:val="16"/>
          <w:lang w:eastAsia="zh-CN"/>
        </w:rPr>
        <w:t>（</w:t>
      </w:r>
      <w:r>
        <w:rPr>
          <w:rFonts w:hint="eastAsia" w:ascii="宋体" w:hAnsi="宋体" w:eastAsia="宋体" w:cs="宋体"/>
          <w:b w:val="0"/>
          <w:bCs/>
          <w:sz w:val="21"/>
          <w:szCs w:val="16"/>
        </w:rPr>
        <w:t>十六</w:t>
      </w:r>
      <w:r>
        <w:rPr>
          <w:rFonts w:hint="eastAsia" w:ascii="宋体" w:hAnsi="宋体" w:cs="宋体"/>
          <w:b w:val="0"/>
          <w:bCs/>
          <w:sz w:val="21"/>
          <w:szCs w:val="16"/>
          <w:lang w:eastAsia="zh-CN"/>
        </w:rPr>
        <w:t>）</w:t>
      </w:r>
      <w:r>
        <w:rPr>
          <w:rFonts w:hint="eastAsia" w:ascii="宋体" w:hAnsi="宋体" w:eastAsia="宋体" w:cs="宋体"/>
          <w:b w:val="0"/>
          <w:bCs/>
          <w:sz w:val="21"/>
          <w:szCs w:val="16"/>
        </w:rPr>
        <w:t>其他未列明行业。从业人员300人以下的为中小微型企业。其中，从业人员100人及以上的为中型企业</w:t>
      </w:r>
      <w:r>
        <w:rPr>
          <w:rFonts w:hint="eastAsia" w:ascii="宋体" w:hAnsi="宋体" w:cs="宋体"/>
          <w:b w:val="0"/>
          <w:bCs/>
          <w:sz w:val="21"/>
          <w:szCs w:val="16"/>
          <w:lang w:eastAsia="zh-CN"/>
        </w:rPr>
        <w:t>；</w:t>
      </w:r>
      <w:r>
        <w:rPr>
          <w:rFonts w:hint="eastAsia" w:ascii="宋体" w:hAnsi="宋体" w:eastAsia="宋体" w:cs="宋体"/>
          <w:b w:val="0"/>
          <w:bCs/>
          <w:sz w:val="21"/>
          <w:szCs w:val="16"/>
        </w:rPr>
        <w:t>从业人员10人及以上的为小型企业</w:t>
      </w:r>
      <w:r>
        <w:rPr>
          <w:rFonts w:hint="eastAsia" w:ascii="宋体" w:hAnsi="宋体" w:cs="宋体"/>
          <w:b w:val="0"/>
          <w:bCs/>
          <w:sz w:val="21"/>
          <w:szCs w:val="16"/>
          <w:lang w:eastAsia="zh-CN"/>
        </w:rPr>
        <w:t>；</w:t>
      </w:r>
      <w:r>
        <w:rPr>
          <w:rFonts w:hint="eastAsia" w:ascii="宋体" w:hAnsi="宋体" w:eastAsia="宋体" w:cs="宋体"/>
          <w:b w:val="0"/>
          <w:bCs/>
          <w:sz w:val="21"/>
          <w:szCs w:val="16"/>
        </w:rPr>
        <w:t>从业人员10人以下的为微型企业。</w:t>
      </w:r>
    </w:p>
    <w:p w14:paraId="2E0E9341">
      <w:pPr>
        <w:spacing w:line="360" w:lineRule="auto"/>
        <w:ind w:firstLine="420" w:firstLineChars="200"/>
        <w:rPr>
          <w:rFonts w:hint="eastAsia" w:ascii="宋体" w:hAnsi="宋体" w:eastAsia="宋体" w:cs="宋体"/>
          <w:color w:val="000000"/>
          <w:szCs w:val="21"/>
        </w:rPr>
      </w:pPr>
    </w:p>
    <w:p w14:paraId="51A3E10C">
      <w:pPr>
        <w:spacing w:line="360" w:lineRule="auto"/>
        <w:ind w:firstLine="442"/>
        <w:rPr>
          <w:rFonts w:hint="eastAsia" w:ascii="宋体" w:hAnsi="宋体" w:eastAsia="宋体" w:cs="宋体"/>
          <w:bCs/>
          <w:sz w:val="22"/>
        </w:rPr>
      </w:pPr>
    </w:p>
    <w:p w14:paraId="2E7FC408">
      <w:pPr>
        <w:bidi w:val="0"/>
        <w:rPr>
          <w:rFonts w:hint="eastAsia"/>
        </w:rPr>
      </w:pPr>
    </w:p>
    <w:p w14:paraId="614CBE93">
      <w:pPr>
        <w:rPr>
          <w:rFonts w:hint="eastAsia" w:ascii="宋体" w:hAnsi="宋体" w:eastAsia="宋体" w:cs="宋体"/>
          <w:sz w:val="28"/>
          <w:szCs w:val="28"/>
        </w:rPr>
      </w:pPr>
      <w:r>
        <w:rPr>
          <w:rFonts w:hint="eastAsia" w:ascii="宋体" w:hAnsi="宋体" w:eastAsia="宋体" w:cs="宋体"/>
          <w:sz w:val="28"/>
          <w:szCs w:val="28"/>
        </w:rPr>
        <w:br w:type="page"/>
      </w:r>
    </w:p>
    <w:p w14:paraId="1E0AB59F">
      <w:pPr>
        <w:keepNext/>
        <w:keepLines/>
        <w:pageBreakBefore w:val="0"/>
        <w:widowControl w:val="0"/>
        <w:numPr>
          <w:ilvl w:val="0"/>
          <w:numId w:val="0"/>
        </w:numPr>
        <w:tabs>
          <w:tab w:val="left" w:pos="360"/>
        </w:tabs>
        <w:kinsoku/>
        <w:wordWrap/>
        <w:overflowPunct/>
        <w:topLinePunct w:val="0"/>
        <w:autoSpaceDE/>
        <w:autoSpaceDN/>
        <w:bidi w:val="0"/>
        <w:adjustRightInd/>
        <w:snapToGrid/>
        <w:ind w:left="425"/>
        <w:jc w:val="center"/>
        <w:textAlignment w:val="auto"/>
        <w:outlineLvl w:val="9"/>
        <w:rPr>
          <w:rFonts w:hint="eastAsia" w:ascii="宋体" w:hAnsi="宋体" w:eastAsia="宋体" w:cs="宋体"/>
          <w:color w:val="auto"/>
          <w:szCs w:val="28"/>
          <w:highlight w:val="none"/>
        </w:rPr>
      </w:pPr>
      <w:bookmarkStart w:id="169" w:name="_Toc26741"/>
      <w:r>
        <w:rPr>
          <w:rFonts w:hint="eastAsia" w:ascii="宋体" w:hAnsi="宋体" w:eastAsia="宋体" w:cs="宋体"/>
          <w:color w:val="auto"/>
          <w:sz w:val="32"/>
          <w:szCs w:val="36"/>
          <w:highlight w:val="none"/>
          <w:lang w:val="en-US" w:eastAsia="zh-CN"/>
        </w:rPr>
        <w:t>（2）</w:t>
      </w:r>
      <w:r>
        <w:rPr>
          <w:rFonts w:hint="eastAsia" w:ascii="宋体" w:hAnsi="宋体" w:eastAsia="宋体" w:cs="宋体"/>
          <w:color w:val="auto"/>
          <w:sz w:val="32"/>
          <w:szCs w:val="36"/>
          <w:highlight w:val="none"/>
        </w:rPr>
        <w:t>残疾人福利性单位声明函</w:t>
      </w:r>
      <w:bookmarkEnd w:id="169"/>
    </w:p>
    <w:p w14:paraId="793ACBB4">
      <w:pPr>
        <w:tabs>
          <w:tab w:val="left" w:pos="720"/>
        </w:tabs>
        <w:spacing w:before="120"/>
        <w:jc w:val="center"/>
        <w:outlineLvl w:val="9"/>
        <w:rPr>
          <w:rFonts w:hint="eastAsia" w:ascii="宋体" w:hAnsi="宋体" w:eastAsia="宋体" w:cs="宋体"/>
          <w:b/>
          <w:bCs/>
          <w:color w:val="auto"/>
          <w:sz w:val="28"/>
          <w:szCs w:val="28"/>
        </w:rPr>
      </w:pPr>
    </w:p>
    <w:p w14:paraId="7A2812F3">
      <w:pPr>
        <w:spacing w:line="588" w:lineRule="exact"/>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本单位郑重声明，根据《财政部、民政部、中国残疾人联合会关于促进残疾人就业政府采购政策的通知》（财库</w:t>
      </w:r>
      <w:r>
        <w:rPr>
          <w:rFonts w:hint="eastAsia" w:ascii="宋体" w:hAnsi="宋体" w:eastAsia="宋体" w:cs="宋体"/>
          <w:color w:val="auto"/>
          <w:spacing w:val="6"/>
          <w:sz w:val="24"/>
          <w:lang w:eastAsia="zh-CN"/>
        </w:rPr>
        <w:t>〔2017〕141号</w:t>
      </w:r>
      <w:r>
        <w:rPr>
          <w:rFonts w:hint="eastAsia" w:ascii="宋体" w:hAnsi="宋体" w:eastAsia="宋体" w:cs="宋体"/>
          <w:color w:val="auto"/>
          <w:spacing w:val="6"/>
          <w:sz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E9269F">
      <w:pPr>
        <w:spacing w:line="588" w:lineRule="exact"/>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42005D60">
      <w:pPr>
        <w:spacing w:line="588" w:lineRule="exact"/>
        <w:ind w:firstLine="504"/>
        <w:rPr>
          <w:rFonts w:hint="eastAsia" w:ascii="宋体" w:hAnsi="宋体" w:eastAsia="宋体" w:cs="宋体"/>
          <w:color w:val="auto"/>
          <w:spacing w:val="6"/>
          <w:sz w:val="24"/>
        </w:rPr>
      </w:pPr>
    </w:p>
    <w:p w14:paraId="2605EB8C">
      <w:pPr>
        <w:spacing w:line="588" w:lineRule="exact"/>
        <w:ind w:firstLine="504"/>
        <w:rPr>
          <w:rFonts w:hint="eastAsia" w:ascii="宋体" w:hAnsi="宋体" w:eastAsia="宋体" w:cs="宋体"/>
          <w:color w:val="auto"/>
          <w:spacing w:val="6"/>
          <w:sz w:val="24"/>
        </w:rPr>
      </w:pPr>
    </w:p>
    <w:p w14:paraId="246E2CF7">
      <w:pPr>
        <w:tabs>
          <w:tab w:val="left" w:pos="4860"/>
        </w:tabs>
        <w:spacing w:line="588" w:lineRule="exact"/>
        <w:ind w:right="1560" w:firstLine="3794" w:firstLineChars="1500"/>
        <w:rPr>
          <w:rFonts w:hint="eastAsia" w:ascii="宋体" w:hAnsi="宋体" w:eastAsia="宋体" w:cs="宋体"/>
          <w:b/>
          <w:bCs/>
          <w:color w:val="auto"/>
          <w:spacing w:val="6"/>
          <w:sz w:val="24"/>
        </w:rPr>
      </w:pPr>
      <w:r>
        <w:rPr>
          <w:rFonts w:hint="eastAsia" w:ascii="宋体" w:hAnsi="宋体" w:eastAsia="宋体" w:cs="宋体"/>
          <w:b/>
          <w:bCs/>
          <w:color w:val="auto"/>
          <w:spacing w:val="6"/>
          <w:sz w:val="24"/>
          <w:lang w:val="en-US" w:eastAsia="zh-CN"/>
        </w:rPr>
        <w:t>供应商</w:t>
      </w:r>
      <w:r>
        <w:rPr>
          <w:rFonts w:hint="eastAsia" w:ascii="宋体" w:hAnsi="宋体" w:eastAsia="宋体" w:cs="宋体"/>
          <w:b/>
          <w:bCs/>
          <w:color w:val="auto"/>
          <w:spacing w:val="6"/>
          <w:sz w:val="24"/>
        </w:rPr>
        <w:t>名称（电子公章）：</w:t>
      </w:r>
    </w:p>
    <w:p w14:paraId="3525B71C">
      <w:pPr>
        <w:ind w:firstLine="506"/>
        <w:rPr>
          <w:rFonts w:hint="eastAsia" w:ascii="宋体" w:hAnsi="宋体" w:eastAsia="宋体" w:cs="宋体"/>
          <w:b/>
          <w:bCs/>
          <w:color w:val="auto"/>
          <w:spacing w:val="6"/>
          <w:sz w:val="24"/>
        </w:rPr>
      </w:pPr>
    </w:p>
    <w:p w14:paraId="4FCCE118">
      <w:pPr>
        <w:ind w:firstLine="5059" w:firstLineChars="2000"/>
        <w:rPr>
          <w:rFonts w:hint="eastAsia" w:ascii="宋体" w:hAnsi="宋体" w:eastAsia="宋体" w:cs="宋体"/>
          <w:b/>
          <w:bCs/>
          <w:color w:val="auto"/>
          <w:spacing w:val="6"/>
          <w:sz w:val="24"/>
        </w:rPr>
      </w:pPr>
      <w:r>
        <w:rPr>
          <w:rFonts w:hint="eastAsia" w:ascii="宋体" w:hAnsi="宋体" w:eastAsia="宋体" w:cs="宋体"/>
          <w:b/>
          <w:bCs/>
          <w:color w:val="auto"/>
          <w:spacing w:val="6"/>
          <w:sz w:val="24"/>
        </w:rPr>
        <w:t>日  期：</w:t>
      </w:r>
    </w:p>
    <w:p w14:paraId="2F22A6B0">
      <w:pPr>
        <w:ind w:firstLine="480"/>
        <w:rPr>
          <w:rFonts w:hint="eastAsia" w:ascii="宋体" w:hAnsi="宋体" w:eastAsia="宋体" w:cs="宋体"/>
          <w:color w:val="auto"/>
          <w:sz w:val="24"/>
        </w:rPr>
      </w:pPr>
    </w:p>
    <w:p w14:paraId="60F8DDB1">
      <w:pPr>
        <w:ind w:firstLine="480"/>
        <w:rPr>
          <w:rFonts w:hint="eastAsia" w:ascii="宋体" w:hAnsi="宋体" w:eastAsia="宋体" w:cs="宋体"/>
          <w:color w:val="auto"/>
          <w:sz w:val="24"/>
        </w:rPr>
      </w:pPr>
    </w:p>
    <w:p w14:paraId="5F659514">
      <w:pPr>
        <w:spacing w:line="440" w:lineRule="exact"/>
        <w:ind w:firstLine="440"/>
        <w:rPr>
          <w:rFonts w:hint="eastAsia" w:ascii="宋体" w:hAnsi="宋体" w:eastAsia="宋体" w:cs="宋体"/>
          <w:bCs/>
          <w:color w:val="auto"/>
          <w:sz w:val="22"/>
        </w:rPr>
      </w:pPr>
      <w:r>
        <w:rPr>
          <w:rFonts w:hint="eastAsia" w:ascii="宋体" w:hAnsi="宋体" w:eastAsia="宋体" w:cs="宋体"/>
          <w:bCs/>
          <w:color w:val="auto"/>
          <w:sz w:val="22"/>
        </w:rPr>
        <w:t>注：</w:t>
      </w:r>
    </w:p>
    <w:p w14:paraId="4C54BDE3">
      <w:pPr>
        <w:spacing w:line="440" w:lineRule="exact"/>
        <w:ind w:firstLine="440"/>
        <w:rPr>
          <w:rFonts w:hint="eastAsia" w:ascii="宋体" w:hAnsi="宋体" w:eastAsia="宋体" w:cs="宋体"/>
          <w:bCs/>
          <w:color w:val="auto"/>
          <w:sz w:val="22"/>
        </w:rPr>
      </w:pPr>
      <w:r>
        <w:rPr>
          <w:rFonts w:hint="eastAsia" w:ascii="宋体" w:hAnsi="宋体" w:cs="宋体"/>
          <w:bCs/>
          <w:color w:val="auto"/>
          <w:sz w:val="22"/>
          <w:lang w:eastAsia="zh-CN"/>
        </w:rPr>
        <w:t>1.</w:t>
      </w:r>
      <w:r>
        <w:rPr>
          <w:rFonts w:hint="eastAsia" w:ascii="宋体" w:hAnsi="宋体" w:eastAsia="宋体" w:cs="宋体"/>
          <w:bCs/>
          <w:color w:val="auto"/>
          <w:sz w:val="22"/>
        </w:rPr>
        <w:t>残疾人福利性单位视同小型、微型企业，享受预留份额、评审中价格扣除等促进中小企业发展的政府采购政策。残疾人福利性单位属于小型、微型企业的，不重复享受政策。</w:t>
      </w:r>
    </w:p>
    <w:p w14:paraId="66244C74">
      <w:pPr>
        <w:spacing w:line="440" w:lineRule="exact"/>
        <w:ind w:firstLine="440"/>
        <w:rPr>
          <w:rFonts w:hint="eastAsia" w:ascii="宋体" w:hAnsi="宋体" w:eastAsia="宋体" w:cs="宋体"/>
          <w:bCs/>
          <w:color w:val="auto"/>
          <w:sz w:val="22"/>
        </w:rPr>
      </w:pPr>
      <w:r>
        <w:rPr>
          <w:rFonts w:hint="eastAsia" w:ascii="宋体" w:hAnsi="宋体" w:cs="宋体"/>
          <w:bCs/>
          <w:color w:val="auto"/>
          <w:sz w:val="22"/>
          <w:lang w:eastAsia="zh-CN"/>
        </w:rPr>
        <w:t>2.供应商</w:t>
      </w:r>
      <w:r>
        <w:rPr>
          <w:rFonts w:hint="eastAsia" w:ascii="宋体" w:hAnsi="宋体" w:eastAsia="宋体" w:cs="宋体"/>
          <w:bCs/>
          <w:color w:val="auto"/>
          <w:sz w:val="22"/>
        </w:rPr>
        <w:t>为非残疾人福利性单位的，可不提供此声明。</w:t>
      </w:r>
    </w:p>
    <w:p w14:paraId="58CA1F16">
      <w:pPr>
        <w:spacing w:line="440" w:lineRule="exact"/>
        <w:ind w:firstLine="440"/>
        <w:rPr>
          <w:rFonts w:hint="eastAsia" w:ascii="宋体" w:hAnsi="宋体" w:eastAsia="宋体" w:cs="宋体"/>
          <w:bCs/>
          <w:color w:val="auto"/>
          <w:sz w:val="22"/>
        </w:rPr>
      </w:pPr>
      <w:r>
        <w:rPr>
          <w:rFonts w:hint="eastAsia" w:ascii="宋体" w:hAnsi="宋体" w:cs="宋体"/>
          <w:bCs/>
          <w:color w:val="auto"/>
          <w:sz w:val="22"/>
          <w:lang w:eastAsia="zh-CN"/>
        </w:rPr>
        <w:t>3.</w:t>
      </w:r>
      <w:r>
        <w:rPr>
          <w:rFonts w:hint="eastAsia" w:ascii="宋体" w:hAnsi="宋体" w:eastAsia="宋体" w:cs="宋体"/>
          <w:bCs/>
          <w:color w:val="auto"/>
          <w:sz w:val="22"/>
        </w:rPr>
        <w:t>前款所称残疾人是指法定劳动年龄内，持有《中华人民共和国残疾人证》或者《中华人民共和国残疾军人证（1至8级）》的自然人，包括具有劳动条件和劳动意愿的精神残疾人。</w:t>
      </w:r>
    </w:p>
    <w:p w14:paraId="34FD3DE5">
      <w:pPr>
        <w:spacing w:line="440" w:lineRule="exact"/>
        <w:ind w:firstLine="440"/>
        <w:rPr>
          <w:rFonts w:hint="eastAsia" w:ascii="宋体" w:hAnsi="宋体" w:eastAsia="宋体" w:cs="宋体"/>
          <w:bCs/>
          <w:color w:val="auto"/>
          <w:sz w:val="22"/>
        </w:rPr>
      </w:pPr>
    </w:p>
    <w:p w14:paraId="6D1F73B5">
      <w:pPr>
        <w:widowControl/>
        <w:jc w:val="left"/>
        <w:rPr>
          <w:rFonts w:hint="eastAsia" w:ascii="宋体" w:hAnsi="宋体" w:eastAsia="宋体" w:cs="宋体"/>
          <w:b/>
          <w:color w:val="auto"/>
          <w:kern w:val="0"/>
          <w:sz w:val="36"/>
        </w:rPr>
      </w:pPr>
    </w:p>
    <w:p w14:paraId="6EC91BE3">
      <w:pPr>
        <w:rPr>
          <w:rFonts w:hint="eastAsia" w:ascii="宋体" w:hAnsi="宋体" w:eastAsia="宋体" w:cs="宋体"/>
          <w:b/>
          <w:color w:val="auto"/>
          <w:kern w:val="0"/>
          <w:sz w:val="36"/>
        </w:rPr>
      </w:pPr>
      <w:r>
        <w:rPr>
          <w:rFonts w:hint="eastAsia" w:ascii="宋体" w:hAnsi="宋体" w:eastAsia="宋体" w:cs="宋体"/>
          <w:b/>
          <w:color w:val="auto"/>
          <w:kern w:val="0"/>
          <w:sz w:val="36"/>
        </w:rPr>
        <w:br w:type="page"/>
      </w:r>
    </w:p>
    <w:p w14:paraId="1059E269">
      <w:pPr>
        <w:keepNext/>
        <w:keepLines/>
        <w:pageBreakBefore w:val="0"/>
        <w:widowControl w:val="0"/>
        <w:numPr>
          <w:ilvl w:val="0"/>
          <w:numId w:val="0"/>
        </w:numPr>
        <w:tabs>
          <w:tab w:val="left" w:pos="360"/>
        </w:tabs>
        <w:kinsoku/>
        <w:wordWrap/>
        <w:overflowPunct/>
        <w:topLinePunct w:val="0"/>
        <w:autoSpaceDE/>
        <w:autoSpaceDN/>
        <w:bidi w:val="0"/>
        <w:adjustRightInd/>
        <w:snapToGrid/>
        <w:ind w:left="425"/>
        <w:jc w:val="center"/>
        <w:textAlignment w:val="auto"/>
        <w:outlineLvl w:val="9"/>
        <w:rPr>
          <w:rFonts w:hint="eastAsia" w:ascii="宋体" w:hAnsi="宋体" w:eastAsia="宋体" w:cs="宋体"/>
          <w:color w:val="auto"/>
          <w:szCs w:val="28"/>
          <w:highlight w:val="none"/>
        </w:rPr>
      </w:pPr>
      <w:bookmarkStart w:id="170" w:name="_Toc16609"/>
      <w:r>
        <w:rPr>
          <w:rFonts w:hint="eastAsia" w:ascii="宋体" w:hAnsi="宋体" w:eastAsia="宋体" w:cs="宋体"/>
          <w:color w:val="auto"/>
          <w:sz w:val="32"/>
          <w:szCs w:val="36"/>
          <w:highlight w:val="none"/>
          <w:lang w:val="en-US" w:eastAsia="zh-CN"/>
        </w:rPr>
        <w:t>（3）</w:t>
      </w:r>
      <w:r>
        <w:rPr>
          <w:rFonts w:hint="eastAsia" w:ascii="宋体" w:hAnsi="宋体" w:eastAsia="宋体" w:cs="宋体"/>
          <w:color w:val="auto"/>
          <w:sz w:val="32"/>
          <w:szCs w:val="36"/>
          <w:highlight w:val="none"/>
        </w:rPr>
        <w:t>监狱企业证明文件</w:t>
      </w:r>
      <w:bookmarkEnd w:id="170"/>
    </w:p>
    <w:p w14:paraId="66342256">
      <w:pPr>
        <w:rPr>
          <w:rFonts w:hint="eastAsia" w:ascii="宋体" w:hAnsi="宋体" w:eastAsia="宋体" w:cs="宋体"/>
          <w:color w:val="auto"/>
          <w:szCs w:val="28"/>
          <w:highlight w:val="none"/>
        </w:rPr>
      </w:pPr>
    </w:p>
    <w:p w14:paraId="241CB8C3">
      <w:pPr>
        <w:spacing w:line="588" w:lineRule="exact"/>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设区的市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监狱、强制隔离戒毒所、戒毒康复所，以及新疆生产建设兵团监狱管理局、戒毒管理局的企业，监狱企业参加政府采购活动时，应当提供由省级以上监狱管理局、戒毒管理局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含新疆生产建设兵团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出具的属于监狱企业的证明文件。</w:t>
      </w:r>
    </w:p>
    <w:p w14:paraId="162774A5">
      <w:pPr>
        <w:spacing w:line="588" w:lineRule="exact"/>
        <w:ind w:firstLine="444" w:firstLineChars="200"/>
        <w:rPr>
          <w:rFonts w:hint="eastAsia" w:ascii="宋体" w:hAnsi="宋体" w:eastAsia="宋体" w:cs="宋体"/>
          <w:color w:val="auto"/>
          <w:spacing w:val="6"/>
          <w:szCs w:val="21"/>
          <w:highlight w:val="none"/>
        </w:rPr>
      </w:pPr>
    </w:p>
    <w:p w14:paraId="370E242C">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名称（电子公章）：</w:t>
      </w:r>
    </w:p>
    <w:p w14:paraId="269020A9">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日  期：</w:t>
      </w:r>
    </w:p>
    <w:p w14:paraId="243A0AF1">
      <w:pPr>
        <w:spacing w:before="49"/>
        <w:ind w:left="180" w:right="23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注：1、在政府采购活动中，监狱企业视同小型、微型企业，享受预留份额、</w:t>
      </w:r>
      <w:r>
        <w:rPr>
          <w:rFonts w:hint="eastAsia" w:ascii="宋体" w:hAnsi="宋体" w:eastAsia="宋体" w:cs="宋体"/>
          <w:b/>
          <w:color w:val="auto"/>
          <w:szCs w:val="21"/>
          <w:highlight w:val="none"/>
          <w:lang w:eastAsia="zh-CN"/>
        </w:rPr>
        <w:t>评审</w:t>
      </w:r>
      <w:r>
        <w:rPr>
          <w:rFonts w:hint="eastAsia" w:ascii="宋体" w:hAnsi="宋体" w:eastAsia="宋体" w:cs="宋体"/>
          <w:b/>
          <w:color w:val="auto"/>
          <w:szCs w:val="21"/>
          <w:highlight w:val="none"/>
        </w:rPr>
        <w:t>价格扣除等政府采购促进中小企业发展的政府采购政策。</w:t>
      </w:r>
    </w:p>
    <w:p w14:paraId="3CC9F304">
      <w:pPr>
        <w:spacing w:line="432" w:lineRule="auto"/>
        <w:jc w:val="center"/>
        <w:rPr>
          <w:rFonts w:hint="eastAsia" w:ascii="宋体" w:hAnsi="宋体" w:eastAsia="宋体" w:cs="宋体"/>
          <w:b/>
          <w:color w:val="auto"/>
          <w:sz w:val="32"/>
          <w:szCs w:val="32"/>
        </w:rPr>
        <w:sectPr>
          <w:pgSz w:w="11906" w:h="16838"/>
          <w:pgMar w:top="1440" w:right="1080" w:bottom="1440" w:left="1080" w:header="851" w:footer="851" w:gutter="0"/>
          <w:pgNumType w:fmt="decimal"/>
          <w:cols w:space="708" w:num="1"/>
          <w:docGrid w:linePitch="312" w:charSpace="0"/>
        </w:sectPr>
      </w:pPr>
    </w:p>
    <w:p w14:paraId="53E3F4B0">
      <w:pPr>
        <w:pStyle w:val="6"/>
        <w:keepNext/>
        <w:keepLines/>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3"/>
        <w:rPr>
          <w:rFonts w:hint="eastAsia" w:ascii="宋体" w:hAnsi="宋体" w:eastAsia="宋体" w:cs="宋体"/>
          <w:b/>
          <w:kern w:val="2"/>
          <w:sz w:val="36"/>
          <w:lang w:val="en-US" w:eastAsia="zh-CN" w:bidi="ar-SA"/>
        </w:rPr>
      </w:pPr>
      <w:bookmarkStart w:id="171" w:name="_Toc2710"/>
      <w:r>
        <w:rPr>
          <w:rFonts w:hint="eastAsia" w:ascii="宋体" w:hAnsi="宋体" w:eastAsia="宋体" w:cs="宋体"/>
          <w:b/>
          <w:kern w:val="2"/>
          <w:sz w:val="36"/>
          <w:lang w:val="en-US" w:eastAsia="zh-CN" w:bidi="ar-SA"/>
        </w:rPr>
        <w:t>（四）非联合体声明</w:t>
      </w:r>
      <w:bookmarkEnd w:id="171"/>
    </w:p>
    <w:p w14:paraId="79C1320B">
      <w:pPr>
        <w:jc w:val="center"/>
        <w:rPr>
          <w:rFonts w:hint="eastAsia" w:ascii="宋体" w:hAnsi="宋体" w:eastAsia="宋体" w:cs="宋体"/>
          <w:sz w:val="24"/>
          <w:lang w:val="zh-CN"/>
        </w:rPr>
      </w:pPr>
      <w:r>
        <w:rPr>
          <w:rFonts w:hint="eastAsia" w:ascii="宋体" w:hAnsi="宋体" w:eastAsia="宋体" w:cs="宋体"/>
          <w:sz w:val="24"/>
          <w:lang w:val="zh-CN"/>
        </w:rPr>
        <w:t>（自行承诺及说明）</w:t>
      </w:r>
    </w:p>
    <w:p w14:paraId="4C6C5792">
      <w:pPr>
        <w:widowControl/>
        <w:jc w:val="left"/>
        <w:rPr>
          <w:rFonts w:hint="eastAsia" w:ascii="宋体" w:hAnsi="宋体" w:eastAsia="宋体" w:cs="宋体"/>
          <w:b/>
          <w:sz w:val="32"/>
          <w:szCs w:val="32"/>
        </w:rPr>
      </w:pPr>
      <w:r>
        <w:rPr>
          <w:rFonts w:hint="eastAsia" w:ascii="宋体" w:hAnsi="宋体" w:eastAsia="宋体" w:cs="宋体"/>
          <w:b/>
          <w:sz w:val="32"/>
          <w:szCs w:val="32"/>
        </w:rPr>
        <w:br w:type="page"/>
      </w:r>
    </w:p>
    <w:p w14:paraId="76EE199C">
      <w:pPr>
        <w:numPr>
          <w:ilvl w:val="0"/>
          <w:numId w:val="0"/>
        </w:numPr>
        <w:spacing w:beforeLines="50" w:afterLines="100" w:line="420" w:lineRule="exact"/>
        <w:jc w:val="center"/>
        <w:outlineLvl w:val="2"/>
        <w:rPr>
          <w:rFonts w:hint="eastAsia" w:ascii="宋体" w:hAnsi="宋体" w:eastAsia="宋体" w:cs="宋体"/>
          <w:b/>
          <w:kern w:val="0"/>
          <w:sz w:val="36"/>
        </w:rPr>
      </w:pPr>
      <w:bookmarkStart w:id="172" w:name="_Toc2937"/>
      <w:r>
        <w:rPr>
          <w:rFonts w:hint="eastAsia" w:ascii="宋体" w:hAnsi="宋体" w:cs="宋体"/>
          <w:b/>
          <w:kern w:val="0"/>
          <w:sz w:val="36"/>
          <w:lang w:val="en-US" w:eastAsia="zh-CN"/>
        </w:rPr>
        <w:t>六</w:t>
      </w:r>
      <w:r>
        <w:rPr>
          <w:rFonts w:hint="eastAsia" w:ascii="宋体" w:hAnsi="宋体" w:eastAsia="宋体" w:cs="宋体"/>
          <w:b/>
          <w:kern w:val="0"/>
          <w:sz w:val="36"/>
          <w:lang w:val="en-US" w:eastAsia="zh-CN"/>
        </w:rPr>
        <w:t>、</w:t>
      </w:r>
      <w:r>
        <w:rPr>
          <w:rFonts w:hint="eastAsia" w:ascii="宋体" w:hAnsi="宋体" w:eastAsia="宋体" w:cs="宋体"/>
          <w:b/>
          <w:kern w:val="0"/>
          <w:sz w:val="36"/>
        </w:rPr>
        <w:t>项目管理机构人员</w:t>
      </w:r>
      <w:bookmarkEnd w:id="164"/>
      <w:bookmarkEnd w:id="172"/>
    </w:p>
    <w:tbl>
      <w:tblPr>
        <w:tblStyle w:val="25"/>
        <w:tblW w:w="9398"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1417"/>
        <w:gridCol w:w="1277"/>
        <w:gridCol w:w="2155"/>
        <w:gridCol w:w="2451"/>
      </w:tblGrid>
      <w:tr w14:paraId="6AFB4367">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098" w:type="dxa"/>
            <w:vAlign w:val="center"/>
          </w:tcPr>
          <w:p w14:paraId="44D6CA7A">
            <w:pPr>
              <w:spacing w:line="440" w:lineRule="exact"/>
              <w:jc w:val="center"/>
              <w:rPr>
                <w:rFonts w:hint="eastAsia" w:ascii="宋体" w:hAnsi="宋体" w:eastAsia="宋体" w:cs="宋体"/>
                <w:szCs w:val="21"/>
              </w:rPr>
            </w:pPr>
            <w:r>
              <w:rPr>
                <w:rFonts w:hint="eastAsia" w:ascii="宋体" w:hAnsi="宋体" w:eastAsia="宋体" w:cs="宋体"/>
                <w:szCs w:val="21"/>
              </w:rPr>
              <w:t>序号</w:t>
            </w:r>
          </w:p>
        </w:tc>
        <w:tc>
          <w:tcPr>
            <w:tcW w:w="1417" w:type="dxa"/>
            <w:vAlign w:val="center"/>
          </w:tcPr>
          <w:p w14:paraId="227C04FB">
            <w:pPr>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277" w:type="dxa"/>
            <w:vAlign w:val="center"/>
          </w:tcPr>
          <w:p w14:paraId="0A632493">
            <w:pPr>
              <w:spacing w:line="440" w:lineRule="exact"/>
              <w:jc w:val="center"/>
              <w:rPr>
                <w:rFonts w:hint="eastAsia" w:ascii="宋体" w:hAnsi="宋体" w:eastAsia="宋体" w:cs="宋体"/>
                <w:szCs w:val="21"/>
              </w:rPr>
            </w:pPr>
            <w:r>
              <w:rPr>
                <w:rFonts w:hint="eastAsia" w:ascii="宋体" w:hAnsi="宋体" w:eastAsia="宋体" w:cs="宋体"/>
                <w:szCs w:val="21"/>
              </w:rPr>
              <w:t>性别</w:t>
            </w:r>
          </w:p>
        </w:tc>
        <w:tc>
          <w:tcPr>
            <w:tcW w:w="2155" w:type="dxa"/>
            <w:vAlign w:val="center"/>
          </w:tcPr>
          <w:p w14:paraId="00967B7C">
            <w:pPr>
              <w:spacing w:line="440" w:lineRule="exact"/>
              <w:jc w:val="center"/>
              <w:rPr>
                <w:rFonts w:hint="eastAsia" w:ascii="宋体" w:hAnsi="宋体" w:eastAsia="宋体" w:cs="宋体"/>
                <w:szCs w:val="21"/>
              </w:rPr>
            </w:pPr>
            <w:r>
              <w:rPr>
                <w:rFonts w:hint="eastAsia" w:ascii="宋体" w:hAnsi="宋体" w:eastAsia="宋体" w:cs="宋体"/>
                <w:szCs w:val="21"/>
              </w:rPr>
              <w:t>文化程度</w:t>
            </w:r>
          </w:p>
        </w:tc>
        <w:tc>
          <w:tcPr>
            <w:tcW w:w="2451" w:type="dxa"/>
            <w:vAlign w:val="center"/>
          </w:tcPr>
          <w:p w14:paraId="194EF2F0">
            <w:pPr>
              <w:spacing w:line="440" w:lineRule="exact"/>
              <w:jc w:val="center"/>
              <w:rPr>
                <w:rFonts w:hint="eastAsia" w:ascii="宋体" w:hAnsi="宋体" w:eastAsia="宋体" w:cs="宋体"/>
                <w:szCs w:val="21"/>
              </w:rPr>
            </w:pPr>
            <w:r>
              <w:rPr>
                <w:rFonts w:hint="eastAsia" w:ascii="宋体" w:hAnsi="宋体" w:eastAsia="宋体" w:cs="宋体"/>
                <w:szCs w:val="21"/>
              </w:rPr>
              <w:t>拟从事岗位</w:t>
            </w:r>
          </w:p>
        </w:tc>
      </w:tr>
      <w:tr w14:paraId="680DAA05">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098" w:type="dxa"/>
          </w:tcPr>
          <w:p w14:paraId="239D62ED">
            <w:pPr>
              <w:spacing w:line="440" w:lineRule="exact"/>
              <w:jc w:val="center"/>
              <w:rPr>
                <w:rFonts w:hint="eastAsia" w:ascii="宋体" w:hAnsi="宋体" w:eastAsia="宋体" w:cs="宋体"/>
                <w:b/>
                <w:szCs w:val="21"/>
              </w:rPr>
            </w:pPr>
          </w:p>
        </w:tc>
        <w:tc>
          <w:tcPr>
            <w:tcW w:w="1417" w:type="dxa"/>
            <w:vAlign w:val="center"/>
          </w:tcPr>
          <w:p w14:paraId="01541980">
            <w:pPr>
              <w:spacing w:line="440" w:lineRule="exact"/>
              <w:jc w:val="center"/>
              <w:rPr>
                <w:rFonts w:hint="eastAsia" w:ascii="宋体" w:hAnsi="宋体" w:eastAsia="宋体" w:cs="宋体"/>
                <w:b/>
                <w:szCs w:val="21"/>
              </w:rPr>
            </w:pPr>
          </w:p>
        </w:tc>
        <w:tc>
          <w:tcPr>
            <w:tcW w:w="1277" w:type="dxa"/>
            <w:vAlign w:val="center"/>
          </w:tcPr>
          <w:p w14:paraId="3B497106">
            <w:pPr>
              <w:spacing w:line="440" w:lineRule="exact"/>
              <w:jc w:val="center"/>
              <w:rPr>
                <w:rFonts w:hint="eastAsia" w:ascii="宋体" w:hAnsi="宋体" w:eastAsia="宋体" w:cs="宋体"/>
                <w:b/>
                <w:szCs w:val="21"/>
              </w:rPr>
            </w:pPr>
          </w:p>
        </w:tc>
        <w:tc>
          <w:tcPr>
            <w:tcW w:w="2155" w:type="dxa"/>
            <w:vAlign w:val="center"/>
          </w:tcPr>
          <w:p w14:paraId="6F7C5503">
            <w:pPr>
              <w:spacing w:line="440" w:lineRule="exact"/>
              <w:jc w:val="center"/>
              <w:rPr>
                <w:rFonts w:hint="eastAsia" w:ascii="宋体" w:hAnsi="宋体" w:eastAsia="宋体" w:cs="宋体"/>
                <w:b/>
                <w:szCs w:val="21"/>
              </w:rPr>
            </w:pPr>
          </w:p>
        </w:tc>
        <w:tc>
          <w:tcPr>
            <w:tcW w:w="2451" w:type="dxa"/>
            <w:vAlign w:val="center"/>
          </w:tcPr>
          <w:p w14:paraId="0FB3C02A">
            <w:pPr>
              <w:spacing w:line="440" w:lineRule="exact"/>
              <w:jc w:val="center"/>
              <w:rPr>
                <w:rFonts w:hint="eastAsia" w:ascii="宋体" w:hAnsi="宋体" w:eastAsia="宋体" w:cs="宋体"/>
                <w:b/>
                <w:szCs w:val="21"/>
              </w:rPr>
            </w:pPr>
          </w:p>
        </w:tc>
      </w:tr>
      <w:tr w14:paraId="209AB02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98" w:type="dxa"/>
          </w:tcPr>
          <w:p w14:paraId="61D8E6BD">
            <w:pPr>
              <w:spacing w:line="440" w:lineRule="exact"/>
              <w:jc w:val="center"/>
              <w:rPr>
                <w:rFonts w:hint="eastAsia" w:ascii="宋体" w:hAnsi="宋体" w:eastAsia="宋体" w:cs="宋体"/>
                <w:szCs w:val="21"/>
              </w:rPr>
            </w:pPr>
          </w:p>
        </w:tc>
        <w:tc>
          <w:tcPr>
            <w:tcW w:w="1417" w:type="dxa"/>
            <w:vAlign w:val="center"/>
          </w:tcPr>
          <w:p w14:paraId="580E300B">
            <w:pPr>
              <w:spacing w:line="440" w:lineRule="exact"/>
              <w:jc w:val="center"/>
              <w:rPr>
                <w:rFonts w:hint="eastAsia" w:ascii="宋体" w:hAnsi="宋体" w:eastAsia="宋体" w:cs="宋体"/>
                <w:szCs w:val="21"/>
              </w:rPr>
            </w:pPr>
          </w:p>
        </w:tc>
        <w:tc>
          <w:tcPr>
            <w:tcW w:w="1277" w:type="dxa"/>
            <w:vAlign w:val="center"/>
          </w:tcPr>
          <w:p w14:paraId="23270712">
            <w:pPr>
              <w:spacing w:line="440" w:lineRule="exact"/>
              <w:jc w:val="center"/>
              <w:rPr>
                <w:rFonts w:hint="eastAsia" w:ascii="宋体" w:hAnsi="宋体" w:eastAsia="宋体" w:cs="宋体"/>
                <w:szCs w:val="21"/>
              </w:rPr>
            </w:pPr>
          </w:p>
        </w:tc>
        <w:tc>
          <w:tcPr>
            <w:tcW w:w="2155" w:type="dxa"/>
            <w:vAlign w:val="center"/>
          </w:tcPr>
          <w:p w14:paraId="550A98CD">
            <w:pPr>
              <w:spacing w:line="440" w:lineRule="exact"/>
              <w:jc w:val="center"/>
              <w:rPr>
                <w:rFonts w:hint="eastAsia" w:ascii="宋体" w:hAnsi="宋体" w:eastAsia="宋体" w:cs="宋体"/>
                <w:szCs w:val="21"/>
              </w:rPr>
            </w:pPr>
          </w:p>
        </w:tc>
        <w:tc>
          <w:tcPr>
            <w:tcW w:w="2451" w:type="dxa"/>
            <w:vAlign w:val="center"/>
          </w:tcPr>
          <w:p w14:paraId="16E8393B">
            <w:pPr>
              <w:spacing w:line="440" w:lineRule="exact"/>
              <w:jc w:val="center"/>
              <w:rPr>
                <w:rFonts w:hint="eastAsia" w:ascii="宋体" w:hAnsi="宋体" w:eastAsia="宋体" w:cs="宋体"/>
                <w:szCs w:val="21"/>
              </w:rPr>
            </w:pPr>
          </w:p>
        </w:tc>
      </w:tr>
      <w:tr w14:paraId="67D481CE">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98" w:type="dxa"/>
          </w:tcPr>
          <w:p w14:paraId="165A8A0C">
            <w:pPr>
              <w:spacing w:line="440" w:lineRule="exact"/>
              <w:jc w:val="center"/>
              <w:rPr>
                <w:rFonts w:hint="eastAsia" w:ascii="宋体" w:hAnsi="宋体" w:eastAsia="宋体" w:cs="宋体"/>
                <w:szCs w:val="21"/>
              </w:rPr>
            </w:pPr>
          </w:p>
        </w:tc>
        <w:tc>
          <w:tcPr>
            <w:tcW w:w="1417" w:type="dxa"/>
            <w:vAlign w:val="center"/>
          </w:tcPr>
          <w:p w14:paraId="216D5DF4">
            <w:pPr>
              <w:spacing w:line="440" w:lineRule="exact"/>
              <w:jc w:val="center"/>
              <w:rPr>
                <w:rFonts w:hint="eastAsia" w:ascii="宋体" w:hAnsi="宋体" w:eastAsia="宋体" w:cs="宋体"/>
                <w:szCs w:val="21"/>
              </w:rPr>
            </w:pPr>
          </w:p>
        </w:tc>
        <w:tc>
          <w:tcPr>
            <w:tcW w:w="1277" w:type="dxa"/>
            <w:vAlign w:val="center"/>
          </w:tcPr>
          <w:p w14:paraId="2C4D735D">
            <w:pPr>
              <w:spacing w:line="440" w:lineRule="exact"/>
              <w:jc w:val="center"/>
              <w:rPr>
                <w:rFonts w:hint="eastAsia" w:ascii="宋体" w:hAnsi="宋体" w:eastAsia="宋体" w:cs="宋体"/>
                <w:szCs w:val="21"/>
              </w:rPr>
            </w:pPr>
          </w:p>
        </w:tc>
        <w:tc>
          <w:tcPr>
            <w:tcW w:w="2155" w:type="dxa"/>
            <w:vAlign w:val="center"/>
          </w:tcPr>
          <w:p w14:paraId="197A7D05">
            <w:pPr>
              <w:spacing w:line="440" w:lineRule="exact"/>
              <w:jc w:val="center"/>
              <w:rPr>
                <w:rFonts w:hint="eastAsia" w:ascii="宋体" w:hAnsi="宋体" w:eastAsia="宋体" w:cs="宋体"/>
                <w:szCs w:val="21"/>
              </w:rPr>
            </w:pPr>
          </w:p>
        </w:tc>
        <w:tc>
          <w:tcPr>
            <w:tcW w:w="2451" w:type="dxa"/>
            <w:vAlign w:val="center"/>
          </w:tcPr>
          <w:p w14:paraId="3194D524">
            <w:pPr>
              <w:spacing w:line="440" w:lineRule="exact"/>
              <w:jc w:val="center"/>
              <w:rPr>
                <w:rFonts w:hint="eastAsia" w:ascii="宋体" w:hAnsi="宋体" w:eastAsia="宋体" w:cs="宋体"/>
                <w:szCs w:val="21"/>
              </w:rPr>
            </w:pPr>
          </w:p>
        </w:tc>
      </w:tr>
      <w:tr w14:paraId="7C8D6C5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98" w:type="dxa"/>
          </w:tcPr>
          <w:p w14:paraId="44277B18">
            <w:pPr>
              <w:spacing w:line="440" w:lineRule="exact"/>
              <w:jc w:val="center"/>
              <w:rPr>
                <w:rFonts w:hint="eastAsia" w:ascii="宋体" w:hAnsi="宋体" w:eastAsia="宋体" w:cs="宋体"/>
                <w:szCs w:val="21"/>
              </w:rPr>
            </w:pPr>
          </w:p>
        </w:tc>
        <w:tc>
          <w:tcPr>
            <w:tcW w:w="1417" w:type="dxa"/>
            <w:vAlign w:val="center"/>
          </w:tcPr>
          <w:p w14:paraId="7AA13303">
            <w:pPr>
              <w:spacing w:line="440" w:lineRule="exact"/>
              <w:jc w:val="center"/>
              <w:rPr>
                <w:rFonts w:hint="eastAsia" w:ascii="宋体" w:hAnsi="宋体" w:eastAsia="宋体" w:cs="宋体"/>
                <w:szCs w:val="21"/>
              </w:rPr>
            </w:pPr>
          </w:p>
        </w:tc>
        <w:tc>
          <w:tcPr>
            <w:tcW w:w="1277" w:type="dxa"/>
            <w:vAlign w:val="center"/>
          </w:tcPr>
          <w:p w14:paraId="6AB53253">
            <w:pPr>
              <w:widowControl/>
              <w:spacing w:line="440" w:lineRule="exact"/>
              <w:jc w:val="center"/>
              <w:rPr>
                <w:rFonts w:hint="eastAsia" w:ascii="宋体" w:hAnsi="宋体" w:eastAsia="宋体" w:cs="宋体"/>
                <w:szCs w:val="21"/>
              </w:rPr>
            </w:pPr>
          </w:p>
        </w:tc>
        <w:tc>
          <w:tcPr>
            <w:tcW w:w="2155" w:type="dxa"/>
            <w:vAlign w:val="center"/>
          </w:tcPr>
          <w:p w14:paraId="50D6D4EB">
            <w:pPr>
              <w:spacing w:line="440" w:lineRule="exact"/>
              <w:jc w:val="center"/>
              <w:rPr>
                <w:rFonts w:hint="eastAsia" w:ascii="宋体" w:hAnsi="宋体" w:eastAsia="宋体" w:cs="宋体"/>
                <w:szCs w:val="21"/>
              </w:rPr>
            </w:pPr>
          </w:p>
        </w:tc>
        <w:tc>
          <w:tcPr>
            <w:tcW w:w="2451" w:type="dxa"/>
            <w:vAlign w:val="center"/>
          </w:tcPr>
          <w:p w14:paraId="5EC7847D">
            <w:pPr>
              <w:spacing w:line="440" w:lineRule="exact"/>
              <w:jc w:val="center"/>
              <w:rPr>
                <w:rFonts w:hint="eastAsia" w:ascii="宋体" w:hAnsi="宋体" w:eastAsia="宋体" w:cs="宋体"/>
                <w:szCs w:val="21"/>
              </w:rPr>
            </w:pPr>
          </w:p>
        </w:tc>
      </w:tr>
      <w:tr w14:paraId="3FC5971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098" w:type="dxa"/>
          </w:tcPr>
          <w:p w14:paraId="3E301FF1">
            <w:pPr>
              <w:spacing w:line="440" w:lineRule="exact"/>
              <w:jc w:val="center"/>
              <w:rPr>
                <w:rFonts w:hint="eastAsia" w:ascii="宋体" w:hAnsi="宋体" w:eastAsia="宋体" w:cs="宋体"/>
                <w:szCs w:val="21"/>
              </w:rPr>
            </w:pPr>
          </w:p>
        </w:tc>
        <w:tc>
          <w:tcPr>
            <w:tcW w:w="1417" w:type="dxa"/>
            <w:vAlign w:val="center"/>
          </w:tcPr>
          <w:p w14:paraId="27BFAFFA">
            <w:pPr>
              <w:spacing w:line="440" w:lineRule="exact"/>
              <w:jc w:val="center"/>
              <w:rPr>
                <w:rFonts w:hint="eastAsia" w:ascii="宋体" w:hAnsi="宋体" w:eastAsia="宋体" w:cs="宋体"/>
                <w:szCs w:val="21"/>
              </w:rPr>
            </w:pPr>
          </w:p>
        </w:tc>
        <w:tc>
          <w:tcPr>
            <w:tcW w:w="1277" w:type="dxa"/>
            <w:vAlign w:val="center"/>
          </w:tcPr>
          <w:p w14:paraId="3D65F2EA">
            <w:pPr>
              <w:spacing w:line="440" w:lineRule="exact"/>
              <w:jc w:val="center"/>
              <w:rPr>
                <w:rFonts w:hint="eastAsia" w:ascii="宋体" w:hAnsi="宋体" w:eastAsia="宋体" w:cs="宋体"/>
                <w:szCs w:val="21"/>
              </w:rPr>
            </w:pPr>
          </w:p>
        </w:tc>
        <w:tc>
          <w:tcPr>
            <w:tcW w:w="2155" w:type="dxa"/>
            <w:vAlign w:val="center"/>
          </w:tcPr>
          <w:p w14:paraId="4926AC94">
            <w:pPr>
              <w:spacing w:line="440" w:lineRule="exact"/>
              <w:jc w:val="center"/>
              <w:rPr>
                <w:rFonts w:hint="eastAsia" w:ascii="宋体" w:hAnsi="宋体" w:eastAsia="宋体" w:cs="宋体"/>
                <w:szCs w:val="21"/>
              </w:rPr>
            </w:pPr>
          </w:p>
        </w:tc>
        <w:tc>
          <w:tcPr>
            <w:tcW w:w="2451" w:type="dxa"/>
            <w:vAlign w:val="center"/>
          </w:tcPr>
          <w:p w14:paraId="0EE5CCB7">
            <w:pPr>
              <w:spacing w:line="440" w:lineRule="exact"/>
              <w:jc w:val="center"/>
              <w:rPr>
                <w:rFonts w:hint="eastAsia" w:ascii="宋体" w:hAnsi="宋体" w:eastAsia="宋体" w:cs="宋体"/>
                <w:szCs w:val="21"/>
              </w:rPr>
            </w:pPr>
          </w:p>
        </w:tc>
      </w:tr>
      <w:tr w14:paraId="5FD3E925">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98" w:type="dxa"/>
          </w:tcPr>
          <w:p w14:paraId="50392B57">
            <w:pPr>
              <w:spacing w:line="440" w:lineRule="exact"/>
              <w:jc w:val="center"/>
              <w:rPr>
                <w:rFonts w:hint="eastAsia" w:ascii="宋体" w:hAnsi="宋体" w:eastAsia="宋体" w:cs="宋体"/>
                <w:szCs w:val="21"/>
              </w:rPr>
            </w:pPr>
          </w:p>
        </w:tc>
        <w:tc>
          <w:tcPr>
            <w:tcW w:w="1417" w:type="dxa"/>
            <w:vAlign w:val="center"/>
          </w:tcPr>
          <w:p w14:paraId="4DDDA047">
            <w:pPr>
              <w:spacing w:line="440" w:lineRule="exact"/>
              <w:jc w:val="center"/>
              <w:rPr>
                <w:rFonts w:hint="eastAsia" w:ascii="宋体" w:hAnsi="宋体" w:eastAsia="宋体" w:cs="宋体"/>
                <w:szCs w:val="21"/>
              </w:rPr>
            </w:pPr>
          </w:p>
        </w:tc>
        <w:tc>
          <w:tcPr>
            <w:tcW w:w="1277" w:type="dxa"/>
            <w:vAlign w:val="center"/>
          </w:tcPr>
          <w:p w14:paraId="5974C49D">
            <w:pPr>
              <w:spacing w:line="440" w:lineRule="exact"/>
              <w:jc w:val="center"/>
              <w:rPr>
                <w:rFonts w:hint="eastAsia" w:ascii="宋体" w:hAnsi="宋体" w:eastAsia="宋体" w:cs="宋体"/>
                <w:szCs w:val="21"/>
              </w:rPr>
            </w:pPr>
          </w:p>
        </w:tc>
        <w:tc>
          <w:tcPr>
            <w:tcW w:w="2155" w:type="dxa"/>
            <w:vAlign w:val="center"/>
          </w:tcPr>
          <w:p w14:paraId="3E4E165E">
            <w:pPr>
              <w:spacing w:line="440" w:lineRule="exact"/>
              <w:jc w:val="center"/>
              <w:rPr>
                <w:rFonts w:hint="eastAsia" w:ascii="宋体" w:hAnsi="宋体" w:eastAsia="宋体" w:cs="宋体"/>
                <w:szCs w:val="21"/>
              </w:rPr>
            </w:pPr>
          </w:p>
        </w:tc>
        <w:tc>
          <w:tcPr>
            <w:tcW w:w="2451" w:type="dxa"/>
            <w:vAlign w:val="center"/>
          </w:tcPr>
          <w:p w14:paraId="101D1B4E">
            <w:pPr>
              <w:spacing w:line="440" w:lineRule="exact"/>
              <w:jc w:val="center"/>
              <w:rPr>
                <w:rFonts w:hint="eastAsia" w:ascii="宋体" w:hAnsi="宋体" w:eastAsia="宋体" w:cs="宋体"/>
                <w:szCs w:val="21"/>
              </w:rPr>
            </w:pPr>
          </w:p>
        </w:tc>
      </w:tr>
      <w:tr w14:paraId="08D02DB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98" w:type="dxa"/>
          </w:tcPr>
          <w:p w14:paraId="448B0E11">
            <w:pPr>
              <w:spacing w:line="440" w:lineRule="exact"/>
              <w:jc w:val="center"/>
              <w:rPr>
                <w:rFonts w:hint="eastAsia" w:ascii="宋体" w:hAnsi="宋体" w:eastAsia="宋体" w:cs="宋体"/>
                <w:szCs w:val="21"/>
              </w:rPr>
            </w:pPr>
          </w:p>
        </w:tc>
        <w:tc>
          <w:tcPr>
            <w:tcW w:w="1417" w:type="dxa"/>
            <w:vAlign w:val="center"/>
          </w:tcPr>
          <w:p w14:paraId="6A3BFC69">
            <w:pPr>
              <w:spacing w:line="440" w:lineRule="exact"/>
              <w:jc w:val="center"/>
              <w:rPr>
                <w:rFonts w:hint="eastAsia" w:ascii="宋体" w:hAnsi="宋体" w:eastAsia="宋体" w:cs="宋体"/>
                <w:szCs w:val="21"/>
              </w:rPr>
            </w:pPr>
          </w:p>
        </w:tc>
        <w:tc>
          <w:tcPr>
            <w:tcW w:w="1277" w:type="dxa"/>
            <w:vAlign w:val="center"/>
          </w:tcPr>
          <w:p w14:paraId="0EEF8EF6">
            <w:pPr>
              <w:spacing w:line="440" w:lineRule="exact"/>
              <w:jc w:val="center"/>
              <w:rPr>
                <w:rFonts w:hint="eastAsia" w:ascii="宋体" w:hAnsi="宋体" w:eastAsia="宋体" w:cs="宋体"/>
                <w:szCs w:val="21"/>
              </w:rPr>
            </w:pPr>
          </w:p>
        </w:tc>
        <w:tc>
          <w:tcPr>
            <w:tcW w:w="2155" w:type="dxa"/>
            <w:vAlign w:val="center"/>
          </w:tcPr>
          <w:p w14:paraId="134B3A8D">
            <w:pPr>
              <w:spacing w:line="440" w:lineRule="exact"/>
              <w:jc w:val="center"/>
              <w:rPr>
                <w:rFonts w:hint="eastAsia" w:ascii="宋体" w:hAnsi="宋体" w:eastAsia="宋体" w:cs="宋体"/>
                <w:szCs w:val="21"/>
              </w:rPr>
            </w:pPr>
          </w:p>
        </w:tc>
        <w:tc>
          <w:tcPr>
            <w:tcW w:w="2451" w:type="dxa"/>
            <w:vAlign w:val="center"/>
          </w:tcPr>
          <w:p w14:paraId="106C643B">
            <w:pPr>
              <w:spacing w:line="440" w:lineRule="exact"/>
              <w:jc w:val="center"/>
              <w:rPr>
                <w:rFonts w:hint="eastAsia" w:ascii="宋体" w:hAnsi="宋体" w:eastAsia="宋体" w:cs="宋体"/>
                <w:szCs w:val="21"/>
              </w:rPr>
            </w:pPr>
          </w:p>
        </w:tc>
      </w:tr>
      <w:tr w14:paraId="13796CFE">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98" w:type="dxa"/>
          </w:tcPr>
          <w:p w14:paraId="51D007D8">
            <w:pPr>
              <w:spacing w:line="440" w:lineRule="exact"/>
              <w:jc w:val="center"/>
              <w:rPr>
                <w:rFonts w:hint="eastAsia" w:ascii="宋体" w:hAnsi="宋体" w:eastAsia="宋体" w:cs="宋体"/>
                <w:szCs w:val="21"/>
              </w:rPr>
            </w:pPr>
          </w:p>
        </w:tc>
        <w:tc>
          <w:tcPr>
            <w:tcW w:w="1417" w:type="dxa"/>
            <w:vAlign w:val="center"/>
          </w:tcPr>
          <w:p w14:paraId="2E0091C3">
            <w:pPr>
              <w:spacing w:line="440" w:lineRule="exact"/>
              <w:jc w:val="center"/>
              <w:rPr>
                <w:rFonts w:hint="eastAsia" w:ascii="宋体" w:hAnsi="宋体" w:eastAsia="宋体" w:cs="宋体"/>
                <w:szCs w:val="21"/>
              </w:rPr>
            </w:pPr>
          </w:p>
        </w:tc>
        <w:tc>
          <w:tcPr>
            <w:tcW w:w="1277" w:type="dxa"/>
            <w:vAlign w:val="center"/>
          </w:tcPr>
          <w:p w14:paraId="60CE5A30">
            <w:pPr>
              <w:spacing w:line="440" w:lineRule="exact"/>
              <w:jc w:val="center"/>
              <w:rPr>
                <w:rFonts w:hint="eastAsia" w:ascii="宋体" w:hAnsi="宋体" w:eastAsia="宋体" w:cs="宋体"/>
                <w:szCs w:val="21"/>
              </w:rPr>
            </w:pPr>
          </w:p>
        </w:tc>
        <w:tc>
          <w:tcPr>
            <w:tcW w:w="2155" w:type="dxa"/>
            <w:vAlign w:val="center"/>
          </w:tcPr>
          <w:p w14:paraId="6A6CA9E3">
            <w:pPr>
              <w:spacing w:line="440" w:lineRule="exact"/>
              <w:jc w:val="center"/>
              <w:rPr>
                <w:rFonts w:hint="eastAsia" w:ascii="宋体" w:hAnsi="宋体" w:eastAsia="宋体" w:cs="宋体"/>
                <w:szCs w:val="21"/>
              </w:rPr>
            </w:pPr>
          </w:p>
        </w:tc>
        <w:tc>
          <w:tcPr>
            <w:tcW w:w="2451" w:type="dxa"/>
            <w:vAlign w:val="center"/>
          </w:tcPr>
          <w:p w14:paraId="0F630D60">
            <w:pPr>
              <w:spacing w:line="440" w:lineRule="exact"/>
              <w:jc w:val="center"/>
              <w:rPr>
                <w:rFonts w:hint="eastAsia" w:ascii="宋体" w:hAnsi="宋体" w:eastAsia="宋体" w:cs="宋体"/>
                <w:szCs w:val="21"/>
              </w:rPr>
            </w:pPr>
          </w:p>
        </w:tc>
      </w:tr>
      <w:tr w14:paraId="400C241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98" w:type="dxa"/>
          </w:tcPr>
          <w:p w14:paraId="570F5E06">
            <w:pPr>
              <w:spacing w:line="440" w:lineRule="exact"/>
              <w:jc w:val="center"/>
              <w:rPr>
                <w:rFonts w:hint="eastAsia" w:ascii="宋体" w:hAnsi="宋体" w:eastAsia="宋体" w:cs="宋体"/>
                <w:szCs w:val="21"/>
              </w:rPr>
            </w:pPr>
          </w:p>
        </w:tc>
        <w:tc>
          <w:tcPr>
            <w:tcW w:w="1417" w:type="dxa"/>
            <w:vAlign w:val="center"/>
          </w:tcPr>
          <w:p w14:paraId="30578D66">
            <w:pPr>
              <w:spacing w:line="440" w:lineRule="exact"/>
              <w:jc w:val="center"/>
              <w:rPr>
                <w:rFonts w:hint="eastAsia" w:ascii="宋体" w:hAnsi="宋体" w:eastAsia="宋体" w:cs="宋体"/>
                <w:szCs w:val="21"/>
              </w:rPr>
            </w:pPr>
          </w:p>
        </w:tc>
        <w:tc>
          <w:tcPr>
            <w:tcW w:w="1277" w:type="dxa"/>
            <w:vAlign w:val="center"/>
          </w:tcPr>
          <w:p w14:paraId="5AE357AF">
            <w:pPr>
              <w:spacing w:line="440" w:lineRule="exact"/>
              <w:jc w:val="center"/>
              <w:rPr>
                <w:rFonts w:hint="eastAsia" w:ascii="宋体" w:hAnsi="宋体" w:eastAsia="宋体" w:cs="宋体"/>
                <w:szCs w:val="21"/>
              </w:rPr>
            </w:pPr>
          </w:p>
        </w:tc>
        <w:tc>
          <w:tcPr>
            <w:tcW w:w="2155" w:type="dxa"/>
            <w:vAlign w:val="center"/>
          </w:tcPr>
          <w:p w14:paraId="388ADDE7">
            <w:pPr>
              <w:spacing w:line="440" w:lineRule="exact"/>
              <w:jc w:val="center"/>
              <w:rPr>
                <w:rFonts w:hint="eastAsia" w:ascii="宋体" w:hAnsi="宋体" w:eastAsia="宋体" w:cs="宋体"/>
                <w:szCs w:val="21"/>
              </w:rPr>
            </w:pPr>
          </w:p>
        </w:tc>
        <w:tc>
          <w:tcPr>
            <w:tcW w:w="2451" w:type="dxa"/>
            <w:vAlign w:val="center"/>
          </w:tcPr>
          <w:p w14:paraId="6487E715">
            <w:pPr>
              <w:spacing w:line="440" w:lineRule="exact"/>
              <w:jc w:val="center"/>
              <w:rPr>
                <w:rFonts w:hint="eastAsia" w:ascii="宋体" w:hAnsi="宋体" w:eastAsia="宋体" w:cs="宋体"/>
                <w:szCs w:val="21"/>
              </w:rPr>
            </w:pPr>
          </w:p>
        </w:tc>
      </w:tr>
      <w:tr w14:paraId="52AB972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98" w:type="dxa"/>
          </w:tcPr>
          <w:p w14:paraId="1E9C03F5">
            <w:pPr>
              <w:spacing w:line="440" w:lineRule="exact"/>
              <w:jc w:val="center"/>
              <w:rPr>
                <w:rFonts w:hint="eastAsia" w:ascii="宋体" w:hAnsi="宋体" w:eastAsia="宋体" w:cs="宋体"/>
                <w:szCs w:val="21"/>
              </w:rPr>
            </w:pPr>
          </w:p>
        </w:tc>
        <w:tc>
          <w:tcPr>
            <w:tcW w:w="1417" w:type="dxa"/>
            <w:vAlign w:val="center"/>
          </w:tcPr>
          <w:p w14:paraId="07C6DCF2">
            <w:pPr>
              <w:spacing w:line="440" w:lineRule="exact"/>
              <w:jc w:val="center"/>
              <w:rPr>
                <w:rFonts w:hint="eastAsia" w:ascii="宋体" w:hAnsi="宋体" w:eastAsia="宋体" w:cs="宋体"/>
                <w:szCs w:val="21"/>
              </w:rPr>
            </w:pPr>
          </w:p>
        </w:tc>
        <w:tc>
          <w:tcPr>
            <w:tcW w:w="1277" w:type="dxa"/>
            <w:vAlign w:val="center"/>
          </w:tcPr>
          <w:p w14:paraId="5EE34617">
            <w:pPr>
              <w:spacing w:line="440" w:lineRule="exact"/>
              <w:jc w:val="center"/>
              <w:rPr>
                <w:rFonts w:hint="eastAsia" w:ascii="宋体" w:hAnsi="宋体" w:eastAsia="宋体" w:cs="宋体"/>
                <w:szCs w:val="21"/>
              </w:rPr>
            </w:pPr>
          </w:p>
        </w:tc>
        <w:tc>
          <w:tcPr>
            <w:tcW w:w="2155" w:type="dxa"/>
            <w:vAlign w:val="center"/>
          </w:tcPr>
          <w:p w14:paraId="287065A6">
            <w:pPr>
              <w:spacing w:line="440" w:lineRule="exact"/>
              <w:jc w:val="center"/>
              <w:rPr>
                <w:rFonts w:hint="eastAsia" w:ascii="宋体" w:hAnsi="宋体" w:eastAsia="宋体" w:cs="宋体"/>
                <w:szCs w:val="21"/>
              </w:rPr>
            </w:pPr>
          </w:p>
        </w:tc>
        <w:tc>
          <w:tcPr>
            <w:tcW w:w="2451" w:type="dxa"/>
            <w:vAlign w:val="center"/>
          </w:tcPr>
          <w:p w14:paraId="21B926F1">
            <w:pPr>
              <w:spacing w:line="440" w:lineRule="exact"/>
              <w:jc w:val="center"/>
              <w:rPr>
                <w:rFonts w:hint="eastAsia" w:ascii="宋体" w:hAnsi="宋体" w:eastAsia="宋体" w:cs="宋体"/>
                <w:szCs w:val="21"/>
              </w:rPr>
            </w:pPr>
          </w:p>
        </w:tc>
      </w:tr>
      <w:tr w14:paraId="11970673">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098" w:type="dxa"/>
          </w:tcPr>
          <w:p w14:paraId="58492F22">
            <w:pPr>
              <w:spacing w:line="440" w:lineRule="exact"/>
              <w:jc w:val="center"/>
              <w:rPr>
                <w:rFonts w:hint="eastAsia" w:ascii="宋体" w:hAnsi="宋体" w:eastAsia="宋体" w:cs="宋体"/>
                <w:szCs w:val="21"/>
              </w:rPr>
            </w:pPr>
          </w:p>
        </w:tc>
        <w:tc>
          <w:tcPr>
            <w:tcW w:w="1417" w:type="dxa"/>
            <w:vAlign w:val="center"/>
          </w:tcPr>
          <w:p w14:paraId="6D4BA897">
            <w:pPr>
              <w:spacing w:line="440" w:lineRule="exact"/>
              <w:jc w:val="center"/>
              <w:rPr>
                <w:rFonts w:hint="eastAsia" w:ascii="宋体" w:hAnsi="宋体" w:eastAsia="宋体" w:cs="宋体"/>
                <w:szCs w:val="21"/>
              </w:rPr>
            </w:pPr>
          </w:p>
        </w:tc>
        <w:tc>
          <w:tcPr>
            <w:tcW w:w="1277" w:type="dxa"/>
            <w:vAlign w:val="center"/>
          </w:tcPr>
          <w:p w14:paraId="53DCCF51">
            <w:pPr>
              <w:spacing w:line="440" w:lineRule="exact"/>
              <w:jc w:val="center"/>
              <w:rPr>
                <w:rFonts w:hint="eastAsia" w:ascii="宋体" w:hAnsi="宋体" w:eastAsia="宋体" w:cs="宋体"/>
                <w:szCs w:val="21"/>
              </w:rPr>
            </w:pPr>
          </w:p>
        </w:tc>
        <w:tc>
          <w:tcPr>
            <w:tcW w:w="2155" w:type="dxa"/>
            <w:vAlign w:val="center"/>
          </w:tcPr>
          <w:p w14:paraId="38C201C1">
            <w:pPr>
              <w:spacing w:line="440" w:lineRule="exact"/>
              <w:jc w:val="center"/>
              <w:rPr>
                <w:rFonts w:hint="eastAsia" w:ascii="宋体" w:hAnsi="宋体" w:eastAsia="宋体" w:cs="宋体"/>
                <w:szCs w:val="21"/>
              </w:rPr>
            </w:pPr>
          </w:p>
        </w:tc>
        <w:tc>
          <w:tcPr>
            <w:tcW w:w="2451" w:type="dxa"/>
            <w:vAlign w:val="center"/>
          </w:tcPr>
          <w:p w14:paraId="6523EFF8">
            <w:pPr>
              <w:spacing w:line="440" w:lineRule="exact"/>
              <w:jc w:val="center"/>
              <w:rPr>
                <w:rFonts w:hint="eastAsia" w:ascii="宋体" w:hAnsi="宋体" w:eastAsia="宋体" w:cs="宋体"/>
                <w:szCs w:val="21"/>
              </w:rPr>
            </w:pPr>
          </w:p>
        </w:tc>
      </w:tr>
      <w:tr w14:paraId="008ACB7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098" w:type="dxa"/>
          </w:tcPr>
          <w:p w14:paraId="6ABAD10B">
            <w:pPr>
              <w:spacing w:line="440" w:lineRule="exact"/>
              <w:jc w:val="center"/>
              <w:rPr>
                <w:rFonts w:hint="eastAsia" w:ascii="宋体" w:hAnsi="宋体" w:eastAsia="宋体" w:cs="宋体"/>
                <w:szCs w:val="21"/>
              </w:rPr>
            </w:pPr>
          </w:p>
        </w:tc>
        <w:tc>
          <w:tcPr>
            <w:tcW w:w="1417" w:type="dxa"/>
            <w:vAlign w:val="center"/>
          </w:tcPr>
          <w:p w14:paraId="34B567F7">
            <w:pPr>
              <w:spacing w:line="440" w:lineRule="exact"/>
              <w:jc w:val="center"/>
              <w:rPr>
                <w:rFonts w:hint="eastAsia" w:ascii="宋体" w:hAnsi="宋体" w:eastAsia="宋体" w:cs="宋体"/>
                <w:szCs w:val="21"/>
              </w:rPr>
            </w:pPr>
          </w:p>
        </w:tc>
        <w:tc>
          <w:tcPr>
            <w:tcW w:w="1277" w:type="dxa"/>
            <w:vAlign w:val="center"/>
          </w:tcPr>
          <w:p w14:paraId="170A3202">
            <w:pPr>
              <w:spacing w:line="440" w:lineRule="exact"/>
              <w:jc w:val="center"/>
              <w:rPr>
                <w:rFonts w:hint="eastAsia" w:ascii="宋体" w:hAnsi="宋体" w:eastAsia="宋体" w:cs="宋体"/>
                <w:szCs w:val="21"/>
              </w:rPr>
            </w:pPr>
          </w:p>
        </w:tc>
        <w:tc>
          <w:tcPr>
            <w:tcW w:w="2155" w:type="dxa"/>
            <w:vAlign w:val="center"/>
          </w:tcPr>
          <w:p w14:paraId="6690AEEC">
            <w:pPr>
              <w:spacing w:line="440" w:lineRule="exact"/>
              <w:jc w:val="center"/>
              <w:rPr>
                <w:rFonts w:hint="eastAsia" w:ascii="宋体" w:hAnsi="宋体" w:eastAsia="宋体" w:cs="宋体"/>
                <w:szCs w:val="21"/>
              </w:rPr>
            </w:pPr>
          </w:p>
        </w:tc>
        <w:tc>
          <w:tcPr>
            <w:tcW w:w="2451" w:type="dxa"/>
            <w:vAlign w:val="center"/>
          </w:tcPr>
          <w:p w14:paraId="472AACC9">
            <w:pPr>
              <w:spacing w:line="440" w:lineRule="exact"/>
              <w:jc w:val="center"/>
              <w:rPr>
                <w:rFonts w:hint="eastAsia" w:ascii="宋体" w:hAnsi="宋体" w:eastAsia="宋体" w:cs="宋体"/>
                <w:szCs w:val="21"/>
              </w:rPr>
            </w:pPr>
          </w:p>
        </w:tc>
      </w:tr>
      <w:tr w14:paraId="65E9A07B">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98" w:type="dxa"/>
          </w:tcPr>
          <w:p w14:paraId="1A1239DA">
            <w:pPr>
              <w:spacing w:line="440" w:lineRule="exact"/>
              <w:jc w:val="center"/>
              <w:rPr>
                <w:rFonts w:hint="eastAsia" w:ascii="宋体" w:hAnsi="宋体" w:eastAsia="宋体" w:cs="宋体"/>
                <w:szCs w:val="21"/>
              </w:rPr>
            </w:pPr>
          </w:p>
        </w:tc>
        <w:tc>
          <w:tcPr>
            <w:tcW w:w="1417" w:type="dxa"/>
            <w:vAlign w:val="center"/>
          </w:tcPr>
          <w:p w14:paraId="483AF24F">
            <w:pPr>
              <w:spacing w:line="440" w:lineRule="exact"/>
              <w:jc w:val="center"/>
              <w:rPr>
                <w:rFonts w:hint="eastAsia" w:ascii="宋体" w:hAnsi="宋体" w:eastAsia="宋体" w:cs="宋体"/>
                <w:szCs w:val="21"/>
              </w:rPr>
            </w:pPr>
          </w:p>
        </w:tc>
        <w:tc>
          <w:tcPr>
            <w:tcW w:w="1277" w:type="dxa"/>
            <w:vAlign w:val="center"/>
          </w:tcPr>
          <w:p w14:paraId="6E355A59">
            <w:pPr>
              <w:spacing w:line="440" w:lineRule="exact"/>
              <w:jc w:val="center"/>
              <w:rPr>
                <w:rFonts w:hint="eastAsia" w:ascii="宋体" w:hAnsi="宋体" w:eastAsia="宋体" w:cs="宋体"/>
                <w:szCs w:val="21"/>
              </w:rPr>
            </w:pPr>
          </w:p>
        </w:tc>
        <w:tc>
          <w:tcPr>
            <w:tcW w:w="2155" w:type="dxa"/>
            <w:vAlign w:val="center"/>
          </w:tcPr>
          <w:p w14:paraId="68AC14D6">
            <w:pPr>
              <w:spacing w:line="440" w:lineRule="exact"/>
              <w:jc w:val="center"/>
              <w:rPr>
                <w:rFonts w:hint="eastAsia" w:ascii="宋体" w:hAnsi="宋体" w:eastAsia="宋体" w:cs="宋体"/>
                <w:szCs w:val="21"/>
              </w:rPr>
            </w:pPr>
          </w:p>
        </w:tc>
        <w:tc>
          <w:tcPr>
            <w:tcW w:w="2451" w:type="dxa"/>
            <w:vAlign w:val="center"/>
          </w:tcPr>
          <w:p w14:paraId="2A4D3FFD">
            <w:pPr>
              <w:spacing w:line="440" w:lineRule="exact"/>
              <w:jc w:val="center"/>
              <w:rPr>
                <w:rFonts w:hint="eastAsia" w:ascii="宋体" w:hAnsi="宋体" w:eastAsia="宋体" w:cs="宋体"/>
                <w:szCs w:val="21"/>
              </w:rPr>
            </w:pPr>
          </w:p>
        </w:tc>
      </w:tr>
      <w:tr w14:paraId="05A22EF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098" w:type="dxa"/>
          </w:tcPr>
          <w:p w14:paraId="794D0DD4">
            <w:pPr>
              <w:spacing w:line="440" w:lineRule="exact"/>
              <w:jc w:val="center"/>
              <w:rPr>
                <w:rFonts w:hint="eastAsia" w:ascii="宋体" w:hAnsi="宋体" w:eastAsia="宋体" w:cs="宋体"/>
                <w:szCs w:val="21"/>
              </w:rPr>
            </w:pPr>
          </w:p>
        </w:tc>
        <w:tc>
          <w:tcPr>
            <w:tcW w:w="1417" w:type="dxa"/>
            <w:vAlign w:val="center"/>
          </w:tcPr>
          <w:p w14:paraId="090A632B">
            <w:pPr>
              <w:spacing w:line="440" w:lineRule="exact"/>
              <w:jc w:val="center"/>
              <w:rPr>
                <w:rFonts w:hint="eastAsia" w:ascii="宋体" w:hAnsi="宋体" w:eastAsia="宋体" w:cs="宋体"/>
                <w:szCs w:val="21"/>
              </w:rPr>
            </w:pPr>
          </w:p>
        </w:tc>
        <w:tc>
          <w:tcPr>
            <w:tcW w:w="1277" w:type="dxa"/>
            <w:vAlign w:val="center"/>
          </w:tcPr>
          <w:p w14:paraId="038B3CBE">
            <w:pPr>
              <w:spacing w:line="440" w:lineRule="exact"/>
              <w:jc w:val="center"/>
              <w:rPr>
                <w:rFonts w:hint="eastAsia" w:ascii="宋体" w:hAnsi="宋体" w:eastAsia="宋体" w:cs="宋体"/>
                <w:szCs w:val="21"/>
              </w:rPr>
            </w:pPr>
          </w:p>
        </w:tc>
        <w:tc>
          <w:tcPr>
            <w:tcW w:w="2155" w:type="dxa"/>
            <w:vAlign w:val="center"/>
          </w:tcPr>
          <w:p w14:paraId="45EAE2CF">
            <w:pPr>
              <w:spacing w:line="440" w:lineRule="exact"/>
              <w:jc w:val="center"/>
              <w:rPr>
                <w:rFonts w:hint="eastAsia" w:ascii="宋体" w:hAnsi="宋体" w:eastAsia="宋体" w:cs="宋体"/>
                <w:szCs w:val="21"/>
              </w:rPr>
            </w:pPr>
          </w:p>
        </w:tc>
        <w:tc>
          <w:tcPr>
            <w:tcW w:w="2451" w:type="dxa"/>
            <w:vAlign w:val="center"/>
          </w:tcPr>
          <w:p w14:paraId="223EA188">
            <w:pPr>
              <w:spacing w:line="440" w:lineRule="exact"/>
              <w:jc w:val="center"/>
              <w:rPr>
                <w:rFonts w:hint="eastAsia" w:ascii="宋体" w:hAnsi="宋体" w:eastAsia="宋体" w:cs="宋体"/>
                <w:szCs w:val="21"/>
              </w:rPr>
            </w:pPr>
          </w:p>
        </w:tc>
      </w:tr>
      <w:tr w14:paraId="7662EA4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98" w:type="dxa"/>
          </w:tcPr>
          <w:p w14:paraId="2D61C2D4">
            <w:pPr>
              <w:spacing w:line="440" w:lineRule="exact"/>
              <w:jc w:val="center"/>
              <w:rPr>
                <w:rFonts w:hint="eastAsia" w:ascii="宋体" w:hAnsi="宋体" w:eastAsia="宋体" w:cs="宋体"/>
                <w:szCs w:val="21"/>
              </w:rPr>
            </w:pPr>
          </w:p>
        </w:tc>
        <w:tc>
          <w:tcPr>
            <w:tcW w:w="1417" w:type="dxa"/>
            <w:vAlign w:val="center"/>
          </w:tcPr>
          <w:p w14:paraId="62B8D07A">
            <w:pPr>
              <w:spacing w:line="440" w:lineRule="exact"/>
              <w:jc w:val="center"/>
              <w:rPr>
                <w:rFonts w:hint="eastAsia" w:ascii="宋体" w:hAnsi="宋体" w:eastAsia="宋体" w:cs="宋体"/>
                <w:szCs w:val="21"/>
              </w:rPr>
            </w:pPr>
          </w:p>
        </w:tc>
        <w:tc>
          <w:tcPr>
            <w:tcW w:w="1277" w:type="dxa"/>
            <w:vAlign w:val="center"/>
          </w:tcPr>
          <w:p w14:paraId="1D6D668F">
            <w:pPr>
              <w:spacing w:line="440" w:lineRule="exact"/>
              <w:jc w:val="center"/>
              <w:rPr>
                <w:rFonts w:hint="eastAsia" w:ascii="宋体" w:hAnsi="宋体" w:eastAsia="宋体" w:cs="宋体"/>
                <w:szCs w:val="21"/>
              </w:rPr>
            </w:pPr>
          </w:p>
        </w:tc>
        <w:tc>
          <w:tcPr>
            <w:tcW w:w="2155" w:type="dxa"/>
            <w:vAlign w:val="center"/>
          </w:tcPr>
          <w:p w14:paraId="66D0AC40">
            <w:pPr>
              <w:spacing w:line="440" w:lineRule="exact"/>
              <w:jc w:val="center"/>
              <w:rPr>
                <w:rFonts w:hint="eastAsia" w:ascii="宋体" w:hAnsi="宋体" w:eastAsia="宋体" w:cs="宋体"/>
                <w:szCs w:val="21"/>
              </w:rPr>
            </w:pPr>
          </w:p>
        </w:tc>
        <w:tc>
          <w:tcPr>
            <w:tcW w:w="2451" w:type="dxa"/>
            <w:vAlign w:val="center"/>
          </w:tcPr>
          <w:p w14:paraId="2BAA25B4">
            <w:pPr>
              <w:spacing w:line="440" w:lineRule="exact"/>
              <w:jc w:val="center"/>
              <w:rPr>
                <w:rFonts w:hint="eastAsia" w:ascii="宋体" w:hAnsi="宋体" w:eastAsia="宋体" w:cs="宋体"/>
                <w:szCs w:val="21"/>
              </w:rPr>
            </w:pPr>
          </w:p>
        </w:tc>
      </w:tr>
    </w:tbl>
    <w:p w14:paraId="7FD61E64">
      <w:pPr>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注：提供人员的</w:t>
      </w:r>
      <w:r>
        <w:rPr>
          <w:rFonts w:hint="eastAsia" w:ascii="宋体" w:hAnsi="宋体" w:eastAsia="宋体" w:cs="宋体"/>
          <w:szCs w:val="21"/>
          <w:lang w:val="en-US" w:eastAsia="zh-CN"/>
        </w:rPr>
        <w:t>身份证、社保证明</w:t>
      </w:r>
      <w:r>
        <w:rPr>
          <w:rFonts w:hint="eastAsia" w:ascii="宋体" w:hAnsi="宋体" w:eastAsia="宋体" w:cs="宋体"/>
          <w:szCs w:val="21"/>
        </w:rPr>
        <w:t>、相关证书等扫描件（如有）。</w:t>
      </w:r>
    </w:p>
    <w:p w14:paraId="0689D35D">
      <w:pPr>
        <w:spacing w:afterLines="50" w:line="440" w:lineRule="exact"/>
        <w:ind w:left="283" w:leftChars="135" w:firstLine="525" w:firstLineChars="250"/>
        <w:rPr>
          <w:rFonts w:hint="eastAsia" w:ascii="宋体" w:hAnsi="宋体" w:eastAsia="宋体" w:cs="宋体"/>
          <w:caps/>
          <w:szCs w:val="21"/>
        </w:rPr>
      </w:pPr>
    </w:p>
    <w:p w14:paraId="05B4BB81">
      <w:pPr>
        <w:spacing w:line="420" w:lineRule="exact"/>
        <w:rPr>
          <w:rFonts w:hint="eastAsia" w:ascii="宋体" w:hAnsi="宋体" w:eastAsia="宋体" w:cs="宋体"/>
          <w:sz w:val="24"/>
        </w:rPr>
      </w:pPr>
    </w:p>
    <w:p w14:paraId="22EDF9A8">
      <w:pPr>
        <w:jc w:val="center"/>
        <w:rPr>
          <w:rFonts w:hint="eastAsia" w:ascii="宋体" w:hAnsi="宋体" w:eastAsia="宋体" w:cs="宋体"/>
          <w:b/>
          <w:kern w:val="0"/>
          <w:sz w:val="36"/>
        </w:rPr>
      </w:pPr>
    </w:p>
    <w:p w14:paraId="1BB13C59">
      <w:pPr>
        <w:widowControl/>
        <w:jc w:val="left"/>
        <w:rPr>
          <w:rFonts w:hint="eastAsia" w:ascii="宋体" w:hAnsi="宋体" w:eastAsia="宋体" w:cs="宋体"/>
          <w:b/>
          <w:kern w:val="0"/>
          <w:sz w:val="36"/>
        </w:rPr>
      </w:pPr>
      <w:r>
        <w:rPr>
          <w:rFonts w:hint="eastAsia" w:ascii="宋体" w:hAnsi="宋体" w:eastAsia="宋体" w:cs="宋体"/>
          <w:b/>
          <w:kern w:val="0"/>
          <w:sz w:val="36"/>
        </w:rPr>
        <w:br w:type="page"/>
      </w:r>
    </w:p>
    <w:p w14:paraId="41AA1A95">
      <w:pPr>
        <w:pStyle w:val="5"/>
        <w:spacing w:before="120"/>
        <w:jc w:val="center"/>
        <w:outlineLvl w:val="2"/>
        <w:rPr>
          <w:rFonts w:hint="eastAsia" w:ascii="宋体" w:hAnsi="宋体" w:eastAsia="宋体" w:cs="宋体"/>
          <w:kern w:val="0"/>
          <w:sz w:val="36"/>
        </w:rPr>
      </w:pPr>
      <w:bookmarkStart w:id="173" w:name="_Toc5741"/>
      <w:bookmarkStart w:id="174" w:name="_Toc8410"/>
      <w:bookmarkStart w:id="175" w:name="_Toc30275"/>
      <w:r>
        <w:rPr>
          <w:rFonts w:hint="eastAsia" w:hAnsi="宋体" w:cs="宋体"/>
          <w:kern w:val="0"/>
          <w:sz w:val="36"/>
          <w:lang w:val="en-US" w:eastAsia="zh-CN"/>
        </w:rPr>
        <w:t>七</w:t>
      </w:r>
      <w:r>
        <w:rPr>
          <w:rFonts w:hint="eastAsia" w:ascii="宋体" w:hAnsi="宋体" w:eastAsia="宋体" w:cs="宋体"/>
          <w:kern w:val="0"/>
          <w:sz w:val="36"/>
          <w:lang w:val="en-US" w:eastAsia="zh-CN"/>
        </w:rPr>
        <w:t>、</w:t>
      </w:r>
      <w:r>
        <w:rPr>
          <w:rFonts w:hint="eastAsia" w:ascii="宋体" w:hAnsi="宋体" w:eastAsia="宋体" w:cs="宋体"/>
          <w:kern w:val="0"/>
          <w:sz w:val="36"/>
        </w:rPr>
        <w:t>类似项目业绩一览表</w:t>
      </w:r>
      <w:bookmarkEnd w:id="173"/>
      <w:bookmarkEnd w:id="174"/>
      <w:bookmarkEnd w:id="175"/>
    </w:p>
    <w:p w14:paraId="3D106537">
      <w:pPr>
        <w:spacing w:line="400" w:lineRule="exact"/>
        <w:ind w:firstLine="480"/>
        <w:rPr>
          <w:rFonts w:hint="eastAsia" w:ascii="宋体" w:hAnsi="宋体" w:eastAsia="宋体" w:cs="宋体"/>
          <w:sz w:val="24"/>
        </w:rPr>
      </w:pP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53"/>
        <w:gridCol w:w="1907"/>
        <w:gridCol w:w="1748"/>
        <w:gridCol w:w="1622"/>
        <w:gridCol w:w="1907"/>
        <w:gridCol w:w="1501"/>
      </w:tblGrid>
      <w:tr w14:paraId="01053A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2" w:hRule="atLeast"/>
          <w:jc w:val="center"/>
        </w:trPr>
        <w:tc>
          <w:tcPr>
            <w:tcW w:w="953" w:type="dxa"/>
            <w:tcBorders>
              <w:top w:val="single" w:color="auto" w:sz="4" w:space="0"/>
            </w:tcBorders>
            <w:vAlign w:val="center"/>
          </w:tcPr>
          <w:p w14:paraId="10CB0823">
            <w:pPr>
              <w:spacing w:line="400" w:lineRule="exact"/>
              <w:jc w:val="center"/>
              <w:rPr>
                <w:rFonts w:hint="eastAsia" w:ascii="宋体" w:hAnsi="宋体" w:eastAsia="宋体" w:cs="宋体"/>
                <w:b/>
                <w:sz w:val="24"/>
              </w:rPr>
            </w:pPr>
            <w:r>
              <w:rPr>
                <w:rFonts w:hint="eastAsia" w:ascii="宋体" w:hAnsi="宋体" w:eastAsia="宋体" w:cs="宋体"/>
                <w:b/>
                <w:sz w:val="24"/>
              </w:rPr>
              <w:t>年份</w:t>
            </w:r>
          </w:p>
        </w:tc>
        <w:tc>
          <w:tcPr>
            <w:tcW w:w="1907" w:type="dxa"/>
            <w:vAlign w:val="center"/>
          </w:tcPr>
          <w:p w14:paraId="40E6C0CE">
            <w:pPr>
              <w:spacing w:line="400" w:lineRule="exact"/>
              <w:jc w:val="center"/>
              <w:rPr>
                <w:rFonts w:hint="eastAsia" w:ascii="宋体" w:hAnsi="宋体" w:eastAsia="宋体" w:cs="宋体"/>
                <w:b/>
                <w:sz w:val="24"/>
              </w:rPr>
            </w:pPr>
            <w:r>
              <w:rPr>
                <w:rFonts w:hint="eastAsia" w:ascii="宋体" w:hAnsi="宋体" w:eastAsia="宋体" w:cs="宋体"/>
                <w:b/>
                <w:sz w:val="24"/>
              </w:rPr>
              <w:t>用户名称</w:t>
            </w:r>
          </w:p>
        </w:tc>
        <w:tc>
          <w:tcPr>
            <w:tcW w:w="1748" w:type="dxa"/>
            <w:vAlign w:val="center"/>
          </w:tcPr>
          <w:p w14:paraId="351CAEDD">
            <w:pPr>
              <w:spacing w:line="400" w:lineRule="exact"/>
              <w:jc w:val="center"/>
              <w:rPr>
                <w:rFonts w:hint="eastAsia" w:ascii="宋体" w:hAnsi="宋体" w:eastAsia="宋体" w:cs="宋体"/>
                <w:b/>
                <w:sz w:val="24"/>
              </w:rPr>
            </w:pPr>
            <w:r>
              <w:rPr>
                <w:rFonts w:hint="eastAsia" w:ascii="宋体" w:hAnsi="宋体" w:eastAsia="宋体" w:cs="宋体"/>
                <w:b/>
                <w:sz w:val="24"/>
              </w:rPr>
              <w:t>项目名称</w:t>
            </w:r>
          </w:p>
        </w:tc>
        <w:tc>
          <w:tcPr>
            <w:tcW w:w="1622" w:type="dxa"/>
            <w:vAlign w:val="center"/>
          </w:tcPr>
          <w:p w14:paraId="641EAC0D">
            <w:pPr>
              <w:spacing w:line="400" w:lineRule="exact"/>
              <w:jc w:val="center"/>
              <w:rPr>
                <w:rFonts w:hint="eastAsia" w:ascii="宋体" w:hAnsi="宋体" w:eastAsia="宋体" w:cs="宋体"/>
                <w:b/>
                <w:sz w:val="24"/>
              </w:rPr>
            </w:pPr>
            <w:r>
              <w:rPr>
                <w:rFonts w:hint="eastAsia" w:ascii="宋体" w:hAnsi="宋体" w:eastAsia="宋体" w:cs="宋体"/>
                <w:b/>
                <w:sz w:val="24"/>
              </w:rPr>
              <w:t>服务时间</w:t>
            </w:r>
          </w:p>
        </w:tc>
        <w:tc>
          <w:tcPr>
            <w:tcW w:w="1907" w:type="dxa"/>
            <w:vAlign w:val="center"/>
          </w:tcPr>
          <w:p w14:paraId="065C528D">
            <w:pPr>
              <w:spacing w:line="400" w:lineRule="exact"/>
              <w:ind w:firstLine="120" w:firstLineChars="50"/>
              <w:jc w:val="center"/>
              <w:rPr>
                <w:rFonts w:hint="eastAsia" w:ascii="宋体" w:hAnsi="宋体" w:eastAsia="宋体" w:cs="宋体"/>
                <w:b/>
                <w:sz w:val="24"/>
              </w:rPr>
            </w:pPr>
            <w:r>
              <w:rPr>
                <w:rFonts w:hint="eastAsia" w:ascii="宋体" w:hAnsi="宋体" w:eastAsia="宋体" w:cs="宋体"/>
                <w:b/>
                <w:sz w:val="24"/>
              </w:rPr>
              <w:t>合同金额</w:t>
            </w:r>
          </w:p>
        </w:tc>
        <w:tc>
          <w:tcPr>
            <w:tcW w:w="1501" w:type="dxa"/>
            <w:tcBorders>
              <w:left w:val="single" w:color="auto" w:sz="4" w:space="0"/>
            </w:tcBorders>
            <w:vAlign w:val="center"/>
          </w:tcPr>
          <w:p w14:paraId="46C1F90A">
            <w:pPr>
              <w:spacing w:line="400" w:lineRule="exact"/>
              <w:jc w:val="center"/>
              <w:rPr>
                <w:rFonts w:hint="eastAsia" w:ascii="宋体" w:hAnsi="宋体" w:eastAsia="宋体" w:cs="宋体"/>
                <w:b/>
                <w:sz w:val="24"/>
              </w:rPr>
            </w:pPr>
            <w:r>
              <w:rPr>
                <w:rFonts w:hint="eastAsia" w:ascii="宋体" w:hAnsi="宋体" w:eastAsia="宋体" w:cs="宋体"/>
                <w:b/>
                <w:sz w:val="24"/>
              </w:rPr>
              <w:t>备注</w:t>
            </w:r>
          </w:p>
        </w:tc>
      </w:tr>
      <w:tr w14:paraId="3017E1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08" w:hRule="atLeast"/>
          <w:jc w:val="center"/>
        </w:trPr>
        <w:tc>
          <w:tcPr>
            <w:tcW w:w="953" w:type="dxa"/>
            <w:vAlign w:val="center"/>
          </w:tcPr>
          <w:p w14:paraId="2253F8A0">
            <w:pPr>
              <w:spacing w:line="400" w:lineRule="exact"/>
              <w:ind w:firstLine="480"/>
              <w:jc w:val="center"/>
              <w:rPr>
                <w:rFonts w:hint="eastAsia" w:ascii="宋体" w:hAnsi="宋体" w:eastAsia="宋体" w:cs="宋体"/>
                <w:sz w:val="24"/>
              </w:rPr>
            </w:pPr>
          </w:p>
        </w:tc>
        <w:tc>
          <w:tcPr>
            <w:tcW w:w="1907" w:type="dxa"/>
            <w:vAlign w:val="center"/>
          </w:tcPr>
          <w:p w14:paraId="5138C80A">
            <w:pPr>
              <w:spacing w:line="400" w:lineRule="exact"/>
              <w:ind w:firstLine="480"/>
              <w:jc w:val="center"/>
              <w:rPr>
                <w:rFonts w:hint="eastAsia" w:ascii="宋体" w:hAnsi="宋体" w:eastAsia="宋体" w:cs="宋体"/>
                <w:sz w:val="24"/>
              </w:rPr>
            </w:pPr>
          </w:p>
        </w:tc>
        <w:tc>
          <w:tcPr>
            <w:tcW w:w="1748" w:type="dxa"/>
            <w:vAlign w:val="center"/>
          </w:tcPr>
          <w:p w14:paraId="2050F99F">
            <w:pPr>
              <w:spacing w:line="400" w:lineRule="exact"/>
              <w:ind w:firstLine="480"/>
              <w:jc w:val="center"/>
              <w:rPr>
                <w:rFonts w:hint="eastAsia" w:ascii="宋体" w:hAnsi="宋体" w:eastAsia="宋体" w:cs="宋体"/>
                <w:sz w:val="24"/>
              </w:rPr>
            </w:pPr>
          </w:p>
        </w:tc>
        <w:tc>
          <w:tcPr>
            <w:tcW w:w="1622" w:type="dxa"/>
            <w:vAlign w:val="center"/>
          </w:tcPr>
          <w:p w14:paraId="71A9ED55">
            <w:pPr>
              <w:spacing w:line="400" w:lineRule="exact"/>
              <w:ind w:firstLine="480"/>
              <w:jc w:val="center"/>
              <w:rPr>
                <w:rFonts w:hint="eastAsia" w:ascii="宋体" w:hAnsi="宋体" w:eastAsia="宋体" w:cs="宋体"/>
                <w:sz w:val="24"/>
              </w:rPr>
            </w:pPr>
          </w:p>
        </w:tc>
        <w:tc>
          <w:tcPr>
            <w:tcW w:w="1907" w:type="dxa"/>
            <w:vAlign w:val="center"/>
          </w:tcPr>
          <w:p w14:paraId="61DF7A2E">
            <w:pPr>
              <w:spacing w:line="400" w:lineRule="exact"/>
              <w:ind w:firstLine="480"/>
              <w:jc w:val="center"/>
              <w:rPr>
                <w:rFonts w:hint="eastAsia" w:ascii="宋体" w:hAnsi="宋体" w:eastAsia="宋体" w:cs="宋体"/>
                <w:sz w:val="24"/>
              </w:rPr>
            </w:pPr>
          </w:p>
        </w:tc>
        <w:tc>
          <w:tcPr>
            <w:tcW w:w="1501" w:type="dxa"/>
            <w:tcBorders>
              <w:left w:val="single" w:color="auto" w:sz="4" w:space="0"/>
            </w:tcBorders>
            <w:vAlign w:val="center"/>
          </w:tcPr>
          <w:p w14:paraId="7D918522">
            <w:pPr>
              <w:spacing w:line="400" w:lineRule="exact"/>
              <w:ind w:firstLine="480"/>
              <w:jc w:val="center"/>
              <w:rPr>
                <w:rFonts w:hint="eastAsia" w:ascii="宋体" w:hAnsi="宋体" w:eastAsia="宋体" w:cs="宋体"/>
                <w:sz w:val="24"/>
              </w:rPr>
            </w:pPr>
          </w:p>
        </w:tc>
      </w:tr>
      <w:tr w14:paraId="53C0A2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08" w:hRule="atLeast"/>
          <w:jc w:val="center"/>
        </w:trPr>
        <w:tc>
          <w:tcPr>
            <w:tcW w:w="953" w:type="dxa"/>
            <w:vAlign w:val="center"/>
          </w:tcPr>
          <w:p w14:paraId="3FE3403D">
            <w:pPr>
              <w:spacing w:line="400" w:lineRule="exact"/>
              <w:ind w:firstLine="480"/>
              <w:jc w:val="center"/>
              <w:rPr>
                <w:rFonts w:hint="eastAsia" w:ascii="宋体" w:hAnsi="宋体" w:eastAsia="宋体" w:cs="宋体"/>
                <w:sz w:val="24"/>
              </w:rPr>
            </w:pPr>
          </w:p>
        </w:tc>
        <w:tc>
          <w:tcPr>
            <w:tcW w:w="1907" w:type="dxa"/>
            <w:vAlign w:val="center"/>
          </w:tcPr>
          <w:p w14:paraId="03E0317C">
            <w:pPr>
              <w:spacing w:line="400" w:lineRule="exact"/>
              <w:ind w:firstLine="480"/>
              <w:jc w:val="center"/>
              <w:rPr>
                <w:rFonts w:hint="eastAsia" w:ascii="宋体" w:hAnsi="宋体" w:eastAsia="宋体" w:cs="宋体"/>
                <w:sz w:val="24"/>
              </w:rPr>
            </w:pPr>
          </w:p>
        </w:tc>
        <w:tc>
          <w:tcPr>
            <w:tcW w:w="1748" w:type="dxa"/>
            <w:vAlign w:val="center"/>
          </w:tcPr>
          <w:p w14:paraId="71AB1BEB">
            <w:pPr>
              <w:spacing w:line="400" w:lineRule="exact"/>
              <w:ind w:firstLine="480"/>
              <w:jc w:val="center"/>
              <w:rPr>
                <w:rFonts w:hint="eastAsia" w:ascii="宋体" w:hAnsi="宋体" w:eastAsia="宋体" w:cs="宋体"/>
                <w:sz w:val="24"/>
              </w:rPr>
            </w:pPr>
          </w:p>
        </w:tc>
        <w:tc>
          <w:tcPr>
            <w:tcW w:w="1622" w:type="dxa"/>
            <w:vAlign w:val="center"/>
          </w:tcPr>
          <w:p w14:paraId="47D8FF1D">
            <w:pPr>
              <w:spacing w:line="400" w:lineRule="exact"/>
              <w:ind w:firstLine="480"/>
              <w:jc w:val="center"/>
              <w:rPr>
                <w:rFonts w:hint="eastAsia" w:ascii="宋体" w:hAnsi="宋体" w:eastAsia="宋体" w:cs="宋体"/>
                <w:sz w:val="24"/>
              </w:rPr>
            </w:pPr>
          </w:p>
        </w:tc>
        <w:tc>
          <w:tcPr>
            <w:tcW w:w="1907" w:type="dxa"/>
            <w:vAlign w:val="center"/>
          </w:tcPr>
          <w:p w14:paraId="01D1DDA8">
            <w:pPr>
              <w:spacing w:line="400" w:lineRule="exact"/>
              <w:ind w:firstLine="480"/>
              <w:jc w:val="center"/>
              <w:rPr>
                <w:rFonts w:hint="eastAsia" w:ascii="宋体" w:hAnsi="宋体" w:eastAsia="宋体" w:cs="宋体"/>
                <w:sz w:val="24"/>
              </w:rPr>
            </w:pPr>
          </w:p>
        </w:tc>
        <w:tc>
          <w:tcPr>
            <w:tcW w:w="1501" w:type="dxa"/>
            <w:tcBorders>
              <w:left w:val="single" w:color="auto" w:sz="4" w:space="0"/>
            </w:tcBorders>
            <w:vAlign w:val="center"/>
          </w:tcPr>
          <w:p w14:paraId="71BD54B0">
            <w:pPr>
              <w:spacing w:line="400" w:lineRule="exact"/>
              <w:ind w:firstLine="480"/>
              <w:jc w:val="center"/>
              <w:rPr>
                <w:rFonts w:hint="eastAsia" w:ascii="宋体" w:hAnsi="宋体" w:eastAsia="宋体" w:cs="宋体"/>
                <w:sz w:val="24"/>
              </w:rPr>
            </w:pPr>
          </w:p>
        </w:tc>
      </w:tr>
      <w:tr w14:paraId="01F779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28" w:hRule="atLeast"/>
          <w:jc w:val="center"/>
        </w:trPr>
        <w:tc>
          <w:tcPr>
            <w:tcW w:w="953" w:type="dxa"/>
            <w:vAlign w:val="center"/>
          </w:tcPr>
          <w:p w14:paraId="6B0FD273">
            <w:pPr>
              <w:spacing w:line="400" w:lineRule="exact"/>
              <w:ind w:firstLine="480"/>
              <w:jc w:val="center"/>
              <w:rPr>
                <w:rFonts w:hint="eastAsia" w:ascii="宋体" w:hAnsi="宋体" w:eastAsia="宋体" w:cs="宋体"/>
                <w:sz w:val="24"/>
              </w:rPr>
            </w:pPr>
          </w:p>
        </w:tc>
        <w:tc>
          <w:tcPr>
            <w:tcW w:w="1907" w:type="dxa"/>
            <w:vAlign w:val="center"/>
          </w:tcPr>
          <w:p w14:paraId="43496A8B">
            <w:pPr>
              <w:spacing w:line="400" w:lineRule="exact"/>
              <w:ind w:firstLine="480"/>
              <w:jc w:val="center"/>
              <w:rPr>
                <w:rFonts w:hint="eastAsia" w:ascii="宋体" w:hAnsi="宋体" w:eastAsia="宋体" w:cs="宋体"/>
                <w:sz w:val="24"/>
              </w:rPr>
            </w:pPr>
          </w:p>
        </w:tc>
        <w:tc>
          <w:tcPr>
            <w:tcW w:w="1748" w:type="dxa"/>
            <w:vAlign w:val="center"/>
          </w:tcPr>
          <w:p w14:paraId="0B795689">
            <w:pPr>
              <w:spacing w:line="400" w:lineRule="exact"/>
              <w:ind w:firstLine="480"/>
              <w:jc w:val="center"/>
              <w:rPr>
                <w:rFonts w:hint="eastAsia" w:ascii="宋体" w:hAnsi="宋体" w:eastAsia="宋体" w:cs="宋体"/>
                <w:sz w:val="24"/>
              </w:rPr>
            </w:pPr>
          </w:p>
        </w:tc>
        <w:tc>
          <w:tcPr>
            <w:tcW w:w="1622" w:type="dxa"/>
            <w:vAlign w:val="center"/>
          </w:tcPr>
          <w:p w14:paraId="1FB76587">
            <w:pPr>
              <w:spacing w:line="400" w:lineRule="exact"/>
              <w:ind w:firstLine="480"/>
              <w:jc w:val="center"/>
              <w:rPr>
                <w:rFonts w:hint="eastAsia" w:ascii="宋体" w:hAnsi="宋体" w:eastAsia="宋体" w:cs="宋体"/>
                <w:sz w:val="24"/>
              </w:rPr>
            </w:pPr>
          </w:p>
        </w:tc>
        <w:tc>
          <w:tcPr>
            <w:tcW w:w="1907" w:type="dxa"/>
            <w:vAlign w:val="center"/>
          </w:tcPr>
          <w:p w14:paraId="1037423B">
            <w:pPr>
              <w:spacing w:line="400" w:lineRule="exact"/>
              <w:ind w:firstLine="480"/>
              <w:jc w:val="center"/>
              <w:rPr>
                <w:rFonts w:hint="eastAsia" w:ascii="宋体" w:hAnsi="宋体" w:eastAsia="宋体" w:cs="宋体"/>
                <w:sz w:val="24"/>
              </w:rPr>
            </w:pPr>
          </w:p>
        </w:tc>
        <w:tc>
          <w:tcPr>
            <w:tcW w:w="1501" w:type="dxa"/>
            <w:tcBorders>
              <w:left w:val="single" w:color="auto" w:sz="4" w:space="0"/>
            </w:tcBorders>
            <w:vAlign w:val="center"/>
          </w:tcPr>
          <w:p w14:paraId="12F7E49C">
            <w:pPr>
              <w:spacing w:line="400" w:lineRule="exact"/>
              <w:ind w:firstLine="480"/>
              <w:jc w:val="center"/>
              <w:rPr>
                <w:rFonts w:hint="eastAsia" w:ascii="宋体" w:hAnsi="宋体" w:eastAsia="宋体" w:cs="宋体"/>
                <w:sz w:val="24"/>
              </w:rPr>
            </w:pPr>
          </w:p>
        </w:tc>
      </w:tr>
    </w:tbl>
    <w:p w14:paraId="10C2FFAA">
      <w:pPr>
        <w:spacing w:line="500" w:lineRule="exact"/>
        <w:jc w:val="both"/>
        <w:rPr>
          <w:rFonts w:hint="eastAsia" w:ascii="宋体" w:hAnsi="宋体" w:eastAsia="宋体" w:cs="宋体"/>
          <w:b/>
          <w:kern w:val="0"/>
          <w:sz w:val="36"/>
          <w:lang w:eastAsia="zh-CN"/>
        </w:rPr>
      </w:pPr>
      <w:r>
        <w:rPr>
          <w:rFonts w:hint="eastAsia" w:ascii="宋体" w:hAnsi="宋体" w:eastAsia="宋体" w:cs="宋体"/>
          <w:sz w:val="24"/>
        </w:rPr>
        <w:t>注：</w:t>
      </w:r>
      <w:r>
        <w:rPr>
          <w:rFonts w:hint="eastAsia" w:ascii="宋体" w:hAnsi="宋体" w:eastAsia="宋体" w:cs="宋体"/>
          <w:sz w:val="24"/>
          <w:lang w:eastAsia="zh-CN"/>
        </w:rPr>
        <w:t>须提供类似业绩项目的中标通知书扫描件或采购合同关键页 （封面、内容页、签字页等） 扫描件，材料不明确、无法体现业绩内容的不得分。</w:t>
      </w:r>
    </w:p>
    <w:p w14:paraId="24A4E53D">
      <w:pPr>
        <w:widowControl/>
        <w:jc w:val="left"/>
        <w:rPr>
          <w:rFonts w:hint="eastAsia" w:ascii="宋体" w:hAnsi="宋体" w:eastAsia="宋体" w:cs="宋体"/>
          <w:b/>
          <w:kern w:val="0"/>
          <w:sz w:val="36"/>
        </w:rPr>
      </w:pPr>
      <w:r>
        <w:rPr>
          <w:rFonts w:hint="eastAsia" w:ascii="宋体" w:hAnsi="宋体" w:eastAsia="宋体" w:cs="宋体"/>
          <w:b/>
          <w:kern w:val="0"/>
          <w:sz w:val="36"/>
        </w:rPr>
        <w:br w:type="page"/>
      </w:r>
    </w:p>
    <w:p w14:paraId="0DF508F2">
      <w:pPr>
        <w:spacing w:line="500" w:lineRule="exact"/>
        <w:jc w:val="center"/>
        <w:outlineLvl w:val="2"/>
        <w:rPr>
          <w:rFonts w:hint="eastAsia" w:ascii="宋体" w:hAnsi="宋体" w:eastAsia="宋体" w:cs="宋体"/>
          <w:sz w:val="24"/>
        </w:rPr>
      </w:pPr>
      <w:bookmarkStart w:id="176" w:name="_Toc26623"/>
      <w:bookmarkStart w:id="177" w:name="_Toc8635"/>
      <w:bookmarkStart w:id="178" w:name="_Toc12269"/>
      <w:bookmarkStart w:id="179" w:name="_Toc13144"/>
      <w:r>
        <w:rPr>
          <w:rFonts w:hint="eastAsia" w:ascii="宋体" w:hAnsi="宋体" w:eastAsia="宋体" w:cs="宋体"/>
          <w:b/>
          <w:kern w:val="0"/>
          <w:sz w:val="36"/>
          <w:lang w:val="en-US" w:eastAsia="zh-CN"/>
        </w:rPr>
        <w:t>八、技术</w:t>
      </w:r>
      <w:r>
        <w:rPr>
          <w:rFonts w:hint="eastAsia" w:ascii="宋体" w:hAnsi="宋体" w:eastAsia="宋体" w:cs="宋体"/>
          <w:b/>
          <w:kern w:val="0"/>
          <w:sz w:val="36"/>
        </w:rPr>
        <w:t>方案</w:t>
      </w:r>
      <w:bookmarkEnd w:id="176"/>
      <w:bookmarkEnd w:id="177"/>
    </w:p>
    <w:p w14:paraId="12B1970B">
      <w:pPr>
        <w:spacing w:line="500" w:lineRule="exact"/>
        <w:rPr>
          <w:rFonts w:hint="eastAsia" w:ascii="宋体" w:hAnsi="宋体" w:eastAsia="宋体" w:cs="宋体"/>
          <w:color w:val="FF0000"/>
          <w:sz w:val="24"/>
          <w:highlight w:val="yellow"/>
        </w:rPr>
      </w:pPr>
    </w:p>
    <w:p w14:paraId="1F8B1D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方案必须包括但不限于以下内容：</w:t>
      </w:r>
    </w:p>
    <w:p w14:paraId="54F3D7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1.总体服务方案</w:t>
      </w:r>
    </w:p>
    <w:p w14:paraId="7F60DD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2.设施设备运行保障措施</w:t>
      </w:r>
    </w:p>
    <w:p w14:paraId="58863F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3.维修维护方案</w:t>
      </w:r>
    </w:p>
    <w:p w14:paraId="170AD1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4.备品备件库</w:t>
      </w:r>
    </w:p>
    <w:p w14:paraId="4419FC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5.应急保障能力方案</w:t>
      </w:r>
    </w:p>
    <w:p w14:paraId="4B42E815">
      <w:pPr>
        <w:rPr>
          <w:rFonts w:hint="eastAsia" w:ascii="宋体" w:hAnsi="宋体" w:eastAsia="宋体" w:cs="宋体"/>
          <w:color w:val="FF0000"/>
          <w:spacing w:val="0"/>
          <w:sz w:val="44"/>
          <w:szCs w:val="44"/>
          <w:lang w:eastAsia="zh-CN"/>
        </w:rPr>
      </w:pPr>
      <w:r>
        <w:rPr>
          <w:rFonts w:hint="eastAsia" w:ascii="宋体" w:hAnsi="宋体" w:eastAsia="宋体" w:cs="宋体"/>
          <w:color w:val="FF0000"/>
          <w:spacing w:val="0"/>
          <w:sz w:val="44"/>
          <w:szCs w:val="44"/>
          <w:lang w:eastAsia="zh-CN"/>
        </w:rPr>
        <w:br w:type="page"/>
      </w:r>
    </w:p>
    <w:p w14:paraId="4B24DABA">
      <w:pPr>
        <w:spacing w:line="700" w:lineRule="exact"/>
        <w:rPr>
          <w:rFonts w:hint="eastAsia" w:ascii="宋体" w:hAnsi="宋体" w:eastAsia="宋体" w:cs="宋体"/>
          <w:b/>
          <w:bCs/>
          <w:color w:val="auto"/>
          <w:sz w:val="30"/>
          <w:u w:val="single"/>
        </w:rPr>
        <w:sectPr>
          <w:pgSz w:w="11906" w:h="16838"/>
          <w:pgMar w:top="1440" w:right="1080" w:bottom="1440" w:left="1080" w:header="851" w:footer="851" w:gutter="0"/>
          <w:pgNumType w:fmt="decimal"/>
          <w:cols w:space="708" w:num="1"/>
          <w:docGrid w:linePitch="312" w:charSpace="0"/>
        </w:sectPr>
      </w:pPr>
    </w:p>
    <w:bookmarkEnd w:id="155"/>
    <w:bookmarkEnd w:id="178"/>
    <w:bookmarkEnd w:id="179"/>
    <w:p w14:paraId="34D53422">
      <w:pPr>
        <w:spacing w:line="500" w:lineRule="exact"/>
        <w:ind w:firstLine="723" w:firstLineChars="200"/>
        <w:jc w:val="center"/>
        <w:outlineLvl w:val="2"/>
        <w:rPr>
          <w:rFonts w:hint="eastAsia" w:ascii="宋体" w:hAnsi="宋体" w:eastAsia="宋体" w:cs="宋体"/>
          <w:b/>
          <w:kern w:val="0"/>
          <w:sz w:val="36"/>
          <w:lang w:eastAsia="zh-CN"/>
        </w:rPr>
      </w:pPr>
      <w:bookmarkStart w:id="180" w:name="_Toc18943"/>
      <w:bookmarkStart w:id="181" w:name="_Toc19833"/>
      <w:bookmarkStart w:id="182" w:name="_Toc20929"/>
      <w:r>
        <w:rPr>
          <w:rFonts w:hint="eastAsia" w:ascii="宋体" w:hAnsi="宋体" w:cs="宋体"/>
          <w:b/>
          <w:kern w:val="0"/>
          <w:sz w:val="36"/>
          <w:lang w:val="en-US" w:eastAsia="zh-CN"/>
        </w:rPr>
        <w:t>九</w:t>
      </w:r>
      <w:r>
        <w:rPr>
          <w:rFonts w:hint="eastAsia" w:ascii="宋体" w:hAnsi="宋体" w:eastAsia="宋体" w:cs="宋体"/>
          <w:b/>
          <w:kern w:val="0"/>
          <w:sz w:val="36"/>
          <w:lang w:val="en-US" w:eastAsia="zh-CN"/>
        </w:rPr>
        <w:t>、</w:t>
      </w:r>
      <w:r>
        <w:rPr>
          <w:rFonts w:hint="eastAsia" w:ascii="宋体" w:hAnsi="宋体" w:eastAsia="宋体" w:cs="宋体"/>
          <w:b/>
          <w:kern w:val="0"/>
          <w:sz w:val="36"/>
        </w:rPr>
        <w:t>构成</w:t>
      </w:r>
      <w:r>
        <w:rPr>
          <w:rFonts w:hint="eastAsia" w:ascii="宋体" w:hAnsi="宋体" w:eastAsia="宋体" w:cs="宋体"/>
          <w:b/>
          <w:kern w:val="0"/>
          <w:sz w:val="36"/>
          <w:lang w:eastAsia="zh-CN"/>
        </w:rPr>
        <w:t>响应文件</w:t>
      </w:r>
      <w:r>
        <w:rPr>
          <w:rFonts w:hint="eastAsia" w:ascii="宋体" w:hAnsi="宋体" w:eastAsia="宋体" w:cs="宋体"/>
          <w:b/>
          <w:kern w:val="0"/>
          <w:sz w:val="36"/>
        </w:rPr>
        <w:t>的其他资料</w:t>
      </w:r>
      <w:bookmarkEnd w:id="180"/>
      <w:bookmarkEnd w:id="181"/>
    </w:p>
    <w:p w14:paraId="51EE7927">
      <w:pPr>
        <w:jc w:val="left"/>
        <w:rPr>
          <w:rFonts w:hint="eastAsia" w:ascii="宋体" w:hAnsi="宋体" w:eastAsia="宋体" w:cs="宋体"/>
          <w:b w:val="0"/>
          <w:bCs/>
          <w:sz w:val="28"/>
          <w:szCs w:val="28"/>
        </w:rPr>
      </w:pPr>
    </w:p>
    <w:p w14:paraId="642EE8CC">
      <w:pPr>
        <w:jc w:val="center"/>
        <w:rPr>
          <w:rFonts w:hint="eastAsia" w:ascii="宋体" w:hAnsi="宋体" w:eastAsia="宋体" w:cs="宋体"/>
          <w:b w:val="0"/>
          <w:bCs/>
          <w:sz w:val="30"/>
          <w:szCs w:val="32"/>
          <w:lang w:eastAsia="zh-CN"/>
        </w:rPr>
      </w:pPr>
      <w:r>
        <w:rPr>
          <w:rFonts w:hint="eastAsia" w:ascii="宋体" w:hAnsi="宋体" w:eastAsia="宋体" w:cs="宋体"/>
          <w:b w:val="0"/>
          <w:bCs/>
          <w:sz w:val="30"/>
          <w:szCs w:val="32"/>
          <w:lang w:eastAsia="zh-CN"/>
        </w:rPr>
        <w:t>（</w:t>
      </w:r>
      <w:r>
        <w:rPr>
          <w:rFonts w:hint="eastAsia" w:ascii="宋体" w:hAnsi="宋体" w:eastAsia="宋体" w:cs="宋体"/>
          <w:b w:val="0"/>
          <w:bCs/>
          <w:sz w:val="30"/>
          <w:szCs w:val="32"/>
          <w:lang w:val="en-US" w:eastAsia="zh-CN"/>
        </w:rPr>
        <w:t>格式自拟</w:t>
      </w:r>
      <w:r>
        <w:rPr>
          <w:rFonts w:hint="eastAsia" w:ascii="宋体" w:hAnsi="宋体" w:eastAsia="宋体" w:cs="宋体"/>
          <w:b w:val="0"/>
          <w:bCs/>
          <w:sz w:val="30"/>
          <w:szCs w:val="32"/>
          <w:lang w:eastAsia="zh-CN"/>
        </w:rPr>
        <w:t>）</w:t>
      </w:r>
    </w:p>
    <w:p w14:paraId="075CB428">
      <w:pPr>
        <w:rPr>
          <w:rFonts w:hint="eastAsia" w:ascii="宋体" w:hAnsi="宋体" w:eastAsia="宋体" w:cs="宋体"/>
          <w:b/>
          <w:bCs/>
          <w:sz w:val="30"/>
          <w:szCs w:val="32"/>
        </w:rPr>
      </w:pPr>
      <w:r>
        <w:rPr>
          <w:rFonts w:hint="eastAsia" w:ascii="宋体" w:hAnsi="宋体" w:eastAsia="宋体" w:cs="宋体"/>
          <w:b/>
          <w:bCs/>
          <w:sz w:val="30"/>
          <w:szCs w:val="32"/>
        </w:rPr>
        <w:br w:type="page"/>
      </w:r>
    </w:p>
    <w:p w14:paraId="5DFC4BC7">
      <w:pPr>
        <w:widowControl/>
        <w:spacing w:after="240" w:line="360" w:lineRule="atLeast"/>
        <w:ind w:firstLine="480"/>
        <w:jc w:val="left"/>
        <w:rPr>
          <w:rFonts w:hint="eastAsia" w:ascii="宋体" w:hAnsi="宋体" w:eastAsia="宋体" w:cs="宋体"/>
          <w:b/>
          <w:bCs/>
          <w:sz w:val="30"/>
          <w:szCs w:val="32"/>
          <w:lang w:val="en-US" w:eastAsia="zh-CN"/>
        </w:rPr>
        <w:sectPr>
          <w:pgSz w:w="11906" w:h="16838"/>
          <w:pgMar w:top="1440" w:right="1080" w:bottom="1440" w:left="1080" w:header="851" w:footer="851" w:gutter="0"/>
          <w:pgNumType w:fmt="decimal"/>
          <w:cols w:space="708" w:num="1"/>
          <w:docGrid w:linePitch="312" w:charSpace="0"/>
        </w:sectPr>
      </w:pPr>
    </w:p>
    <w:p w14:paraId="66F56ED9">
      <w:pPr>
        <w:pStyle w:val="3"/>
        <w:pageBreakBefore w:val="0"/>
        <w:widowControl w:val="0"/>
        <w:numPr>
          <w:ilvl w:val="0"/>
          <w:numId w:val="4"/>
        </w:numPr>
        <w:kinsoku/>
        <w:wordWrap/>
        <w:overflowPunct/>
        <w:topLinePunct w:val="0"/>
        <w:autoSpaceDE/>
        <w:autoSpaceDN/>
        <w:bidi w:val="0"/>
        <w:adjustRightInd/>
        <w:snapToGrid/>
        <w:spacing w:line="360" w:lineRule="auto"/>
        <w:ind w:firstLine="963" w:firstLineChars="200"/>
        <w:jc w:val="center"/>
        <w:textAlignment w:val="auto"/>
        <w:outlineLvl w:val="0"/>
        <w:rPr>
          <w:rFonts w:hint="eastAsia" w:ascii="宋体" w:hAnsi="宋体" w:eastAsia="宋体" w:cs="宋体"/>
          <w:color w:val="auto"/>
          <w:sz w:val="44"/>
          <w:szCs w:val="44"/>
          <w:lang w:val="en-US" w:eastAsia="zh-CN"/>
        </w:rPr>
      </w:pPr>
      <w:bookmarkStart w:id="183" w:name="_Toc18091"/>
      <w:r>
        <w:rPr>
          <w:rFonts w:hint="eastAsia" w:ascii="宋体" w:hAnsi="宋体" w:eastAsia="宋体" w:cs="宋体"/>
          <w:color w:val="auto"/>
          <w:sz w:val="44"/>
          <w:szCs w:val="44"/>
          <w:lang w:val="en-US" w:eastAsia="zh-CN"/>
        </w:rPr>
        <w:t>采购</w:t>
      </w:r>
      <w:bookmarkEnd w:id="149"/>
      <w:bookmarkEnd w:id="150"/>
      <w:r>
        <w:rPr>
          <w:rFonts w:hint="eastAsia" w:ascii="宋体" w:hAnsi="宋体" w:cs="宋体"/>
          <w:color w:val="auto"/>
          <w:sz w:val="44"/>
          <w:szCs w:val="44"/>
          <w:lang w:val="en-US" w:eastAsia="zh-CN"/>
        </w:rPr>
        <w:t>需</w:t>
      </w:r>
      <w:r>
        <w:rPr>
          <w:rFonts w:hint="eastAsia" w:ascii="宋体" w:hAnsi="宋体" w:eastAsia="宋体" w:cs="宋体"/>
          <w:color w:val="auto"/>
          <w:sz w:val="44"/>
          <w:szCs w:val="44"/>
          <w:lang w:val="en-US" w:eastAsia="zh-CN"/>
        </w:rPr>
        <w:t>求</w:t>
      </w:r>
      <w:bookmarkEnd w:id="182"/>
      <w:bookmarkEnd w:id="183"/>
    </w:p>
    <w:p w14:paraId="014269AB">
      <w:pPr>
        <w:keepNext/>
        <w:keepLines/>
        <w:pageBreakBefore w:val="0"/>
        <w:widowControl w:val="0"/>
        <w:numPr>
          <w:ilvl w:val="0"/>
          <w:numId w:val="5"/>
        </w:numPr>
        <w:kinsoku/>
        <w:wordWrap/>
        <w:overflowPunct/>
        <w:topLinePunct w:val="0"/>
        <w:autoSpaceDE/>
        <w:autoSpaceDN/>
        <w:bidi w:val="0"/>
        <w:adjustRightInd/>
        <w:spacing w:line="416" w:lineRule="auto"/>
        <w:ind w:left="420" w:leftChars="200" w:right="0" w:rightChars="0" w:firstLine="0" w:firstLineChars="0"/>
        <w:jc w:val="both"/>
        <w:textAlignment w:val="auto"/>
        <w:outlineLvl w:val="1"/>
        <w:rPr>
          <w:rFonts w:ascii="宋体" w:hAnsi="宋体" w:eastAsia="宋体" w:cs="Times New Roman"/>
          <w:b/>
          <w:bCs/>
          <w:color w:val="auto"/>
          <w:kern w:val="2"/>
          <w:sz w:val="28"/>
          <w:szCs w:val="32"/>
          <w:lang w:val="en-US" w:eastAsia="zh-CN" w:bidi="ar-SA"/>
        </w:rPr>
      </w:pPr>
      <w:bookmarkStart w:id="184" w:name="_Toc19887"/>
      <w:bookmarkStart w:id="185" w:name="_Toc486238936"/>
      <w:bookmarkStart w:id="186" w:name="_Toc469927656"/>
      <w:bookmarkStart w:id="187" w:name="_Toc24320"/>
      <w:bookmarkStart w:id="188" w:name="_Toc28003"/>
      <w:r>
        <w:rPr>
          <w:rFonts w:hint="eastAsia" w:ascii="宋体" w:hAnsi="宋体" w:eastAsia="宋体" w:cs="Times New Roman"/>
          <w:b/>
          <w:bCs/>
          <w:color w:val="auto"/>
          <w:kern w:val="2"/>
          <w:sz w:val="28"/>
          <w:szCs w:val="32"/>
          <w:lang w:val="en-US" w:eastAsia="zh-CN" w:bidi="ar-SA"/>
        </w:rPr>
        <w:t>采购需求应当完整、明确，包括以下内容：</w:t>
      </w:r>
      <w:bookmarkEnd w:id="184"/>
    </w:p>
    <w:p w14:paraId="68BDB602">
      <w:pPr>
        <w:keepNext/>
        <w:keepLines/>
        <w:pageBreakBefore w:val="0"/>
        <w:widowControl w:val="0"/>
        <w:numPr>
          <w:ilvl w:val="0"/>
          <w:numId w:val="6"/>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189" w:name="_Toc26944"/>
      <w:r>
        <w:rPr>
          <w:rFonts w:hint="eastAsia" w:ascii="黑体" w:hAnsi="宋体" w:eastAsia="宋体" w:cs="Times New Roman"/>
          <w:b/>
          <w:snapToGrid w:val="0"/>
          <w:color w:val="auto"/>
          <w:kern w:val="0"/>
          <w:sz w:val="24"/>
          <w:szCs w:val="20"/>
          <w:lang w:val="en-US" w:eastAsia="zh-CN" w:bidi="ar-SA"/>
        </w:rPr>
        <w:t>采购标的需实现的功能或者目标，以及为落实政府采购政策需满足的要求：</w:t>
      </w:r>
      <w:bookmarkEnd w:id="189"/>
    </w:p>
    <w:p w14:paraId="1023C76C">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为</w:t>
      </w:r>
      <w:r>
        <w:rPr>
          <w:rFonts w:hint="eastAsia" w:ascii="宋体" w:hAnsi="宋体" w:eastAsia="宋体" w:cs="宋体"/>
          <w:color w:val="auto"/>
          <w:sz w:val="24"/>
          <w:szCs w:val="24"/>
          <w:lang w:eastAsia="zh-CN"/>
        </w:rPr>
        <w:t>做好</w:t>
      </w:r>
      <w:r>
        <w:rPr>
          <w:rFonts w:hint="eastAsia" w:ascii="宋体" w:hAnsi="宋体" w:eastAsia="宋体" w:cs="宋体"/>
          <w:b w:val="0"/>
          <w:bCs/>
          <w:color w:val="auto"/>
          <w:sz w:val="24"/>
          <w:szCs w:val="24"/>
          <w:lang w:val="en-US" w:eastAsia="zh-CN"/>
        </w:rPr>
        <w:t>临沧市2026年度无线电监测设施设备运行保障及监测设备专业维修维护工作</w:t>
      </w:r>
      <w:r>
        <w:rPr>
          <w:rFonts w:hint="eastAsia" w:ascii="宋体" w:hAnsi="宋体" w:eastAsia="宋体" w:cs="宋体"/>
          <w:color w:val="auto"/>
          <w:sz w:val="24"/>
          <w:szCs w:val="24"/>
        </w:rPr>
        <w:t>，保证无线电监测网正常运行，现</w:t>
      </w:r>
      <w:r>
        <w:rPr>
          <w:rFonts w:hint="eastAsia" w:ascii="宋体" w:hAnsi="宋体" w:cs="宋体"/>
          <w:color w:val="auto"/>
          <w:sz w:val="24"/>
          <w:szCs w:val="24"/>
          <w:lang w:eastAsia="zh-CN"/>
        </w:rPr>
        <w:t>需</w:t>
      </w:r>
      <w:r>
        <w:rPr>
          <w:rFonts w:hint="eastAsia" w:ascii="宋体" w:hAnsi="宋体" w:eastAsia="宋体" w:cs="宋体"/>
          <w:color w:val="auto"/>
          <w:sz w:val="24"/>
          <w:szCs w:val="24"/>
        </w:rPr>
        <w:t>采购1家具备</w:t>
      </w:r>
      <w:r>
        <w:rPr>
          <w:rFonts w:hint="eastAsia" w:ascii="宋体" w:hAnsi="宋体" w:eastAsia="宋体" w:cs="宋体"/>
          <w:color w:val="auto"/>
          <w:sz w:val="24"/>
          <w:szCs w:val="24"/>
          <w:lang w:eastAsia="zh-CN"/>
        </w:rPr>
        <w:t>无线电监测</w:t>
      </w:r>
      <w:r>
        <w:rPr>
          <w:rFonts w:hint="eastAsia" w:ascii="宋体" w:hAnsi="宋体" w:eastAsia="宋体" w:cs="宋体"/>
          <w:b w:val="0"/>
          <w:bCs/>
          <w:color w:val="auto"/>
          <w:sz w:val="24"/>
          <w:szCs w:val="24"/>
          <w:lang w:val="en-US" w:eastAsia="zh-CN"/>
        </w:rPr>
        <w:t>设施设备专业维护维修技术服务</w:t>
      </w:r>
      <w:r>
        <w:rPr>
          <w:rFonts w:hint="eastAsia" w:ascii="宋体" w:hAnsi="宋体" w:eastAsia="宋体" w:cs="宋体"/>
          <w:color w:val="auto"/>
          <w:sz w:val="24"/>
          <w:szCs w:val="24"/>
        </w:rPr>
        <w:t>能力</w:t>
      </w:r>
      <w:r>
        <w:rPr>
          <w:rFonts w:hint="eastAsia" w:ascii="宋体" w:hAnsi="宋体" w:eastAsia="宋体" w:cs="宋体"/>
          <w:color w:val="auto"/>
          <w:sz w:val="24"/>
          <w:szCs w:val="24"/>
          <w:lang w:eastAsia="zh-CN"/>
        </w:rPr>
        <w:t>、网络设备维修维护服务能力和在用监测软件优化服务能力</w:t>
      </w:r>
      <w:r>
        <w:rPr>
          <w:rFonts w:hint="eastAsia" w:ascii="宋体" w:hAnsi="宋体" w:eastAsia="宋体" w:cs="宋体"/>
          <w:color w:val="auto"/>
          <w:sz w:val="24"/>
          <w:szCs w:val="24"/>
        </w:rPr>
        <w:t>的单位完成</w:t>
      </w:r>
      <w:r>
        <w:rPr>
          <w:rFonts w:hint="eastAsia" w:ascii="宋体" w:hAnsi="宋体" w:eastAsia="宋体" w:cs="宋体"/>
          <w:color w:val="auto"/>
          <w:sz w:val="24"/>
          <w:szCs w:val="24"/>
          <w:lang w:eastAsia="zh-CN"/>
        </w:rPr>
        <w:t>专业维修</w:t>
      </w:r>
      <w:r>
        <w:rPr>
          <w:rFonts w:hint="eastAsia" w:ascii="宋体" w:hAnsi="宋体" w:eastAsia="宋体" w:cs="宋体"/>
          <w:color w:val="auto"/>
          <w:sz w:val="24"/>
          <w:szCs w:val="24"/>
        </w:rPr>
        <w:t>维护</w:t>
      </w:r>
      <w:r>
        <w:rPr>
          <w:rFonts w:hint="eastAsia" w:ascii="宋体" w:hAnsi="宋体" w:eastAsia="宋体" w:cs="宋体"/>
          <w:color w:val="auto"/>
          <w:sz w:val="24"/>
          <w:szCs w:val="24"/>
          <w:lang w:eastAsia="zh-CN"/>
        </w:rPr>
        <w:t>工作</w:t>
      </w:r>
      <w:r>
        <w:rPr>
          <w:rFonts w:hint="eastAsia" w:ascii="宋体" w:hAnsi="宋体" w:eastAsia="宋体" w:cs="宋体"/>
          <w:color w:val="auto"/>
          <w:sz w:val="24"/>
          <w:szCs w:val="24"/>
        </w:rPr>
        <w:t>。</w:t>
      </w:r>
    </w:p>
    <w:p w14:paraId="027E101F">
      <w:pPr>
        <w:keepNext/>
        <w:keepLines/>
        <w:pageBreakBefore w:val="0"/>
        <w:widowControl w:val="0"/>
        <w:numPr>
          <w:ilvl w:val="0"/>
          <w:numId w:val="6"/>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190" w:name="_Toc19876"/>
      <w:r>
        <w:rPr>
          <w:rFonts w:hint="eastAsia" w:ascii="黑体" w:hAnsi="宋体" w:eastAsia="宋体" w:cs="Times New Roman"/>
          <w:b/>
          <w:snapToGrid w:val="0"/>
          <w:color w:val="auto"/>
          <w:kern w:val="0"/>
          <w:sz w:val="24"/>
          <w:szCs w:val="20"/>
          <w:lang w:val="en-US" w:eastAsia="zh-CN" w:bidi="ar-SA"/>
        </w:rPr>
        <w:t>采购标的需执行的国家相关标准、行业标准、地方标准或者其他标准、规范：</w:t>
      </w:r>
      <w:bookmarkEnd w:id="190"/>
    </w:p>
    <w:p w14:paraId="162BAEC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《政府采购促进中小企业发展暂行办法》（财库</w:t>
      </w:r>
      <w:r>
        <w:rPr>
          <w:rFonts w:hint="eastAsia" w:ascii="宋体" w:hAnsi="宋体" w:cs="Times New Roman"/>
          <w:color w:val="auto"/>
          <w:sz w:val="24"/>
          <w:szCs w:val="24"/>
          <w:lang w:eastAsia="zh-CN"/>
        </w:rPr>
        <w:t>〔2011〕181号</w:t>
      </w:r>
      <w:r>
        <w:rPr>
          <w:rFonts w:hint="eastAsia" w:ascii="宋体" w:hAnsi="宋体" w:eastAsia="宋体" w:cs="Times New Roman"/>
          <w:color w:val="auto"/>
          <w:sz w:val="24"/>
          <w:szCs w:val="24"/>
        </w:rPr>
        <w:t>）、《关于政府采购支持监狱企业发展有关问题的通知》</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财库</w:t>
      </w:r>
      <w:r>
        <w:rPr>
          <w:rFonts w:hint="eastAsia" w:ascii="宋体" w:hAnsi="宋体" w:cs="Times New Roman"/>
          <w:color w:val="auto"/>
          <w:sz w:val="24"/>
          <w:szCs w:val="24"/>
          <w:lang w:eastAsia="zh-CN"/>
        </w:rPr>
        <w:t>〔2014〕68号）</w:t>
      </w:r>
      <w:r>
        <w:rPr>
          <w:rFonts w:hint="eastAsia" w:ascii="宋体" w:hAnsi="宋体" w:eastAsia="宋体" w:cs="Times New Roman"/>
          <w:color w:val="auto"/>
          <w:sz w:val="24"/>
          <w:szCs w:val="24"/>
        </w:rPr>
        <w:t>、《关于促进残疾人就业政府采购政策的通知》（财库</w:t>
      </w:r>
      <w:r>
        <w:rPr>
          <w:rFonts w:hint="eastAsia" w:ascii="宋体" w:hAnsi="宋体" w:cs="Times New Roman"/>
          <w:color w:val="auto"/>
          <w:sz w:val="24"/>
          <w:szCs w:val="24"/>
          <w:lang w:eastAsia="zh-CN"/>
        </w:rPr>
        <w:t>〔2017〕141号</w:t>
      </w:r>
      <w:r>
        <w:rPr>
          <w:rFonts w:hint="eastAsia" w:ascii="宋体" w:hAnsi="宋体" w:eastAsia="宋体" w:cs="Times New Roman"/>
          <w:color w:val="auto"/>
          <w:sz w:val="24"/>
          <w:szCs w:val="24"/>
        </w:rPr>
        <w:t>）。</w:t>
      </w:r>
    </w:p>
    <w:p w14:paraId="7A2CEA44">
      <w:pPr>
        <w:keepNext/>
        <w:keepLines/>
        <w:pageBreakBefore w:val="0"/>
        <w:widowControl w:val="0"/>
        <w:numPr>
          <w:ilvl w:val="0"/>
          <w:numId w:val="6"/>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191" w:name="_Toc24671"/>
      <w:r>
        <w:rPr>
          <w:rFonts w:hint="eastAsia" w:ascii="黑体" w:hAnsi="宋体" w:eastAsia="宋体" w:cs="Times New Roman"/>
          <w:b/>
          <w:snapToGrid w:val="0"/>
          <w:color w:val="auto"/>
          <w:kern w:val="0"/>
          <w:sz w:val="24"/>
          <w:szCs w:val="20"/>
          <w:lang w:val="en-US" w:eastAsia="zh-CN" w:bidi="ar-SA"/>
        </w:rPr>
        <w:t>采购标的需满足的质量、安全、技术规格、物理特性等要求：</w:t>
      </w:r>
      <w:bookmarkEnd w:id="191"/>
    </w:p>
    <w:p w14:paraId="1C5E92C8">
      <w:pPr>
        <w:widowControl/>
        <w:numPr>
          <w:ilvl w:val="0"/>
          <w:numId w:val="0"/>
        </w:num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满足的质量：符合国家现行无线电监测网的相关规范及行业标准</w:t>
      </w:r>
      <w:r>
        <w:rPr>
          <w:rFonts w:hint="eastAsia" w:ascii="宋体" w:hAnsi="宋体" w:eastAsia="宋体" w:cs="宋体"/>
          <w:color w:val="auto"/>
          <w:sz w:val="24"/>
          <w:szCs w:val="24"/>
          <w:lang w:eastAsia="zh-CN"/>
        </w:rPr>
        <w:t>。</w:t>
      </w:r>
    </w:p>
    <w:p w14:paraId="5D1D27DA">
      <w:pPr>
        <w:widowControl/>
        <w:numPr>
          <w:ilvl w:val="0"/>
          <w:numId w:val="0"/>
        </w:numPr>
        <w:spacing w:line="360" w:lineRule="auto"/>
        <w:ind w:firstLine="480" w:firstLineChars="200"/>
        <w:jc w:val="left"/>
        <w:rPr>
          <w:rFonts w:hint="eastAsia" w:ascii="Calibri" w:hAnsi="Calibri" w:eastAsia="宋体" w:cs="Times New Roman"/>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服务内容及规格：</w:t>
      </w:r>
    </w:p>
    <w:p w14:paraId="273E074F">
      <w:pPr>
        <w:widowControl w:val="0"/>
        <w:tabs>
          <w:tab w:val="left" w:pos="1155"/>
          <w:tab w:val="right" w:leader="dot" w:pos="9016"/>
        </w:tabs>
        <w:ind w:left="0" w:leftChars="0" w:firstLine="482" w:firstLineChars="200"/>
        <w:jc w:val="center"/>
        <w:rPr>
          <w:rFonts w:hint="eastAsia" w:ascii="Calibri" w:hAnsi="Calibri"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表一：2026年度</w:t>
      </w:r>
      <w:r>
        <w:rPr>
          <w:rFonts w:hint="eastAsia" w:ascii="Calibri" w:hAnsi="Calibri" w:eastAsia="宋体" w:cs="宋体"/>
          <w:b/>
          <w:bCs/>
          <w:color w:val="auto"/>
          <w:kern w:val="2"/>
          <w:sz w:val="24"/>
          <w:szCs w:val="24"/>
          <w:lang w:val="en-US" w:eastAsia="zh-CN" w:bidi="ar-SA"/>
        </w:rPr>
        <w:t>临沧市无线电监测设施设备运行保障及监测设备专业维修维护</w:t>
      </w:r>
    </w:p>
    <w:p w14:paraId="313A8CBE">
      <w:pPr>
        <w:widowControl w:val="0"/>
        <w:tabs>
          <w:tab w:val="left" w:pos="1155"/>
          <w:tab w:val="right" w:leader="dot" w:pos="9016"/>
        </w:tabs>
        <w:ind w:left="0" w:leftChars="0" w:firstLine="482" w:firstLineChars="200"/>
        <w:jc w:val="center"/>
        <w:rPr>
          <w:rFonts w:hint="eastAsia" w:ascii="Calibri" w:hAnsi="Calibri" w:eastAsia="宋体" w:cs="Times New Roman"/>
          <w:kern w:val="2"/>
          <w:sz w:val="21"/>
          <w:szCs w:val="24"/>
          <w:lang w:val="en-US" w:eastAsia="zh-CN" w:bidi="ar-SA"/>
        </w:rPr>
      </w:pPr>
      <w:r>
        <w:rPr>
          <w:rFonts w:hint="eastAsia" w:ascii="Calibri" w:hAnsi="Calibri" w:eastAsia="宋体" w:cs="宋体"/>
          <w:b/>
          <w:bCs/>
          <w:color w:val="auto"/>
          <w:kern w:val="2"/>
          <w:sz w:val="24"/>
          <w:szCs w:val="24"/>
          <w:lang w:val="en-US" w:eastAsia="zh-CN" w:bidi="ar-SA"/>
        </w:rPr>
        <w:t>技术服务</w:t>
      </w:r>
      <w:r>
        <w:rPr>
          <w:rFonts w:hint="eastAsia" w:ascii="宋体" w:hAnsi="宋体" w:eastAsia="宋体" w:cs="宋体"/>
          <w:b/>
          <w:bCs/>
          <w:color w:val="auto"/>
          <w:kern w:val="2"/>
          <w:sz w:val="24"/>
          <w:szCs w:val="24"/>
          <w:lang w:val="en-US" w:eastAsia="zh-CN" w:bidi="ar-SA"/>
        </w:rPr>
        <w:t>内容一</w:t>
      </w:r>
    </w:p>
    <w:tbl>
      <w:tblPr>
        <w:tblStyle w:val="25"/>
        <w:tblW w:w="9862" w:type="dxa"/>
        <w:tblInd w:w="0" w:type="dxa"/>
        <w:tblLayout w:type="fixed"/>
        <w:tblCellMar>
          <w:top w:w="0" w:type="dxa"/>
          <w:left w:w="108" w:type="dxa"/>
          <w:bottom w:w="0" w:type="dxa"/>
          <w:right w:w="108" w:type="dxa"/>
        </w:tblCellMar>
      </w:tblPr>
      <w:tblGrid>
        <w:gridCol w:w="742"/>
        <w:gridCol w:w="3854"/>
        <w:gridCol w:w="785"/>
        <w:gridCol w:w="812"/>
        <w:gridCol w:w="1376"/>
        <w:gridCol w:w="2293"/>
      </w:tblGrid>
      <w:tr w14:paraId="04846B98">
        <w:tblPrEx>
          <w:tblCellMar>
            <w:top w:w="0" w:type="dxa"/>
            <w:left w:w="108" w:type="dxa"/>
            <w:bottom w:w="0" w:type="dxa"/>
            <w:right w:w="108" w:type="dxa"/>
          </w:tblCellMar>
        </w:tblPrEx>
        <w:trPr>
          <w:trHeight w:val="339" w:hRule="atLeast"/>
        </w:trPr>
        <w:tc>
          <w:tcPr>
            <w:tcW w:w="74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291D09">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3464">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86B5">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812" w:type="dxa"/>
            <w:tcBorders>
              <w:top w:val="single" w:color="auto" w:sz="4" w:space="0"/>
              <w:left w:val="nil"/>
              <w:bottom w:val="single" w:color="auto" w:sz="4" w:space="0"/>
              <w:right w:val="single" w:color="auto" w:sz="4" w:space="0"/>
            </w:tcBorders>
            <w:shd w:val="clear" w:color="auto" w:fill="auto"/>
            <w:vAlign w:val="center"/>
          </w:tcPr>
          <w:p w14:paraId="5CEC13E6">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376" w:type="dxa"/>
            <w:tcBorders>
              <w:top w:val="single" w:color="auto" w:sz="4" w:space="0"/>
              <w:left w:val="nil"/>
              <w:bottom w:val="single" w:color="auto" w:sz="4" w:space="0"/>
              <w:right w:val="single" w:color="auto" w:sz="4" w:space="0"/>
            </w:tcBorders>
            <w:shd w:val="clear" w:color="auto" w:fill="auto"/>
            <w:vAlign w:val="center"/>
          </w:tcPr>
          <w:p w14:paraId="53C36D89">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服务地点</w:t>
            </w:r>
          </w:p>
        </w:tc>
        <w:tc>
          <w:tcPr>
            <w:tcW w:w="2293" w:type="dxa"/>
            <w:tcBorders>
              <w:top w:val="single" w:color="auto" w:sz="4" w:space="0"/>
              <w:left w:val="nil"/>
              <w:bottom w:val="single" w:color="auto" w:sz="4" w:space="0"/>
              <w:right w:val="single" w:color="auto" w:sz="4" w:space="0"/>
            </w:tcBorders>
            <w:shd w:val="clear" w:color="auto" w:fill="auto"/>
            <w:vAlign w:val="center"/>
          </w:tcPr>
          <w:p w14:paraId="7C81D637">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7AD42762">
        <w:tblPrEx>
          <w:tblCellMar>
            <w:top w:w="0" w:type="dxa"/>
            <w:left w:w="108" w:type="dxa"/>
            <w:bottom w:w="0" w:type="dxa"/>
            <w:right w:w="108" w:type="dxa"/>
          </w:tblCellMar>
        </w:tblPrEx>
        <w:trPr>
          <w:trHeight w:val="339" w:hRule="atLeast"/>
        </w:trPr>
        <w:tc>
          <w:tcPr>
            <w:tcW w:w="986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73EAAB3C">
            <w:pPr>
              <w:widowControl/>
              <w:spacing w:line="21"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运维服务工作</w:t>
            </w:r>
          </w:p>
        </w:tc>
      </w:tr>
      <w:tr w14:paraId="06E295ED">
        <w:tblPrEx>
          <w:tblCellMar>
            <w:top w:w="0" w:type="dxa"/>
            <w:left w:w="108" w:type="dxa"/>
            <w:bottom w:w="0" w:type="dxa"/>
            <w:right w:w="108" w:type="dxa"/>
          </w:tblCellMar>
        </w:tblPrEx>
        <w:trPr>
          <w:trHeight w:val="1561"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2409063B">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2D41">
            <w:pPr>
              <w:widowControl/>
              <w:spacing w:line="21" w:lineRule="atLeas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现有</w:t>
            </w:r>
            <w:r>
              <w:rPr>
                <w:rFonts w:hint="eastAsia" w:ascii="宋体" w:hAnsi="宋体" w:eastAsia="宋体" w:cs="宋体"/>
                <w:color w:val="auto"/>
                <w:kern w:val="0"/>
                <w:sz w:val="24"/>
                <w:szCs w:val="24"/>
                <w:highlight w:val="none"/>
                <w:lang w:val="en-US" w:eastAsia="zh-CN"/>
              </w:rPr>
              <w:t>24个固定</w:t>
            </w:r>
            <w:r>
              <w:rPr>
                <w:rFonts w:hint="eastAsia" w:ascii="宋体" w:hAnsi="宋体" w:eastAsia="宋体" w:cs="宋体"/>
                <w:color w:val="auto"/>
                <w:kern w:val="0"/>
                <w:sz w:val="24"/>
                <w:szCs w:val="24"/>
                <w:highlight w:val="none"/>
              </w:rPr>
              <w:t>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2个移动站和5套传感器设施设备</w:t>
            </w:r>
            <w:r>
              <w:rPr>
                <w:rFonts w:hint="eastAsia" w:ascii="宋体" w:hAnsi="宋体" w:eastAsia="宋体" w:cs="宋体"/>
                <w:color w:val="auto"/>
                <w:kern w:val="0"/>
                <w:sz w:val="24"/>
                <w:szCs w:val="24"/>
                <w:highlight w:val="none"/>
                <w:lang w:eastAsia="zh-CN"/>
              </w:rPr>
              <w:t>的日常</w:t>
            </w:r>
            <w:r>
              <w:rPr>
                <w:rFonts w:hint="eastAsia" w:ascii="宋体" w:hAnsi="宋体" w:eastAsia="宋体" w:cs="宋体"/>
                <w:color w:val="auto"/>
                <w:kern w:val="0"/>
                <w:sz w:val="24"/>
                <w:szCs w:val="24"/>
                <w:highlight w:val="none"/>
              </w:rPr>
              <w:t>巡检、保修费用（故障设备</w:t>
            </w:r>
            <w:r>
              <w:rPr>
                <w:rFonts w:hint="eastAsia" w:ascii="宋体" w:hAnsi="宋体" w:eastAsia="宋体" w:cs="宋体"/>
                <w:color w:val="auto"/>
                <w:kern w:val="0"/>
                <w:sz w:val="24"/>
                <w:szCs w:val="24"/>
                <w:highlight w:val="none"/>
                <w:lang w:eastAsia="zh-CN"/>
              </w:rPr>
              <w:t>包</w:t>
            </w:r>
            <w:r>
              <w:rPr>
                <w:rFonts w:hint="eastAsia" w:ascii="宋体" w:hAnsi="宋体" w:eastAsia="宋体" w:cs="宋体"/>
                <w:color w:val="auto"/>
                <w:kern w:val="0"/>
                <w:sz w:val="24"/>
                <w:szCs w:val="24"/>
                <w:highlight w:val="none"/>
              </w:rPr>
              <w:t>修、</w:t>
            </w:r>
            <w:r>
              <w:rPr>
                <w:rFonts w:hint="eastAsia" w:ascii="宋体" w:hAnsi="宋体" w:eastAsia="宋体" w:cs="宋体"/>
                <w:color w:val="auto"/>
                <w:kern w:val="0"/>
                <w:sz w:val="24"/>
                <w:szCs w:val="24"/>
                <w:highlight w:val="none"/>
                <w:lang w:eastAsia="zh-CN"/>
              </w:rPr>
              <w:t>软件</w:t>
            </w:r>
            <w:r>
              <w:rPr>
                <w:rFonts w:hint="eastAsia" w:ascii="宋体" w:hAnsi="宋体" w:eastAsia="宋体" w:cs="宋体"/>
                <w:color w:val="auto"/>
                <w:kern w:val="0"/>
                <w:sz w:val="24"/>
                <w:szCs w:val="24"/>
                <w:highlight w:val="none"/>
              </w:rPr>
              <w:t>升级、软硬件系统</w:t>
            </w:r>
            <w:r>
              <w:rPr>
                <w:rFonts w:hint="eastAsia" w:ascii="宋体" w:hAnsi="宋体" w:eastAsia="宋体" w:cs="宋体"/>
                <w:color w:val="auto"/>
                <w:kern w:val="0"/>
                <w:sz w:val="24"/>
                <w:szCs w:val="24"/>
                <w:highlight w:val="none"/>
                <w:lang w:eastAsia="zh-CN"/>
              </w:rPr>
              <w:t>按时</w:t>
            </w:r>
            <w:r>
              <w:rPr>
                <w:rFonts w:hint="eastAsia" w:ascii="宋体" w:hAnsi="宋体" w:eastAsia="宋体" w:cs="宋体"/>
                <w:color w:val="auto"/>
                <w:kern w:val="0"/>
                <w:sz w:val="24"/>
                <w:szCs w:val="24"/>
                <w:highlight w:val="none"/>
              </w:rPr>
              <w:t>维护、站点</w:t>
            </w:r>
            <w:r>
              <w:rPr>
                <w:rFonts w:hint="eastAsia" w:ascii="宋体" w:hAnsi="宋体" w:eastAsia="宋体" w:cs="宋体"/>
                <w:color w:val="auto"/>
                <w:kern w:val="0"/>
                <w:sz w:val="24"/>
                <w:szCs w:val="24"/>
                <w:highlight w:val="none"/>
                <w:lang w:eastAsia="zh-CN"/>
              </w:rPr>
              <w:t>监测指标</w:t>
            </w:r>
            <w:r>
              <w:rPr>
                <w:rFonts w:hint="eastAsia" w:ascii="宋体" w:hAnsi="宋体" w:eastAsia="宋体" w:cs="宋体"/>
                <w:color w:val="auto"/>
                <w:kern w:val="0"/>
                <w:sz w:val="24"/>
                <w:szCs w:val="24"/>
                <w:highlight w:val="none"/>
              </w:rPr>
              <w:t>测试与校准、备品备件</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3E03">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31</w:t>
            </w:r>
          </w:p>
        </w:tc>
        <w:tc>
          <w:tcPr>
            <w:tcW w:w="812" w:type="dxa"/>
            <w:tcBorders>
              <w:top w:val="single" w:color="auto" w:sz="4" w:space="0"/>
              <w:left w:val="nil"/>
              <w:bottom w:val="single" w:color="auto" w:sz="4" w:space="0"/>
              <w:right w:val="single" w:color="auto" w:sz="4" w:space="0"/>
            </w:tcBorders>
            <w:shd w:val="clear" w:color="auto" w:fill="auto"/>
            <w:vAlign w:val="center"/>
          </w:tcPr>
          <w:p w14:paraId="20B4D132">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1376" w:type="dxa"/>
            <w:tcBorders>
              <w:top w:val="single" w:color="auto" w:sz="4" w:space="0"/>
              <w:left w:val="nil"/>
              <w:bottom w:val="single" w:color="auto" w:sz="4" w:space="0"/>
              <w:right w:val="single" w:color="auto" w:sz="4" w:space="0"/>
            </w:tcBorders>
            <w:shd w:val="clear" w:color="auto" w:fill="auto"/>
            <w:vAlign w:val="center"/>
          </w:tcPr>
          <w:p w14:paraId="41285740">
            <w:pPr>
              <w:widowControl/>
              <w:spacing w:line="21" w:lineRule="atLeast"/>
              <w:jc w:val="center"/>
              <w:rPr>
                <w:rFonts w:hint="eastAsia" w:ascii="宋体" w:hAnsi="宋体" w:eastAsia="宋体" w:cs="宋体"/>
                <w:color w:val="auto"/>
                <w:kern w:val="0"/>
                <w:sz w:val="24"/>
                <w:szCs w:val="24"/>
                <w:highlight w:val="none"/>
              </w:rPr>
            </w:pPr>
            <w:bookmarkStart w:id="192" w:name="OLE_LINK1"/>
            <w:r>
              <w:rPr>
                <w:rFonts w:hint="eastAsia" w:ascii="宋体" w:hAnsi="宋体" w:eastAsia="宋体" w:cs="宋体"/>
                <w:color w:val="auto"/>
                <w:kern w:val="0"/>
                <w:sz w:val="24"/>
                <w:szCs w:val="24"/>
                <w:highlight w:val="none"/>
              </w:rPr>
              <w:t>项目实施</w:t>
            </w:r>
          </w:p>
          <w:p w14:paraId="2FC01E05">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bookmarkEnd w:id="192"/>
          </w:p>
        </w:tc>
        <w:tc>
          <w:tcPr>
            <w:tcW w:w="2293" w:type="dxa"/>
            <w:tcBorders>
              <w:top w:val="single" w:color="auto" w:sz="4" w:space="0"/>
              <w:left w:val="nil"/>
              <w:bottom w:val="single" w:color="auto" w:sz="4" w:space="0"/>
              <w:right w:val="single" w:color="auto" w:sz="4" w:space="0"/>
            </w:tcBorders>
            <w:shd w:val="clear" w:color="auto" w:fill="auto"/>
            <w:vAlign w:val="center"/>
          </w:tcPr>
          <w:p w14:paraId="00A28223">
            <w:pPr>
              <w:keepNext w:val="0"/>
              <w:keepLines w:val="0"/>
              <w:pageBreakBefore w:val="0"/>
              <w:widowControl w:val="0"/>
              <w:tabs>
                <w:tab w:val="left" w:pos="420"/>
                <w:tab w:val="left" w:pos="1155"/>
                <w:tab w:val="right" w:leader="dot" w:pos="9016"/>
              </w:tabs>
              <w:kinsoku/>
              <w:wordWrap/>
              <w:overflowPunct/>
              <w:topLinePunct w:val="0"/>
              <w:autoSpaceDE/>
              <w:autoSpaceDN/>
              <w:bidi w:val="0"/>
              <w:adjustRightInd/>
              <w:snapToGrid w:val="0"/>
              <w:spacing w:line="240" w:lineRule="auto"/>
              <w:ind w:left="0" w:leftChars="0" w:right="0" w:rightChars="0" w:firstLine="240" w:firstLineChars="100"/>
              <w:jc w:val="left"/>
              <w:textAlignment w:val="auto"/>
              <w:outlineLvl w:val="9"/>
              <w:rPr>
                <w:rFonts w:hint="eastAsia" w:ascii="宋体" w:hAnsi="宋体" w:eastAsia="宋体" w:cs="宋体"/>
                <w:color w:val="auto"/>
                <w:kern w:val="0"/>
                <w:sz w:val="24"/>
                <w:szCs w:val="24"/>
                <w:highlight w:val="none"/>
                <w:lang w:val="en-US" w:eastAsia="zh-CN" w:bidi="ar-SA"/>
              </w:rPr>
            </w:pPr>
            <w:bookmarkStart w:id="193" w:name="OLE_LINK2"/>
            <w:r>
              <w:rPr>
                <w:rFonts w:hint="eastAsia" w:ascii="宋体" w:hAnsi="宋体" w:eastAsia="宋体" w:cs="宋体"/>
                <w:color w:val="auto"/>
                <w:kern w:val="0"/>
                <w:sz w:val="24"/>
                <w:szCs w:val="24"/>
                <w:highlight w:val="none"/>
                <w:lang w:val="en-US" w:eastAsia="zh-CN" w:bidi="ar-SA"/>
              </w:rPr>
              <w:t>详见</w:t>
            </w:r>
            <w:bookmarkEnd w:id="193"/>
            <w:r>
              <w:rPr>
                <w:rFonts w:hint="eastAsia" w:ascii="宋体" w:hAnsi="宋体" w:eastAsia="宋体" w:cs="宋体"/>
                <w:color w:val="auto"/>
                <w:kern w:val="0"/>
                <w:sz w:val="24"/>
                <w:szCs w:val="24"/>
                <w:highlight w:val="none"/>
                <w:lang w:val="en-US" w:eastAsia="zh-CN" w:bidi="ar-SA"/>
              </w:rPr>
              <w:t>表三和（三）运维工作具体要求</w:t>
            </w:r>
          </w:p>
          <w:p w14:paraId="78C1CBD2">
            <w:pPr>
              <w:widowControl/>
              <w:spacing w:line="21" w:lineRule="atLeast"/>
              <w:jc w:val="center"/>
              <w:rPr>
                <w:rFonts w:ascii="宋体" w:hAnsi="宋体" w:eastAsia="宋体" w:cs="宋体"/>
                <w:color w:val="auto"/>
                <w:kern w:val="0"/>
                <w:sz w:val="24"/>
                <w:szCs w:val="24"/>
                <w:highlight w:val="none"/>
              </w:rPr>
            </w:pPr>
          </w:p>
        </w:tc>
      </w:tr>
      <w:tr w14:paraId="3EC5D2E9">
        <w:tblPrEx>
          <w:tblCellMar>
            <w:top w:w="0" w:type="dxa"/>
            <w:left w:w="108" w:type="dxa"/>
            <w:bottom w:w="0" w:type="dxa"/>
            <w:right w:w="108" w:type="dxa"/>
          </w:tblCellMar>
        </w:tblPrEx>
        <w:trPr>
          <w:trHeight w:val="953"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120B8496">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DB3">
            <w:pPr>
              <w:widowControl/>
              <w:spacing w:line="21" w:lineRule="atLeas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无线电信息网络系统</w:t>
            </w:r>
            <w:r>
              <w:rPr>
                <w:rFonts w:hint="eastAsia" w:ascii="宋体" w:hAnsi="宋体" w:eastAsia="宋体" w:cs="宋体"/>
                <w:color w:val="auto"/>
                <w:kern w:val="0"/>
                <w:sz w:val="24"/>
                <w:szCs w:val="24"/>
                <w:highlight w:val="none"/>
                <w:lang w:val="en-US" w:eastAsia="zh-CN"/>
              </w:rPr>
              <w:t>设备日常维护、故障设备维修，并对现有监测站点IP地址数据进行优化调整，做好各网络设备端口数据配置</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同时建成</w:t>
            </w:r>
            <w:r>
              <w:rPr>
                <w:rFonts w:hint="eastAsia" w:ascii="宋体" w:hAnsi="宋体" w:cs="宋体"/>
                <w:color w:val="auto"/>
                <w:kern w:val="0"/>
                <w:sz w:val="24"/>
                <w:szCs w:val="24"/>
                <w:highlight w:val="none"/>
                <w:lang w:val="en-US" w:eastAsia="zh-CN"/>
              </w:rPr>
              <w:t>必需的</w:t>
            </w:r>
            <w:r>
              <w:rPr>
                <w:rFonts w:hint="eastAsia" w:ascii="宋体" w:hAnsi="宋体" w:eastAsia="宋体" w:cs="宋体"/>
                <w:color w:val="auto"/>
                <w:kern w:val="0"/>
                <w:sz w:val="24"/>
                <w:szCs w:val="24"/>
                <w:highlight w:val="none"/>
                <w:lang w:val="en-US" w:eastAsia="zh-CN"/>
              </w:rPr>
              <w:t>备品备件库。</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654F">
            <w:pPr>
              <w:widowControl/>
              <w:spacing w:line="21" w:lineRule="atLeas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812" w:type="dxa"/>
            <w:tcBorders>
              <w:top w:val="single" w:color="auto" w:sz="4" w:space="0"/>
              <w:left w:val="nil"/>
              <w:bottom w:val="single" w:color="auto" w:sz="4" w:space="0"/>
              <w:right w:val="single" w:color="auto" w:sz="4" w:space="0"/>
            </w:tcBorders>
            <w:shd w:val="clear" w:color="auto" w:fill="auto"/>
            <w:vAlign w:val="center"/>
          </w:tcPr>
          <w:p w14:paraId="3D705DC5">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w:t>
            </w:r>
          </w:p>
        </w:tc>
        <w:tc>
          <w:tcPr>
            <w:tcW w:w="1376" w:type="dxa"/>
            <w:tcBorders>
              <w:top w:val="single" w:color="auto" w:sz="4" w:space="0"/>
              <w:left w:val="nil"/>
              <w:bottom w:val="single" w:color="auto" w:sz="4" w:space="0"/>
              <w:right w:val="single" w:color="auto" w:sz="4" w:space="0"/>
            </w:tcBorders>
            <w:shd w:val="clear" w:color="auto" w:fill="auto"/>
            <w:vAlign w:val="center"/>
          </w:tcPr>
          <w:p w14:paraId="194E2786">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监测中心</w:t>
            </w:r>
            <w:r>
              <w:rPr>
                <w:rFonts w:hint="eastAsia" w:ascii="宋体" w:hAnsi="宋体" w:eastAsia="宋体" w:cs="宋体"/>
                <w:color w:val="auto"/>
                <w:kern w:val="0"/>
                <w:sz w:val="24"/>
                <w:szCs w:val="24"/>
                <w:highlight w:val="none"/>
                <w:lang w:val="en-US" w:eastAsia="zh-CN"/>
              </w:rPr>
              <w:t>三楼机房、监测站点</w:t>
            </w:r>
          </w:p>
        </w:tc>
        <w:tc>
          <w:tcPr>
            <w:tcW w:w="2293" w:type="dxa"/>
            <w:tcBorders>
              <w:top w:val="single" w:color="auto" w:sz="4" w:space="0"/>
              <w:left w:val="nil"/>
              <w:bottom w:val="single" w:color="auto" w:sz="4" w:space="0"/>
              <w:right w:val="single" w:color="auto" w:sz="4" w:space="0"/>
            </w:tcBorders>
            <w:shd w:val="clear" w:color="auto" w:fill="auto"/>
            <w:vAlign w:val="center"/>
          </w:tcPr>
          <w:p w14:paraId="07E4B0A3">
            <w:pPr>
              <w:keepNext w:val="0"/>
              <w:keepLines w:val="0"/>
              <w:pageBreakBefore w:val="0"/>
              <w:widowControl w:val="0"/>
              <w:tabs>
                <w:tab w:val="left" w:pos="420"/>
                <w:tab w:val="left" w:pos="1155"/>
                <w:tab w:val="right" w:leader="dot" w:pos="9016"/>
              </w:tabs>
              <w:kinsoku/>
              <w:wordWrap/>
              <w:overflowPunct/>
              <w:topLinePunct w:val="0"/>
              <w:autoSpaceDE/>
              <w:autoSpaceDN/>
              <w:bidi w:val="0"/>
              <w:adjustRightInd/>
              <w:snapToGrid w:val="0"/>
              <w:spacing w:line="240" w:lineRule="auto"/>
              <w:ind w:left="0" w:leftChars="0" w:right="0" w:rightChars="0" w:firstLine="240" w:firstLineChars="1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详见表四和（三）运维工作具体要求</w:t>
            </w:r>
          </w:p>
        </w:tc>
      </w:tr>
      <w:tr w14:paraId="1AFE444C">
        <w:tblPrEx>
          <w:tblCellMar>
            <w:top w:w="0" w:type="dxa"/>
            <w:left w:w="108" w:type="dxa"/>
            <w:bottom w:w="0" w:type="dxa"/>
            <w:right w:w="108" w:type="dxa"/>
          </w:tblCellMar>
        </w:tblPrEx>
        <w:trPr>
          <w:trHeight w:val="588"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7DE3BF60">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2FEB">
            <w:pPr>
              <w:widowControl/>
              <w:spacing w:line="21" w:lineRule="atLeas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监测业务楼机房空调</w:t>
            </w:r>
            <w:r>
              <w:rPr>
                <w:rFonts w:hint="eastAsia" w:ascii="宋体" w:hAnsi="宋体" w:eastAsia="宋体" w:cs="宋体"/>
                <w:color w:val="auto"/>
                <w:kern w:val="0"/>
                <w:sz w:val="24"/>
                <w:szCs w:val="24"/>
                <w:highlight w:val="none"/>
                <w:lang w:val="en-US" w:eastAsia="zh-CN"/>
              </w:rPr>
              <w:t>及部分站点空调、</w:t>
            </w:r>
            <w:r>
              <w:rPr>
                <w:rFonts w:hint="eastAsia" w:ascii="宋体" w:hAnsi="宋体" w:eastAsia="宋体" w:cs="宋体"/>
                <w:color w:val="auto"/>
                <w:sz w:val="24"/>
                <w:szCs w:val="24"/>
                <w:lang w:val="en-US" w:eastAsia="zh-CN"/>
              </w:rPr>
              <w:t>除湿机</w:t>
            </w:r>
            <w:r>
              <w:rPr>
                <w:rFonts w:hint="eastAsia" w:ascii="宋体" w:hAnsi="宋体" w:eastAsia="宋体" w:cs="宋体"/>
                <w:color w:val="auto"/>
                <w:kern w:val="0"/>
                <w:sz w:val="24"/>
                <w:szCs w:val="24"/>
                <w:highlight w:val="none"/>
                <w:lang w:val="en-US" w:eastAsia="zh-CN"/>
              </w:rPr>
              <w:t>维修维护。</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AE0">
            <w:pPr>
              <w:widowControl/>
              <w:spacing w:line="21" w:lineRule="atLeas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812" w:type="dxa"/>
            <w:tcBorders>
              <w:top w:val="single" w:color="auto" w:sz="4" w:space="0"/>
              <w:left w:val="nil"/>
              <w:bottom w:val="single" w:color="auto" w:sz="4" w:space="0"/>
              <w:right w:val="single" w:color="auto" w:sz="4" w:space="0"/>
            </w:tcBorders>
            <w:shd w:val="clear" w:color="auto" w:fill="auto"/>
            <w:vAlign w:val="center"/>
          </w:tcPr>
          <w:p w14:paraId="325DDF31">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台</w:t>
            </w:r>
          </w:p>
        </w:tc>
        <w:tc>
          <w:tcPr>
            <w:tcW w:w="1376" w:type="dxa"/>
            <w:tcBorders>
              <w:top w:val="single" w:color="auto" w:sz="4" w:space="0"/>
              <w:left w:val="nil"/>
              <w:bottom w:val="single" w:color="auto" w:sz="4" w:space="0"/>
              <w:right w:val="single" w:color="auto" w:sz="4" w:space="0"/>
            </w:tcBorders>
            <w:shd w:val="clear" w:color="auto" w:fill="auto"/>
            <w:vAlign w:val="center"/>
          </w:tcPr>
          <w:p w14:paraId="703E4A9E">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w:t>
            </w:r>
          </w:p>
          <w:p w14:paraId="5F0FDEC5">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地点</w:t>
            </w:r>
          </w:p>
        </w:tc>
        <w:tc>
          <w:tcPr>
            <w:tcW w:w="2293" w:type="dxa"/>
            <w:tcBorders>
              <w:top w:val="single" w:color="auto" w:sz="4" w:space="0"/>
              <w:left w:val="nil"/>
              <w:bottom w:val="single" w:color="auto" w:sz="4" w:space="0"/>
              <w:right w:val="single" w:color="auto" w:sz="4" w:space="0"/>
            </w:tcBorders>
            <w:shd w:val="clear" w:color="auto" w:fill="auto"/>
            <w:vAlign w:val="center"/>
          </w:tcPr>
          <w:p w14:paraId="29099E54">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详见表五</w:t>
            </w:r>
          </w:p>
        </w:tc>
      </w:tr>
      <w:tr w14:paraId="36757AAA">
        <w:tblPrEx>
          <w:tblCellMar>
            <w:top w:w="0" w:type="dxa"/>
            <w:left w:w="108" w:type="dxa"/>
            <w:bottom w:w="0" w:type="dxa"/>
            <w:right w:w="108" w:type="dxa"/>
          </w:tblCellMar>
        </w:tblPrEx>
        <w:trPr>
          <w:trHeight w:val="365"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4F7172DB">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B92">
            <w:pPr>
              <w:widowControl/>
              <w:spacing w:line="21" w:lineRule="atLeas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部分站点监测数据接入城市无线电智能众包监测系统服务（按bin文件格式要求接入并实时存储到现有的智能众包监测系统，实现在系统中调用和分析数据）。</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C38">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812" w:type="dxa"/>
            <w:tcBorders>
              <w:top w:val="single" w:color="auto" w:sz="4" w:space="0"/>
              <w:left w:val="nil"/>
              <w:bottom w:val="single" w:color="auto" w:sz="4" w:space="0"/>
              <w:right w:val="single" w:color="auto" w:sz="4" w:space="0"/>
            </w:tcBorders>
            <w:shd w:val="clear" w:color="auto" w:fill="auto"/>
            <w:vAlign w:val="center"/>
          </w:tcPr>
          <w:p w14:paraId="12B97199">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个</w:t>
            </w:r>
          </w:p>
        </w:tc>
        <w:tc>
          <w:tcPr>
            <w:tcW w:w="1376" w:type="dxa"/>
            <w:tcBorders>
              <w:top w:val="single" w:color="auto" w:sz="4" w:space="0"/>
              <w:left w:val="nil"/>
              <w:bottom w:val="single" w:color="auto" w:sz="4" w:space="0"/>
              <w:right w:val="single" w:color="auto" w:sz="4" w:space="0"/>
            </w:tcBorders>
            <w:shd w:val="clear" w:color="auto" w:fill="auto"/>
            <w:vAlign w:val="center"/>
          </w:tcPr>
          <w:p w14:paraId="5FC9E30C">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项目实施</w:t>
            </w:r>
          </w:p>
          <w:p w14:paraId="3C427DC9">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地点</w:t>
            </w:r>
          </w:p>
        </w:tc>
        <w:tc>
          <w:tcPr>
            <w:tcW w:w="2293" w:type="dxa"/>
            <w:tcBorders>
              <w:top w:val="single" w:color="auto" w:sz="4" w:space="0"/>
              <w:left w:val="nil"/>
              <w:bottom w:val="single" w:color="auto" w:sz="4" w:space="0"/>
              <w:right w:val="single" w:color="auto" w:sz="4" w:space="0"/>
            </w:tcBorders>
            <w:shd w:val="clear" w:color="auto" w:fill="auto"/>
            <w:vAlign w:val="center"/>
          </w:tcPr>
          <w:p w14:paraId="3DAF57AA">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临沧机场、沧源机场、耿马中学、市中心站、永德站、沧源永和站</w:t>
            </w:r>
          </w:p>
        </w:tc>
      </w:tr>
      <w:tr w14:paraId="19BB07C5">
        <w:tblPrEx>
          <w:tblCellMar>
            <w:top w:w="0" w:type="dxa"/>
            <w:left w:w="108" w:type="dxa"/>
            <w:bottom w:w="0" w:type="dxa"/>
            <w:right w:w="108" w:type="dxa"/>
          </w:tblCellMar>
        </w:tblPrEx>
        <w:trPr>
          <w:trHeight w:val="400" w:hRule="atLeast"/>
        </w:trPr>
        <w:tc>
          <w:tcPr>
            <w:tcW w:w="9862"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14:paraId="744FED0F">
            <w:pPr>
              <w:widowControl/>
              <w:spacing w:line="21"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其它服务工作</w:t>
            </w:r>
          </w:p>
        </w:tc>
      </w:tr>
      <w:tr w14:paraId="48B2E649">
        <w:tblPrEx>
          <w:tblCellMar>
            <w:top w:w="0" w:type="dxa"/>
            <w:left w:w="108" w:type="dxa"/>
            <w:bottom w:w="0" w:type="dxa"/>
            <w:right w:w="108" w:type="dxa"/>
          </w:tblCellMar>
        </w:tblPrEx>
        <w:trPr>
          <w:trHeight w:val="425"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11AA51D2">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EA4">
            <w:pPr>
              <w:widowControl/>
              <w:spacing w:line="21" w:lineRule="atLeas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定期更换</w:t>
            </w:r>
            <w:r>
              <w:rPr>
                <w:rFonts w:hint="eastAsia" w:ascii="宋体" w:hAnsi="宋体" w:eastAsia="宋体" w:cs="宋体"/>
                <w:color w:val="auto"/>
                <w:kern w:val="0"/>
                <w:sz w:val="24"/>
                <w:szCs w:val="24"/>
                <w:highlight w:val="none"/>
                <w:lang w:val="en-US" w:eastAsia="zh-CN"/>
              </w:rPr>
              <w:t>31个站点</w:t>
            </w:r>
            <w:r>
              <w:rPr>
                <w:rFonts w:hint="eastAsia" w:ascii="宋体" w:hAnsi="宋体" w:eastAsia="宋体" w:cs="宋体"/>
                <w:color w:val="auto"/>
                <w:kern w:val="0"/>
                <w:sz w:val="24"/>
                <w:szCs w:val="24"/>
                <w:highlight w:val="none"/>
              </w:rPr>
              <w:t>低值易耗品</w:t>
            </w:r>
            <w:r>
              <w:rPr>
                <w:rFonts w:hint="eastAsia" w:ascii="宋体" w:hAnsi="宋体" w:eastAsia="宋体" w:cs="宋体"/>
                <w:color w:val="auto"/>
                <w:kern w:val="0"/>
                <w:sz w:val="24"/>
                <w:szCs w:val="24"/>
                <w:highlight w:val="none"/>
                <w:lang w:eastAsia="zh-CN"/>
              </w:rPr>
              <w:t>和负责监测业务楼电梯运维及易耗品更换</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机房</w:t>
            </w:r>
            <w:r>
              <w:rPr>
                <w:rFonts w:hint="eastAsia" w:ascii="宋体" w:hAnsi="宋体" w:eastAsia="宋体" w:cs="宋体"/>
                <w:color w:val="auto"/>
                <w:kern w:val="0"/>
                <w:sz w:val="24"/>
                <w:szCs w:val="24"/>
                <w:highlight w:val="none"/>
              </w:rPr>
              <w:t>插座、</w:t>
            </w:r>
            <w:r>
              <w:rPr>
                <w:rFonts w:hint="eastAsia" w:ascii="宋体" w:hAnsi="宋体" w:eastAsia="宋体" w:cs="宋体"/>
                <w:color w:val="auto"/>
                <w:kern w:val="0"/>
                <w:sz w:val="24"/>
                <w:szCs w:val="24"/>
                <w:highlight w:val="none"/>
                <w:lang w:eastAsia="zh-CN"/>
              </w:rPr>
              <w:t>开关、</w:t>
            </w:r>
            <w:r>
              <w:rPr>
                <w:rFonts w:hint="eastAsia" w:ascii="宋体" w:hAnsi="宋体" w:eastAsia="宋体" w:cs="宋体"/>
                <w:color w:val="auto"/>
                <w:kern w:val="0"/>
                <w:sz w:val="24"/>
                <w:szCs w:val="24"/>
                <w:highlight w:val="none"/>
              </w:rPr>
              <w:t>照明、CMOS电池、CPU风扇、</w:t>
            </w:r>
            <w:r>
              <w:rPr>
                <w:rFonts w:hint="eastAsia" w:ascii="宋体" w:hAnsi="宋体" w:eastAsia="宋体" w:cs="宋体"/>
                <w:color w:val="auto"/>
                <w:kern w:val="0"/>
                <w:sz w:val="24"/>
                <w:szCs w:val="24"/>
                <w:highlight w:val="none"/>
                <w:lang w:eastAsia="zh-CN"/>
              </w:rPr>
              <w:t>逆变器、</w:t>
            </w:r>
            <w:r>
              <w:rPr>
                <w:rFonts w:hint="eastAsia" w:ascii="宋体" w:hAnsi="宋体" w:eastAsia="宋体" w:cs="宋体"/>
                <w:color w:val="auto"/>
                <w:kern w:val="0"/>
                <w:sz w:val="24"/>
                <w:szCs w:val="24"/>
                <w:highlight w:val="none"/>
              </w:rPr>
              <w:t>卫生洁具</w:t>
            </w:r>
            <w:r>
              <w:rPr>
                <w:rFonts w:hint="eastAsia" w:ascii="宋体" w:hAnsi="宋体" w:eastAsia="宋体" w:cs="宋体"/>
                <w:color w:val="auto"/>
                <w:kern w:val="0"/>
                <w:sz w:val="24"/>
                <w:szCs w:val="24"/>
                <w:highlight w:val="none"/>
                <w:lang w:eastAsia="zh-CN"/>
              </w:rPr>
              <w:t>、门锁</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eastAsia="zh-CN"/>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FAA">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32</w:t>
            </w:r>
          </w:p>
        </w:tc>
        <w:tc>
          <w:tcPr>
            <w:tcW w:w="812" w:type="dxa"/>
            <w:tcBorders>
              <w:top w:val="single" w:color="auto" w:sz="4" w:space="0"/>
              <w:left w:val="nil"/>
              <w:bottom w:val="single" w:color="auto" w:sz="4" w:space="0"/>
              <w:right w:val="single" w:color="auto" w:sz="4" w:space="0"/>
            </w:tcBorders>
            <w:shd w:val="clear" w:color="auto" w:fill="auto"/>
            <w:vAlign w:val="center"/>
          </w:tcPr>
          <w:p w14:paraId="5E020B31">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w:t>
            </w:r>
          </w:p>
        </w:tc>
        <w:tc>
          <w:tcPr>
            <w:tcW w:w="1376" w:type="dxa"/>
            <w:tcBorders>
              <w:top w:val="single" w:color="auto" w:sz="4" w:space="0"/>
              <w:left w:val="nil"/>
              <w:bottom w:val="single" w:color="auto" w:sz="4" w:space="0"/>
              <w:right w:val="single" w:color="auto" w:sz="4" w:space="0"/>
            </w:tcBorders>
            <w:shd w:val="clear" w:color="auto" w:fill="auto"/>
            <w:vAlign w:val="center"/>
          </w:tcPr>
          <w:p w14:paraId="43051EC5">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w:t>
            </w:r>
          </w:p>
          <w:p w14:paraId="62AE2FC6">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2293" w:type="dxa"/>
            <w:vMerge w:val="restart"/>
            <w:tcBorders>
              <w:top w:val="single" w:color="auto" w:sz="4" w:space="0"/>
              <w:left w:val="nil"/>
              <w:right w:val="single" w:color="auto" w:sz="4" w:space="0"/>
            </w:tcBorders>
            <w:shd w:val="clear" w:color="auto" w:fill="auto"/>
            <w:vAlign w:val="center"/>
          </w:tcPr>
          <w:p w14:paraId="6C8E1BA8">
            <w:pPr>
              <w:keepNext w:val="0"/>
              <w:keepLines w:val="0"/>
              <w:pageBreakBefore w:val="0"/>
              <w:widowControl w:val="0"/>
              <w:tabs>
                <w:tab w:val="left" w:pos="420"/>
                <w:tab w:val="left" w:pos="1155"/>
                <w:tab w:val="right" w:leader="dot" w:pos="9016"/>
              </w:tabs>
              <w:kinsoku/>
              <w:wordWrap/>
              <w:overflowPunct/>
              <w:topLinePunct w:val="0"/>
              <w:autoSpaceDE/>
              <w:autoSpaceDN/>
              <w:bidi w:val="0"/>
              <w:adjustRightInd/>
              <w:snapToGrid w:val="0"/>
              <w:spacing w:line="240" w:lineRule="auto"/>
              <w:ind w:left="0" w:leftChars="0" w:right="0" w:rightChars="0" w:firstLine="240" w:firstLineChars="10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参见表三和（三）运维工作具体要求</w:t>
            </w:r>
          </w:p>
          <w:p w14:paraId="560B4E13">
            <w:pPr>
              <w:widowControl/>
              <w:spacing w:line="21" w:lineRule="atLeast"/>
              <w:jc w:val="center"/>
              <w:rPr>
                <w:rFonts w:ascii="宋体" w:hAnsi="宋体" w:eastAsia="宋体" w:cs="宋体"/>
                <w:color w:val="auto"/>
                <w:kern w:val="0"/>
                <w:sz w:val="24"/>
                <w:szCs w:val="24"/>
                <w:highlight w:val="none"/>
              </w:rPr>
            </w:pPr>
          </w:p>
          <w:p w14:paraId="6A1AF218">
            <w:pPr>
              <w:keepNext w:val="0"/>
              <w:keepLines w:val="0"/>
              <w:pageBreakBefore w:val="0"/>
              <w:widowControl w:val="0"/>
              <w:tabs>
                <w:tab w:val="left" w:pos="420"/>
                <w:tab w:val="left" w:pos="1155"/>
                <w:tab w:val="right" w:leader="dot" w:pos="9016"/>
              </w:tabs>
              <w:kinsoku/>
              <w:wordWrap/>
              <w:overflowPunct/>
              <w:topLinePunct w:val="0"/>
              <w:autoSpaceDE/>
              <w:autoSpaceDN/>
              <w:bidi w:val="0"/>
              <w:adjustRightInd/>
              <w:snapToGrid w:val="0"/>
              <w:spacing w:line="240" w:lineRule="auto"/>
              <w:ind w:left="0" w:leftChars="0" w:right="0" w:rightChars="0" w:firstLine="240" w:firstLineChars="100"/>
              <w:jc w:val="both"/>
              <w:textAlignment w:val="auto"/>
              <w:outlineLvl w:val="9"/>
              <w:rPr>
                <w:rFonts w:hint="eastAsia" w:ascii="宋体" w:hAnsi="宋体" w:eastAsia="宋体" w:cs="宋体"/>
                <w:color w:val="auto"/>
                <w:kern w:val="0"/>
                <w:sz w:val="24"/>
                <w:szCs w:val="24"/>
                <w:highlight w:val="none"/>
                <w:lang w:val="en-US" w:eastAsia="zh-CN" w:bidi="ar-SA"/>
              </w:rPr>
            </w:pPr>
          </w:p>
          <w:p w14:paraId="1C8E0235">
            <w:pPr>
              <w:widowControl/>
              <w:spacing w:line="21" w:lineRule="atLeast"/>
              <w:jc w:val="center"/>
              <w:rPr>
                <w:rFonts w:hint="eastAsia" w:ascii="宋体" w:hAnsi="宋体" w:eastAsia="宋体" w:cs="宋体"/>
                <w:color w:val="auto"/>
                <w:kern w:val="0"/>
                <w:sz w:val="24"/>
                <w:szCs w:val="24"/>
                <w:highlight w:val="none"/>
              </w:rPr>
            </w:pPr>
          </w:p>
        </w:tc>
      </w:tr>
      <w:tr w14:paraId="7240B610">
        <w:tblPrEx>
          <w:tblCellMar>
            <w:top w:w="0" w:type="dxa"/>
            <w:left w:w="108" w:type="dxa"/>
            <w:bottom w:w="0" w:type="dxa"/>
            <w:right w:w="108" w:type="dxa"/>
          </w:tblCellMar>
        </w:tblPrEx>
        <w:trPr>
          <w:trHeight w:val="425"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1E54140D">
            <w:pPr>
              <w:widowControl/>
              <w:spacing w:line="21" w:lineRule="atLeast"/>
              <w:jc w:val="center"/>
              <w:rPr>
                <w:rFonts w:hint="eastAsia" w:ascii="宋体" w:hAnsi="宋体" w:eastAsia="宋体" w:cs="宋体"/>
                <w:color w:val="auto"/>
                <w:kern w:val="0"/>
                <w:sz w:val="24"/>
                <w:szCs w:val="24"/>
                <w:highlight w:val="none"/>
                <w:lang w:eastAsia="zh-CN"/>
              </w:rPr>
            </w:pPr>
            <w:bookmarkStart w:id="194" w:name="OLE_LINK3" w:colFirst="4" w:colLast="5"/>
            <w:r>
              <w:rPr>
                <w:rFonts w:hint="eastAsia" w:ascii="宋体" w:hAnsi="宋体" w:eastAsia="宋体" w:cs="宋体"/>
                <w:color w:val="auto"/>
                <w:kern w:val="0"/>
                <w:sz w:val="24"/>
                <w:szCs w:val="24"/>
                <w:highlight w:val="none"/>
                <w:lang w:val="en-US" w:eastAsia="zh-CN"/>
              </w:rPr>
              <w:t>6</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8DCD">
            <w:pPr>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控制中心及各监测站病毒防护服务</w:t>
            </w:r>
            <w:r>
              <w:rPr>
                <w:rFonts w:hint="eastAsia" w:ascii="宋体" w:hAnsi="宋体" w:eastAsia="宋体" w:cs="宋体"/>
                <w:color w:val="auto"/>
                <w:kern w:val="0"/>
                <w:sz w:val="24"/>
                <w:szCs w:val="24"/>
                <w:highlight w:val="none"/>
                <w:lang w:eastAsia="zh-CN"/>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E7E">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12" w:type="dxa"/>
            <w:tcBorders>
              <w:top w:val="single" w:color="auto" w:sz="4" w:space="0"/>
              <w:left w:val="nil"/>
              <w:bottom w:val="single" w:color="auto" w:sz="4" w:space="0"/>
              <w:right w:val="single" w:color="auto" w:sz="4" w:space="0"/>
            </w:tcBorders>
            <w:shd w:val="clear" w:color="auto" w:fill="auto"/>
            <w:vAlign w:val="center"/>
          </w:tcPr>
          <w:p w14:paraId="6DD578E6">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1376" w:type="dxa"/>
            <w:tcBorders>
              <w:top w:val="single" w:color="auto" w:sz="4" w:space="0"/>
              <w:left w:val="nil"/>
              <w:bottom w:val="single" w:color="auto" w:sz="4" w:space="0"/>
              <w:right w:val="single" w:color="auto" w:sz="4" w:space="0"/>
            </w:tcBorders>
            <w:shd w:val="clear" w:color="auto" w:fill="auto"/>
            <w:vAlign w:val="center"/>
          </w:tcPr>
          <w:p w14:paraId="3C88E48B">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w:t>
            </w:r>
          </w:p>
          <w:p w14:paraId="16C84EBD">
            <w:pPr>
              <w:widowControl/>
              <w:spacing w:line="21"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2293" w:type="dxa"/>
            <w:vMerge w:val="continue"/>
            <w:tcBorders>
              <w:left w:val="nil"/>
              <w:right w:val="single" w:color="auto" w:sz="4" w:space="0"/>
            </w:tcBorders>
            <w:shd w:val="clear" w:color="auto" w:fill="auto"/>
            <w:vAlign w:val="center"/>
          </w:tcPr>
          <w:p w14:paraId="737C9516">
            <w:pPr>
              <w:widowControl/>
              <w:spacing w:line="21" w:lineRule="atLeast"/>
              <w:jc w:val="center"/>
              <w:rPr>
                <w:rFonts w:ascii="宋体" w:hAnsi="宋体" w:eastAsia="宋体" w:cs="宋体"/>
                <w:color w:val="auto"/>
                <w:kern w:val="0"/>
                <w:sz w:val="24"/>
                <w:szCs w:val="24"/>
                <w:highlight w:val="none"/>
              </w:rPr>
            </w:pPr>
          </w:p>
        </w:tc>
      </w:tr>
      <w:bookmarkEnd w:id="194"/>
      <w:tr w14:paraId="31FA03CF">
        <w:tblPrEx>
          <w:tblCellMar>
            <w:top w:w="0" w:type="dxa"/>
            <w:left w:w="108" w:type="dxa"/>
            <w:bottom w:w="0" w:type="dxa"/>
            <w:right w:w="108" w:type="dxa"/>
          </w:tblCellMar>
        </w:tblPrEx>
        <w:trPr>
          <w:trHeight w:val="425"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12024823">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646E">
            <w:pPr>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自有铁塔、室外机柜日常维护保养。</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5167">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12" w:type="dxa"/>
            <w:tcBorders>
              <w:top w:val="single" w:color="auto" w:sz="4" w:space="0"/>
              <w:left w:val="nil"/>
              <w:bottom w:val="single" w:color="auto" w:sz="4" w:space="0"/>
              <w:right w:val="single" w:color="auto" w:sz="4" w:space="0"/>
            </w:tcBorders>
            <w:shd w:val="clear" w:color="auto" w:fill="auto"/>
            <w:vAlign w:val="center"/>
          </w:tcPr>
          <w:p w14:paraId="7E9DD5C3">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w:t>
            </w:r>
          </w:p>
        </w:tc>
        <w:tc>
          <w:tcPr>
            <w:tcW w:w="1376" w:type="dxa"/>
            <w:tcBorders>
              <w:top w:val="single" w:color="auto" w:sz="4" w:space="0"/>
              <w:left w:val="nil"/>
              <w:bottom w:val="single" w:color="auto" w:sz="4" w:space="0"/>
              <w:right w:val="single" w:color="auto" w:sz="4" w:space="0"/>
            </w:tcBorders>
            <w:shd w:val="clear" w:color="auto" w:fill="auto"/>
            <w:vAlign w:val="center"/>
          </w:tcPr>
          <w:p w14:paraId="528805A3">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w:t>
            </w:r>
          </w:p>
          <w:p w14:paraId="12493EB7">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2293" w:type="dxa"/>
            <w:vMerge w:val="continue"/>
            <w:tcBorders>
              <w:left w:val="nil"/>
              <w:right w:val="single" w:color="auto" w:sz="4" w:space="0"/>
            </w:tcBorders>
            <w:shd w:val="clear" w:color="auto" w:fill="auto"/>
            <w:vAlign w:val="center"/>
          </w:tcPr>
          <w:p w14:paraId="551957CE">
            <w:pPr>
              <w:widowControl/>
              <w:spacing w:line="21" w:lineRule="atLeast"/>
              <w:jc w:val="center"/>
              <w:rPr>
                <w:rFonts w:hint="eastAsia" w:ascii="宋体" w:hAnsi="宋体" w:eastAsia="宋体" w:cs="宋体"/>
                <w:color w:val="auto"/>
                <w:kern w:val="0"/>
                <w:sz w:val="24"/>
                <w:szCs w:val="24"/>
                <w:highlight w:val="none"/>
              </w:rPr>
            </w:pPr>
          </w:p>
        </w:tc>
      </w:tr>
      <w:tr w14:paraId="3A22B180">
        <w:tblPrEx>
          <w:tblCellMar>
            <w:top w:w="0" w:type="dxa"/>
            <w:left w:w="108" w:type="dxa"/>
            <w:bottom w:w="0" w:type="dxa"/>
            <w:right w:w="108" w:type="dxa"/>
          </w:tblCellMar>
        </w:tblPrEx>
        <w:trPr>
          <w:trHeight w:val="633"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5AD2363C">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3854" w:type="dxa"/>
            <w:tcBorders>
              <w:top w:val="single" w:color="000000" w:sz="4" w:space="0"/>
              <w:left w:val="single" w:color="000000" w:sz="4" w:space="0"/>
              <w:bottom w:val="single" w:color="auto" w:sz="4" w:space="0"/>
              <w:right w:val="single" w:color="000000" w:sz="4" w:space="0"/>
            </w:tcBorders>
            <w:shd w:val="clear" w:color="auto" w:fill="auto"/>
            <w:vAlign w:val="center"/>
          </w:tcPr>
          <w:p w14:paraId="502A998B">
            <w:pPr>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各站点监测机房日常维护、卫生清洁。</w:t>
            </w:r>
          </w:p>
        </w:tc>
        <w:tc>
          <w:tcPr>
            <w:tcW w:w="785" w:type="dxa"/>
            <w:tcBorders>
              <w:top w:val="single" w:color="000000" w:sz="4" w:space="0"/>
              <w:left w:val="single" w:color="000000" w:sz="4" w:space="0"/>
              <w:bottom w:val="single" w:color="auto" w:sz="4" w:space="0"/>
              <w:right w:val="single" w:color="000000" w:sz="4" w:space="0"/>
            </w:tcBorders>
            <w:shd w:val="clear" w:color="auto" w:fill="auto"/>
            <w:vAlign w:val="center"/>
          </w:tcPr>
          <w:p w14:paraId="6ED62F0F">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812" w:type="dxa"/>
            <w:tcBorders>
              <w:top w:val="single" w:color="auto" w:sz="4" w:space="0"/>
              <w:left w:val="nil"/>
              <w:bottom w:val="single" w:color="auto" w:sz="4" w:space="0"/>
              <w:right w:val="single" w:color="auto" w:sz="4" w:space="0"/>
            </w:tcBorders>
            <w:shd w:val="clear" w:color="auto" w:fill="auto"/>
            <w:vAlign w:val="center"/>
          </w:tcPr>
          <w:p w14:paraId="6F65AD76">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间</w:t>
            </w:r>
          </w:p>
        </w:tc>
        <w:tc>
          <w:tcPr>
            <w:tcW w:w="1376" w:type="dxa"/>
            <w:tcBorders>
              <w:top w:val="single" w:color="auto" w:sz="4" w:space="0"/>
              <w:left w:val="nil"/>
              <w:bottom w:val="single" w:color="auto" w:sz="4" w:space="0"/>
              <w:right w:val="single" w:color="auto" w:sz="4" w:space="0"/>
            </w:tcBorders>
            <w:shd w:val="clear" w:color="auto" w:fill="auto"/>
            <w:vAlign w:val="center"/>
          </w:tcPr>
          <w:p w14:paraId="758A8EB3">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w:t>
            </w:r>
          </w:p>
          <w:p w14:paraId="1AB5C057">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2293" w:type="dxa"/>
            <w:vMerge w:val="continue"/>
            <w:tcBorders>
              <w:left w:val="nil"/>
              <w:bottom w:val="single" w:color="auto" w:sz="4" w:space="0"/>
              <w:right w:val="single" w:color="auto" w:sz="4" w:space="0"/>
            </w:tcBorders>
            <w:shd w:val="clear" w:color="auto" w:fill="auto"/>
            <w:vAlign w:val="center"/>
          </w:tcPr>
          <w:p w14:paraId="739D9E07">
            <w:pPr>
              <w:widowControl/>
              <w:spacing w:line="21" w:lineRule="atLeast"/>
              <w:jc w:val="center"/>
              <w:rPr>
                <w:rFonts w:hint="eastAsia" w:ascii="宋体" w:hAnsi="宋体" w:eastAsia="宋体" w:cs="宋体"/>
                <w:color w:val="auto"/>
                <w:kern w:val="0"/>
                <w:sz w:val="24"/>
                <w:szCs w:val="24"/>
                <w:highlight w:val="none"/>
              </w:rPr>
            </w:pPr>
          </w:p>
        </w:tc>
      </w:tr>
      <w:tr w14:paraId="4B7B1C0E">
        <w:tblPrEx>
          <w:tblCellMar>
            <w:top w:w="0" w:type="dxa"/>
            <w:left w:w="108" w:type="dxa"/>
            <w:bottom w:w="0" w:type="dxa"/>
            <w:right w:w="108" w:type="dxa"/>
          </w:tblCellMar>
        </w:tblPrEx>
        <w:trPr>
          <w:trHeight w:val="633" w:hRule="atLeast"/>
        </w:trPr>
        <w:tc>
          <w:tcPr>
            <w:tcW w:w="742" w:type="dxa"/>
            <w:tcBorders>
              <w:top w:val="single" w:color="000000" w:sz="4" w:space="0"/>
              <w:left w:val="single" w:color="auto" w:sz="4" w:space="0"/>
              <w:bottom w:val="single" w:color="000000" w:sz="4" w:space="0"/>
              <w:right w:val="single" w:color="auto" w:sz="4" w:space="0"/>
            </w:tcBorders>
            <w:shd w:val="clear" w:color="auto" w:fill="auto"/>
            <w:vAlign w:val="center"/>
          </w:tcPr>
          <w:p w14:paraId="7FEB0C36">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3854" w:type="dxa"/>
            <w:tcBorders>
              <w:top w:val="single" w:color="auto" w:sz="4" w:space="0"/>
              <w:left w:val="single" w:color="auto" w:sz="4" w:space="0"/>
              <w:bottom w:val="single" w:color="auto" w:sz="4" w:space="0"/>
              <w:right w:val="single" w:color="auto" w:sz="4" w:space="0"/>
            </w:tcBorders>
            <w:shd w:val="clear" w:color="auto" w:fill="auto"/>
            <w:vAlign w:val="center"/>
          </w:tcPr>
          <w:p w14:paraId="7E99F1B5">
            <w:pPr>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各应用软件平台地图更新，使其分辨率达到</w:t>
            </w:r>
            <w:r>
              <w:rPr>
                <w:rFonts w:hint="eastAsia" w:ascii="宋体" w:hAnsi="宋体" w:eastAsia="宋体" w:cs="宋体"/>
                <w:color w:val="auto"/>
                <w:kern w:val="0"/>
                <w:sz w:val="24"/>
                <w:szCs w:val="24"/>
                <w:highlight w:val="none"/>
                <w:lang w:val="en-US" w:eastAsia="zh-CN"/>
              </w:rPr>
              <w:t>19级卫星影像地图</w:t>
            </w:r>
            <w:r>
              <w:rPr>
                <w:rFonts w:hint="eastAsia" w:ascii="宋体" w:hAnsi="宋体" w:eastAsia="宋体" w:cs="宋体"/>
                <w:color w:val="auto"/>
                <w:kern w:val="0"/>
                <w:sz w:val="24"/>
                <w:szCs w:val="24"/>
                <w:highlight w:val="none"/>
                <w:lang w:eastAsia="zh-CN"/>
              </w:rPr>
              <w:t>；将</w:t>
            </w:r>
            <w:r>
              <w:rPr>
                <w:rFonts w:hint="eastAsia" w:ascii="宋体" w:hAnsi="宋体" w:eastAsia="宋体" w:cs="宋体"/>
                <w:color w:val="auto"/>
                <w:kern w:val="0"/>
                <w:sz w:val="24"/>
                <w:szCs w:val="24"/>
                <w:highlight w:val="none"/>
                <w:lang w:val="en-US" w:eastAsia="zh-CN"/>
              </w:rPr>
              <w:t>6个站点测向功能接到同一个应用软件平台，并可实现联合测向。</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17B8DE9">
            <w:pPr>
              <w:widowControl/>
              <w:spacing w:line="21"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64BDF25E">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1D09D18C">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w:t>
            </w:r>
          </w:p>
          <w:p w14:paraId="34BE0F6F">
            <w:pPr>
              <w:widowControl/>
              <w:spacing w:line="21"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c>
          <w:tcPr>
            <w:tcW w:w="2293" w:type="dxa"/>
            <w:tcBorders>
              <w:top w:val="single" w:color="auto" w:sz="4" w:space="0"/>
              <w:left w:val="single" w:color="auto" w:sz="4" w:space="0"/>
              <w:bottom w:val="single" w:color="auto" w:sz="4" w:space="0"/>
              <w:right w:val="single" w:color="auto" w:sz="4" w:space="0"/>
            </w:tcBorders>
            <w:shd w:val="clear" w:color="auto" w:fill="auto"/>
            <w:vAlign w:val="center"/>
          </w:tcPr>
          <w:p w14:paraId="1C3874EF">
            <w:pPr>
              <w:widowControl/>
              <w:spacing w:line="21"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业务楼站、文林秋苑站、市二中站、大量山站、博尚机场站、双江站</w:t>
            </w:r>
          </w:p>
        </w:tc>
      </w:tr>
    </w:tbl>
    <w:p w14:paraId="22C03CBC">
      <w:pPr>
        <w:rPr>
          <w:rFonts w:hint="eastAsia" w:ascii="Calibri" w:hAnsi="Calibri" w:eastAsia="宋体" w:cs="Times New Roman"/>
          <w:szCs w:val="24"/>
        </w:rPr>
      </w:pPr>
    </w:p>
    <w:p w14:paraId="7B9E76DB">
      <w:pPr>
        <w:widowControl w:val="0"/>
        <w:tabs>
          <w:tab w:val="left" w:pos="1155"/>
          <w:tab w:val="right" w:leader="dot" w:pos="9016"/>
        </w:tabs>
        <w:ind w:left="0" w:leftChars="0" w:firstLine="482"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表二：2026年度临沧市无线电监测设施设备运行保障及监测设备专业维修维护</w:t>
      </w:r>
    </w:p>
    <w:p w14:paraId="18F079B3">
      <w:pPr>
        <w:widowControl w:val="0"/>
        <w:tabs>
          <w:tab w:val="left" w:pos="1155"/>
          <w:tab w:val="right" w:leader="dot" w:pos="9016"/>
        </w:tabs>
        <w:ind w:left="0" w:leftChars="0" w:firstLine="482" w:firstLineChars="200"/>
        <w:jc w:val="center"/>
        <w:rPr>
          <w:rFonts w:hint="eastAsia" w:ascii="Calibri" w:hAnsi="Calibri" w:eastAsia="宋体" w:cs="Times New Roman"/>
          <w:kern w:val="2"/>
          <w:sz w:val="21"/>
          <w:szCs w:val="24"/>
          <w:lang w:val="en-US" w:eastAsia="zh-CN" w:bidi="ar-SA"/>
        </w:rPr>
      </w:pPr>
      <w:r>
        <w:rPr>
          <w:rFonts w:hint="eastAsia" w:ascii="宋体" w:hAnsi="宋体" w:eastAsia="宋体" w:cs="宋体"/>
          <w:b/>
          <w:bCs/>
          <w:color w:val="auto"/>
          <w:kern w:val="2"/>
          <w:sz w:val="24"/>
          <w:szCs w:val="24"/>
          <w:lang w:val="en-US" w:eastAsia="zh-CN" w:bidi="ar-SA"/>
        </w:rPr>
        <w:t>技术服务内容二</w:t>
      </w:r>
    </w:p>
    <w:tbl>
      <w:tblPr>
        <w:tblStyle w:val="25"/>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997"/>
        <w:gridCol w:w="4440"/>
        <w:gridCol w:w="885"/>
        <w:gridCol w:w="1092"/>
        <w:gridCol w:w="816"/>
      </w:tblGrid>
      <w:tr w14:paraId="6AA1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9" w:type="dxa"/>
            <w:vAlign w:val="center"/>
          </w:tcPr>
          <w:p w14:paraId="69B8E72C">
            <w:pPr>
              <w:adjustRightInd w:val="0"/>
              <w:snapToGrid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序号</w:t>
            </w:r>
          </w:p>
        </w:tc>
        <w:tc>
          <w:tcPr>
            <w:tcW w:w="1997" w:type="dxa"/>
            <w:vAlign w:val="center"/>
          </w:tcPr>
          <w:p w14:paraId="6308B514">
            <w:pPr>
              <w:adjustRightInd w:val="0"/>
              <w:snapToGrid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服务</w:t>
            </w:r>
            <w:r>
              <w:rPr>
                <w:rFonts w:hint="eastAsia" w:ascii="宋体" w:hAnsi="宋体" w:eastAsia="宋体" w:cs="Times New Roman"/>
                <w:color w:val="auto"/>
                <w:sz w:val="24"/>
                <w:szCs w:val="24"/>
                <w:lang w:eastAsia="zh-CN"/>
              </w:rPr>
              <w:t>名称</w:t>
            </w:r>
          </w:p>
        </w:tc>
        <w:tc>
          <w:tcPr>
            <w:tcW w:w="4440" w:type="dxa"/>
            <w:vAlign w:val="center"/>
          </w:tcPr>
          <w:p w14:paraId="53A47E33">
            <w:pPr>
              <w:adjustRightInd w:val="0"/>
              <w:snapToGrid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服务内容</w:t>
            </w:r>
          </w:p>
        </w:tc>
        <w:tc>
          <w:tcPr>
            <w:tcW w:w="885" w:type="dxa"/>
            <w:vAlign w:val="center"/>
          </w:tcPr>
          <w:p w14:paraId="29DC0E11">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数量</w:t>
            </w:r>
          </w:p>
        </w:tc>
        <w:tc>
          <w:tcPr>
            <w:tcW w:w="1092" w:type="dxa"/>
            <w:vAlign w:val="center"/>
          </w:tcPr>
          <w:p w14:paraId="6CF889A1">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服务</w:t>
            </w:r>
          </w:p>
          <w:p w14:paraId="04F3EEC7">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地点</w:t>
            </w:r>
          </w:p>
        </w:tc>
        <w:tc>
          <w:tcPr>
            <w:tcW w:w="816" w:type="dxa"/>
            <w:vAlign w:val="center"/>
          </w:tcPr>
          <w:p w14:paraId="181E175E">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备注</w:t>
            </w:r>
          </w:p>
        </w:tc>
      </w:tr>
      <w:tr w14:paraId="2F7A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9" w:type="dxa"/>
            <w:vAlign w:val="center"/>
          </w:tcPr>
          <w:p w14:paraId="6104D4FE">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p>
        </w:tc>
        <w:tc>
          <w:tcPr>
            <w:tcW w:w="1997" w:type="dxa"/>
            <w:vAlign w:val="center"/>
          </w:tcPr>
          <w:p w14:paraId="42CD9F2F">
            <w:pPr>
              <w:autoSpaceDE w:val="0"/>
              <w:spacing w:line="24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开展无线电监测业务所必需的广域网网络传输专线服务</w:t>
            </w:r>
          </w:p>
        </w:tc>
        <w:tc>
          <w:tcPr>
            <w:tcW w:w="4440" w:type="dxa"/>
            <w:vAlign w:val="center"/>
          </w:tcPr>
          <w:p w14:paraId="77E5FDDF">
            <w:pPr>
              <w:adjustRightInd w:val="0"/>
              <w:snapToGrid w:val="0"/>
              <w:rPr>
                <w:rFonts w:hint="default" w:ascii="宋体" w:hAnsi="宋体" w:eastAsia="宋体" w:cs="Times New Roman"/>
                <w:color w:val="auto"/>
                <w:sz w:val="24"/>
                <w:szCs w:val="24"/>
                <w:lang w:val="en-US"/>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提供</w:t>
            </w:r>
            <w:r>
              <w:rPr>
                <w:rFonts w:hint="eastAsia" w:ascii="宋体" w:hAnsi="宋体" w:eastAsia="宋体" w:cs="Times New Roman"/>
                <w:color w:val="auto"/>
                <w:sz w:val="24"/>
                <w:szCs w:val="24"/>
                <w:lang w:val="en-US" w:eastAsia="zh-CN"/>
              </w:rPr>
              <w:t>24条光纤线路一年20Mbps专线租用服务；</w:t>
            </w:r>
          </w:p>
          <w:p w14:paraId="61852A1C">
            <w:pPr>
              <w:adjustRightInd w:val="0"/>
              <w:snapToGrid w:val="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提供3个无线VPN一年接入服务，并增加一个5G无线终端；</w:t>
            </w:r>
          </w:p>
          <w:p w14:paraId="0695C27A">
            <w:pPr>
              <w:adjustRightInd w:val="0"/>
              <w:snapToGrid w:val="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3.提供5个移动传感器节点19个月无线网络接入服务（按流量计费，时间段为2025年12月至2027年6月）。</w:t>
            </w:r>
          </w:p>
        </w:tc>
        <w:tc>
          <w:tcPr>
            <w:tcW w:w="885" w:type="dxa"/>
            <w:vAlign w:val="center"/>
          </w:tcPr>
          <w:p w14:paraId="65974CB9">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lang w:val="en-US" w:eastAsia="zh-CN"/>
              </w:rPr>
              <w:t>1项</w:t>
            </w:r>
          </w:p>
        </w:tc>
        <w:tc>
          <w:tcPr>
            <w:tcW w:w="1092" w:type="dxa"/>
            <w:vAlign w:val="center"/>
          </w:tcPr>
          <w:p w14:paraId="5EA25FAE">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rPr>
              <w:t>项目实施地点</w:t>
            </w:r>
          </w:p>
        </w:tc>
        <w:tc>
          <w:tcPr>
            <w:tcW w:w="816" w:type="dxa"/>
            <w:vMerge w:val="restart"/>
            <w:vAlign w:val="center"/>
          </w:tcPr>
          <w:p w14:paraId="07D81FFC">
            <w:pPr>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参见（三）运维工作具体要求</w:t>
            </w:r>
          </w:p>
        </w:tc>
      </w:tr>
      <w:tr w14:paraId="4E56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9" w:type="dxa"/>
            <w:vAlign w:val="center"/>
          </w:tcPr>
          <w:p w14:paraId="2F0CC523">
            <w:pPr>
              <w:adjustRightInd w:val="0"/>
              <w:snapToGrid w:val="0"/>
              <w:spacing w:line="480" w:lineRule="auto"/>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c>
          <w:tcPr>
            <w:tcW w:w="1997" w:type="dxa"/>
            <w:vAlign w:val="center"/>
          </w:tcPr>
          <w:p w14:paraId="5FFC5437">
            <w:pPr>
              <w:adjustRightInd w:val="0"/>
              <w:snapToGrid w:val="0"/>
              <w:spacing w:line="240" w:lineRule="auto"/>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开展无线电监测业务所必需的</w:t>
            </w:r>
            <w:r>
              <w:rPr>
                <w:rFonts w:hint="eastAsia" w:ascii="宋体" w:hAnsi="宋体" w:eastAsia="宋体" w:cs="宋体"/>
                <w:i w:val="0"/>
                <w:iCs w:val="0"/>
                <w:caps w:val="0"/>
                <w:color w:val="auto"/>
                <w:spacing w:val="0"/>
                <w:sz w:val="24"/>
                <w:szCs w:val="24"/>
                <w:shd w:val="clear" w:fill="FFFFFF"/>
                <w:lang w:val="en-US" w:eastAsia="zh-CN"/>
              </w:rPr>
              <w:t>铁塔、机房和车辆搭载平台使用服务</w:t>
            </w:r>
          </w:p>
        </w:tc>
        <w:tc>
          <w:tcPr>
            <w:tcW w:w="4440" w:type="dxa"/>
            <w:vAlign w:val="center"/>
          </w:tcPr>
          <w:p w14:paraId="644F3889">
            <w:pPr>
              <w:numPr>
                <w:ilvl w:val="0"/>
                <w:numId w:val="7"/>
              </w:numPr>
              <w:adjustRightInd w:val="0"/>
              <w:snapToGrid w:val="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提供8个</w:t>
            </w:r>
            <w:r>
              <w:rPr>
                <w:rFonts w:hint="eastAsia" w:ascii="宋体" w:hAnsi="宋体" w:eastAsia="宋体" w:cs="Times New Roman"/>
                <w:color w:val="auto"/>
                <w:sz w:val="24"/>
                <w:szCs w:val="24"/>
              </w:rPr>
              <w:t>无线电监测</w:t>
            </w:r>
            <w:r>
              <w:rPr>
                <w:rFonts w:hint="eastAsia" w:ascii="宋体" w:hAnsi="宋体" w:eastAsia="宋体" w:cs="Times New Roman"/>
                <w:color w:val="auto"/>
                <w:sz w:val="24"/>
                <w:szCs w:val="24"/>
                <w:lang w:eastAsia="zh-CN"/>
              </w:rPr>
              <w:t>站点</w:t>
            </w:r>
            <w:r>
              <w:rPr>
                <w:rFonts w:hint="eastAsia" w:ascii="宋体" w:hAnsi="宋体" w:eastAsia="宋体" w:cs="Times New Roman"/>
                <w:color w:val="auto"/>
                <w:sz w:val="24"/>
                <w:szCs w:val="24"/>
                <w:lang w:val="en-US" w:eastAsia="zh-CN"/>
              </w:rPr>
              <w:t>铁塔、机房一年租用服务；</w:t>
            </w:r>
          </w:p>
          <w:p w14:paraId="640937A2">
            <w:pPr>
              <w:numPr>
                <w:ilvl w:val="0"/>
                <w:numId w:val="7"/>
              </w:numPr>
              <w:adjustRightInd w:val="0"/>
              <w:snapToGrid w:val="0"/>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提供4套移动传感器车辆搭载平台一年租用服务。</w:t>
            </w:r>
          </w:p>
        </w:tc>
        <w:tc>
          <w:tcPr>
            <w:tcW w:w="885" w:type="dxa"/>
            <w:vAlign w:val="center"/>
          </w:tcPr>
          <w:p w14:paraId="68C191D6">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lang w:val="en-US" w:eastAsia="zh-CN"/>
              </w:rPr>
              <w:t>1项</w:t>
            </w:r>
          </w:p>
        </w:tc>
        <w:tc>
          <w:tcPr>
            <w:tcW w:w="1092" w:type="dxa"/>
            <w:vAlign w:val="center"/>
          </w:tcPr>
          <w:p w14:paraId="399E9BCC">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rPr>
              <w:t>项目实施地点</w:t>
            </w:r>
          </w:p>
        </w:tc>
        <w:tc>
          <w:tcPr>
            <w:tcW w:w="816" w:type="dxa"/>
            <w:vMerge w:val="continue"/>
            <w:vAlign w:val="center"/>
          </w:tcPr>
          <w:p w14:paraId="6EBC8B39">
            <w:pPr>
              <w:adjustRightInd w:val="0"/>
              <w:snapToGrid w:val="0"/>
              <w:jc w:val="center"/>
              <w:rPr>
                <w:rFonts w:hint="eastAsia" w:ascii="宋体" w:hAnsi="宋体" w:eastAsia="宋体" w:cs="宋体"/>
                <w:color w:val="auto"/>
                <w:kern w:val="0"/>
                <w:sz w:val="24"/>
                <w:szCs w:val="24"/>
                <w:highlight w:val="none"/>
              </w:rPr>
            </w:pPr>
          </w:p>
        </w:tc>
      </w:tr>
      <w:tr w14:paraId="240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9" w:type="dxa"/>
            <w:vAlign w:val="center"/>
          </w:tcPr>
          <w:p w14:paraId="5ACF024D">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w:t>
            </w:r>
          </w:p>
        </w:tc>
        <w:tc>
          <w:tcPr>
            <w:tcW w:w="1997" w:type="dxa"/>
            <w:vAlign w:val="center"/>
          </w:tcPr>
          <w:p w14:paraId="585BF4FF">
            <w:pPr>
              <w:adjustRightInd w:val="0"/>
              <w:snapToGrid w:val="0"/>
              <w:spacing w:line="240" w:lineRule="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开展无线电监测业务所必需的</w:t>
            </w:r>
            <w:r>
              <w:rPr>
                <w:rFonts w:hint="eastAsia" w:ascii="宋体" w:hAnsi="宋体" w:eastAsia="宋体" w:cs="宋体"/>
                <w:color w:val="auto"/>
                <w:sz w:val="24"/>
                <w:szCs w:val="24"/>
              </w:rPr>
              <w:t>监测站点电费、水费、物业管理费、保洁安保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绿化养护</w:t>
            </w:r>
            <w:r>
              <w:rPr>
                <w:rFonts w:hint="eastAsia" w:ascii="宋体" w:hAnsi="宋体" w:eastAsia="宋体" w:cs="宋体"/>
                <w:color w:val="auto"/>
                <w:sz w:val="24"/>
                <w:szCs w:val="24"/>
                <w:lang w:eastAsia="zh-CN"/>
              </w:rPr>
              <w:t>使用服务</w:t>
            </w:r>
          </w:p>
        </w:tc>
        <w:tc>
          <w:tcPr>
            <w:tcW w:w="4440" w:type="dxa"/>
            <w:vAlign w:val="center"/>
          </w:tcPr>
          <w:p w14:paraId="23D638FF">
            <w:pPr>
              <w:numPr>
                <w:ilvl w:val="0"/>
                <w:numId w:val="0"/>
              </w:numPr>
              <w:adjustRightInd w:val="0"/>
              <w:snapToGrid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1.提供15个</w:t>
            </w:r>
            <w:r>
              <w:rPr>
                <w:rFonts w:hint="eastAsia" w:ascii="宋体" w:hAnsi="宋体" w:eastAsia="宋体" w:cs="宋体"/>
                <w:color w:val="auto"/>
                <w:sz w:val="24"/>
                <w:szCs w:val="24"/>
              </w:rPr>
              <w:t>无线电监测站点电费、水费、物业管理</w:t>
            </w:r>
            <w:r>
              <w:rPr>
                <w:rFonts w:hint="eastAsia" w:ascii="宋体" w:hAnsi="宋体" w:eastAsia="宋体" w:cs="宋体"/>
                <w:color w:val="auto"/>
                <w:sz w:val="24"/>
                <w:szCs w:val="24"/>
                <w:lang w:eastAsia="zh-CN"/>
              </w:rPr>
              <w:t>服务；</w:t>
            </w:r>
          </w:p>
          <w:p w14:paraId="132E05D9">
            <w:pPr>
              <w:numPr>
                <w:ilvl w:val="0"/>
                <w:numId w:val="0"/>
              </w:num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提供无线电监测业务楼一年的</w:t>
            </w:r>
            <w:r>
              <w:rPr>
                <w:rFonts w:hint="eastAsia" w:ascii="宋体" w:hAnsi="宋体" w:eastAsia="宋体" w:cs="宋体"/>
                <w:color w:val="auto"/>
                <w:sz w:val="24"/>
                <w:szCs w:val="24"/>
              </w:rPr>
              <w:t>保洁安保</w:t>
            </w:r>
            <w:r>
              <w:rPr>
                <w:rFonts w:hint="eastAsia" w:ascii="宋体" w:hAnsi="宋体" w:eastAsia="宋体" w:cs="宋体"/>
                <w:color w:val="auto"/>
                <w:sz w:val="24"/>
                <w:szCs w:val="24"/>
                <w:lang w:eastAsia="zh-CN"/>
              </w:rPr>
              <w:t>服务；</w:t>
            </w:r>
          </w:p>
          <w:p w14:paraId="38C56F9A">
            <w:pPr>
              <w:numPr>
                <w:ilvl w:val="0"/>
                <w:numId w:val="0"/>
              </w:num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提供无线电监测业务楼院内区域</w:t>
            </w:r>
            <w:r>
              <w:rPr>
                <w:rFonts w:hint="eastAsia" w:ascii="宋体" w:hAnsi="宋体" w:eastAsia="宋体" w:cs="宋体"/>
                <w:color w:val="auto"/>
                <w:sz w:val="24"/>
                <w:szCs w:val="24"/>
                <w:lang w:val="en-US" w:eastAsia="zh-CN"/>
              </w:rPr>
              <w:t>绿化日常修剪、松土、施肥、灌溉及一年两次病虫害防治等</w:t>
            </w:r>
            <w:r>
              <w:rPr>
                <w:rFonts w:hint="eastAsia" w:ascii="宋体" w:hAnsi="宋体" w:eastAsia="宋体" w:cs="宋体"/>
                <w:color w:val="auto"/>
                <w:sz w:val="24"/>
                <w:szCs w:val="24"/>
                <w:lang w:eastAsia="zh-CN"/>
              </w:rPr>
              <w:t>服务；</w:t>
            </w:r>
          </w:p>
          <w:p w14:paraId="1A10814B">
            <w:pPr>
              <w:rPr>
                <w:rFonts w:hint="eastAsia" w:ascii="Calibri" w:hAnsi="Calibri" w:eastAsia="宋体" w:cs="Times New Roman"/>
                <w:color w:val="auto"/>
                <w:szCs w:val="24"/>
                <w:lang w:val="en-US"/>
              </w:rPr>
            </w:pPr>
            <w:r>
              <w:rPr>
                <w:rFonts w:hint="eastAsia" w:ascii="宋体" w:hAnsi="宋体" w:eastAsia="宋体" w:cs="宋体"/>
                <w:color w:val="auto"/>
                <w:sz w:val="24"/>
                <w:szCs w:val="24"/>
                <w:lang w:val="en-US" w:eastAsia="zh-CN"/>
              </w:rPr>
              <w:t>4.提供无线电监测业务楼办公区绿化管护服务（时间段为：2025年7月至2027年6月）。</w:t>
            </w:r>
          </w:p>
        </w:tc>
        <w:tc>
          <w:tcPr>
            <w:tcW w:w="885" w:type="dxa"/>
            <w:vAlign w:val="center"/>
          </w:tcPr>
          <w:p w14:paraId="7DFC0940">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lang w:val="en-US" w:eastAsia="zh-CN"/>
              </w:rPr>
              <w:t>1项</w:t>
            </w:r>
          </w:p>
        </w:tc>
        <w:tc>
          <w:tcPr>
            <w:tcW w:w="1092" w:type="dxa"/>
            <w:vAlign w:val="center"/>
          </w:tcPr>
          <w:p w14:paraId="3887C15B">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rPr>
              <w:t>项目实施地点</w:t>
            </w:r>
          </w:p>
        </w:tc>
        <w:tc>
          <w:tcPr>
            <w:tcW w:w="816" w:type="dxa"/>
            <w:vMerge w:val="continue"/>
            <w:vAlign w:val="center"/>
          </w:tcPr>
          <w:p w14:paraId="5DB9B846">
            <w:pPr>
              <w:adjustRightInd w:val="0"/>
              <w:snapToGrid w:val="0"/>
              <w:jc w:val="center"/>
              <w:rPr>
                <w:rFonts w:hint="eastAsia" w:ascii="宋体" w:hAnsi="宋体" w:eastAsia="宋体" w:cs="宋体"/>
                <w:color w:val="auto"/>
                <w:kern w:val="0"/>
                <w:sz w:val="24"/>
                <w:szCs w:val="24"/>
                <w:highlight w:val="none"/>
              </w:rPr>
            </w:pPr>
          </w:p>
        </w:tc>
      </w:tr>
      <w:tr w14:paraId="73B0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9" w:type="dxa"/>
            <w:vAlign w:val="center"/>
          </w:tcPr>
          <w:p w14:paraId="10E779AB">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w:t>
            </w:r>
          </w:p>
        </w:tc>
        <w:tc>
          <w:tcPr>
            <w:tcW w:w="1997" w:type="dxa"/>
            <w:vAlign w:val="center"/>
          </w:tcPr>
          <w:p w14:paraId="264D0B31">
            <w:pPr>
              <w:adjustRightInd w:val="0"/>
              <w:snapToGrid w:val="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特种车辆运行服务</w:t>
            </w:r>
          </w:p>
        </w:tc>
        <w:tc>
          <w:tcPr>
            <w:tcW w:w="4440" w:type="dxa"/>
            <w:vAlign w:val="center"/>
          </w:tcPr>
          <w:p w14:paraId="5390035D">
            <w:pPr>
              <w:adjustRightInd w:val="0"/>
              <w:snapToGrid w:val="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提供4辆特种车辆运行外包服务。</w:t>
            </w:r>
          </w:p>
        </w:tc>
        <w:tc>
          <w:tcPr>
            <w:tcW w:w="885" w:type="dxa"/>
            <w:vAlign w:val="center"/>
          </w:tcPr>
          <w:p w14:paraId="31F5CB7A">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lang w:val="en-US" w:eastAsia="zh-CN"/>
              </w:rPr>
              <w:t>1项</w:t>
            </w:r>
          </w:p>
        </w:tc>
        <w:tc>
          <w:tcPr>
            <w:tcW w:w="1092" w:type="dxa"/>
            <w:vAlign w:val="center"/>
          </w:tcPr>
          <w:p w14:paraId="4B51E38F">
            <w:pPr>
              <w:adjustRightInd w:val="0"/>
              <w:snapToGrid w:val="0"/>
              <w:jc w:val="center"/>
              <w:rPr>
                <w:rFonts w:hint="eastAsia" w:ascii="宋体" w:hAnsi="宋体" w:eastAsia="宋体" w:cs="Times New Roman"/>
                <w:color w:val="auto"/>
                <w:sz w:val="24"/>
                <w:szCs w:val="24"/>
                <w:lang w:val="en-US" w:eastAsia="zh-CN"/>
              </w:rPr>
            </w:pPr>
            <w:r>
              <w:rPr>
                <w:rFonts w:hint="eastAsia" w:ascii="宋体" w:hAnsi="宋体" w:eastAsia="宋体" w:cs="宋体"/>
                <w:color w:val="auto"/>
                <w:kern w:val="0"/>
                <w:sz w:val="24"/>
                <w:szCs w:val="24"/>
                <w:highlight w:val="none"/>
              </w:rPr>
              <w:t>项目实施地点</w:t>
            </w:r>
          </w:p>
        </w:tc>
        <w:tc>
          <w:tcPr>
            <w:tcW w:w="816" w:type="dxa"/>
            <w:vMerge w:val="continue"/>
            <w:vAlign w:val="center"/>
          </w:tcPr>
          <w:p w14:paraId="27DE83AA">
            <w:pPr>
              <w:adjustRightInd w:val="0"/>
              <w:snapToGrid w:val="0"/>
              <w:jc w:val="center"/>
              <w:rPr>
                <w:rFonts w:hint="eastAsia" w:ascii="宋体" w:hAnsi="宋体" w:eastAsia="宋体" w:cs="宋体"/>
                <w:color w:val="auto"/>
                <w:kern w:val="0"/>
                <w:sz w:val="24"/>
                <w:szCs w:val="24"/>
                <w:highlight w:val="none"/>
              </w:rPr>
            </w:pPr>
          </w:p>
        </w:tc>
      </w:tr>
    </w:tbl>
    <w:p w14:paraId="49F9256F">
      <w:pPr>
        <w:rPr>
          <w:rFonts w:hint="default" w:ascii="Calibri" w:hAnsi="Calibri" w:eastAsia="宋体" w:cs="Times New Roman"/>
          <w:color w:val="auto"/>
          <w:szCs w:val="24"/>
        </w:rPr>
      </w:pPr>
    </w:p>
    <w:p w14:paraId="5E28D3D8">
      <w:pPr>
        <w:keepNext/>
        <w:keepLines/>
        <w:pageBreakBefore w:val="0"/>
        <w:widowControl w:val="0"/>
        <w:numPr>
          <w:ilvl w:val="0"/>
          <w:numId w:val="6"/>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195" w:name="_Toc30947"/>
      <w:r>
        <w:rPr>
          <w:rFonts w:hint="eastAsia" w:ascii="黑体" w:hAnsi="宋体" w:eastAsia="宋体" w:cs="Times New Roman"/>
          <w:b/>
          <w:snapToGrid w:val="0"/>
          <w:color w:val="auto"/>
          <w:kern w:val="0"/>
          <w:sz w:val="24"/>
          <w:szCs w:val="20"/>
          <w:lang w:val="en-US" w:eastAsia="zh-CN" w:bidi="ar-SA"/>
        </w:rPr>
        <w:t>采购标的的数量、采购项目交付或者实施的时间和地点：</w:t>
      </w:r>
      <w:bookmarkEnd w:id="195"/>
    </w:p>
    <w:p w14:paraId="080B16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（1）采购标的的</w:t>
      </w:r>
      <w:r>
        <w:rPr>
          <w:rFonts w:hint="eastAsia" w:ascii="宋体" w:hAnsi="宋体" w:eastAsia="宋体" w:cs="宋体"/>
          <w:b/>
          <w:color w:val="auto"/>
          <w:sz w:val="24"/>
          <w:szCs w:val="24"/>
          <w:lang w:eastAsia="zh-CN"/>
        </w:rPr>
        <w:t>内容及</w:t>
      </w:r>
      <w:r>
        <w:rPr>
          <w:rFonts w:hint="eastAsia" w:ascii="宋体" w:hAnsi="宋体" w:eastAsia="宋体" w:cs="宋体"/>
          <w:b/>
          <w:color w:val="auto"/>
          <w:sz w:val="24"/>
          <w:szCs w:val="24"/>
        </w:rPr>
        <w:t>数量</w:t>
      </w:r>
      <w:r>
        <w:rPr>
          <w:rFonts w:hint="eastAsia" w:ascii="宋体" w:hAnsi="宋体" w:eastAsia="宋体" w:cs="宋体"/>
          <w:color w:val="auto"/>
          <w:sz w:val="24"/>
          <w:szCs w:val="24"/>
        </w:rPr>
        <w:t>：</w:t>
      </w:r>
      <w:r>
        <w:rPr>
          <w:rFonts w:hint="eastAsia" w:ascii="宋体" w:hAnsi="宋体" w:eastAsia="宋体" w:cs="宋体"/>
          <w:b/>
          <w:bCs/>
          <w:color w:val="auto"/>
          <w:sz w:val="24"/>
          <w:szCs w:val="24"/>
          <w:lang w:eastAsia="zh-CN"/>
        </w:rPr>
        <w:t>一是</w:t>
      </w:r>
      <w:r>
        <w:rPr>
          <w:rFonts w:hint="eastAsia" w:ascii="宋体" w:hAnsi="宋体" w:eastAsia="宋体" w:cs="宋体"/>
          <w:b/>
          <w:bCs/>
          <w:color w:val="auto"/>
          <w:sz w:val="24"/>
          <w:szCs w:val="24"/>
          <w:lang w:val="en-US" w:eastAsia="zh-CN"/>
        </w:rPr>
        <w:t>无线电监测设施设备专业维护维修服务，</w:t>
      </w:r>
      <w:r>
        <w:rPr>
          <w:rFonts w:hint="eastAsia" w:ascii="宋体" w:hAnsi="宋体" w:eastAsia="宋体" w:cs="宋体"/>
          <w:b/>
          <w:bCs/>
          <w:color w:val="auto"/>
          <w:sz w:val="24"/>
          <w:szCs w:val="24"/>
          <w:lang w:eastAsia="zh-CN"/>
        </w:rPr>
        <w:t>内容包括：</w:t>
      </w:r>
      <w:r>
        <w:rPr>
          <w:rFonts w:hint="eastAsia" w:ascii="宋体" w:hAnsi="宋体" w:eastAsia="宋体" w:cs="宋体"/>
          <w:color w:val="auto"/>
          <w:sz w:val="24"/>
          <w:szCs w:val="24"/>
          <w:lang w:eastAsia="zh-CN"/>
        </w:rPr>
        <w:t>现有</w:t>
      </w:r>
      <w:r>
        <w:rPr>
          <w:rFonts w:hint="eastAsia" w:ascii="宋体" w:hAnsi="宋体" w:eastAsia="宋体" w:cs="宋体"/>
          <w:color w:val="auto"/>
          <w:sz w:val="24"/>
          <w:szCs w:val="24"/>
          <w:lang w:val="en-US" w:eastAsia="zh-CN"/>
        </w:rPr>
        <w:t>24个</w:t>
      </w:r>
      <w:r>
        <w:rPr>
          <w:rFonts w:hint="eastAsia" w:ascii="宋体" w:hAnsi="宋体" w:eastAsia="宋体" w:cs="宋体"/>
          <w:color w:val="auto"/>
          <w:sz w:val="24"/>
          <w:szCs w:val="24"/>
          <w:lang w:eastAsia="zh-CN"/>
        </w:rPr>
        <w:t>固定监测</w:t>
      </w:r>
      <w:r>
        <w:rPr>
          <w:rFonts w:hint="eastAsia" w:ascii="宋体" w:hAnsi="宋体" w:eastAsia="宋体" w:cs="宋体"/>
          <w:color w:val="auto"/>
          <w:sz w:val="24"/>
          <w:szCs w:val="24"/>
        </w:rPr>
        <w:t>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2个移动监测站和5套移动传感器进行一年两次</w:t>
      </w:r>
      <w:r>
        <w:rPr>
          <w:rFonts w:hint="eastAsia" w:ascii="宋体" w:hAnsi="宋体" w:eastAsia="宋体" w:cs="宋体"/>
          <w:color w:val="auto"/>
          <w:sz w:val="24"/>
          <w:szCs w:val="24"/>
        </w:rPr>
        <w:t>巡检</w:t>
      </w:r>
      <w:r>
        <w:rPr>
          <w:rFonts w:hint="eastAsia" w:ascii="宋体" w:hAnsi="宋体" w:eastAsia="宋体" w:cs="宋体"/>
          <w:color w:val="auto"/>
          <w:sz w:val="24"/>
          <w:szCs w:val="24"/>
          <w:lang w:eastAsia="zh-CN"/>
        </w:rPr>
        <w:t>和日常故障处理；</w:t>
      </w:r>
      <w:r>
        <w:rPr>
          <w:rFonts w:hint="eastAsia" w:ascii="宋体" w:hAnsi="宋体" w:eastAsia="宋体" w:cs="宋体"/>
          <w:color w:val="auto"/>
          <w:sz w:val="24"/>
          <w:szCs w:val="24"/>
          <w:lang w:val="en-US" w:eastAsia="zh-CN"/>
        </w:rPr>
        <w:t>监测业务楼3楼网络机房系统</w:t>
      </w:r>
      <w:r>
        <w:rPr>
          <w:rFonts w:hint="eastAsia" w:ascii="宋体" w:hAnsi="宋体" w:eastAsia="宋体" w:cs="宋体"/>
          <w:color w:val="auto"/>
          <w:sz w:val="24"/>
          <w:szCs w:val="24"/>
          <w:lang w:eastAsia="zh-CN"/>
        </w:rPr>
        <w:t>设备日常维护、建成核心网络设备的备品备件库，并对现有监测站点</w:t>
      </w:r>
      <w:r>
        <w:rPr>
          <w:rFonts w:hint="eastAsia" w:ascii="宋体" w:hAnsi="宋体" w:eastAsia="宋体" w:cs="宋体"/>
          <w:color w:val="auto"/>
          <w:sz w:val="24"/>
          <w:szCs w:val="24"/>
          <w:lang w:val="en-US" w:eastAsia="zh-CN"/>
        </w:rPr>
        <w:t>IP地址配置进行优化调整，做好各网络设备端口数据配置；6个现有监测站点监测数据接入城市无线电移动智能众包监测系统；8</w:t>
      </w:r>
      <w:r>
        <w:rPr>
          <w:rFonts w:hint="eastAsia" w:ascii="宋体" w:hAnsi="宋体" w:eastAsia="宋体" w:cs="宋体"/>
          <w:color w:val="auto"/>
          <w:sz w:val="24"/>
          <w:szCs w:val="24"/>
        </w:rPr>
        <w:t>个无线电监测站机房</w:t>
      </w:r>
      <w:r>
        <w:rPr>
          <w:rFonts w:hint="eastAsia" w:ascii="宋体" w:hAnsi="宋体" w:eastAsia="宋体" w:cs="宋体"/>
          <w:color w:val="auto"/>
          <w:sz w:val="24"/>
          <w:szCs w:val="24"/>
          <w:lang w:eastAsia="zh-CN"/>
        </w:rPr>
        <w:t>的日常</w:t>
      </w:r>
      <w:r>
        <w:rPr>
          <w:rFonts w:hint="eastAsia" w:ascii="宋体" w:hAnsi="宋体" w:eastAsia="宋体" w:cs="宋体"/>
          <w:color w:val="auto"/>
          <w:sz w:val="24"/>
          <w:szCs w:val="24"/>
        </w:rPr>
        <w:t>管理</w:t>
      </w:r>
      <w:r>
        <w:rPr>
          <w:rFonts w:hint="eastAsia" w:ascii="宋体" w:hAnsi="宋体" w:eastAsia="宋体" w:cs="宋体"/>
          <w:color w:val="auto"/>
          <w:sz w:val="24"/>
          <w:szCs w:val="24"/>
          <w:lang w:eastAsia="zh-CN"/>
        </w:rPr>
        <w:t>和卫生清洁；</w:t>
      </w:r>
      <w:r>
        <w:rPr>
          <w:rFonts w:hint="eastAsia" w:ascii="宋体" w:hAnsi="宋体" w:eastAsia="宋体" w:cs="宋体"/>
          <w:color w:val="auto"/>
          <w:kern w:val="0"/>
          <w:sz w:val="24"/>
          <w:szCs w:val="24"/>
          <w:highlight w:val="none"/>
          <w:lang w:eastAsia="zh-CN"/>
        </w:rPr>
        <w:t>各应用软件平台地图更新，使其分辨率达到</w:t>
      </w:r>
      <w:r>
        <w:rPr>
          <w:rFonts w:hint="eastAsia" w:ascii="宋体" w:hAnsi="宋体" w:eastAsia="宋体" w:cs="宋体"/>
          <w:color w:val="auto"/>
          <w:kern w:val="0"/>
          <w:sz w:val="24"/>
          <w:szCs w:val="24"/>
          <w:highlight w:val="none"/>
          <w:lang w:val="en-US" w:eastAsia="zh-CN"/>
        </w:rPr>
        <w:t>19级卫星影像地图</w:t>
      </w:r>
      <w:r>
        <w:rPr>
          <w:rFonts w:hint="eastAsia" w:ascii="宋体" w:hAnsi="宋体" w:eastAsia="宋体" w:cs="宋体"/>
          <w:color w:val="auto"/>
          <w:kern w:val="0"/>
          <w:sz w:val="24"/>
          <w:szCs w:val="24"/>
          <w:highlight w:val="none"/>
          <w:lang w:eastAsia="zh-CN"/>
        </w:rPr>
        <w:t>；将</w:t>
      </w:r>
      <w:r>
        <w:rPr>
          <w:rFonts w:hint="eastAsia" w:ascii="宋体" w:hAnsi="宋体" w:eastAsia="宋体" w:cs="宋体"/>
          <w:color w:val="auto"/>
          <w:kern w:val="0"/>
          <w:sz w:val="24"/>
          <w:szCs w:val="24"/>
          <w:highlight w:val="none"/>
          <w:lang w:val="en-US" w:eastAsia="zh-CN"/>
        </w:rPr>
        <w:t>6个站点测向功能接到同一个应用软件平台，并可实现联合测向功能；</w:t>
      </w:r>
      <w:r>
        <w:rPr>
          <w:rFonts w:hint="eastAsia" w:ascii="宋体" w:hAnsi="宋体" w:eastAsia="宋体" w:cs="宋体"/>
          <w:color w:val="auto"/>
          <w:sz w:val="24"/>
          <w:szCs w:val="24"/>
          <w:lang w:val="en-US" w:eastAsia="zh-CN"/>
        </w:rPr>
        <w:t>14台空调日常维修维护，并更换网络室空调1台；6台室外机柜和13座铁塔日常维护；定期更换31</w:t>
      </w:r>
      <w:r>
        <w:rPr>
          <w:rFonts w:hint="eastAsia" w:ascii="宋体" w:hAnsi="宋体" w:eastAsia="宋体" w:cs="宋体"/>
          <w:color w:val="auto"/>
          <w:sz w:val="24"/>
          <w:szCs w:val="24"/>
        </w:rPr>
        <w:t>项无线电监测网</w:t>
      </w:r>
      <w:r>
        <w:rPr>
          <w:rFonts w:hint="eastAsia" w:ascii="宋体" w:hAnsi="宋体" w:eastAsia="宋体" w:cs="宋体"/>
          <w:color w:val="auto"/>
          <w:sz w:val="24"/>
          <w:szCs w:val="24"/>
          <w:lang w:eastAsia="zh-CN"/>
        </w:rPr>
        <w:t>内的</w:t>
      </w:r>
      <w:r>
        <w:rPr>
          <w:rFonts w:hint="eastAsia" w:ascii="宋体" w:hAnsi="宋体" w:eastAsia="宋体" w:cs="宋体"/>
          <w:color w:val="auto"/>
          <w:sz w:val="24"/>
          <w:szCs w:val="24"/>
        </w:rPr>
        <w:t>低值易耗</w:t>
      </w:r>
      <w:r>
        <w:rPr>
          <w:rFonts w:hint="eastAsia" w:ascii="宋体" w:hAnsi="宋体" w:eastAsia="宋体" w:cs="宋体"/>
          <w:color w:val="auto"/>
          <w:sz w:val="24"/>
          <w:szCs w:val="24"/>
          <w:lang w:eastAsia="zh-CN"/>
        </w:rPr>
        <w:t>品</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机房</w:t>
      </w:r>
      <w:r>
        <w:rPr>
          <w:rFonts w:hint="eastAsia" w:ascii="宋体" w:hAnsi="宋体" w:eastAsia="宋体" w:cs="宋体"/>
          <w:color w:val="auto"/>
          <w:kern w:val="0"/>
          <w:sz w:val="24"/>
          <w:szCs w:val="24"/>
          <w:highlight w:val="none"/>
        </w:rPr>
        <w:t>插座、</w:t>
      </w:r>
      <w:r>
        <w:rPr>
          <w:rFonts w:hint="eastAsia" w:ascii="宋体" w:hAnsi="宋体" w:eastAsia="宋体" w:cs="宋体"/>
          <w:color w:val="auto"/>
          <w:kern w:val="0"/>
          <w:sz w:val="24"/>
          <w:szCs w:val="24"/>
          <w:highlight w:val="none"/>
          <w:lang w:eastAsia="zh-CN"/>
        </w:rPr>
        <w:t>开关、</w:t>
      </w:r>
      <w:r>
        <w:rPr>
          <w:rFonts w:hint="eastAsia" w:ascii="宋体" w:hAnsi="宋体" w:eastAsia="宋体" w:cs="宋体"/>
          <w:color w:val="auto"/>
          <w:kern w:val="0"/>
          <w:sz w:val="24"/>
          <w:szCs w:val="24"/>
          <w:highlight w:val="none"/>
        </w:rPr>
        <w:t>照明、CMOS电池、CPU风扇、</w:t>
      </w:r>
      <w:r>
        <w:rPr>
          <w:rFonts w:hint="eastAsia" w:ascii="宋体" w:hAnsi="宋体" w:eastAsia="宋体" w:cs="宋体"/>
          <w:color w:val="auto"/>
          <w:kern w:val="0"/>
          <w:sz w:val="24"/>
          <w:szCs w:val="24"/>
          <w:highlight w:val="none"/>
          <w:lang w:eastAsia="zh-CN"/>
        </w:rPr>
        <w:t>逆变器、</w:t>
      </w:r>
      <w:r>
        <w:rPr>
          <w:rFonts w:hint="eastAsia" w:ascii="宋体" w:hAnsi="宋体" w:eastAsia="宋体" w:cs="宋体"/>
          <w:color w:val="auto"/>
          <w:kern w:val="0"/>
          <w:sz w:val="24"/>
          <w:szCs w:val="24"/>
          <w:highlight w:val="none"/>
        </w:rPr>
        <w:t>卫生洁具</w:t>
      </w:r>
      <w:r>
        <w:rPr>
          <w:rFonts w:hint="eastAsia" w:ascii="宋体" w:hAnsi="宋体" w:eastAsia="宋体" w:cs="宋体"/>
          <w:color w:val="auto"/>
          <w:kern w:val="0"/>
          <w:sz w:val="24"/>
          <w:szCs w:val="24"/>
          <w:highlight w:val="none"/>
          <w:lang w:eastAsia="zh-CN"/>
        </w:rPr>
        <w:t>、门锁</w:t>
      </w:r>
      <w:r>
        <w:rPr>
          <w:rFonts w:hint="eastAsia" w:ascii="宋体" w:hAnsi="宋体" w:eastAsia="宋体" w:cs="宋体"/>
          <w:color w:val="auto"/>
          <w:kern w:val="0"/>
          <w:sz w:val="24"/>
          <w:szCs w:val="24"/>
          <w:highlight w:val="none"/>
        </w:rPr>
        <w:t>等</w:t>
      </w:r>
      <w:r>
        <w:rPr>
          <w:rFonts w:hint="eastAsia" w:ascii="宋体" w:hAnsi="宋体" w:eastAsia="宋体" w:cs="宋体"/>
          <w:color w:val="auto"/>
          <w:sz w:val="24"/>
          <w:szCs w:val="24"/>
          <w:lang w:eastAsia="zh-CN"/>
        </w:rPr>
        <w:t>）；监测业务楼电梯日常维护保养、更换易耗品；监测网</w:t>
      </w:r>
      <w:r>
        <w:rPr>
          <w:rFonts w:hint="eastAsia" w:ascii="宋体" w:hAnsi="宋体" w:eastAsia="宋体" w:cs="宋体"/>
          <w:color w:val="auto"/>
          <w:sz w:val="24"/>
          <w:szCs w:val="24"/>
        </w:rPr>
        <w:t>控制中心及各监测站病毒防护服务</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eastAsia="zh-CN"/>
        </w:rPr>
        <w:t>参与重大场合、各类考试无线电安全保障工作。</w:t>
      </w:r>
      <w:r>
        <w:rPr>
          <w:rFonts w:hint="eastAsia" w:ascii="宋体" w:hAnsi="宋体" w:eastAsia="宋体" w:cs="宋体"/>
          <w:b/>
          <w:bCs/>
          <w:color w:val="auto"/>
          <w:sz w:val="24"/>
          <w:szCs w:val="24"/>
          <w:lang w:eastAsia="zh-CN"/>
        </w:rPr>
        <w:t>二是</w:t>
      </w:r>
      <w:r>
        <w:rPr>
          <w:rFonts w:hint="eastAsia" w:ascii="宋体" w:hAnsi="宋体" w:eastAsia="宋体" w:cs="宋体"/>
          <w:b/>
          <w:bCs/>
          <w:color w:val="auto"/>
          <w:sz w:val="24"/>
          <w:szCs w:val="24"/>
          <w:lang w:val="en-US" w:eastAsia="zh-CN"/>
        </w:rPr>
        <w:t>无线电监测网运行保障服务，内容包括：</w:t>
      </w:r>
      <w:r>
        <w:rPr>
          <w:rFonts w:hint="eastAsia" w:ascii="宋体" w:hAnsi="宋体" w:eastAsia="宋体" w:cs="宋体"/>
          <w:color w:val="auto"/>
          <w:sz w:val="24"/>
          <w:szCs w:val="24"/>
          <w:lang w:val="en-US" w:eastAsia="zh-CN"/>
        </w:rPr>
        <w:t>24条20Mbps光纤线路一年的专线租用服务；3个无线VPN一年的接入服务；5个移动传感器节点一年的无线网络接入服务；配备一个5G无线终端；8个</w:t>
      </w:r>
      <w:r>
        <w:rPr>
          <w:rFonts w:hint="eastAsia" w:ascii="宋体" w:hAnsi="宋体" w:eastAsia="宋体" w:cs="宋体"/>
          <w:color w:val="auto"/>
          <w:sz w:val="24"/>
          <w:szCs w:val="24"/>
        </w:rPr>
        <w:t>无线电监测</w:t>
      </w:r>
      <w:r>
        <w:rPr>
          <w:rFonts w:hint="eastAsia" w:ascii="宋体" w:hAnsi="宋体" w:eastAsia="宋体" w:cs="宋体"/>
          <w:color w:val="auto"/>
          <w:sz w:val="24"/>
          <w:szCs w:val="24"/>
          <w:lang w:eastAsia="zh-CN"/>
        </w:rPr>
        <w:t>站点</w:t>
      </w:r>
      <w:r>
        <w:rPr>
          <w:rFonts w:hint="eastAsia" w:ascii="宋体" w:hAnsi="宋体" w:eastAsia="宋体" w:cs="宋体"/>
          <w:color w:val="auto"/>
          <w:sz w:val="24"/>
          <w:szCs w:val="24"/>
          <w:lang w:val="en-US" w:eastAsia="zh-CN"/>
        </w:rPr>
        <w:t>铁塔、机房一年的租用服务；4套移动传感器车辆搭载平台一年租用服务；15个</w:t>
      </w:r>
      <w:r>
        <w:rPr>
          <w:rFonts w:hint="eastAsia" w:ascii="宋体" w:hAnsi="宋体" w:eastAsia="宋体" w:cs="宋体"/>
          <w:color w:val="auto"/>
          <w:sz w:val="24"/>
          <w:szCs w:val="24"/>
        </w:rPr>
        <w:t>无线电监测站点电费、水费、物业管理</w:t>
      </w:r>
      <w:r>
        <w:rPr>
          <w:rFonts w:hint="eastAsia" w:ascii="宋体" w:hAnsi="宋体" w:eastAsia="宋体" w:cs="宋体"/>
          <w:color w:val="auto"/>
          <w:sz w:val="24"/>
          <w:szCs w:val="24"/>
          <w:lang w:eastAsia="zh-CN"/>
        </w:rPr>
        <w:t>服务；无线电监测业务楼一年</w:t>
      </w:r>
      <w:r>
        <w:rPr>
          <w:rFonts w:hint="eastAsia" w:ascii="宋体" w:hAnsi="宋体" w:eastAsia="宋体" w:cs="宋体"/>
          <w:color w:val="auto"/>
          <w:sz w:val="24"/>
          <w:szCs w:val="24"/>
        </w:rPr>
        <w:t>保洁安保</w:t>
      </w:r>
      <w:r>
        <w:rPr>
          <w:rFonts w:hint="eastAsia" w:ascii="宋体" w:hAnsi="宋体" w:eastAsia="宋体" w:cs="宋体"/>
          <w:color w:val="auto"/>
          <w:sz w:val="24"/>
          <w:szCs w:val="24"/>
          <w:lang w:eastAsia="zh-CN"/>
        </w:rPr>
        <w:t>服务；无线电监测业务楼院内</w:t>
      </w:r>
      <w:r>
        <w:rPr>
          <w:rFonts w:hint="eastAsia" w:ascii="宋体" w:hAnsi="宋体" w:eastAsia="宋体" w:cs="宋体"/>
          <w:color w:val="auto"/>
          <w:sz w:val="24"/>
          <w:szCs w:val="24"/>
          <w:lang w:val="en-US" w:eastAsia="zh-CN"/>
        </w:rPr>
        <w:t>绿化日常修剪、松土、施肥、灌溉及一年两次病虫害防治等</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lang w:val="en-US" w:eastAsia="zh-CN"/>
        </w:rPr>
        <w:t>无线电监测业务楼办公区绿化管护服务和4辆特种车辆运行外包服务。</w:t>
      </w:r>
    </w:p>
    <w:p w14:paraId="10A8B7B0">
      <w:pPr>
        <w:widowControl/>
        <w:spacing w:before="0" w:beforeAutospacing="0" w:after="0" w:afterAutospacing="0" w:line="360" w:lineRule="auto"/>
        <w:ind w:firstLine="482" w:firstLineChars="20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2"/>
          <w:sz w:val="24"/>
          <w:szCs w:val="24"/>
          <w:lang w:val="en-US" w:eastAsia="zh-CN" w:bidi="ar-SA"/>
        </w:rPr>
        <w:t>（2）合同履行期限</w:t>
      </w:r>
      <w:r>
        <w:rPr>
          <w:rFonts w:hint="eastAsia" w:ascii="宋体" w:hAnsi="宋体" w:eastAsia="宋体" w:cs="宋体"/>
          <w:color w:val="auto"/>
          <w:kern w:val="0"/>
          <w:sz w:val="24"/>
          <w:szCs w:val="24"/>
          <w:lang w:val="en-US" w:eastAsia="zh-CN" w:bidi="ar-SA"/>
        </w:rPr>
        <w:t>：</w:t>
      </w:r>
      <w:r>
        <w:rPr>
          <w:rFonts w:hint="eastAsia" w:ascii="宋体" w:hAnsi="宋体" w:cs="宋体"/>
          <w:i w:val="0"/>
          <w:iCs w:val="0"/>
          <w:color w:val="auto"/>
          <w:sz w:val="24"/>
          <w:szCs w:val="24"/>
          <w:highlight w:val="none"/>
          <w:lang w:val="en-US" w:eastAsia="zh-CN"/>
        </w:rPr>
        <w:t>1年，</w:t>
      </w:r>
      <w:r>
        <w:rPr>
          <w:rFonts w:hint="eastAsia" w:ascii="宋体" w:hAnsi="宋体" w:eastAsia="宋体" w:cs="宋体"/>
          <w:i w:val="0"/>
          <w:iCs w:val="0"/>
          <w:color w:val="auto"/>
          <w:sz w:val="24"/>
          <w:szCs w:val="24"/>
          <w:lang w:val="en-US" w:eastAsia="zh-CN"/>
        </w:rPr>
        <w:t>自合同签订之日起</w:t>
      </w:r>
      <w:r>
        <w:rPr>
          <w:rFonts w:hint="eastAsia" w:ascii="宋体" w:hAnsi="宋体" w:cs="宋体"/>
          <w:i w:val="0"/>
          <w:iCs w:val="0"/>
          <w:color w:val="auto"/>
          <w:sz w:val="24"/>
          <w:szCs w:val="24"/>
          <w:lang w:val="en-US" w:eastAsia="zh-CN"/>
        </w:rPr>
        <w:t>算</w:t>
      </w:r>
      <w:r>
        <w:rPr>
          <w:rFonts w:hint="eastAsia" w:ascii="宋体" w:hAnsi="宋体" w:eastAsia="宋体" w:cs="宋体"/>
          <w:color w:val="auto"/>
          <w:kern w:val="0"/>
          <w:sz w:val="24"/>
          <w:szCs w:val="24"/>
          <w:highlight w:val="none"/>
          <w:lang w:val="en-US" w:eastAsia="zh-CN" w:bidi="ar-SA"/>
        </w:rPr>
        <w:t>。</w:t>
      </w:r>
    </w:p>
    <w:p w14:paraId="15718280">
      <w:pPr>
        <w:widowControl/>
        <w:spacing w:line="360" w:lineRule="auto"/>
        <w:ind w:firstLine="482" w:firstLineChars="200"/>
        <w:jc w:val="left"/>
        <w:rPr>
          <w:rFonts w:ascii="宋体" w:hAnsi="宋体" w:eastAsia="宋体" w:cs="宋体"/>
          <w:color w:val="auto"/>
          <w:sz w:val="24"/>
          <w:szCs w:val="24"/>
        </w:rPr>
      </w:pPr>
      <w:r>
        <w:rPr>
          <w:rFonts w:hint="eastAsia" w:ascii="宋体" w:hAnsi="宋体" w:eastAsia="宋体" w:cs="宋体"/>
          <w:b/>
          <w:color w:val="auto"/>
          <w:sz w:val="24"/>
          <w:szCs w:val="24"/>
        </w:rPr>
        <w:t>（3）项目供货实施地点：</w:t>
      </w:r>
      <w:r>
        <w:rPr>
          <w:rFonts w:hint="eastAsia" w:ascii="宋体" w:hAnsi="宋体" w:eastAsia="宋体" w:cs="宋体"/>
          <w:color w:val="auto"/>
          <w:sz w:val="24"/>
          <w:szCs w:val="24"/>
        </w:rPr>
        <w:t>采购人</w:t>
      </w:r>
      <w:r>
        <w:rPr>
          <w:rFonts w:hint="eastAsia" w:ascii="宋体" w:hAnsi="宋体" w:cs="宋体"/>
          <w:color w:val="auto"/>
          <w:sz w:val="24"/>
          <w:szCs w:val="24"/>
          <w:lang w:eastAsia="zh-CN"/>
        </w:rPr>
        <w:t>指定</w:t>
      </w:r>
      <w:r>
        <w:rPr>
          <w:rFonts w:hint="eastAsia" w:ascii="宋体" w:hAnsi="宋体" w:eastAsia="宋体" w:cs="宋体"/>
          <w:color w:val="auto"/>
          <w:sz w:val="24"/>
          <w:szCs w:val="24"/>
        </w:rPr>
        <w:t>地点。</w:t>
      </w:r>
    </w:p>
    <w:p w14:paraId="15C6417E">
      <w:pPr>
        <w:keepNext/>
        <w:keepLines/>
        <w:pageBreakBefore w:val="0"/>
        <w:widowControl w:val="0"/>
        <w:numPr>
          <w:ilvl w:val="0"/>
          <w:numId w:val="6"/>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196" w:name="_Toc14339"/>
      <w:bookmarkStart w:id="197" w:name="_Toc22132615"/>
      <w:bookmarkStart w:id="198" w:name="_Toc19437"/>
      <w:r>
        <w:rPr>
          <w:rFonts w:hint="eastAsia" w:ascii="黑体" w:hAnsi="宋体" w:eastAsia="宋体" w:cs="Times New Roman"/>
          <w:b/>
          <w:snapToGrid w:val="0"/>
          <w:color w:val="auto"/>
          <w:kern w:val="0"/>
          <w:sz w:val="24"/>
          <w:szCs w:val="20"/>
          <w:lang w:val="en-US" w:eastAsia="zh-CN" w:bidi="ar-SA"/>
        </w:rPr>
        <w:t>无线电监测网概况</w:t>
      </w:r>
      <w:bookmarkEnd w:id="196"/>
      <w:bookmarkEnd w:id="197"/>
      <w:bookmarkEnd w:id="198"/>
    </w:p>
    <w:p w14:paraId="36D330D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rPr>
        <w:t>近几年来，临沧市大力加强了无线电监测网基础设施建设，配备了技术较先进的</w:t>
      </w:r>
      <w:r>
        <w:rPr>
          <w:rFonts w:hint="eastAsia" w:ascii="宋体" w:hAnsi="宋体" w:eastAsia="宋体" w:cs="宋体"/>
          <w:color w:val="auto"/>
          <w:sz w:val="24"/>
          <w:szCs w:val="24"/>
          <w:lang w:eastAsia="zh-CN"/>
        </w:rPr>
        <w:t>无线电</w:t>
      </w:r>
      <w:r>
        <w:rPr>
          <w:rFonts w:hint="eastAsia" w:ascii="宋体" w:hAnsi="宋体" w:eastAsia="宋体" w:cs="宋体"/>
          <w:color w:val="auto"/>
          <w:sz w:val="24"/>
          <w:szCs w:val="24"/>
        </w:rPr>
        <w:t>监测设备，组</w:t>
      </w:r>
      <w:r>
        <w:rPr>
          <w:rFonts w:hint="eastAsia" w:ascii="宋体" w:hAnsi="宋体" w:eastAsia="宋体" w:cs="宋体"/>
          <w:color w:val="auto"/>
          <w:sz w:val="24"/>
          <w:szCs w:val="24"/>
          <w:lang w:eastAsia="zh-CN"/>
        </w:rPr>
        <w:t>建</w:t>
      </w:r>
      <w:r>
        <w:rPr>
          <w:rFonts w:hint="eastAsia" w:ascii="宋体" w:hAnsi="宋体" w:eastAsia="宋体" w:cs="宋体"/>
          <w:color w:val="auto"/>
          <w:sz w:val="24"/>
          <w:szCs w:val="24"/>
        </w:rPr>
        <w:t>了功能</w:t>
      </w:r>
      <w:r>
        <w:rPr>
          <w:rFonts w:hint="eastAsia" w:ascii="宋体" w:hAnsi="宋体" w:eastAsia="宋体" w:cs="宋体"/>
          <w:color w:val="auto"/>
          <w:sz w:val="24"/>
          <w:szCs w:val="24"/>
          <w:lang w:eastAsia="zh-CN"/>
        </w:rPr>
        <w:t>相对</w:t>
      </w:r>
      <w:r>
        <w:rPr>
          <w:rFonts w:hint="eastAsia" w:ascii="宋体" w:hAnsi="宋体" w:eastAsia="宋体" w:cs="宋体"/>
          <w:color w:val="auto"/>
          <w:sz w:val="24"/>
          <w:szCs w:val="24"/>
        </w:rPr>
        <w:t>完善的无线电监测网，加强了全市电磁环境实时监控力度，使无线电频谱资源得到合理、科学</w:t>
      </w:r>
      <w:r>
        <w:rPr>
          <w:rFonts w:hint="eastAsia" w:ascii="宋体" w:hAnsi="宋体" w:cs="宋体"/>
          <w:color w:val="auto"/>
          <w:sz w:val="24"/>
          <w:szCs w:val="24"/>
          <w:lang w:eastAsia="zh-CN"/>
        </w:rPr>
        <w:t>地</w:t>
      </w:r>
      <w:r>
        <w:rPr>
          <w:rFonts w:hint="eastAsia" w:ascii="宋体" w:hAnsi="宋体" w:eastAsia="宋体" w:cs="宋体"/>
          <w:color w:val="auto"/>
          <w:sz w:val="24"/>
          <w:szCs w:val="24"/>
        </w:rPr>
        <w:t>利用。</w:t>
      </w:r>
      <w:r>
        <w:rPr>
          <w:rFonts w:hint="eastAsia" w:ascii="宋体" w:hAnsi="宋体" w:eastAsia="宋体" w:cs="宋体"/>
          <w:color w:val="auto"/>
          <w:sz w:val="24"/>
          <w:szCs w:val="24"/>
          <w:lang w:eastAsia="zh-CN"/>
        </w:rPr>
        <w:t>目前全市共有固定监测站点</w:t>
      </w:r>
      <w:r>
        <w:rPr>
          <w:rFonts w:hint="eastAsia" w:ascii="宋体" w:hAnsi="宋体" w:eastAsia="宋体" w:cs="宋体"/>
          <w:color w:val="auto"/>
          <w:sz w:val="24"/>
          <w:szCs w:val="24"/>
          <w:lang w:val="en-US" w:eastAsia="zh-CN"/>
        </w:rPr>
        <w:t>24个、移动监测站2个、移动传感器设备5套、便携式监测检测设备若干套。</w:t>
      </w:r>
      <w:r>
        <w:rPr>
          <w:rFonts w:hint="eastAsia" w:ascii="宋体" w:hAnsi="宋体" w:eastAsia="宋体" w:cs="宋体"/>
          <w:color w:val="auto"/>
          <w:sz w:val="24"/>
          <w:szCs w:val="24"/>
        </w:rPr>
        <w:t>为了保障无线电监测网</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的正常运行，充分发挥无线电监测设施应有的作用，按照《云南省工业和信息化厅关于调整无线电监测网运行维护任务分工有关事项的通知》要求（云工信无监</w:t>
      </w:r>
      <w:r>
        <w:rPr>
          <w:rFonts w:hint="eastAsia" w:ascii="宋体" w:hAnsi="宋体" w:cs="宋体"/>
          <w:color w:val="auto"/>
          <w:sz w:val="24"/>
          <w:szCs w:val="24"/>
          <w:lang w:eastAsia="zh-CN"/>
        </w:rPr>
        <w:t>〔2019〕272号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认真规划做好我市监测网运行维护工作</w:t>
      </w:r>
      <w:r>
        <w:rPr>
          <w:rFonts w:hint="eastAsia" w:ascii="宋体" w:hAnsi="宋体" w:eastAsia="宋体" w:cs="宋体"/>
          <w:color w:val="auto"/>
          <w:sz w:val="24"/>
          <w:szCs w:val="24"/>
          <w:highlight w:val="none"/>
        </w:rPr>
        <w:t>。</w:t>
      </w:r>
    </w:p>
    <w:p w14:paraId="5E3AFE14">
      <w:pPr>
        <w:keepNext/>
        <w:keepLines/>
        <w:pageBreakBefore w:val="0"/>
        <w:widowControl w:val="0"/>
        <w:numPr>
          <w:ilvl w:val="0"/>
          <w:numId w:val="6"/>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199" w:name="_Toc22132616"/>
      <w:bookmarkStart w:id="200" w:name="_Toc5137"/>
      <w:bookmarkStart w:id="201" w:name="_Toc4353"/>
      <w:r>
        <w:rPr>
          <w:rFonts w:hint="eastAsia" w:ascii="黑体" w:hAnsi="宋体" w:eastAsia="宋体" w:cs="Times New Roman"/>
          <w:b/>
          <w:snapToGrid w:val="0"/>
          <w:color w:val="auto"/>
          <w:kern w:val="0"/>
          <w:sz w:val="24"/>
          <w:szCs w:val="20"/>
          <w:lang w:val="en-US" w:eastAsia="zh-CN" w:bidi="ar-SA"/>
        </w:rPr>
        <w:t>运维工作目标</w:t>
      </w:r>
      <w:bookmarkEnd w:id="199"/>
      <w:bookmarkEnd w:id="200"/>
      <w:bookmarkEnd w:id="201"/>
    </w:p>
    <w:p w14:paraId="5CD391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）整体目标</w:t>
      </w:r>
    </w:p>
    <w:p w14:paraId="190DBC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通过实施无线电监测网</w:t>
      </w:r>
      <w:r>
        <w:rPr>
          <w:rFonts w:hint="eastAsia" w:ascii="宋体" w:hAnsi="宋体" w:eastAsia="宋体" w:cs="宋体"/>
          <w:color w:val="auto"/>
          <w:sz w:val="24"/>
          <w:szCs w:val="24"/>
          <w:lang w:eastAsia="zh-CN"/>
        </w:rPr>
        <w:t>系统</w:t>
      </w:r>
      <w:r>
        <w:rPr>
          <w:rFonts w:hint="eastAsia" w:ascii="宋体" w:hAnsi="宋体" w:eastAsia="宋体" w:cs="宋体"/>
          <w:color w:val="auto"/>
          <w:sz w:val="24"/>
          <w:szCs w:val="24"/>
        </w:rPr>
        <w:t>巡检、</w:t>
      </w:r>
      <w:r>
        <w:rPr>
          <w:rFonts w:hint="eastAsia" w:ascii="宋体" w:hAnsi="宋体" w:eastAsia="宋体" w:cs="宋体"/>
          <w:color w:val="auto"/>
          <w:sz w:val="24"/>
          <w:szCs w:val="24"/>
          <w:lang w:eastAsia="zh-CN"/>
        </w:rPr>
        <w:t>日常故障处理、设备</w:t>
      </w:r>
      <w:r>
        <w:rPr>
          <w:rFonts w:hint="eastAsia" w:ascii="宋体" w:hAnsi="宋体" w:eastAsia="宋体" w:cs="宋体"/>
          <w:color w:val="auto"/>
          <w:sz w:val="24"/>
          <w:szCs w:val="24"/>
        </w:rPr>
        <w:t>保修、配套设施维护等工作，用先进、集中、规范化</w:t>
      </w:r>
      <w:r>
        <w:rPr>
          <w:rFonts w:hint="eastAsia" w:ascii="宋体" w:hAnsi="宋体" w:eastAsia="宋体" w:cs="宋体"/>
          <w:color w:val="auto"/>
          <w:sz w:val="24"/>
          <w:szCs w:val="24"/>
          <w:lang w:eastAsia="zh-CN"/>
        </w:rPr>
        <w:t>和系统的</w:t>
      </w:r>
      <w:r>
        <w:rPr>
          <w:rFonts w:hint="eastAsia" w:ascii="宋体" w:hAnsi="宋体" w:eastAsia="宋体" w:cs="宋体"/>
          <w:color w:val="auto"/>
          <w:sz w:val="24"/>
          <w:szCs w:val="24"/>
        </w:rPr>
        <w:t>维护管理方式取代分散的，以突发故障处理为主的维护方式，建立以设备</w:t>
      </w:r>
      <w:r>
        <w:rPr>
          <w:rFonts w:hint="eastAsia" w:ascii="宋体" w:hAnsi="宋体" w:eastAsia="宋体" w:cs="宋体"/>
          <w:color w:val="auto"/>
          <w:sz w:val="24"/>
          <w:szCs w:val="24"/>
          <w:lang w:eastAsia="zh-CN"/>
        </w:rPr>
        <w:t>稳定性、</w:t>
      </w:r>
      <w:r>
        <w:rPr>
          <w:rFonts w:hint="eastAsia" w:ascii="宋体" w:hAnsi="宋体" w:eastAsia="宋体" w:cs="宋体"/>
          <w:color w:val="auto"/>
          <w:sz w:val="24"/>
          <w:szCs w:val="24"/>
        </w:rPr>
        <w:t>可用性为核心，以运行维护和质保维修为保证，实行统一、定期、规范的维护，</w:t>
      </w:r>
      <w:r>
        <w:rPr>
          <w:rFonts w:hint="eastAsia" w:ascii="宋体" w:hAnsi="宋体" w:eastAsia="宋体" w:cs="宋体"/>
          <w:color w:val="auto"/>
          <w:sz w:val="24"/>
          <w:szCs w:val="24"/>
          <w:lang w:eastAsia="zh-CN"/>
        </w:rPr>
        <w:t>保障监测网系统设备、网络设备及站点附属设备的完好率，</w:t>
      </w:r>
      <w:r>
        <w:rPr>
          <w:rFonts w:hint="eastAsia" w:ascii="宋体" w:hAnsi="宋体" w:eastAsia="宋体" w:cs="宋体"/>
          <w:color w:val="auto"/>
          <w:sz w:val="24"/>
          <w:szCs w:val="24"/>
        </w:rPr>
        <w:t>提高</w:t>
      </w:r>
      <w:r>
        <w:rPr>
          <w:rFonts w:hint="eastAsia" w:ascii="宋体" w:hAnsi="宋体" w:eastAsia="宋体" w:cs="宋体"/>
          <w:color w:val="auto"/>
          <w:sz w:val="24"/>
          <w:szCs w:val="24"/>
          <w:lang w:eastAsia="zh-CN"/>
        </w:rPr>
        <w:t>监测网系统在</w:t>
      </w:r>
      <w:r>
        <w:rPr>
          <w:rFonts w:hint="eastAsia" w:ascii="宋体" w:hAnsi="宋体" w:eastAsia="宋体" w:cs="宋体"/>
          <w:color w:val="auto"/>
          <w:sz w:val="24"/>
          <w:szCs w:val="24"/>
        </w:rPr>
        <w:t>无线电监测</w:t>
      </w:r>
      <w:r>
        <w:rPr>
          <w:rFonts w:hint="eastAsia" w:ascii="宋体" w:hAnsi="宋体" w:eastAsia="宋体" w:cs="宋体"/>
          <w:color w:val="auto"/>
          <w:sz w:val="24"/>
          <w:szCs w:val="24"/>
          <w:lang w:eastAsia="zh-CN"/>
        </w:rPr>
        <w:t>中的使用效率和监测数据利用率；通过实施无线电监测网运行保障项目，</w:t>
      </w:r>
      <w:r>
        <w:rPr>
          <w:rFonts w:hint="eastAsia" w:ascii="宋体" w:hAnsi="宋体" w:eastAsia="宋体" w:cs="宋体"/>
          <w:color w:val="auto"/>
          <w:sz w:val="24"/>
          <w:szCs w:val="24"/>
        </w:rPr>
        <w:t>保证日常无线电监测工作</w:t>
      </w:r>
      <w:r>
        <w:rPr>
          <w:rFonts w:hint="eastAsia" w:ascii="宋体" w:hAnsi="宋体" w:eastAsia="宋体" w:cs="宋体"/>
          <w:color w:val="auto"/>
          <w:sz w:val="24"/>
          <w:szCs w:val="24"/>
          <w:lang w:eastAsia="zh-CN"/>
        </w:rPr>
        <w:t>及相关工作</w:t>
      </w:r>
      <w:r>
        <w:rPr>
          <w:rFonts w:hint="eastAsia" w:ascii="宋体" w:hAnsi="宋体" w:eastAsia="宋体" w:cs="宋体"/>
          <w:color w:val="auto"/>
          <w:sz w:val="24"/>
          <w:szCs w:val="24"/>
        </w:rPr>
        <w:t>顺利开展，为无线电</w:t>
      </w:r>
      <w:r>
        <w:rPr>
          <w:rFonts w:hint="eastAsia" w:ascii="宋体" w:hAnsi="宋体" w:eastAsia="宋体" w:cs="宋体"/>
          <w:color w:val="auto"/>
          <w:sz w:val="24"/>
          <w:szCs w:val="24"/>
          <w:lang w:eastAsia="zh-CN"/>
        </w:rPr>
        <w:t>监管</w:t>
      </w:r>
      <w:r>
        <w:rPr>
          <w:rFonts w:hint="eastAsia" w:ascii="宋体" w:hAnsi="宋体" w:eastAsia="宋体" w:cs="宋体"/>
          <w:color w:val="auto"/>
          <w:sz w:val="24"/>
          <w:szCs w:val="24"/>
        </w:rPr>
        <w:t>工作提供稳定可靠的</w:t>
      </w:r>
      <w:r>
        <w:rPr>
          <w:rFonts w:hint="eastAsia" w:ascii="宋体" w:hAnsi="宋体" w:eastAsia="宋体" w:cs="宋体"/>
          <w:color w:val="auto"/>
          <w:sz w:val="24"/>
          <w:szCs w:val="24"/>
          <w:lang w:eastAsia="zh-CN"/>
        </w:rPr>
        <w:t>服务保障</w:t>
      </w:r>
      <w:r>
        <w:rPr>
          <w:rFonts w:hint="eastAsia" w:ascii="宋体" w:hAnsi="宋体" w:eastAsia="宋体" w:cs="宋体"/>
          <w:color w:val="auto"/>
          <w:sz w:val="24"/>
          <w:szCs w:val="24"/>
        </w:rPr>
        <w:t>。</w:t>
      </w:r>
    </w:p>
    <w:p w14:paraId="4FDE0806">
      <w:pPr>
        <w:keepNext w:val="0"/>
        <w:keepLines w:val="0"/>
        <w:pageBreakBefore w:val="0"/>
        <w:widowControl w:val="0"/>
        <w:tabs>
          <w:tab w:val="left" w:pos="1155"/>
          <w:tab w:val="right" w:leader="dot" w:pos="9016"/>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（2）考核标准</w:t>
      </w:r>
    </w:p>
    <w:p w14:paraId="55B3650A">
      <w:pPr>
        <w:widowControl/>
        <w:spacing w:line="360" w:lineRule="auto"/>
        <w:ind w:firstLine="480" w:firstLineChars="200"/>
        <w:jc w:val="left"/>
        <w:rPr>
          <w:rFonts w:hint="eastAsia" w:ascii="宋体" w:hAnsi="宋体" w:eastAsia="宋体" w:cs="宋体"/>
          <w:color w:val="auto"/>
          <w:szCs w:val="24"/>
        </w:rPr>
      </w:pPr>
      <w:r>
        <w:rPr>
          <w:rFonts w:hint="eastAsia" w:ascii="宋体" w:hAnsi="宋体" w:eastAsia="宋体" w:cs="宋体"/>
          <w:color w:val="auto"/>
          <w:kern w:val="0"/>
          <w:sz w:val="24"/>
          <w:szCs w:val="24"/>
          <w:lang w:eastAsia="zh-CN"/>
        </w:rPr>
        <w:t>运维期内</w:t>
      </w:r>
      <w:r>
        <w:rPr>
          <w:rFonts w:hint="eastAsia" w:ascii="宋体" w:hAnsi="宋体" w:eastAsia="宋体" w:cs="宋体"/>
          <w:color w:val="auto"/>
          <w:kern w:val="0"/>
          <w:sz w:val="24"/>
          <w:szCs w:val="24"/>
        </w:rPr>
        <w:t>确保</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个固定监测站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个移动</w:t>
      </w:r>
      <w:r>
        <w:rPr>
          <w:rFonts w:hint="eastAsia" w:ascii="宋体" w:hAnsi="宋体" w:eastAsia="宋体" w:cs="宋体"/>
          <w:color w:val="auto"/>
          <w:kern w:val="0"/>
          <w:sz w:val="24"/>
          <w:szCs w:val="24"/>
          <w:highlight w:val="none"/>
        </w:rPr>
        <w:t>监测</w:t>
      </w:r>
      <w:r>
        <w:rPr>
          <w:rFonts w:hint="eastAsia" w:ascii="宋体" w:hAnsi="宋体" w:eastAsia="宋体" w:cs="宋体"/>
          <w:color w:val="auto"/>
          <w:kern w:val="0"/>
          <w:sz w:val="24"/>
          <w:szCs w:val="24"/>
          <w:highlight w:val="none"/>
          <w:lang w:eastAsia="zh-CN"/>
        </w:rPr>
        <w:t>站、</w:t>
      </w:r>
      <w:r>
        <w:rPr>
          <w:rFonts w:hint="eastAsia" w:ascii="宋体" w:hAnsi="宋体" w:eastAsia="宋体" w:cs="宋体"/>
          <w:color w:val="auto"/>
          <w:kern w:val="0"/>
          <w:sz w:val="24"/>
          <w:szCs w:val="24"/>
          <w:highlight w:val="none"/>
          <w:lang w:val="en-US" w:eastAsia="zh-CN"/>
        </w:rPr>
        <w:t>5套移动传感器及其它附属设备</w:t>
      </w:r>
      <w:r>
        <w:rPr>
          <w:rFonts w:hint="eastAsia" w:ascii="宋体" w:hAnsi="宋体" w:eastAsia="宋体" w:cs="宋体"/>
          <w:color w:val="auto"/>
          <w:kern w:val="0"/>
          <w:sz w:val="24"/>
          <w:szCs w:val="24"/>
          <w:highlight w:val="none"/>
          <w:lang w:eastAsia="zh-CN"/>
        </w:rPr>
        <w:t>正常运行，设备完好率达到国家要求的</w:t>
      </w:r>
      <w:r>
        <w:rPr>
          <w:rFonts w:hint="eastAsia" w:ascii="宋体" w:hAnsi="宋体" w:eastAsia="宋体" w:cs="宋体"/>
          <w:color w:val="auto"/>
          <w:kern w:val="0"/>
          <w:sz w:val="24"/>
          <w:szCs w:val="24"/>
          <w:highlight w:val="none"/>
          <w:lang w:val="en-US" w:eastAsia="zh-CN"/>
        </w:rPr>
        <w:t>95%以上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lang w:eastAsia="zh-CN"/>
        </w:rPr>
        <w:t>确保中心机房及各站点</w:t>
      </w:r>
      <w:r>
        <w:rPr>
          <w:rFonts w:hint="eastAsia" w:ascii="宋体" w:hAnsi="宋体" w:eastAsia="宋体" w:cs="宋体"/>
          <w:color w:val="auto"/>
          <w:kern w:val="0"/>
          <w:sz w:val="24"/>
          <w:szCs w:val="24"/>
        </w:rPr>
        <w:t>网络系统安全、</w:t>
      </w:r>
      <w:r>
        <w:rPr>
          <w:rFonts w:hint="eastAsia" w:ascii="宋体" w:hAnsi="宋体" w:eastAsia="宋体" w:cs="宋体"/>
          <w:color w:val="auto"/>
          <w:kern w:val="0"/>
          <w:sz w:val="24"/>
          <w:szCs w:val="24"/>
          <w:lang w:eastAsia="zh-CN"/>
        </w:rPr>
        <w:t>设备整齐、网络</w:t>
      </w:r>
      <w:r>
        <w:rPr>
          <w:rFonts w:hint="eastAsia" w:ascii="宋体" w:hAnsi="宋体" w:eastAsia="宋体" w:cs="宋体"/>
          <w:color w:val="auto"/>
          <w:kern w:val="0"/>
          <w:sz w:val="24"/>
          <w:szCs w:val="24"/>
        </w:rPr>
        <w:t>畅通</w:t>
      </w:r>
      <w:r>
        <w:rPr>
          <w:rFonts w:hint="eastAsia" w:ascii="宋体" w:hAnsi="宋体" w:eastAsia="宋体" w:cs="宋体"/>
          <w:color w:val="auto"/>
          <w:kern w:val="0"/>
          <w:sz w:val="24"/>
          <w:szCs w:val="24"/>
          <w:lang w:eastAsia="zh-CN"/>
        </w:rPr>
        <w:t>，建成包括交换机、路由器、安全网关、</w:t>
      </w:r>
      <w:r>
        <w:rPr>
          <w:rFonts w:hint="eastAsia" w:ascii="宋体" w:hAnsi="宋体" w:eastAsia="宋体" w:cs="宋体"/>
          <w:color w:val="auto"/>
          <w:kern w:val="0"/>
          <w:sz w:val="24"/>
          <w:szCs w:val="24"/>
          <w:lang w:val="en-US" w:eastAsia="zh-CN"/>
        </w:rPr>
        <w:t>在线式UPS的</w:t>
      </w:r>
      <w:r>
        <w:rPr>
          <w:rFonts w:hint="eastAsia" w:ascii="宋体" w:hAnsi="宋体" w:eastAsia="宋体" w:cs="宋体"/>
          <w:color w:val="auto"/>
          <w:kern w:val="0"/>
          <w:sz w:val="24"/>
          <w:szCs w:val="24"/>
          <w:lang w:eastAsia="zh-CN"/>
        </w:rPr>
        <w:t>备品备件库；确保</w:t>
      </w:r>
      <w:r>
        <w:rPr>
          <w:rFonts w:hint="eastAsia" w:ascii="宋体" w:hAnsi="宋体" w:eastAsia="宋体" w:cs="宋体"/>
          <w:color w:val="auto"/>
          <w:kern w:val="0"/>
          <w:sz w:val="24"/>
          <w:szCs w:val="24"/>
          <w:lang w:val="en-US" w:eastAsia="zh-CN"/>
        </w:rPr>
        <w:t>6个在用站点监测数据接入</w:t>
      </w:r>
      <w:r>
        <w:rPr>
          <w:rFonts w:hint="eastAsia" w:ascii="宋体" w:hAnsi="宋体" w:eastAsia="宋体" w:cs="宋体"/>
          <w:color w:val="auto"/>
          <w:sz w:val="24"/>
          <w:szCs w:val="24"/>
          <w:lang w:val="en-US" w:eastAsia="zh-CN"/>
        </w:rPr>
        <w:t>城市无线电移动智能众包监测系统，并实现站点数据分析调用；</w:t>
      </w:r>
      <w:r>
        <w:rPr>
          <w:rFonts w:hint="eastAsia" w:ascii="宋体" w:hAnsi="宋体" w:eastAsia="宋体" w:cs="宋体"/>
          <w:color w:val="auto"/>
          <w:kern w:val="0"/>
          <w:sz w:val="24"/>
          <w:szCs w:val="24"/>
          <w:lang w:eastAsia="zh-CN"/>
        </w:rPr>
        <w:t>确保</w:t>
      </w:r>
      <w:r>
        <w:rPr>
          <w:rFonts w:hint="eastAsia" w:ascii="宋体" w:hAnsi="宋体" w:eastAsia="宋体" w:cs="宋体"/>
          <w:color w:val="auto"/>
          <w:kern w:val="0"/>
          <w:sz w:val="24"/>
          <w:szCs w:val="24"/>
          <w:lang w:val="en-US" w:eastAsia="zh-CN"/>
        </w:rPr>
        <w:t>8个自建机房干净、卫生；确保各站点空调、除湿机等设备运行正常；定期排查自有机房、室外机柜、铁塔安全隐患，确保使用安全；完成</w:t>
      </w:r>
      <w:r>
        <w:rPr>
          <w:rFonts w:hint="eastAsia" w:ascii="宋体" w:hAnsi="宋体" w:eastAsia="宋体" w:cs="宋体"/>
          <w:color w:val="auto"/>
          <w:sz w:val="24"/>
          <w:szCs w:val="24"/>
          <w:lang w:eastAsia="zh-CN"/>
        </w:rPr>
        <w:t>监测业务楼电梯日常维护保养、易耗品更换；完成</w:t>
      </w:r>
      <w:r>
        <w:rPr>
          <w:rFonts w:hint="eastAsia" w:ascii="宋体" w:hAnsi="宋体" w:eastAsia="宋体" w:cs="宋体"/>
          <w:color w:val="auto"/>
          <w:kern w:val="0"/>
          <w:sz w:val="24"/>
          <w:szCs w:val="24"/>
          <w:highlight w:val="none"/>
          <w:lang w:eastAsia="zh-CN"/>
        </w:rPr>
        <w:t>各应用软件平台地图更新，使其分辨率达到</w:t>
      </w:r>
      <w:r>
        <w:rPr>
          <w:rFonts w:hint="eastAsia" w:ascii="宋体" w:hAnsi="宋体" w:eastAsia="宋体" w:cs="宋体"/>
          <w:color w:val="auto"/>
          <w:kern w:val="0"/>
          <w:sz w:val="24"/>
          <w:szCs w:val="24"/>
          <w:highlight w:val="none"/>
          <w:lang w:val="en-US" w:eastAsia="zh-CN"/>
        </w:rPr>
        <w:t>19级卫星影像地图</w:t>
      </w:r>
      <w:r>
        <w:rPr>
          <w:rFonts w:hint="eastAsia" w:ascii="宋体" w:hAnsi="宋体" w:eastAsia="宋体" w:cs="宋体"/>
          <w:color w:val="auto"/>
          <w:kern w:val="0"/>
          <w:sz w:val="24"/>
          <w:szCs w:val="24"/>
          <w:highlight w:val="none"/>
          <w:lang w:eastAsia="zh-CN"/>
        </w:rPr>
        <w:t>；将</w:t>
      </w:r>
      <w:r>
        <w:rPr>
          <w:rFonts w:hint="eastAsia" w:ascii="宋体" w:hAnsi="宋体" w:eastAsia="宋体" w:cs="宋体"/>
          <w:color w:val="auto"/>
          <w:kern w:val="0"/>
          <w:sz w:val="24"/>
          <w:szCs w:val="24"/>
          <w:highlight w:val="none"/>
          <w:lang w:val="en-US" w:eastAsia="zh-CN"/>
        </w:rPr>
        <w:t>6个站点测向功能接到同一个应用软件平台，并可实现联合测向功能；</w:t>
      </w:r>
      <w:r>
        <w:rPr>
          <w:rFonts w:hint="eastAsia" w:ascii="宋体" w:hAnsi="宋体" w:eastAsia="宋体" w:cs="宋体"/>
          <w:color w:val="auto"/>
          <w:kern w:val="0"/>
          <w:sz w:val="24"/>
          <w:szCs w:val="24"/>
          <w:lang w:val="en-US" w:eastAsia="zh-CN"/>
        </w:rPr>
        <w:t>确保</w:t>
      </w:r>
      <w:r>
        <w:rPr>
          <w:rFonts w:hint="eastAsia" w:ascii="宋体" w:hAnsi="宋体" w:eastAsia="宋体" w:cs="宋体"/>
          <w:color w:val="auto"/>
          <w:sz w:val="24"/>
          <w:szCs w:val="24"/>
          <w:lang w:val="en-US" w:eastAsia="zh-CN"/>
        </w:rPr>
        <w:t>按期完成保障监测网正常运行的所有服务内容；确保各站点机柜设备布局合理、布线整齐规范；</w:t>
      </w:r>
      <w:r>
        <w:rPr>
          <w:rFonts w:hint="eastAsia" w:ascii="宋体" w:hAnsi="宋体" w:eastAsia="宋体" w:cs="宋体"/>
          <w:color w:val="auto"/>
          <w:kern w:val="0"/>
          <w:sz w:val="24"/>
          <w:szCs w:val="24"/>
          <w:lang w:eastAsia="zh-CN"/>
        </w:rPr>
        <w:t>参与重大场合、各类考试无线电安全保障工作。</w:t>
      </w:r>
    </w:p>
    <w:p w14:paraId="00D135B8">
      <w:pPr>
        <w:keepNext/>
        <w:keepLines/>
        <w:pageBreakBefore w:val="0"/>
        <w:widowControl w:val="0"/>
        <w:numPr>
          <w:ilvl w:val="0"/>
          <w:numId w:val="5"/>
        </w:numPr>
        <w:kinsoku/>
        <w:wordWrap/>
        <w:overflowPunct/>
        <w:topLinePunct w:val="0"/>
        <w:autoSpaceDE/>
        <w:autoSpaceDN/>
        <w:bidi w:val="0"/>
        <w:adjustRightInd/>
        <w:snapToGrid/>
        <w:spacing w:line="416" w:lineRule="auto"/>
        <w:ind w:left="420" w:leftChars="200" w:right="0" w:rightChars="0" w:firstLine="0" w:firstLineChars="0"/>
        <w:jc w:val="both"/>
        <w:textAlignment w:val="auto"/>
        <w:outlineLvl w:val="1"/>
        <w:rPr>
          <w:rFonts w:ascii="宋体" w:hAnsi="宋体" w:eastAsia="宋体" w:cs="Times New Roman"/>
          <w:b/>
          <w:bCs/>
          <w:color w:val="auto"/>
          <w:kern w:val="2"/>
          <w:sz w:val="28"/>
          <w:szCs w:val="32"/>
          <w:lang w:val="en-US" w:eastAsia="zh-CN" w:bidi="ar-SA"/>
        </w:rPr>
      </w:pPr>
      <w:bookmarkStart w:id="202" w:name="_Toc22132617"/>
      <w:bookmarkStart w:id="203" w:name="_Toc7000"/>
      <w:bookmarkStart w:id="204" w:name="_Toc2908"/>
      <w:r>
        <w:rPr>
          <w:rFonts w:hint="eastAsia" w:ascii="宋体" w:hAnsi="宋体" w:eastAsia="宋体" w:cs="Times New Roman"/>
          <w:b/>
          <w:bCs/>
          <w:color w:val="auto"/>
          <w:kern w:val="2"/>
          <w:sz w:val="28"/>
          <w:szCs w:val="32"/>
          <w:lang w:val="en-US" w:eastAsia="zh-CN" w:bidi="ar-SA"/>
        </w:rPr>
        <w:t>运维工作范围和标准要求</w:t>
      </w:r>
      <w:bookmarkEnd w:id="202"/>
      <w:bookmarkEnd w:id="203"/>
      <w:bookmarkEnd w:id="204"/>
    </w:p>
    <w:p w14:paraId="63EAC30C">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包括对无线电监测</w:t>
      </w:r>
      <w:r>
        <w:rPr>
          <w:rFonts w:hint="eastAsia" w:ascii="宋体" w:hAnsi="宋体" w:eastAsia="宋体" w:cs="宋体"/>
          <w:color w:val="auto"/>
          <w:sz w:val="24"/>
          <w:szCs w:val="24"/>
          <w:lang w:eastAsia="zh-CN"/>
        </w:rPr>
        <w:t>测向</w:t>
      </w:r>
      <w:r>
        <w:rPr>
          <w:rFonts w:hint="eastAsia" w:ascii="宋体" w:hAnsi="宋体" w:eastAsia="宋体" w:cs="宋体"/>
          <w:color w:val="auto"/>
          <w:sz w:val="24"/>
          <w:szCs w:val="24"/>
        </w:rPr>
        <w:t>系统、无线电信息网络系统</w:t>
      </w:r>
      <w:r>
        <w:rPr>
          <w:rFonts w:hint="eastAsia" w:ascii="宋体" w:hAnsi="宋体" w:eastAsia="宋体" w:cs="宋体"/>
          <w:color w:val="auto"/>
          <w:sz w:val="24"/>
          <w:szCs w:val="24"/>
          <w:lang w:eastAsia="zh-CN"/>
        </w:rPr>
        <w:t>、附属设备</w:t>
      </w:r>
      <w:r>
        <w:rPr>
          <w:rFonts w:hint="eastAsia" w:ascii="宋体" w:hAnsi="宋体" w:eastAsia="宋体" w:cs="宋体"/>
          <w:color w:val="auto"/>
          <w:sz w:val="24"/>
          <w:szCs w:val="24"/>
        </w:rPr>
        <w:t>的运行维护</w:t>
      </w:r>
      <w:r>
        <w:rPr>
          <w:rFonts w:hint="eastAsia" w:ascii="宋体" w:hAnsi="宋体" w:eastAsia="宋体" w:cs="宋体"/>
          <w:color w:val="auto"/>
          <w:sz w:val="24"/>
          <w:szCs w:val="24"/>
          <w:lang w:eastAsia="zh-CN"/>
        </w:rPr>
        <w:t>，以及无线电监测网运行保障服务，具体内容细分如下：</w:t>
      </w:r>
    </w:p>
    <w:p w14:paraId="1D755D95">
      <w:pPr>
        <w:keepNext/>
        <w:keepLines/>
        <w:pageBreakBefore w:val="0"/>
        <w:widowControl w:val="0"/>
        <w:numPr>
          <w:ilvl w:val="0"/>
          <w:numId w:val="8"/>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205" w:name="_Toc10783"/>
      <w:bookmarkStart w:id="206" w:name="_Toc22132618"/>
      <w:bookmarkStart w:id="207" w:name="_Toc29433"/>
      <w:r>
        <w:rPr>
          <w:rFonts w:hint="eastAsia" w:ascii="黑体" w:hAnsi="宋体" w:eastAsia="宋体" w:cs="Times New Roman"/>
          <w:b/>
          <w:snapToGrid w:val="0"/>
          <w:color w:val="auto"/>
          <w:kern w:val="0"/>
          <w:sz w:val="24"/>
          <w:szCs w:val="20"/>
          <w:lang w:val="en-US" w:eastAsia="zh-CN" w:bidi="ar-SA"/>
        </w:rPr>
        <w:t>无线电监测测向系统情况</w:t>
      </w:r>
      <w:bookmarkEnd w:id="205"/>
      <w:bookmarkEnd w:id="206"/>
      <w:bookmarkEnd w:id="207"/>
    </w:p>
    <w:p w14:paraId="467E7D1B">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无线电监测</w:t>
      </w:r>
      <w:r>
        <w:rPr>
          <w:rFonts w:hint="eastAsia" w:ascii="宋体" w:hAnsi="宋体" w:eastAsia="宋体" w:cs="宋体"/>
          <w:color w:val="auto"/>
          <w:sz w:val="24"/>
          <w:szCs w:val="24"/>
          <w:lang w:eastAsia="zh-CN"/>
        </w:rPr>
        <w:t>测向</w:t>
      </w:r>
      <w:r>
        <w:rPr>
          <w:rFonts w:hint="eastAsia" w:ascii="宋体" w:hAnsi="宋体" w:eastAsia="宋体" w:cs="宋体"/>
          <w:color w:val="auto"/>
          <w:sz w:val="24"/>
          <w:szCs w:val="24"/>
        </w:rPr>
        <w:t>系统包括</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固定</w:t>
      </w:r>
      <w:r>
        <w:rPr>
          <w:rFonts w:hint="eastAsia" w:ascii="宋体" w:hAnsi="宋体" w:eastAsia="宋体" w:cs="宋体"/>
          <w:color w:val="auto"/>
          <w:sz w:val="24"/>
          <w:szCs w:val="24"/>
          <w:highlight w:val="none"/>
        </w:rPr>
        <w:t>监测站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个移动</w:t>
      </w:r>
      <w:r>
        <w:rPr>
          <w:rFonts w:hint="eastAsia" w:ascii="宋体" w:hAnsi="宋体" w:eastAsia="宋体" w:cs="宋体"/>
          <w:color w:val="auto"/>
          <w:sz w:val="24"/>
          <w:szCs w:val="24"/>
          <w:highlight w:val="none"/>
        </w:rPr>
        <w:t>监测</w:t>
      </w:r>
      <w:r>
        <w:rPr>
          <w:rFonts w:hint="eastAsia" w:ascii="宋体" w:hAnsi="宋体" w:eastAsia="宋体" w:cs="宋体"/>
          <w:color w:val="auto"/>
          <w:sz w:val="24"/>
          <w:szCs w:val="24"/>
          <w:highlight w:val="none"/>
          <w:lang w:eastAsia="zh-CN"/>
        </w:rPr>
        <w:t>站和</w:t>
      </w:r>
      <w:r>
        <w:rPr>
          <w:rFonts w:hint="eastAsia" w:ascii="宋体" w:hAnsi="宋体" w:eastAsia="宋体" w:cs="宋体"/>
          <w:color w:val="auto"/>
          <w:sz w:val="24"/>
          <w:szCs w:val="24"/>
          <w:highlight w:val="none"/>
          <w:lang w:val="en-US" w:eastAsia="zh-CN"/>
        </w:rPr>
        <w:t>5套移动传感器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详见下表：</w:t>
      </w:r>
    </w:p>
    <w:p w14:paraId="6DF157C4">
      <w:pPr>
        <w:jc w:val="center"/>
        <w:rPr>
          <w:rFonts w:hint="eastAsia" w:ascii="Calibri" w:hAnsi="Calibri" w:eastAsia="宋体" w:cs="宋体"/>
          <w:b/>
          <w:bCs w:val="0"/>
          <w:color w:val="auto"/>
          <w:sz w:val="24"/>
          <w:szCs w:val="24"/>
          <w:lang w:val="en-US" w:eastAsia="zh-CN"/>
        </w:rPr>
      </w:pPr>
      <w:r>
        <w:rPr>
          <w:rFonts w:hint="eastAsia" w:ascii="Calibri" w:hAnsi="Calibri" w:eastAsia="宋体" w:cs="宋体"/>
          <w:b/>
          <w:bCs w:val="0"/>
          <w:color w:val="auto"/>
          <w:sz w:val="24"/>
          <w:szCs w:val="24"/>
          <w:lang w:eastAsia="zh-CN"/>
        </w:rPr>
        <w:t>表三：</w:t>
      </w:r>
      <w:r>
        <w:rPr>
          <w:rFonts w:hint="eastAsia" w:ascii="Calibri" w:hAnsi="Calibri" w:eastAsia="宋体" w:cs="宋体"/>
          <w:b/>
          <w:bCs w:val="0"/>
          <w:color w:val="auto"/>
          <w:sz w:val="24"/>
          <w:szCs w:val="24"/>
          <w:lang w:val="en-US" w:eastAsia="zh-CN"/>
        </w:rPr>
        <w:t>2026年度无线电监测设施设备运行保障及监测设备专业维修维护</w:t>
      </w:r>
    </w:p>
    <w:p w14:paraId="420A6FC0">
      <w:pPr>
        <w:jc w:val="center"/>
        <w:rPr>
          <w:rFonts w:hint="eastAsia" w:ascii="宋体" w:hAnsi="宋体" w:eastAsia="宋体" w:cs="宋体"/>
          <w:b/>
          <w:bCs w:val="0"/>
          <w:color w:val="auto"/>
          <w:sz w:val="24"/>
          <w:szCs w:val="24"/>
        </w:rPr>
      </w:pPr>
      <w:r>
        <w:rPr>
          <w:rFonts w:hint="eastAsia" w:ascii="Calibri" w:hAnsi="Calibri" w:eastAsia="宋体" w:cs="宋体"/>
          <w:b/>
          <w:bCs w:val="0"/>
          <w:color w:val="auto"/>
          <w:sz w:val="24"/>
          <w:szCs w:val="24"/>
          <w:lang w:val="en-US" w:eastAsia="zh-CN"/>
        </w:rPr>
        <w:t>技术服务</w:t>
      </w:r>
      <w:r>
        <w:rPr>
          <w:rFonts w:hint="eastAsia" w:ascii="宋体" w:hAnsi="宋体" w:eastAsia="宋体" w:cs="宋体"/>
          <w:b/>
          <w:bCs w:val="0"/>
          <w:color w:val="auto"/>
          <w:sz w:val="24"/>
          <w:szCs w:val="24"/>
          <w:lang w:val="en-US" w:eastAsia="zh-CN"/>
        </w:rPr>
        <w:t>项目站点统计</w:t>
      </w:r>
      <w:r>
        <w:rPr>
          <w:rFonts w:hint="eastAsia" w:ascii="宋体" w:hAnsi="宋体" w:eastAsia="宋体" w:cs="宋体"/>
          <w:b/>
          <w:bCs w:val="0"/>
          <w:color w:val="auto"/>
          <w:sz w:val="24"/>
          <w:szCs w:val="24"/>
        </w:rPr>
        <w:t>表</w:t>
      </w:r>
    </w:p>
    <w:tbl>
      <w:tblPr>
        <w:tblStyle w:val="25"/>
        <w:tblpPr w:leftFromText="180" w:rightFromText="180" w:vertAnchor="text" w:horzAnchor="page" w:tblpX="1486" w:tblpY="211"/>
        <w:tblOverlap w:val="never"/>
        <w:tblW w:w="9087" w:type="dxa"/>
        <w:tblInd w:w="0" w:type="dxa"/>
        <w:tblLayout w:type="fixed"/>
        <w:tblCellMar>
          <w:top w:w="0" w:type="dxa"/>
          <w:left w:w="79" w:type="dxa"/>
          <w:bottom w:w="0" w:type="dxa"/>
          <w:right w:w="108" w:type="dxa"/>
        </w:tblCellMar>
      </w:tblPr>
      <w:tblGrid>
        <w:gridCol w:w="669"/>
        <w:gridCol w:w="1760"/>
        <w:gridCol w:w="1200"/>
        <w:gridCol w:w="1720"/>
        <w:gridCol w:w="1950"/>
        <w:gridCol w:w="1788"/>
      </w:tblGrid>
      <w:tr w14:paraId="0AD4B21A">
        <w:tblPrEx>
          <w:tblCellMar>
            <w:top w:w="0" w:type="dxa"/>
            <w:left w:w="79" w:type="dxa"/>
            <w:bottom w:w="0" w:type="dxa"/>
            <w:right w:w="108" w:type="dxa"/>
          </w:tblCellMar>
        </w:tblPrEx>
        <w:trPr>
          <w:cantSplit/>
          <w:trHeight w:val="452" w:hRule="atLeast"/>
        </w:trPr>
        <w:tc>
          <w:tcPr>
            <w:tcW w:w="669" w:type="dxa"/>
            <w:tcBorders>
              <w:top w:val="single" w:color="auto" w:sz="4" w:space="0"/>
              <w:left w:val="single" w:color="auto" w:sz="4" w:space="0"/>
              <w:bottom w:val="single" w:color="auto" w:sz="4" w:space="0"/>
              <w:right w:val="single" w:color="auto" w:sz="4" w:space="0"/>
            </w:tcBorders>
            <w:vAlign w:val="center"/>
          </w:tcPr>
          <w:p w14:paraId="189B908B">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序号</w:t>
            </w:r>
          </w:p>
        </w:tc>
        <w:tc>
          <w:tcPr>
            <w:tcW w:w="1760" w:type="dxa"/>
            <w:tcBorders>
              <w:top w:val="single" w:color="auto" w:sz="4" w:space="0"/>
              <w:left w:val="single" w:color="auto" w:sz="4" w:space="0"/>
              <w:bottom w:val="single" w:color="auto" w:sz="4" w:space="0"/>
              <w:right w:val="single" w:color="auto" w:sz="4" w:space="0"/>
            </w:tcBorders>
            <w:vAlign w:val="center"/>
          </w:tcPr>
          <w:p w14:paraId="4DAB10F9">
            <w:pPr>
              <w:jc w:val="center"/>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站名</w:t>
            </w:r>
          </w:p>
        </w:tc>
        <w:tc>
          <w:tcPr>
            <w:tcW w:w="1200" w:type="dxa"/>
            <w:tcBorders>
              <w:top w:val="single" w:color="auto" w:sz="4" w:space="0"/>
              <w:left w:val="nil"/>
              <w:bottom w:val="single" w:color="auto" w:sz="4" w:space="0"/>
              <w:right w:val="single" w:color="auto" w:sz="4" w:space="0"/>
            </w:tcBorders>
            <w:vAlign w:val="center"/>
          </w:tcPr>
          <w:p w14:paraId="08B5B477">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类别</w:t>
            </w:r>
          </w:p>
        </w:tc>
        <w:tc>
          <w:tcPr>
            <w:tcW w:w="1720" w:type="dxa"/>
            <w:tcBorders>
              <w:top w:val="single" w:color="auto" w:sz="4" w:space="0"/>
              <w:left w:val="nil"/>
              <w:bottom w:val="single" w:color="auto" w:sz="4" w:space="0"/>
              <w:right w:val="single" w:color="auto" w:sz="4" w:space="0"/>
            </w:tcBorders>
            <w:vAlign w:val="center"/>
          </w:tcPr>
          <w:p w14:paraId="24C1218A">
            <w:pPr>
              <w:jc w:val="center"/>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验收时间</w:t>
            </w:r>
          </w:p>
        </w:tc>
        <w:tc>
          <w:tcPr>
            <w:tcW w:w="1950" w:type="dxa"/>
            <w:tcBorders>
              <w:top w:val="single" w:color="auto" w:sz="4" w:space="0"/>
              <w:left w:val="nil"/>
              <w:bottom w:val="single" w:color="auto" w:sz="4" w:space="0"/>
              <w:right w:val="single" w:color="auto" w:sz="4" w:space="0"/>
            </w:tcBorders>
            <w:vAlign w:val="center"/>
          </w:tcPr>
          <w:p w14:paraId="189085A9">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集成商</w:t>
            </w:r>
          </w:p>
        </w:tc>
        <w:tc>
          <w:tcPr>
            <w:tcW w:w="1788" w:type="dxa"/>
            <w:tcBorders>
              <w:top w:val="single" w:color="auto" w:sz="4" w:space="0"/>
              <w:left w:val="nil"/>
              <w:bottom w:val="single" w:color="auto" w:sz="4" w:space="0"/>
              <w:right w:val="single" w:color="auto" w:sz="4" w:space="0"/>
            </w:tcBorders>
            <w:vAlign w:val="center"/>
          </w:tcPr>
          <w:p w14:paraId="670CC9FD">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质保期</w:t>
            </w:r>
          </w:p>
        </w:tc>
      </w:tr>
      <w:tr w14:paraId="542187A6">
        <w:tblPrEx>
          <w:tblCellMar>
            <w:top w:w="0" w:type="dxa"/>
            <w:left w:w="79" w:type="dxa"/>
            <w:bottom w:w="0" w:type="dxa"/>
            <w:right w:w="108" w:type="dxa"/>
          </w:tblCellMar>
        </w:tblPrEx>
        <w:trPr>
          <w:cantSplit/>
          <w:trHeight w:val="627" w:hRule="atLeast"/>
        </w:trPr>
        <w:tc>
          <w:tcPr>
            <w:tcW w:w="669" w:type="dxa"/>
            <w:tcBorders>
              <w:top w:val="nil"/>
              <w:left w:val="single" w:color="auto" w:sz="4" w:space="0"/>
              <w:bottom w:val="single" w:color="auto" w:sz="4" w:space="0"/>
              <w:right w:val="single" w:color="auto" w:sz="4" w:space="0"/>
            </w:tcBorders>
            <w:vAlign w:val="center"/>
          </w:tcPr>
          <w:p w14:paraId="1882B337">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1760" w:type="dxa"/>
            <w:tcBorders>
              <w:top w:val="nil"/>
              <w:left w:val="single" w:color="auto" w:sz="4" w:space="0"/>
              <w:bottom w:val="single" w:color="auto" w:sz="4" w:space="0"/>
              <w:right w:val="single" w:color="auto" w:sz="4" w:space="0"/>
            </w:tcBorders>
            <w:vAlign w:val="center"/>
          </w:tcPr>
          <w:p w14:paraId="18DBA10C">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永德站</w:t>
            </w:r>
          </w:p>
        </w:tc>
        <w:tc>
          <w:tcPr>
            <w:tcW w:w="1200" w:type="dxa"/>
            <w:tcBorders>
              <w:top w:val="nil"/>
              <w:left w:val="nil"/>
              <w:bottom w:val="single" w:color="auto" w:sz="4" w:space="0"/>
              <w:right w:val="single" w:color="auto" w:sz="4" w:space="0"/>
            </w:tcBorders>
            <w:vAlign w:val="center"/>
          </w:tcPr>
          <w:p w14:paraId="5AABF963">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0B150071">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202412</w:t>
            </w:r>
          </w:p>
        </w:tc>
        <w:tc>
          <w:tcPr>
            <w:tcW w:w="1950" w:type="dxa"/>
            <w:tcBorders>
              <w:top w:val="nil"/>
              <w:left w:val="nil"/>
              <w:bottom w:val="single" w:color="auto" w:sz="4" w:space="0"/>
              <w:right w:val="single" w:color="auto" w:sz="4" w:space="0"/>
            </w:tcBorders>
            <w:vAlign w:val="center"/>
          </w:tcPr>
          <w:p w14:paraId="0201F9EE">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点阵科技</w:t>
            </w:r>
          </w:p>
        </w:tc>
        <w:tc>
          <w:tcPr>
            <w:tcW w:w="1788" w:type="dxa"/>
            <w:tcBorders>
              <w:top w:val="single" w:color="auto" w:sz="4" w:space="0"/>
              <w:left w:val="single" w:color="auto" w:sz="4" w:space="0"/>
              <w:bottom w:val="single" w:color="auto" w:sz="4" w:space="0"/>
              <w:right w:val="single" w:color="auto" w:sz="4" w:space="0"/>
            </w:tcBorders>
            <w:vAlign w:val="center"/>
          </w:tcPr>
          <w:p w14:paraId="10DC30F0">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质保期内</w:t>
            </w:r>
          </w:p>
        </w:tc>
      </w:tr>
      <w:tr w14:paraId="42EE7ACD">
        <w:tblPrEx>
          <w:tblCellMar>
            <w:top w:w="0" w:type="dxa"/>
            <w:left w:w="79" w:type="dxa"/>
            <w:bottom w:w="0" w:type="dxa"/>
            <w:right w:w="108" w:type="dxa"/>
          </w:tblCellMar>
        </w:tblPrEx>
        <w:trPr>
          <w:cantSplit/>
          <w:trHeight w:val="627" w:hRule="atLeast"/>
        </w:trPr>
        <w:tc>
          <w:tcPr>
            <w:tcW w:w="669" w:type="dxa"/>
            <w:tcBorders>
              <w:top w:val="nil"/>
              <w:left w:val="single" w:color="auto" w:sz="4" w:space="0"/>
              <w:bottom w:val="single" w:color="auto" w:sz="4" w:space="0"/>
              <w:right w:val="single" w:color="auto" w:sz="4" w:space="0"/>
            </w:tcBorders>
            <w:vAlign w:val="center"/>
          </w:tcPr>
          <w:p w14:paraId="1967A882">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1760" w:type="dxa"/>
            <w:tcBorders>
              <w:top w:val="nil"/>
              <w:left w:val="single" w:color="auto" w:sz="4" w:space="0"/>
              <w:bottom w:val="single" w:color="auto" w:sz="4" w:space="0"/>
              <w:right w:val="single" w:color="auto" w:sz="4" w:space="0"/>
            </w:tcBorders>
            <w:vAlign w:val="center"/>
          </w:tcPr>
          <w:p w14:paraId="60B4D32C">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沧源站Ⅰ</w:t>
            </w:r>
          </w:p>
        </w:tc>
        <w:tc>
          <w:tcPr>
            <w:tcW w:w="1200" w:type="dxa"/>
            <w:tcBorders>
              <w:top w:val="nil"/>
              <w:left w:val="nil"/>
              <w:bottom w:val="single" w:color="auto" w:sz="4" w:space="0"/>
              <w:right w:val="single" w:color="auto" w:sz="4" w:space="0"/>
            </w:tcBorders>
            <w:vAlign w:val="center"/>
          </w:tcPr>
          <w:p w14:paraId="7BC9DC05">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070119AB">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202505</w:t>
            </w:r>
          </w:p>
        </w:tc>
        <w:tc>
          <w:tcPr>
            <w:tcW w:w="1950" w:type="dxa"/>
            <w:tcBorders>
              <w:top w:val="nil"/>
              <w:left w:val="nil"/>
              <w:bottom w:val="single" w:color="auto" w:sz="4" w:space="0"/>
              <w:right w:val="single" w:color="auto" w:sz="4" w:space="0"/>
            </w:tcBorders>
            <w:vAlign w:val="center"/>
          </w:tcPr>
          <w:p w14:paraId="15D3FBE1">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博纳神梭</w:t>
            </w:r>
          </w:p>
        </w:tc>
        <w:tc>
          <w:tcPr>
            <w:tcW w:w="1788" w:type="dxa"/>
            <w:tcBorders>
              <w:top w:val="single" w:color="auto" w:sz="4" w:space="0"/>
              <w:left w:val="single" w:color="auto" w:sz="4" w:space="0"/>
              <w:bottom w:val="single" w:color="auto" w:sz="4" w:space="0"/>
              <w:right w:val="single" w:color="auto" w:sz="4" w:space="0"/>
            </w:tcBorders>
            <w:vAlign w:val="center"/>
          </w:tcPr>
          <w:p w14:paraId="13111F17">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质保期内</w:t>
            </w:r>
          </w:p>
        </w:tc>
      </w:tr>
      <w:tr w14:paraId="114E053A">
        <w:tblPrEx>
          <w:tblCellMar>
            <w:top w:w="0" w:type="dxa"/>
            <w:left w:w="79" w:type="dxa"/>
            <w:bottom w:w="0" w:type="dxa"/>
            <w:right w:w="108" w:type="dxa"/>
          </w:tblCellMar>
        </w:tblPrEx>
        <w:trPr>
          <w:cantSplit/>
          <w:trHeight w:val="627" w:hRule="atLeast"/>
        </w:trPr>
        <w:tc>
          <w:tcPr>
            <w:tcW w:w="669" w:type="dxa"/>
            <w:tcBorders>
              <w:top w:val="nil"/>
              <w:left w:val="single" w:color="auto" w:sz="4" w:space="0"/>
              <w:bottom w:val="single" w:color="auto" w:sz="4" w:space="0"/>
              <w:right w:val="single" w:color="auto" w:sz="4" w:space="0"/>
            </w:tcBorders>
            <w:vAlign w:val="center"/>
          </w:tcPr>
          <w:p w14:paraId="00924776">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1760" w:type="dxa"/>
            <w:tcBorders>
              <w:top w:val="nil"/>
              <w:left w:val="single" w:color="auto" w:sz="4" w:space="0"/>
              <w:bottom w:val="single" w:color="auto" w:sz="4" w:space="0"/>
              <w:right w:val="single" w:color="auto" w:sz="4" w:space="0"/>
            </w:tcBorders>
            <w:vAlign w:val="center"/>
          </w:tcPr>
          <w:p w14:paraId="7E5BACE0">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临翔区Ⅰ</w:t>
            </w:r>
          </w:p>
        </w:tc>
        <w:tc>
          <w:tcPr>
            <w:tcW w:w="1200" w:type="dxa"/>
            <w:tcBorders>
              <w:top w:val="nil"/>
              <w:left w:val="nil"/>
              <w:bottom w:val="single" w:color="auto" w:sz="4" w:space="0"/>
              <w:right w:val="single" w:color="auto" w:sz="4" w:space="0"/>
            </w:tcBorders>
            <w:vAlign w:val="center"/>
          </w:tcPr>
          <w:p w14:paraId="15EF5C78">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04B0D6C1">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202405</w:t>
            </w:r>
          </w:p>
        </w:tc>
        <w:tc>
          <w:tcPr>
            <w:tcW w:w="1950" w:type="dxa"/>
            <w:tcBorders>
              <w:top w:val="nil"/>
              <w:left w:val="nil"/>
              <w:bottom w:val="single" w:color="auto" w:sz="4" w:space="0"/>
              <w:right w:val="single" w:color="auto" w:sz="4" w:space="0"/>
            </w:tcBorders>
            <w:vAlign w:val="center"/>
          </w:tcPr>
          <w:p w14:paraId="5D26F1B1">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中星世通</w:t>
            </w:r>
          </w:p>
        </w:tc>
        <w:tc>
          <w:tcPr>
            <w:tcW w:w="1788" w:type="dxa"/>
            <w:vMerge w:val="restart"/>
            <w:tcBorders>
              <w:top w:val="single" w:color="auto" w:sz="4" w:space="0"/>
              <w:left w:val="nil"/>
              <w:right w:val="single" w:color="auto" w:sz="4" w:space="0"/>
            </w:tcBorders>
            <w:vAlign w:val="center"/>
          </w:tcPr>
          <w:p w14:paraId="38379271">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质保期内</w:t>
            </w:r>
          </w:p>
        </w:tc>
      </w:tr>
      <w:tr w14:paraId="7F03B050">
        <w:tblPrEx>
          <w:tblCellMar>
            <w:top w:w="0" w:type="dxa"/>
            <w:left w:w="79" w:type="dxa"/>
            <w:bottom w:w="0" w:type="dxa"/>
            <w:right w:w="108" w:type="dxa"/>
          </w:tblCellMar>
        </w:tblPrEx>
        <w:trPr>
          <w:cantSplit/>
          <w:trHeight w:val="370" w:hRule="atLeast"/>
        </w:trPr>
        <w:tc>
          <w:tcPr>
            <w:tcW w:w="669" w:type="dxa"/>
            <w:tcBorders>
              <w:top w:val="nil"/>
              <w:left w:val="single" w:color="auto" w:sz="4" w:space="0"/>
              <w:bottom w:val="single" w:color="auto" w:sz="4" w:space="0"/>
              <w:right w:val="single" w:color="auto" w:sz="4" w:space="0"/>
            </w:tcBorders>
            <w:vAlign w:val="center"/>
          </w:tcPr>
          <w:p w14:paraId="3C91703F">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p>
        </w:tc>
        <w:tc>
          <w:tcPr>
            <w:tcW w:w="1760" w:type="dxa"/>
            <w:tcBorders>
              <w:top w:val="nil"/>
              <w:left w:val="single" w:color="auto" w:sz="4" w:space="0"/>
              <w:bottom w:val="single" w:color="auto" w:sz="4" w:space="0"/>
              <w:right w:val="single" w:color="auto" w:sz="4" w:space="0"/>
            </w:tcBorders>
            <w:vAlign w:val="center"/>
          </w:tcPr>
          <w:p w14:paraId="0D5936FA">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凤庆站</w:t>
            </w:r>
          </w:p>
        </w:tc>
        <w:tc>
          <w:tcPr>
            <w:tcW w:w="1200" w:type="dxa"/>
            <w:tcBorders>
              <w:top w:val="nil"/>
              <w:left w:val="nil"/>
              <w:bottom w:val="single" w:color="auto" w:sz="4" w:space="0"/>
              <w:right w:val="single" w:color="auto" w:sz="4" w:space="0"/>
            </w:tcBorders>
            <w:vAlign w:val="center"/>
          </w:tcPr>
          <w:p w14:paraId="18B65397">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71834EBD">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202405</w:t>
            </w:r>
          </w:p>
        </w:tc>
        <w:tc>
          <w:tcPr>
            <w:tcW w:w="1950" w:type="dxa"/>
            <w:tcBorders>
              <w:top w:val="nil"/>
              <w:left w:val="nil"/>
              <w:bottom w:val="single" w:color="auto" w:sz="4" w:space="0"/>
              <w:right w:val="single" w:color="auto" w:sz="4" w:space="0"/>
            </w:tcBorders>
            <w:vAlign w:val="center"/>
          </w:tcPr>
          <w:p w14:paraId="2102B5E7">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中星世通</w:t>
            </w:r>
          </w:p>
        </w:tc>
        <w:tc>
          <w:tcPr>
            <w:tcW w:w="1788" w:type="dxa"/>
            <w:vMerge w:val="continue"/>
            <w:tcBorders>
              <w:left w:val="nil"/>
              <w:bottom w:val="single" w:color="auto" w:sz="4" w:space="0"/>
              <w:right w:val="single" w:color="auto" w:sz="4" w:space="0"/>
            </w:tcBorders>
            <w:vAlign w:val="center"/>
          </w:tcPr>
          <w:p w14:paraId="6FD60901">
            <w:pPr>
              <w:jc w:val="center"/>
              <w:rPr>
                <w:rFonts w:hint="eastAsia" w:ascii="宋体" w:hAnsi="宋体" w:eastAsia="宋体" w:cs="宋体"/>
                <w:b w:val="0"/>
                <w:bCs/>
                <w:color w:val="auto"/>
                <w:sz w:val="24"/>
                <w:szCs w:val="24"/>
              </w:rPr>
            </w:pPr>
          </w:p>
        </w:tc>
      </w:tr>
      <w:tr w14:paraId="38BF9402">
        <w:tblPrEx>
          <w:tblCellMar>
            <w:top w:w="0" w:type="dxa"/>
            <w:left w:w="79" w:type="dxa"/>
            <w:bottom w:w="0" w:type="dxa"/>
            <w:right w:w="108" w:type="dxa"/>
          </w:tblCellMar>
        </w:tblPrEx>
        <w:trPr>
          <w:cantSplit/>
          <w:trHeight w:val="370" w:hRule="atLeast"/>
        </w:trPr>
        <w:tc>
          <w:tcPr>
            <w:tcW w:w="669" w:type="dxa"/>
            <w:tcBorders>
              <w:top w:val="nil"/>
              <w:left w:val="single" w:color="auto" w:sz="4" w:space="0"/>
              <w:bottom w:val="single" w:color="auto" w:sz="4" w:space="0"/>
              <w:right w:val="single" w:color="auto" w:sz="4" w:space="0"/>
            </w:tcBorders>
            <w:vAlign w:val="center"/>
          </w:tcPr>
          <w:p w14:paraId="51F7D7F5">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5</w:t>
            </w:r>
          </w:p>
        </w:tc>
        <w:tc>
          <w:tcPr>
            <w:tcW w:w="1760" w:type="dxa"/>
            <w:tcBorders>
              <w:top w:val="nil"/>
              <w:left w:val="single" w:color="auto" w:sz="4" w:space="0"/>
              <w:bottom w:val="single" w:color="auto" w:sz="4" w:space="0"/>
              <w:right w:val="single" w:color="auto" w:sz="4" w:space="0"/>
            </w:tcBorders>
            <w:vAlign w:val="center"/>
          </w:tcPr>
          <w:p w14:paraId="55799A92">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临翔区Ⅱ</w:t>
            </w:r>
          </w:p>
        </w:tc>
        <w:tc>
          <w:tcPr>
            <w:tcW w:w="1200" w:type="dxa"/>
            <w:tcBorders>
              <w:top w:val="nil"/>
              <w:left w:val="nil"/>
              <w:bottom w:val="single" w:color="auto" w:sz="4" w:space="0"/>
              <w:right w:val="single" w:color="auto" w:sz="4" w:space="0"/>
            </w:tcBorders>
            <w:vAlign w:val="center"/>
          </w:tcPr>
          <w:p w14:paraId="005F7F0E">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二类</w:t>
            </w:r>
          </w:p>
        </w:tc>
        <w:tc>
          <w:tcPr>
            <w:tcW w:w="1720" w:type="dxa"/>
            <w:tcBorders>
              <w:top w:val="nil"/>
              <w:left w:val="nil"/>
              <w:bottom w:val="single" w:color="auto" w:sz="4" w:space="0"/>
              <w:right w:val="single" w:color="auto" w:sz="4" w:space="0"/>
            </w:tcBorders>
            <w:vAlign w:val="center"/>
          </w:tcPr>
          <w:p w14:paraId="31848D12">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20231227</w:t>
            </w:r>
          </w:p>
        </w:tc>
        <w:tc>
          <w:tcPr>
            <w:tcW w:w="1950" w:type="dxa"/>
            <w:tcBorders>
              <w:top w:val="nil"/>
              <w:left w:val="nil"/>
              <w:bottom w:val="single" w:color="auto" w:sz="4" w:space="0"/>
              <w:right w:val="single" w:color="auto" w:sz="4" w:space="0"/>
            </w:tcBorders>
            <w:vAlign w:val="center"/>
          </w:tcPr>
          <w:p w14:paraId="4CDC7828">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德辰科技</w:t>
            </w:r>
          </w:p>
        </w:tc>
        <w:tc>
          <w:tcPr>
            <w:tcW w:w="1788" w:type="dxa"/>
            <w:tcBorders>
              <w:top w:val="single" w:color="auto" w:sz="4" w:space="0"/>
              <w:left w:val="nil"/>
              <w:bottom w:val="single" w:color="auto" w:sz="4" w:space="0"/>
              <w:right w:val="single" w:color="auto" w:sz="4" w:space="0"/>
            </w:tcBorders>
            <w:vAlign w:val="center"/>
          </w:tcPr>
          <w:p w14:paraId="0C7E79FF">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w:t>
            </w:r>
            <w:r>
              <w:rPr>
                <w:rFonts w:hint="eastAsia" w:ascii="宋体" w:hAnsi="宋体" w:eastAsia="宋体" w:cs="宋体"/>
                <w:b w:val="0"/>
                <w:bCs/>
                <w:color w:val="auto"/>
                <w:sz w:val="24"/>
                <w:szCs w:val="24"/>
                <w:lang w:eastAsia="zh-CN"/>
              </w:rPr>
              <w:t>内</w:t>
            </w:r>
          </w:p>
        </w:tc>
      </w:tr>
      <w:tr w14:paraId="71F3AC61">
        <w:tblPrEx>
          <w:tblCellMar>
            <w:top w:w="0" w:type="dxa"/>
            <w:left w:w="79" w:type="dxa"/>
            <w:bottom w:w="0" w:type="dxa"/>
            <w:right w:w="108" w:type="dxa"/>
          </w:tblCellMar>
        </w:tblPrEx>
        <w:trPr>
          <w:cantSplit/>
          <w:trHeight w:val="385" w:hRule="atLeast"/>
        </w:trPr>
        <w:tc>
          <w:tcPr>
            <w:tcW w:w="669" w:type="dxa"/>
            <w:tcBorders>
              <w:top w:val="single" w:color="auto" w:sz="4" w:space="0"/>
              <w:left w:val="single" w:color="auto" w:sz="4" w:space="0"/>
              <w:bottom w:val="single" w:color="auto" w:sz="4" w:space="0"/>
              <w:right w:val="single" w:color="auto" w:sz="4" w:space="0"/>
            </w:tcBorders>
            <w:vAlign w:val="center"/>
          </w:tcPr>
          <w:p w14:paraId="2A4072AA">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p>
        </w:tc>
        <w:tc>
          <w:tcPr>
            <w:tcW w:w="1760" w:type="dxa"/>
            <w:tcBorders>
              <w:top w:val="single" w:color="auto" w:sz="4" w:space="0"/>
              <w:left w:val="single" w:color="auto" w:sz="4" w:space="0"/>
              <w:bottom w:val="single" w:color="auto" w:sz="4" w:space="0"/>
              <w:right w:val="single" w:color="auto" w:sz="4" w:space="0"/>
            </w:tcBorders>
            <w:vAlign w:val="center"/>
          </w:tcPr>
          <w:p w14:paraId="226B9C3F">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沧源县Ⅰ</w:t>
            </w:r>
          </w:p>
        </w:tc>
        <w:tc>
          <w:tcPr>
            <w:tcW w:w="1200" w:type="dxa"/>
            <w:tcBorders>
              <w:top w:val="single" w:color="auto" w:sz="4" w:space="0"/>
              <w:left w:val="single" w:color="auto" w:sz="4" w:space="0"/>
              <w:bottom w:val="single" w:color="auto" w:sz="4" w:space="0"/>
              <w:right w:val="single" w:color="auto" w:sz="4" w:space="0"/>
            </w:tcBorders>
            <w:vAlign w:val="center"/>
          </w:tcPr>
          <w:p w14:paraId="19F489D4">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7FA96AE5">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1756B663">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中星世通</w:t>
            </w:r>
          </w:p>
        </w:tc>
        <w:tc>
          <w:tcPr>
            <w:tcW w:w="1788" w:type="dxa"/>
            <w:vMerge w:val="restart"/>
            <w:tcBorders>
              <w:top w:val="single" w:color="auto" w:sz="4" w:space="0"/>
              <w:left w:val="single" w:color="auto" w:sz="4" w:space="0"/>
              <w:bottom w:val="single" w:color="auto" w:sz="4" w:space="0"/>
              <w:right w:val="single" w:color="auto" w:sz="4" w:space="0"/>
            </w:tcBorders>
            <w:vAlign w:val="center"/>
          </w:tcPr>
          <w:p w14:paraId="0EF96F14">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质保期内</w:t>
            </w:r>
          </w:p>
        </w:tc>
      </w:tr>
      <w:tr w14:paraId="3A65B5BD">
        <w:tblPrEx>
          <w:tblCellMar>
            <w:top w:w="0" w:type="dxa"/>
            <w:left w:w="79" w:type="dxa"/>
            <w:bottom w:w="0" w:type="dxa"/>
            <w:right w:w="108" w:type="dxa"/>
          </w:tblCellMar>
        </w:tblPrEx>
        <w:trPr>
          <w:cantSplit/>
          <w:trHeight w:val="392" w:hRule="atLeast"/>
        </w:trPr>
        <w:tc>
          <w:tcPr>
            <w:tcW w:w="669" w:type="dxa"/>
            <w:tcBorders>
              <w:top w:val="single" w:color="auto" w:sz="4" w:space="0"/>
              <w:left w:val="single" w:color="auto" w:sz="4" w:space="0"/>
              <w:bottom w:val="single" w:color="auto" w:sz="4" w:space="0"/>
              <w:right w:val="single" w:color="auto" w:sz="4" w:space="0"/>
            </w:tcBorders>
            <w:vAlign w:val="center"/>
          </w:tcPr>
          <w:p w14:paraId="16DBF2F6">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p>
        </w:tc>
        <w:tc>
          <w:tcPr>
            <w:tcW w:w="1760" w:type="dxa"/>
            <w:tcBorders>
              <w:top w:val="single" w:color="auto" w:sz="4" w:space="0"/>
              <w:left w:val="single" w:color="auto" w:sz="4" w:space="0"/>
              <w:bottom w:val="single" w:color="auto" w:sz="4" w:space="0"/>
              <w:right w:val="single" w:color="auto" w:sz="4" w:space="0"/>
            </w:tcBorders>
            <w:vAlign w:val="center"/>
          </w:tcPr>
          <w:p w14:paraId="053F84D6">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镇康县Ⅱ</w:t>
            </w:r>
          </w:p>
        </w:tc>
        <w:tc>
          <w:tcPr>
            <w:tcW w:w="1200" w:type="dxa"/>
            <w:tcBorders>
              <w:top w:val="single" w:color="auto" w:sz="4" w:space="0"/>
              <w:left w:val="single" w:color="auto" w:sz="4" w:space="0"/>
              <w:bottom w:val="single" w:color="auto" w:sz="4" w:space="0"/>
              <w:right w:val="single" w:color="auto" w:sz="4" w:space="0"/>
            </w:tcBorders>
            <w:vAlign w:val="center"/>
          </w:tcPr>
          <w:p w14:paraId="432D5952">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3FBFD664">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49B3D003">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中星世通</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1ED20787">
            <w:pPr>
              <w:jc w:val="center"/>
              <w:rPr>
                <w:rFonts w:hint="eastAsia" w:ascii="宋体" w:hAnsi="宋体" w:eastAsia="宋体" w:cs="宋体"/>
                <w:b w:val="0"/>
                <w:bCs/>
                <w:color w:val="auto"/>
                <w:sz w:val="24"/>
                <w:szCs w:val="24"/>
              </w:rPr>
            </w:pPr>
          </w:p>
        </w:tc>
      </w:tr>
      <w:tr w14:paraId="7298F496">
        <w:tblPrEx>
          <w:tblCellMar>
            <w:top w:w="0" w:type="dxa"/>
            <w:left w:w="79" w:type="dxa"/>
            <w:bottom w:w="0" w:type="dxa"/>
            <w:right w:w="108" w:type="dxa"/>
          </w:tblCellMar>
        </w:tblPrEx>
        <w:trPr>
          <w:cantSplit/>
          <w:trHeight w:val="392" w:hRule="atLeast"/>
        </w:trPr>
        <w:tc>
          <w:tcPr>
            <w:tcW w:w="669" w:type="dxa"/>
            <w:tcBorders>
              <w:top w:val="single" w:color="auto" w:sz="4" w:space="0"/>
              <w:left w:val="single" w:color="auto" w:sz="4" w:space="0"/>
              <w:bottom w:val="single" w:color="auto" w:sz="4" w:space="0"/>
              <w:right w:val="single" w:color="auto" w:sz="4" w:space="0"/>
            </w:tcBorders>
            <w:vAlign w:val="center"/>
          </w:tcPr>
          <w:p w14:paraId="0BB44BE7">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p>
        </w:tc>
        <w:tc>
          <w:tcPr>
            <w:tcW w:w="1760" w:type="dxa"/>
            <w:tcBorders>
              <w:top w:val="single" w:color="auto" w:sz="4" w:space="0"/>
              <w:left w:val="single" w:color="auto" w:sz="4" w:space="0"/>
              <w:bottom w:val="single" w:color="auto" w:sz="4" w:space="0"/>
              <w:right w:val="single" w:color="auto" w:sz="4" w:space="0"/>
            </w:tcBorders>
            <w:vAlign w:val="center"/>
          </w:tcPr>
          <w:p w14:paraId="7E28E57B">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镇康县Ⅲ</w:t>
            </w:r>
          </w:p>
        </w:tc>
        <w:tc>
          <w:tcPr>
            <w:tcW w:w="1200" w:type="dxa"/>
            <w:tcBorders>
              <w:top w:val="single" w:color="auto" w:sz="4" w:space="0"/>
              <w:left w:val="single" w:color="auto" w:sz="4" w:space="0"/>
              <w:bottom w:val="single" w:color="auto" w:sz="4" w:space="0"/>
              <w:right w:val="single" w:color="auto" w:sz="4" w:space="0"/>
            </w:tcBorders>
            <w:vAlign w:val="center"/>
          </w:tcPr>
          <w:p w14:paraId="5AE38F1F">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442C88A0">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4A41FE7F">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中星世通</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243AC4BC">
            <w:pPr>
              <w:jc w:val="center"/>
              <w:rPr>
                <w:rFonts w:hint="eastAsia" w:ascii="宋体" w:hAnsi="宋体" w:eastAsia="宋体" w:cs="宋体"/>
                <w:b w:val="0"/>
                <w:bCs/>
                <w:color w:val="auto"/>
                <w:sz w:val="24"/>
                <w:szCs w:val="24"/>
              </w:rPr>
            </w:pPr>
          </w:p>
        </w:tc>
      </w:tr>
      <w:tr w14:paraId="3A58416C">
        <w:tblPrEx>
          <w:tblCellMar>
            <w:top w:w="0" w:type="dxa"/>
            <w:left w:w="79" w:type="dxa"/>
            <w:bottom w:w="0" w:type="dxa"/>
            <w:right w:w="108" w:type="dxa"/>
          </w:tblCellMar>
        </w:tblPrEx>
        <w:trPr>
          <w:cantSplit/>
          <w:trHeight w:val="392" w:hRule="atLeast"/>
        </w:trPr>
        <w:tc>
          <w:tcPr>
            <w:tcW w:w="669" w:type="dxa"/>
            <w:tcBorders>
              <w:top w:val="single" w:color="auto" w:sz="4" w:space="0"/>
              <w:left w:val="single" w:color="auto" w:sz="4" w:space="0"/>
              <w:bottom w:val="single" w:color="auto" w:sz="4" w:space="0"/>
              <w:right w:val="single" w:color="auto" w:sz="4" w:space="0"/>
            </w:tcBorders>
            <w:vAlign w:val="center"/>
          </w:tcPr>
          <w:p w14:paraId="5DD30AAF">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w:t>
            </w:r>
          </w:p>
        </w:tc>
        <w:tc>
          <w:tcPr>
            <w:tcW w:w="1760" w:type="dxa"/>
            <w:tcBorders>
              <w:top w:val="single" w:color="auto" w:sz="4" w:space="0"/>
              <w:left w:val="single" w:color="auto" w:sz="4" w:space="0"/>
              <w:bottom w:val="single" w:color="auto" w:sz="4" w:space="0"/>
              <w:right w:val="single" w:color="auto" w:sz="4" w:space="0"/>
            </w:tcBorders>
            <w:vAlign w:val="center"/>
          </w:tcPr>
          <w:p w14:paraId="5319AEFE">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移动传感器Ⅰ</w:t>
            </w:r>
          </w:p>
        </w:tc>
        <w:tc>
          <w:tcPr>
            <w:tcW w:w="1200" w:type="dxa"/>
            <w:tcBorders>
              <w:top w:val="single" w:color="auto" w:sz="4" w:space="0"/>
              <w:left w:val="single" w:color="auto" w:sz="4" w:space="0"/>
              <w:bottom w:val="single" w:color="auto" w:sz="4" w:space="0"/>
              <w:right w:val="single" w:color="auto" w:sz="4" w:space="0"/>
            </w:tcBorders>
            <w:vAlign w:val="center"/>
          </w:tcPr>
          <w:p w14:paraId="0266CC5F">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69B9CEEB">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2E67E532">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零点科技</w:t>
            </w:r>
          </w:p>
        </w:tc>
        <w:tc>
          <w:tcPr>
            <w:tcW w:w="1788" w:type="dxa"/>
            <w:vMerge w:val="restart"/>
            <w:tcBorders>
              <w:top w:val="single" w:color="auto" w:sz="4" w:space="0"/>
              <w:left w:val="single" w:color="auto" w:sz="4" w:space="0"/>
              <w:bottom w:val="single" w:color="auto" w:sz="4" w:space="0"/>
              <w:right w:val="single" w:color="auto" w:sz="4" w:space="0"/>
            </w:tcBorders>
            <w:vAlign w:val="center"/>
          </w:tcPr>
          <w:p w14:paraId="5BDFFB10">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质保期内</w:t>
            </w:r>
          </w:p>
        </w:tc>
      </w:tr>
      <w:tr w14:paraId="11FBB2B9">
        <w:tblPrEx>
          <w:tblCellMar>
            <w:top w:w="0" w:type="dxa"/>
            <w:left w:w="79" w:type="dxa"/>
            <w:bottom w:w="0" w:type="dxa"/>
            <w:right w:w="108" w:type="dxa"/>
          </w:tblCellMar>
        </w:tblPrEx>
        <w:trPr>
          <w:cantSplit/>
          <w:trHeight w:val="392" w:hRule="atLeast"/>
        </w:trPr>
        <w:tc>
          <w:tcPr>
            <w:tcW w:w="669" w:type="dxa"/>
            <w:tcBorders>
              <w:top w:val="single" w:color="auto" w:sz="4" w:space="0"/>
              <w:left w:val="single" w:color="auto" w:sz="4" w:space="0"/>
              <w:bottom w:val="single" w:color="auto" w:sz="4" w:space="0"/>
              <w:right w:val="single" w:color="auto" w:sz="4" w:space="0"/>
            </w:tcBorders>
            <w:vAlign w:val="center"/>
          </w:tcPr>
          <w:p w14:paraId="30F96529">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w:t>
            </w:r>
          </w:p>
        </w:tc>
        <w:tc>
          <w:tcPr>
            <w:tcW w:w="1760" w:type="dxa"/>
            <w:tcBorders>
              <w:top w:val="single" w:color="auto" w:sz="4" w:space="0"/>
              <w:left w:val="single" w:color="auto" w:sz="4" w:space="0"/>
              <w:bottom w:val="single" w:color="auto" w:sz="4" w:space="0"/>
              <w:right w:val="single" w:color="auto" w:sz="4" w:space="0"/>
            </w:tcBorders>
            <w:vAlign w:val="center"/>
          </w:tcPr>
          <w:p w14:paraId="6C1B408E">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移动传感器Ⅱ</w:t>
            </w:r>
          </w:p>
        </w:tc>
        <w:tc>
          <w:tcPr>
            <w:tcW w:w="1200" w:type="dxa"/>
            <w:tcBorders>
              <w:top w:val="single" w:color="auto" w:sz="4" w:space="0"/>
              <w:left w:val="single" w:color="auto" w:sz="4" w:space="0"/>
              <w:bottom w:val="single" w:color="auto" w:sz="4" w:space="0"/>
              <w:right w:val="single" w:color="auto" w:sz="4" w:space="0"/>
            </w:tcBorders>
            <w:vAlign w:val="center"/>
          </w:tcPr>
          <w:p w14:paraId="40EF665C">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085002D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2AFE3810">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零点科技</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1D9D7E95">
            <w:pPr>
              <w:jc w:val="center"/>
              <w:rPr>
                <w:rFonts w:hint="eastAsia" w:ascii="宋体" w:hAnsi="宋体" w:eastAsia="宋体" w:cs="宋体"/>
                <w:b w:val="0"/>
                <w:bCs/>
                <w:color w:val="auto"/>
                <w:sz w:val="24"/>
                <w:szCs w:val="24"/>
              </w:rPr>
            </w:pPr>
          </w:p>
        </w:tc>
      </w:tr>
      <w:tr w14:paraId="0C724E6F">
        <w:tblPrEx>
          <w:tblCellMar>
            <w:top w:w="0" w:type="dxa"/>
            <w:left w:w="79" w:type="dxa"/>
            <w:bottom w:w="0" w:type="dxa"/>
            <w:right w:w="108" w:type="dxa"/>
          </w:tblCellMar>
        </w:tblPrEx>
        <w:trPr>
          <w:cantSplit/>
          <w:trHeight w:val="392" w:hRule="atLeast"/>
        </w:trPr>
        <w:tc>
          <w:tcPr>
            <w:tcW w:w="669" w:type="dxa"/>
            <w:tcBorders>
              <w:top w:val="single" w:color="auto" w:sz="4" w:space="0"/>
              <w:left w:val="single" w:color="auto" w:sz="4" w:space="0"/>
              <w:bottom w:val="single" w:color="auto" w:sz="4" w:space="0"/>
              <w:right w:val="single" w:color="auto" w:sz="4" w:space="0"/>
            </w:tcBorders>
            <w:vAlign w:val="center"/>
          </w:tcPr>
          <w:p w14:paraId="09C9C37E">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w:t>
            </w:r>
          </w:p>
        </w:tc>
        <w:tc>
          <w:tcPr>
            <w:tcW w:w="1760" w:type="dxa"/>
            <w:tcBorders>
              <w:top w:val="single" w:color="auto" w:sz="4" w:space="0"/>
              <w:left w:val="single" w:color="auto" w:sz="4" w:space="0"/>
              <w:bottom w:val="single" w:color="auto" w:sz="4" w:space="0"/>
              <w:right w:val="single" w:color="auto" w:sz="4" w:space="0"/>
            </w:tcBorders>
            <w:vAlign w:val="center"/>
          </w:tcPr>
          <w:p w14:paraId="32D97D4E">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移动传感器Ⅲ</w:t>
            </w:r>
          </w:p>
        </w:tc>
        <w:tc>
          <w:tcPr>
            <w:tcW w:w="1200" w:type="dxa"/>
            <w:tcBorders>
              <w:top w:val="single" w:color="auto" w:sz="4" w:space="0"/>
              <w:left w:val="single" w:color="auto" w:sz="4" w:space="0"/>
              <w:bottom w:val="single" w:color="auto" w:sz="4" w:space="0"/>
              <w:right w:val="single" w:color="auto" w:sz="4" w:space="0"/>
            </w:tcBorders>
            <w:vAlign w:val="center"/>
          </w:tcPr>
          <w:p w14:paraId="4D5702ED">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5AE6C0B2">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7234E9C8">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零点科技</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1F0E6F8A">
            <w:pPr>
              <w:jc w:val="center"/>
              <w:rPr>
                <w:rFonts w:hint="eastAsia" w:ascii="宋体" w:hAnsi="宋体" w:eastAsia="宋体" w:cs="宋体"/>
                <w:b w:val="0"/>
                <w:bCs/>
                <w:color w:val="auto"/>
                <w:sz w:val="24"/>
                <w:szCs w:val="24"/>
              </w:rPr>
            </w:pPr>
          </w:p>
        </w:tc>
      </w:tr>
      <w:tr w14:paraId="5151D02F">
        <w:tblPrEx>
          <w:tblCellMar>
            <w:top w:w="0" w:type="dxa"/>
            <w:left w:w="79" w:type="dxa"/>
            <w:bottom w:w="0" w:type="dxa"/>
            <w:right w:w="108" w:type="dxa"/>
          </w:tblCellMar>
        </w:tblPrEx>
        <w:trPr>
          <w:cantSplit/>
          <w:trHeight w:val="392" w:hRule="atLeast"/>
        </w:trPr>
        <w:tc>
          <w:tcPr>
            <w:tcW w:w="669" w:type="dxa"/>
            <w:tcBorders>
              <w:top w:val="single" w:color="auto" w:sz="4" w:space="0"/>
              <w:left w:val="single" w:color="auto" w:sz="4" w:space="0"/>
              <w:bottom w:val="single" w:color="auto" w:sz="4" w:space="0"/>
              <w:right w:val="single" w:color="auto" w:sz="4" w:space="0"/>
            </w:tcBorders>
            <w:vAlign w:val="center"/>
          </w:tcPr>
          <w:p w14:paraId="06B881D1">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w:t>
            </w:r>
          </w:p>
        </w:tc>
        <w:tc>
          <w:tcPr>
            <w:tcW w:w="1760" w:type="dxa"/>
            <w:tcBorders>
              <w:top w:val="single" w:color="auto" w:sz="4" w:space="0"/>
              <w:left w:val="single" w:color="auto" w:sz="4" w:space="0"/>
              <w:bottom w:val="single" w:color="auto" w:sz="4" w:space="0"/>
              <w:right w:val="single" w:color="auto" w:sz="4" w:space="0"/>
            </w:tcBorders>
            <w:vAlign w:val="center"/>
          </w:tcPr>
          <w:p w14:paraId="5D63289B">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移动传感器Ⅳ</w:t>
            </w:r>
          </w:p>
        </w:tc>
        <w:tc>
          <w:tcPr>
            <w:tcW w:w="1200" w:type="dxa"/>
            <w:tcBorders>
              <w:top w:val="single" w:color="auto" w:sz="4" w:space="0"/>
              <w:left w:val="single" w:color="auto" w:sz="4" w:space="0"/>
              <w:bottom w:val="single" w:color="auto" w:sz="4" w:space="0"/>
              <w:right w:val="single" w:color="auto" w:sz="4" w:space="0"/>
            </w:tcBorders>
            <w:vAlign w:val="center"/>
          </w:tcPr>
          <w:p w14:paraId="21C8777E">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4FE3E2CB">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7135B1A5">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零点科技</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02B4E999">
            <w:pPr>
              <w:jc w:val="center"/>
              <w:rPr>
                <w:rFonts w:hint="eastAsia" w:ascii="宋体" w:hAnsi="宋体" w:eastAsia="宋体" w:cs="宋体"/>
                <w:b w:val="0"/>
                <w:bCs/>
                <w:color w:val="auto"/>
                <w:sz w:val="24"/>
                <w:szCs w:val="24"/>
              </w:rPr>
            </w:pPr>
          </w:p>
        </w:tc>
      </w:tr>
      <w:tr w14:paraId="10FC036F">
        <w:tblPrEx>
          <w:tblCellMar>
            <w:top w:w="0" w:type="dxa"/>
            <w:left w:w="79" w:type="dxa"/>
            <w:bottom w:w="0" w:type="dxa"/>
            <w:right w:w="108" w:type="dxa"/>
          </w:tblCellMar>
        </w:tblPrEx>
        <w:trPr>
          <w:cantSplit/>
          <w:trHeight w:val="392" w:hRule="atLeast"/>
        </w:trPr>
        <w:tc>
          <w:tcPr>
            <w:tcW w:w="669" w:type="dxa"/>
            <w:tcBorders>
              <w:top w:val="single" w:color="auto" w:sz="4" w:space="0"/>
              <w:left w:val="single" w:color="auto" w:sz="4" w:space="0"/>
              <w:bottom w:val="single" w:color="auto" w:sz="4" w:space="0"/>
              <w:right w:val="single" w:color="auto" w:sz="4" w:space="0"/>
            </w:tcBorders>
            <w:vAlign w:val="center"/>
          </w:tcPr>
          <w:p w14:paraId="0E63EB3A">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13</w:t>
            </w:r>
          </w:p>
        </w:tc>
        <w:tc>
          <w:tcPr>
            <w:tcW w:w="1760" w:type="dxa"/>
            <w:tcBorders>
              <w:top w:val="single" w:color="auto" w:sz="4" w:space="0"/>
              <w:left w:val="single" w:color="auto" w:sz="4" w:space="0"/>
              <w:bottom w:val="single" w:color="auto" w:sz="4" w:space="0"/>
              <w:right w:val="single" w:color="auto" w:sz="4" w:space="0"/>
            </w:tcBorders>
            <w:vAlign w:val="center"/>
          </w:tcPr>
          <w:p w14:paraId="773D556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移动传感器Ⅴ</w:t>
            </w:r>
          </w:p>
        </w:tc>
        <w:tc>
          <w:tcPr>
            <w:tcW w:w="1200" w:type="dxa"/>
            <w:tcBorders>
              <w:top w:val="single" w:color="auto" w:sz="4" w:space="0"/>
              <w:left w:val="single" w:color="auto" w:sz="4" w:space="0"/>
              <w:bottom w:val="single" w:color="auto" w:sz="4" w:space="0"/>
              <w:right w:val="single" w:color="auto" w:sz="4" w:space="0"/>
            </w:tcBorders>
            <w:vAlign w:val="center"/>
          </w:tcPr>
          <w:p w14:paraId="5C1F6BF1">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55D91B0D">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20230830</w:t>
            </w:r>
          </w:p>
        </w:tc>
        <w:tc>
          <w:tcPr>
            <w:tcW w:w="1950" w:type="dxa"/>
            <w:tcBorders>
              <w:top w:val="single" w:color="auto" w:sz="4" w:space="0"/>
              <w:left w:val="single" w:color="auto" w:sz="4" w:space="0"/>
              <w:bottom w:val="single" w:color="auto" w:sz="4" w:space="0"/>
              <w:right w:val="single" w:color="auto" w:sz="4" w:space="0"/>
            </w:tcBorders>
            <w:vAlign w:val="center"/>
          </w:tcPr>
          <w:p w14:paraId="6BC5B1E2">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零点科技</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5D120A92">
            <w:pPr>
              <w:jc w:val="center"/>
              <w:rPr>
                <w:rFonts w:hint="eastAsia" w:ascii="宋体" w:hAnsi="宋体" w:eastAsia="宋体" w:cs="宋体"/>
                <w:b w:val="0"/>
                <w:bCs/>
                <w:color w:val="auto"/>
                <w:sz w:val="24"/>
                <w:szCs w:val="24"/>
              </w:rPr>
            </w:pPr>
          </w:p>
        </w:tc>
      </w:tr>
      <w:tr w14:paraId="70A26E11">
        <w:tblPrEx>
          <w:tblCellMar>
            <w:top w:w="0" w:type="dxa"/>
            <w:left w:w="79" w:type="dxa"/>
            <w:bottom w:w="0" w:type="dxa"/>
            <w:right w:w="108" w:type="dxa"/>
          </w:tblCellMar>
        </w:tblPrEx>
        <w:trPr>
          <w:cantSplit/>
          <w:trHeight w:val="392" w:hRule="atLeast"/>
        </w:trPr>
        <w:tc>
          <w:tcPr>
            <w:tcW w:w="9087" w:type="dxa"/>
            <w:gridSpan w:val="6"/>
            <w:tcBorders>
              <w:top w:val="single" w:color="auto" w:sz="4" w:space="0"/>
              <w:left w:val="single" w:color="auto" w:sz="4" w:space="0"/>
              <w:bottom w:val="single" w:color="auto" w:sz="4" w:space="0"/>
              <w:right w:val="single" w:color="auto" w:sz="4" w:space="0"/>
            </w:tcBorders>
            <w:vAlign w:val="center"/>
          </w:tcPr>
          <w:p w14:paraId="700CED3C">
            <w:pPr>
              <w:jc w:val="center"/>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质保期内有</w:t>
            </w:r>
            <w:r>
              <w:rPr>
                <w:rFonts w:hint="eastAsia" w:ascii="宋体" w:hAnsi="宋体" w:cs="宋体"/>
                <w:b/>
                <w:bCs w:val="0"/>
                <w:color w:val="auto"/>
                <w:sz w:val="24"/>
                <w:szCs w:val="24"/>
                <w:lang w:val="en-US" w:eastAsia="zh-CN"/>
              </w:rPr>
              <w:t>8</w:t>
            </w:r>
            <w:r>
              <w:rPr>
                <w:rFonts w:hint="eastAsia" w:ascii="宋体" w:hAnsi="宋体" w:eastAsia="宋体" w:cs="宋体"/>
                <w:b/>
                <w:bCs w:val="0"/>
                <w:color w:val="auto"/>
                <w:sz w:val="24"/>
                <w:szCs w:val="24"/>
                <w:lang w:val="en-US" w:eastAsia="zh-CN"/>
              </w:rPr>
              <w:t>个固定监测站和5套移动传感器设备</w:t>
            </w:r>
          </w:p>
        </w:tc>
      </w:tr>
      <w:tr w14:paraId="52EF72DD">
        <w:tblPrEx>
          <w:tblCellMar>
            <w:top w:w="0" w:type="dxa"/>
            <w:left w:w="79" w:type="dxa"/>
            <w:bottom w:w="0" w:type="dxa"/>
            <w:right w:w="108" w:type="dxa"/>
          </w:tblCellMar>
        </w:tblPrEx>
        <w:trPr>
          <w:cantSplit/>
          <w:trHeight w:val="392" w:hRule="atLeast"/>
        </w:trPr>
        <w:tc>
          <w:tcPr>
            <w:tcW w:w="669" w:type="dxa"/>
            <w:tcBorders>
              <w:top w:val="nil"/>
              <w:left w:val="single" w:color="auto" w:sz="4" w:space="0"/>
              <w:bottom w:val="single" w:color="auto" w:sz="4" w:space="0"/>
              <w:right w:val="single" w:color="auto" w:sz="4" w:space="0"/>
            </w:tcBorders>
            <w:vAlign w:val="center"/>
          </w:tcPr>
          <w:p w14:paraId="4012A3B5">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14</w:t>
            </w:r>
          </w:p>
        </w:tc>
        <w:tc>
          <w:tcPr>
            <w:tcW w:w="1760" w:type="dxa"/>
            <w:tcBorders>
              <w:top w:val="nil"/>
              <w:left w:val="single" w:color="auto" w:sz="4" w:space="0"/>
              <w:bottom w:val="single" w:color="auto" w:sz="4" w:space="0"/>
              <w:right w:val="single" w:color="auto" w:sz="4" w:space="0"/>
            </w:tcBorders>
            <w:vAlign w:val="center"/>
          </w:tcPr>
          <w:p w14:paraId="4C519A1F">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临翔区Ⅲ</w:t>
            </w:r>
          </w:p>
        </w:tc>
        <w:tc>
          <w:tcPr>
            <w:tcW w:w="1200" w:type="dxa"/>
            <w:tcBorders>
              <w:top w:val="nil"/>
              <w:left w:val="nil"/>
              <w:bottom w:val="single" w:color="auto" w:sz="4" w:space="0"/>
              <w:right w:val="single" w:color="auto" w:sz="4" w:space="0"/>
            </w:tcBorders>
            <w:vAlign w:val="center"/>
          </w:tcPr>
          <w:p w14:paraId="3FFFDD67">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75C8638D">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20220519</w:t>
            </w:r>
          </w:p>
        </w:tc>
        <w:tc>
          <w:tcPr>
            <w:tcW w:w="1950" w:type="dxa"/>
            <w:tcBorders>
              <w:top w:val="nil"/>
              <w:left w:val="nil"/>
              <w:bottom w:val="single" w:color="auto" w:sz="4" w:space="0"/>
              <w:right w:val="single" w:color="auto" w:sz="4" w:space="0"/>
            </w:tcBorders>
            <w:vAlign w:val="center"/>
          </w:tcPr>
          <w:p w14:paraId="5725F2FA">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德辰科技</w:t>
            </w:r>
          </w:p>
        </w:tc>
        <w:tc>
          <w:tcPr>
            <w:tcW w:w="1788" w:type="dxa"/>
            <w:tcBorders>
              <w:top w:val="nil"/>
              <w:left w:val="nil"/>
              <w:bottom w:val="single" w:color="auto" w:sz="4" w:space="0"/>
              <w:right w:val="single" w:color="auto" w:sz="4" w:space="0"/>
            </w:tcBorders>
            <w:vAlign w:val="center"/>
          </w:tcPr>
          <w:p w14:paraId="5C25FBC0">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质保期外</w:t>
            </w:r>
          </w:p>
        </w:tc>
      </w:tr>
      <w:tr w14:paraId="482BC157">
        <w:tblPrEx>
          <w:tblCellMar>
            <w:top w:w="0" w:type="dxa"/>
            <w:left w:w="79" w:type="dxa"/>
            <w:bottom w:w="0" w:type="dxa"/>
            <w:right w:w="108" w:type="dxa"/>
          </w:tblCellMar>
        </w:tblPrEx>
        <w:trPr>
          <w:cantSplit/>
          <w:trHeight w:val="392" w:hRule="atLeast"/>
        </w:trPr>
        <w:tc>
          <w:tcPr>
            <w:tcW w:w="669" w:type="dxa"/>
            <w:tcBorders>
              <w:top w:val="nil"/>
              <w:left w:val="single" w:color="auto" w:sz="4" w:space="0"/>
              <w:bottom w:val="single" w:color="auto" w:sz="4" w:space="0"/>
              <w:right w:val="single" w:color="auto" w:sz="4" w:space="0"/>
            </w:tcBorders>
            <w:vAlign w:val="center"/>
          </w:tcPr>
          <w:p w14:paraId="5BFA3B90">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w:t>
            </w:r>
          </w:p>
        </w:tc>
        <w:tc>
          <w:tcPr>
            <w:tcW w:w="1760" w:type="dxa"/>
            <w:tcBorders>
              <w:top w:val="nil"/>
              <w:left w:val="single" w:color="auto" w:sz="4" w:space="0"/>
              <w:bottom w:val="single" w:color="auto" w:sz="4" w:space="0"/>
              <w:right w:val="single" w:color="auto" w:sz="4" w:space="0"/>
            </w:tcBorders>
            <w:vAlign w:val="center"/>
          </w:tcPr>
          <w:p w14:paraId="728B8437">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镇康县Ⅳ</w:t>
            </w:r>
          </w:p>
        </w:tc>
        <w:tc>
          <w:tcPr>
            <w:tcW w:w="1200" w:type="dxa"/>
            <w:tcBorders>
              <w:top w:val="nil"/>
              <w:left w:val="nil"/>
              <w:bottom w:val="single" w:color="auto" w:sz="4" w:space="0"/>
              <w:right w:val="single" w:color="auto" w:sz="4" w:space="0"/>
            </w:tcBorders>
            <w:vAlign w:val="center"/>
          </w:tcPr>
          <w:p w14:paraId="45979ADA">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二类</w:t>
            </w:r>
          </w:p>
        </w:tc>
        <w:tc>
          <w:tcPr>
            <w:tcW w:w="1720" w:type="dxa"/>
            <w:tcBorders>
              <w:top w:val="nil"/>
              <w:left w:val="nil"/>
              <w:bottom w:val="single" w:color="auto" w:sz="4" w:space="0"/>
              <w:right w:val="single" w:color="auto" w:sz="4" w:space="0"/>
            </w:tcBorders>
            <w:vAlign w:val="center"/>
          </w:tcPr>
          <w:p w14:paraId="6BA4E4C2">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20220818</w:t>
            </w:r>
          </w:p>
        </w:tc>
        <w:tc>
          <w:tcPr>
            <w:tcW w:w="1950" w:type="dxa"/>
            <w:tcBorders>
              <w:top w:val="nil"/>
              <w:left w:val="nil"/>
              <w:bottom w:val="single" w:color="auto" w:sz="4" w:space="0"/>
              <w:right w:val="single" w:color="auto" w:sz="4" w:space="0"/>
            </w:tcBorders>
            <w:vAlign w:val="center"/>
          </w:tcPr>
          <w:p w14:paraId="0F2F1A86">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tcBorders>
              <w:top w:val="nil"/>
              <w:left w:val="nil"/>
              <w:bottom w:val="single" w:color="auto" w:sz="4" w:space="0"/>
              <w:right w:val="single" w:color="auto" w:sz="4" w:space="0"/>
            </w:tcBorders>
            <w:vAlign w:val="center"/>
          </w:tcPr>
          <w:p w14:paraId="447AFE5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w:t>
            </w:r>
            <w:r>
              <w:rPr>
                <w:rFonts w:hint="eastAsia" w:ascii="宋体" w:hAnsi="宋体" w:eastAsia="宋体" w:cs="宋体"/>
                <w:b w:val="0"/>
                <w:bCs/>
                <w:color w:val="auto"/>
                <w:sz w:val="24"/>
                <w:szCs w:val="24"/>
                <w:lang w:val="en-US" w:eastAsia="zh-CN"/>
              </w:rPr>
              <w:t>外</w:t>
            </w:r>
          </w:p>
        </w:tc>
      </w:tr>
      <w:tr w14:paraId="66996D81">
        <w:tblPrEx>
          <w:tblCellMar>
            <w:top w:w="0" w:type="dxa"/>
            <w:left w:w="79" w:type="dxa"/>
            <w:bottom w:w="0" w:type="dxa"/>
            <w:right w:w="108" w:type="dxa"/>
          </w:tblCellMar>
        </w:tblPrEx>
        <w:trPr>
          <w:cantSplit/>
          <w:trHeight w:val="392" w:hRule="atLeast"/>
        </w:trPr>
        <w:tc>
          <w:tcPr>
            <w:tcW w:w="669" w:type="dxa"/>
            <w:tcBorders>
              <w:top w:val="nil"/>
              <w:left w:val="single" w:color="auto" w:sz="4" w:space="0"/>
              <w:bottom w:val="single" w:color="auto" w:sz="4" w:space="0"/>
              <w:right w:val="single" w:color="auto" w:sz="4" w:space="0"/>
            </w:tcBorders>
            <w:vAlign w:val="center"/>
          </w:tcPr>
          <w:p w14:paraId="6DAD6026">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16</w:t>
            </w:r>
          </w:p>
        </w:tc>
        <w:tc>
          <w:tcPr>
            <w:tcW w:w="1760" w:type="dxa"/>
            <w:tcBorders>
              <w:top w:val="nil"/>
              <w:left w:val="single" w:color="auto" w:sz="4" w:space="0"/>
              <w:bottom w:val="single" w:color="auto" w:sz="4" w:space="0"/>
              <w:right w:val="single" w:color="auto" w:sz="4" w:space="0"/>
            </w:tcBorders>
            <w:vAlign w:val="center"/>
          </w:tcPr>
          <w:p w14:paraId="3A6C2C9F">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临翔区Ⅳ</w:t>
            </w:r>
          </w:p>
        </w:tc>
        <w:tc>
          <w:tcPr>
            <w:tcW w:w="1200" w:type="dxa"/>
            <w:tcBorders>
              <w:top w:val="nil"/>
              <w:left w:val="nil"/>
              <w:bottom w:val="single" w:color="auto" w:sz="4" w:space="0"/>
              <w:right w:val="single" w:color="auto" w:sz="4" w:space="0"/>
            </w:tcBorders>
            <w:vAlign w:val="center"/>
          </w:tcPr>
          <w:p w14:paraId="4FCF3BFA">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类</w:t>
            </w:r>
          </w:p>
        </w:tc>
        <w:tc>
          <w:tcPr>
            <w:tcW w:w="1720" w:type="dxa"/>
            <w:tcBorders>
              <w:top w:val="nil"/>
              <w:left w:val="nil"/>
              <w:bottom w:val="single" w:color="auto" w:sz="4" w:space="0"/>
              <w:right w:val="single" w:color="auto" w:sz="4" w:space="0"/>
            </w:tcBorders>
            <w:vAlign w:val="center"/>
          </w:tcPr>
          <w:p w14:paraId="6B82F25D">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20151020</w:t>
            </w:r>
          </w:p>
        </w:tc>
        <w:tc>
          <w:tcPr>
            <w:tcW w:w="1950" w:type="dxa"/>
            <w:tcBorders>
              <w:top w:val="nil"/>
              <w:left w:val="nil"/>
              <w:bottom w:val="single" w:color="auto" w:sz="4" w:space="0"/>
              <w:right w:val="single" w:color="auto" w:sz="4" w:space="0"/>
            </w:tcBorders>
            <w:vAlign w:val="center"/>
          </w:tcPr>
          <w:p w14:paraId="441A4659">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tcBorders>
              <w:top w:val="nil"/>
              <w:left w:val="nil"/>
              <w:bottom w:val="single" w:color="auto" w:sz="4" w:space="0"/>
              <w:right w:val="single" w:color="auto" w:sz="4" w:space="0"/>
            </w:tcBorders>
            <w:vAlign w:val="center"/>
          </w:tcPr>
          <w:p w14:paraId="21CF2FFC">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质保期外</w:t>
            </w:r>
          </w:p>
        </w:tc>
      </w:tr>
      <w:tr w14:paraId="710A90C9">
        <w:tblPrEx>
          <w:tblCellMar>
            <w:top w:w="0" w:type="dxa"/>
            <w:left w:w="79" w:type="dxa"/>
            <w:bottom w:w="0" w:type="dxa"/>
            <w:right w:w="108" w:type="dxa"/>
          </w:tblCellMar>
        </w:tblPrEx>
        <w:trPr>
          <w:cantSplit/>
          <w:trHeight w:val="346" w:hRule="atLeast"/>
        </w:trPr>
        <w:tc>
          <w:tcPr>
            <w:tcW w:w="669" w:type="dxa"/>
            <w:tcBorders>
              <w:top w:val="nil"/>
              <w:left w:val="single" w:color="auto" w:sz="4" w:space="0"/>
              <w:bottom w:val="single" w:color="auto" w:sz="4" w:space="0"/>
              <w:right w:val="single" w:color="auto" w:sz="4" w:space="0"/>
            </w:tcBorders>
            <w:vAlign w:val="center"/>
          </w:tcPr>
          <w:p w14:paraId="5160DE4A">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17</w:t>
            </w:r>
          </w:p>
        </w:tc>
        <w:tc>
          <w:tcPr>
            <w:tcW w:w="1760" w:type="dxa"/>
            <w:tcBorders>
              <w:top w:val="nil"/>
              <w:left w:val="single" w:color="auto" w:sz="4" w:space="0"/>
              <w:bottom w:val="single" w:color="auto" w:sz="4" w:space="0"/>
              <w:right w:val="single" w:color="auto" w:sz="4" w:space="0"/>
            </w:tcBorders>
            <w:vAlign w:val="center"/>
          </w:tcPr>
          <w:p w14:paraId="75474A32">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云县站</w:t>
            </w:r>
          </w:p>
        </w:tc>
        <w:tc>
          <w:tcPr>
            <w:tcW w:w="1200" w:type="dxa"/>
            <w:tcBorders>
              <w:top w:val="nil"/>
              <w:left w:val="nil"/>
              <w:bottom w:val="single" w:color="auto" w:sz="4" w:space="0"/>
              <w:right w:val="single" w:color="auto" w:sz="4" w:space="0"/>
            </w:tcBorders>
            <w:vAlign w:val="center"/>
          </w:tcPr>
          <w:p w14:paraId="7D60518B">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4C6B3FE7">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20210717</w:t>
            </w:r>
          </w:p>
        </w:tc>
        <w:tc>
          <w:tcPr>
            <w:tcW w:w="1950" w:type="dxa"/>
            <w:tcBorders>
              <w:top w:val="nil"/>
              <w:left w:val="nil"/>
              <w:bottom w:val="single" w:color="auto" w:sz="4" w:space="0"/>
              <w:right w:val="single" w:color="auto" w:sz="4" w:space="0"/>
            </w:tcBorders>
            <w:vAlign w:val="center"/>
          </w:tcPr>
          <w:p w14:paraId="0FB32963">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嵘兴实业</w:t>
            </w:r>
          </w:p>
        </w:tc>
        <w:tc>
          <w:tcPr>
            <w:tcW w:w="1788" w:type="dxa"/>
            <w:tcBorders>
              <w:top w:val="nil"/>
              <w:left w:val="nil"/>
              <w:bottom w:val="single" w:color="auto" w:sz="4" w:space="0"/>
              <w:right w:val="single" w:color="auto" w:sz="4" w:space="0"/>
            </w:tcBorders>
            <w:vAlign w:val="center"/>
          </w:tcPr>
          <w:p w14:paraId="6355CBBA">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质保期外</w:t>
            </w:r>
          </w:p>
        </w:tc>
      </w:tr>
      <w:tr w14:paraId="352F45E1">
        <w:tblPrEx>
          <w:tblCellMar>
            <w:top w:w="0" w:type="dxa"/>
            <w:left w:w="79" w:type="dxa"/>
            <w:bottom w:w="0" w:type="dxa"/>
            <w:right w:w="108" w:type="dxa"/>
          </w:tblCellMar>
        </w:tblPrEx>
        <w:trPr>
          <w:cantSplit/>
          <w:trHeight w:val="346" w:hRule="atLeast"/>
        </w:trPr>
        <w:tc>
          <w:tcPr>
            <w:tcW w:w="669" w:type="dxa"/>
            <w:tcBorders>
              <w:top w:val="nil"/>
              <w:left w:val="single" w:color="auto" w:sz="4" w:space="0"/>
              <w:bottom w:val="single" w:color="auto" w:sz="4" w:space="0"/>
              <w:right w:val="single" w:color="auto" w:sz="4" w:space="0"/>
            </w:tcBorders>
            <w:vAlign w:val="center"/>
          </w:tcPr>
          <w:p w14:paraId="5EB1C478">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w:t>
            </w:r>
          </w:p>
        </w:tc>
        <w:tc>
          <w:tcPr>
            <w:tcW w:w="1760" w:type="dxa"/>
            <w:tcBorders>
              <w:top w:val="nil"/>
              <w:left w:val="single" w:color="auto" w:sz="4" w:space="0"/>
              <w:bottom w:val="single" w:color="auto" w:sz="4" w:space="0"/>
              <w:right w:val="single" w:color="auto" w:sz="4" w:space="0"/>
            </w:tcBorders>
            <w:vAlign w:val="center"/>
          </w:tcPr>
          <w:p w14:paraId="3A922F14">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双江站</w:t>
            </w:r>
          </w:p>
        </w:tc>
        <w:tc>
          <w:tcPr>
            <w:tcW w:w="1200" w:type="dxa"/>
            <w:tcBorders>
              <w:top w:val="nil"/>
              <w:left w:val="nil"/>
              <w:bottom w:val="single" w:color="auto" w:sz="4" w:space="0"/>
              <w:right w:val="single" w:color="auto" w:sz="4" w:space="0"/>
            </w:tcBorders>
            <w:vAlign w:val="center"/>
          </w:tcPr>
          <w:p w14:paraId="32CF6684">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4E9C25D8">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20190910</w:t>
            </w:r>
          </w:p>
        </w:tc>
        <w:tc>
          <w:tcPr>
            <w:tcW w:w="1950" w:type="dxa"/>
            <w:tcBorders>
              <w:top w:val="nil"/>
              <w:left w:val="nil"/>
              <w:bottom w:val="single" w:color="auto" w:sz="4" w:space="0"/>
              <w:right w:val="single" w:color="auto" w:sz="4" w:space="0"/>
            </w:tcBorders>
            <w:vAlign w:val="center"/>
          </w:tcPr>
          <w:p w14:paraId="1AFA53F5">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点阵科技</w:t>
            </w:r>
          </w:p>
        </w:tc>
        <w:tc>
          <w:tcPr>
            <w:tcW w:w="1788" w:type="dxa"/>
            <w:tcBorders>
              <w:top w:val="nil"/>
              <w:left w:val="nil"/>
              <w:bottom w:val="single" w:color="auto" w:sz="4" w:space="0"/>
              <w:right w:val="single" w:color="auto" w:sz="4" w:space="0"/>
            </w:tcBorders>
            <w:vAlign w:val="center"/>
          </w:tcPr>
          <w:p w14:paraId="2F963ECC">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质保期外</w:t>
            </w:r>
          </w:p>
        </w:tc>
      </w:tr>
      <w:tr w14:paraId="7D7D9ABB">
        <w:tblPrEx>
          <w:tblCellMar>
            <w:top w:w="0" w:type="dxa"/>
            <w:left w:w="79" w:type="dxa"/>
            <w:bottom w:w="0" w:type="dxa"/>
            <w:right w:w="108" w:type="dxa"/>
          </w:tblCellMar>
        </w:tblPrEx>
        <w:trPr>
          <w:cantSplit/>
          <w:trHeight w:val="346" w:hRule="atLeast"/>
        </w:trPr>
        <w:tc>
          <w:tcPr>
            <w:tcW w:w="669" w:type="dxa"/>
            <w:tcBorders>
              <w:top w:val="nil"/>
              <w:left w:val="single" w:color="auto" w:sz="4" w:space="0"/>
              <w:bottom w:val="single" w:color="auto" w:sz="4" w:space="0"/>
              <w:right w:val="single" w:color="auto" w:sz="4" w:space="0"/>
            </w:tcBorders>
            <w:vAlign w:val="center"/>
          </w:tcPr>
          <w:p w14:paraId="5790C3A9">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19</w:t>
            </w:r>
          </w:p>
        </w:tc>
        <w:tc>
          <w:tcPr>
            <w:tcW w:w="1760" w:type="dxa"/>
            <w:tcBorders>
              <w:top w:val="nil"/>
              <w:left w:val="single" w:color="auto" w:sz="4" w:space="0"/>
              <w:bottom w:val="single" w:color="auto" w:sz="4" w:space="0"/>
              <w:right w:val="single" w:color="auto" w:sz="4" w:space="0"/>
            </w:tcBorders>
            <w:vAlign w:val="center"/>
          </w:tcPr>
          <w:p w14:paraId="663C8D00">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耿马县Ⅰ</w:t>
            </w:r>
          </w:p>
        </w:tc>
        <w:tc>
          <w:tcPr>
            <w:tcW w:w="1200" w:type="dxa"/>
            <w:tcBorders>
              <w:top w:val="nil"/>
              <w:left w:val="nil"/>
              <w:bottom w:val="single" w:color="auto" w:sz="4" w:space="0"/>
              <w:right w:val="single" w:color="auto" w:sz="4" w:space="0"/>
            </w:tcBorders>
            <w:vAlign w:val="center"/>
          </w:tcPr>
          <w:p w14:paraId="6092AF51">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二类</w:t>
            </w:r>
          </w:p>
        </w:tc>
        <w:tc>
          <w:tcPr>
            <w:tcW w:w="1720" w:type="dxa"/>
            <w:tcBorders>
              <w:top w:val="nil"/>
              <w:left w:val="nil"/>
              <w:bottom w:val="single" w:color="auto" w:sz="4" w:space="0"/>
              <w:right w:val="single" w:color="auto" w:sz="4" w:space="0"/>
            </w:tcBorders>
            <w:vAlign w:val="center"/>
          </w:tcPr>
          <w:p w14:paraId="6F970B52">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20180710</w:t>
            </w:r>
          </w:p>
        </w:tc>
        <w:tc>
          <w:tcPr>
            <w:tcW w:w="1950" w:type="dxa"/>
            <w:tcBorders>
              <w:top w:val="nil"/>
              <w:left w:val="nil"/>
              <w:bottom w:val="single" w:color="auto" w:sz="4" w:space="0"/>
              <w:right w:val="single" w:color="auto" w:sz="4" w:space="0"/>
            </w:tcBorders>
            <w:vAlign w:val="center"/>
          </w:tcPr>
          <w:p w14:paraId="7DF45DEC">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中星世通</w:t>
            </w:r>
          </w:p>
        </w:tc>
        <w:tc>
          <w:tcPr>
            <w:tcW w:w="1788" w:type="dxa"/>
            <w:tcBorders>
              <w:top w:val="nil"/>
              <w:left w:val="nil"/>
              <w:bottom w:val="single" w:color="auto" w:sz="4" w:space="0"/>
              <w:right w:val="single" w:color="auto" w:sz="4" w:space="0"/>
            </w:tcBorders>
            <w:vAlign w:val="center"/>
          </w:tcPr>
          <w:p w14:paraId="321D2D1C">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质保期外</w:t>
            </w:r>
          </w:p>
        </w:tc>
      </w:tr>
      <w:tr w14:paraId="61D4C858">
        <w:tblPrEx>
          <w:tblCellMar>
            <w:top w:w="0" w:type="dxa"/>
            <w:left w:w="79" w:type="dxa"/>
            <w:bottom w:w="0" w:type="dxa"/>
            <w:right w:w="108" w:type="dxa"/>
          </w:tblCellMar>
        </w:tblPrEx>
        <w:trPr>
          <w:cantSplit/>
          <w:trHeight w:val="346" w:hRule="atLeast"/>
        </w:trPr>
        <w:tc>
          <w:tcPr>
            <w:tcW w:w="669" w:type="dxa"/>
            <w:tcBorders>
              <w:top w:val="nil"/>
              <w:left w:val="single" w:color="auto" w:sz="4" w:space="0"/>
              <w:bottom w:val="single" w:color="auto" w:sz="4" w:space="0"/>
              <w:right w:val="single" w:color="auto" w:sz="4" w:space="0"/>
            </w:tcBorders>
            <w:vAlign w:val="center"/>
          </w:tcPr>
          <w:p w14:paraId="4EEFFF09">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w:t>
            </w:r>
          </w:p>
        </w:tc>
        <w:tc>
          <w:tcPr>
            <w:tcW w:w="1760" w:type="dxa"/>
            <w:tcBorders>
              <w:top w:val="nil"/>
              <w:left w:val="single" w:color="auto" w:sz="4" w:space="0"/>
              <w:bottom w:val="single" w:color="auto" w:sz="4" w:space="0"/>
              <w:right w:val="single" w:color="auto" w:sz="4" w:space="0"/>
            </w:tcBorders>
            <w:vAlign w:val="center"/>
          </w:tcPr>
          <w:p w14:paraId="106A06B7">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耿马县Ⅱ</w:t>
            </w:r>
          </w:p>
        </w:tc>
        <w:tc>
          <w:tcPr>
            <w:tcW w:w="1200" w:type="dxa"/>
            <w:tcBorders>
              <w:top w:val="nil"/>
              <w:left w:val="nil"/>
              <w:bottom w:val="single" w:color="auto" w:sz="4" w:space="0"/>
              <w:right w:val="single" w:color="auto" w:sz="4" w:space="0"/>
            </w:tcBorders>
            <w:vAlign w:val="center"/>
          </w:tcPr>
          <w:p w14:paraId="2D020165">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四类</w:t>
            </w:r>
          </w:p>
        </w:tc>
        <w:tc>
          <w:tcPr>
            <w:tcW w:w="1720" w:type="dxa"/>
            <w:tcBorders>
              <w:top w:val="nil"/>
              <w:left w:val="nil"/>
              <w:bottom w:val="single" w:color="auto" w:sz="4" w:space="0"/>
              <w:right w:val="single" w:color="auto" w:sz="4" w:space="0"/>
            </w:tcBorders>
            <w:vAlign w:val="center"/>
          </w:tcPr>
          <w:p w14:paraId="752560D9">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20121022</w:t>
            </w:r>
          </w:p>
        </w:tc>
        <w:tc>
          <w:tcPr>
            <w:tcW w:w="1950" w:type="dxa"/>
            <w:tcBorders>
              <w:top w:val="nil"/>
              <w:left w:val="nil"/>
              <w:bottom w:val="single" w:color="auto" w:sz="4" w:space="0"/>
              <w:right w:val="single" w:color="auto" w:sz="4" w:space="0"/>
            </w:tcBorders>
            <w:vAlign w:val="center"/>
          </w:tcPr>
          <w:p w14:paraId="181BE29E">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tcBorders>
              <w:top w:val="nil"/>
              <w:left w:val="nil"/>
              <w:bottom w:val="single" w:color="auto" w:sz="4" w:space="0"/>
              <w:right w:val="single" w:color="auto" w:sz="4" w:space="0"/>
            </w:tcBorders>
            <w:vAlign w:val="center"/>
          </w:tcPr>
          <w:p w14:paraId="5A265350">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质保期外</w:t>
            </w:r>
          </w:p>
        </w:tc>
      </w:tr>
      <w:tr w14:paraId="2F4DC5BC">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15D4B180">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21</w:t>
            </w:r>
          </w:p>
        </w:tc>
        <w:tc>
          <w:tcPr>
            <w:tcW w:w="1760" w:type="dxa"/>
            <w:tcBorders>
              <w:top w:val="single" w:color="auto" w:sz="4" w:space="0"/>
              <w:left w:val="single" w:color="auto" w:sz="4" w:space="0"/>
              <w:bottom w:val="single" w:color="auto" w:sz="4" w:space="0"/>
              <w:right w:val="single" w:color="auto" w:sz="4" w:space="0"/>
            </w:tcBorders>
            <w:vAlign w:val="center"/>
          </w:tcPr>
          <w:p w14:paraId="5F8A0E4A">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沧源县Ⅱ</w:t>
            </w:r>
          </w:p>
        </w:tc>
        <w:tc>
          <w:tcPr>
            <w:tcW w:w="1200" w:type="dxa"/>
            <w:tcBorders>
              <w:top w:val="single" w:color="auto" w:sz="4" w:space="0"/>
              <w:left w:val="single" w:color="auto" w:sz="4" w:space="0"/>
              <w:bottom w:val="single" w:color="auto" w:sz="4" w:space="0"/>
              <w:right w:val="single" w:color="auto" w:sz="4" w:space="0"/>
            </w:tcBorders>
            <w:vAlign w:val="center"/>
          </w:tcPr>
          <w:p w14:paraId="09757FED">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51F2F155">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20190320</w:t>
            </w:r>
          </w:p>
        </w:tc>
        <w:tc>
          <w:tcPr>
            <w:tcW w:w="1950" w:type="dxa"/>
            <w:tcBorders>
              <w:top w:val="single" w:color="auto" w:sz="4" w:space="0"/>
              <w:left w:val="single" w:color="auto" w:sz="4" w:space="0"/>
              <w:bottom w:val="single" w:color="auto" w:sz="4" w:space="0"/>
              <w:right w:val="single" w:color="auto" w:sz="4" w:space="0"/>
            </w:tcBorders>
            <w:vAlign w:val="center"/>
          </w:tcPr>
          <w:p w14:paraId="253BAC63">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德辰科技</w:t>
            </w:r>
          </w:p>
        </w:tc>
        <w:tc>
          <w:tcPr>
            <w:tcW w:w="1788" w:type="dxa"/>
            <w:tcBorders>
              <w:top w:val="single" w:color="auto" w:sz="4" w:space="0"/>
              <w:left w:val="single" w:color="auto" w:sz="4" w:space="0"/>
              <w:bottom w:val="single" w:color="auto" w:sz="4" w:space="0"/>
              <w:right w:val="single" w:color="auto" w:sz="4" w:space="0"/>
            </w:tcBorders>
            <w:vAlign w:val="center"/>
          </w:tcPr>
          <w:p w14:paraId="69E153D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质保期外</w:t>
            </w:r>
          </w:p>
        </w:tc>
      </w:tr>
      <w:tr w14:paraId="634AB303">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5947D882">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22</w:t>
            </w:r>
          </w:p>
        </w:tc>
        <w:tc>
          <w:tcPr>
            <w:tcW w:w="1760" w:type="dxa"/>
            <w:tcBorders>
              <w:top w:val="single" w:color="auto" w:sz="4" w:space="0"/>
              <w:left w:val="single" w:color="auto" w:sz="4" w:space="0"/>
              <w:bottom w:val="single" w:color="auto" w:sz="4" w:space="0"/>
              <w:right w:val="single" w:color="auto" w:sz="4" w:space="0"/>
            </w:tcBorders>
            <w:vAlign w:val="center"/>
          </w:tcPr>
          <w:p w14:paraId="32740E29">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镇康县Ⅴ</w:t>
            </w:r>
          </w:p>
        </w:tc>
        <w:tc>
          <w:tcPr>
            <w:tcW w:w="1200" w:type="dxa"/>
            <w:tcBorders>
              <w:top w:val="single" w:color="auto" w:sz="4" w:space="0"/>
              <w:left w:val="single" w:color="auto" w:sz="4" w:space="0"/>
              <w:bottom w:val="single" w:color="auto" w:sz="4" w:space="0"/>
              <w:right w:val="single" w:color="auto" w:sz="4" w:space="0"/>
            </w:tcBorders>
            <w:vAlign w:val="center"/>
          </w:tcPr>
          <w:p w14:paraId="3D77B9C5">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20A9B3B2">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20210717</w:t>
            </w:r>
          </w:p>
        </w:tc>
        <w:tc>
          <w:tcPr>
            <w:tcW w:w="1950" w:type="dxa"/>
            <w:tcBorders>
              <w:top w:val="single" w:color="auto" w:sz="4" w:space="0"/>
              <w:left w:val="single" w:color="auto" w:sz="4" w:space="0"/>
              <w:bottom w:val="single" w:color="auto" w:sz="4" w:space="0"/>
              <w:right w:val="single" w:color="auto" w:sz="4" w:space="0"/>
            </w:tcBorders>
            <w:vAlign w:val="center"/>
          </w:tcPr>
          <w:p w14:paraId="25C7425A">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tcBorders>
              <w:top w:val="single" w:color="auto" w:sz="4" w:space="0"/>
              <w:left w:val="single" w:color="auto" w:sz="4" w:space="0"/>
              <w:bottom w:val="single" w:color="auto" w:sz="4" w:space="0"/>
              <w:right w:val="single" w:color="auto" w:sz="4" w:space="0"/>
            </w:tcBorders>
            <w:vAlign w:val="center"/>
          </w:tcPr>
          <w:p w14:paraId="50112E77">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质保期外</w:t>
            </w:r>
          </w:p>
        </w:tc>
      </w:tr>
      <w:tr w14:paraId="4EFAF824">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58B286A9">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23</w:t>
            </w:r>
          </w:p>
        </w:tc>
        <w:tc>
          <w:tcPr>
            <w:tcW w:w="1760" w:type="dxa"/>
            <w:tcBorders>
              <w:top w:val="single" w:color="auto" w:sz="4" w:space="0"/>
              <w:left w:val="single" w:color="auto" w:sz="4" w:space="0"/>
              <w:bottom w:val="single" w:color="auto" w:sz="4" w:space="0"/>
              <w:right w:val="single" w:color="auto" w:sz="4" w:space="0"/>
            </w:tcBorders>
            <w:vAlign w:val="center"/>
          </w:tcPr>
          <w:p w14:paraId="1285582C">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临翔区Ⅴ</w:t>
            </w:r>
          </w:p>
        </w:tc>
        <w:tc>
          <w:tcPr>
            <w:tcW w:w="1200" w:type="dxa"/>
            <w:tcBorders>
              <w:top w:val="single" w:color="auto" w:sz="4" w:space="0"/>
              <w:left w:val="single" w:color="auto" w:sz="4" w:space="0"/>
              <w:bottom w:val="single" w:color="auto" w:sz="4" w:space="0"/>
              <w:right w:val="single" w:color="auto" w:sz="4" w:space="0"/>
            </w:tcBorders>
            <w:vAlign w:val="center"/>
          </w:tcPr>
          <w:p w14:paraId="276B9C76">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三类</w:t>
            </w:r>
          </w:p>
        </w:tc>
        <w:tc>
          <w:tcPr>
            <w:tcW w:w="1720" w:type="dxa"/>
            <w:tcBorders>
              <w:top w:val="single" w:color="auto" w:sz="4" w:space="0"/>
              <w:left w:val="single" w:color="auto" w:sz="4" w:space="0"/>
              <w:bottom w:val="single" w:color="auto" w:sz="4" w:space="0"/>
              <w:right w:val="single" w:color="auto" w:sz="4" w:space="0"/>
            </w:tcBorders>
            <w:vAlign w:val="center"/>
          </w:tcPr>
          <w:p w14:paraId="2DB0DDAE">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20140819</w:t>
            </w:r>
          </w:p>
        </w:tc>
        <w:tc>
          <w:tcPr>
            <w:tcW w:w="1950" w:type="dxa"/>
            <w:tcBorders>
              <w:top w:val="single" w:color="auto" w:sz="4" w:space="0"/>
              <w:left w:val="single" w:color="auto" w:sz="4" w:space="0"/>
              <w:bottom w:val="single" w:color="auto" w:sz="4" w:space="0"/>
              <w:right w:val="single" w:color="auto" w:sz="4" w:space="0"/>
            </w:tcBorders>
            <w:vAlign w:val="center"/>
          </w:tcPr>
          <w:p w14:paraId="0717FFD9">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tcBorders>
              <w:top w:val="single" w:color="auto" w:sz="4" w:space="0"/>
              <w:left w:val="single" w:color="auto" w:sz="4" w:space="0"/>
              <w:bottom w:val="single" w:color="auto" w:sz="4" w:space="0"/>
              <w:right w:val="single" w:color="auto" w:sz="4" w:space="0"/>
            </w:tcBorders>
            <w:vAlign w:val="center"/>
          </w:tcPr>
          <w:p w14:paraId="5886E8EE">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质保期外</w:t>
            </w:r>
          </w:p>
        </w:tc>
      </w:tr>
      <w:tr w14:paraId="0C629E8F">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12519602">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24</w:t>
            </w:r>
          </w:p>
        </w:tc>
        <w:tc>
          <w:tcPr>
            <w:tcW w:w="1760" w:type="dxa"/>
            <w:tcBorders>
              <w:top w:val="single" w:color="auto" w:sz="4" w:space="0"/>
              <w:left w:val="single" w:color="auto" w:sz="4" w:space="0"/>
              <w:bottom w:val="single" w:color="auto" w:sz="4" w:space="0"/>
              <w:right w:val="single" w:color="auto" w:sz="4" w:space="0"/>
            </w:tcBorders>
            <w:vAlign w:val="center"/>
          </w:tcPr>
          <w:p w14:paraId="7F7468E6">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镇康县Ⅵ</w:t>
            </w:r>
          </w:p>
        </w:tc>
        <w:tc>
          <w:tcPr>
            <w:tcW w:w="1200" w:type="dxa"/>
            <w:tcBorders>
              <w:top w:val="single" w:color="auto" w:sz="4" w:space="0"/>
              <w:left w:val="single" w:color="auto" w:sz="4" w:space="0"/>
              <w:bottom w:val="single" w:color="auto" w:sz="4" w:space="0"/>
              <w:right w:val="single" w:color="auto" w:sz="4" w:space="0"/>
            </w:tcBorders>
            <w:vAlign w:val="center"/>
          </w:tcPr>
          <w:p w14:paraId="63D3236F">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608B0BEE">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20210717</w:t>
            </w:r>
          </w:p>
        </w:tc>
        <w:tc>
          <w:tcPr>
            <w:tcW w:w="1950" w:type="dxa"/>
            <w:tcBorders>
              <w:top w:val="single" w:color="auto" w:sz="4" w:space="0"/>
              <w:left w:val="single" w:color="auto" w:sz="4" w:space="0"/>
              <w:bottom w:val="single" w:color="auto" w:sz="4" w:space="0"/>
              <w:right w:val="single" w:color="auto" w:sz="4" w:space="0"/>
            </w:tcBorders>
            <w:vAlign w:val="center"/>
          </w:tcPr>
          <w:p w14:paraId="6317B3B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vMerge w:val="restart"/>
            <w:tcBorders>
              <w:top w:val="single" w:color="auto" w:sz="4" w:space="0"/>
              <w:left w:val="single" w:color="auto" w:sz="4" w:space="0"/>
              <w:right w:val="single" w:color="auto" w:sz="4" w:space="0"/>
            </w:tcBorders>
            <w:vAlign w:val="center"/>
          </w:tcPr>
          <w:p w14:paraId="7D28B284">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质保期外</w:t>
            </w:r>
          </w:p>
        </w:tc>
      </w:tr>
      <w:tr w14:paraId="7C2EDE3B">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26B0F036">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25</w:t>
            </w:r>
          </w:p>
        </w:tc>
        <w:tc>
          <w:tcPr>
            <w:tcW w:w="1760" w:type="dxa"/>
            <w:tcBorders>
              <w:top w:val="single" w:color="auto" w:sz="4" w:space="0"/>
              <w:left w:val="single" w:color="auto" w:sz="4" w:space="0"/>
              <w:bottom w:val="single" w:color="auto" w:sz="4" w:space="0"/>
              <w:right w:val="single" w:color="auto" w:sz="4" w:space="0"/>
            </w:tcBorders>
            <w:vAlign w:val="center"/>
          </w:tcPr>
          <w:p w14:paraId="4555BF53">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耿马县Ⅲ</w:t>
            </w:r>
          </w:p>
        </w:tc>
        <w:tc>
          <w:tcPr>
            <w:tcW w:w="1200" w:type="dxa"/>
            <w:tcBorders>
              <w:top w:val="single" w:color="auto" w:sz="4" w:space="0"/>
              <w:left w:val="single" w:color="auto" w:sz="4" w:space="0"/>
              <w:bottom w:val="single" w:color="auto" w:sz="4" w:space="0"/>
              <w:right w:val="single" w:color="auto" w:sz="4" w:space="0"/>
            </w:tcBorders>
            <w:vAlign w:val="center"/>
          </w:tcPr>
          <w:p w14:paraId="72D6709F">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54851ACD">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20210717</w:t>
            </w:r>
          </w:p>
        </w:tc>
        <w:tc>
          <w:tcPr>
            <w:tcW w:w="1950" w:type="dxa"/>
            <w:tcBorders>
              <w:top w:val="single" w:color="auto" w:sz="4" w:space="0"/>
              <w:left w:val="single" w:color="auto" w:sz="4" w:space="0"/>
              <w:bottom w:val="single" w:color="auto" w:sz="4" w:space="0"/>
              <w:right w:val="single" w:color="auto" w:sz="4" w:space="0"/>
            </w:tcBorders>
            <w:vAlign w:val="center"/>
          </w:tcPr>
          <w:p w14:paraId="388E48E1">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vMerge w:val="continue"/>
            <w:tcBorders>
              <w:left w:val="single" w:color="auto" w:sz="4" w:space="0"/>
              <w:right w:val="single" w:color="auto" w:sz="4" w:space="0"/>
            </w:tcBorders>
            <w:vAlign w:val="center"/>
          </w:tcPr>
          <w:p w14:paraId="178FEA66">
            <w:pPr>
              <w:jc w:val="center"/>
              <w:rPr>
                <w:rFonts w:hint="eastAsia" w:ascii="宋体" w:hAnsi="宋体" w:eastAsia="宋体" w:cs="宋体"/>
                <w:b w:val="0"/>
                <w:bCs/>
                <w:color w:val="auto"/>
                <w:sz w:val="24"/>
                <w:szCs w:val="24"/>
              </w:rPr>
            </w:pPr>
          </w:p>
        </w:tc>
      </w:tr>
      <w:tr w14:paraId="3712A742">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562D4E75">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26</w:t>
            </w:r>
          </w:p>
        </w:tc>
        <w:tc>
          <w:tcPr>
            <w:tcW w:w="1760" w:type="dxa"/>
            <w:tcBorders>
              <w:top w:val="single" w:color="auto" w:sz="4" w:space="0"/>
              <w:left w:val="single" w:color="auto" w:sz="4" w:space="0"/>
              <w:bottom w:val="single" w:color="auto" w:sz="4" w:space="0"/>
              <w:right w:val="single" w:color="auto" w:sz="4" w:space="0"/>
            </w:tcBorders>
            <w:vAlign w:val="center"/>
          </w:tcPr>
          <w:p w14:paraId="3FC895BA">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耿马县Ⅳ</w:t>
            </w:r>
          </w:p>
        </w:tc>
        <w:tc>
          <w:tcPr>
            <w:tcW w:w="1200" w:type="dxa"/>
            <w:tcBorders>
              <w:top w:val="single" w:color="auto" w:sz="4" w:space="0"/>
              <w:left w:val="single" w:color="auto" w:sz="4" w:space="0"/>
              <w:bottom w:val="single" w:color="auto" w:sz="4" w:space="0"/>
              <w:right w:val="single" w:color="auto" w:sz="4" w:space="0"/>
            </w:tcBorders>
            <w:vAlign w:val="center"/>
          </w:tcPr>
          <w:p w14:paraId="04A49757">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70E84EA0">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20210717</w:t>
            </w:r>
          </w:p>
        </w:tc>
        <w:tc>
          <w:tcPr>
            <w:tcW w:w="1950" w:type="dxa"/>
            <w:tcBorders>
              <w:top w:val="single" w:color="auto" w:sz="4" w:space="0"/>
              <w:left w:val="single" w:color="auto" w:sz="4" w:space="0"/>
              <w:bottom w:val="single" w:color="auto" w:sz="4" w:space="0"/>
              <w:right w:val="single" w:color="auto" w:sz="4" w:space="0"/>
            </w:tcBorders>
            <w:vAlign w:val="center"/>
          </w:tcPr>
          <w:p w14:paraId="22908590">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vMerge w:val="continue"/>
            <w:tcBorders>
              <w:left w:val="single" w:color="auto" w:sz="4" w:space="0"/>
              <w:right w:val="single" w:color="auto" w:sz="4" w:space="0"/>
            </w:tcBorders>
            <w:vAlign w:val="center"/>
          </w:tcPr>
          <w:p w14:paraId="3FF24C0D">
            <w:pPr>
              <w:jc w:val="center"/>
              <w:rPr>
                <w:rFonts w:hint="eastAsia" w:ascii="宋体" w:hAnsi="宋体" w:eastAsia="宋体" w:cs="宋体"/>
                <w:b w:val="0"/>
                <w:bCs/>
                <w:color w:val="auto"/>
                <w:sz w:val="24"/>
                <w:szCs w:val="24"/>
              </w:rPr>
            </w:pPr>
          </w:p>
        </w:tc>
      </w:tr>
      <w:tr w14:paraId="4E3DFCFA">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7B1D5716">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27</w:t>
            </w:r>
          </w:p>
        </w:tc>
        <w:tc>
          <w:tcPr>
            <w:tcW w:w="1760" w:type="dxa"/>
            <w:tcBorders>
              <w:top w:val="single" w:color="auto" w:sz="4" w:space="0"/>
              <w:left w:val="single" w:color="auto" w:sz="4" w:space="0"/>
              <w:bottom w:val="single" w:color="auto" w:sz="4" w:space="0"/>
              <w:right w:val="single" w:color="auto" w:sz="4" w:space="0"/>
            </w:tcBorders>
            <w:vAlign w:val="center"/>
          </w:tcPr>
          <w:p w14:paraId="3B23288F">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沧源县Ⅲ</w:t>
            </w:r>
          </w:p>
        </w:tc>
        <w:tc>
          <w:tcPr>
            <w:tcW w:w="1200" w:type="dxa"/>
            <w:tcBorders>
              <w:top w:val="single" w:color="auto" w:sz="4" w:space="0"/>
              <w:left w:val="single" w:color="auto" w:sz="4" w:space="0"/>
              <w:bottom w:val="single" w:color="auto" w:sz="4" w:space="0"/>
              <w:right w:val="single" w:color="auto" w:sz="4" w:space="0"/>
            </w:tcBorders>
            <w:vAlign w:val="center"/>
          </w:tcPr>
          <w:p w14:paraId="45373C17">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315CFE9A">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20210717</w:t>
            </w:r>
          </w:p>
        </w:tc>
        <w:tc>
          <w:tcPr>
            <w:tcW w:w="1950" w:type="dxa"/>
            <w:tcBorders>
              <w:top w:val="single" w:color="auto" w:sz="4" w:space="0"/>
              <w:left w:val="single" w:color="auto" w:sz="4" w:space="0"/>
              <w:bottom w:val="single" w:color="auto" w:sz="4" w:space="0"/>
              <w:right w:val="single" w:color="auto" w:sz="4" w:space="0"/>
            </w:tcBorders>
            <w:vAlign w:val="center"/>
          </w:tcPr>
          <w:p w14:paraId="6DF46B2D">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vMerge w:val="continue"/>
            <w:tcBorders>
              <w:left w:val="single" w:color="auto" w:sz="4" w:space="0"/>
              <w:right w:val="single" w:color="auto" w:sz="4" w:space="0"/>
            </w:tcBorders>
            <w:vAlign w:val="center"/>
          </w:tcPr>
          <w:p w14:paraId="6D28D8A6">
            <w:pPr>
              <w:jc w:val="center"/>
              <w:rPr>
                <w:rFonts w:hint="eastAsia" w:ascii="宋体" w:hAnsi="宋体" w:eastAsia="宋体" w:cs="宋体"/>
                <w:b w:val="0"/>
                <w:bCs/>
                <w:color w:val="auto"/>
                <w:sz w:val="24"/>
                <w:szCs w:val="24"/>
              </w:rPr>
            </w:pPr>
          </w:p>
        </w:tc>
      </w:tr>
      <w:tr w14:paraId="17EB50F6">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11BC7530">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28</w:t>
            </w:r>
          </w:p>
        </w:tc>
        <w:tc>
          <w:tcPr>
            <w:tcW w:w="1760" w:type="dxa"/>
            <w:tcBorders>
              <w:top w:val="single" w:color="auto" w:sz="4" w:space="0"/>
              <w:left w:val="single" w:color="auto" w:sz="4" w:space="0"/>
              <w:bottom w:val="single" w:color="auto" w:sz="4" w:space="0"/>
              <w:right w:val="single" w:color="auto" w:sz="4" w:space="0"/>
            </w:tcBorders>
            <w:vAlign w:val="center"/>
          </w:tcPr>
          <w:p w14:paraId="11A0E199">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沧源县Ⅳ</w:t>
            </w:r>
          </w:p>
        </w:tc>
        <w:tc>
          <w:tcPr>
            <w:tcW w:w="1200" w:type="dxa"/>
            <w:tcBorders>
              <w:top w:val="single" w:color="auto" w:sz="4" w:space="0"/>
              <w:left w:val="single" w:color="auto" w:sz="4" w:space="0"/>
              <w:bottom w:val="single" w:color="auto" w:sz="4" w:space="0"/>
              <w:right w:val="single" w:color="auto" w:sz="4" w:space="0"/>
            </w:tcBorders>
            <w:vAlign w:val="center"/>
          </w:tcPr>
          <w:p w14:paraId="7E7B0853">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7594DD14">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20210717</w:t>
            </w:r>
          </w:p>
        </w:tc>
        <w:tc>
          <w:tcPr>
            <w:tcW w:w="1950" w:type="dxa"/>
            <w:tcBorders>
              <w:top w:val="single" w:color="auto" w:sz="4" w:space="0"/>
              <w:left w:val="single" w:color="auto" w:sz="4" w:space="0"/>
              <w:bottom w:val="single" w:color="auto" w:sz="4" w:space="0"/>
              <w:right w:val="single" w:color="auto" w:sz="4" w:space="0"/>
            </w:tcBorders>
            <w:vAlign w:val="center"/>
          </w:tcPr>
          <w:p w14:paraId="5EAF9B6A">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vMerge w:val="continue"/>
            <w:tcBorders>
              <w:left w:val="single" w:color="auto" w:sz="4" w:space="0"/>
              <w:right w:val="single" w:color="auto" w:sz="4" w:space="0"/>
            </w:tcBorders>
            <w:vAlign w:val="center"/>
          </w:tcPr>
          <w:p w14:paraId="577FE70B">
            <w:pPr>
              <w:jc w:val="center"/>
              <w:rPr>
                <w:rFonts w:hint="eastAsia" w:ascii="宋体" w:hAnsi="宋体" w:eastAsia="宋体" w:cs="宋体"/>
                <w:b w:val="0"/>
                <w:bCs/>
                <w:color w:val="auto"/>
                <w:sz w:val="24"/>
                <w:szCs w:val="24"/>
              </w:rPr>
            </w:pPr>
          </w:p>
        </w:tc>
      </w:tr>
      <w:tr w14:paraId="0F02A2D4">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3444A7F5">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29</w:t>
            </w:r>
          </w:p>
        </w:tc>
        <w:tc>
          <w:tcPr>
            <w:tcW w:w="1760" w:type="dxa"/>
            <w:tcBorders>
              <w:top w:val="single" w:color="auto" w:sz="4" w:space="0"/>
              <w:left w:val="single" w:color="auto" w:sz="4" w:space="0"/>
              <w:bottom w:val="single" w:color="auto" w:sz="4" w:space="0"/>
              <w:right w:val="single" w:color="auto" w:sz="4" w:space="0"/>
            </w:tcBorders>
            <w:vAlign w:val="center"/>
          </w:tcPr>
          <w:p w14:paraId="770D8F95">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镇康</w:t>
            </w:r>
            <w:r>
              <w:rPr>
                <w:rFonts w:hint="eastAsia" w:ascii="宋体" w:hAnsi="宋体" w:eastAsia="宋体" w:cs="宋体"/>
                <w:b w:val="0"/>
                <w:bCs/>
                <w:color w:val="auto"/>
                <w:sz w:val="24"/>
                <w:szCs w:val="24"/>
                <w:lang w:val="en-US" w:eastAsia="zh-CN"/>
              </w:rPr>
              <w:t>县Ⅶ</w:t>
            </w:r>
          </w:p>
        </w:tc>
        <w:tc>
          <w:tcPr>
            <w:tcW w:w="1200" w:type="dxa"/>
            <w:tcBorders>
              <w:top w:val="single" w:color="auto" w:sz="4" w:space="0"/>
              <w:left w:val="single" w:color="auto" w:sz="4" w:space="0"/>
              <w:bottom w:val="single" w:color="auto" w:sz="4" w:space="0"/>
              <w:right w:val="single" w:color="auto" w:sz="4" w:space="0"/>
            </w:tcBorders>
            <w:vAlign w:val="center"/>
          </w:tcPr>
          <w:p w14:paraId="736F7493">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四类</w:t>
            </w:r>
          </w:p>
        </w:tc>
        <w:tc>
          <w:tcPr>
            <w:tcW w:w="1720" w:type="dxa"/>
            <w:tcBorders>
              <w:top w:val="single" w:color="auto" w:sz="4" w:space="0"/>
              <w:left w:val="single" w:color="auto" w:sz="4" w:space="0"/>
              <w:bottom w:val="single" w:color="auto" w:sz="4" w:space="0"/>
              <w:right w:val="single" w:color="auto" w:sz="4" w:space="0"/>
            </w:tcBorders>
            <w:vAlign w:val="center"/>
          </w:tcPr>
          <w:p w14:paraId="75A67E63">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20210717</w:t>
            </w:r>
          </w:p>
        </w:tc>
        <w:tc>
          <w:tcPr>
            <w:tcW w:w="1950" w:type="dxa"/>
            <w:tcBorders>
              <w:top w:val="single" w:color="auto" w:sz="4" w:space="0"/>
              <w:left w:val="single" w:color="auto" w:sz="4" w:space="0"/>
              <w:bottom w:val="single" w:color="auto" w:sz="4" w:space="0"/>
              <w:right w:val="single" w:color="auto" w:sz="4" w:space="0"/>
            </w:tcBorders>
            <w:vAlign w:val="center"/>
          </w:tcPr>
          <w:p w14:paraId="36A0D9F8">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嵘兴</w:t>
            </w:r>
            <w:r>
              <w:rPr>
                <w:rFonts w:hint="eastAsia" w:ascii="宋体" w:hAnsi="宋体" w:eastAsia="宋体" w:cs="宋体"/>
                <w:b w:val="0"/>
                <w:bCs/>
                <w:color w:val="auto"/>
                <w:sz w:val="24"/>
                <w:szCs w:val="24"/>
                <w:lang w:eastAsia="zh-CN"/>
              </w:rPr>
              <w:t>实业</w:t>
            </w:r>
          </w:p>
        </w:tc>
        <w:tc>
          <w:tcPr>
            <w:tcW w:w="1788" w:type="dxa"/>
            <w:vMerge w:val="continue"/>
            <w:tcBorders>
              <w:left w:val="single" w:color="auto" w:sz="4" w:space="0"/>
              <w:bottom w:val="single" w:color="auto" w:sz="4" w:space="0"/>
              <w:right w:val="single" w:color="auto" w:sz="4" w:space="0"/>
            </w:tcBorders>
            <w:vAlign w:val="center"/>
          </w:tcPr>
          <w:p w14:paraId="584E29F2">
            <w:pPr>
              <w:jc w:val="center"/>
              <w:rPr>
                <w:rFonts w:hint="eastAsia" w:ascii="宋体" w:hAnsi="宋体" w:eastAsia="宋体" w:cs="宋体"/>
                <w:b w:val="0"/>
                <w:bCs/>
                <w:color w:val="auto"/>
                <w:sz w:val="24"/>
                <w:szCs w:val="24"/>
              </w:rPr>
            </w:pPr>
          </w:p>
        </w:tc>
      </w:tr>
      <w:tr w14:paraId="42337041">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352CD21B">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30</w:t>
            </w:r>
          </w:p>
        </w:tc>
        <w:tc>
          <w:tcPr>
            <w:tcW w:w="1760" w:type="dxa"/>
            <w:tcBorders>
              <w:top w:val="single" w:color="auto" w:sz="4" w:space="0"/>
              <w:left w:val="single" w:color="auto" w:sz="4" w:space="0"/>
              <w:bottom w:val="single" w:color="auto" w:sz="4" w:space="0"/>
              <w:right w:val="single" w:color="auto" w:sz="4" w:space="0"/>
            </w:tcBorders>
            <w:vAlign w:val="center"/>
          </w:tcPr>
          <w:p w14:paraId="595B8EEC">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移动站Ⅰ</w:t>
            </w:r>
          </w:p>
        </w:tc>
        <w:tc>
          <w:tcPr>
            <w:tcW w:w="1200" w:type="dxa"/>
            <w:tcBorders>
              <w:top w:val="single" w:color="auto" w:sz="4" w:space="0"/>
              <w:left w:val="single" w:color="auto" w:sz="4" w:space="0"/>
              <w:bottom w:val="single" w:color="auto" w:sz="4" w:space="0"/>
              <w:right w:val="single" w:color="auto" w:sz="4" w:space="0"/>
            </w:tcBorders>
            <w:vAlign w:val="center"/>
          </w:tcPr>
          <w:p w14:paraId="488ED43C">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二类</w:t>
            </w:r>
          </w:p>
        </w:tc>
        <w:tc>
          <w:tcPr>
            <w:tcW w:w="1720" w:type="dxa"/>
            <w:tcBorders>
              <w:top w:val="single" w:color="auto" w:sz="4" w:space="0"/>
              <w:left w:val="single" w:color="auto" w:sz="4" w:space="0"/>
              <w:bottom w:val="single" w:color="auto" w:sz="4" w:space="0"/>
              <w:right w:val="single" w:color="auto" w:sz="4" w:space="0"/>
            </w:tcBorders>
            <w:vAlign w:val="center"/>
          </w:tcPr>
          <w:p w14:paraId="7AA4F853">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20180104</w:t>
            </w:r>
          </w:p>
        </w:tc>
        <w:tc>
          <w:tcPr>
            <w:tcW w:w="1950" w:type="dxa"/>
            <w:tcBorders>
              <w:top w:val="single" w:color="auto" w:sz="4" w:space="0"/>
              <w:left w:val="single" w:color="auto" w:sz="4" w:space="0"/>
              <w:bottom w:val="single" w:color="auto" w:sz="4" w:space="0"/>
              <w:right w:val="single" w:color="auto" w:sz="4" w:space="0"/>
            </w:tcBorders>
            <w:vAlign w:val="center"/>
          </w:tcPr>
          <w:p w14:paraId="5FA26E9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中星世通</w:t>
            </w:r>
          </w:p>
        </w:tc>
        <w:tc>
          <w:tcPr>
            <w:tcW w:w="1788" w:type="dxa"/>
            <w:tcBorders>
              <w:top w:val="single" w:color="auto" w:sz="4" w:space="0"/>
              <w:left w:val="single" w:color="auto" w:sz="4" w:space="0"/>
              <w:bottom w:val="single" w:color="auto" w:sz="4" w:space="0"/>
              <w:right w:val="single" w:color="auto" w:sz="4" w:space="0"/>
            </w:tcBorders>
            <w:vAlign w:val="center"/>
          </w:tcPr>
          <w:p w14:paraId="0039BE4B">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质保期外</w:t>
            </w:r>
          </w:p>
        </w:tc>
      </w:tr>
      <w:tr w14:paraId="1193E5AD">
        <w:tblPrEx>
          <w:tblCellMar>
            <w:top w:w="0" w:type="dxa"/>
            <w:left w:w="79" w:type="dxa"/>
            <w:bottom w:w="0" w:type="dxa"/>
            <w:right w:w="108" w:type="dxa"/>
          </w:tblCellMar>
        </w:tblPrEx>
        <w:trPr>
          <w:cantSplit/>
          <w:trHeight w:val="383" w:hRule="atLeast"/>
        </w:trPr>
        <w:tc>
          <w:tcPr>
            <w:tcW w:w="669" w:type="dxa"/>
            <w:tcBorders>
              <w:top w:val="single" w:color="auto" w:sz="4" w:space="0"/>
              <w:left w:val="single" w:color="auto" w:sz="4" w:space="0"/>
              <w:bottom w:val="single" w:color="auto" w:sz="4" w:space="0"/>
              <w:right w:val="single" w:color="auto" w:sz="4" w:space="0"/>
            </w:tcBorders>
            <w:vAlign w:val="center"/>
          </w:tcPr>
          <w:p w14:paraId="6F61E6CF">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31</w:t>
            </w:r>
          </w:p>
        </w:tc>
        <w:tc>
          <w:tcPr>
            <w:tcW w:w="1760" w:type="dxa"/>
            <w:tcBorders>
              <w:top w:val="single" w:color="auto" w:sz="4" w:space="0"/>
              <w:left w:val="single" w:color="auto" w:sz="4" w:space="0"/>
              <w:bottom w:val="single" w:color="auto" w:sz="4" w:space="0"/>
              <w:right w:val="single" w:color="auto" w:sz="4" w:space="0"/>
            </w:tcBorders>
            <w:vAlign w:val="center"/>
          </w:tcPr>
          <w:p w14:paraId="366D6E4F">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移动站Ⅱ</w:t>
            </w:r>
          </w:p>
        </w:tc>
        <w:tc>
          <w:tcPr>
            <w:tcW w:w="1200" w:type="dxa"/>
            <w:tcBorders>
              <w:top w:val="single" w:color="auto" w:sz="4" w:space="0"/>
              <w:left w:val="single" w:color="auto" w:sz="4" w:space="0"/>
              <w:bottom w:val="single" w:color="auto" w:sz="4" w:space="0"/>
              <w:right w:val="single" w:color="auto" w:sz="4" w:space="0"/>
            </w:tcBorders>
            <w:vAlign w:val="center"/>
          </w:tcPr>
          <w:p w14:paraId="3A02AE4A">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二类</w:t>
            </w:r>
          </w:p>
        </w:tc>
        <w:tc>
          <w:tcPr>
            <w:tcW w:w="1720" w:type="dxa"/>
            <w:tcBorders>
              <w:top w:val="single" w:color="auto" w:sz="4" w:space="0"/>
              <w:left w:val="single" w:color="auto" w:sz="4" w:space="0"/>
              <w:bottom w:val="single" w:color="auto" w:sz="4" w:space="0"/>
              <w:right w:val="single" w:color="auto" w:sz="4" w:space="0"/>
            </w:tcBorders>
            <w:vAlign w:val="center"/>
          </w:tcPr>
          <w:p w14:paraId="7A890C1C">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20200108</w:t>
            </w:r>
          </w:p>
        </w:tc>
        <w:tc>
          <w:tcPr>
            <w:tcW w:w="1950" w:type="dxa"/>
            <w:tcBorders>
              <w:top w:val="single" w:color="auto" w:sz="4" w:space="0"/>
              <w:left w:val="single" w:color="auto" w:sz="4" w:space="0"/>
              <w:bottom w:val="single" w:color="auto" w:sz="4" w:space="0"/>
              <w:right w:val="single" w:color="auto" w:sz="4" w:space="0"/>
            </w:tcBorders>
            <w:vAlign w:val="center"/>
          </w:tcPr>
          <w:p w14:paraId="61FB626F">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德辰科技</w:t>
            </w:r>
          </w:p>
        </w:tc>
        <w:tc>
          <w:tcPr>
            <w:tcW w:w="1788" w:type="dxa"/>
            <w:tcBorders>
              <w:top w:val="single" w:color="auto" w:sz="4" w:space="0"/>
              <w:left w:val="single" w:color="auto" w:sz="4" w:space="0"/>
              <w:bottom w:val="single" w:color="auto" w:sz="4" w:space="0"/>
              <w:right w:val="single" w:color="auto" w:sz="4" w:space="0"/>
            </w:tcBorders>
            <w:vAlign w:val="center"/>
          </w:tcPr>
          <w:p w14:paraId="0832D0EC">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质保期外</w:t>
            </w:r>
          </w:p>
        </w:tc>
      </w:tr>
      <w:tr w14:paraId="286D78FE">
        <w:tblPrEx>
          <w:tblCellMar>
            <w:top w:w="0" w:type="dxa"/>
            <w:left w:w="79" w:type="dxa"/>
            <w:bottom w:w="0" w:type="dxa"/>
            <w:right w:w="108" w:type="dxa"/>
          </w:tblCellMar>
        </w:tblPrEx>
        <w:trPr>
          <w:cantSplit/>
          <w:trHeight w:val="383" w:hRule="atLeast"/>
        </w:trPr>
        <w:tc>
          <w:tcPr>
            <w:tcW w:w="9087" w:type="dxa"/>
            <w:gridSpan w:val="6"/>
            <w:tcBorders>
              <w:top w:val="single" w:color="auto" w:sz="4" w:space="0"/>
              <w:left w:val="single" w:color="auto" w:sz="4" w:space="0"/>
              <w:bottom w:val="single" w:color="auto" w:sz="4" w:space="0"/>
              <w:right w:val="single" w:color="auto" w:sz="4" w:space="0"/>
            </w:tcBorders>
            <w:vAlign w:val="center"/>
          </w:tcPr>
          <w:p w14:paraId="719E6453">
            <w:pPr>
              <w:jc w:val="center"/>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质保期外有16个固定监测站和2个移动站</w:t>
            </w:r>
          </w:p>
        </w:tc>
      </w:tr>
    </w:tbl>
    <w:p w14:paraId="55212839">
      <w:pPr>
        <w:jc w:val="center"/>
        <w:rPr>
          <w:rFonts w:hint="eastAsia" w:ascii="宋体" w:hAnsi="宋体" w:eastAsia="宋体" w:cs="宋体"/>
          <w:b/>
          <w:color w:val="auto"/>
          <w:sz w:val="24"/>
          <w:szCs w:val="24"/>
        </w:rPr>
      </w:pPr>
    </w:p>
    <w:p w14:paraId="1335639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 xml:space="preserve">  监测</w:t>
      </w:r>
      <w:r>
        <w:rPr>
          <w:rFonts w:hint="eastAsia" w:ascii="宋体" w:hAnsi="宋体" w:eastAsia="宋体" w:cs="宋体"/>
          <w:color w:val="auto"/>
          <w:sz w:val="24"/>
          <w:szCs w:val="24"/>
          <w:lang w:eastAsia="zh-CN"/>
        </w:rPr>
        <w:t>测向</w:t>
      </w:r>
      <w:r>
        <w:rPr>
          <w:rFonts w:hint="eastAsia" w:ascii="宋体" w:hAnsi="宋体" w:eastAsia="宋体" w:cs="宋体"/>
          <w:color w:val="auto"/>
          <w:sz w:val="24"/>
          <w:szCs w:val="24"/>
        </w:rPr>
        <w:t>系统站点设备主要包括：监测接收机器单元、测向接收机单元、天馈单元、工控机单元、服务器单元、防雷单元、网络单元和监测机房环境保障设备、配套设施等。</w:t>
      </w:r>
    </w:p>
    <w:p w14:paraId="529F7AC8">
      <w:pPr>
        <w:rPr>
          <w:rFonts w:ascii="Calibri" w:hAnsi="Calibri" w:eastAsia="宋体" w:cs="Times New Roman"/>
          <w:color w:val="auto"/>
          <w:szCs w:val="24"/>
        </w:rPr>
      </w:pPr>
    </w:p>
    <w:p w14:paraId="401727CB">
      <w:pPr>
        <w:keepNext/>
        <w:keepLines/>
        <w:pageBreakBefore w:val="0"/>
        <w:widowControl w:val="0"/>
        <w:numPr>
          <w:ilvl w:val="0"/>
          <w:numId w:val="8"/>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eastAsia" w:ascii="宋体" w:hAnsi="宋体" w:eastAsia="宋体" w:cs="宋体"/>
          <w:b/>
          <w:snapToGrid w:val="0"/>
          <w:color w:val="auto"/>
          <w:kern w:val="0"/>
          <w:sz w:val="24"/>
          <w:szCs w:val="20"/>
          <w:lang w:val="en-US" w:eastAsia="zh-CN" w:bidi="ar-SA"/>
        </w:rPr>
      </w:pPr>
      <w:bookmarkStart w:id="208" w:name="_Toc24007"/>
      <w:r>
        <w:rPr>
          <w:rFonts w:hint="eastAsia" w:ascii="黑体" w:hAnsi="宋体" w:eastAsia="宋体" w:cs="Times New Roman"/>
          <w:b/>
          <w:snapToGrid w:val="0"/>
          <w:color w:val="auto"/>
          <w:kern w:val="0"/>
          <w:sz w:val="24"/>
          <w:szCs w:val="20"/>
          <w:lang w:val="en-US" w:eastAsia="zh-CN" w:bidi="ar-SA"/>
        </w:rPr>
        <w:t>无线电信息网络系统情况</w:t>
      </w:r>
      <w:bookmarkEnd w:id="208"/>
    </w:p>
    <w:p w14:paraId="268D6C89">
      <w:pPr>
        <w:jc w:val="center"/>
        <w:rPr>
          <w:rFonts w:hint="eastAsia" w:ascii="Calibri" w:hAnsi="Calibri" w:eastAsia="宋体" w:cs="宋体"/>
          <w:b/>
          <w:bCs w:val="0"/>
          <w:color w:val="auto"/>
          <w:sz w:val="24"/>
          <w:szCs w:val="24"/>
          <w:lang w:val="en-US" w:eastAsia="zh-CN"/>
        </w:rPr>
      </w:pPr>
      <w:r>
        <w:rPr>
          <w:rFonts w:hint="eastAsia" w:ascii="Calibri" w:hAnsi="Calibri" w:eastAsia="宋体" w:cs="宋体"/>
          <w:b/>
          <w:bCs w:val="0"/>
          <w:color w:val="auto"/>
          <w:sz w:val="24"/>
          <w:szCs w:val="24"/>
          <w:lang w:eastAsia="zh-CN"/>
        </w:rPr>
        <w:t>表四：</w:t>
      </w:r>
      <w:r>
        <w:rPr>
          <w:rFonts w:hint="eastAsia" w:ascii="Calibri" w:hAnsi="Calibri" w:eastAsia="宋体" w:cs="宋体"/>
          <w:b/>
          <w:bCs w:val="0"/>
          <w:color w:val="auto"/>
          <w:sz w:val="24"/>
          <w:szCs w:val="24"/>
          <w:lang w:val="en-US" w:eastAsia="zh-CN"/>
        </w:rPr>
        <w:t>2026年度无线电监测设施设备运行保障及监测设备专业维修维护</w:t>
      </w:r>
    </w:p>
    <w:p w14:paraId="634FFC34">
      <w:pPr>
        <w:jc w:val="center"/>
        <w:rPr>
          <w:rFonts w:hint="eastAsia" w:ascii="Calibri" w:hAnsi="Calibri" w:eastAsia="宋体" w:cs="宋体"/>
          <w:b/>
          <w:bCs w:val="0"/>
          <w:color w:val="auto"/>
          <w:sz w:val="24"/>
          <w:szCs w:val="24"/>
          <w:lang w:eastAsia="zh-CN"/>
        </w:rPr>
      </w:pPr>
      <w:r>
        <w:rPr>
          <w:rFonts w:hint="eastAsia" w:ascii="Calibri" w:hAnsi="Calibri" w:eastAsia="宋体" w:cs="宋体"/>
          <w:b/>
          <w:bCs w:val="0"/>
          <w:color w:val="auto"/>
          <w:sz w:val="24"/>
          <w:szCs w:val="24"/>
          <w:lang w:val="en-US" w:eastAsia="zh-CN"/>
        </w:rPr>
        <w:t>技术服务项目</w:t>
      </w:r>
      <w:r>
        <w:rPr>
          <w:rFonts w:hint="eastAsia" w:ascii="Calibri" w:hAnsi="Calibri" w:eastAsia="宋体" w:cs="宋体"/>
          <w:b/>
          <w:bCs w:val="0"/>
          <w:color w:val="auto"/>
          <w:sz w:val="24"/>
          <w:szCs w:val="24"/>
          <w:lang w:eastAsia="zh-CN"/>
        </w:rPr>
        <w:t>信息网络系统统计表</w:t>
      </w:r>
    </w:p>
    <w:tbl>
      <w:tblPr>
        <w:tblStyle w:val="26"/>
        <w:tblpPr w:leftFromText="180" w:rightFromText="180" w:vertAnchor="text" w:horzAnchor="page" w:tblpX="1655" w:tblpY="8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88"/>
        <w:gridCol w:w="1073"/>
        <w:gridCol w:w="2604"/>
        <w:gridCol w:w="1182"/>
        <w:gridCol w:w="1257"/>
      </w:tblGrid>
      <w:tr w14:paraId="1232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5" w:type="dxa"/>
            <w:vAlign w:val="center"/>
          </w:tcPr>
          <w:p w14:paraId="697CE693">
            <w:pPr>
              <w:jc w:val="center"/>
              <w:rPr>
                <w:rFonts w:hint="eastAsia" w:ascii="宋体" w:hAnsi="宋体" w:eastAsia="宋体" w:cs="宋体"/>
                <w:b/>
                <w:color w:val="auto"/>
                <w:sz w:val="24"/>
                <w:szCs w:val="24"/>
              </w:rPr>
            </w:pPr>
            <w:bookmarkStart w:id="209" w:name="OLE_LINK4"/>
            <w:r>
              <w:rPr>
                <w:rFonts w:hint="eastAsia" w:ascii="宋体" w:hAnsi="宋体" w:eastAsia="宋体" w:cs="宋体"/>
                <w:b/>
                <w:color w:val="auto"/>
                <w:sz w:val="24"/>
                <w:szCs w:val="24"/>
              </w:rPr>
              <w:t>序号</w:t>
            </w:r>
          </w:p>
        </w:tc>
        <w:tc>
          <w:tcPr>
            <w:tcW w:w="2088" w:type="dxa"/>
            <w:vAlign w:val="center"/>
          </w:tcPr>
          <w:p w14:paraId="4AC7445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计量器具体名称</w:t>
            </w:r>
          </w:p>
        </w:tc>
        <w:tc>
          <w:tcPr>
            <w:tcW w:w="1073" w:type="dxa"/>
            <w:vAlign w:val="center"/>
          </w:tcPr>
          <w:p w14:paraId="5BC1C6F7">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数量</w:t>
            </w:r>
          </w:p>
        </w:tc>
        <w:tc>
          <w:tcPr>
            <w:tcW w:w="2604" w:type="dxa"/>
            <w:vAlign w:val="center"/>
          </w:tcPr>
          <w:p w14:paraId="35F0B7D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规格型号</w:t>
            </w:r>
          </w:p>
        </w:tc>
        <w:tc>
          <w:tcPr>
            <w:tcW w:w="1182" w:type="dxa"/>
            <w:vAlign w:val="center"/>
          </w:tcPr>
          <w:p w14:paraId="340988F7">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品牌</w:t>
            </w:r>
          </w:p>
        </w:tc>
        <w:tc>
          <w:tcPr>
            <w:tcW w:w="1257" w:type="dxa"/>
            <w:vAlign w:val="center"/>
          </w:tcPr>
          <w:p w14:paraId="662F5690">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备注</w:t>
            </w:r>
          </w:p>
        </w:tc>
      </w:tr>
      <w:tr w14:paraId="243D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F4D81C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2088" w:type="dxa"/>
            <w:vAlign w:val="center"/>
          </w:tcPr>
          <w:p w14:paraId="37B62263">
            <w:pPr>
              <w:jc w:val="center"/>
              <w:rPr>
                <w:rFonts w:hint="eastAsia" w:ascii="宋体" w:hAnsi="宋体" w:eastAsia="宋体" w:cs="宋体"/>
                <w:color w:val="auto"/>
                <w:sz w:val="24"/>
                <w:szCs w:val="24"/>
              </w:rPr>
            </w:pPr>
            <w:r>
              <w:rPr>
                <w:rFonts w:hint="eastAsia" w:ascii="宋体" w:hAnsi="宋体" w:eastAsia="宋体" w:cs="宋体"/>
                <w:color w:val="auto"/>
                <w:sz w:val="24"/>
                <w:szCs w:val="24"/>
                <w:u w:val="none"/>
              </w:rPr>
              <w:t>DELL服务器</w:t>
            </w:r>
          </w:p>
        </w:tc>
        <w:tc>
          <w:tcPr>
            <w:tcW w:w="1073" w:type="dxa"/>
            <w:shd w:val="clear" w:color="auto" w:fill="auto"/>
            <w:vAlign w:val="center"/>
          </w:tcPr>
          <w:p w14:paraId="7B95CE0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6E6AF607">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DELL</w:t>
            </w:r>
            <w:r>
              <w:rPr>
                <w:rFonts w:hint="eastAsia" w:ascii="宋体" w:hAnsi="宋体" w:eastAsia="宋体" w:cs="宋体"/>
                <w:color w:val="auto"/>
                <w:kern w:val="0"/>
                <w:sz w:val="24"/>
                <w:szCs w:val="24"/>
                <w:lang w:val="en-US" w:eastAsia="zh-CN"/>
              </w:rPr>
              <w:t xml:space="preserve">  2950</w:t>
            </w:r>
          </w:p>
        </w:tc>
        <w:tc>
          <w:tcPr>
            <w:tcW w:w="1182" w:type="dxa"/>
            <w:shd w:val="clear" w:color="auto" w:fill="auto"/>
            <w:vAlign w:val="center"/>
          </w:tcPr>
          <w:p w14:paraId="3D01D5A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DELL</w:t>
            </w:r>
          </w:p>
        </w:tc>
        <w:tc>
          <w:tcPr>
            <w:tcW w:w="1257" w:type="dxa"/>
            <w:shd w:val="clear" w:color="auto" w:fill="auto"/>
            <w:vAlign w:val="center"/>
          </w:tcPr>
          <w:p w14:paraId="0D42912F">
            <w:pPr>
              <w:widowControl/>
              <w:jc w:val="center"/>
              <w:textAlignment w:val="center"/>
              <w:rPr>
                <w:rFonts w:hint="eastAsia" w:ascii="宋体" w:hAnsi="宋体" w:eastAsia="宋体" w:cs="宋体"/>
                <w:color w:val="auto"/>
                <w:sz w:val="24"/>
                <w:szCs w:val="24"/>
              </w:rPr>
            </w:pPr>
          </w:p>
        </w:tc>
      </w:tr>
      <w:tr w14:paraId="4B5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0A4C8E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2088" w:type="dxa"/>
            <w:vAlign w:val="center"/>
          </w:tcPr>
          <w:p w14:paraId="54F0DC86">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零点</w:t>
            </w:r>
            <w:r>
              <w:rPr>
                <w:rFonts w:hint="eastAsia" w:ascii="宋体" w:hAnsi="宋体" w:eastAsia="宋体" w:cs="宋体"/>
                <w:color w:val="auto"/>
                <w:kern w:val="0"/>
                <w:sz w:val="24"/>
                <w:szCs w:val="24"/>
              </w:rPr>
              <w:t>服务器</w:t>
            </w:r>
          </w:p>
        </w:tc>
        <w:tc>
          <w:tcPr>
            <w:tcW w:w="1073" w:type="dxa"/>
            <w:shd w:val="clear" w:color="auto" w:fill="auto"/>
            <w:vAlign w:val="center"/>
          </w:tcPr>
          <w:p w14:paraId="305212DE">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217B8E34">
            <w:pPr>
              <w:widowControl/>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天昕</w:t>
            </w:r>
            <w:r>
              <w:rPr>
                <w:rFonts w:hint="eastAsia" w:ascii="宋体" w:hAnsi="宋体" w:eastAsia="宋体" w:cs="宋体"/>
                <w:color w:val="auto"/>
                <w:kern w:val="0"/>
                <w:sz w:val="24"/>
                <w:szCs w:val="24"/>
                <w:lang w:val="en-US" w:eastAsia="zh-CN"/>
              </w:rPr>
              <w:t>G123</w:t>
            </w:r>
          </w:p>
        </w:tc>
        <w:tc>
          <w:tcPr>
            <w:tcW w:w="1182" w:type="dxa"/>
            <w:shd w:val="clear" w:color="auto" w:fill="auto"/>
            <w:vAlign w:val="center"/>
          </w:tcPr>
          <w:p w14:paraId="0C1A28D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天昕</w:t>
            </w:r>
          </w:p>
        </w:tc>
        <w:tc>
          <w:tcPr>
            <w:tcW w:w="1257" w:type="dxa"/>
            <w:shd w:val="clear" w:color="auto" w:fill="auto"/>
            <w:vAlign w:val="center"/>
          </w:tcPr>
          <w:p w14:paraId="0D609C18">
            <w:pPr>
              <w:widowControl/>
              <w:jc w:val="center"/>
              <w:textAlignment w:val="center"/>
              <w:rPr>
                <w:rFonts w:hint="eastAsia" w:ascii="宋体" w:hAnsi="宋体" w:eastAsia="宋体" w:cs="宋体"/>
                <w:color w:val="auto"/>
                <w:sz w:val="24"/>
                <w:szCs w:val="24"/>
              </w:rPr>
            </w:pPr>
          </w:p>
        </w:tc>
      </w:tr>
      <w:tr w14:paraId="1FA7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55010D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088" w:type="dxa"/>
            <w:vAlign w:val="center"/>
          </w:tcPr>
          <w:p w14:paraId="3E1F8C8A">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德辰服务器</w:t>
            </w:r>
          </w:p>
        </w:tc>
        <w:tc>
          <w:tcPr>
            <w:tcW w:w="1073" w:type="dxa"/>
            <w:shd w:val="clear" w:color="auto" w:fill="auto"/>
            <w:vAlign w:val="center"/>
          </w:tcPr>
          <w:p w14:paraId="020AEE8E">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4463A9D6">
            <w:pPr>
              <w:widowControl/>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DELL EMC </w:t>
            </w:r>
            <w:r>
              <w:rPr>
                <w:rFonts w:hint="eastAsia" w:ascii="宋体" w:hAnsi="宋体" w:eastAsia="宋体" w:cs="宋体"/>
                <w:color w:val="auto"/>
                <w:kern w:val="0"/>
                <w:sz w:val="24"/>
                <w:szCs w:val="24"/>
                <w:lang w:eastAsia="zh-CN"/>
              </w:rPr>
              <w:t>PowerEdge R740</w:t>
            </w:r>
          </w:p>
        </w:tc>
        <w:tc>
          <w:tcPr>
            <w:tcW w:w="1182" w:type="dxa"/>
            <w:shd w:val="clear" w:color="auto" w:fill="auto"/>
            <w:vAlign w:val="center"/>
          </w:tcPr>
          <w:p w14:paraId="06CDE7D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DELL</w:t>
            </w:r>
          </w:p>
        </w:tc>
        <w:tc>
          <w:tcPr>
            <w:tcW w:w="1257" w:type="dxa"/>
            <w:shd w:val="clear" w:color="auto" w:fill="auto"/>
            <w:vAlign w:val="center"/>
          </w:tcPr>
          <w:p w14:paraId="1C16F841">
            <w:pPr>
              <w:widowControl/>
              <w:jc w:val="center"/>
              <w:textAlignment w:val="center"/>
              <w:rPr>
                <w:rFonts w:hint="eastAsia" w:ascii="宋体" w:hAnsi="宋体" w:eastAsia="宋体" w:cs="宋体"/>
                <w:color w:val="auto"/>
                <w:sz w:val="24"/>
                <w:szCs w:val="24"/>
              </w:rPr>
            </w:pPr>
          </w:p>
        </w:tc>
      </w:tr>
      <w:tr w14:paraId="6FB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BD91F3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088" w:type="dxa"/>
            <w:vAlign w:val="center"/>
          </w:tcPr>
          <w:p w14:paraId="77218010">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联想服务器</w:t>
            </w:r>
          </w:p>
        </w:tc>
        <w:tc>
          <w:tcPr>
            <w:tcW w:w="1073" w:type="dxa"/>
            <w:shd w:val="clear" w:color="auto" w:fill="auto"/>
            <w:vAlign w:val="center"/>
          </w:tcPr>
          <w:p w14:paraId="333B77A9">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2604" w:type="dxa"/>
            <w:shd w:val="clear" w:color="auto" w:fill="auto"/>
            <w:vAlign w:val="center"/>
          </w:tcPr>
          <w:p w14:paraId="19662A50">
            <w:pPr>
              <w:widowControl/>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ThinkSystem SR590</w:t>
            </w:r>
          </w:p>
        </w:tc>
        <w:tc>
          <w:tcPr>
            <w:tcW w:w="1182" w:type="dxa"/>
            <w:shd w:val="clear" w:color="auto" w:fill="auto"/>
            <w:vAlign w:val="center"/>
          </w:tcPr>
          <w:p w14:paraId="3FDF7DD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联想</w:t>
            </w:r>
          </w:p>
        </w:tc>
        <w:tc>
          <w:tcPr>
            <w:tcW w:w="1257" w:type="dxa"/>
            <w:shd w:val="clear" w:color="auto" w:fill="auto"/>
            <w:vAlign w:val="center"/>
          </w:tcPr>
          <w:p w14:paraId="50997C47">
            <w:pPr>
              <w:widowControl/>
              <w:jc w:val="center"/>
              <w:textAlignment w:val="center"/>
              <w:rPr>
                <w:rFonts w:hint="eastAsia" w:ascii="宋体" w:hAnsi="宋体" w:eastAsia="宋体" w:cs="宋体"/>
                <w:color w:val="auto"/>
                <w:sz w:val="24"/>
                <w:szCs w:val="24"/>
              </w:rPr>
            </w:pPr>
          </w:p>
        </w:tc>
      </w:tr>
      <w:tr w14:paraId="5920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33CF32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088" w:type="dxa"/>
            <w:vAlign w:val="center"/>
          </w:tcPr>
          <w:p w14:paraId="76B61612">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联想服务器</w:t>
            </w:r>
          </w:p>
        </w:tc>
        <w:tc>
          <w:tcPr>
            <w:tcW w:w="1073" w:type="dxa"/>
            <w:shd w:val="clear" w:color="auto" w:fill="auto"/>
            <w:vAlign w:val="center"/>
          </w:tcPr>
          <w:p w14:paraId="76BAA531">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2604" w:type="dxa"/>
            <w:shd w:val="clear" w:color="auto" w:fill="auto"/>
            <w:vAlign w:val="center"/>
          </w:tcPr>
          <w:p w14:paraId="372248F2">
            <w:pPr>
              <w:widowControl/>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System x 3650 M5</w:t>
            </w:r>
          </w:p>
        </w:tc>
        <w:tc>
          <w:tcPr>
            <w:tcW w:w="1182" w:type="dxa"/>
            <w:shd w:val="clear" w:color="auto" w:fill="auto"/>
            <w:vAlign w:val="center"/>
          </w:tcPr>
          <w:p w14:paraId="1EA39BD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lenovo</w:t>
            </w:r>
          </w:p>
        </w:tc>
        <w:tc>
          <w:tcPr>
            <w:tcW w:w="1257" w:type="dxa"/>
            <w:shd w:val="clear" w:color="auto" w:fill="auto"/>
            <w:vAlign w:val="center"/>
          </w:tcPr>
          <w:p w14:paraId="75CC27C6">
            <w:pPr>
              <w:widowControl/>
              <w:jc w:val="center"/>
              <w:textAlignment w:val="center"/>
              <w:rPr>
                <w:rFonts w:hint="eastAsia" w:ascii="宋体" w:hAnsi="宋体" w:eastAsia="宋体" w:cs="宋体"/>
                <w:color w:val="auto"/>
                <w:sz w:val="24"/>
                <w:szCs w:val="24"/>
              </w:rPr>
            </w:pPr>
          </w:p>
        </w:tc>
      </w:tr>
      <w:tr w14:paraId="72A8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FD28C5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088" w:type="dxa"/>
            <w:vAlign w:val="center"/>
          </w:tcPr>
          <w:p w14:paraId="00F351B1">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点阵服务器</w:t>
            </w:r>
          </w:p>
        </w:tc>
        <w:tc>
          <w:tcPr>
            <w:tcW w:w="1073" w:type="dxa"/>
            <w:shd w:val="clear" w:color="auto" w:fill="auto"/>
            <w:vAlign w:val="center"/>
          </w:tcPr>
          <w:p w14:paraId="7F8DEC59">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3ACA55D4">
            <w:pPr>
              <w:widowControl/>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DELL EMC </w:t>
            </w:r>
            <w:r>
              <w:rPr>
                <w:rFonts w:hint="eastAsia" w:ascii="宋体" w:hAnsi="宋体" w:eastAsia="宋体" w:cs="宋体"/>
                <w:color w:val="auto"/>
                <w:kern w:val="0"/>
                <w:sz w:val="24"/>
                <w:szCs w:val="24"/>
                <w:lang w:eastAsia="zh-CN"/>
              </w:rPr>
              <w:t>PowerEdge R7</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0</w:t>
            </w:r>
            <w:r>
              <w:rPr>
                <w:rFonts w:hint="eastAsia" w:ascii="宋体" w:hAnsi="宋体" w:eastAsia="宋体" w:cs="宋体"/>
                <w:color w:val="auto"/>
                <w:kern w:val="0"/>
                <w:sz w:val="24"/>
                <w:szCs w:val="24"/>
                <w:lang w:val="en-US" w:eastAsia="zh-CN"/>
              </w:rPr>
              <w:t>XS</w:t>
            </w:r>
          </w:p>
        </w:tc>
        <w:tc>
          <w:tcPr>
            <w:tcW w:w="1182" w:type="dxa"/>
            <w:shd w:val="clear" w:color="auto" w:fill="auto"/>
            <w:vAlign w:val="center"/>
          </w:tcPr>
          <w:p w14:paraId="7509B3E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DELL</w:t>
            </w:r>
          </w:p>
        </w:tc>
        <w:tc>
          <w:tcPr>
            <w:tcW w:w="1257" w:type="dxa"/>
            <w:shd w:val="clear" w:color="auto" w:fill="auto"/>
            <w:vAlign w:val="center"/>
          </w:tcPr>
          <w:p w14:paraId="5666C5E6">
            <w:pPr>
              <w:widowControl/>
              <w:jc w:val="center"/>
              <w:textAlignment w:val="center"/>
              <w:rPr>
                <w:rFonts w:hint="eastAsia" w:ascii="宋体" w:hAnsi="宋体" w:eastAsia="宋体" w:cs="宋体"/>
                <w:color w:val="auto"/>
                <w:sz w:val="24"/>
                <w:szCs w:val="24"/>
              </w:rPr>
            </w:pPr>
          </w:p>
        </w:tc>
      </w:tr>
      <w:tr w14:paraId="115F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49E1A4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088" w:type="dxa"/>
            <w:vAlign w:val="center"/>
          </w:tcPr>
          <w:p w14:paraId="7DBED169">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博纳神梭服务器</w:t>
            </w:r>
          </w:p>
        </w:tc>
        <w:tc>
          <w:tcPr>
            <w:tcW w:w="1073" w:type="dxa"/>
            <w:shd w:val="clear" w:color="auto" w:fill="auto"/>
            <w:vAlign w:val="center"/>
          </w:tcPr>
          <w:p w14:paraId="414C2F9C">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56BF837E">
            <w:pPr>
              <w:widowControl/>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超聚变  2288H  V5</w:t>
            </w:r>
          </w:p>
        </w:tc>
        <w:tc>
          <w:tcPr>
            <w:tcW w:w="1182" w:type="dxa"/>
            <w:shd w:val="clear" w:color="auto" w:fill="auto"/>
            <w:vAlign w:val="center"/>
          </w:tcPr>
          <w:p w14:paraId="6F94B51F">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超聚变</w:t>
            </w:r>
          </w:p>
        </w:tc>
        <w:tc>
          <w:tcPr>
            <w:tcW w:w="1257" w:type="dxa"/>
            <w:shd w:val="clear" w:color="auto" w:fill="auto"/>
            <w:vAlign w:val="center"/>
          </w:tcPr>
          <w:p w14:paraId="05E58A6F">
            <w:pPr>
              <w:widowControl/>
              <w:jc w:val="center"/>
              <w:textAlignment w:val="center"/>
              <w:rPr>
                <w:rFonts w:hint="eastAsia" w:ascii="宋体" w:hAnsi="宋体" w:eastAsia="宋体" w:cs="宋体"/>
                <w:color w:val="auto"/>
                <w:sz w:val="24"/>
                <w:szCs w:val="24"/>
              </w:rPr>
            </w:pPr>
          </w:p>
        </w:tc>
      </w:tr>
      <w:tr w14:paraId="51E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52D0E2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088" w:type="dxa"/>
            <w:vAlign w:val="center"/>
          </w:tcPr>
          <w:p w14:paraId="614DE68F">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备用服务器</w:t>
            </w:r>
          </w:p>
        </w:tc>
        <w:tc>
          <w:tcPr>
            <w:tcW w:w="1073" w:type="dxa"/>
            <w:shd w:val="clear" w:color="auto" w:fill="auto"/>
            <w:vAlign w:val="center"/>
          </w:tcPr>
          <w:p w14:paraId="001BC0E7">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28D709AC">
            <w:pPr>
              <w:widowControl/>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联想开天 KR722Z  G2</w:t>
            </w:r>
          </w:p>
        </w:tc>
        <w:tc>
          <w:tcPr>
            <w:tcW w:w="1182" w:type="dxa"/>
            <w:shd w:val="clear" w:color="auto" w:fill="auto"/>
            <w:vAlign w:val="center"/>
          </w:tcPr>
          <w:p w14:paraId="0F00CE24">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联想</w:t>
            </w:r>
          </w:p>
        </w:tc>
        <w:tc>
          <w:tcPr>
            <w:tcW w:w="1257" w:type="dxa"/>
            <w:shd w:val="clear" w:color="auto" w:fill="auto"/>
            <w:vAlign w:val="center"/>
          </w:tcPr>
          <w:p w14:paraId="2BBE9310">
            <w:pPr>
              <w:widowControl/>
              <w:jc w:val="center"/>
              <w:textAlignment w:val="center"/>
              <w:rPr>
                <w:rFonts w:hint="eastAsia" w:ascii="宋体" w:hAnsi="宋体" w:eastAsia="宋体" w:cs="宋体"/>
                <w:color w:val="auto"/>
                <w:sz w:val="24"/>
                <w:szCs w:val="24"/>
              </w:rPr>
            </w:pPr>
          </w:p>
        </w:tc>
      </w:tr>
      <w:tr w14:paraId="10A8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A6E021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2088" w:type="dxa"/>
            <w:vAlign w:val="center"/>
          </w:tcPr>
          <w:p w14:paraId="14203F48">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核心交换机</w:t>
            </w:r>
          </w:p>
        </w:tc>
        <w:tc>
          <w:tcPr>
            <w:tcW w:w="1073" w:type="dxa"/>
            <w:shd w:val="clear" w:color="auto" w:fill="auto"/>
            <w:vAlign w:val="center"/>
          </w:tcPr>
          <w:p w14:paraId="0C960FAC">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3D24408B">
            <w:pPr>
              <w:widowControl/>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S5700</w:t>
            </w:r>
          </w:p>
        </w:tc>
        <w:tc>
          <w:tcPr>
            <w:tcW w:w="1182" w:type="dxa"/>
            <w:shd w:val="clear" w:color="auto" w:fill="auto"/>
            <w:vAlign w:val="center"/>
          </w:tcPr>
          <w:p w14:paraId="58E7F20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华为</w:t>
            </w:r>
          </w:p>
        </w:tc>
        <w:tc>
          <w:tcPr>
            <w:tcW w:w="1257" w:type="dxa"/>
            <w:vMerge w:val="restart"/>
            <w:shd w:val="clear" w:color="auto" w:fill="auto"/>
            <w:vAlign w:val="center"/>
          </w:tcPr>
          <w:p w14:paraId="11D7D193">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9至14项</w:t>
            </w:r>
            <w:r>
              <w:rPr>
                <w:rFonts w:hint="eastAsia" w:ascii="宋体" w:hAnsi="宋体" w:eastAsia="宋体" w:cs="宋体"/>
                <w:b w:val="0"/>
                <w:bCs w:val="0"/>
                <w:color w:val="auto"/>
                <w:sz w:val="24"/>
                <w:szCs w:val="24"/>
                <w:lang w:eastAsia="zh-CN"/>
              </w:rPr>
              <w:t>须建备品备件库的核心网络设备</w:t>
            </w:r>
          </w:p>
        </w:tc>
      </w:tr>
      <w:tr w14:paraId="5738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5" w:type="dxa"/>
            <w:vAlign w:val="center"/>
          </w:tcPr>
          <w:p w14:paraId="0F48023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p>
        </w:tc>
        <w:tc>
          <w:tcPr>
            <w:tcW w:w="2088" w:type="dxa"/>
            <w:vAlign w:val="center"/>
          </w:tcPr>
          <w:p w14:paraId="705EB50D">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汇聚交换机</w:t>
            </w:r>
          </w:p>
        </w:tc>
        <w:tc>
          <w:tcPr>
            <w:tcW w:w="1073" w:type="dxa"/>
            <w:shd w:val="clear" w:color="auto" w:fill="auto"/>
            <w:vAlign w:val="center"/>
          </w:tcPr>
          <w:p w14:paraId="2F19F9C9">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554434A8">
            <w:pPr>
              <w:widowControl/>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S1728</w:t>
            </w:r>
          </w:p>
        </w:tc>
        <w:tc>
          <w:tcPr>
            <w:tcW w:w="1182" w:type="dxa"/>
            <w:shd w:val="clear" w:color="auto" w:fill="auto"/>
            <w:vAlign w:val="center"/>
          </w:tcPr>
          <w:p w14:paraId="1D5A5B8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华为</w:t>
            </w:r>
          </w:p>
        </w:tc>
        <w:tc>
          <w:tcPr>
            <w:tcW w:w="1257" w:type="dxa"/>
            <w:vMerge w:val="continue"/>
            <w:shd w:val="clear" w:color="auto" w:fill="auto"/>
            <w:vAlign w:val="center"/>
          </w:tcPr>
          <w:p w14:paraId="65BB922D">
            <w:pPr>
              <w:widowControl/>
              <w:jc w:val="center"/>
              <w:textAlignment w:val="center"/>
              <w:rPr>
                <w:rFonts w:hint="eastAsia" w:ascii="宋体" w:hAnsi="宋体" w:eastAsia="宋体" w:cs="宋体"/>
                <w:color w:val="auto"/>
                <w:sz w:val="24"/>
                <w:szCs w:val="24"/>
              </w:rPr>
            </w:pPr>
          </w:p>
        </w:tc>
      </w:tr>
      <w:tr w14:paraId="0FA0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C3B938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088" w:type="dxa"/>
            <w:vAlign w:val="center"/>
          </w:tcPr>
          <w:p w14:paraId="728D5B39">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汇集交换机</w:t>
            </w:r>
          </w:p>
        </w:tc>
        <w:tc>
          <w:tcPr>
            <w:tcW w:w="1073" w:type="dxa"/>
            <w:shd w:val="clear" w:color="auto" w:fill="auto"/>
            <w:vAlign w:val="center"/>
          </w:tcPr>
          <w:p w14:paraId="697F499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3B0EEA88">
            <w:pPr>
              <w:widowControl/>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S1720</w:t>
            </w:r>
          </w:p>
        </w:tc>
        <w:tc>
          <w:tcPr>
            <w:tcW w:w="1182" w:type="dxa"/>
            <w:shd w:val="clear" w:color="auto" w:fill="auto"/>
            <w:vAlign w:val="center"/>
          </w:tcPr>
          <w:p w14:paraId="0AF7D809">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华为</w:t>
            </w:r>
          </w:p>
        </w:tc>
        <w:tc>
          <w:tcPr>
            <w:tcW w:w="1257" w:type="dxa"/>
            <w:vMerge w:val="continue"/>
            <w:shd w:val="clear" w:color="auto" w:fill="auto"/>
            <w:vAlign w:val="center"/>
          </w:tcPr>
          <w:p w14:paraId="3849E9EC">
            <w:pPr>
              <w:widowControl/>
              <w:jc w:val="center"/>
              <w:textAlignment w:val="center"/>
              <w:rPr>
                <w:rFonts w:hint="eastAsia" w:ascii="宋体" w:hAnsi="宋体" w:eastAsia="宋体" w:cs="宋体"/>
                <w:color w:val="auto"/>
                <w:sz w:val="24"/>
                <w:szCs w:val="24"/>
              </w:rPr>
            </w:pPr>
          </w:p>
        </w:tc>
      </w:tr>
      <w:tr w14:paraId="7CC9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7BAA75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p>
        </w:tc>
        <w:tc>
          <w:tcPr>
            <w:tcW w:w="2088" w:type="dxa"/>
            <w:vAlign w:val="center"/>
          </w:tcPr>
          <w:p w14:paraId="5DEA7183">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路由器</w:t>
            </w:r>
          </w:p>
        </w:tc>
        <w:tc>
          <w:tcPr>
            <w:tcW w:w="1073" w:type="dxa"/>
            <w:shd w:val="clear" w:color="auto" w:fill="auto"/>
            <w:vAlign w:val="center"/>
          </w:tcPr>
          <w:p w14:paraId="5141B7D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33BE11F3">
            <w:pPr>
              <w:widowControl/>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2811C</w:t>
            </w:r>
          </w:p>
        </w:tc>
        <w:tc>
          <w:tcPr>
            <w:tcW w:w="1182" w:type="dxa"/>
            <w:shd w:val="clear" w:color="auto" w:fill="auto"/>
            <w:vAlign w:val="center"/>
          </w:tcPr>
          <w:p w14:paraId="2DF1A3C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Cisco</w:t>
            </w:r>
          </w:p>
        </w:tc>
        <w:tc>
          <w:tcPr>
            <w:tcW w:w="1257" w:type="dxa"/>
            <w:vMerge w:val="continue"/>
            <w:shd w:val="clear" w:color="auto" w:fill="auto"/>
            <w:vAlign w:val="center"/>
          </w:tcPr>
          <w:p w14:paraId="5551A038">
            <w:pPr>
              <w:widowControl/>
              <w:jc w:val="center"/>
              <w:textAlignment w:val="center"/>
              <w:rPr>
                <w:rFonts w:hint="eastAsia" w:ascii="宋体" w:hAnsi="宋体" w:eastAsia="宋体" w:cs="宋体"/>
                <w:color w:val="auto"/>
                <w:sz w:val="24"/>
                <w:szCs w:val="24"/>
              </w:rPr>
            </w:pPr>
          </w:p>
        </w:tc>
      </w:tr>
      <w:tr w14:paraId="4B21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75B9CE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p>
        </w:tc>
        <w:tc>
          <w:tcPr>
            <w:tcW w:w="2088" w:type="dxa"/>
            <w:vAlign w:val="center"/>
          </w:tcPr>
          <w:p w14:paraId="7EAC2786">
            <w:pPr>
              <w:jc w:val="center"/>
              <w:rPr>
                <w:rFonts w:hint="eastAsia" w:ascii="宋体" w:hAnsi="宋体" w:eastAsia="宋体" w:cs="宋体"/>
                <w:color w:val="auto"/>
                <w:sz w:val="24"/>
                <w:szCs w:val="24"/>
              </w:rPr>
            </w:pPr>
            <w:r>
              <w:rPr>
                <w:rFonts w:hint="eastAsia" w:ascii="宋体" w:hAnsi="宋体" w:eastAsia="宋体" w:cs="宋体"/>
                <w:color w:val="auto"/>
                <w:sz w:val="24"/>
                <w:szCs w:val="24"/>
                <w:u w:val="none"/>
              </w:rPr>
              <w:t>一体化安全网关</w:t>
            </w:r>
          </w:p>
        </w:tc>
        <w:tc>
          <w:tcPr>
            <w:tcW w:w="1073" w:type="dxa"/>
            <w:shd w:val="clear" w:color="auto" w:fill="auto"/>
            <w:vAlign w:val="center"/>
          </w:tcPr>
          <w:p w14:paraId="6F34E53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2604" w:type="dxa"/>
            <w:shd w:val="clear" w:color="auto" w:fill="auto"/>
            <w:vAlign w:val="center"/>
          </w:tcPr>
          <w:p w14:paraId="20FB3F9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USG-320C</w:t>
            </w:r>
          </w:p>
        </w:tc>
        <w:tc>
          <w:tcPr>
            <w:tcW w:w="1182" w:type="dxa"/>
            <w:shd w:val="clear" w:color="auto" w:fill="auto"/>
            <w:vAlign w:val="center"/>
          </w:tcPr>
          <w:p w14:paraId="0B5FCFA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启明星辰 天清汉马</w:t>
            </w:r>
          </w:p>
        </w:tc>
        <w:tc>
          <w:tcPr>
            <w:tcW w:w="1257" w:type="dxa"/>
            <w:vMerge w:val="continue"/>
            <w:shd w:val="clear" w:color="auto" w:fill="auto"/>
            <w:vAlign w:val="center"/>
          </w:tcPr>
          <w:p w14:paraId="51E16427">
            <w:pPr>
              <w:widowControl/>
              <w:jc w:val="center"/>
              <w:textAlignment w:val="center"/>
              <w:rPr>
                <w:rFonts w:hint="eastAsia" w:ascii="宋体" w:hAnsi="宋体" w:eastAsia="宋体" w:cs="宋体"/>
                <w:color w:val="auto"/>
                <w:sz w:val="24"/>
                <w:szCs w:val="24"/>
              </w:rPr>
            </w:pPr>
          </w:p>
        </w:tc>
      </w:tr>
      <w:tr w14:paraId="1013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8D5C28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088" w:type="dxa"/>
            <w:vAlign w:val="center"/>
          </w:tcPr>
          <w:p w14:paraId="416BC96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3KVA在线式UPS</w:t>
            </w:r>
          </w:p>
        </w:tc>
        <w:tc>
          <w:tcPr>
            <w:tcW w:w="1073" w:type="dxa"/>
            <w:shd w:val="clear" w:color="auto" w:fill="auto"/>
            <w:vAlign w:val="center"/>
          </w:tcPr>
          <w:p w14:paraId="3100ABDB">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2604" w:type="dxa"/>
            <w:shd w:val="clear" w:color="auto" w:fill="auto"/>
            <w:vAlign w:val="center"/>
          </w:tcPr>
          <w:p w14:paraId="457E8957">
            <w:pPr>
              <w:widowControl/>
              <w:jc w:val="lef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CASTLE</w:t>
            </w:r>
          </w:p>
        </w:tc>
        <w:tc>
          <w:tcPr>
            <w:tcW w:w="1182" w:type="dxa"/>
            <w:shd w:val="clear" w:color="auto" w:fill="auto"/>
            <w:vAlign w:val="center"/>
          </w:tcPr>
          <w:p w14:paraId="70407589">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SANTAK</w:t>
            </w:r>
          </w:p>
        </w:tc>
        <w:tc>
          <w:tcPr>
            <w:tcW w:w="1257" w:type="dxa"/>
            <w:vMerge w:val="continue"/>
            <w:shd w:val="clear" w:color="auto" w:fill="auto"/>
            <w:vAlign w:val="center"/>
          </w:tcPr>
          <w:p w14:paraId="2B927D54">
            <w:pPr>
              <w:widowControl/>
              <w:jc w:val="center"/>
              <w:textAlignment w:val="center"/>
              <w:rPr>
                <w:rFonts w:hint="eastAsia" w:ascii="宋体" w:hAnsi="宋体" w:eastAsia="宋体" w:cs="宋体"/>
                <w:color w:val="auto"/>
                <w:sz w:val="24"/>
                <w:szCs w:val="24"/>
              </w:rPr>
            </w:pPr>
          </w:p>
        </w:tc>
      </w:tr>
      <w:tr w14:paraId="0164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92E108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088" w:type="dxa"/>
            <w:vAlign w:val="center"/>
          </w:tcPr>
          <w:p w14:paraId="5EE52D9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磁盘存储阵列</w:t>
            </w:r>
          </w:p>
        </w:tc>
        <w:tc>
          <w:tcPr>
            <w:tcW w:w="1073" w:type="dxa"/>
            <w:shd w:val="clear" w:color="auto" w:fill="auto"/>
            <w:vAlign w:val="center"/>
          </w:tcPr>
          <w:p w14:paraId="15AF6609">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2604" w:type="dxa"/>
            <w:shd w:val="clear" w:color="auto" w:fill="auto"/>
            <w:vAlign w:val="center"/>
          </w:tcPr>
          <w:p w14:paraId="1FCB799A">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u w:val="none"/>
                <w:lang w:val="en-US" w:eastAsia="zh-CN"/>
              </w:rPr>
              <w:t>Br0cade  300</w:t>
            </w:r>
          </w:p>
        </w:tc>
        <w:tc>
          <w:tcPr>
            <w:tcW w:w="1182" w:type="dxa"/>
            <w:shd w:val="clear" w:color="auto" w:fill="auto"/>
            <w:vAlign w:val="center"/>
          </w:tcPr>
          <w:p w14:paraId="776D4A80">
            <w:pPr>
              <w:widowControl/>
              <w:jc w:val="center"/>
              <w:textAlignment w:val="center"/>
              <w:rPr>
                <w:rFonts w:hint="eastAsia" w:ascii="宋体" w:hAnsi="宋体" w:eastAsia="宋体" w:cs="宋体"/>
                <w:color w:val="auto"/>
                <w:kern w:val="0"/>
                <w:sz w:val="24"/>
                <w:szCs w:val="24"/>
              </w:rPr>
            </w:pPr>
          </w:p>
        </w:tc>
        <w:tc>
          <w:tcPr>
            <w:tcW w:w="1257" w:type="dxa"/>
            <w:shd w:val="clear" w:color="auto" w:fill="auto"/>
            <w:vAlign w:val="center"/>
          </w:tcPr>
          <w:p w14:paraId="54D77E97">
            <w:pPr>
              <w:widowControl/>
              <w:jc w:val="center"/>
              <w:textAlignment w:val="center"/>
              <w:rPr>
                <w:rFonts w:hint="eastAsia" w:ascii="宋体" w:hAnsi="宋体" w:eastAsia="宋体" w:cs="宋体"/>
                <w:color w:val="auto"/>
                <w:sz w:val="24"/>
                <w:szCs w:val="24"/>
              </w:rPr>
            </w:pPr>
          </w:p>
        </w:tc>
      </w:tr>
      <w:bookmarkEnd w:id="209"/>
    </w:tbl>
    <w:p w14:paraId="7DDC6432">
      <w:pPr>
        <w:bidi w:val="0"/>
        <w:rPr>
          <w:rFonts w:hint="eastAsia"/>
          <w:lang w:val="en-US" w:eastAsia="zh-CN"/>
        </w:rPr>
      </w:pPr>
      <w:bookmarkStart w:id="210" w:name="_Toc22132620"/>
    </w:p>
    <w:p w14:paraId="1C4CC94A">
      <w:pPr>
        <w:keepNext/>
        <w:keepLines/>
        <w:pageBreakBefore w:val="0"/>
        <w:widowControl w:val="0"/>
        <w:numPr>
          <w:ilvl w:val="0"/>
          <w:numId w:val="8"/>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eastAsia" w:ascii="黑体" w:hAnsi="宋体" w:eastAsia="宋体" w:cs="Times New Roman"/>
          <w:b/>
          <w:snapToGrid w:val="0"/>
          <w:color w:val="auto"/>
          <w:kern w:val="0"/>
          <w:sz w:val="24"/>
          <w:szCs w:val="20"/>
          <w:lang w:val="en-US" w:eastAsia="zh-CN" w:bidi="ar-SA"/>
        </w:rPr>
      </w:pPr>
      <w:bookmarkStart w:id="211" w:name="_Toc1882"/>
      <w:r>
        <w:rPr>
          <w:rFonts w:hint="eastAsia" w:ascii="黑体" w:hAnsi="宋体" w:eastAsia="宋体" w:cs="Times New Roman"/>
          <w:b/>
          <w:snapToGrid w:val="0"/>
          <w:color w:val="auto"/>
          <w:kern w:val="0"/>
          <w:sz w:val="24"/>
          <w:szCs w:val="20"/>
          <w:lang w:val="en-US" w:eastAsia="zh-CN" w:bidi="ar-SA"/>
        </w:rPr>
        <w:t>站点自有机房、空调、铁塔情况</w:t>
      </w:r>
      <w:bookmarkEnd w:id="211"/>
    </w:p>
    <w:p w14:paraId="1E62E6B9">
      <w:pPr>
        <w:ind w:firstLine="482" w:firstLineChars="200"/>
        <w:jc w:val="center"/>
        <w:rPr>
          <w:rFonts w:hint="eastAsia" w:ascii="Calibri" w:hAnsi="Calibri" w:eastAsia="宋体" w:cs="宋体"/>
          <w:b/>
          <w:bCs/>
          <w:color w:val="auto"/>
          <w:sz w:val="24"/>
          <w:szCs w:val="24"/>
          <w:lang w:val="en-US" w:eastAsia="zh-CN"/>
        </w:rPr>
      </w:pPr>
      <w:r>
        <w:rPr>
          <w:rFonts w:hint="eastAsia" w:ascii="宋体" w:hAnsi="宋体" w:eastAsia="宋体" w:cs="宋体"/>
          <w:b/>
          <w:bCs w:val="0"/>
          <w:color w:val="auto"/>
          <w:sz w:val="24"/>
          <w:szCs w:val="24"/>
          <w:lang w:eastAsia="zh-CN"/>
        </w:rPr>
        <w:t>表五：</w:t>
      </w:r>
      <w:r>
        <w:rPr>
          <w:rFonts w:hint="eastAsia" w:ascii="宋体" w:hAnsi="宋体" w:eastAsia="宋体" w:cs="宋体"/>
          <w:b/>
          <w:bCs/>
          <w:color w:val="auto"/>
          <w:sz w:val="24"/>
          <w:szCs w:val="24"/>
          <w:lang w:val="en-US" w:eastAsia="zh-CN"/>
        </w:rPr>
        <w:t>2026年度</w:t>
      </w:r>
      <w:r>
        <w:rPr>
          <w:rFonts w:hint="eastAsia" w:ascii="Calibri" w:hAnsi="Calibri" w:eastAsia="宋体" w:cs="宋体"/>
          <w:b/>
          <w:bCs/>
          <w:color w:val="auto"/>
          <w:sz w:val="24"/>
          <w:szCs w:val="24"/>
          <w:lang w:val="en-US" w:eastAsia="zh-CN"/>
        </w:rPr>
        <w:t>无线电监测</w:t>
      </w:r>
      <w:r>
        <w:rPr>
          <w:rFonts w:hint="eastAsia" w:ascii="Calibri" w:hAnsi="Calibri" w:eastAsia="宋体" w:cs="宋体"/>
          <w:b/>
          <w:bCs w:val="0"/>
          <w:color w:val="auto"/>
          <w:sz w:val="24"/>
          <w:szCs w:val="24"/>
          <w:lang w:val="en-US" w:eastAsia="zh-CN"/>
        </w:rPr>
        <w:t>设施设备</w:t>
      </w:r>
      <w:r>
        <w:rPr>
          <w:rFonts w:hint="eastAsia" w:ascii="Calibri" w:hAnsi="Calibri" w:eastAsia="宋体" w:cs="宋体"/>
          <w:b/>
          <w:bCs/>
          <w:color w:val="auto"/>
          <w:sz w:val="24"/>
          <w:szCs w:val="24"/>
          <w:lang w:val="en-US" w:eastAsia="zh-CN"/>
        </w:rPr>
        <w:t>运行保障及监测设备专业维修维护</w:t>
      </w:r>
    </w:p>
    <w:p w14:paraId="61B99D28">
      <w:pPr>
        <w:ind w:firstLine="482" w:firstLineChars="200"/>
        <w:jc w:val="center"/>
        <w:rPr>
          <w:rFonts w:hint="eastAsia" w:ascii="宋体" w:hAnsi="宋体" w:eastAsia="宋体" w:cs="宋体"/>
          <w:b/>
          <w:bCs w:val="0"/>
          <w:color w:val="auto"/>
          <w:sz w:val="24"/>
          <w:szCs w:val="24"/>
        </w:rPr>
      </w:pPr>
      <w:r>
        <w:rPr>
          <w:rFonts w:hint="eastAsia" w:ascii="Calibri" w:hAnsi="Calibri" w:eastAsia="宋体" w:cs="宋体"/>
          <w:b/>
          <w:bCs/>
          <w:color w:val="auto"/>
          <w:sz w:val="24"/>
          <w:szCs w:val="24"/>
          <w:lang w:val="en-US" w:eastAsia="zh-CN"/>
        </w:rPr>
        <w:t>技术服务项目</w:t>
      </w:r>
      <w:r>
        <w:rPr>
          <w:rFonts w:hint="eastAsia" w:ascii="宋体" w:hAnsi="宋体" w:eastAsia="宋体" w:cs="宋体"/>
          <w:b/>
          <w:bCs w:val="0"/>
          <w:color w:val="auto"/>
          <w:sz w:val="24"/>
          <w:szCs w:val="24"/>
          <w:lang w:eastAsia="zh-CN"/>
        </w:rPr>
        <w:t>自有机房、空调和铁塔统计</w:t>
      </w:r>
      <w:r>
        <w:rPr>
          <w:rFonts w:hint="eastAsia" w:ascii="宋体" w:hAnsi="宋体" w:eastAsia="宋体" w:cs="宋体"/>
          <w:b/>
          <w:bCs w:val="0"/>
          <w:color w:val="auto"/>
          <w:sz w:val="24"/>
          <w:szCs w:val="24"/>
        </w:rPr>
        <w:t>表</w:t>
      </w:r>
    </w:p>
    <w:tbl>
      <w:tblPr>
        <w:tblStyle w:val="26"/>
        <w:tblpPr w:leftFromText="180" w:rightFromText="180" w:vertAnchor="text" w:horzAnchor="page" w:tblpX="1655" w:tblpY="89"/>
        <w:tblOverlap w:val="never"/>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323"/>
        <w:gridCol w:w="900"/>
        <w:gridCol w:w="1258"/>
        <w:gridCol w:w="1061"/>
        <w:gridCol w:w="1154"/>
        <w:gridCol w:w="1576"/>
      </w:tblGrid>
      <w:tr w14:paraId="0435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1" w:type="dxa"/>
            <w:vAlign w:val="center"/>
          </w:tcPr>
          <w:p w14:paraId="0CF1631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23" w:type="dxa"/>
            <w:vAlign w:val="center"/>
          </w:tcPr>
          <w:p w14:paraId="5C4A402E">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站点名称</w:t>
            </w:r>
          </w:p>
        </w:tc>
        <w:tc>
          <w:tcPr>
            <w:tcW w:w="900" w:type="dxa"/>
            <w:vAlign w:val="center"/>
          </w:tcPr>
          <w:p w14:paraId="4AD295C0">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机房</w:t>
            </w:r>
          </w:p>
        </w:tc>
        <w:tc>
          <w:tcPr>
            <w:tcW w:w="1258" w:type="dxa"/>
            <w:vAlign w:val="center"/>
          </w:tcPr>
          <w:p w14:paraId="609A56A5">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室外机柜</w:t>
            </w:r>
          </w:p>
        </w:tc>
        <w:tc>
          <w:tcPr>
            <w:tcW w:w="1061" w:type="dxa"/>
            <w:vAlign w:val="center"/>
          </w:tcPr>
          <w:p w14:paraId="3A57E295">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空调</w:t>
            </w:r>
          </w:p>
        </w:tc>
        <w:tc>
          <w:tcPr>
            <w:tcW w:w="1154" w:type="dxa"/>
            <w:vAlign w:val="center"/>
          </w:tcPr>
          <w:p w14:paraId="0EFEECB5">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铁塔</w:t>
            </w:r>
          </w:p>
        </w:tc>
        <w:tc>
          <w:tcPr>
            <w:tcW w:w="1576" w:type="dxa"/>
            <w:vAlign w:val="center"/>
          </w:tcPr>
          <w:p w14:paraId="77F4F72D">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备注</w:t>
            </w:r>
          </w:p>
        </w:tc>
      </w:tr>
      <w:tr w14:paraId="7B6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51" w:type="dxa"/>
            <w:vAlign w:val="center"/>
          </w:tcPr>
          <w:p w14:paraId="6C20CBC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2323" w:type="dxa"/>
            <w:vAlign w:val="center"/>
          </w:tcPr>
          <w:p w14:paraId="20A30E2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临沧市中心站</w:t>
            </w:r>
          </w:p>
        </w:tc>
        <w:tc>
          <w:tcPr>
            <w:tcW w:w="900" w:type="dxa"/>
            <w:shd w:val="clear" w:color="auto" w:fill="auto"/>
            <w:vAlign w:val="center"/>
          </w:tcPr>
          <w:p w14:paraId="73A8DD5F">
            <w:pPr>
              <w:widowControl/>
              <w:jc w:val="center"/>
              <w:textAlignment w:val="center"/>
              <w:rPr>
                <w:rFonts w:hint="eastAsia" w:ascii="宋体" w:hAnsi="宋体" w:eastAsia="宋体" w:cs="宋体"/>
                <w:color w:val="auto"/>
                <w:sz w:val="24"/>
                <w:szCs w:val="24"/>
                <w:lang w:eastAsia="zh-CN"/>
              </w:rPr>
            </w:pPr>
          </w:p>
        </w:tc>
        <w:tc>
          <w:tcPr>
            <w:tcW w:w="1258" w:type="dxa"/>
            <w:shd w:val="clear" w:color="auto" w:fill="auto"/>
            <w:vAlign w:val="center"/>
          </w:tcPr>
          <w:p w14:paraId="3620821C">
            <w:pPr>
              <w:widowControl/>
              <w:jc w:val="center"/>
              <w:textAlignment w:val="center"/>
              <w:rPr>
                <w:rFonts w:hint="eastAsia" w:ascii="宋体" w:hAnsi="宋体" w:eastAsia="宋体" w:cs="宋体"/>
                <w:color w:val="auto"/>
                <w:sz w:val="24"/>
                <w:szCs w:val="24"/>
              </w:rPr>
            </w:pPr>
          </w:p>
        </w:tc>
        <w:tc>
          <w:tcPr>
            <w:tcW w:w="1061" w:type="dxa"/>
            <w:shd w:val="clear" w:color="auto" w:fill="auto"/>
            <w:vAlign w:val="center"/>
          </w:tcPr>
          <w:p w14:paraId="289155E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154" w:type="dxa"/>
            <w:shd w:val="clear" w:color="auto" w:fill="auto"/>
            <w:vAlign w:val="center"/>
          </w:tcPr>
          <w:p w14:paraId="3AF0945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2C822C45">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网络室1台空调需更换</w:t>
            </w:r>
          </w:p>
        </w:tc>
      </w:tr>
      <w:tr w14:paraId="681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4E6366F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2323" w:type="dxa"/>
            <w:vAlign w:val="center"/>
          </w:tcPr>
          <w:p w14:paraId="531C148E">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临翔区文林秋苑站</w:t>
            </w:r>
          </w:p>
        </w:tc>
        <w:tc>
          <w:tcPr>
            <w:tcW w:w="900" w:type="dxa"/>
            <w:shd w:val="clear" w:color="auto" w:fill="auto"/>
            <w:vAlign w:val="center"/>
          </w:tcPr>
          <w:p w14:paraId="681E80A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1258" w:type="dxa"/>
            <w:shd w:val="clear" w:color="auto" w:fill="auto"/>
            <w:vAlign w:val="center"/>
          </w:tcPr>
          <w:p w14:paraId="24BA66FC">
            <w:pPr>
              <w:widowControl/>
              <w:jc w:val="center"/>
              <w:textAlignment w:val="center"/>
              <w:rPr>
                <w:rFonts w:hint="eastAsia" w:ascii="宋体" w:hAnsi="宋体" w:eastAsia="宋体" w:cs="宋体"/>
                <w:color w:val="auto"/>
                <w:sz w:val="24"/>
                <w:szCs w:val="24"/>
                <w:lang w:eastAsia="zh-CN"/>
              </w:rPr>
            </w:pPr>
          </w:p>
        </w:tc>
        <w:tc>
          <w:tcPr>
            <w:tcW w:w="1061" w:type="dxa"/>
            <w:shd w:val="clear" w:color="auto" w:fill="auto"/>
            <w:vAlign w:val="center"/>
          </w:tcPr>
          <w:p w14:paraId="2BB3D971">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54" w:type="dxa"/>
            <w:shd w:val="clear" w:color="auto" w:fill="auto"/>
            <w:vAlign w:val="center"/>
          </w:tcPr>
          <w:p w14:paraId="794DC2D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220D775D">
            <w:pPr>
              <w:widowControl/>
              <w:jc w:val="center"/>
              <w:textAlignment w:val="center"/>
              <w:rPr>
                <w:rFonts w:hint="eastAsia" w:ascii="宋体" w:hAnsi="宋体" w:eastAsia="宋体" w:cs="宋体"/>
                <w:color w:val="auto"/>
                <w:sz w:val="24"/>
                <w:szCs w:val="24"/>
              </w:rPr>
            </w:pPr>
          </w:p>
        </w:tc>
      </w:tr>
      <w:tr w14:paraId="36B0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3BA8EBE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323" w:type="dxa"/>
            <w:vAlign w:val="center"/>
          </w:tcPr>
          <w:p w14:paraId="3A9B46AC">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临沧市二中站</w:t>
            </w:r>
          </w:p>
        </w:tc>
        <w:tc>
          <w:tcPr>
            <w:tcW w:w="900" w:type="dxa"/>
            <w:shd w:val="clear" w:color="auto" w:fill="auto"/>
            <w:vAlign w:val="center"/>
          </w:tcPr>
          <w:p w14:paraId="64DD9C73">
            <w:pPr>
              <w:widowControl/>
              <w:jc w:val="center"/>
              <w:textAlignment w:val="center"/>
              <w:rPr>
                <w:rFonts w:hint="eastAsia" w:ascii="宋体" w:hAnsi="宋体" w:eastAsia="宋体" w:cs="宋体"/>
                <w:color w:val="auto"/>
                <w:kern w:val="0"/>
                <w:sz w:val="24"/>
                <w:szCs w:val="24"/>
                <w:lang w:eastAsia="zh-CN"/>
              </w:rPr>
            </w:pPr>
          </w:p>
        </w:tc>
        <w:tc>
          <w:tcPr>
            <w:tcW w:w="1258" w:type="dxa"/>
            <w:shd w:val="clear" w:color="auto" w:fill="auto"/>
            <w:vAlign w:val="center"/>
          </w:tcPr>
          <w:p w14:paraId="1C72364A">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061" w:type="dxa"/>
            <w:shd w:val="clear" w:color="auto" w:fill="auto"/>
            <w:vAlign w:val="center"/>
          </w:tcPr>
          <w:p w14:paraId="31F460DE">
            <w:pPr>
              <w:widowControl/>
              <w:jc w:val="center"/>
              <w:textAlignment w:val="center"/>
              <w:rPr>
                <w:rFonts w:hint="eastAsia" w:ascii="宋体" w:hAnsi="宋体" w:eastAsia="宋体" w:cs="宋体"/>
                <w:color w:val="auto"/>
                <w:sz w:val="24"/>
                <w:szCs w:val="24"/>
                <w:lang w:val="en-US" w:eastAsia="zh-CN"/>
              </w:rPr>
            </w:pPr>
          </w:p>
        </w:tc>
        <w:tc>
          <w:tcPr>
            <w:tcW w:w="1154" w:type="dxa"/>
            <w:shd w:val="clear" w:color="auto" w:fill="auto"/>
            <w:vAlign w:val="center"/>
          </w:tcPr>
          <w:p w14:paraId="0C576AE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58839603">
            <w:pPr>
              <w:widowControl/>
              <w:jc w:val="center"/>
              <w:textAlignment w:val="center"/>
              <w:rPr>
                <w:rFonts w:hint="eastAsia" w:ascii="宋体" w:hAnsi="宋体" w:eastAsia="宋体" w:cs="宋体"/>
                <w:color w:val="auto"/>
                <w:sz w:val="24"/>
                <w:szCs w:val="24"/>
              </w:rPr>
            </w:pPr>
          </w:p>
        </w:tc>
      </w:tr>
      <w:tr w14:paraId="4A2C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0DF81AE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323" w:type="dxa"/>
            <w:vAlign w:val="center"/>
          </w:tcPr>
          <w:p w14:paraId="47477B16">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临沧机场站</w:t>
            </w:r>
          </w:p>
        </w:tc>
        <w:tc>
          <w:tcPr>
            <w:tcW w:w="900" w:type="dxa"/>
            <w:shd w:val="clear" w:color="auto" w:fill="auto"/>
            <w:vAlign w:val="center"/>
          </w:tcPr>
          <w:p w14:paraId="79DA18FC">
            <w:pPr>
              <w:widowControl/>
              <w:jc w:val="center"/>
              <w:textAlignment w:val="center"/>
              <w:rPr>
                <w:rFonts w:hint="eastAsia" w:ascii="宋体" w:hAnsi="宋体" w:eastAsia="宋体" w:cs="宋体"/>
                <w:color w:val="auto"/>
                <w:kern w:val="0"/>
                <w:sz w:val="24"/>
                <w:szCs w:val="24"/>
                <w:lang w:eastAsia="zh-CN"/>
              </w:rPr>
            </w:pPr>
          </w:p>
        </w:tc>
        <w:tc>
          <w:tcPr>
            <w:tcW w:w="1258" w:type="dxa"/>
            <w:shd w:val="clear" w:color="auto" w:fill="auto"/>
            <w:vAlign w:val="center"/>
          </w:tcPr>
          <w:p w14:paraId="03B6D07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061" w:type="dxa"/>
            <w:shd w:val="clear" w:color="auto" w:fill="auto"/>
            <w:vAlign w:val="center"/>
          </w:tcPr>
          <w:p w14:paraId="276B22D2">
            <w:pPr>
              <w:widowControl/>
              <w:jc w:val="center"/>
              <w:textAlignment w:val="center"/>
              <w:rPr>
                <w:rFonts w:hint="eastAsia" w:ascii="宋体" w:hAnsi="宋体" w:eastAsia="宋体" w:cs="宋体"/>
                <w:color w:val="auto"/>
                <w:sz w:val="24"/>
                <w:szCs w:val="24"/>
                <w:lang w:val="en-US" w:eastAsia="zh-CN"/>
              </w:rPr>
            </w:pPr>
          </w:p>
        </w:tc>
        <w:tc>
          <w:tcPr>
            <w:tcW w:w="1154" w:type="dxa"/>
            <w:shd w:val="clear" w:color="auto" w:fill="auto"/>
            <w:vAlign w:val="center"/>
          </w:tcPr>
          <w:p w14:paraId="5BB3048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20521D84">
            <w:pPr>
              <w:widowControl/>
              <w:jc w:val="center"/>
              <w:textAlignment w:val="center"/>
              <w:rPr>
                <w:rFonts w:hint="eastAsia" w:ascii="宋体" w:hAnsi="宋体" w:eastAsia="宋体" w:cs="宋体"/>
                <w:color w:val="auto"/>
                <w:sz w:val="24"/>
                <w:szCs w:val="24"/>
              </w:rPr>
            </w:pPr>
          </w:p>
        </w:tc>
      </w:tr>
      <w:tr w14:paraId="49AC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6591349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323" w:type="dxa"/>
            <w:vAlign w:val="center"/>
          </w:tcPr>
          <w:p w14:paraId="2170B4F1">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双江站</w:t>
            </w:r>
          </w:p>
        </w:tc>
        <w:tc>
          <w:tcPr>
            <w:tcW w:w="900" w:type="dxa"/>
            <w:shd w:val="clear" w:color="auto" w:fill="auto"/>
            <w:vAlign w:val="center"/>
          </w:tcPr>
          <w:p w14:paraId="4D0F231D">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258" w:type="dxa"/>
            <w:shd w:val="clear" w:color="auto" w:fill="auto"/>
            <w:vAlign w:val="center"/>
          </w:tcPr>
          <w:p w14:paraId="5D88D0B0">
            <w:pPr>
              <w:widowControl/>
              <w:jc w:val="center"/>
              <w:textAlignment w:val="center"/>
              <w:rPr>
                <w:rFonts w:hint="eastAsia" w:ascii="宋体" w:hAnsi="宋体" w:eastAsia="宋体" w:cs="宋体"/>
                <w:color w:val="auto"/>
                <w:kern w:val="0"/>
                <w:sz w:val="24"/>
                <w:szCs w:val="24"/>
                <w:lang w:val="en-US" w:eastAsia="zh-CN"/>
              </w:rPr>
            </w:pPr>
          </w:p>
        </w:tc>
        <w:tc>
          <w:tcPr>
            <w:tcW w:w="1061" w:type="dxa"/>
            <w:shd w:val="clear" w:color="auto" w:fill="auto"/>
            <w:vAlign w:val="center"/>
          </w:tcPr>
          <w:p w14:paraId="3FFF8AC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54" w:type="dxa"/>
            <w:shd w:val="clear" w:color="auto" w:fill="auto"/>
            <w:vAlign w:val="center"/>
          </w:tcPr>
          <w:p w14:paraId="04C008D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5E8E7A51">
            <w:pPr>
              <w:widowControl/>
              <w:jc w:val="center"/>
              <w:textAlignment w:val="center"/>
              <w:rPr>
                <w:rFonts w:hint="eastAsia" w:ascii="宋体" w:hAnsi="宋体" w:eastAsia="宋体" w:cs="宋体"/>
                <w:color w:val="auto"/>
                <w:sz w:val="24"/>
                <w:szCs w:val="24"/>
              </w:rPr>
            </w:pPr>
          </w:p>
        </w:tc>
      </w:tr>
      <w:tr w14:paraId="3D16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3670645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2323" w:type="dxa"/>
            <w:vAlign w:val="center"/>
          </w:tcPr>
          <w:p w14:paraId="7BE06E3B">
            <w:pPr>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沧源机场站</w:t>
            </w:r>
          </w:p>
        </w:tc>
        <w:tc>
          <w:tcPr>
            <w:tcW w:w="900" w:type="dxa"/>
            <w:shd w:val="clear" w:color="auto" w:fill="auto"/>
            <w:vAlign w:val="center"/>
          </w:tcPr>
          <w:p w14:paraId="5BF2C9C6">
            <w:pPr>
              <w:widowControl/>
              <w:jc w:val="center"/>
              <w:textAlignment w:val="center"/>
              <w:rPr>
                <w:rFonts w:hint="eastAsia" w:ascii="宋体" w:hAnsi="宋体" w:eastAsia="宋体" w:cs="宋体"/>
                <w:color w:val="auto"/>
                <w:sz w:val="24"/>
                <w:szCs w:val="24"/>
                <w:lang w:eastAsia="zh-CN"/>
              </w:rPr>
            </w:pPr>
          </w:p>
        </w:tc>
        <w:tc>
          <w:tcPr>
            <w:tcW w:w="1258" w:type="dxa"/>
            <w:shd w:val="clear" w:color="auto" w:fill="auto"/>
            <w:vAlign w:val="center"/>
          </w:tcPr>
          <w:p w14:paraId="52E142C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61" w:type="dxa"/>
            <w:shd w:val="clear" w:color="auto" w:fill="auto"/>
            <w:vAlign w:val="center"/>
          </w:tcPr>
          <w:p w14:paraId="645ADE2B">
            <w:pPr>
              <w:widowControl/>
              <w:jc w:val="center"/>
              <w:textAlignment w:val="center"/>
              <w:rPr>
                <w:rFonts w:hint="eastAsia" w:ascii="宋体" w:hAnsi="宋体" w:eastAsia="宋体" w:cs="宋体"/>
                <w:color w:val="auto"/>
                <w:sz w:val="24"/>
                <w:szCs w:val="24"/>
              </w:rPr>
            </w:pPr>
          </w:p>
        </w:tc>
        <w:tc>
          <w:tcPr>
            <w:tcW w:w="1154" w:type="dxa"/>
            <w:shd w:val="clear" w:color="auto" w:fill="auto"/>
            <w:vAlign w:val="center"/>
          </w:tcPr>
          <w:p w14:paraId="17325977">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4574A2D6">
            <w:pPr>
              <w:widowControl/>
              <w:jc w:val="center"/>
              <w:textAlignment w:val="center"/>
              <w:rPr>
                <w:rFonts w:hint="eastAsia" w:ascii="宋体" w:hAnsi="宋体" w:eastAsia="宋体" w:cs="宋体"/>
                <w:color w:val="auto"/>
                <w:sz w:val="24"/>
                <w:szCs w:val="24"/>
              </w:rPr>
            </w:pPr>
          </w:p>
        </w:tc>
      </w:tr>
      <w:tr w14:paraId="053C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550DB211">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2323" w:type="dxa"/>
            <w:vAlign w:val="center"/>
          </w:tcPr>
          <w:p w14:paraId="5A8BC6F0">
            <w:pPr>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沧源永和口岸站</w:t>
            </w:r>
          </w:p>
        </w:tc>
        <w:tc>
          <w:tcPr>
            <w:tcW w:w="900" w:type="dxa"/>
            <w:shd w:val="clear" w:color="auto" w:fill="auto"/>
            <w:vAlign w:val="center"/>
          </w:tcPr>
          <w:p w14:paraId="30F2EEC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58" w:type="dxa"/>
            <w:shd w:val="clear" w:color="auto" w:fill="auto"/>
            <w:vAlign w:val="center"/>
          </w:tcPr>
          <w:p w14:paraId="5E2F00C3">
            <w:pPr>
              <w:widowControl/>
              <w:jc w:val="center"/>
              <w:textAlignment w:val="center"/>
              <w:rPr>
                <w:rFonts w:hint="eastAsia" w:ascii="宋体" w:hAnsi="宋体" w:eastAsia="宋体" w:cs="宋体"/>
                <w:color w:val="auto"/>
                <w:sz w:val="24"/>
                <w:szCs w:val="24"/>
                <w:lang w:eastAsia="zh-CN"/>
              </w:rPr>
            </w:pPr>
          </w:p>
        </w:tc>
        <w:tc>
          <w:tcPr>
            <w:tcW w:w="1061" w:type="dxa"/>
            <w:shd w:val="clear" w:color="auto" w:fill="auto"/>
            <w:vAlign w:val="center"/>
          </w:tcPr>
          <w:p w14:paraId="5E38DDD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54" w:type="dxa"/>
            <w:shd w:val="clear" w:color="auto" w:fill="auto"/>
            <w:vAlign w:val="center"/>
          </w:tcPr>
          <w:p w14:paraId="42BB427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52769F1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空调</w:t>
            </w:r>
            <w:r>
              <w:rPr>
                <w:rFonts w:hint="eastAsia" w:ascii="宋体" w:hAnsi="宋体" w:eastAsia="宋体" w:cs="宋体"/>
                <w:color w:val="auto"/>
                <w:sz w:val="24"/>
                <w:szCs w:val="24"/>
                <w:lang w:val="en-US" w:eastAsia="zh-CN"/>
              </w:rPr>
              <w:t>1台</w:t>
            </w:r>
            <w:r>
              <w:rPr>
                <w:rFonts w:hint="eastAsia" w:ascii="宋体" w:hAnsi="宋体" w:eastAsia="宋体" w:cs="宋体"/>
                <w:color w:val="auto"/>
                <w:sz w:val="24"/>
                <w:szCs w:val="24"/>
                <w:lang w:eastAsia="zh-CN"/>
              </w:rPr>
              <w:t>、除湿机</w:t>
            </w:r>
            <w:r>
              <w:rPr>
                <w:rFonts w:hint="eastAsia" w:ascii="宋体" w:hAnsi="宋体" w:eastAsia="宋体" w:cs="宋体"/>
                <w:color w:val="auto"/>
                <w:sz w:val="24"/>
                <w:szCs w:val="24"/>
                <w:lang w:val="en-US" w:eastAsia="zh-CN"/>
              </w:rPr>
              <w:t>1台</w:t>
            </w:r>
          </w:p>
        </w:tc>
      </w:tr>
      <w:tr w14:paraId="2F66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11E43A6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2323" w:type="dxa"/>
            <w:vAlign w:val="center"/>
          </w:tcPr>
          <w:p w14:paraId="59A85CFC">
            <w:pPr>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沧源班老站</w:t>
            </w:r>
          </w:p>
        </w:tc>
        <w:tc>
          <w:tcPr>
            <w:tcW w:w="900" w:type="dxa"/>
            <w:shd w:val="clear" w:color="auto" w:fill="auto"/>
            <w:vAlign w:val="center"/>
          </w:tcPr>
          <w:p w14:paraId="4307199E">
            <w:pPr>
              <w:widowControl/>
              <w:jc w:val="center"/>
              <w:textAlignment w:val="center"/>
              <w:rPr>
                <w:rFonts w:hint="eastAsia" w:ascii="宋体" w:hAnsi="宋体" w:eastAsia="宋体" w:cs="宋体"/>
                <w:color w:val="auto"/>
                <w:sz w:val="24"/>
                <w:szCs w:val="24"/>
                <w:lang w:eastAsia="zh-CN"/>
              </w:rPr>
            </w:pPr>
          </w:p>
        </w:tc>
        <w:tc>
          <w:tcPr>
            <w:tcW w:w="1258" w:type="dxa"/>
            <w:shd w:val="clear" w:color="auto" w:fill="auto"/>
            <w:vAlign w:val="center"/>
          </w:tcPr>
          <w:p w14:paraId="27D70F6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61" w:type="dxa"/>
            <w:shd w:val="clear" w:color="auto" w:fill="auto"/>
            <w:vAlign w:val="center"/>
          </w:tcPr>
          <w:p w14:paraId="690465D4">
            <w:pPr>
              <w:widowControl/>
              <w:jc w:val="center"/>
              <w:textAlignment w:val="center"/>
              <w:rPr>
                <w:rFonts w:hint="eastAsia" w:ascii="宋体" w:hAnsi="宋体" w:eastAsia="宋体" w:cs="宋体"/>
                <w:color w:val="auto"/>
                <w:sz w:val="24"/>
                <w:szCs w:val="24"/>
              </w:rPr>
            </w:pPr>
          </w:p>
        </w:tc>
        <w:tc>
          <w:tcPr>
            <w:tcW w:w="1154" w:type="dxa"/>
            <w:shd w:val="clear" w:color="auto" w:fill="auto"/>
            <w:vAlign w:val="center"/>
          </w:tcPr>
          <w:p w14:paraId="71480EDA">
            <w:pPr>
              <w:widowControl/>
              <w:jc w:val="center"/>
              <w:textAlignment w:val="center"/>
              <w:rPr>
                <w:rFonts w:hint="eastAsia" w:ascii="宋体" w:hAnsi="宋体" w:eastAsia="宋体" w:cs="宋体"/>
                <w:color w:val="auto"/>
                <w:sz w:val="24"/>
                <w:szCs w:val="24"/>
                <w:lang w:val="en-US" w:eastAsia="zh-CN"/>
              </w:rPr>
            </w:pPr>
          </w:p>
        </w:tc>
        <w:tc>
          <w:tcPr>
            <w:tcW w:w="1576" w:type="dxa"/>
            <w:shd w:val="clear" w:color="auto" w:fill="auto"/>
            <w:vAlign w:val="center"/>
          </w:tcPr>
          <w:p w14:paraId="24375736">
            <w:pPr>
              <w:widowControl/>
              <w:jc w:val="center"/>
              <w:textAlignment w:val="center"/>
              <w:rPr>
                <w:rFonts w:hint="eastAsia" w:ascii="宋体" w:hAnsi="宋体" w:eastAsia="宋体" w:cs="宋体"/>
                <w:color w:val="auto"/>
                <w:sz w:val="24"/>
                <w:szCs w:val="24"/>
              </w:rPr>
            </w:pPr>
          </w:p>
        </w:tc>
      </w:tr>
      <w:tr w14:paraId="4A97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4C88A501">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2323" w:type="dxa"/>
            <w:vAlign w:val="center"/>
          </w:tcPr>
          <w:p w14:paraId="179294D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耿马中学站</w:t>
            </w:r>
          </w:p>
        </w:tc>
        <w:tc>
          <w:tcPr>
            <w:tcW w:w="900" w:type="dxa"/>
            <w:shd w:val="clear" w:color="auto" w:fill="auto"/>
            <w:vAlign w:val="center"/>
          </w:tcPr>
          <w:p w14:paraId="50562EC9">
            <w:pPr>
              <w:widowControl/>
              <w:jc w:val="center"/>
              <w:textAlignment w:val="center"/>
              <w:rPr>
                <w:rFonts w:hint="eastAsia" w:ascii="宋体" w:hAnsi="宋体" w:eastAsia="宋体" w:cs="宋体"/>
                <w:color w:val="auto"/>
                <w:sz w:val="24"/>
                <w:szCs w:val="24"/>
                <w:lang w:eastAsia="zh-CN"/>
              </w:rPr>
            </w:pPr>
          </w:p>
        </w:tc>
        <w:tc>
          <w:tcPr>
            <w:tcW w:w="1258" w:type="dxa"/>
            <w:shd w:val="clear" w:color="auto" w:fill="auto"/>
            <w:vAlign w:val="center"/>
          </w:tcPr>
          <w:p w14:paraId="1E6690B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61" w:type="dxa"/>
            <w:shd w:val="clear" w:color="auto" w:fill="auto"/>
            <w:vAlign w:val="center"/>
          </w:tcPr>
          <w:p w14:paraId="655DCBA9">
            <w:pPr>
              <w:widowControl/>
              <w:jc w:val="center"/>
              <w:textAlignment w:val="center"/>
              <w:rPr>
                <w:rFonts w:hint="eastAsia" w:ascii="宋体" w:hAnsi="宋体" w:eastAsia="宋体" w:cs="宋体"/>
                <w:color w:val="auto"/>
                <w:sz w:val="24"/>
                <w:szCs w:val="24"/>
              </w:rPr>
            </w:pPr>
          </w:p>
        </w:tc>
        <w:tc>
          <w:tcPr>
            <w:tcW w:w="1154" w:type="dxa"/>
            <w:shd w:val="clear" w:color="auto" w:fill="auto"/>
            <w:vAlign w:val="center"/>
          </w:tcPr>
          <w:p w14:paraId="3782821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1AB14BE7">
            <w:pPr>
              <w:widowControl/>
              <w:jc w:val="center"/>
              <w:textAlignment w:val="center"/>
              <w:rPr>
                <w:rFonts w:hint="eastAsia" w:ascii="宋体" w:hAnsi="宋体" w:eastAsia="宋体" w:cs="宋体"/>
                <w:color w:val="auto"/>
                <w:sz w:val="24"/>
                <w:szCs w:val="24"/>
              </w:rPr>
            </w:pPr>
          </w:p>
        </w:tc>
      </w:tr>
      <w:tr w14:paraId="240E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0499D5A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p>
        </w:tc>
        <w:tc>
          <w:tcPr>
            <w:tcW w:w="2323" w:type="dxa"/>
            <w:vAlign w:val="center"/>
          </w:tcPr>
          <w:p w14:paraId="3788FAA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孟定站</w:t>
            </w:r>
          </w:p>
        </w:tc>
        <w:tc>
          <w:tcPr>
            <w:tcW w:w="900" w:type="dxa"/>
            <w:shd w:val="clear" w:color="auto" w:fill="auto"/>
            <w:vAlign w:val="center"/>
          </w:tcPr>
          <w:p w14:paraId="796C4A6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w:t>
            </w:r>
          </w:p>
        </w:tc>
        <w:tc>
          <w:tcPr>
            <w:tcW w:w="1258" w:type="dxa"/>
            <w:shd w:val="clear" w:color="auto" w:fill="auto"/>
            <w:vAlign w:val="center"/>
          </w:tcPr>
          <w:p w14:paraId="1E0F5C50">
            <w:pPr>
              <w:widowControl/>
              <w:jc w:val="center"/>
              <w:textAlignment w:val="center"/>
              <w:rPr>
                <w:rFonts w:hint="eastAsia" w:ascii="宋体" w:hAnsi="宋体" w:eastAsia="宋体" w:cs="宋体"/>
                <w:color w:val="auto"/>
                <w:sz w:val="24"/>
                <w:szCs w:val="24"/>
              </w:rPr>
            </w:pPr>
          </w:p>
        </w:tc>
        <w:tc>
          <w:tcPr>
            <w:tcW w:w="1061" w:type="dxa"/>
            <w:shd w:val="clear" w:color="auto" w:fill="auto"/>
            <w:vAlign w:val="center"/>
          </w:tcPr>
          <w:p w14:paraId="4DA1845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54" w:type="dxa"/>
            <w:shd w:val="clear" w:color="auto" w:fill="auto"/>
            <w:vAlign w:val="center"/>
          </w:tcPr>
          <w:p w14:paraId="0BE8267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6F7AE251">
            <w:pPr>
              <w:widowControl/>
              <w:jc w:val="center"/>
              <w:textAlignment w:val="center"/>
              <w:rPr>
                <w:rFonts w:hint="eastAsia" w:ascii="宋体" w:hAnsi="宋体" w:eastAsia="宋体" w:cs="宋体"/>
                <w:color w:val="auto"/>
                <w:sz w:val="24"/>
                <w:szCs w:val="24"/>
              </w:rPr>
            </w:pPr>
          </w:p>
        </w:tc>
      </w:tr>
      <w:tr w14:paraId="0C03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68C4357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323" w:type="dxa"/>
            <w:vAlign w:val="center"/>
          </w:tcPr>
          <w:p w14:paraId="2F6378D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镇康</w:t>
            </w:r>
            <w:r>
              <w:rPr>
                <w:rFonts w:hint="eastAsia" w:ascii="宋体" w:hAnsi="宋体" w:eastAsia="宋体" w:cs="宋体"/>
                <w:color w:val="auto"/>
                <w:sz w:val="24"/>
                <w:szCs w:val="24"/>
                <w:u w:val="none"/>
                <w:lang w:val="en-US" w:eastAsia="zh-CN"/>
              </w:rPr>
              <w:t>126站</w:t>
            </w:r>
          </w:p>
        </w:tc>
        <w:tc>
          <w:tcPr>
            <w:tcW w:w="900" w:type="dxa"/>
            <w:shd w:val="clear" w:color="auto" w:fill="auto"/>
            <w:vAlign w:val="center"/>
          </w:tcPr>
          <w:p w14:paraId="73EB0E0C">
            <w:pPr>
              <w:widowControl/>
              <w:jc w:val="center"/>
              <w:textAlignment w:val="center"/>
              <w:rPr>
                <w:rFonts w:hint="eastAsia" w:ascii="宋体" w:hAnsi="宋体" w:eastAsia="宋体" w:cs="宋体"/>
                <w:color w:val="auto"/>
                <w:kern w:val="0"/>
                <w:sz w:val="24"/>
                <w:szCs w:val="24"/>
                <w:lang w:val="en-US" w:eastAsia="zh-CN"/>
              </w:rPr>
            </w:pPr>
          </w:p>
        </w:tc>
        <w:tc>
          <w:tcPr>
            <w:tcW w:w="1258" w:type="dxa"/>
            <w:shd w:val="clear" w:color="auto" w:fill="auto"/>
            <w:vAlign w:val="center"/>
          </w:tcPr>
          <w:p w14:paraId="0EE1CAB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61" w:type="dxa"/>
            <w:shd w:val="clear" w:color="auto" w:fill="auto"/>
            <w:vAlign w:val="center"/>
          </w:tcPr>
          <w:p w14:paraId="44E7E2FA">
            <w:pPr>
              <w:widowControl/>
              <w:jc w:val="center"/>
              <w:textAlignment w:val="center"/>
              <w:rPr>
                <w:rFonts w:hint="eastAsia" w:ascii="宋体" w:hAnsi="宋体" w:eastAsia="宋体" w:cs="宋体"/>
                <w:color w:val="auto"/>
                <w:sz w:val="24"/>
                <w:szCs w:val="24"/>
                <w:lang w:val="en-US" w:eastAsia="zh-CN"/>
              </w:rPr>
            </w:pPr>
          </w:p>
        </w:tc>
        <w:tc>
          <w:tcPr>
            <w:tcW w:w="1154" w:type="dxa"/>
            <w:shd w:val="clear" w:color="auto" w:fill="auto"/>
            <w:vAlign w:val="center"/>
          </w:tcPr>
          <w:p w14:paraId="5E9E150B">
            <w:pPr>
              <w:widowControl/>
              <w:jc w:val="center"/>
              <w:textAlignment w:val="center"/>
              <w:rPr>
                <w:rFonts w:hint="eastAsia" w:ascii="宋体" w:hAnsi="宋体" w:eastAsia="宋体" w:cs="宋体"/>
                <w:color w:val="auto"/>
                <w:sz w:val="24"/>
                <w:szCs w:val="24"/>
                <w:lang w:val="en-US" w:eastAsia="zh-CN"/>
              </w:rPr>
            </w:pPr>
          </w:p>
        </w:tc>
        <w:tc>
          <w:tcPr>
            <w:tcW w:w="1576" w:type="dxa"/>
            <w:shd w:val="clear" w:color="auto" w:fill="auto"/>
            <w:vAlign w:val="center"/>
          </w:tcPr>
          <w:p w14:paraId="6864F5A2">
            <w:pPr>
              <w:widowControl/>
              <w:jc w:val="center"/>
              <w:textAlignment w:val="center"/>
              <w:rPr>
                <w:rFonts w:hint="eastAsia" w:ascii="宋体" w:hAnsi="宋体" w:eastAsia="宋体" w:cs="宋体"/>
                <w:color w:val="auto"/>
                <w:sz w:val="24"/>
                <w:szCs w:val="24"/>
              </w:rPr>
            </w:pPr>
          </w:p>
        </w:tc>
      </w:tr>
      <w:tr w14:paraId="2BFA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09E6A29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323" w:type="dxa"/>
            <w:vAlign w:val="center"/>
          </w:tcPr>
          <w:p w14:paraId="66D424F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镇康二类站</w:t>
            </w:r>
          </w:p>
        </w:tc>
        <w:tc>
          <w:tcPr>
            <w:tcW w:w="900" w:type="dxa"/>
            <w:shd w:val="clear" w:color="auto" w:fill="auto"/>
            <w:vAlign w:val="center"/>
          </w:tcPr>
          <w:p w14:paraId="0CD06AA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258" w:type="dxa"/>
            <w:shd w:val="clear" w:color="auto" w:fill="auto"/>
            <w:vAlign w:val="center"/>
          </w:tcPr>
          <w:p w14:paraId="3084899B">
            <w:pPr>
              <w:widowControl/>
              <w:jc w:val="center"/>
              <w:textAlignment w:val="center"/>
              <w:rPr>
                <w:rFonts w:hint="eastAsia" w:ascii="宋体" w:hAnsi="宋体" w:eastAsia="宋体" w:cs="宋体"/>
                <w:color w:val="auto"/>
                <w:sz w:val="24"/>
                <w:szCs w:val="24"/>
                <w:lang w:val="en-US" w:eastAsia="zh-CN"/>
              </w:rPr>
            </w:pPr>
          </w:p>
        </w:tc>
        <w:tc>
          <w:tcPr>
            <w:tcW w:w="1061" w:type="dxa"/>
            <w:shd w:val="clear" w:color="auto" w:fill="auto"/>
            <w:vAlign w:val="center"/>
          </w:tcPr>
          <w:p w14:paraId="3245CFE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54" w:type="dxa"/>
            <w:shd w:val="clear" w:color="auto" w:fill="auto"/>
            <w:vAlign w:val="center"/>
          </w:tcPr>
          <w:p w14:paraId="130B95B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02AB76B2">
            <w:pPr>
              <w:widowControl/>
              <w:jc w:val="center"/>
              <w:textAlignment w:val="center"/>
              <w:rPr>
                <w:rFonts w:hint="eastAsia" w:ascii="宋体" w:hAnsi="宋体" w:eastAsia="宋体" w:cs="宋体"/>
                <w:color w:val="auto"/>
                <w:sz w:val="24"/>
                <w:szCs w:val="24"/>
              </w:rPr>
            </w:pPr>
          </w:p>
        </w:tc>
      </w:tr>
      <w:tr w14:paraId="3560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3FF2A66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323" w:type="dxa"/>
            <w:vAlign w:val="center"/>
          </w:tcPr>
          <w:p w14:paraId="2EF490D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永德站</w:t>
            </w:r>
          </w:p>
        </w:tc>
        <w:tc>
          <w:tcPr>
            <w:tcW w:w="900" w:type="dxa"/>
            <w:shd w:val="clear" w:color="auto" w:fill="auto"/>
            <w:vAlign w:val="center"/>
          </w:tcPr>
          <w:p w14:paraId="2FC44C5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258" w:type="dxa"/>
            <w:shd w:val="clear" w:color="auto" w:fill="auto"/>
            <w:vAlign w:val="center"/>
          </w:tcPr>
          <w:p w14:paraId="18E5297D">
            <w:pPr>
              <w:widowControl/>
              <w:jc w:val="center"/>
              <w:textAlignment w:val="center"/>
              <w:rPr>
                <w:rFonts w:hint="eastAsia" w:ascii="宋体" w:hAnsi="宋体" w:eastAsia="宋体" w:cs="宋体"/>
                <w:color w:val="auto"/>
                <w:sz w:val="24"/>
                <w:szCs w:val="24"/>
                <w:lang w:val="en-US" w:eastAsia="zh-CN"/>
              </w:rPr>
            </w:pPr>
          </w:p>
        </w:tc>
        <w:tc>
          <w:tcPr>
            <w:tcW w:w="1061" w:type="dxa"/>
            <w:shd w:val="clear" w:color="auto" w:fill="auto"/>
            <w:vAlign w:val="center"/>
          </w:tcPr>
          <w:p w14:paraId="73D716F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54" w:type="dxa"/>
            <w:shd w:val="clear" w:color="auto" w:fill="auto"/>
            <w:vAlign w:val="center"/>
          </w:tcPr>
          <w:p w14:paraId="6A5EDD81">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1665CE7A">
            <w:pPr>
              <w:widowControl/>
              <w:jc w:val="center"/>
              <w:textAlignment w:val="center"/>
              <w:rPr>
                <w:rFonts w:hint="eastAsia" w:ascii="宋体" w:hAnsi="宋体" w:eastAsia="宋体" w:cs="宋体"/>
                <w:color w:val="auto"/>
                <w:sz w:val="24"/>
                <w:szCs w:val="24"/>
              </w:rPr>
            </w:pPr>
          </w:p>
        </w:tc>
      </w:tr>
      <w:tr w14:paraId="333F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278143B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323" w:type="dxa"/>
            <w:vAlign w:val="center"/>
          </w:tcPr>
          <w:p w14:paraId="0CC7205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云县站</w:t>
            </w:r>
          </w:p>
        </w:tc>
        <w:tc>
          <w:tcPr>
            <w:tcW w:w="900" w:type="dxa"/>
            <w:shd w:val="clear" w:color="auto" w:fill="auto"/>
            <w:vAlign w:val="center"/>
          </w:tcPr>
          <w:p w14:paraId="13426F8A">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258" w:type="dxa"/>
            <w:shd w:val="clear" w:color="auto" w:fill="auto"/>
            <w:vAlign w:val="center"/>
          </w:tcPr>
          <w:p w14:paraId="02D1C98F">
            <w:pPr>
              <w:widowControl/>
              <w:jc w:val="center"/>
              <w:textAlignment w:val="center"/>
              <w:rPr>
                <w:rFonts w:hint="eastAsia" w:ascii="宋体" w:hAnsi="宋体" w:eastAsia="宋体" w:cs="宋体"/>
                <w:color w:val="auto"/>
                <w:sz w:val="24"/>
                <w:szCs w:val="24"/>
                <w:lang w:val="en-US" w:eastAsia="zh-CN"/>
              </w:rPr>
            </w:pPr>
          </w:p>
        </w:tc>
        <w:tc>
          <w:tcPr>
            <w:tcW w:w="1061" w:type="dxa"/>
            <w:shd w:val="clear" w:color="auto" w:fill="auto"/>
            <w:vAlign w:val="center"/>
          </w:tcPr>
          <w:p w14:paraId="23B1796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54" w:type="dxa"/>
            <w:shd w:val="clear" w:color="auto" w:fill="auto"/>
            <w:vAlign w:val="center"/>
          </w:tcPr>
          <w:p w14:paraId="4D4D9F07">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03B046C5">
            <w:pPr>
              <w:widowControl/>
              <w:jc w:val="center"/>
              <w:textAlignment w:val="center"/>
              <w:rPr>
                <w:rFonts w:hint="eastAsia" w:ascii="宋体" w:hAnsi="宋体" w:eastAsia="宋体" w:cs="宋体"/>
                <w:color w:val="auto"/>
                <w:sz w:val="24"/>
                <w:szCs w:val="24"/>
              </w:rPr>
            </w:pPr>
          </w:p>
        </w:tc>
      </w:tr>
      <w:tr w14:paraId="026D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6B101EB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323" w:type="dxa"/>
            <w:vAlign w:val="center"/>
          </w:tcPr>
          <w:p w14:paraId="407C90E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凤庆站</w:t>
            </w:r>
          </w:p>
        </w:tc>
        <w:tc>
          <w:tcPr>
            <w:tcW w:w="900" w:type="dxa"/>
            <w:shd w:val="clear" w:color="auto" w:fill="auto"/>
            <w:vAlign w:val="center"/>
          </w:tcPr>
          <w:p w14:paraId="5CF9A564">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258" w:type="dxa"/>
            <w:shd w:val="clear" w:color="auto" w:fill="auto"/>
            <w:vAlign w:val="center"/>
          </w:tcPr>
          <w:p w14:paraId="0C1A9F5B">
            <w:pPr>
              <w:widowControl/>
              <w:jc w:val="center"/>
              <w:textAlignment w:val="center"/>
              <w:rPr>
                <w:rFonts w:hint="eastAsia" w:ascii="宋体" w:hAnsi="宋体" w:eastAsia="宋体" w:cs="宋体"/>
                <w:color w:val="auto"/>
                <w:sz w:val="24"/>
                <w:szCs w:val="24"/>
                <w:lang w:val="en-US" w:eastAsia="zh-CN"/>
              </w:rPr>
            </w:pPr>
          </w:p>
        </w:tc>
        <w:tc>
          <w:tcPr>
            <w:tcW w:w="1061" w:type="dxa"/>
            <w:shd w:val="clear" w:color="auto" w:fill="auto"/>
            <w:vAlign w:val="center"/>
          </w:tcPr>
          <w:p w14:paraId="6E66A06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54" w:type="dxa"/>
            <w:shd w:val="clear" w:color="auto" w:fill="auto"/>
            <w:vAlign w:val="center"/>
          </w:tcPr>
          <w:p w14:paraId="2BFA35B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6" w:type="dxa"/>
            <w:shd w:val="clear" w:color="auto" w:fill="auto"/>
            <w:vAlign w:val="center"/>
          </w:tcPr>
          <w:p w14:paraId="7924DF4B">
            <w:pPr>
              <w:widowControl/>
              <w:jc w:val="center"/>
              <w:textAlignment w:val="center"/>
              <w:rPr>
                <w:rFonts w:hint="eastAsia" w:ascii="宋体" w:hAnsi="宋体" w:eastAsia="宋体" w:cs="宋体"/>
                <w:color w:val="auto"/>
                <w:sz w:val="24"/>
                <w:szCs w:val="24"/>
              </w:rPr>
            </w:pPr>
          </w:p>
        </w:tc>
      </w:tr>
      <w:tr w14:paraId="2669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11E411DF">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w:t>
            </w:r>
          </w:p>
        </w:tc>
        <w:tc>
          <w:tcPr>
            <w:tcW w:w="2323" w:type="dxa"/>
            <w:vAlign w:val="center"/>
          </w:tcPr>
          <w:p w14:paraId="3C3A24B0">
            <w:pPr>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u w:val="none"/>
                <w:lang w:eastAsia="zh-CN"/>
              </w:rPr>
              <w:t>合计</w:t>
            </w:r>
          </w:p>
        </w:tc>
        <w:tc>
          <w:tcPr>
            <w:tcW w:w="900" w:type="dxa"/>
            <w:shd w:val="clear" w:color="auto" w:fill="auto"/>
            <w:vAlign w:val="center"/>
          </w:tcPr>
          <w:p w14:paraId="24F17447">
            <w:pPr>
              <w:widowControl/>
              <w:jc w:val="center"/>
              <w:textAlignment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8</w:t>
            </w:r>
          </w:p>
        </w:tc>
        <w:tc>
          <w:tcPr>
            <w:tcW w:w="1258" w:type="dxa"/>
            <w:shd w:val="clear" w:color="auto" w:fill="auto"/>
            <w:vAlign w:val="center"/>
          </w:tcPr>
          <w:p w14:paraId="445F6830">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1061" w:type="dxa"/>
            <w:shd w:val="clear" w:color="auto" w:fill="auto"/>
            <w:vAlign w:val="center"/>
          </w:tcPr>
          <w:p w14:paraId="7AD3D0E2">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w:t>
            </w:r>
          </w:p>
        </w:tc>
        <w:tc>
          <w:tcPr>
            <w:tcW w:w="1154" w:type="dxa"/>
            <w:shd w:val="clear" w:color="auto" w:fill="auto"/>
            <w:vAlign w:val="center"/>
          </w:tcPr>
          <w:p w14:paraId="6419F2C0">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w:t>
            </w:r>
          </w:p>
        </w:tc>
        <w:tc>
          <w:tcPr>
            <w:tcW w:w="1576" w:type="dxa"/>
            <w:shd w:val="clear" w:color="auto" w:fill="auto"/>
            <w:vAlign w:val="center"/>
          </w:tcPr>
          <w:p w14:paraId="684952A7">
            <w:pPr>
              <w:widowControl/>
              <w:jc w:val="center"/>
              <w:textAlignment w:val="center"/>
              <w:rPr>
                <w:rFonts w:hint="eastAsia" w:ascii="宋体" w:hAnsi="宋体" w:eastAsia="宋体" w:cs="宋体"/>
                <w:b/>
                <w:bCs/>
                <w:color w:val="auto"/>
                <w:sz w:val="24"/>
                <w:szCs w:val="24"/>
              </w:rPr>
            </w:pPr>
          </w:p>
        </w:tc>
      </w:tr>
      <w:bookmarkEnd w:id="210"/>
    </w:tbl>
    <w:p w14:paraId="20A51772">
      <w:pPr>
        <w:keepNext/>
        <w:keepLines/>
        <w:pageBreakBefore w:val="0"/>
        <w:widowControl w:val="0"/>
        <w:numPr>
          <w:ilvl w:val="0"/>
          <w:numId w:val="0"/>
        </w:numPr>
        <w:kinsoku/>
        <w:wordWrap/>
        <w:overflowPunct/>
        <w:topLinePunct w:val="0"/>
        <w:autoSpaceDE/>
        <w:autoSpaceDN/>
        <w:bidi w:val="0"/>
        <w:adjustRightInd/>
        <w:snapToGrid w:val="0"/>
        <w:spacing w:line="312" w:lineRule="auto"/>
        <w:ind w:right="0" w:rightChars="0" w:firstLine="482" w:firstLineChars="20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212" w:name="_Toc22132621"/>
      <w:bookmarkStart w:id="213" w:name="_Toc8159"/>
      <w:bookmarkStart w:id="214" w:name="_Toc3705"/>
      <w:r>
        <w:rPr>
          <w:rFonts w:hint="eastAsia" w:ascii="黑体" w:hAnsi="宋体" w:eastAsia="宋体" w:cs="Times New Roman"/>
          <w:b/>
          <w:snapToGrid w:val="0"/>
          <w:color w:val="auto"/>
          <w:kern w:val="0"/>
          <w:sz w:val="24"/>
          <w:szCs w:val="20"/>
          <w:lang w:val="en-US" w:eastAsia="zh-CN" w:bidi="ar-SA"/>
        </w:rPr>
        <w:t>4. 运维工作执行标准</w:t>
      </w:r>
      <w:bookmarkEnd w:id="212"/>
      <w:bookmarkEnd w:id="213"/>
      <w:bookmarkEnd w:id="214"/>
    </w:p>
    <w:p w14:paraId="0BC6A6AD">
      <w:pPr>
        <w:widowControl/>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遵循国家相关标准及规范开展具体工作。</w:t>
      </w:r>
    </w:p>
    <w:p w14:paraId="6703A552">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《VHFUHF监测网功能和能力评估规范》（工信部无2016379号-8）；</w:t>
      </w:r>
    </w:p>
    <w:p w14:paraId="0DFF38F7">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《短波固定站监测系统运行维护规范》（工信部无2014317-9）；</w:t>
      </w:r>
    </w:p>
    <w:p w14:paraId="32B7F301">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《VHFUHF频段固定站监测系统操作规范》（工信部无2016379号-18）；</w:t>
      </w:r>
    </w:p>
    <w:p w14:paraId="0BF82521">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《VHFUHF频段固定站测向系统操作规范》（工信部无2016379号-19）；</w:t>
      </w:r>
    </w:p>
    <w:p w14:paraId="758EDC87">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《无线电监测车运行维护规范》（工信部无2016379号-17）；</w:t>
      </w:r>
    </w:p>
    <w:p w14:paraId="376C3B40">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《无线电监测机房运行维护规范》（工信部无2016379号-15）；</w:t>
      </w:r>
    </w:p>
    <w:p w14:paraId="6A9E92E1">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《无线电管理一体化平台软件系统运行维护规范》（GWJ008-2016）、《频谱监测手册》（ITU 国家无线电监测中心编译）；</w:t>
      </w:r>
    </w:p>
    <w:p w14:paraId="2B80A1B5">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《超短波无线电测向系统验收测试方法》（国无中</w:t>
      </w:r>
      <w:r>
        <w:rPr>
          <w:rFonts w:hint="eastAsia" w:ascii="宋体" w:hAnsi="宋体" w:cs="宋体"/>
          <w:color w:val="auto"/>
          <w:kern w:val="0"/>
          <w:sz w:val="24"/>
          <w:szCs w:val="24"/>
          <w:lang w:val="en-US" w:eastAsia="zh-CN" w:bidi="ar-SA"/>
        </w:rPr>
        <w:t>〔2000〕39号</w:t>
      </w:r>
      <w:r>
        <w:rPr>
          <w:rFonts w:hint="eastAsia" w:ascii="宋体" w:hAnsi="宋体" w:eastAsia="宋体" w:cs="宋体"/>
          <w:color w:val="auto"/>
          <w:kern w:val="0"/>
          <w:sz w:val="24"/>
          <w:szCs w:val="24"/>
          <w:lang w:val="en-US" w:eastAsia="zh-CN" w:bidi="ar-SA"/>
        </w:rPr>
        <w:t>）；</w:t>
      </w:r>
    </w:p>
    <w:p w14:paraId="497390ED">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《无线电监测软件功能的基本要求》（国家无线电监测中心）；</w:t>
      </w:r>
    </w:p>
    <w:p w14:paraId="2AF9A3FE">
      <w:pPr>
        <w:widowControl/>
        <w:numPr>
          <w:ilvl w:val="0"/>
          <w:numId w:val="9"/>
        </w:numPr>
        <w:spacing w:line="360" w:lineRule="auto"/>
        <w:ind w:left="840" w:hanging="42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《无线电监测站监测技术规范》（国家无线电办公室）。</w:t>
      </w:r>
    </w:p>
    <w:p w14:paraId="58C680A8">
      <w:pPr>
        <w:keepNext/>
        <w:keepLines/>
        <w:pageBreakBefore w:val="0"/>
        <w:widowControl w:val="0"/>
        <w:numPr>
          <w:ilvl w:val="0"/>
          <w:numId w:val="5"/>
        </w:numPr>
        <w:kinsoku/>
        <w:wordWrap/>
        <w:overflowPunct/>
        <w:topLinePunct w:val="0"/>
        <w:autoSpaceDE/>
        <w:autoSpaceDN/>
        <w:bidi w:val="0"/>
        <w:adjustRightInd/>
        <w:spacing w:line="416" w:lineRule="auto"/>
        <w:ind w:left="420" w:leftChars="200" w:right="0" w:rightChars="0" w:firstLine="0" w:firstLineChars="0"/>
        <w:jc w:val="both"/>
        <w:textAlignment w:val="auto"/>
        <w:outlineLvl w:val="1"/>
        <w:rPr>
          <w:rFonts w:ascii="宋体" w:hAnsi="宋体" w:eastAsia="宋体" w:cs="Times New Roman"/>
          <w:b/>
          <w:bCs/>
          <w:color w:val="auto"/>
          <w:kern w:val="2"/>
          <w:sz w:val="28"/>
          <w:szCs w:val="32"/>
          <w:lang w:val="en-US" w:eastAsia="zh-CN" w:bidi="ar-SA"/>
        </w:rPr>
      </w:pPr>
      <w:bookmarkStart w:id="215" w:name="_Toc22132622"/>
      <w:bookmarkStart w:id="216" w:name="_Toc23811"/>
      <w:bookmarkStart w:id="217" w:name="_Toc9723"/>
      <w:r>
        <w:rPr>
          <w:rFonts w:hint="eastAsia" w:ascii="宋体" w:hAnsi="宋体" w:eastAsia="宋体" w:cs="Times New Roman"/>
          <w:b/>
          <w:bCs/>
          <w:color w:val="auto"/>
          <w:kern w:val="2"/>
          <w:sz w:val="28"/>
          <w:szCs w:val="32"/>
          <w:lang w:val="en-US" w:eastAsia="zh-CN" w:bidi="ar-SA"/>
        </w:rPr>
        <w:t>运维工作具体要求</w:t>
      </w:r>
      <w:bookmarkEnd w:id="215"/>
      <w:bookmarkEnd w:id="216"/>
      <w:bookmarkEnd w:id="217"/>
    </w:p>
    <w:p w14:paraId="02631E21">
      <w:pPr>
        <w:keepNext/>
        <w:keepLines/>
        <w:pageBreakBefore w:val="0"/>
        <w:widowControl w:val="0"/>
        <w:numPr>
          <w:ilvl w:val="0"/>
          <w:numId w:val="10"/>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218" w:name="_Toc32302"/>
      <w:r>
        <w:rPr>
          <w:rFonts w:hint="eastAsia" w:ascii="黑体" w:hAnsi="宋体" w:eastAsia="宋体" w:cs="Times New Roman"/>
          <w:b/>
          <w:snapToGrid w:val="0"/>
          <w:color w:val="auto"/>
          <w:kern w:val="0"/>
          <w:sz w:val="24"/>
          <w:szCs w:val="20"/>
          <w:lang w:val="en-US" w:eastAsia="zh-CN" w:bidi="ar-SA"/>
        </w:rPr>
        <w:t>工作措施</w:t>
      </w:r>
      <w:bookmarkEnd w:id="218"/>
    </w:p>
    <w:p w14:paraId="00DEEBBE">
      <w:pPr>
        <w:widowControl/>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通过以下措施确保运维工作达到预期目标：</w:t>
      </w:r>
    </w:p>
    <w:p w14:paraId="4AE05D31">
      <w:pPr>
        <w:widowControl/>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按照运维采购需求</w:t>
      </w:r>
      <w:r>
        <w:rPr>
          <w:rFonts w:hint="eastAsia" w:ascii="宋体" w:hAnsi="宋体" w:eastAsia="宋体" w:cs="宋体"/>
          <w:color w:val="auto"/>
          <w:kern w:val="0"/>
          <w:sz w:val="24"/>
          <w:szCs w:val="24"/>
        </w:rPr>
        <w:t>编制系统</w:t>
      </w:r>
      <w:r>
        <w:rPr>
          <w:rFonts w:hint="eastAsia" w:ascii="宋体" w:hAnsi="宋体" w:eastAsia="宋体" w:cs="宋体"/>
          <w:color w:val="auto"/>
          <w:kern w:val="0"/>
          <w:sz w:val="24"/>
          <w:szCs w:val="24"/>
          <w:lang w:eastAsia="zh-CN"/>
        </w:rPr>
        <w:t>、可行的运行</w:t>
      </w:r>
      <w:r>
        <w:rPr>
          <w:rFonts w:hint="eastAsia" w:ascii="宋体" w:hAnsi="宋体" w:eastAsia="宋体" w:cs="宋体"/>
          <w:color w:val="auto"/>
          <w:kern w:val="0"/>
          <w:sz w:val="24"/>
          <w:szCs w:val="24"/>
        </w:rPr>
        <w:t>维护服务方案，并</w:t>
      </w:r>
      <w:r>
        <w:rPr>
          <w:rFonts w:hint="eastAsia" w:ascii="宋体" w:hAnsi="宋体" w:eastAsia="宋体" w:cs="宋体"/>
          <w:color w:val="auto"/>
          <w:kern w:val="0"/>
          <w:sz w:val="24"/>
          <w:szCs w:val="24"/>
          <w:lang w:eastAsia="zh-CN"/>
        </w:rPr>
        <w:t>经业主方审核通过后</w:t>
      </w:r>
      <w:r>
        <w:rPr>
          <w:rFonts w:hint="eastAsia" w:ascii="宋体" w:hAnsi="宋体" w:eastAsia="宋体" w:cs="宋体"/>
          <w:color w:val="auto"/>
          <w:kern w:val="0"/>
          <w:sz w:val="24"/>
          <w:szCs w:val="24"/>
        </w:rPr>
        <w:t>按照此方案严格执行</w:t>
      </w:r>
      <w:r>
        <w:rPr>
          <w:rFonts w:hint="eastAsia" w:ascii="宋体" w:hAnsi="宋体" w:eastAsia="宋体" w:cs="宋体"/>
          <w:color w:val="auto"/>
          <w:kern w:val="0"/>
          <w:sz w:val="24"/>
          <w:szCs w:val="24"/>
          <w:lang w:eastAsia="zh-CN"/>
        </w:rPr>
        <w:t>；</w:t>
      </w:r>
    </w:p>
    <w:p w14:paraId="7D568256">
      <w:pPr>
        <w:widowControl/>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（2）根据运行维护服务方案配备技术力量；</w:t>
      </w:r>
    </w:p>
    <w:p w14:paraId="04A3AADE">
      <w:pPr>
        <w:widowControl/>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（3）建立备品备件库，确保监测网出现故障时，能够按照运维时限制要求完成故障排查和处理；</w:t>
      </w:r>
    </w:p>
    <w:p w14:paraId="6AAEBBCB">
      <w:pPr>
        <w:widowControl w:val="0"/>
        <w:tabs>
          <w:tab w:val="left" w:pos="1155"/>
          <w:tab w:val="right" w:leader="dot" w:pos="9016"/>
        </w:tabs>
        <w:ind w:left="0" w:leftChars="0"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（4）运维期过半，代维方提出中期验收申请，及时处理和解决前期运维中存在的问题和不足；</w:t>
      </w:r>
    </w:p>
    <w:p w14:paraId="276D113D">
      <w:pPr>
        <w:widowControl w:val="0"/>
        <w:tabs>
          <w:tab w:val="left" w:pos="1155"/>
          <w:tab w:val="right" w:leader="dot" w:pos="9016"/>
        </w:tabs>
        <w:ind w:left="0" w:leftChars="0"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（5）按照监测网系统运维规范要求，及时完善运维资料。</w:t>
      </w:r>
    </w:p>
    <w:p w14:paraId="654DE590">
      <w:pPr>
        <w:rPr>
          <w:rFonts w:ascii="Calibri" w:hAnsi="Calibri" w:eastAsia="宋体" w:cs="Times New Roman"/>
          <w:szCs w:val="24"/>
        </w:rPr>
      </w:pPr>
    </w:p>
    <w:p w14:paraId="57C2CF19">
      <w:pPr>
        <w:keepNext/>
        <w:keepLines/>
        <w:pageBreakBefore w:val="0"/>
        <w:widowControl w:val="0"/>
        <w:numPr>
          <w:ilvl w:val="0"/>
          <w:numId w:val="10"/>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default" w:ascii="黑体" w:hAnsi="宋体" w:eastAsia="宋体" w:cs="Times New Roman"/>
          <w:b/>
          <w:snapToGrid w:val="0"/>
          <w:color w:val="auto"/>
          <w:kern w:val="0"/>
          <w:sz w:val="24"/>
          <w:szCs w:val="20"/>
          <w:lang w:val="en-US" w:eastAsia="zh-CN" w:bidi="ar-SA"/>
        </w:rPr>
      </w:pPr>
      <w:bookmarkStart w:id="219" w:name="_Toc2778"/>
      <w:r>
        <w:rPr>
          <w:rFonts w:hint="eastAsia" w:ascii="黑体" w:hAnsi="宋体" w:eastAsia="宋体" w:cs="Times New Roman"/>
          <w:b/>
          <w:snapToGrid w:val="0"/>
          <w:color w:val="auto"/>
          <w:kern w:val="0"/>
          <w:sz w:val="24"/>
          <w:szCs w:val="20"/>
          <w:lang w:val="en-US" w:eastAsia="zh-CN" w:bidi="ar-SA"/>
        </w:rPr>
        <w:t>需满足的服务标准、期限、效率要求</w:t>
      </w:r>
      <w:bookmarkEnd w:id="219"/>
    </w:p>
    <w:p w14:paraId="1A310CE8">
      <w:pPr>
        <w:keepNext/>
        <w:keepLines/>
        <w:pageBreakBefore w:val="0"/>
        <w:widowControl w:val="0"/>
        <w:numPr>
          <w:ilvl w:val="0"/>
          <w:numId w:val="0"/>
        </w:numPr>
        <w:kinsoku/>
        <w:wordWrap/>
        <w:overflowPunct/>
        <w:topLinePunct w:val="0"/>
        <w:autoSpaceDE/>
        <w:autoSpaceDN/>
        <w:bidi w:val="0"/>
        <w:adjustRightInd/>
        <w:spacing w:line="376"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(2)</w:t>
      </w:r>
      <w:r>
        <w:rPr>
          <w:rFonts w:ascii="宋体" w:hAnsi="宋体" w:eastAsia="宋体" w:cs="Times New Roman"/>
          <w:b/>
          <w:bCs/>
          <w:color w:val="auto"/>
          <w:kern w:val="2"/>
          <w:sz w:val="24"/>
          <w:szCs w:val="28"/>
          <w:lang w:val="en-US" w:eastAsia="zh-CN" w:bidi="ar-SA"/>
        </w:rPr>
        <w:t>运维巡检基本任务</w:t>
      </w:r>
    </w:p>
    <w:p w14:paraId="7768AAB1">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根据合同要求和运行维护服务方案定期开展运维工作并完善运维资料；</w:t>
      </w:r>
    </w:p>
    <w:p w14:paraId="67755EAF">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按照运维目标及考核要求，完成监测网系统设备日常故障处理和设备维修维护服务；</w:t>
      </w:r>
    </w:p>
    <w:p w14:paraId="266B9C2A">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保证监测设备的电气性能、机械性能及各项指标符合相关标准要求；</w:t>
      </w:r>
    </w:p>
    <w:p w14:paraId="51C54CED">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随时监控机房的温度、湿度、电压等参数及空调运行情况；定期检查机房的安全性、规范性、整洁性、防虫措施等内容，以利于监测设备正常运行；</w:t>
      </w:r>
    </w:p>
    <w:p w14:paraId="3E2F964A">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合理的维护监测设备，提高设备利用率，延长系统设备使用时间，发挥其最大效能，通过经常性的维护检修和定期修理，保证系统稳定、可靠、节能运行，发挥其最大效能；</w:t>
      </w:r>
    </w:p>
    <w:p w14:paraId="4B211E87">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迅速准确地排除故障，最大限度减少故障造成的损失；</w:t>
      </w:r>
    </w:p>
    <w:p w14:paraId="07DF3EA5">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在保证系统正常运行的前提下，节约运行维护费用；</w:t>
      </w:r>
    </w:p>
    <w:p w14:paraId="3B013B03">
      <w:pPr>
        <w:widowControl w:val="0"/>
        <w:numPr>
          <w:ilvl w:val="0"/>
          <w:numId w:val="11"/>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积极采用新技术，改进维护方法，提高运维工作效率。</w:t>
      </w:r>
    </w:p>
    <w:p w14:paraId="311FA77D">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(3)</w:t>
      </w:r>
      <w:r>
        <w:rPr>
          <w:rFonts w:ascii="宋体" w:hAnsi="宋体" w:eastAsia="宋体" w:cs="Times New Roman"/>
          <w:b/>
          <w:bCs/>
          <w:color w:val="auto"/>
          <w:kern w:val="2"/>
          <w:sz w:val="24"/>
          <w:szCs w:val="28"/>
          <w:lang w:val="en-US" w:eastAsia="zh-CN" w:bidi="ar-SA"/>
        </w:rPr>
        <w:t>监测测向设备维护要求</w:t>
      </w:r>
    </w:p>
    <w:p w14:paraId="5222122A">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保证监测网监测</w:t>
      </w:r>
      <w:r>
        <w:rPr>
          <w:rFonts w:hint="eastAsia" w:ascii="宋体" w:hAnsi="宋体" w:eastAsia="宋体" w:cs="宋体"/>
          <w:color w:val="auto"/>
          <w:kern w:val="0"/>
          <w:sz w:val="24"/>
          <w:szCs w:val="24"/>
          <w:lang w:eastAsia="zh-CN"/>
        </w:rPr>
        <w:t>测向</w:t>
      </w:r>
      <w:r>
        <w:rPr>
          <w:rFonts w:hint="eastAsia" w:ascii="宋体" w:hAnsi="宋体" w:eastAsia="宋体" w:cs="宋体"/>
          <w:color w:val="auto"/>
          <w:kern w:val="0"/>
          <w:sz w:val="24"/>
          <w:szCs w:val="24"/>
        </w:rPr>
        <w:t>系统设备</w:t>
      </w:r>
      <w:r>
        <w:rPr>
          <w:rFonts w:hint="eastAsia" w:ascii="宋体" w:hAnsi="宋体" w:eastAsia="宋体" w:cs="宋体"/>
          <w:color w:val="auto"/>
          <w:kern w:val="0"/>
          <w:sz w:val="24"/>
          <w:szCs w:val="24"/>
          <w:lang w:eastAsia="zh-CN"/>
        </w:rPr>
        <w:t>及附属</w:t>
      </w:r>
      <w:r>
        <w:rPr>
          <w:rFonts w:hint="eastAsia" w:ascii="宋体" w:hAnsi="宋体" w:eastAsia="宋体" w:cs="宋体"/>
          <w:color w:val="auto"/>
          <w:kern w:val="0"/>
          <w:sz w:val="24"/>
          <w:szCs w:val="24"/>
        </w:rPr>
        <w:t>设备等完好率不少于95％。保证监测测向设备硬件各单元能正常工作，面板按键响应可靠，各种功能正常，测试程序、软件各种功能模块工作正常，保证监测和测向数据准确，测向精度符合要求，排除各种软、硬件故障。对所有在用监测系统（设备）的《维护手册》进行更新，内容包括故障判断、排查、定位及安装配置。</w:t>
      </w:r>
    </w:p>
    <w:p w14:paraId="16E52245">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(4)</w:t>
      </w:r>
      <w:r>
        <w:rPr>
          <w:rFonts w:ascii="宋体" w:hAnsi="宋体" w:eastAsia="宋体" w:cs="Times New Roman"/>
          <w:b/>
          <w:bCs/>
          <w:color w:val="auto"/>
          <w:kern w:val="2"/>
          <w:sz w:val="24"/>
          <w:szCs w:val="28"/>
          <w:lang w:val="en-US" w:eastAsia="zh-CN" w:bidi="ar-SA"/>
        </w:rPr>
        <w:t>天馈线系统和控制部分维护要求</w:t>
      </w:r>
    </w:p>
    <w:p w14:paraId="4BDB61C8">
      <w:pPr>
        <w:widowControl w:val="0"/>
        <w:numPr>
          <w:ilvl w:val="0"/>
          <w:numId w:val="12"/>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保证监测测向天线各阵子完好，确保天线增益和馈线损耗在指标允许范围之内；</w:t>
      </w:r>
    </w:p>
    <w:p w14:paraId="0B86C0A1">
      <w:pPr>
        <w:widowControl w:val="0"/>
        <w:numPr>
          <w:ilvl w:val="0"/>
          <w:numId w:val="12"/>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检查天线和馈线固定情况，查看天线和天线适配器是否存在松动，必要时采取加固措施，防止意外发生；</w:t>
      </w:r>
    </w:p>
    <w:p w14:paraId="20EBF7CB">
      <w:pPr>
        <w:widowControl w:val="0"/>
        <w:numPr>
          <w:ilvl w:val="0"/>
          <w:numId w:val="12"/>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检查适配器螺丝是否存在氧化情况，检查天线、馈线接头是否存在裸露或氧化情况，保证馈线、控制线等无损坏和断裂现象、馈线外表无破损漏水、连接控制正常，及时做好防水处理，保证馈线室外接地可靠，接地处防水良好；</w:t>
      </w:r>
    </w:p>
    <w:p w14:paraId="238CDC79">
      <w:pPr>
        <w:widowControl w:val="0"/>
        <w:numPr>
          <w:ilvl w:val="0"/>
          <w:numId w:val="12"/>
        </w:numPr>
        <w:autoSpaceDE w:val="0"/>
        <w:spacing w:line="360" w:lineRule="auto"/>
        <w:ind w:left="900" w:hanging="42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维护天线矩阵插入损耗在允许范围之内，控制方式切换、天线切换正常，外壳接地引线连接可靠。</w:t>
      </w:r>
    </w:p>
    <w:p w14:paraId="33415B93">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(5)</w:t>
      </w:r>
      <w:r>
        <w:rPr>
          <w:rFonts w:ascii="宋体" w:hAnsi="宋体" w:eastAsia="宋体" w:cs="Times New Roman"/>
          <w:b/>
          <w:bCs/>
          <w:color w:val="auto"/>
          <w:kern w:val="2"/>
          <w:sz w:val="24"/>
          <w:szCs w:val="28"/>
          <w:lang w:val="en-US" w:eastAsia="zh-CN" w:bidi="ar-SA"/>
        </w:rPr>
        <w:t>监测业务应用平台维护要求</w:t>
      </w:r>
    </w:p>
    <w:p w14:paraId="05EABFC9">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对相关无线电监测系统业务应用平台，包括：监测分析数据库应用系统、无线电监测测向系统、指挥控制及演示系统等提供对业务应用平台进行系统安装、升级和配置并提供系统及数据的备份和恢复服务。</w:t>
      </w:r>
    </w:p>
    <w:p w14:paraId="63507A02">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(6)</w:t>
      </w:r>
      <w:r>
        <w:rPr>
          <w:rFonts w:ascii="宋体" w:hAnsi="宋体" w:eastAsia="宋体" w:cs="Times New Roman"/>
          <w:b/>
          <w:bCs/>
          <w:color w:val="auto"/>
          <w:kern w:val="2"/>
          <w:sz w:val="24"/>
          <w:szCs w:val="28"/>
          <w:lang w:val="en-US" w:eastAsia="zh-CN" w:bidi="ar-SA"/>
        </w:rPr>
        <w:t>监测业务数据平台维护要求</w:t>
      </w:r>
    </w:p>
    <w:p w14:paraId="0ED7A0F4">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对支撑监测业务应用平台的数据平台，包括：监测数据库、监测分析数据库提供对数据平台进行系统安装、数据定时备份和数据恢复服务，并结合实际情况提出数据容灾恢复方案。</w:t>
      </w:r>
    </w:p>
    <w:p w14:paraId="35ED326C">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(7)</w:t>
      </w:r>
      <w:r>
        <w:rPr>
          <w:rFonts w:ascii="宋体" w:hAnsi="宋体" w:eastAsia="宋体" w:cs="Times New Roman"/>
          <w:b/>
          <w:bCs/>
          <w:color w:val="auto"/>
          <w:kern w:val="2"/>
          <w:sz w:val="24"/>
          <w:szCs w:val="28"/>
          <w:lang w:val="en-US" w:eastAsia="zh-CN" w:bidi="ar-SA"/>
        </w:rPr>
        <w:t>远程控制系统维护要求</w:t>
      </w:r>
    </w:p>
    <w:p w14:paraId="52BE4D20">
      <w:pPr>
        <w:widowControl w:val="0"/>
        <w:numPr>
          <w:ilvl w:val="0"/>
          <w:numId w:val="0"/>
        </w:numPr>
        <w:autoSpaceDE w:val="0"/>
        <w:spacing w:line="360" w:lineRule="auto"/>
        <w:ind w:firstLine="480" w:firstLineChars="20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检查远程控制系统设备，进行工控机、服务器性能测试，确保其运行的稳定性。保证本地、远程控制设备正常，温度、湿度、空调状态检测、显示正确，及时准确响应手动操作；</w:t>
      </w:r>
    </w:p>
    <w:p w14:paraId="3BA4D8BB">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(8)</w:t>
      </w:r>
      <w:r>
        <w:rPr>
          <w:rFonts w:ascii="宋体" w:hAnsi="宋体" w:eastAsia="宋体" w:cs="Times New Roman"/>
          <w:b/>
          <w:bCs/>
          <w:color w:val="auto"/>
          <w:kern w:val="2"/>
          <w:sz w:val="24"/>
          <w:szCs w:val="28"/>
          <w:lang w:val="en-US" w:eastAsia="zh-CN" w:bidi="ar-SA"/>
        </w:rPr>
        <w:t>供电系统维护要求</w:t>
      </w:r>
    </w:p>
    <w:p w14:paraId="71432B1B">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保证供电系统运行正常，无异常声音，散热正常，能正常对电池进行充、放电，UPS状态切换正常，状态指示灯显示正确，参数设置正确，线路连接稳固、无腐蚀，逆变器电压检测、显示正确，电池电压一致性较好，无明显差别，充放电性能符合要求，按要求对电池充放电保养。</w:t>
      </w:r>
    </w:p>
    <w:p w14:paraId="3D1D65A7">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(9)</w:t>
      </w:r>
      <w:r>
        <w:rPr>
          <w:rFonts w:ascii="宋体" w:hAnsi="宋体" w:eastAsia="宋体" w:cs="Times New Roman"/>
          <w:b/>
          <w:bCs/>
          <w:color w:val="auto"/>
          <w:kern w:val="2"/>
          <w:sz w:val="24"/>
          <w:szCs w:val="28"/>
          <w:lang w:val="en-US" w:eastAsia="zh-CN" w:bidi="ar-SA"/>
        </w:rPr>
        <w:t>防雷接地系统维护要求</w:t>
      </w:r>
    </w:p>
    <w:p w14:paraId="041CF686">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检查防雷器性能，防雷器外壳未击穿短路，无跳火现象，防雷器接地引线连接可靠，保证防雷系统工作正常</w:t>
      </w:r>
      <w:r>
        <w:rPr>
          <w:rFonts w:hint="eastAsia" w:ascii="宋体" w:hAnsi="宋体" w:eastAsia="宋体" w:cs="宋体"/>
          <w:color w:val="auto"/>
          <w:kern w:val="0"/>
          <w:sz w:val="24"/>
          <w:szCs w:val="24"/>
          <w:lang w:eastAsia="zh-CN"/>
        </w:rPr>
        <w:t>，并定期开展防雷系统接地电阻测试</w:t>
      </w:r>
      <w:r>
        <w:rPr>
          <w:rFonts w:hint="eastAsia" w:ascii="宋体" w:hAnsi="宋体" w:eastAsia="宋体" w:cs="宋体"/>
          <w:color w:val="auto"/>
          <w:kern w:val="0"/>
          <w:sz w:val="24"/>
          <w:szCs w:val="24"/>
        </w:rPr>
        <w:t>，防止接地不良导致设备损坏。</w:t>
      </w:r>
    </w:p>
    <w:p w14:paraId="36E19C85">
      <w:pPr>
        <w:keepNext/>
        <w:keepLines/>
        <w:pageBreakBefore w:val="0"/>
        <w:widowControl w:val="0"/>
        <w:numPr>
          <w:ilvl w:val="0"/>
          <w:numId w:val="0"/>
        </w:numPr>
        <w:kinsoku/>
        <w:wordWrap/>
        <w:overflowPunct/>
        <w:topLinePunct w:val="0"/>
        <w:autoSpaceDE/>
        <w:autoSpaceDN/>
        <w:bidi w:val="0"/>
        <w:adjustRightInd/>
        <w:snapToGrid/>
        <w:spacing w:line="377" w:lineRule="auto"/>
        <w:ind w:left="420" w:leftChars="200" w:right="0" w:rightChars="0" w:firstLine="0" w:firstLine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(10)</w:t>
      </w:r>
      <w:r>
        <w:rPr>
          <w:rFonts w:ascii="宋体" w:hAnsi="宋体" w:eastAsia="宋体" w:cs="Times New Roman"/>
          <w:b/>
          <w:bCs/>
          <w:color w:val="auto"/>
          <w:kern w:val="2"/>
          <w:sz w:val="24"/>
          <w:szCs w:val="28"/>
          <w:lang w:val="en-US" w:eastAsia="zh-CN" w:bidi="ar-SA"/>
        </w:rPr>
        <w:t>机械系统维护要求</w:t>
      </w:r>
    </w:p>
    <w:p w14:paraId="0324BC7D">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检查机械系统</w:t>
      </w:r>
      <w:r>
        <w:rPr>
          <w:rFonts w:hint="eastAsia" w:ascii="宋体" w:hAnsi="宋体" w:eastAsia="宋体" w:cs="宋体"/>
          <w:color w:val="auto"/>
          <w:kern w:val="0"/>
          <w:sz w:val="24"/>
          <w:szCs w:val="24"/>
          <w:lang w:eastAsia="zh-CN"/>
        </w:rPr>
        <w:t>固定情况和</w:t>
      </w:r>
      <w:r>
        <w:rPr>
          <w:rFonts w:hint="eastAsia" w:ascii="宋体" w:hAnsi="宋体" w:eastAsia="宋体" w:cs="宋体"/>
          <w:color w:val="auto"/>
          <w:kern w:val="0"/>
          <w:sz w:val="24"/>
          <w:szCs w:val="24"/>
        </w:rPr>
        <w:t>避震性能，</w:t>
      </w:r>
      <w:r>
        <w:rPr>
          <w:rFonts w:hint="eastAsia" w:ascii="宋体" w:hAnsi="宋体" w:eastAsia="宋体" w:cs="宋体"/>
          <w:color w:val="auto"/>
          <w:kern w:val="0"/>
          <w:sz w:val="24"/>
          <w:szCs w:val="24"/>
          <w:lang w:eastAsia="zh-CN"/>
        </w:rPr>
        <w:t>避免出现松动脱落、移位等情况</w:t>
      </w:r>
      <w:r>
        <w:rPr>
          <w:rFonts w:hint="eastAsia" w:ascii="宋体" w:hAnsi="宋体" w:eastAsia="宋体" w:cs="宋体"/>
          <w:color w:val="auto"/>
          <w:kern w:val="0"/>
          <w:sz w:val="24"/>
          <w:szCs w:val="24"/>
        </w:rPr>
        <w:t>。</w:t>
      </w:r>
    </w:p>
    <w:p w14:paraId="071BE76A">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（10）</w:t>
      </w:r>
      <w:r>
        <w:rPr>
          <w:rFonts w:ascii="宋体" w:hAnsi="宋体" w:eastAsia="宋体" w:cs="Times New Roman"/>
          <w:b/>
          <w:bCs/>
          <w:color w:val="auto"/>
          <w:kern w:val="2"/>
          <w:sz w:val="24"/>
          <w:szCs w:val="28"/>
          <w:lang w:val="en-US" w:eastAsia="zh-CN" w:bidi="ar-SA"/>
        </w:rPr>
        <w:t>网络系统维护要求</w:t>
      </w:r>
    </w:p>
    <w:p w14:paraId="73452A22">
      <w:pPr>
        <w:widowControl w:val="0"/>
        <w:numPr>
          <w:ilvl w:val="0"/>
          <w:numId w:val="13"/>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定期检查网络设备工作状态，确保其正常运行；</w:t>
      </w:r>
    </w:p>
    <w:p w14:paraId="78FA2D39">
      <w:pPr>
        <w:widowControl w:val="0"/>
        <w:numPr>
          <w:ilvl w:val="0"/>
          <w:numId w:val="13"/>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对路由器进行网络联通性和安全测试，对所发现的安全漏洞进行处理，增强网络的安全性；</w:t>
      </w:r>
    </w:p>
    <w:p w14:paraId="3875404B">
      <w:pPr>
        <w:widowControl w:val="0"/>
        <w:numPr>
          <w:ilvl w:val="0"/>
          <w:numId w:val="13"/>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对路由器进行网络优化，对访问权限和路由进行控制；</w:t>
      </w:r>
    </w:p>
    <w:p w14:paraId="1D2B3D9E">
      <w:pPr>
        <w:widowControl w:val="0"/>
        <w:numPr>
          <w:ilvl w:val="0"/>
          <w:numId w:val="13"/>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定期对路由器配置信息和BIOS进行备份，防止发生灾难性故障，发生故障时能够及时有效的恢复；</w:t>
      </w:r>
    </w:p>
    <w:p w14:paraId="203F6598">
      <w:pPr>
        <w:widowControl w:val="0"/>
        <w:numPr>
          <w:ilvl w:val="0"/>
          <w:numId w:val="13"/>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对交换机进行硬件检查，及时发现并解决出现的硬件故障，确保其正常工作；</w:t>
      </w:r>
    </w:p>
    <w:p w14:paraId="278872A8">
      <w:pPr>
        <w:widowControl w:val="0"/>
        <w:numPr>
          <w:ilvl w:val="0"/>
          <w:numId w:val="13"/>
        </w:numPr>
        <w:autoSpaceDE w:val="0"/>
        <w:spacing w:line="360" w:lineRule="auto"/>
        <w:ind w:left="900" w:hanging="420" w:firstLineChars="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对交换机进行数据包交换测试，确保其各端口数据交换的</w:t>
      </w:r>
      <w:r>
        <w:rPr>
          <w:rFonts w:hint="eastAsia" w:ascii="宋体" w:hAnsi="宋体" w:cs="宋体"/>
          <w:color w:val="auto"/>
          <w:kern w:val="0"/>
          <w:sz w:val="24"/>
          <w:szCs w:val="24"/>
          <w:lang w:val="en-US" w:eastAsia="zh-CN" w:bidi="ar-SA"/>
        </w:rPr>
        <w:t>连通性</w:t>
      </w:r>
      <w:r>
        <w:rPr>
          <w:rFonts w:hint="eastAsia" w:ascii="宋体" w:hAnsi="宋体" w:eastAsia="宋体" w:cs="宋体"/>
          <w:color w:val="auto"/>
          <w:kern w:val="0"/>
          <w:sz w:val="24"/>
          <w:szCs w:val="24"/>
          <w:lang w:val="en-US" w:eastAsia="zh-CN" w:bidi="ar-SA"/>
        </w:rPr>
        <w:t>，根据用户实际需要对交换机进行网络优化。</w:t>
      </w:r>
    </w:p>
    <w:p w14:paraId="52BBF90F">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（11）工控机</w:t>
      </w:r>
      <w:r>
        <w:rPr>
          <w:rFonts w:ascii="宋体" w:hAnsi="宋体" w:eastAsia="宋体" w:cs="Times New Roman"/>
          <w:b/>
          <w:bCs/>
          <w:color w:val="auto"/>
          <w:kern w:val="2"/>
          <w:sz w:val="24"/>
          <w:szCs w:val="28"/>
          <w:lang w:val="en-US" w:eastAsia="zh-CN" w:bidi="ar-SA"/>
        </w:rPr>
        <w:t>系统维护要求</w:t>
      </w:r>
    </w:p>
    <w:p w14:paraId="3EDFC8CF">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检查服务器、客户端和工控机操作系统和各种为完成监测测向任务所使用的软件，根据实际情况对低版</w:t>
      </w:r>
      <w:r>
        <w:rPr>
          <w:rFonts w:hint="eastAsia" w:ascii="宋体" w:hAnsi="宋体" w:eastAsia="宋体" w:cs="宋体"/>
          <w:color w:val="auto"/>
          <w:kern w:val="0"/>
          <w:sz w:val="24"/>
          <w:szCs w:val="24"/>
          <w:lang w:eastAsia="zh-CN"/>
        </w:rPr>
        <w:t>本</w:t>
      </w:r>
      <w:r>
        <w:rPr>
          <w:rFonts w:hint="eastAsia" w:ascii="宋体" w:hAnsi="宋体" w:eastAsia="宋体" w:cs="宋体"/>
          <w:color w:val="auto"/>
          <w:kern w:val="0"/>
          <w:sz w:val="24"/>
          <w:szCs w:val="24"/>
        </w:rPr>
        <w:t>软件进行升级，确保系统的稳定性，对系统进行安全测试，对其存在的安全漏洞进行修补，卸载不使用的程序</w:t>
      </w:r>
      <w:r>
        <w:rPr>
          <w:rFonts w:hint="eastAsia" w:ascii="宋体" w:hAnsi="宋体" w:eastAsia="宋体" w:cs="宋体"/>
          <w:color w:val="auto"/>
          <w:kern w:val="0"/>
          <w:sz w:val="24"/>
          <w:szCs w:val="24"/>
          <w:lang w:eastAsia="zh-CN"/>
        </w:rPr>
        <w:t>。</w:t>
      </w:r>
    </w:p>
    <w:p w14:paraId="79F421D0">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（12）</w:t>
      </w:r>
      <w:r>
        <w:rPr>
          <w:rFonts w:ascii="宋体" w:hAnsi="宋体" w:eastAsia="宋体" w:cs="Times New Roman"/>
          <w:b/>
          <w:bCs/>
          <w:color w:val="auto"/>
          <w:kern w:val="2"/>
          <w:sz w:val="24"/>
          <w:szCs w:val="28"/>
          <w:lang w:val="en-US" w:eastAsia="zh-CN" w:bidi="ar-SA"/>
        </w:rPr>
        <w:t>软件系统维护要求</w:t>
      </w:r>
    </w:p>
    <w:p w14:paraId="0E0FDB63">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保证客户端和服务端的监测测向软件的各种功能工作正常，数据库工作正常，设备与设备配置文件一致，天馈线接入矩阵与配置文件一致，监测测向系统工作状态正常，数据库连接正常，地理信息系统加载正常，监测测向各功能使用正常，能正确反馈各波形图、声音、参数，各基础业务功能正常使用</w:t>
      </w:r>
      <w:r>
        <w:rPr>
          <w:rFonts w:hint="eastAsia" w:ascii="宋体" w:hAnsi="宋体" w:eastAsia="宋体" w:cs="宋体"/>
          <w:color w:val="auto"/>
          <w:kern w:val="0"/>
          <w:sz w:val="24"/>
          <w:szCs w:val="24"/>
          <w:lang w:eastAsia="zh-CN"/>
        </w:rPr>
        <w:t>；保证</w:t>
      </w:r>
      <w:r>
        <w:rPr>
          <w:rFonts w:hint="eastAsia" w:ascii="宋体" w:hAnsi="宋体" w:eastAsia="宋体" w:cs="宋体"/>
          <w:color w:val="auto"/>
          <w:kern w:val="0"/>
          <w:sz w:val="24"/>
          <w:szCs w:val="24"/>
        </w:rPr>
        <w:t>监测测向软件</w:t>
      </w:r>
      <w:r>
        <w:rPr>
          <w:rFonts w:hint="eastAsia" w:ascii="宋体" w:hAnsi="宋体" w:eastAsia="宋体" w:cs="宋体"/>
          <w:color w:val="auto"/>
          <w:kern w:val="0"/>
          <w:sz w:val="24"/>
          <w:szCs w:val="24"/>
          <w:lang w:eastAsia="zh-CN"/>
        </w:rPr>
        <w:t>为在用最新</w:t>
      </w:r>
      <w:r>
        <w:rPr>
          <w:rFonts w:hint="eastAsia" w:ascii="宋体" w:hAnsi="宋体" w:eastAsia="宋体" w:cs="宋体"/>
          <w:color w:val="auto"/>
          <w:kern w:val="0"/>
          <w:sz w:val="24"/>
          <w:szCs w:val="24"/>
        </w:rPr>
        <w:t>版</w:t>
      </w:r>
      <w:r>
        <w:rPr>
          <w:rFonts w:hint="eastAsia" w:ascii="宋体" w:hAnsi="宋体" w:eastAsia="宋体" w:cs="宋体"/>
          <w:color w:val="auto"/>
          <w:kern w:val="0"/>
          <w:sz w:val="24"/>
          <w:szCs w:val="24"/>
          <w:lang w:eastAsia="zh-CN"/>
        </w:rPr>
        <w:t>本</w:t>
      </w:r>
      <w:r>
        <w:rPr>
          <w:rFonts w:hint="eastAsia" w:ascii="宋体" w:hAnsi="宋体" w:eastAsia="宋体" w:cs="宋体"/>
          <w:color w:val="auto"/>
          <w:kern w:val="0"/>
          <w:sz w:val="24"/>
          <w:szCs w:val="24"/>
        </w:rPr>
        <w:t>。</w:t>
      </w:r>
    </w:p>
    <w:p w14:paraId="64FBDB61">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（13）</w:t>
      </w:r>
      <w:r>
        <w:rPr>
          <w:rFonts w:ascii="宋体" w:hAnsi="宋体" w:eastAsia="宋体" w:cs="Times New Roman"/>
          <w:b/>
          <w:bCs/>
          <w:color w:val="auto"/>
          <w:kern w:val="2"/>
          <w:sz w:val="24"/>
          <w:szCs w:val="28"/>
          <w:lang w:val="en-US" w:eastAsia="zh-CN" w:bidi="ar-SA"/>
        </w:rPr>
        <w:t>设备维修服务要求</w:t>
      </w:r>
    </w:p>
    <w:p w14:paraId="0C5D23C5">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负责所有</w:t>
      </w:r>
      <w:r>
        <w:rPr>
          <w:rFonts w:hint="eastAsia" w:ascii="宋体" w:hAnsi="宋体" w:eastAsia="宋体" w:cs="宋体"/>
          <w:color w:val="auto"/>
          <w:kern w:val="0"/>
          <w:sz w:val="24"/>
          <w:szCs w:val="24"/>
          <w:lang w:eastAsia="zh-CN"/>
        </w:rPr>
        <w:t>质保期外站点</w:t>
      </w:r>
      <w:r>
        <w:rPr>
          <w:rFonts w:hint="eastAsia" w:ascii="宋体" w:hAnsi="宋体" w:eastAsia="宋体" w:cs="宋体"/>
          <w:color w:val="auto"/>
          <w:kern w:val="0"/>
          <w:sz w:val="24"/>
          <w:szCs w:val="24"/>
        </w:rPr>
        <w:t>设备的维修维护，承担所有维修维护和配件费用，包括返厂维修</w:t>
      </w:r>
      <w:r>
        <w:rPr>
          <w:rFonts w:hint="eastAsia" w:ascii="宋体" w:hAnsi="宋体" w:eastAsia="宋体" w:cs="宋体"/>
          <w:color w:val="auto"/>
          <w:kern w:val="0"/>
          <w:sz w:val="24"/>
          <w:szCs w:val="24"/>
          <w:lang w:eastAsia="zh-CN"/>
        </w:rPr>
        <w:t>来回运输</w:t>
      </w:r>
      <w:r>
        <w:rPr>
          <w:rFonts w:hint="eastAsia" w:ascii="宋体" w:hAnsi="宋体" w:eastAsia="宋体" w:cs="宋体"/>
          <w:color w:val="auto"/>
          <w:kern w:val="0"/>
          <w:sz w:val="24"/>
          <w:szCs w:val="24"/>
        </w:rPr>
        <w:t>费用</w:t>
      </w:r>
      <w:r>
        <w:rPr>
          <w:rFonts w:hint="eastAsia" w:ascii="宋体" w:hAnsi="宋体" w:eastAsia="宋体" w:cs="宋体"/>
          <w:color w:val="auto"/>
          <w:kern w:val="0"/>
          <w:sz w:val="24"/>
          <w:szCs w:val="24"/>
          <w:lang w:eastAsia="zh-CN"/>
        </w:rPr>
        <w:t>；质保期内设备故障主动对接设备厂商及时处理。服务期间如遇质保期限到期的，按设备故障出现时间节点判断属质保期内或质保期外。</w:t>
      </w:r>
    </w:p>
    <w:p w14:paraId="50FAB172">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（14）</w:t>
      </w:r>
      <w:r>
        <w:rPr>
          <w:rFonts w:ascii="宋体" w:hAnsi="宋体" w:eastAsia="宋体" w:cs="Times New Roman"/>
          <w:b/>
          <w:bCs/>
          <w:color w:val="auto"/>
          <w:kern w:val="2"/>
          <w:sz w:val="24"/>
          <w:szCs w:val="28"/>
          <w:lang w:val="en-US" w:eastAsia="zh-CN" w:bidi="ar-SA"/>
        </w:rPr>
        <w:t>天线塔桅维护要求</w:t>
      </w:r>
    </w:p>
    <w:p w14:paraId="71316A32">
      <w:pPr>
        <w:autoSpaceDE w:val="0"/>
        <w:spacing w:line="360" w:lineRule="auto"/>
        <w:ind w:firstLine="600" w:firstLineChars="250"/>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每年至少</w:t>
      </w:r>
      <w:r>
        <w:rPr>
          <w:rFonts w:hint="eastAsia" w:ascii="宋体" w:hAnsi="宋体" w:eastAsia="宋体" w:cs="宋体"/>
          <w:color w:val="auto"/>
          <w:kern w:val="0"/>
          <w:sz w:val="24"/>
          <w:szCs w:val="24"/>
        </w:rPr>
        <w:t>对所辖站点的天线塔桅进行1次维护（修），对</w:t>
      </w:r>
      <w:r>
        <w:rPr>
          <w:rFonts w:hint="eastAsia" w:ascii="宋体" w:hAnsi="宋体" w:eastAsia="宋体" w:cs="宋体"/>
          <w:color w:val="auto"/>
          <w:kern w:val="0"/>
          <w:sz w:val="24"/>
          <w:szCs w:val="24"/>
          <w:lang w:eastAsia="zh-CN"/>
        </w:rPr>
        <w:t>易受侵蚀、锈蚀的部件</w:t>
      </w:r>
      <w:r>
        <w:rPr>
          <w:rFonts w:hint="eastAsia" w:ascii="宋体" w:hAnsi="宋体" w:eastAsia="宋体" w:cs="宋体"/>
          <w:color w:val="auto"/>
          <w:kern w:val="0"/>
          <w:sz w:val="24"/>
          <w:szCs w:val="24"/>
        </w:rPr>
        <w:t>根据实际情况及时进行维护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在每年雨季之前完成以下任务：</w:t>
      </w:r>
    </w:p>
    <w:p w14:paraId="074A54A7">
      <w:pPr>
        <w:autoSpaceDE w:val="0"/>
        <w:spacing w:line="360" w:lineRule="auto"/>
        <w:ind w:firstLine="600" w:firstLineChars="250"/>
        <w:jc w:val="left"/>
        <w:rPr>
          <w:rFonts w:ascii="宋体" w:hAnsi="宋体" w:eastAsia="宋体" w:cs="宋体"/>
          <w:color w:val="auto"/>
          <w:sz w:val="24"/>
          <w:szCs w:val="24"/>
        </w:rPr>
      </w:pPr>
      <w:r>
        <w:rPr>
          <w:rFonts w:hint="eastAsia" w:ascii="宋体" w:hAnsi="宋体" w:eastAsia="宋体" w:cs="宋体"/>
          <w:color w:val="auto"/>
          <w:kern w:val="0"/>
          <w:sz w:val="24"/>
          <w:szCs w:val="24"/>
        </w:rPr>
        <w:t>对所辖监测站点的天线塔桅的维护保养，</w:t>
      </w:r>
      <w:r>
        <w:rPr>
          <w:rFonts w:hint="eastAsia" w:ascii="宋体" w:hAnsi="宋体" w:eastAsia="宋体" w:cs="Arial"/>
          <w:bCs/>
          <w:color w:val="auto"/>
          <w:sz w:val="24"/>
          <w:szCs w:val="24"/>
        </w:rPr>
        <w:t>对无法处理的故障，提出切实可行的整改建议；</w:t>
      </w:r>
      <w:r>
        <w:rPr>
          <w:rFonts w:hint="eastAsia" w:ascii="宋体" w:hAnsi="宋体" w:eastAsia="宋体" w:cs="宋体"/>
          <w:color w:val="auto"/>
          <w:kern w:val="0"/>
          <w:sz w:val="24"/>
          <w:szCs w:val="24"/>
        </w:rPr>
        <w:t>对所维护的监测站点进行防雷检查，确保联接牢靠。</w:t>
      </w:r>
    </w:p>
    <w:p w14:paraId="1B6D3C54">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bookmarkStart w:id="220" w:name="_Toc234640944"/>
      <w:bookmarkStart w:id="221" w:name="_Toc236477689"/>
      <w:bookmarkStart w:id="222" w:name="_Toc22132643"/>
      <w:r>
        <w:rPr>
          <w:rFonts w:hint="eastAsia" w:ascii="宋体" w:hAnsi="宋体" w:eastAsia="宋体" w:cs="Times New Roman"/>
          <w:b/>
          <w:bCs/>
          <w:color w:val="auto"/>
          <w:kern w:val="2"/>
          <w:sz w:val="24"/>
          <w:szCs w:val="28"/>
          <w:lang w:val="en-US" w:eastAsia="zh-CN" w:bidi="ar-SA"/>
        </w:rPr>
        <w:t>（15）重大监测任务保障</w:t>
      </w:r>
      <w:bookmarkEnd w:id="220"/>
      <w:bookmarkEnd w:id="221"/>
      <w:r>
        <w:rPr>
          <w:rFonts w:hint="eastAsia" w:ascii="宋体" w:hAnsi="宋体" w:eastAsia="宋体" w:cs="Times New Roman"/>
          <w:b/>
          <w:bCs/>
          <w:color w:val="auto"/>
          <w:kern w:val="2"/>
          <w:sz w:val="24"/>
          <w:szCs w:val="28"/>
          <w:lang w:val="en-US" w:eastAsia="zh-CN" w:bidi="ar-SA"/>
        </w:rPr>
        <w:t>服务要求</w:t>
      </w:r>
      <w:bookmarkEnd w:id="222"/>
    </w:p>
    <w:p w14:paraId="561170E0">
      <w:pPr>
        <w:tabs>
          <w:tab w:val="left" w:pos="1400"/>
        </w:tabs>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针对重大监测任务提出的保障要求，例如大型考试保障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重大监测任务和特殊监测任务免费提供全程的技术</w:t>
      </w:r>
      <w:r>
        <w:rPr>
          <w:rFonts w:hint="eastAsia" w:ascii="宋体" w:hAnsi="宋体" w:eastAsia="宋体" w:cs="宋体"/>
          <w:color w:val="auto"/>
          <w:kern w:val="0"/>
          <w:sz w:val="24"/>
          <w:szCs w:val="24"/>
          <w:lang w:eastAsia="zh-CN"/>
        </w:rPr>
        <w:t>、人力</w:t>
      </w:r>
      <w:r>
        <w:rPr>
          <w:rFonts w:hint="eastAsia" w:ascii="宋体" w:hAnsi="宋体" w:eastAsia="宋体" w:cs="宋体"/>
          <w:color w:val="auto"/>
          <w:kern w:val="0"/>
          <w:sz w:val="24"/>
          <w:szCs w:val="24"/>
        </w:rPr>
        <w:t>保障。</w:t>
      </w:r>
    </w:p>
    <w:p w14:paraId="118AC43F">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（16）</w:t>
      </w:r>
      <w:r>
        <w:rPr>
          <w:rFonts w:ascii="宋体" w:hAnsi="宋体" w:eastAsia="宋体" w:cs="Times New Roman"/>
          <w:b/>
          <w:bCs/>
          <w:color w:val="auto"/>
          <w:kern w:val="2"/>
          <w:sz w:val="24"/>
          <w:szCs w:val="28"/>
          <w:lang w:val="en-US" w:eastAsia="zh-CN" w:bidi="ar-SA"/>
        </w:rPr>
        <w:t>技术咨询要求</w:t>
      </w:r>
    </w:p>
    <w:p w14:paraId="1291B66C">
      <w:pPr>
        <w:keepNext w:val="0"/>
        <w:keepLines w:val="0"/>
        <w:pageBreakBefore w:val="0"/>
        <w:widowControl w:val="0"/>
        <w:numPr>
          <w:ilvl w:val="0"/>
          <w:numId w:val="14"/>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提供服务电话：细分响应时间，区分故障等级，提供解决方案，承诺解决时间，建立故障跟踪、反馈分析制度。通过热线电话及时对无线电监测网的运行提供技术咨询服务；</w:t>
      </w:r>
    </w:p>
    <w:p w14:paraId="593C1BF7">
      <w:pPr>
        <w:keepNext w:val="0"/>
        <w:keepLines w:val="0"/>
        <w:pageBreakBefore w:val="0"/>
        <w:widowControl w:val="0"/>
        <w:numPr>
          <w:ilvl w:val="0"/>
          <w:numId w:val="14"/>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意见反馈：维护合同期内，以电话、面对面交谈等方式，就进一步提升维护工作的质量和效率，以及系统功能的升级完善，向业主方征求意见。</w:t>
      </w:r>
    </w:p>
    <w:p w14:paraId="3A3061A8">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（17）</w:t>
      </w:r>
      <w:r>
        <w:rPr>
          <w:rFonts w:ascii="宋体" w:hAnsi="宋体" w:eastAsia="宋体" w:cs="Times New Roman"/>
          <w:b/>
          <w:bCs/>
          <w:color w:val="auto"/>
          <w:kern w:val="2"/>
          <w:sz w:val="24"/>
          <w:szCs w:val="28"/>
          <w:lang w:val="en-US" w:eastAsia="zh-CN" w:bidi="ar-SA"/>
        </w:rPr>
        <w:t>技术培训要求</w:t>
      </w:r>
    </w:p>
    <w:p w14:paraId="39BE6590">
      <w:pPr>
        <w:autoSpaceDE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rPr>
        <w:t>集中技术培训1次，提供相应的培训资料，并可根据实际需求，采取多种形式和手段进行技术培训。</w:t>
      </w:r>
    </w:p>
    <w:p w14:paraId="146FD827">
      <w:pPr>
        <w:keepNext w:val="0"/>
        <w:keepLines w:val="0"/>
        <w:pageBreakBefore w:val="0"/>
        <w:widowControl w:val="0"/>
        <w:numPr>
          <w:ilvl w:val="0"/>
          <w:numId w:val="15"/>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培训内容包括硬件故障、软件故障、网络故障、电源故障等预判分析；各软件功能使用培训；无线电新技术技能运用培训及无线电监测技术演练实操培训等；</w:t>
      </w:r>
    </w:p>
    <w:p w14:paraId="011790E2">
      <w:pPr>
        <w:keepNext w:val="0"/>
        <w:keepLines w:val="0"/>
        <w:pageBreakBefore w:val="0"/>
        <w:widowControl w:val="0"/>
        <w:numPr>
          <w:ilvl w:val="0"/>
          <w:numId w:val="15"/>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培训资料包括各类型监测站及相关软件的使用、维护说明及案例，并配以线路连接图、安装示意图等相应的图片资料，保证业主方技术人员能在培训资料的指导下，有效地开展维护工作；</w:t>
      </w:r>
    </w:p>
    <w:p w14:paraId="0CC2F044">
      <w:pPr>
        <w:keepNext w:val="0"/>
        <w:keepLines w:val="0"/>
        <w:pageBreakBefore w:val="0"/>
        <w:widowControl w:val="0"/>
        <w:numPr>
          <w:ilvl w:val="0"/>
          <w:numId w:val="15"/>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巡检期间，对当地技术人员进行相应的现场技术指导。</w:t>
      </w:r>
    </w:p>
    <w:p w14:paraId="14F9D27A">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bookmarkStart w:id="223" w:name="_Toc22132646"/>
      <w:r>
        <w:rPr>
          <w:rFonts w:hint="eastAsia" w:ascii="宋体" w:hAnsi="宋体" w:eastAsia="宋体" w:cs="Times New Roman"/>
          <w:b/>
          <w:bCs/>
          <w:color w:val="auto"/>
          <w:kern w:val="2"/>
          <w:sz w:val="24"/>
          <w:szCs w:val="28"/>
          <w:lang w:val="en-US" w:eastAsia="zh-CN" w:bidi="ar-SA"/>
        </w:rPr>
        <w:t>（18）</w:t>
      </w:r>
      <w:r>
        <w:rPr>
          <w:rFonts w:ascii="宋体" w:hAnsi="宋体" w:eastAsia="宋体" w:cs="Times New Roman"/>
          <w:b/>
          <w:bCs/>
          <w:color w:val="auto"/>
          <w:kern w:val="2"/>
          <w:sz w:val="24"/>
          <w:szCs w:val="28"/>
          <w:lang w:val="en-US" w:eastAsia="zh-CN" w:bidi="ar-SA"/>
        </w:rPr>
        <w:t>物流保障要求</w:t>
      </w:r>
      <w:bookmarkEnd w:id="223"/>
    </w:p>
    <w:p w14:paraId="6A010B9E">
      <w:pPr>
        <w:keepNext w:val="0"/>
        <w:keepLines w:val="0"/>
        <w:pageBreakBefore w:val="0"/>
        <w:widowControl w:val="0"/>
        <w:numPr>
          <w:ilvl w:val="0"/>
          <w:numId w:val="16"/>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0"/>
          <w:sz w:val="24"/>
          <w:szCs w:val="24"/>
          <w:lang w:val="en-US" w:eastAsia="zh-CN" w:bidi="ar-SA"/>
        </w:rPr>
      </w:pPr>
      <w:bookmarkStart w:id="224" w:name="_Toc241917365"/>
      <w:bookmarkStart w:id="225" w:name="_Toc236477699"/>
      <w:r>
        <w:rPr>
          <w:rFonts w:hint="eastAsia" w:ascii="宋体" w:hAnsi="宋体" w:eastAsia="宋体" w:cs="宋体"/>
          <w:color w:val="auto"/>
          <w:kern w:val="0"/>
          <w:sz w:val="24"/>
          <w:szCs w:val="24"/>
          <w:lang w:val="en-US" w:eastAsia="zh-CN" w:bidi="ar-SA"/>
        </w:rPr>
        <w:t>运维期内，要求指定相对固定的物流公司对故障设备、备品备件进行递送，并做好书面交接记录；</w:t>
      </w:r>
    </w:p>
    <w:bookmarkEnd w:id="224"/>
    <w:bookmarkEnd w:id="225"/>
    <w:p w14:paraId="4068B19A">
      <w:pPr>
        <w:keepNext w:val="0"/>
        <w:keepLines w:val="0"/>
        <w:pageBreakBefore w:val="0"/>
        <w:widowControl w:val="0"/>
        <w:numPr>
          <w:ilvl w:val="0"/>
          <w:numId w:val="16"/>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保障所维护设备及铝合金的货物包装箱在物流过程中的快捷和安全，运输过程中发生的损失由代维方负责；</w:t>
      </w:r>
    </w:p>
    <w:p w14:paraId="6BC3B8BD">
      <w:pPr>
        <w:keepNext w:val="0"/>
        <w:keepLines w:val="0"/>
        <w:pageBreakBefore w:val="0"/>
        <w:widowControl w:val="0"/>
        <w:numPr>
          <w:ilvl w:val="0"/>
          <w:numId w:val="16"/>
        </w:numPr>
        <w:kinsoku/>
        <w:wordWrap/>
        <w:overflowPunct/>
        <w:topLinePunct w:val="0"/>
        <w:autoSpaceDE w:val="0"/>
        <w:autoSpaceDN/>
        <w:bidi w:val="0"/>
        <w:adjustRightInd/>
        <w:snapToGrid/>
        <w:spacing w:line="360" w:lineRule="auto"/>
        <w:ind w:left="482" w:firstLine="420" w:firstLineChars="0"/>
        <w:jc w:val="left"/>
        <w:textAlignment w:val="auto"/>
        <w:rPr>
          <w:rFonts w:ascii="宋体" w:hAnsi="宋体" w:eastAsia="宋体" w:cs="宋体"/>
          <w:color w:val="auto"/>
          <w:kern w:val="0"/>
          <w:sz w:val="24"/>
          <w:szCs w:val="24"/>
          <w:lang w:val="en-US" w:eastAsia="zh-CN" w:bidi="ar-SA"/>
        </w:rPr>
      </w:pPr>
      <w:bookmarkStart w:id="226" w:name="_Toc241917367"/>
      <w:r>
        <w:rPr>
          <w:rFonts w:hint="eastAsia" w:ascii="宋体" w:hAnsi="宋体" w:eastAsia="宋体" w:cs="宋体"/>
          <w:color w:val="auto"/>
          <w:kern w:val="0"/>
          <w:sz w:val="24"/>
          <w:szCs w:val="24"/>
          <w:lang w:val="en-US" w:eastAsia="zh-CN" w:bidi="ar-SA"/>
        </w:rPr>
        <w:t>维护期内的监测设备、配件（包括所有监测站点及设备）以及借用支持专项监测工作使用的仪器仪表物流费用（含保价费），由代维方承担。</w:t>
      </w:r>
      <w:bookmarkEnd w:id="226"/>
    </w:p>
    <w:p w14:paraId="34AA5E9C">
      <w:pPr>
        <w:keepNext/>
        <w:keepLines/>
        <w:pageBreakBefore w:val="0"/>
        <w:widowControl w:val="0"/>
        <w:numPr>
          <w:ilvl w:val="0"/>
          <w:numId w:val="0"/>
        </w:numPr>
        <w:kinsoku/>
        <w:wordWrap/>
        <w:overflowPunct/>
        <w:topLinePunct w:val="0"/>
        <w:autoSpaceDE/>
        <w:autoSpaceDN/>
        <w:bidi w:val="0"/>
        <w:adjustRightInd/>
        <w:snapToGrid/>
        <w:spacing w:line="377" w:lineRule="auto"/>
        <w:ind w:leftChars="200" w:right="0" w:rightChars="0"/>
        <w:jc w:val="both"/>
        <w:textAlignment w:val="auto"/>
        <w:outlineLvl w:val="3"/>
        <w:rPr>
          <w:rFonts w:ascii="宋体" w:hAnsi="宋体" w:eastAsia="宋体" w:cs="Times New Roman"/>
          <w:b/>
          <w:bCs/>
          <w:color w:val="auto"/>
          <w:kern w:val="2"/>
          <w:sz w:val="24"/>
          <w:szCs w:val="28"/>
          <w:lang w:val="en-US" w:eastAsia="zh-CN" w:bidi="ar-SA"/>
        </w:rPr>
      </w:pPr>
      <w:r>
        <w:rPr>
          <w:rFonts w:hint="eastAsia" w:ascii="宋体" w:hAnsi="宋体" w:eastAsia="宋体" w:cs="Times New Roman"/>
          <w:b/>
          <w:bCs/>
          <w:color w:val="auto"/>
          <w:kern w:val="2"/>
          <w:sz w:val="24"/>
          <w:szCs w:val="28"/>
          <w:lang w:val="en-US" w:eastAsia="zh-CN" w:bidi="ar-SA"/>
        </w:rPr>
        <w:t>（19）</w:t>
      </w:r>
      <w:r>
        <w:rPr>
          <w:rFonts w:ascii="宋体" w:hAnsi="宋体" w:eastAsia="宋体" w:cs="Times New Roman"/>
          <w:b/>
          <w:bCs/>
          <w:color w:val="auto"/>
          <w:kern w:val="2"/>
          <w:sz w:val="24"/>
          <w:szCs w:val="28"/>
          <w:lang w:val="en-US" w:eastAsia="zh-CN" w:bidi="ar-SA"/>
        </w:rPr>
        <w:t>其他维护</w:t>
      </w:r>
      <w:r>
        <w:rPr>
          <w:rFonts w:hint="eastAsia" w:ascii="宋体" w:hAnsi="宋体" w:eastAsia="宋体" w:cs="Times New Roman"/>
          <w:b/>
          <w:bCs/>
          <w:color w:val="auto"/>
          <w:kern w:val="2"/>
          <w:sz w:val="24"/>
          <w:szCs w:val="28"/>
          <w:lang w:val="en-US" w:eastAsia="zh-CN" w:bidi="ar-SA"/>
        </w:rPr>
        <w:t>工</w:t>
      </w:r>
      <w:r>
        <w:rPr>
          <w:rFonts w:ascii="宋体" w:hAnsi="宋体" w:eastAsia="宋体" w:cs="Times New Roman"/>
          <w:b/>
          <w:bCs/>
          <w:color w:val="auto"/>
          <w:kern w:val="2"/>
          <w:sz w:val="24"/>
          <w:szCs w:val="28"/>
          <w:lang w:val="en-US" w:eastAsia="zh-CN" w:bidi="ar-SA"/>
        </w:rPr>
        <w:t>作</w:t>
      </w:r>
    </w:p>
    <w:p w14:paraId="4BE00309">
      <w:pPr>
        <w:keepNext w:val="0"/>
        <w:keepLines w:val="0"/>
        <w:pageBreakBefore w:val="0"/>
        <w:widowControl w:val="0"/>
        <w:numPr>
          <w:ilvl w:val="0"/>
          <w:numId w:val="17"/>
        </w:numPr>
        <w:kinsoku/>
        <w:wordWrap/>
        <w:overflowPunct/>
        <w:topLinePunct w:val="0"/>
        <w:autoSpaceDE w:val="0"/>
        <w:autoSpaceDN/>
        <w:bidi w:val="0"/>
        <w:adjustRightInd/>
        <w:snapToGrid/>
        <w:spacing w:before="0" w:beforeAutospacing="0" w:after="0" w:afterAutospacing="0" w:line="360" w:lineRule="auto"/>
        <w:ind w:left="482" w:firstLine="42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定期更换低值易耗品，运维期间对各站点空开、插座、照明、CMOS电池、CPU风扇、逆变器、卫生洁具、门锁等低值易耗品等进行免费定期更换；</w:t>
      </w:r>
    </w:p>
    <w:p w14:paraId="5B0DD6AA">
      <w:pPr>
        <w:keepNext w:val="0"/>
        <w:keepLines w:val="0"/>
        <w:pageBreakBefore w:val="0"/>
        <w:widowControl w:val="0"/>
        <w:numPr>
          <w:ilvl w:val="0"/>
          <w:numId w:val="17"/>
        </w:numPr>
        <w:kinsoku/>
        <w:wordWrap/>
        <w:overflowPunct/>
        <w:topLinePunct w:val="0"/>
        <w:autoSpaceDE w:val="0"/>
        <w:autoSpaceDN/>
        <w:bidi w:val="0"/>
        <w:adjustRightInd/>
        <w:snapToGrid/>
        <w:spacing w:before="0" w:beforeAutospacing="0" w:after="0" w:afterAutospacing="0" w:line="360" w:lineRule="auto"/>
        <w:ind w:left="482" w:firstLine="42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控制中心及各监测站病毒防护服务，根据杀毒工具软件升级周期,对维护范围内的所有计算机进行病毒库升级，提高计算机设备的防护能力，对突发病毒引起的故障，第一时间的修复，及时向业主方提供防病毒方案。</w:t>
      </w:r>
    </w:p>
    <w:p w14:paraId="07BA84DB">
      <w:pPr>
        <w:keepNext/>
        <w:keepLines/>
        <w:pageBreakBefore w:val="0"/>
        <w:widowControl w:val="0"/>
        <w:numPr>
          <w:ilvl w:val="0"/>
          <w:numId w:val="10"/>
        </w:numPr>
        <w:kinsoku/>
        <w:wordWrap/>
        <w:overflowPunct/>
        <w:topLinePunct w:val="0"/>
        <w:autoSpaceDE/>
        <w:autoSpaceDN/>
        <w:bidi w:val="0"/>
        <w:adjustRightInd/>
        <w:snapToGrid w:val="0"/>
        <w:spacing w:line="312" w:lineRule="auto"/>
        <w:ind w:left="420" w:leftChars="200" w:right="0" w:rightChars="0" w:firstLine="0" w:firstLineChars="0"/>
        <w:jc w:val="left"/>
        <w:textAlignment w:val="auto"/>
        <w:outlineLvl w:val="2"/>
        <w:rPr>
          <w:rFonts w:hint="eastAsia" w:ascii="黑体" w:hAnsi="宋体" w:eastAsia="宋体" w:cs="Times New Roman"/>
          <w:b/>
          <w:snapToGrid w:val="0"/>
          <w:color w:val="auto"/>
          <w:kern w:val="0"/>
          <w:sz w:val="24"/>
          <w:szCs w:val="20"/>
          <w:lang w:val="en-US" w:eastAsia="zh-CN" w:bidi="ar-SA"/>
        </w:rPr>
      </w:pPr>
      <w:bookmarkStart w:id="227" w:name="_Toc26235"/>
      <w:r>
        <w:rPr>
          <w:rFonts w:hint="eastAsia" w:ascii="黑体" w:hAnsi="宋体" w:eastAsia="宋体" w:cs="Times New Roman"/>
          <w:b/>
          <w:snapToGrid w:val="0"/>
          <w:color w:val="auto"/>
          <w:kern w:val="0"/>
          <w:sz w:val="24"/>
          <w:szCs w:val="20"/>
          <w:lang w:val="en-US" w:eastAsia="zh-CN" w:bidi="ar-SA"/>
        </w:rPr>
        <w:t>质量要求及采购标的验收标准</w:t>
      </w:r>
      <w:bookmarkEnd w:id="227"/>
    </w:p>
    <w:p w14:paraId="13C75F9D">
      <w:pPr>
        <w:keepNext w:val="0"/>
        <w:keepLines w:val="0"/>
        <w:pageBreakBefore w:val="0"/>
        <w:widowControl w:val="0"/>
        <w:numPr>
          <w:ilvl w:val="0"/>
          <w:numId w:val="18"/>
        </w:numPr>
        <w:kinsoku/>
        <w:wordWrap/>
        <w:overflowPunct/>
        <w:topLinePunct w:val="0"/>
        <w:autoSpaceDE w:val="0"/>
        <w:autoSpaceDN/>
        <w:bidi w:val="0"/>
        <w:adjustRightInd/>
        <w:spacing w:before="0" w:beforeAutospacing="0" w:after="0" w:afterAutospacing="0" w:line="360" w:lineRule="auto"/>
        <w:ind w:left="482"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符合国家现行无线电监测网的相关规范及行业标准，</w:t>
      </w:r>
      <w:r>
        <w:rPr>
          <w:rFonts w:hint="eastAsia" w:ascii="宋体" w:hAnsi="宋体" w:eastAsia="宋体" w:cs="宋体"/>
          <w:b/>
          <w:bCs/>
          <w:color w:val="auto"/>
          <w:kern w:val="0"/>
          <w:sz w:val="24"/>
          <w:szCs w:val="24"/>
          <w:lang w:val="en-US" w:eastAsia="zh-CN" w:bidi="ar-SA"/>
        </w:rPr>
        <w:t>确保运行维护范围内</w:t>
      </w:r>
      <w:r>
        <w:rPr>
          <w:rFonts w:hint="eastAsia" w:ascii="宋体" w:hAnsi="宋体" w:eastAsia="宋体" w:cs="宋体"/>
          <w:b/>
          <w:bCs/>
          <w:color w:val="auto"/>
          <w:kern w:val="0"/>
          <w:sz w:val="24"/>
          <w:szCs w:val="24"/>
          <w:highlight w:val="none"/>
          <w:lang w:val="en-US" w:eastAsia="zh-CN" w:bidi="ar-SA"/>
        </w:rPr>
        <w:t>24个固定监测站、2个移动监测站和5套移动传感器设备</w:t>
      </w:r>
      <w:r>
        <w:rPr>
          <w:rFonts w:hint="eastAsia" w:ascii="宋体" w:hAnsi="宋体" w:eastAsia="宋体" w:cs="宋体"/>
          <w:b/>
          <w:bCs/>
          <w:color w:val="auto"/>
          <w:kern w:val="0"/>
          <w:sz w:val="24"/>
          <w:szCs w:val="24"/>
          <w:lang w:val="en-US" w:eastAsia="zh-CN" w:bidi="ar-SA"/>
        </w:rPr>
        <w:t>7×24小时无间断正常运行，保证监测网监测系统设备完好率不少于95％；</w:t>
      </w:r>
    </w:p>
    <w:p w14:paraId="3E931F48">
      <w:pPr>
        <w:keepNext w:val="0"/>
        <w:keepLines w:val="0"/>
        <w:pageBreakBefore w:val="0"/>
        <w:widowControl w:val="0"/>
        <w:numPr>
          <w:ilvl w:val="0"/>
          <w:numId w:val="18"/>
        </w:numPr>
        <w:kinsoku/>
        <w:wordWrap/>
        <w:overflowPunct/>
        <w:topLinePunct w:val="0"/>
        <w:autoSpaceDE w:val="0"/>
        <w:autoSpaceDN/>
        <w:bidi w:val="0"/>
        <w:adjustRightInd/>
        <w:spacing w:before="0" w:beforeAutospacing="0" w:after="0" w:afterAutospacing="0" w:line="360" w:lineRule="auto"/>
        <w:ind w:left="482" w:firstLine="42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按照要求完成两次24个固定监测站点、2个移动监测站点监测设备、5套移动传感器设备巡检和测向设备的校准测试工作；</w:t>
      </w:r>
    </w:p>
    <w:p w14:paraId="1F8D9A7F">
      <w:pPr>
        <w:keepNext w:val="0"/>
        <w:keepLines w:val="0"/>
        <w:pageBreakBefore w:val="0"/>
        <w:widowControl/>
        <w:numPr>
          <w:ilvl w:val="0"/>
          <w:numId w:val="18"/>
        </w:numPr>
        <w:kinsoku/>
        <w:wordWrap/>
        <w:overflowPunct/>
        <w:topLinePunct w:val="0"/>
        <w:autoSpaceDN/>
        <w:bidi w:val="0"/>
        <w:adjustRightInd/>
        <w:snapToGrid w:val="0"/>
        <w:spacing w:line="360" w:lineRule="auto"/>
        <w:ind w:left="482" w:firstLine="42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确保中心机房及各站点网络系统安全、设备整齐、网络畅通，建成包括交换机、路由器、安全网关、在线式UPS的备品备件库；</w:t>
      </w:r>
    </w:p>
    <w:p w14:paraId="052FBA5D">
      <w:pPr>
        <w:keepNext w:val="0"/>
        <w:keepLines w:val="0"/>
        <w:pageBreakBefore w:val="0"/>
        <w:widowControl/>
        <w:numPr>
          <w:ilvl w:val="0"/>
          <w:numId w:val="18"/>
        </w:numPr>
        <w:kinsoku/>
        <w:wordWrap/>
        <w:overflowPunct/>
        <w:topLinePunct w:val="0"/>
        <w:autoSpaceDN/>
        <w:bidi w:val="0"/>
        <w:adjustRightInd/>
        <w:snapToGrid w:val="0"/>
        <w:spacing w:before="0" w:beforeAutospacing="0" w:after="0" w:afterAutospacing="0" w:line="360" w:lineRule="auto"/>
        <w:ind w:left="482" w:firstLine="42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确保6个在用站点监测数据接入城市无线电移动智能众包监测系统，并实现站点数据分析调用；</w:t>
      </w:r>
    </w:p>
    <w:p w14:paraId="29EC6CBB">
      <w:pPr>
        <w:keepNext w:val="0"/>
        <w:keepLines w:val="0"/>
        <w:pageBreakBefore w:val="0"/>
        <w:widowControl/>
        <w:numPr>
          <w:ilvl w:val="0"/>
          <w:numId w:val="18"/>
        </w:numPr>
        <w:kinsoku/>
        <w:wordWrap/>
        <w:overflowPunct/>
        <w:topLinePunct w:val="0"/>
        <w:autoSpaceDN/>
        <w:bidi w:val="0"/>
        <w:adjustRightInd/>
        <w:snapToGrid w:val="0"/>
        <w:spacing w:before="0" w:beforeAutospacing="0" w:after="0" w:afterAutospacing="0" w:line="360" w:lineRule="auto"/>
        <w:ind w:left="482" w:firstLine="42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完成监测业务楼电梯日常维护保养、易耗品更换；</w:t>
      </w:r>
    </w:p>
    <w:p w14:paraId="6BDBB559">
      <w:pPr>
        <w:keepNext w:val="0"/>
        <w:keepLines w:val="0"/>
        <w:pageBreakBefore w:val="0"/>
        <w:widowControl/>
        <w:numPr>
          <w:ilvl w:val="0"/>
          <w:numId w:val="18"/>
        </w:numPr>
        <w:kinsoku/>
        <w:wordWrap/>
        <w:overflowPunct/>
        <w:topLinePunct w:val="0"/>
        <w:autoSpaceDN/>
        <w:bidi w:val="0"/>
        <w:adjustRightInd/>
        <w:snapToGrid w:val="0"/>
        <w:spacing w:before="0" w:beforeAutospacing="0" w:after="0" w:afterAutospacing="0" w:line="360" w:lineRule="auto"/>
        <w:ind w:left="482" w:firstLine="42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完成</w:t>
      </w:r>
      <w:r>
        <w:rPr>
          <w:rFonts w:hint="eastAsia" w:ascii="宋体" w:hAnsi="宋体" w:eastAsia="宋体" w:cs="宋体"/>
          <w:color w:val="auto"/>
          <w:kern w:val="0"/>
          <w:sz w:val="24"/>
          <w:szCs w:val="24"/>
          <w:highlight w:val="none"/>
          <w:lang w:val="en-US" w:eastAsia="zh-CN" w:bidi="ar-SA"/>
        </w:rPr>
        <w:t>各应用软件平台地图更新，使其分辨率达到19级卫星影像地图；</w:t>
      </w:r>
    </w:p>
    <w:p w14:paraId="42A4A9A2">
      <w:pPr>
        <w:keepNext w:val="0"/>
        <w:keepLines w:val="0"/>
        <w:pageBreakBefore w:val="0"/>
        <w:widowControl/>
        <w:numPr>
          <w:ilvl w:val="0"/>
          <w:numId w:val="18"/>
        </w:numPr>
        <w:kinsoku/>
        <w:wordWrap/>
        <w:overflowPunct/>
        <w:topLinePunct w:val="0"/>
        <w:autoSpaceDN/>
        <w:bidi w:val="0"/>
        <w:adjustRightInd/>
        <w:snapToGrid w:val="0"/>
        <w:spacing w:before="0" w:beforeAutospacing="0" w:after="0" w:afterAutospacing="0" w:line="360" w:lineRule="auto"/>
        <w:ind w:left="482" w:firstLine="42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完成6个站点测向功能接到同一个应用软件平台，并可实现联合测向功能；</w:t>
      </w:r>
    </w:p>
    <w:p w14:paraId="2AC9D746">
      <w:pPr>
        <w:keepNext w:val="0"/>
        <w:keepLines w:val="0"/>
        <w:pageBreakBefore w:val="0"/>
        <w:widowControl/>
        <w:numPr>
          <w:ilvl w:val="0"/>
          <w:numId w:val="18"/>
        </w:numPr>
        <w:kinsoku/>
        <w:wordWrap/>
        <w:overflowPunct/>
        <w:topLinePunct w:val="0"/>
        <w:autoSpaceDN/>
        <w:bidi w:val="0"/>
        <w:adjustRightInd/>
        <w:snapToGrid w:val="0"/>
        <w:spacing w:before="0" w:beforeAutospacing="0" w:after="0" w:afterAutospacing="0" w:line="360" w:lineRule="auto"/>
        <w:ind w:left="482" w:firstLine="42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能够快速响应，确保站点出现故障时，能够第一时间远程处理或赶到故障站点；</w:t>
      </w:r>
    </w:p>
    <w:p w14:paraId="4A71831F">
      <w:pPr>
        <w:keepNext w:val="0"/>
        <w:keepLines w:val="0"/>
        <w:pageBreakBefore w:val="0"/>
        <w:widowControl/>
        <w:numPr>
          <w:ilvl w:val="0"/>
          <w:numId w:val="18"/>
        </w:numPr>
        <w:kinsoku/>
        <w:wordWrap/>
        <w:overflowPunct/>
        <w:topLinePunct w:val="0"/>
        <w:autoSpaceDN/>
        <w:bidi w:val="0"/>
        <w:adjustRightInd/>
        <w:snapToGrid w:val="0"/>
        <w:spacing w:before="0" w:beforeAutospacing="0" w:after="0" w:afterAutospacing="0" w:line="360" w:lineRule="auto"/>
        <w:ind w:left="482" w:firstLine="42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按照招标要求和合同要求完成其他所有服务内容；</w:t>
      </w:r>
    </w:p>
    <w:p w14:paraId="49D356A2">
      <w:pPr>
        <w:keepNext w:val="0"/>
        <w:keepLines w:val="0"/>
        <w:pageBreakBefore w:val="0"/>
        <w:widowControl/>
        <w:numPr>
          <w:ilvl w:val="0"/>
          <w:numId w:val="18"/>
        </w:numPr>
        <w:kinsoku/>
        <w:wordWrap/>
        <w:overflowPunct/>
        <w:topLinePunct w:val="0"/>
        <w:autoSpaceDN/>
        <w:bidi w:val="0"/>
        <w:adjustRightInd/>
        <w:snapToGrid w:val="0"/>
        <w:spacing w:before="0" w:beforeAutospacing="0" w:after="0" w:afterAutospacing="0" w:line="360" w:lineRule="auto"/>
        <w:ind w:left="482" w:firstLine="420"/>
        <w:jc w:val="both"/>
        <w:textAlignment w:val="auto"/>
        <w:rPr>
          <w:rFonts w:hint="eastAsia" w:ascii="宋体" w:hAnsi="宋体" w:eastAsia="宋体" w:cs="宋体"/>
        </w:rPr>
      </w:pPr>
      <w:r>
        <w:rPr>
          <w:rFonts w:hint="eastAsia" w:ascii="宋体" w:hAnsi="宋体" w:eastAsia="宋体" w:cs="宋体"/>
          <w:color w:val="auto"/>
          <w:kern w:val="0"/>
          <w:sz w:val="24"/>
          <w:szCs w:val="24"/>
          <w:lang w:val="en-US" w:eastAsia="zh-CN" w:bidi="ar-SA"/>
        </w:rPr>
        <w:t>确保验收资料齐备。</w:t>
      </w:r>
      <w:bookmarkEnd w:id="185"/>
    </w:p>
    <w:p w14:paraId="4F2A2E2C">
      <w:pPr>
        <w:pStyle w:val="19"/>
        <w:rPr>
          <w:rFonts w:hint="eastAsia"/>
        </w:rPr>
      </w:pPr>
    </w:p>
    <w:bookmarkEnd w:id="186"/>
    <w:bookmarkEnd w:id="187"/>
    <w:bookmarkEnd w:id="188"/>
    <w:p w14:paraId="1DB592E3">
      <w:pPr>
        <w:spacing w:line="500" w:lineRule="exact"/>
        <w:jc w:val="center"/>
        <w:outlineLvl w:val="0"/>
        <w:rPr>
          <w:rFonts w:hint="eastAsia" w:ascii="黑体" w:hAnsi="黑体" w:eastAsia="黑体" w:cs="黑体"/>
          <w:color w:val="auto"/>
          <w:spacing w:val="0"/>
          <w:sz w:val="48"/>
          <w:szCs w:val="18"/>
        </w:rPr>
      </w:pPr>
      <w:bookmarkStart w:id="228" w:name="_Toc14628"/>
      <w:bookmarkStart w:id="229" w:name="_Toc6173"/>
      <w:bookmarkStart w:id="230" w:name="_Toc351421835"/>
      <w:r>
        <w:rPr>
          <w:rFonts w:hint="eastAsia" w:ascii="黑体" w:hAnsi="黑体" w:eastAsia="黑体" w:cs="黑体"/>
          <w:color w:val="auto"/>
          <w:spacing w:val="0"/>
          <w:sz w:val="40"/>
          <w:szCs w:val="40"/>
        </w:rPr>
        <w:t>第六章  评审办法</w:t>
      </w:r>
      <w:bookmarkEnd w:id="228"/>
      <w:bookmarkEnd w:id="229"/>
    </w:p>
    <w:p w14:paraId="4469059B">
      <w:pPr>
        <w:pStyle w:val="10"/>
        <w:spacing w:line="900" w:lineRule="exact"/>
        <w:ind w:firstLine="0"/>
        <w:jc w:val="center"/>
        <w:outlineLvl w:val="9"/>
        <w:rPr>
          <w:rFonts w:hint="eastAsia" w:ascii="宋体" w:hAnsi="宋体" w:eastAsia="宋体" w:cs="宋体"/>
          <w:b/>
          <w:bCs/>
          <w:color w:val="auto"/>
          <w:sz w:val="32"/>
          <w:szCs w:val="32"/>
        </w:rPr>
      </w:pPr>
      <w:bookmarkStart w:id="231" w:name="_Toc28766"/>
      <w:bookmarkStart w:id="232" w:name="_Toc25840"/>
      <w:r>
        <w:rPr>
          <w:rFonts w:hint="eastAsia" w:ascii="宋体" w:hAnsi="宋体" w:eastAsia="宋体" w:cs="宋体"/>
          <w:b/>
          <w:bCs/>
          <w:color w:val="auto"/>
          <w:kern w:val="44"/>
          <w:sz w:val="32"/>
          <w:szCs w:val="32"/>
        </w:rPr>
        <w:t>（</w:t>
      </w:r>
      <w:r>
        <w:rPr>
          <w:rFonts w:hint="eastAsia" w:ascii="宋体" w:hAnsi="宋体" w:eastAsia="宋体" w:cs="宋体"/>
          <w:b/>
          <w:bCs/>
          <w:color w:val="auto"/>
          <w:kern w:val="44"/>
          <w:sz w:val="32"/>
          <w:szCs w:val="32"/>
          <w:lang w:eastAsia="zh-CN"/>
        </w:rPr>
        <w:t>综合评分法</w:t>
      </w:r>
      <w:r>
        <w:rPr>
          <w:rFonts w:hint="eastAsia" w:ascii="宋体" w:hAnsi="宋体" w:eastAsia="宋体" w:cs="宋体"/>
          <w:b/>
          <w:bCs/>
          <w:color w:val="auto"/>
          <w:kern w:val="44"/>
          <w:sz w:val="32"/>
          <w:szCs w:val="32"/>
        </w:rPr>
        <w:t>）</w:t>
      </w:r>
      <w:bookmarkEnd w:id="231"/>
      <w:bookmarkEnd w:id="232"/>
    </w:p>
    <w:p w14:paraId="6D3C1C40">
      <w:pPr>
        <w:spacing w:beforeLines="50" w:afterLines="50"/>
        <w:ind w:firstLine="482" w:firstLineChars="200"/>
        <w:outlineLvl w:val="1"/>
        <w:rPr>
          <w:rFonts w:hint="eastAsia" w:ascii="宋体" w:hAnsi="宋体" w:eastAsia="宋体" w:cs="宋体"/>
          <w:b/>
          <w:sz w:val="24"/>
          <w:szCs w:val="24"/>
        </w:rPr>
      </w:pPr>
      <w:bookmarkStart w:id="233" w:name="_Toc393455445"/>
      <w:bookmarkStart w:id="234" w:name="_Toc6488"/>
      <w:bookmarkStart w:id="235" w:name="_Toc372195793"/>
      <w:bookmarkStart w:id="236" w:name="_Toc381016112"/>
      <w:bookmarkStart w:id="237" w:name="_Toc28032"/>
      <w:bookmarkStart w:id="238" w:name="_Toc23444"/>
      <w:r>
        <w:rPr>
          <w:rFonts w:hint="eastAsia" w:ascii="宋体" w:hAnsi="宋体" w:eastAsia="宋体" w:cs="宋体"/>
          <w:b/>
          <w:sz w:val="24"/>
          <w:szCs w:val="24"/>
        </w:rPr>
        <w:t>一、评审机构</w:t>
      </w:r>
      <w:bookmarkEnd w:id="233"/>
      <w:bookmarkEnd w:id="234"/>
      <w:bookmarkEnd w:id="235"/>
      <w:bookmarkEnd w:id="236"/>
      <w:bookmarkEnd w:id="237"/>
      <w:bookmarkEnd w:id="238"/>
    </w:p>
    <w:p w14:paraId="41CDC8B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本项目评审机构为磋商小组，由采购人代表和有关技术、 经济等方面的专家组成，其成员人数为3人，其中专家的人数不得少于成员总数的三分之二。</w:t>
      </w:r>
    </w:p>
    <w:p w14:paraId="768D0085">
      <w:pPr>
        <w:spacing w:beforeLines="50" w:afterLines="50"/>
        <w:ind w:firstLine="482" w:firstLineChars="200"/>
        <w:outlineLvl w:val="1"/>
        <w:rPr>
          <w:rFonts w:hint="eastAsia" w:ascii="宋体" w:hAnsi="宋体" w:eastAsia="宋体" w:cs="宋体"/>
          <w:b/>
          <w:sz w:val="24"/>
          <w:szCs w:val="24"/>
        </w:rPr>
      </w:pPr>
      <w:bookmarkStart w:id="239" w:name="_Toc836"/>
      <w:bookmarkStart w:id="240" w:name="_Toc381016113"/>
      <w:bookmarkStart w:id="241" w:name="_Toc372195794"/>
      <w:bookmarkStart w:id="242" w:name="_Toc393455446"/>
      <w:bookmarkStart w:id="243" w:name="_Toc26677"/>
      <w:bookmarkStart w:id="244" w:name="_Toc18409"/>
      <w:r>
        <w:rPr>
          <w:rFonts w:hint="eastAsia" w:ascii="宋体" w:hAnsi="宋体" w:eastAsia="宋体" w:cs="宋体"/>
          <w:b/>
          <w:sz w:val="24"/>
          <w:szCs w:val="24"/>
        </w:rPr>
        <w:t>二、评审原则</w:t>
      </w:r>
      <w:bookmarkEnd w:id="239"/>
      <w:bookmarkEnd w:id="240"/>
      <w:bookmarkEnd w:id="241"/>
      <w:bookmarkEnd w:id="242"/>
      <w:r>
        <w:rPr>
          <w:rFonts w:hint="eastAsia" w:ascii="宋体" w:hAnsi="宋体" w:eastAsia="宋体" w:cs="宋体"/>
          <w:b/>
          <w:sz w:val="24"/>
          <w:szCs w:val="24"/>
        </w:rPr>
        <w:t>与标准</w:t>
      </w:r>
      <w:bookmarkEnd w:id="243"/>
      <w:bookmarkEnd w:id="244"/>
    </w:p>
    <w:p w14:paraId="7B46B063">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（一）评审应遵循下列原则：</w:t>
      </w:r>
    </w:p>
    <w:p w14:paraId="4C107B1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坚持公平、公正、科学、择优的原则，本着实事求是的精神，不带有任何主观意愿和偏见，认真负责地做好评审工作，公平、公正地对待每一个供应商。</w:t>
      </w:r>
    </w:p>
    <w:p w14:paraId="20241B8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全面分析，综合评审。</w:t>
      </w:r>
    </w:p>
    <w:p w14:paraId="58309C1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评审只对供应商的响应文件、磋商承诺书及最终报价进行评审，除此以外的资料、信息不应作为评审的依据。</w:t>
      </w:r>
    </w:p>
    <w:p w14:paraId="50F00DE5">
      <w:pPr>
        <w:spacing w:line="500" w:lineRule="atLeast"/>
        <w:ind w:firstLine="480" w:firstLineChars="200"/>
        <w:jc w:val="left"/>
        <w:rPr>
          <w:rFonts w:hint="eastAsia" w:ascii="宋体" w:hAnsi="宋体" w:eastAsia="宋体" w:cs="宋体"/>
          <w:sz w:val="24"/>
        </w:rPr>
      </w:pPr>
      <w:r>
        <w:rPr>
          <w:rFonts w:hint="eastAsia" w:ascii="宋体" w:hAnsi="宋体" w:eastAsia="宋体" w:cs="宋体"/>
          <w:sz w:val="24"/>
        </w:rPr>
        <w:t>（二）评审标准</w:t>
      </w:r>
    </w:p>
    <w:p w14:paraId="08BD4B7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rPr>
        <w:t>根据《中华人民共和国政府采购法》</w:t>
      </w:r>
      <w:r>
        <w:rPr>
          <w:rFonts w:hint="eastAsia" w:ascii="宋体" w:hAnsi="宋体" w:eastAsia="宋体" w:cs="宋体"/>
          <w:sz w:val="24"/>
          <w:szCs w:val="24"/>
        </w:rPr>
        <w:t>及《政府采购竞争性磋商采购方式管理暂行办法</w:t>
      </w:r>
      <w:r>
        <w:rPr>
          <w:rFonts w:hint="eastAsia" w:ascii="宋体" w:hAnsi="宋体" w:eastAsia="宋体" w:cs="宋体"/>
          <w:sz w:val="24"/>
          <w:szCs w:val="24"/>
          <w:lang w:eastAsia="zh-CN"/>
        </w:rPr>
        <w:t>》《</w:t>
      </w:r>
      <w:r>
        <w:rPr>
          <w:rFonts w:hint="eastAsia" w:ascii="宋体" w:hAnsi="宋体" w:eastAsia="宋体" w:cs="宋体"/>
          <w:sz w:val="24"/>
          <w:szCs w:val="24"/>
        </w:rPr>
        <w:t>财政部关于政府采购竞争性磋商采购方式管理暂行办法有关问题的补充通知》</w:t>
      </w:r>
      <w:r>
        <w:rPr>
          <w:rFonts w:hint="eastAsia" w:ascii="宋体" w:hAnsi="宋体" w:eastAsia="宋体" w:cs="宋体"/>
          <w:sz w:val="24"/>
        </w:rPr>
        <w:t>，磋商小组成员按照客观、公正、谨慎的原则，根据磋商文件规定的评审程序、评审方法和评审标准进行独立评审。根据排名先后确定成交候选供应商。</w:t>
      </w:r>
    </w:p>
    <w:p w14:paraId="4E7FDBA9">
      <w:pPr>
        <w:spacing w:beforeLines="50" w:afterLines="50"/>
        <w:ind w:firstLine="482" w:firstLineChars="200"/>
        <w:outlineLvl w:val="1"/>
        <w:rPr>
          <w:rFonts w:hint="eastAsia" w:ascii="宋体" w:hAnsi="宋体" w:eastAsia="宋体" w:cs="宋体"/>
          <w:b/>
          <w:sz w:val="24"/>
          <w:szCs w:val="24"/>
        </w:rPr>
      </w:pPr>
      <w:bookmarkStart w:id="245" w:name="_Toc13424"/>
      <w:bookmarkStart w:id="246" w:name="_Toc372195795"/>
      <w:bookmarkStart w:id="247" w:name="_Toc1315"/>
      <w:bookmarkStart w:id="248" w:name="_Toc381016114"/>
      <w:bookmarkStart w:id="249" w:name="_Toc12200"/>
      <w:bookmarkStart w:id="250" w:name="_Toc393455447"/>
      <w:r>
        <w:rPr>
          <w:rFonts w:hint="eastAsia" w:ascii="宋体" w:hAnsi="宋体" w:eastAsia="宋体" w:cs="宋体"/>
          <w:b/>
          <w:sz w:val="24"/>
          <w:szCs w:val="24"/>
        </w:rPr>
        <w:t>三、评审纪律</w:t>
      </w:r>
      <w:bookmarkEnd w:id="245"/>
      <w:bookmarkEnd w:id="246"/>
      <w:bookmarkEnd w:id="247"/>
      <w:bookmarkEnd w:id="248"/>
      <w:bookmarkEnd w:id="249"/>
      <w:bookmarkEnd w:id="250"/>
    </w:p>
    <w:p w14:paraId="66DB588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所有与会人员对评审内容和评审过程要严格保密</w:t>
      </w:r>
      <w:r>
        <w:rPr>
          <w:rFonts w:hint="eastAsia" w:ascii="宋体" w:hAnsi="宋体" w:eastAsia="宋体" w:cs="宋体"/>
          <w:sz w:val="24"/>
          <w:szCs w:val="24"/>
          <w:lang w:eastAsia="zh-CN"/>
        </w:rPr>
        <w:t>，</w:t>
      </w:r>
      <w:r>
        <w:rPr>
          <w:rFonts w:hint="eastAsia" w:ascii="宋体" w:hAnsi="宋体" w:eastAsia="宋体" w:cs="宋体"/>
          <w:sz w:val="24"/>
          <w:szCs w:val="24"/>
        </w:rPr>
        <w:t>不得向供应商或与该过程无关的</w:t>
      </w:r>
      <w:r>
        <w:rPr>
          <w:rFonts w:hint="eastAsia" w:ascii="宋体" w:hAnsi="宋体" w:eastAsia="宋体" w:cs="宋体"/>
          <w:sz w:val="24"/>
          <w:szCs w:val="24"/>
          <w:lang w:eastAsia="zh-CN"/>
        </w:rPr>
        <w:t>其他人员</w:t>
      </w:r>
      <w:r>
        <w:rPr>
          <w:rFonts w:hint="eastAsia" w:ascii="宋体" w:hAnsi="宋体" w:eastAsia="宋体" w:cs="宋体"/>
          <w:sz w:val="24"/>
          <w:szCs w:val="24"/>
        </w:rPr>
        <w:t>泄露；</w:t>
      </w:r>
    </w:p>
    <w:p w14:paraId="6AB774B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评审期间的一切资料</w:t>
      </w:r>
      <w:r>
        <w:rPr>
          <w:rFonts w:hint="eastAsia" w:ascii="宋体" w:hAnsi="宋体" w:eastAsia="宋体" w:cs="宋体"/>
          <w:sz w:val="24"/>
          <w:szCs w:val="24"/>
          <w:lang w:eastAsia="zh-CN"/>
        </w:rPr>
        <w:t>，</w:t>
      </w:r>
      <w:r>
        <w:rPr>
          <w:rFonts w:hint="eastAsia" w:ascii="宋体" w:hAnsi="宋体" w:eastAsia="宋体" w:cs="宋体"/>
          <w:sz w:val="24"/>
          <w:szCs w:val="24"/>
        </w:rPr>
        <w:t>包括评审意见、评审记录、评审结论和响应文件审查、澄清、评价及比较的资料，均不得向供应商或与该过程无关的</w:t>
      </w:r>
      <w:r>
        <w:rPr>
          <w:rFonts w:hint="eastAsia" w:ascii="宋体" w:hAnsi="宋体" w:eastAsia="宋体" w:cs="宋体"/>
          <w:sz w:val="24"/>
          <w:szCs w:val="24"/>
          <w:lang w:eastAsia="zh-CN"/>
        </w:rPr>
        <w:t>其他人员</w:t>
      </w:r>
      <w:r>
        <w:rPr>
          <w:rFonts w:hint="eastAsia" w:ascii="宋体" w:hAnsi="宋体" w:eastAsia="宋体" w:cs="宋体"/>
          <w:sz w:val="24"/>
          <w:szCs w:val="24"/>
        </w:rPr>
        <w:t>泄露；</w:t>
      </w:r>
    </w:p>
    <w:p w14:paraId="4A88631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所有资料（包括竞争性磋商文件、响应文件、评审表格及各种文字记录）在评审结束后均应分别整理、存档备查，任何人不得复制和保留；</w:t>
      </w:r>
    </w:p>
    <w:p w14:paraId="70D861B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评审结束后，与会人员不得向外界透露评审人员的评审意见，如因此造成的后果由责任者承担；</w:t>
      </w:r>
    </w:p>
    <w:p w14:paraId="0A2AF45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评审期间，评审人员不得外出，确需外出时应事先请假；</w:t>
      </w:r>
    </w:p>
    <w:p w14:paraId="6D8A859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评审期间，所有与会人员均不得私自以任何方式和供应商进行联系，需询问、澄清的问题由磋商小组统一组织办理；</w:t>
      </w:r>
    </w:p>
    <w:p w14:paraId="610F9F9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评审期间，未经允许</w:t>
      </w:r>
      <w:r>
        <w:rPr>
          <w:rFonts w:hint="eastAsia" w:ascii="宋体" w:hAnsi="宋体" w:cs="宋体"/>
          <w:sz w:val="24"/>
          <w:szCs w:val="24"/>
          <w:lang w:eastAsia="zh-CN"/>
        </w:rPr>
        <w:t>，磋商小组</w:t>
      </w:r>
      <w:r>
        <w:rPr>
          <w:rFonts w:hint="eastAsia" w:ascii="宋体" w:hAnsi="宋体" w:eastAsia="宋体" w:cs="宋体"/>
          <w:sz w:val="24"/>
          <w:szCs w:val="24"/>
        </w:rPr>
        <w:t>以外的任何单位或部门不得参加评审和采访评审工作。</w:t>
      </w:r>
    </w:p>
    <w:p w14:paraId="36665271">
      <w:pPr>
        <w:spacing w:beforeLines="50" w:afterLines="50"/>
        <w:ind w:firstLine="482" w:firstLineChars="200"/>
        <w:outlineLvl w:val="1"/>
        <w:rPr>
          <w:rFonts w:hint="eastAsia" w:ascii="宋体" w:hAnsi="宋体" w:eastAsia="宋体" w:cs="宋体"/>
          <w:b/>
          <w:sz w:val="24"/>
          <w:szCs w:val="24"/>
        </w:rPr>
      </w:pPr>
      <w:bookmarkStart w:id="251" w:name="_Toc10670"/>
      <w:bookmarkStart w:id="252" w:name="_Toc381016115"/>
      <w:bookmarkStart w:id="253" w:name="_Toc15138"/>
      <w:bookmarkStart w:id="254" w:name="_Toc393455448"/>
      <w:bookmarkStart w:id="255" w:name="_Toc372195796"/>
      <w:bookmarkStart w:id="256" w:name="_Toc20026"/>
      <w:r>
        <w:rPr>
          <w:rFonts w:hint="eastAsia" w:ascii="宋体" w:hAnsi="宋体" w:eastAsia="宋体" w:cs="宋体"/>
          <w:b/>
          <w:sz w:val="24"/>
          <w:szCs w:val="24"/>
        </w:rPr>
        <w:t>四、评审目的</w:t>
      </w:r>
      <w:bookmarkEnd w:id="251"/>
      <w:bookmarkEnd w:id="252"/>
      <w:bookmarkEnd w:id="253"/>
      <w:bookmarkEnd w:id="254"/>
      <w:bookmarkEnd w:id="255"/>
      <w:bookmarkEnd w:id="256"/>
    </w:p>
    <w:p w14:paraId="54EE247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工作的目的：审查供应商的响应文件与竞争性磋商文件的所有条款、条件是否相符；是否已提供了必备的资料、文件、证书，做出实质性响应；按评审程序和评审方法推荐出合格的成交候选供应商或直接确定成交供应商。</w:t>
      </w:r>
    </w:p>
    <w:p w14:paraId="7F3A84F3">
      <w:pPr>
        <w:spacing w:beforeLines="50" w:afterLines="50"/>
        <w:ind w:firstLine="482" w:firstLineChars="200"/>
        <w:outlineLvl w:val="1"/>
        <w:rPr>
          <w:rFonts w:hint="eastAsia" w:ascii="宋体" w:hAnsi="宋体" w:eastAsia="宋体" w:cs="宋体"/>
          <w:b/>
          <w:sz w:val="24"/>
          <w:szCs w:val="24"/>
        </w:rPr>
      </w:pPr>
      <w:bookmarkStart w:id="257" w:name="_Toc393455449"/>
      <w:bookmarkStart w:id="258" w:name="_Toc372195797"/>
      <w:bookmarkStart w:id="259" w:name="_Toc381016116"/>
      <w:bookmarkStart w:id="260" w:name="_Toc20256"/>
      <w:bookmarkStart w:id="261" w:name="_Toc7678"/>
      <w:bookmarkStart w:id="262" w:name="_Toc13759"/>
      <w:r>
        <w:rPr>
          <w:rFonts w:hint="eastAsia" w:ascii="宋体" w:hAnsi="宋体" w:eastAsia="宋体" w:cs="宋体"/>
          <w:b/>
          <w:sz w:val="24"/>
          <w:szCs w:val="24"/>
        </w:rPr>
        <w:t>五、评审程序</w:t>
      </w:r>
      <w:bookmarkEnd w:id="257"/>
      <w:bookmarkEnd w:id="258"/>
      <w:bookmarkEnd w:id="259"/>
      <w:bookmarkEnd w:id="260"/>
      <w:bookmarkEnd w:id="261"/>
      <w:bookmarkEnd w:id="262"/>
    </w:p>
    <w:p w14:paraId="5B18498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（一）磋商小组审阅响应文件。</w:t>
      </w:r>
    </w:p>
    <w:p w14:paraId="26C0ABD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（二）资格性检查，确定供应商是否具备投标资格</w:t>
      </w:r>
    </w:p>
    <w:p w14:paraId="5FDAC0C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依据法律法规和采购文件的规定，在对响应文件详细评估之前，磋商小组将依据供应商的响应文件中的资格证明，对照合格供应商的资格标准对供应商进行资格审查</w:t>
      </w:r>
      <w:r>
        <w:rPr>
          <w:rFonts w:hint="eastAsia" w:ascii="宋体" w:hAnsi="宋体" w:eastAsia="宋体" w:cs="宋体"/>
          <w:sz w:val="24"/>
          <w:szCs w:val="24"/>
          <w:lang w:eastAsia="zh-CN"/>
        </w:rPr>
        <w:t>，</w:t>
      </w:r>
      <w:r>
        <w:rPr>
          <w:rFonts w:hint="eastAsia" w:ascii="宋体" w:hAnsi="宋体" w:eastAsia="宋体" w:cs="宋体"/>
          <w:sz w:val="24"/>
          <w:szCs w:val="24"/>
        </w:rPr>
        <w:t>以确定其是否具备投标资格。如果供应商不具备投标资格</w:t>
      </w:r>
      <w:r>
        <w:rPr>
          <w:rFonts w:hint="eastAsia" w:ascii="宋体" w:hAnsi="宋体" w:eastAsia="宋体" w:cs="宋体"/>
          <w:sz w:val="24"/>
          <w:szCs w:val="24"/>
          <w:lang w:eastAsia="zh-CN"/>
        </w:rPr>
        <w:t>，</w:t>
      </w:r>
      <w:r>
        <w:rPr>
          <w:rFonts w:hint="eastAsia" w:ascii="宋体" w:hAnsi="宋体" w:eastAsia="宋体" w:cs="宋体"/>
          <w:sz w:val="24"/>
          <w:szCs w:val="24"/>
        </w:rPr>
        <w:t>不满足采购文件所规定的资格标准或提供资格证明文件不全的</w:t>
      </w:r>
      <w:r>
        <w:rPr>
          <w:rFonts w:hint="eastAsia" w:ascii="宋体" w:hAnsi="宋体" w:eastAsia="宋体" w:cs="宋体"/>
          <w:sz w:val="24"/>
          <w:szCs w:val="24"/>
          <w:lang w:eastAsia="zh-CN"/>
        </w:rPr>
        <w:t>，</w:t>
      </w:r>
      <w:r>
        <w:rPr>
          <w:rFonts w:hint="eastAsia" w:ascii="宋体" w:hAnsi="宋体" w:eastAsia="宋体" w:cs="宋体"/>
          <w:sz w:val="24"/>
          <w:szCs w:val="24"/>
        </w:rPr>
        <w:t>其投标将被拒绝。</w:t>
      </w:r>
    </w:p>
    <w:p w14:paraId="692EABBB">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磋商小组依据磋商文件的规定，对响应文件的有效性、完整性和对磋商文件的响应程度进行审查，以确定是否对磋商文件的要求做出实质性响应。未对磋商文件做实质性响应的供应商，不得进入具体磋商程序。</w:t>
      </w:r>
    </w:p>
    <w:p w14:paraId="60B625F2">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在磋商文件及程序符合法律规定的前提下，递交响应文件或对磋商文件做出实质响应的供应商少于3家时，在书面征得供应商及采购人同</w:t>
      </w:r>
      <w:r>
        <w:rPr>
          <w:rFonts w:hint="eastAsia" w:ascii="宋体" w:hAnsi="宋体" w:eastAsia="宋体" w:cs="宋体"/>
          <w:sz w:val="24"/>
          <w:szCs w:val="24"/>
          <w:lang w:eastAsia="zh-CN"/>
        </w:rPr>
        <w:t>意的</w:t>
      </w:r>
      <w:r>
        <w:rPr>
          <w:rFonts w:hint="eastAsia" w:ascii="宋体" w:hAnsi="宋体" w:eastAsia="宋体" w:cs="宋体"/>
          <w:sz w:val="24"/>
          <w:szCs w:val="24"/>
        </w:rPr>
        <w:t>情况下，可以按照公平、公正和竞争原则，继续进行磋商采购；如果少于二家，应终止磋商，重新组织采购。采用竞争性磋商采购方式采购的政府购买服务项目</w:t>
      </w:r>
      <w:r>
        <w:rPr>
          <w:rFonts w:hint="eastAsia" w:ascii="宋体" w:hAnsi="宋体" w:eastAsia="宋体" w:cs="宋体"/>
          <w:sz w:val="24"/>
          <w:szCs w:val="24"/>
          <w:lang w:eastAsia="zh-CN"/>
        </w:rPr>
        <w:t>（</w:t>
      </w:r>
      <w:r>
        <w:rPr>
          <w:rFonts w:hint="eastAsia" w:ascii="宋体" w:hAnsi="宋体" w:eastAsia="宋体" w:cs="宋体"/>
          <w:sz w:val="24"/>
          <w:szCs w:val="24"/>
        </w:rPr>
        <w:t>含政府和社会资本合作项目</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，在采购过程中符合要求的供应商</w:t>
      </w:r>
      <w:r>
        <w:rPr>
          <w:rFonts w:hint="eastAsia" w:ascii="宋体" w:hAnsi="宋体" w:eastAsia="宋体" w:cs="宋体"/>
          <w:sz w:val="24"/>
          <w:szCs w:val="24"/>
          <w:lang w:eastAsia="zh-CN"/>
        </w:rPr>
        <w:t>（</w:t>
      </w:r>
      <w:r>
        <w:rPr>
          <w:rFonts w:hint="eastAsia" w:ascii="宋体" w:hAnsi="宋体" w:eastAsia="宋体" w:cs="宋体"/>
          <w:sz w:val="24"/>
          <w:szCs w:val="24"/>
        </w:rPr>
        <w:t>社会资本</w:t>
      </w:r>
      <w:r>
        <w:rPr>
          <w:rFonts w:hint="eastAsia" w:ascii="宋体" w:hAnsi="宋体" w:eastAsia="宋体" w:cs="宋体"/>
          <w:sz w:val="24"/>
          <w:szCs w:val="24"/>
          <w:lang w:eastAsia="zh-CN"/>
        </w:rPr>
        <w:t>）</w:t>
      </w:r>
      <w:r>
        <w:rPr>
          <w:rFonts w:hint="eastAsia" w:ascii="宋体" w:hAnsi="宋体" w:eastAsia="宋体" w:cs="宋体"/>
          <w:sz w:val="24"/>
          <w:szCs w:val="24"/>
        </w:rPr>
        <w:t>只有2家的，竞争性磋商采购活动可以继续进行。</w:t>
      </w:r>
    </w:p>
    <w:p w14:paraId="575FF6C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（三）响应文件的澄清</w:t>
      </w:r>
    </w:p>
    <w:p w14:paraId="7297F99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1.磋商小组有权书面要求（必须由</w:t>
      </w:r>
      <w:r>
        <w:rPr>
          <w:rFonts w:hint="eastAsia" w:ascii="宋体" w:hAnsi="宋体" w:cs="宋体"/>
          <w:sz w:val="24"/>
          <w:szCs w:val="24"/>
          <w:lang w:eastAsia="zh-CN"/>
        </w:rPr>
        <w:t>磋商小组</w:t>
      </w:r>
      <w:r>
        <w:rPr>
          <w:rFonts w:hint="eastAsia" w:ascii="宋体" w:hAnsi="宋体" w:eastAsia="宋体" w:cs="宋体"/>
          <w:sz w:val="24"/>
          <w:szCs w:val="24"/>
        </w:rPr>
        <w:t>专家签字）供应商对响应文件中含义不明确、对同类问题表述不一致或者有明显文字和计算错误的内容等</w:t>
      </w:r>
      <w:r>
        <w:rPr>
          <w:rFonts w:hint="eastAsia" w:ascii="宋体" w:hAnsi="宋体" w:eastAsia="宋体" w:cs="宋体"/>
          <w:sz w:val="24"/>
          <w:szCs w:val="24"/>
          <w:lang w:eastAsia="zh-CN"/>
        </w:rPr>
        <w:t>作出</w:t>
      </w:r>
      <w:r>
        <w:rPr>
          <w:rFonts w:hint="eastAsia" w:ascii="宋体" w:hAnsi="宋体" w:eastAsia="宋体" w:cs="宋体"/>
          <w:sz w:val="24"/>
          <w:szCs w:val="24"/>
        </w:rPr>
        <w:t>必要的澄清、说明或者补正。澄清、说明或者补正不得超出响应文件的范围或者改变响应文件的实质性内容。</w:t>
      </w:r>
    </w:p>
    <w:p w14:paraId="749AC02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必须按照磋商小组会通知的澄清内容和时间作出澄清。澄清的问题须作书面答复，该答复经供应商的法定代表人或委托代理人的签字认可，将作为响应文件内容的一部分。若该供应商未在规定时间内作出澄清，可拒绝该投标。</w:t>
      </w:r>
    </w:p>
    <w:p w14:paraId="2AFA5CD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3．磋商小组并非对每个供应商都作澄清要求。</w:t>
      </w:r>
    </w:p>
    <w:p w14:paraId="38350F4F">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磋商开始，与供应商谈各项内容</w:t>
      </w:r>
    </w:p>
    <w:p w14:paraId="768A59E3">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磋商小组所有成员集中各供应商磋商内容。磋商小组可根据供应商的报价，响应内容及磋商的情况，给予每个正在参加磋商的供应商相同的机会。</w:t>
      </w:r>
    </w:p>
    <w:p w14:paraId="02FBF0E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1.在磋商过程中，磋商小组可以根据磋商文件和磋商情况实质性变动采购需求中的技术、服务要求以及合同草案条款，但不得变动磋商文件中的其他内容。实质性变动的内容，须经采购人代表确认。 </w:t>
      </w:r>
    </w:p>
    <w:p w14:paraId="79C5A78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2.对磋商文件作出的实质性变动是磋商文件的有效组成部分，磋商小组应当及时以书面形式同时通知所有参加磋商的供应商。 </w:t>
      </w:r>
    </w:p>
    <w:p w14:paraId="6D08CDC8">
      <w:pPr>
        <w:pStyle w:val="2"/>
        <w:ind w:firstLine="480" w:firstLineChars="200"/>
        <w:rPr>
          <w:rFonts w:hint="eastAsia" w:ascii="宋体" w:hAnsi="宋体" w:eastAsia="宋体" w:cs="宋体"/>
          <w:color w:val="auto"/>
        </w:rPr>
      </w:pPr>
      <w:r>
        <w:rPr>
          <w:rFonts w:hint="eastAsia" w:ascii="宋体" w:hAnsi="宋体" w:eastAsia="宋体" w:cs="宋体"/>
          <w:color w:val="auto"/>
          <w:sz w:val="24"/>
          <w:szCs w:val="24"/>
        </w:rPr>
        <w:t>3.供应商应当按照磋商文件的变动情况和磋商小组的要求重新提交响应文件，并由其全权代表签章。</w:t>
      </w:r>
    </w:p>
    <w:p w14:paraId="778FF8C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（五）各供应商进行报价</w:t>
      </w:r>
    </w:p>
    <w:p w14:paraId="2367F1DC">
      <w:pPr>
        <w:spacing w:line="48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参加磋商的供应商在</w:t>
      </w:r>
      <w:r>
        <w:rPr>
          <w:rFonts w:hint="eastAsia" w:ascii="宋体" w:hAnsi="宋体" w:eastAsia="宋体" w:cs="宋体"/>
          <w:color w:val="auto"/>
          <w:sz w:val="24"/>
          <w:szCs w:val="24"/>
          <w:lang w:val="en-US" w:eastAsia="zh-CN"/>
        </w:rPr>
        <w:t>政府采购云平台</w:t>
      </w:r>
      <w:r>
        <w:rPr>
          <w:rFonts w:hint="eastAsia" w:ascii="宋体" w:hAnsi="宋体" w:eastAsia="宋体" w:cs="宋体"/>
          <w:color w:val="auto"/>
          <w:sz w:val="24"/>
          <w:szCs w:val="24"/>
        </w:rPr>
        <w:t>提交最终报价。</w:t>
      </w:r>
    </w:p>
    <w:p w14:paraId="37394F59">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（六）由磋商小组采用综合评分法对提交最后报价的供应商的响应文件和最后报价进行综合评分。</w:t>
      </w:r>
    </w:p>
    <w:p w14:paraId="693547F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（七）比较与评价、推荐</w:t>
      </w:r>
      <w:r>
        <w:rPr>
          <w:rFonts w:hint="eastAsia" w:ascii="宋体" w:hAnsi="宋体" w:cs="宋体"/>
          <w:sz w:val="24"/>
          <w:szCs w:val="24"/>
          <w:lang w:eastAsia="zh-CN"/>
        </w:rPr>
        <w:t>成交候选人</w:t>
      </w:r>
      <w:r>
        <w:rPr>
          <w:rFonts w:hint="eastAsia" w:ascii="宋体" w:hAnsi="宋体" w:eastAsia="宋体" w:cs="宋体"/>
          <w:sz w:val="24"/>
          <w:szCs w:val="24"/>
        </w:rPr>
        <w:t>名单</w:t>
      </w:r>
    </w:p>
    <w:p w14:paraId="21D04B35">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1.磋商小组会将按本采购文件载明的评标方法与标准，对资格性检查和符合性检查合格的响应文件进行商务和技术评估，综合比较与评价。</w:t>
      </w:r>
    </w:p>
    <w:p w14:paraId="403014A3">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应当根据综合评分情况，按照评审得分由高到低顺序推荐3名以上成交候选供应商，并编写评审报告。符合竞争性磋商管理办法第二十一条第三款情形的，可以推荐2家成交候选供应商。评审得分相同的，按照最后报价由低到高的顺序推荐。评审得分且最后报价相同的，按照技术指标优劣顺序推荐。</w:t>
      </w:r>
    </w:p>
    <w:p w14:paraId="4C58E6B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24E79E0">
      <w:pPr>
        <w:spacing w:beforeLines="50" w:afterLines="50"/>
        <w:ind w:firstLine="482" w:firstLineChars="200"/>
        <w:outlineLvl w:val="1"/>
        <w:rPr>
          <w:rFonts w:hint="eastAsia" w:ascii="宋体" w:hAnsi="宋体" w:eastAsia="宋体" w:cs="宋体"/>
          <w:b/>
          <w:sz w:val="24"/>
          <w:szCs w:val="24"/>
        </w:rPr>
      </w:pPr>
      <w:bookmarkStart w:id="263" w:name="_Toc19851"/>
      <w:bookmarkStart w:id="264" w:name="_Toc12532"/>
      <w:bookmarkStart w:id="265" w:name="_Toc32573"/>
      <w:r>
        <w:rPr>
          <w:rFonts w:hint="eastAsia" w:ascii="宋体" w:hAnsi="宋体" w:eastAsia="宋体" w:cs="宋体"/>
          <w:b/>
          <w:sz w:val="24"/>
          <w:szCs w:val="24"/>
        </w:rPr>
        <w:t>六、评审方法</w:t>
      </w:r>
      <w:bookmarkEnd w:id="263"/>
      <w:bookmarkEnd w:id="264"/>
      <w:bookmarkEnd w:id="265"/>
    </w:p>
    <w:p w14:paraId="6E3E7BC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本项目采用“综合评分法”进行评审。综合评分法，是指响应文件满足磋商文件全部实质性要求且按评审因素的量化指标评审得分最高的供应商为成交候选供应商的评审方法。</w:t>
      </w:r>
    </w:p>
    <w:p w14:paraId="7587177D">
      <w:pPr>
        <w:spacing w:line="360" w:lineRule="auto"/>
        <w:ind w:firstLine="496" w:firstLineChars="206"/>
        <w:rPr>
          <w:rFonts w:hint="eastAsia" w:ascii="宋体" w:hAnsi="宋体" w:eastAsia="宋体" w:cs="宋体"/>
          <w:b/>
          <w:sz w:val="24"/>
        </w:rPr>
      </w:pPr>
      <w:r>
        <w:rPr>
          <w:rFonts w:hint="eastAsia" w:ascii="宋体" w:hAnsi="宋体" w:eastAsia="宋体" w:cs="宋体"/>
          <w:b/>
          <w:sz w:val="24"/>
        </w:rPr>
        <w:t>关于中小企业：</w:t>
      </w:r>
    </w:p>
    <w:p w14:paraId="65B7490B">
      <w:pPr>
        <w:spacing w:line="360" w:lineRule="auto"/>
        <w:ind w:firstLine="494" w:firstLineChars="206"/>
        <w:rPr>
          <w:rFonts w:hint="eastAsia" w:ascii="宋体" w:hAnsi="宋体" w:eastAsia="宋体" w:cs="宋体"/>
          <w:sz w:val="24"/>
        </w:rPr>
      </w:pPr>
      <w:r>
        <w:rPr>
          <w:rFonts w:hint="eastAsia" w:ascii="宋体" w:hAnsi="宋体" w:eastAsia="宋体" w:cs="宋体"/>
          <w:sz w:val="24"/>
        </w:rPr>
        <w:t>1．根据</w:t>
      </w:r>
      <w:r>
        <w:rPr>
          <w:rFonts w:hint="eastAsia" w:ascii="宋体" w:hAnsi="宋体" w:eastAsia="宋体" w:cs="宋体"/>
          <w:sz w:val="24"/>
          <w:szCs w:val="24"/>
        </w:rPr>
        <w:t>《政府采购促进中小企业发展管理办法》（财库〔2020〕46号）</w:t>
      </w:r>
      <w:r>
        <w:rPr>
          <w:rFonts w:hint="eastAsia" w:ascii="宋体" w:hAnsi="宋体" w:eastAsia="宋体" w:cs="宋体"/>
          <w:sz w:val="24"/>
        </w:rPr>
        <w:t>的规定，中小企业</w:t>
      </w:r>
      <w:r>
        <w:rPr>
          <w:rFonts w:hint="eastAsia" w:ascii="宋体" w:hAnsi="宋体" w:eastAsia="宋体" w:cs="宋体"/>
          <w:sz w:val="24"/>
          <w:lang w:eastAsia="zh-CN"/>
        </w:rPr>
        <w:t>（</w:t>
      </w:r>
      <w:r>
        <w:rPr>
          <w:rFonts w:hint="eastAsia" w:ascii="宋体" w:hAnsi="宋体" w:eastAsia="宋体" w:cs="宋体"/>
          <w:sz w:val="24"/>
        </w:rPr>
        <w:t>含中型、小型、微型企业，下同</w:t>
      </w:r>
      <w:r>
        <w:rPr>
          <w:rFonts w:hint="eastAsia" w:ascii="宋体" w:hAnsi="宋体" w:eastAsia="宋体" w:cs="宋体"/>
          <w:sz w:val="24"/>
          <w:lang w:eastAsia="zh-CN"/>
        </w:rPr>
        <w:t>）</w:t>
      </w:r>
      <w:r>
        <w:rPr>
          <w:rFonts w:hint="eastAsia" w:ascii="宋体" w:hAnsi="宋体" w:eastAsia="宋体" w:cs="宋体"/>
          <w:sz w:val="24"/>
        </w:rPr>
        <w:t>应当同时符合以下条件：</w:t>
      </w:r>
    </w:p>
    <w:p w14:paraId="4F0D08A4">
      <w:pPr>
        <w:spacing w:line="360" w:lineRule="auto"/>
        <w:ind w:firstLine="494" w:firstLineChars="206"/>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符合中小企业划分标准；</w:t>
      </w:r>
    </w:p>
    <w:p w14:paraId="125AF2D9">
      <w:pPr>
        <w:spacing w:line="360" w:lineRule="auto"/>
        <w:ind w:firstLine="494" w:firstLineChars="206"/>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提供本企业制造的货物、承担的工程或者服务，或者提供其他中小企业制造的货物。本项所称货物不包括使用大型企业注册商标的货物。</w:t>
      </w:r>
    </w:p>
    <w:p w14:paraId="3C3E1C77">
      <w:pPr>
        <w:spacing w:line="360" w:lineRule="auto"/>
        <w:ind w:firstLine="494" w:firstLineChars="206"/>
        <w:rPr>
          <w:rFonts w:hint="eastAsia" w:ascii="宋体" w:hAnsi="宋体" w:eastAsia="宋体" w:cs="宋体"/>
          <w:sz w:val="24"/>
        </w:rPr>
      </w:pPr>
      <w:r>
        <w:rPr>
          <w:rFonts w:hint="eastAsia" w:ascii="宋体" w:hAnsi="宋体" w:eastAsia="宋体" w:cs="宋体"/>
          <w:sz w:val="24"/>
        </w:rPr>
        <w:t>2.本规定所称中小企业划分标准，是指国务院有关部门根据企业从业人员、营业收入、资产总额等指标制定的中小企业划型标准，详见《关于印发中小企业划型标准规定的通知》</w:t>
      </w:r>
      <w:r>
        <w:rPr>
          <w:rFonts w:hint="eastAsia" w:ascii="宋体" w:hAnsi="宋体" w:eastAsia="宋体" w:cs="宋体"/>
          <w:sz w:val="24"/>
          <w:lang w:eastAsia="zh-CN"/>
        </w:rPr>
        <w:t>（</w:t>
      </w:r>
      <w:r>
        <w:rPr>
          <w:rFonts w:hint="eastAsia" w:ascii="宋体" w:hAnsi="宋体" w:eastAsia="宋体" w:cs="宋体"/>
          <w:sz w:val="24"/>
        </w:rPr>
        <w:t>工信部联企业〔2011〕300号</w:t>
      </w:r>
      <w:r>
        <w:rPr>
          <w:rFonts w:hint="eastAsia" w:ascii="宋体" w:hAnsi="宋体" w:eastAsia="宋体" w:cs="宋体"/>
          <w:sz w:val="24"/>
          <w:lang w:eastAsia="zh-CN"/>
        </w:rPr>
        <w:t>）</w:t>
      </w:r>
      <w:r>
        <w:rPr>
          <w:rFonts w:hint="eastAsia" w:ascii="宋体" w:hAnsi="宋体" w:eastAsia="宋体" w:cs="宋体"/>
          <w:sz w:val="24"/>
        </w:rPr>
        <w:t>。</w:t>
      </w:r>
    </w:p>
    <w:p w14:paraId="686205F5">
      <w:pPr>
        <w:spacing w:line="360" w:lineRule="auto"/>
        <w:ind w:firstLine="494" w:firstLineChars="206"/>
        <w:rPr>
          <w:rFonts w:hint="eastAsia" w:ascii="宋体" w:hAnsi="宋体" w:eastAsia="宋体" w:cs="宋体"/>
          <w:sz w:val="24"/>
        </w:rPr>
      </w:pPr>
      <w:r>
        <w:rPr>
          <w:rFonts w:hint="eastAsia" w:ascii="宋体" w:hAnsi="宋体" w:eastAsia="宋体" w:cs="宋体"/>
          <w:sz w:val="24"/>
        </w:rPr>
        <w:t>3.小型、微型企业提供大型企业制造的货物的，视同为大型企业。</w:t>
      </w:r>
    </w:p>
    <w:p w14:paraId="6C4CB347">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（二）初步评审</w:t>
      </w:r>
    </w:p>
    <w:tbl>
      <w:tblPr>
        <w:tblStyle w:val="25"/>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843"/>
        <w:gridCol w:w="2726"/>
        <w:gridCol w:w="5230"/>
      </w:tblGrid>
      <w:tr w14:paraId="1023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68" w:type="dxa"/>
            <w:gridSpan w:val="2"/>
            <w:vAlign w:val="center"/>
          </w:tcPr>
          <w:p w14:paraId="2845D97F">
            <w:pPr>
              <w:autoSpaceDE w:val="0"/>
              <w:autoSpaceDN w:val="0"/>
              <w:adjustRightInd w:val="0"/>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726" w:type="dxa"/>
            <w:vAlign w:val="center"/>
          </w:tcPr>
          <w:p w14:paraId="71A6DB95">
            <w:pPr>
              <w:autoSpaceDE w:val="0"/>
              <w:autoSpaceDN w:val="0"/>
              <w:adjustRightInd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230" w:type="dxa"/>
            <w:vAlign w:val="center"/>
          </w:tcPr>
          <w:p w14:paraId="4C1D2507">
            <w:pPr>
              <w:autoSpaceDE w:val="0"/>
              <w:autoSpaceDN w:val="0"/>
              <w:adjustRightInd w:val="0"/>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600B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25" w:type="dxa"/>
            <w:vMerge w:val="restart"/>
            <w:vAlign w:val="center"/>
          </w:tcPr>
          <w:p w14:paraId="18B2CFC5">
            <w:pPr>
              <w:autoSpaceDE w:val="0"/>
              <w:autoSpaceDN w:val="0"/>
              <w:adjustRightInd w:val="0"/>
              <w:jc w:val="center"/>
              <w:rPr>
                <w:rFonts w:hint="eastAsia" w:ascii="宋体" w:hAnsi="宋体" w:eastAsia="宋体" w:cs="宋体"/>
                <w:sz w:val="24"/>
                <w:szCs w:val="24"/>
              </w:rPr>
            </w:pPr>
            <w:r>
              <w:rPr>
                <w:rFonts w:hint="eastAsia" w:ascii="宋体" w:hAnsi="宋体" w:eastAsia="宋体" w:cs="宋体"/>
                <w:sz w:val="24"/>
                <w:szCs w:val="24"/>
              </w:rPr>
              <w:t>2.1</w:t>
            </w:r>
          </w:p>
        </w:tc>
        <w:tc>
          <w:tcPr>
            <w:tcW w:w="843" w:type="dxa"/>
            <w:vMerge w:val="restart"/>
            <w:vAlign w:val="center"/>
          </w:tcPr>
          <w:p w14:paraId="53BDA40E">
            <w:pPr>
              <w:autoSpaceDE w:val="0"/>
              <w:autoSpaceDN w:val="0"/>
              <w:adjustRightIn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资格审查标准</w:t>
            </w:r>
          </w:p>
        </w:tc>
        <w:tc>
          <w:tcPr>
            <w:tcW w:w="2726" w:type="dxa"/>
            <w:vAlign w:val="center"/>
          </w:tcPr>
          <w:p w14:paraId="6213430C">
            <w:pPr>
              <w:spacing w:line="360" w:lineRule="exact"/>
              <w:rPr>
                <w:rFonts w:hint="eastAsia" w:ascii="宋体" w:hAnsi="宋体" w:eastAsia="宋体" w:cs="宋体"/>
                <w:bCs/>
                <w:sz w:val="24"/>
                <w:szCs w:val="24"/>
              </w:rPr>
            </w:pPr>
            <w:r>
              <w:rPr>
                <w:rFonts w:hint="eastAsia" w:ascii="宋体" w:hAnsi="宋体" w:eastAsia="宋体" w:cs="宋体"/>
                <w:bCs/>
                <w:sz w:val="24"/>
                <w:szCs w:val="24"/>
              </w:rPr>
              <w:t>具有独立承担民事责任的能力</w:t>
            </w:r>
          </w:p>
        </w:tc>
        <w:tc>
          <w:tcPr>
            <w:tcW w:w="5230" w:type="dxa"/>
            <w:vAlign w:val="center"/>
          </w:tcPr>
          <w:p w14:paraId="1BCD7975">
            <w:pPr>
              <w:spacing w:line="360" w:lineRule="exact"/>
              <w:rPr>
                <w:rFonts w:hint="eastAsia" w:ascii="宋体" w:hAnsi="宋体" w:eastAsia="宋体" w:cs="宋体"/>
                <w:bCs/>
                <w:sz w:val="24"/>
                <w:szCs w:val="24"/>
              </w:rPr>
            </w:pPr>
            <w:r>
              <w:rPr>
                <w:rFonts w:hint="eastAsia" w:ascii="宋体" w:hAnsi="宋体" w:eastAsia="宋体" w:cs="宋体"/>
                <w:i w:val="0"/>
                <w:iCs w:val="0"/>
                <w:color w:val="auto"/>
                <w:sz w:val="24"/>
                <w:szCs w:val="24"/>
              </w:rPr>
              <w:t>供应商须为具有独立承担民事责任能力的法人、其他组织或者自然人，具有有效的营业执照或其他法定凭证（扫描件加盖供应商电子公章）</w:t>
            </w:r>
          </w:p>
        </w:tc>
      </w:tr>
      <w:tr w14:paraId="47D2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5" w:type="dxa"/>
            <w:vMerge w:val="continue"/>
            <w:vAlign w:val="center"/>
          </w:tcPr>
          <w:p w14:paraId="1476C23C">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3EE9C63D">
            <w:pPr>
              <w:autoSpaceDE w:val="0"/>
              <w:autoSpaceDN w:val="0"/>
              <w:adjustRightInd w:val="0"/>
              <w:jc w:val="center"/>
              <w:rPr>
                <w:rFonts w:hint="eastAsia" w:ascii="宋体" w:hAnsi="宋体" w:eastAsia="宋体" w:cs="宋体"/>
                <w:b w:val="0"/>
                <w:bCs w:val="0"/>
                <w:sz w:val="24"/>
                <w:szCs w:val="24"/>
              </w:rPr>
            </w:pPr>
          </w:p>
        </w:tc>
        <w:tc>
          <w:tcPr>
            <w:tcW w:w="2726" w:type="dxa"/>
            <w:shd w:val="clear" w:color="auto" w:fill="auto"/>
            <w:vAlign w:val="center"/>
          </w:tcPr>
          <w:p w14:paraId="694EACA9">
            <w:pPr>
              <w:spacing w:line="360" w:lineRule="exact"/>
              <w:rPr>
                <w:rFonts w:hint="eastAsia" w:ascii="宋体" w:hAnsi="宋体" w:eastAsia="宋体" w:cs="宋体"/>
                <w:bCs/>
                <w:sz w:val="24"/>
                <w:szCs w:val="24"/>
                <w:lang w:val="en-US" w:eastAsia="zh-CN"/>
              </w:rPr>
            </w:pPr>
            <w:r>
              <w:rPr>
                <w:rFonts w:hint="eastAsia" w:ascii="宋体" w:hAnsi="宋体" w:eastAsia="宋体" w:cs="宋体"/>
                <w:bCs/>
                <w:sz w:val="24"/>
                <w:szCs w:val="24"/>
              </w:rPr>
              <w:t>具有良好的商业信誉和健全的财务会计制度</w:t>
            </w:r>
          </w:p>
        </w:tc>
        <w:tc>
          <w:tcPr>
            <w:tcW w:w="5230" w:type="dxa"/>
            <w:shd w:val="clear" w:color="auto" w:fill="auto"/>
            <w:vAlign w:val="center"/>
          </w:tcPr>
          <w:p w14:paraId="205A2B4F">
            <w:pPr>
              <w:numPr>
                <w:ilvl w:val="0"/>
                <w:numId w:val="0"/>
              </w:numPr>
              <w:spacing w:line="360" w:lineRule="exac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供应商在“信用中国”网站（www.creditchina.gov.cn）中未被列入政府采购严重违法失信行为记录名单、失信被执行人和重大税收违法失信主体（查询结果以采购人、采购代理机构查询结果为准，并将查询记录和证据留存）；</w:t>
            </w:r>
          </w:p>
          <w:p w14:paraId="48327DE7">
            <w:pPr>
              <w:numPr>
                <w:ilvl w:val="0"/>
                <w:numId w:val="0"/>
              </w:numPr>
              <w:spacing w:line="360" w:lineRule="exac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w:t>
            </w:r>
            <w:r>
              <w:rPr>
                <w:rFonts w:hint="eastAsia" w:ascii="宋体" w:hAnsi="宋体" w:eastAsia="宋体" w:cs="宋体"/>
                <w:i w:val="0"/>
                <w:iCs w:val="0"/>
                <w:color w:val="auto"/>
                <w:sz w:val="24"/>
                <w:szCs w:val="24"/>
              </w:rPr>
              <w:t>供应商财务状况良好，提</w:t>
            </w:r>
            <w:r>
              <w:rPr>
                <w:rFonts w:hint="eastAsia" w:ascii="宋体" w:hAnsi="宋体" w:cs="宋体"/>
                <w:i w:val="0"/>
                <w:iCs w:val="0"/>
                <w:color w:val="auto"/>
                <w:sz w:val="24"/>
                <w:szCs w:val="24"/>
                <w:lang w:val="en-US" w:eastAsia="zh-CN"/>
              </w:rPr>
              <w:t>供</w:t>
            </w:r>
            <w:r>
              <w:rPr>
                <w:rFonts w:hint="eastAsia" w:ascii="宋体" w:hAnsi="宋体" w:eastAsia="宋体" w:cs="宋体"/>
                <w:i w:val="0"/>
                <w:iCs w:val="0"/>
                <w:color w:val="auto"/>
                <w:sz w:val="24"/>
                <w:szCs w:val="24"/>
              </w:rPr>
              <w:t>近三年</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rPr>
              <w:t>202</w:t>
            </w:r>
            <w:r>
              <w:rPr>
                <w:rFonts w:hint="eastAsia" w:ascii="宋体" w:hAnsi="宋体" w:cs="宋体"/>
                <w:i w:val="0"/>
                <w:iCs w:val="0"/>
                <w:color w:val="auto"/>
                <w:sz w:val="24"/>
                <w:szCs w:val="24"/>
                <w:lang w:val="en-US" w:eastAsia="zh-CN"/>
              </w:rPr>
              <w:t>3</w:t>
            </w:r>
            <w:r>
              <w:rPr>
                <w:rFonts w:hint="eastAsia" w:ascii="宋体" w:hAnsi="宋体" w:eastAsia="宋体" w:cs="宋体"/>
                <w:i w:val="0"/>
                <w:iCs w:val="0"/>
                <w:color w:val="auto"/>
                <w:sz w:val="24"/>
                <w:szCs w:val="24"/>
              </w:rPr>
              <w:t>年-202</w:t>
            </w:r>
            <w:r>
              <w:rPr>
                <w:rFonts w:hint="eastAsia" w:ascii="宋体" w:hAnsi="宋体" w:cs="宋体"/>
                <w:i w:val="0"/>
                <w:iCs w:val="0"/>
                <w:color w:val="auto"/>
                <w:sz w:val="24"/>
                <w:szCs w:val="24"/>
                <w:lang w:val="en-US" w:eastAsia="zh-CN"/>
              </w:rPr>
              <w:t>5</w:t>
            </w:r>
            <w:r>
              <w:rPr>
                <w:rFonts w:hint="eastAsia" w:ascii="宋体" w:hAnsi="宋体" w:eastAsia="宋体" w:cs="宋体"/>
                <w:i w:val="0"/>
                <w:iCs w:val="0"/>
                <w:color w:val="auto"/>
                <w:sz w:val="24"/>
                <w:szCs w:val="24"/>
              </w:rPr>
              <w:t>年</w:t>
            </w:r>
            <w:r>
              <w:rPr>
                <w:rFonts w:hint="eastAsia" w:ascii="宋体" w:hAnsi="宋体" w:cs="宋体"/>
                <w:i w:val="0"/>
                <w:iCs w:val="0"/>
                <w:color w:val="auto"/>
                <w:sz w:val="24"/>
                <w:szCs w:val="24"/>
                <w:lang w:eastAsia="zh-CN"/>
              </w:rPr>
              <w:t>）</w:t>
            </w:r>
            <w:r>
              <w:rPr>
                <w:rFonts w:hint="eastAsia" w:ascii="宋体" w:hAnsi="宋体" w:eastAsia="宋体" w:cs="宋体"/>
                <w:b/>
                <w:bCs/>
                <w:i w:val="0"/>
                <w:iCs w:val="0"/>
                <w:color w:val="auto"/>
                <w:sz w:val="24"/>
                <w:szCs w:val="24"/>
              </w:rPr>
              <w:t>任意</w:t>
            </w:r>
            <w:r>
              <w:rPr>
                <w:rFonts w:hint="eastAsia" w:ascii="宋体" w:hAnsi="宋体" w:eastAsia="宋体" w:cs="宋体"/>
                <w:i w:val="0"/>
                <w:iCs w:val="0"/>
                <w:color w:val="auto"/>
                <w:sz w:val="24"/>
                <w:szCs w:val="24"/>
              </w:rPr>
              <w:t>一年经第三方机构审计的审计报告和财务报表或内部财务报表（成立不足1年的企业，附成立至今的财务报表或相关财务证明资料）（扫描件加盖供应商电子公章）；</w:t>
            </w:r>
          </w:p>
        </w:tc>
      </w:tr>
      <w:tr w14:paraId="7257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5" w:type="dxa"/>
            <w:vMerge w:val="continue"/>
            <w:vAlign w:val="center"/>
          </w:tcPr>
          <w:p w14:paraId="4FC5AE13">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568330C0">
            <w:pPr>
              <w:autoSpaceDE w:val="0"/>
              <w:autoSpaceDN w:val="0"/>
              <w:adjustRightInd w:val="0"/>
              <w:jc w:val="center"/>
              <w:rPr>
                <w:rFonts w:hint="eastAsia" w:ascii="宋体" w:hAnsi="宋体" w:eastAsia="宋体" w:cs="宋体"/>
                <w:b w:val="0"/>
                <w:bCs w:val="0"/>
                <w:sz w:val="24"/>
                <w:szCs w:val="24"/>
              </w:rPr>
            </w:pPr>
          </w:p>
        </w:tc>
        <w:tc>
          <w:tcPr>
            <w:tcW w:w="2726" w:type="dxa"/>
            <w:shd w:val="clear" w:color="auto" w:fill="auto"/>
            <w:vAlign w:val="center"/>
          </w:tcPr>
          <w:p w14:paraId="7A456817">
            <w:pPr>
              <w:spacing w:line="360" w:lineRule="exac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具有履行合同所必需的设备和专业技术能力</w:t>
            </w:r>
          </w:p>
        </w:tc>
        <w:tc>
          <w:tcPr>
            <w:tcW w:w="5230" w:type="dxa"/>
            <w:shd w:val="clear" w:color="auto" w:fill="auto"/>
            <w:vAlign w:val="center"/>
          </w:tcPr>
          <w:p w14:paraId="339D1067">
            <w:pPr>
              <w:spacing w:line="360" w:lineRule="exact"/>
              <w:rPr>
                <w:rFonts w:hint="eastAsia" w:ascii="宋体" w:hAnsi="宋体" w:eastAsia="宋体" w:cs="宋体"/>
                <w:bCs/>
                <w:sz w:val="24"/>
                <w:szCs w:val="24"/>
                <w:highlight w:val="none"/>
                <w:lang w:val="en-US" w:eastAsia="zh-CN"/>
              </w:rPr>
            </w:pPr>
            <w:r>
              <w:rPr>
                <w:rFonts w:hint="eastAsia" w:ascii="宋体" w:hAnsi="宋体" w:eastAsia="宋体" w:cs="宋体"/>
                <w:i w:val="0"/>
                <w:iCs w:val="0"/>
                <w:color w:val="auto"/>
                <w:sz w:val="24"/>
                <w:szCs w:val="24"/>
                <w:highlight w:val="none"/>
              </w:rPr>
              <w:t>提供供应商具有履行合同所必需的设备和专业技术能力证明材料</w:t>
            </w:r>
            <w:r>
              <w:rPr>
                <w:rFonts w:hint="eastAsia" w:ascii="宋体" w:hAnsi="宋体" w:cs="宋体"/>
                <w:i w:val="0"/>
                <w:iCs w:val="0"/>
                <w:color w:val="auto"/>
                <w:sz w:val="24"/>
                <w:szCs w:val="24"/>
                <w:highlight w:val="none"/>
                <w:lang w:val="en-US" w:eastAsia="zh-CN"/>
              </w:rPr>
              <w:t>或</w:t>
            </w:r>
            <w:r>
              <w:rPr>
                <w:rFonts w:hint="eastAsia" w:ascii="宋体" w:hAnsi="宋体" w:eastAsia="宋体" w:cs="宋体"/>
                <w:i w:val="0"/>
                <w:iCs w:val="0"/>
                <w:color w:val="auto"/>
                <w:sz w:val="24"/>
                <w:szCs w:val="24"/>
                <w:highlight w:val="none"/>
              </w:rPr>
              <w:t>书面声明（加盖供应商电子公章）</w:t>
            </w:r>
          </w:p>
        </w:tc>
      </w:tr>
      <w:tr w14:paraId="1412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5" w:type="dxa"/>
            <w:vMerge w:val="continue"/>
            <w:vAlign w:val="center"/>
          </w:tcPr>
          <w:p w14:paraId="11912B99">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1AA94425">
            <w:pPr>
              <w:autoSpaceDE w:val="0"/>
              <w:autoSpaceDN w:val="0"/>
              <w:adjustRightInd w:val="0"/>
              <w:jc w:val="center"/>
              <w:rPr>
                <w:rFonts w:hint="eastAsia" w:ascii="宋体" w:hAnsi="宋体" w:eastAsia="宋体" w:cs="宋体"/>
                <w:b w:val="0"/>
                <w:bCs w:val="0"/>
                <w:sz w:val="24"/>
                <w:szCs w:val="24"/>
              </w:rPr>
            </w:pPr>
          </w:p>
        </w:tc>
        <w:tc>
          <w:tcPr>
            <w:tcW w:w="2726" w:type="dxa"/>
            <w:shd w:val="clear" w:color="auto" w:fill="auto"/>
            <w:vAlign w:val="center"/>
          </w:tcPr>
          <w:p w14:paraId="699B770C">
            <w:pPr>
              <w:spacing w:line="36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有依法缴纳税收和社会保障资金的良好记录</w:t>
            </w:r>
          </w:p>
        </w:tc>
        <w:tc>
          <w:tcPr>
            <w:tcW w:w="5230" w:type="dxa"/>
            <w:shd w:val="clear" w:color="auto" w:fill="auto"/>
            <w:vAlign w:val="center"/>
          </w:tcPr>
          <w:p w14:paraId="5139CBFB">
            <w:pPr>
              <w:spacing w:line="360" w:lineRule="exact"/>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提供供应商缴税所属时间在2025年6月至本项目响应文件提交截止时间前任意连续3个月的税务局税收通用缴款书或银行电子缴税（费）凭证或税务局出具纳税情况的相关证明，新成立企业，成立时间不足3个月的提供自成立以来的税务局税收通用缴款书扫描件或银行电子缴税（费）凭证扫描件或税务局出具纳税情况的相关证明。供应商依法免税的，应提供依法免税的相关证明文件（加盖供应商电子公章）；</w:t>
            </w:r>
          </w:p>
          <w:p w14:paraId="0D876CC3">
            <w:pPr>
              <w:spacing w:line="360" w:lineRule="exact"/>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提供供应商缴费所属时间在2025年6月至本项目响应文件提交截止时间前任意连续3个月的社会保险费缴款书或银行电子缴税（费）凭证或社保管理部门出具的有效的缴款证明，新成立企业，成立时间不足3个月的提供自成立以来的社会保险费缴款书扫描件或银行电子缴税（费）凭证扫描件或社保管理部门出具的有效的缴款证明。供应商依法免缴的，应提供依法免缴的相关证明文件（加盖供应商电子公章）；</w:t>
            </w:r>
          </w:p>
        </w:tc>
      </w:tr>
      <w:tr w14:paraId="22D3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5" w:type="dxa"/>
            <w:vMerge w:val="continue"/>
            <w:vAlign w:val="center"/>
          </w:tcPr>
          <w:p w14:paraId="3DC417E7">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5C9CD008">
            <w:pPr>
              <w:autoSpaceDE w:val="0"/>
              <w:autoSpaceDN w:val="0"/>
              <w:adjustRightInd w:val="0"/>
              <w:jc w:val="center"/>
              <w:rPr>
                <w:rFonts w:hint="eastAsia" w:ascii="宋体" w:hAnsi="宋体" w:eastAsia="宋体" w:cs="宋体"/>
                <w:b w:val="0"/>
                <w:bCs w:val="0"/>
                <w:sz w:val="24"/>
                <w:szCs w:val="24"/>
              </w:rPr>
            </w:pPr>
          </w:p>
        </w:tc>
        <w:tc>
          <w:tcPr>
            <w:tcW w:w="2726" w:type="dxa"/>
            <w:shd w:val="clear" w:color="auto" w:fill="auto"/>
            <w:vAlign w:val="center"/>
          </w:tcPr>
          <w:p w14:paraId="19EBEA42">
            <w:pPr>
              <w:spacing w:line="36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参加政府采购活动前三年内，在经营活动中没有重大违法记录；</w:t>
            </w:r>
          </w:p>
        </w:tc>
        <w:tc>
          <w:tcPr>
            <w:tcW w:w="5230" w:type="dxa"/>
            <w:shd w:val="clear" w:color="auto" w:fill="auto"/>
            <w:vAlign w:val="center"/>
          </w:tcPr>
          <w:p w14:paraId="3CD399E0">
            <w:pPr>
              <w:spacing w:line="36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提供供应商参加采购活动前三年内，在经营活动中没有重大违法记录（重大违法记录，是指供应商因违法经营受到刑事处罚或者责令停产停业、吊销许可证或者执照、较大数额罚款等行政处罚）的书面声明（加盖供应商电子公章）。</w:t>
            </w:r>
          </w:p>
        </w:tc>
      </w:tr>
      <w:tr w14:paraId="3765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5" w:type="dxa"/>
            <w:vMerge w:val="continue"/>
            <w:vAlign w:val="center"/>
          </w:tcPr>
          <w:p w14:paraId="53FDF46B">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04DB67EF">
            <w:pPr>
              <w:autoSpaceDE w:val="0"/>
              <w:autoSpaceDN w:val="0"/>
              <w:adjustRightInd w:val="0"/>
              <w:jc w:val="center"/>
              <w:rPr>
                <w:rFonts w:hint="eastAsia" w:ascii="宋体" w:hAnsi="宋体" w:eastAsia="宋体" w:cs="宋体"/>
                <w:b w:val="0"/>
                <w:bCs w:val="0"/>
                <w:sz w:val="24"/>
                <w:szCs w:val="24"/>
              </w:rPr>
            </w:pPr>
          </w:p>
        </w:tc>
        <w:tc>
          <w:tcPr>
            <w:tcW w:w="2726" w:type="dxa"/>
            <w:shd w:val="clear" w:color="auto" w:fill="auto"/>
            <w:vAlign w:val="center"/>
          </w:tcPr>
          <w:p w14:paraId="5C6A506F">
            <w:pPr>
              <w:spacing w:line="36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法律、行政法规规定的其他条件</w:t>
            </w:r>
          </w:p>
        </w:tc>
        <w:tc>
          <w:tcPr>
            <w:tcW w:w="5230" w:type="dxa"/>
            <w:shd w:val="clear" w:color="auto" w:fill="auto"/>
            <w:vAlign w:val="center"/>
          </w:tcPr>
          <w:p w14:paraId="25E77E50">
            <w:pPr>
              <w:spacing w:line="360" w:lineRule="exact"/>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eastAsia="宋体" w:cs="宋体"/>
                <w:bCs/>
                <w:sz w:val="24"/>
                <w:szCs w:val="24"/>
              </w:rPr>
              <w:t>单位负责人为同一人或者存在直接控股、管理关系的不同供应商，不得参加同一合同项下的政府采购活动，提供书面说明。（加盖供应商电子公章）</w:t>
            </w:r>
          </w:p>
          <w:p w14:paraId="2BF97B16">
            <w:pPr>
              <w:spacing w:line="360" w:lineRule="exact"/>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eastAsia="宋体" w:cs="宋体"/>
                <w:bCs/>
                <w:sz w:val="24"/>
                <w:szCs w:val="24"/>
              </w:rPr>
              <w:t>为本采购项目提供整体设计、规范编制或者项目管理、监理、检测等服务的供应商，不得再参加该采购项目的其他采购活动，提供书面说明。（加盖供应商电子公章）。</w:t>
            </w:r>
          </w:p>
        </w:tc>
      </w:tr>
      <w:tr w14:paraId="46F9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5" w:type="dxa"/>
            <w:vMerge w:val="continue"/>
            <w:vAlign w:val="center"/>
          </w:tcPr>
          <w:p w14:paraId="75C82791">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0AE89F2C">
            <w:pPr>
              <w:autoSpaceDE w:val="0"/>
              <w:autoSpaceDN w:val="0"/>
              <w:adjustRightInd w:val="0"/>
              <w:jc w:val="center"/>
              <w:rPr>
                <w:rFonts w:hint="eastAsia" w:ascii="宋体" w:hAnsi="宋体" w:eastAsia="宋体" w:cs="宋体"/>
                <w:b w:val="0"/>
                <w:bCs w:val="0"/>
                <w:sz w:val="24"/>
                <w:szCs w:val="24"/>
              </w:rPr>
            </w:pPr>
          </w:p>
        </w:tc>
        <w:tc>
          <w:tcPr>
            <w:tcW w:w="2726" w:type="dxa"/>
            <w:shd w:val="clear" w:color="auto" w:fill="auto"/>
            <w:vAlign w:val="center"/>
          </w:tcPr>
          <w:p w14:paraId="21EA2298">
            <w:pPr>
              <w:spacing w:line="360" w:lineRule="exact"/>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落实政府采购政策需满足的资格要求</w:t>
            </w:r>
          </w:p>
        </w:tc>
        <w:tc>
          <w:tcPr>
            <w:tcW w:w="5230" w:type="dxa"/>
            <w:shd w:val="clear" w:color="auto" w:fill="auto"/>
            <w:vAlign w:val="center"/>
          </w:tcPr>
          <w:p w14:paraId="55D38E07">
            <w:pPr>
              <w:spacing w:line="360" w:lineRule="exact"/>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本项目专门面向中小微企业采购，供应商应为中小微企业或残疾人福利性单位或监狱企业，并按照竞争性磋商文件要求提供《中小企业声明函》或《残疾人福利性单位声明函》或监狱企业证明材料。</w:t>
            </w:r>
          </w:p>
        </w:tc>
      </w:tr>
      <w:tr w14:paraId="390B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5" w:type="dxa"/>
            <w:vMerge w:val="continue"/>
            <w:vAlign w:val="center"/>
          </w:tcPr>
          <w:p w14:paraId="5E4C76E5">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5856AF90">
            <w:pPr>
              <w:autoSpaceDE w:val="0"/>
              <w:autoSpaceDN w:val="0"/>
              <w:adjustRightInd w:val="0"/>
              <w:jc w:val="center"/>
              <w:rPr>
                <w:rFonts w:hint="eastAsia" w:ascii="宋体" w:hAnsi="宋体" w:eastAsia="宋体" w:cs="宋体"/>
                <w:b w:val="0"/>
                <w:bCs w:val="0"/>
                <w:sz w:val="24"/>
                <w:szCs w:val="24"/>
              </w:rPr>
            </w:pPr>
          </w:p>
        </w:tc>
        <w:tc>
          <w:tcPr>
            <w:tcW w:w="2726" w:type="dxa"/>
            <w:shd w:val="clear" w:color="auto" w:fill="auto"/>
            <w:vAlign w:val="center"/>
          </w:tcPr>
          <w:p w14:paraId="433A194C">
            <w:pPr>
              <w:spacing w:line="36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特定资格要求</w:t>
            </w:r>
          </w:p>
        </w:tc>
        <w:tc>
          <w:tcPr>
            <w:tcW w:w="5230" w:type="dxa"/>
            <w:shd w:val="clear" w:color="auto" w:fill="auto"/>
            <w:vAlign w:val="center"/>
          </w:tcPr>
          <w:p w14:paraId="50DBEBF1">
            <w:pPr>
              <w:spacing w:line="360" w:lineRule="exact"/>
              <w:rPr>
                <w:rFonts w:hint="default" w:ascii="宋体" w:hAnsi="宋体" w:eastAsia="宋体" w:cs="宋体"/>
                <w:bCs/>
                <w:sz w:val="24"/>
                <w:szCs w:val="24"/>
                <w:lang w:val="en-US" w:eastAsia="zh-CN"/>
              </w:rPr>
            </w:pPr>
            <w:r>
              <w:rPr>
                <w:rFonts w:hint="eastAsia" w:ascii="宋体" w:hAnsi="宋体" w:cs="宋体"/>
                <w:bCs/>
                <w:sz w:val="24"/>
                <w:szCs w:val="24"/>
                <w:lang w:val="en-US" w:eastAsia="zh-CN"/>
              </w:rPr>
              <w:t>无</w:t>
            </w:r>
          </w:p>
        </w:tc>
      </w:tr>
      <w:tr w14:paraId="6E31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5" w:type="dxa"/>
            <w:vMerge w:val="restart"/>
            <w:vAlign w:val="center"/>
          </w:tcPr>
          <w:p w14:paraId="72D58CED">
            <w:pPr>
              <w:autoSpaceDE w:val="0"/>
              <w:autoSpaceDN w:val="0"/>
              <w:adjustRightIn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843" w:type="dxa"/>
            <w:vMerge w:val="restart"/>
            <w:vAlign w:val="center"/>
          </w:tcPr>
          <w:p w14:paraId="7188B9D9">
            <w:pPr>
              <w:autoSpaceDE w:val="0"/>
              <w:autoSpaceDN w:val="0"/>
              <w:adjustRightIn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符合性审查</w:t>
            </w:r>
          </w:p>
        </w:tc>
        <w:tc>
          <w:tcPr>
            <w:tcW w:w="2726" w:type="dxa"/>
            <w:vAlign w:val="center"/>
          </w:tcPr>
          <w:p w14:paraId="49BA5DB5">
            <w:pPr>
              <w:spacing w:line="36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响应</w:t>
            </w:r>
            <w:r>
              <w:rPr>
                <w:rFonts w:hint="eastAsia" w:ascii="宋体" w:hAnsi="宋体" w:eastAsia="宋体" w:cs="宋体"/>
                <w:bCs/>
                <w:sz w:val="24"/>
                <w:szCs w:val="24"/>
              </w:rPr>
              <w:t>文件签署、盖章</w:t>
            </w:r>
          </w:p>
        </w:tc>
        <w:tc>
          <w:tcPr>
            <w:tcW w:w="5230" w:type="dxa"/>
            <w:vAlign w:val="center"/>
          </w:tcPr>
          <w:p w14:paraId="73E3E93B">
            <w:pPr>
              <w:spacing w:line="360" w:lineRule="exact"/>
              <w:rPr>
                <w:rFonts w:hint="eastAsia" w:ascii="宋体" w:hAnsi="宋体" w:eastAsia="宋体" w:cs="宋体"/>
                <w:bCs/>
                <w:sz w:val="24"/>
                <w:szCs w:val="24"/>
              </w:rPr>
            </w:pPr>
            <w:r>
              <w:rPr>
                <w:rFonts w:hint="eastAsia" w:ascii="宋体" w:hAnsi="宋体" w:eastAsia="宋体" w:cs="宋体"/>
                <w:bCs/>
                <w:sz w:val="24"/>
                <w:szCs w:val="24"/>
              </w:rPr>
              <w:t>按磋商文件要求进行签署、盖章</w:t>
            </w:r>
          </w:p>
        </w:tc>
      </w:tr>
      <w:tr w14:paraId="008B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5" w:type="dxa"/>
            <w:vMerge w:val="continue"/>
            <w:vAlign w:val="center"/>
          </w:tcPr>
          <w:p w14:paraId="6E37AA56">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3E295A6D">
            <w:pPr>
              <w:autoSpaceDE w:val="0"/>
              <w:autoSpaceDN w:val="0"/>
              <w:adjustRightInd w:val="0"/>
              <w:jc w:val="center"/>
              <w:rPr>
                <w:rFonts w:hint="eastAsia" w:ascii="宋体" w:hAnsi="宋体" w:eastAsia="宋体" w:cs="宋体"/>
                <w:b w:val="0"/>
                <w:bCs w:val="0"/>
                <w:sz w:val="24"/>
                <w:szCs w:val="24"/>
              </w:rPr>
            </w:pPr>
          </w:p>
        </w:tc>
        <w:tc>
          <w:tcPr>
            <w:tcW w:w="2726" w:type="dxa"/>
            <w:vAlign w:val="center"/>
          </w:tcPr>
          <w:p w14:paraId="04D92398">
            <w:pPr>
              <w:spacing w:line="4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法定代表人身份证明书</w:t>
            </w:r>
          </w:p>
        </w:tc>
        <w:tc>
          <w:tcPr>
            <w:tcW w:w="5230" w:type="dxa"/>
            <w:vAlign w:val="center"/>
          </w:tcPr>
          <w:p w14:paraId="05D7419D">
            <w:pPr>
              <w:spacing w:line="340" w:lineRule="exact"/>
              <w:rPr>
                <w:rFonts w:hint="eastAsia" w:ascii="宋体" w:hAnsi="宋体" w:eastAsia="宋体" w:cs="宋体"/>
                <w:sz w:val="24"/>
                <w:szCs w:val="24"/>
              </w:rPr>
            </w:pPr>
            <w:r>
              <w:rPr>
                <w:rFonts w:hint="eastAsia" w:ascii="宋体" w:hAnsi="宋体" w:eastAsia="宋体" w:cs="宋体"/>
                <w:sz w:val="24"/>
                <w:szCs w:val="24"/>
              </w:rPr>
              <w:t>有效的法定代表人身份证明书</w:t>
            </w:r>
          </w:p>
        </w:tc>
      </w:tr>
      <w:tr w14:paraId="3458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5" w:type="dxa"/>
            <w:vMerge w:val="continue"/>
            <w:vAlign w:val="center"/>
          </w:tcPr>
          <w:p w14:paraId="352FA31B">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7BBB388E">
            <w:pPr>
              <w:autoSpaceDE w:val="0"/>
              <w:autoSpaceDN w:val="0"/>
              <w:adjustRightInd w:val="0"/>
              <w:jc w:val="center"/>
              <w:rPr>
                <w:rFonts w:hint="eastAsia" w:ascii="宋体" w:hAnsi="宋体" w:eastAsia="宋体" w:cs="宋体"/>
                <w:b w:val="0"/>
                <w:bCs w:val="0"/>
                <w:sz w:val="24"/>
                <w:szCs w:val="24"/>
              </w:rPr>
            </w:pPr>
          </w:p>
        </w:tc>
        <w:tc>
          <w:tcPr>
            <w:tcW w:w="2726" w:type="dxa"/>
            <w:vAlign w:val="center"/>
          </w:tcPr>
          <w:p w14:paraId="2B68BCDE">
            <w:pPr>
              <w:spacing w:line="4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法定代表人身份证明及授权委托书</w:t>
            </w:r>
          </w:p>
        </w:tc>
        <w:tc>
          <w:tcPr>
            <w:tcW w:w="5230" w:type="dxa"/>
            <w:vAlign w:val="center"/>
          </w:tcPr>
          <w:p w14:paraId="473B683A">
            <w:pPr>
              <w:spacing w:line="300" w:lineRule="exact"/>
              <w:jc w:val="left"/>
              <w:rPr>
                <w:rFonts w:hint="eastAsia" w:ascii="宋体" w:hAnsi="宋体" w:eastAsia="宋体" w:cs="宋体"/>
                <w:sz w:val="24"/>
                <w:szCs w:val="24"/>
              </w:rPr>
            </w:pPr>
            <w:r>
              <w:rPr>
                <w:rFonts w:hint="eastAsia" w:ascii="宋体" w:hAnsi="宋体" w:eastAsia="宋体" w:cs="宋体"/>
                <w:sz w:val="24"/>
                <w:szCs w:val="24"/>
              </w:rPr>
              <w:t>法定代表人身份证明及授权委托书有效，且符合磋商文件规定的格式</w:t>
            </w:r>
          </w:p>
        </w:tc>
      </w:tr>
      <w:tr w14:paraId="6823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5" w:type="dxa"/>
            <w:vMerge w:val="continue"/>
            <w:vAlign w:val="center"/>
          </w:tcPr>
          <w:p w14:paraId="1DBA0810">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37074372">
            <w:pPr>
              <w:autoSpaceDE w:val="0"/>
              <w:autoSpaceDN w:val="0"/>
              <w:adjustRightInd w:val="0"/>
              <w:jc w:val="center"/>
              <w:rPr>
                <w:rFonts w:hint="eastAsia" w:ascii="宋体" w:hAnsi="宋体" w:eastAsia="宋体" w:cs="宋体"/>
                <w:b w:val="0"/>
                <w:bCs w:val="0"/>
                <w:sz w:val="24"/>
                <w:szCs w:val="24"/>
              </w:rPr>
            </w:pPr>
          </w:p>
        </w:tc>
        <w:tc>
          <w:tcPr>
            <w:tcW w:w="2726" w:type="dxa"/>
            <w:vAlign w:val="center"/>
          </w:tcPr>
          <w:p w14:paraId="0E335D96">
            <w:pPr>
              <w:spacing w:line="400" w:lineRule="exact"/>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en-US" w:eastAsia="zh-CN"/>
              </w:rPr>
              <w:t>磋商</w:t>
            </w:r>
            <w:r>
              <w:rPr>
                <w:rFonts w:hint="eastAsia" w:ascii="宋体" w:hAnsi="宋体" w:eastAsia="宋体" w:cs="宋体"/>
                <w:b w:val="0"/>
                <w:bCs w:val="0"/>
                <w:sz w:val="24"/>
                <w:szCs w:val="24"/>
                <w:lang w:val="zh-CN"/>
              </w:rPr>
              <w:t>报价</w:t>
            </w:r>
          </w:p>
        </w:tc>
        <w:tc>
          <w:tcPr>
            <w:tcW w:w="5230" w:type="dxa"/>
            <w:vAlign w:val="center"/>
          </w:tcPr>
          <w:p w14:paraId="08BD2CEC">
            <w:pPr>
              <w:spacing w:line="400" w:lineRule="exact"/>
              <w:rPr>
                <w:rFonts w:hint="eastAsia" w:ascii="宋体" w:hAnsi="宋体" w:eastAsia="宋体" w:cs="宋体"/>
                <w:kern w:val="0"/>
                <w:sz w:val="24"/>
                <w:szCs w:val="24"/>
              </w:rPr>
            </w:pPr>
            <w:r>
              <w:rPr>
                <w:rFonts w:hint="eastAsia" w:ascii="宋体" w:hAnsi="宋体" w:eastAsia="宋体" w:cs="宋体"/>
                <w:sz w:val="24"/>
                <w:szCs w:val="24"/>
                <w:lang w:val="zh-CN"/>
              </w:rPr>
              <w:t>有</w:t>
            </w:r>
            <w:r>
              <w:rPr>
                <w:rFonts w:hint="eastAsia" w:ascii="宋体" w:hAnsi="宋体" w:cs="宋体"/>
                <w:sz w:val="24"/>
                <w:szCs w:val="24"/>
                <w:lang w:val="en-US" w:eastAsia="zh-CN"/>
              </w:rPr>
              <w:t>磋商</w:t>
            </w:r>
            <w:r>
              <w:rPr>
                <w:rFonts w:hint="eastAsia" w:ascii="宋体" w:hAnsi="宋体" w:eastAsia="宋体" w:cs="宋体"/>
                <w:sz w:val="24"/>
                <w:szCs w:val="24"/>
                <w:lang w:val="zh-CN"/>
              </w:rPr>
              <w:t>报价，且只能在限价范围内报价，</w:t>
            </w:r>
            <w:r>
              <w:rPr>
                <w:rFonts w:hint="eastAsia" w:ascii="宋体" w:hAnsi="宋体" w:eastAsia="宋体" w:cs="宋体"/>
                <w:sz w:val="24"/>
                <w:szCs w:val="24"/>
              </w:rPr>
              <w:t>只能有一个有效报价，不得提交选择性报价</w:t>
            </w:r>
          </w:p>
        </w:tc>
      </w:tr>
      <w:tr w14:paraId="286F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25" w:type="dxa"/>
            <w:vMerge w:val="continue"/>
            <w:vAlign w:val="center"/>
          </w:tcPr>
          <w:p w14:paraId="70105BDB">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65B26B5B">
            <w:pPr>
              <w:autoSpaceDE w:val="0"/>
              <w:autoSpaceDN w:val="0"/>
              <w:adjustRightInd w:val="0"/>
              <w:jc w:val="center"/>
              <w:rPr>
                <w:rFonts w:hint="eastAsia" w:ascii="宋体" w:hAnsi="宋体" w:eastAsia="宋体" w:cs="宋体"/>
                <w:b w:val="0"/>
                <w:bCs w:val="0"/>
                <w:sz w:val="24"/>
                <w:szCs w:val="24"/>
              </w:rPr>
            </w:pPr>
          </w:p>
        </w:tc>
        <w:tc>
          <w:tcPr>
            <w:tcW w:w="2726" w:type="dxa"/>
            <w:vAlign w:val="center"/>
          </w:tcPr>
          <w:p w14:paraId="7EF56D68">
            <w:pPr>
              <w:spacing w:line="400" w:lineRule="exac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响应</w:t>
            </w:r>
            <w:r>
              <w:rPr>
                <w:rFonts w:hint="eastAsia" w:ascii="宋体" w:hAnsi="宋体" w:eastAsia="宋体" w:cs="宋体"/>
                <w:b w:val="0"/>
                <w:bCs w:val="0"/>
                <w:sz w:val="24"/>
                <w:szCs w:val="24"/>
                <w:lang w:val="zh-CN"/>
              </w:rPr>
              <w:t>文件内容</w:t>
            </w:r>
          </w:p>
        </w:tc>
        <w:tc>
          <w:tcPr>
            <w:tcW w:w="5230" w:type="dxa"/>
            <w:vAlign w:val="center"/>
          </w:tcPr>
          <w:p w14:paraId="1E1BBAA1">
            <w:pPr>
              <w:spacing w:line="400" w:lineRule="exact"/>
              <w:rPr>
                <w:rFonts w:hint="eastAsia" w:ascii="宋体" w:hAnsi="宋体" w:eastAsia="宋体" w:cs="宋体"/>
                <w:kern w:val="0"/>
                <w:sz w:val="24"/>
                <w:szCs w:val="24"/>
              </w:rPr>
            </w:pPr>
            <w:r>
              <w:rPr>
                <w:rFonts w:hint="eastAsia" w:ascii="宋体" w:hAnsi="宋体" w:cs="宋体"/>
                <w:sz w:val="24"/>
                <w:szCs w:val="24"/>
                <w:lang w:val="en-US" w:eastAsia="zh-CN"/>
              </w:rPr>
              <w:t>响应</w:t>
            </w:r>
            <w:r>
              <w:rPr>
                <w:rFonts w:hint="eastAsia" w:ascii="宋体" w:hAnsi="宋体" w:eastAsia="宋体" w:cs="宋体"/>
                <w:sz w:val="24"/>
                <w:szCs w:val="24"/>
                <w:lang w:val="zh-CN"/>
              </w:rPr>
              <w:t>文件内容齐全、无遗漏、书写工整、字迹清晰</w:t>
            </w:r>
          </w:p>
        </w:tc>
      </w:tr>
      <w:tr w14:paraId="3086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25" w:type="dxa"/>
            <w:vMerge w:val="continue"/>
            <w:vAlign w:val="center"/>
          </w:tcPr>
          <w:p w14:paraId="77D2D426">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0D1F7272">
            <w:pPr>
              <w:autoSpaceDE w:val="0"/>
              <w:autoSpaceDN w:val="0"/>
              <w:adjustRightInd w:val="0"/>
              <w:jc w:val="center"/>
              <w:rPr>
                <w:rFonts w:hint="eastAsia" w:ascii="宋体" w:hAnsi="宋体" w:eastAsia="宋体" w:cs="宋体"/>
                <w:b w:val="0"/>
                <w:bCs w:val="0"/>
                <w:sz w:val="24"/>
                <w:szCs w:val="24"/>
              </w:rPr>
            </w:pPr>
          </w:p>
        </w:tc>
        <w:tc>
          <w:tcPr>
            <w:tcW w:w="2726" w:type="dxa"/>
            <w:vAlign w:val="center"/>
          </w:tcPr>
          <w:p w14:paraId="11C4C031">
            <w:pPr>
              <w:spacing w:line="400" w:lineRule="exact"/>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合同履行期限</w:t>
            </w:r>
          </w:p>
        </w:tc>
        <w:tc>
          <w:tcPr>
            <w:tcW w:w="5230" w:type="dxa"/>
            <w:vAlign w:val="center"/>
          </w:tcPr>
          <w:p w14:paraId="018D77C8">
            <w:pPr>
              <w:spacing w:line="500" w:lineRule="exact"/>
              <w:rPr>
                <w:rFonts w:hint="eastAsia" w:ascii="宋体" w:hAnsi="宋体" w:eastAsia="宋体" w:cs="宋体"/>
                <w:sz w:val="24"/>
                <w:szCs w:val="24"/>
                <w:lang w:val="zh-CN" w:eastAsia="zh-CN"/>
              </w:rPr>
            </w:pPr>
            <w:r>
              <w:rPr>
                <w:rFonts w:hint="eastAsia" w:ascii="宋体" w:hAnsi="宋体" w:eastAsia="宋体" w:cs="宋体"/>
                <w:kern w:val="0"/>
                <w:sz w:val="24"/>
                <w:szCs w:val="24"/>
              </w:rPr>
              <w:t>满足磋商文件要求</w:t>
            </w:r>
            <w:r>
              <w:rPr>
                <w:rFonts w:hint="eastAsia" w:ascii="宋体" w:hAnsi="宋体" w:eastAsia="宋体" w:cs="宋体"/>
                <w:kern w:val="0"/>
                <w:sz w:val="24"/>
                <w:szCs w:val="24"/>
                <w:lang w:eastAsia="zh-CN"/>
              </w:rPr>
              <w:t>。</w:t>
            </w:r>
          </w:p>
        </w:tc>
      </w:tr>
      <w:tr w14:paraId="0E3E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5" w:type="dxa"/>
            <w:vMerge w:val="continue"/>
            <w:vAlign w:val="center"/>
          </w:tcPr>
          <w:p w14:paraId="397FC7D2">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4055F09E">
            <w:pPr>
              <w:autoSpaceDE w:val="0"/>
              <w:autoSpaceDN w:val="0"/>
              <w:adjustRightInd w:val="0"/>
              <w:jc w:val="center"/>
              <w:rPr>
                <w:rFonts w:hint="eastAsia" w:ascii="宋体" w:hAnsi="宋体" w:eastAsia="宋体" w:cs="宋体"/>
                <w:b w:val="0"/>
                <w:bCs w:val="0"/>
                <w:sz w:val="24"/>
                <w:szCs w:val="24"/>
              </w:rPr>
            </w:pPr>
          </w:p>
        </w:tc>
        <w:tc>
          <w:tcPr>
            <w:tcW w:w="2726" w:type="dxa"/>
            <w:vAlign w:val="center"/>
          </w:tcPr>
          <w:p w14:paraId="1054FB5D">
            <w:pPr>
              <w:spacing w:line="400" w:lineRule="exact"/>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en-US" w:eastAsia="zh-CN"/>
              </w:rPr>
              <w:t>磋商</w:t>
            </w:r>
            <w:r>
              <w:rPr>
                <w:rFonts w:hint="eastAsia" w:ascii="宋体" w:hAnsi="宋体" w:eastAsia="宋体" w:cs="宋体"/>
                <w:b w:val="0"/>
                <w:bCs w:val="0"/>
                <w:sz w:val="24"/>
                <w:szCs w:val="24"/>
                <w:lang w:val="zh-CN"/>
              </w:rPr>
              <w:t>有效期</w:t>
            </w:r>
          </w:p>
        </w:tc>
        <w:tc>
          <w:tcPr>
            <w:tcW w:w="5230" w:type="dxa"/>
            <w:vAlign w:val="center"/>
          </w:tcPr>
          <w:p w14:paraId="10057AE2">
            <w:pPr>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满足磋商文件规定。</w:t>
            </w:r>
          </w:p>
        </w:tc>
      </w:tr>
      <w:tr w14:paraId="543D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25" w:type="dxa"/>
            <w:vMerge w:val="continue"/>
            <w:vAlign w:val="center"/>
          </w:tcPr>
          <w:p w14:paraId="20BA15D8">
            <w:pPr>
              <w:autoSpaceDE w:val="0"/>
              <w:autoSpaceDN w:val="0"/>
              <w:adjustRightInd w:val="0"/>
              <w:jc w:val="center"/>
              <w:rPr>
                <w:rFonts w:hint="eastAsia" w:ascii="宋体" w:hAnsi="宋体" w:eastAsia="宋体" w:cs="宋体"/>
                <w:sz w:val="24"/>
                <w:szCs w:val="24"/>
              </w:rPr>
            </w:pPr>
          </w:p>
        </w:tc>
        <w:tc>
          <w:tcPr>
            <w:tcW w:w="843" w:type="dxa"/>
            <w:vMerge w:val="continue"/>
            <w:vAlign w:val="center"/>
          </w:tcPr>
          <w:p w14:paraId="1C350A01">
            <w:pPr>
              <w:autoSpaceDE w:val="0"/>
              <w:autoSpaceDN w:val="0"/>
              <w:adjustRightInd w:val="0"/>
              <w:jc w:val="center"/>
              <w:rPr>
                <w:rFonts w:hint="eastAsia" w:ascii="宋体" w:hAnsi="宋体" w:eastAsia="宋体" w:cs="宋体"/>
                <w:b w:val="0"/>
                <w:bCs w:val="0"/>
                <w:sz w:val="24"/>
                <w:szCs w:val="24"/>
              </w:rPr>
            </w:pPr>
          </w:p>
        </w:tc>
        <w:tc>
          <w:tcPr>
            <w:tcW w:w="2726" w:type="dxa"/>
            <w:vAlign w:val="center"/>
          </w:tcPr>
          <w:p w14:paraId="6FFC7315">
            <w:pPr>
              <w:spacing w:line="400" w:lineRule="exact"/>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其他</w:t>
            </w:r>
          </w:p>
        </w:tc>
        <w:tc>
          <w:tcPr>
            <w:tcW w:w="5230" w:type="dxa"/>
            <w:vAlign w:val="center"/>
          </w:tcPr>
          <w:p w14:paraId="3965DD71">
            <w:pPr>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符合磋商文件其他要求。</w:t>
            </w:r>
          </w:p>
        </w:tc>
      </w:tr>
    </w:tbl>
    <w:p w14:paraId="39DF7E90">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
          <w:sz w:val="24"/>
          <w:szCs w:val="24"/>
          <w:lang w:eastAsia="zh-CN"/>
        </w:rPr>
        <w:t>（</w:t>
      </w:r>
      <w:r>
        <w:rPr>
          <w:rFonts w:hint="eastAsia" w:ascii="宋体" w:hAnsi="宋体" w:eastAsia="宋体" w:cs="宋体"/>
          <w:b/>
          <w:sz w:val="24"/>
          <w:szCs w:val="24"/>
        </w:rPr>
        <w:t>三</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磋商及承诺</w:t>
      </w:r>
    </w:p>
    <w:p w14:paraId="2EE014A4">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磋商小组分别与通过了初步评审的供应商就其响应文件中的有关问题进行磋商；磋商结束后供应商须在磋商小组规定的时间内提交磋商承诺和最终磋商报价。</w:t>
      </w:r>
    </w:p>
    <w:p w14:paraId="1E1D0ED6">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在磋商中，磋商小组成员和与磋商活动有关的工作人员不得透露与磋商有关的其他供应商的资料、价格和其他信息。磋商文件有实质性变动的，磋商小组将以书面形式通知所有参加磋商的供应商，供应商代表应在书面通知上签字确认。</w:t>
      </w:r>
    </w:p>
    <w:p w14:paraId="20F0F076">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
          <w:sz w:val="24"/>
          <w:szCs w:val="24"/>
          <w:lang w:eastAsia="zh-CN"/>
        </w:rPr>
        <w:t>（</w:t>
      </w:r>
      <w:r>
        <w:rPr>
          <w:rFonts w:hint="eastAsia" w:ascii="宋体" w:hAnsi="宋体" w:eastAsia="宋体" w:cs="宋体"/>
          <w:b/>
          <w:sz w:val="24"/>
          <w:szCs w:val="24"/>
        </w:rPr>
        <w:t>四</w:t>
      </w:r>
      <w:r>
        <w:rPr>
          <w:rFonts w:hint="eastAsia" w:ascii="宋体" w:hAnsi="宋体" w:eastAsia="宋体" w:cs="宋体"/>
          <w:b/>
          <w:sz w:val="24"/>
          <w:szCs w:val="24"/>
          <w:lang w:eastAsia="zh-CN"/>
        </w:rPr>
        <w:t>）</w:t>
      </w:r>
      <w:r>
        <w:rPr>
          <w:rFonts w:hint="eastAsia" w:ascii="宋体" w:hAnsi="宋体" w:eastAsia="宋体" w:cs="宋体"/>
          <w:b/>
          <w:sz w:val="24"/>
          <w:szCs w:val="24"/>
        </w:rPr>
        <w:t>综合评审</w:t>
      </w:r>
    </w:p>
    <w:p w14:paraId="423CBADB">
      <w:pPr>
        <w:pStyle w:val="14"/>
        <w:numPr>
          <w:ilvl w:val="0"/>
          <w:numId w:val="0"/>
        </w:num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磋商小组对通过初步评审的响应文件按照综合评分法进行商务和技术评估，综合比较与评价，并按照评分细则一览表的要求进行打分、汇总。</w:t>
      </w:r>
    </w:p>
    <w:p w14:paraId="3D4F2E75">
      <w:pPr>
        <w:pStyle w:val="14"/>
        <w:numPr>
          <w:ilvl w:val="0"/>
          <w:numId w:val="0"/>
        </w:num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评分细则</w:t>
      </w:r>
    </w:p>
    <w:p w14:paraId="3AA0A708">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供应商的评标总得分＝F1＋F2＋F3</w:t>
      </w:r>
      <w:r>
        <w:rPr>
          <w:rFonts w:hint="eastAsia" w:ascii="宋体" w:hAnsi="宋体" w:eastAsia="宋体" w:cs="宋体"/>
          <w:b/>
          <w:sz w:val="24"/>
          <w:szCs w:val="24"/>
          <w:lang w:eastAsia="zh-CN"/>
        </w:rPr>
        <w:t>（</w:t>
      </w:r>
      <w:r>
        <w:rPr>
          <w:rFonts w:hint="eastAsia" w:ascii="宋体" w:hAnsi="宋体" w:eastAsia="宋体" w:cs="宋体"/>
          <w:b/>
          <w:sz w:val="24"/>
          <w:szCs w:val="24"/>
        </w:rPr>
        <w:t>满分100分</w:t>
      </w:r>
      <w:r>
        <w:rPr>
          <w:rFonts w:hint="eastAsia" w:ascii="宋体" w:hAnsi="宋体" w:eastAsia="宋体" w:cs="宋体"/>
          <w:b/>
          <w:sz w:val="24"/>
          <w:szCs w:val="24"/>
          <w:lang w:eastAsia="zh-CN"/>
        </w:rPr>
        <w:t>）</w:t>
      </w:r>
    </w:p>
    <w:p w14:paraId="6870A7AA">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其中：F1、F2、F3、分别为报价</w:t>
      </w:r>
      <w:r>
        <w:rPr>
          <w:rFonts w:hint="eastAsia" w:ascii="宋体" w:hAnsi="宋体" w:cs="宋体"/>
          <w:b/>
          <w:sz w:val="24"/>
          <w:szCs w:val="24"/>
          <w:lang w:val="en-US" w:eastAsia="zh-CN"/>
        </w:rPr>
        <w:t>部分</w:t>
      </w:r>
      <w:r>
        <w:rPr>
          <w:rFonts w:hint="eastAsia" w:ascii="宋体" w:hAnsi="宋体" w:eastAsia="宋体" w:cs="宋体"/>
          <w:b/>
          <w:sz w:val="24"/>
          <w:szCs w:val="24"/>
        </w:rPr>
        <w:t>、商务部分、技术部分3项评分因素的汇总得分；</w:t>
      </w:r>
    </w:p>
    <w:p w14:paraId="65ADEEBE">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报价</w:t>
      </w:r>
      <w:r>
        <w:rPr>
          <w:rFonts w:hint="eastAsia" w:ascii="宋体" w:hAnsi="宋体" w:cs="宋体"/>
          <w:b/>
          <w:sz w:val="24"/>
          <w:szCs w:val="24"/>
          <w:lang w:val="en-US" w:eastAsia="zh-CN"/>
        </w:rPr>
        <w:t>部分</w:t>
      </w:r>
      <w:r>
        <w:rPr>
          <w:rFonts w:hint="eastAsia" w:ascii="宋体" w:hAnsi="宋体" w:eastAsia="宋体" w:cs="宋体"/>
          <w:b/>
          <w:sz w:val="24"/>
          <w:szCs w:val="24"/>
        </w:rPr>
        <w:t>F1</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w:t>
      </w:r>
      <w:r>
        <w:rPr>
          <w:rFonts w:hint="eastAsia" w:ascii="宋体" w:hAnsi="宋体" w:eastAsia="宋体" w:cs="宋体"/>
          <w:b/>
          <w:sz w:val="24"/>
          <w:szCs w:val="24"/>
        </w:rPr>
        <w:t>分</w:t>
      </w:r>
    </w:p>
    <w:p w14:paraId="5527498D">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商务部分F2</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w:t>
      </w:r>
      <w:r>
        <w:rPr>
          <w:rFonts w:hint="eastAsia" w:ascii="宋体" w:hAnsi="宋体" w:eastAsia="宋体" w:cs="宋体"/>
          <w:b/>
          <w:sz w:val="24"/>
          <w:szCs w:val="24"/>
        </w:rPr>
        <w:t>分</w:t>
      </w:r>
    </w:p>
    <w:p w14:paraId="4CA8D3A4">
      <w:pPr>
        <w:spacing w:beforeLines="50"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技术</w:t>
      </w:r>
      <w:r>
        <w:rPr>
          <w:rFonts w:hint="eastAsia" w:ascii="宋体" w:hAnsi="宋体" w:eastAsia="宋体" w:cs="宋体"/>
          <w:b/>
          <w:sz w:val="24"/>
          <w:szCs w:val="24"/>
          <w:lang w:val="en-US" w:eastAsia="zh-CN"/>
        </w:rPr>
        <w:t>部分</w:t>
      </w:r>
      <w:r>
        <w:rPr>
          <w:rFonts w:hint="eastAsia" w:ascii="宋体" w:hAnsi="宋体" w:eastAsia="宋体" w:cs="宋体"/>
          <w:b/>
          <w:sz w:val="24"/>
          <w:szCs w:val="24"/>
        </w:rPr>
        <w:t>F3</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60</w:t>
      </w:r>
      <w:r>
        <w:rPr>
          <w:rFonts w:hint="eastAsia" w:ascii="宋体" w:hAnsi="宋体" w:eastAsia="宋体" w:cs="宋体"/>
          <w:b/>
          <w:sz w:val="24"/>
          <w:szCs w:val="24"/>
        </w:rPr>
        <w:t>分</w:t>
      </w:r>
    </w:p>
    <w:tbl>
      <w:tblPr>
        <w:tblStyle w:val="2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005"/>
        <w:gridCol w:w="5602"/>
      </w:tblGrid>
      <w:tr w14:paraId="652D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10" w:type="dxa"/>
            <w:vAlign w:val="center"/>
          </w:tcPr>
          <w:p w14:paraId="178653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7607" w:type="dxa"/>
            <w:gridSpan w:val="2"/>
            <w:vAlign w:val="center"/>
          </w:tcPr>
          <w:p w14:paraId="728130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评审标准</w:t>
            </w:r>
          </w:p>
        </w:tc>
      </w:tr>
      <w:tr w14:paraId="5B2D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0" w:type="dxa"/>
            <w:vAlign w:val="center"/>
          </w:tcPr>
          <w:p w14:paraId="01A5C6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F1、报价</w:t>
            </w:r>
            <w:r>
              <w:rPr>
                <w:rFonts w:hint="eastAsia" w:ascii="宋体" w:hAnsi="宋体" w:cs="宋体"/>
                <w:b/>
                <w:bCs/>
                <w:color w:val="auto"/>
                <w:sz w:val="24"/>
                <w:szCs w:val="24"/>
                <w:lang w:val="en-US" w:eastAsia="zh-CN"/>
              </w:rPr>
              <w:t>部分</w:t>
            </w:r>
          </w:p>
          <w:p w14:paraId="091C96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w:t>
            </w: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分）</w:t>
            </w:r>
          </w:p>
        </w:tc>
        <w:tc>
          <w:tcPr>
            <w:tcW w:w="7607" w:type="dxa"/>
            <w:gridSpan w:val="2"/>
            <w:vAlign w:val="center"/>
          </w:tcPr>
          <w:p w14:paraId="6E68ECC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报价得分按照低价优先法计算，即满足磋商文件要求且最终磋商报价最低的供应商报价为磋商基准价，其价格分为满分，其他供应商的价格分统一按照下列公式计算：</w:t>
            </w:r>
          </w:p>
          <w:p w14:paraId="1B843AD3">
            <w:pPr>
              <w:keepNext w:val="0"/>
              <w:keepLines w:val="0"/>
              <w:pageBreakBefore w:val="0"/>
              <w:kinsoku/>
              <w:wordWrap/>
              <w:overflowPunct/>
              <w:topLinePunct w:val="0"/>
              <w:autoSpaceDE/>
              <w:autoSpaceDN/>
              <w:bidi w:val="0"/>
              <w:adjustRightInd/>
              <w:snapToGrid/>
              <w:spacing w:line="360" w:lineRule="auto"/>
              <w:ind w:firstLine="34"/>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报价得分=</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磋商基准价／最终磋商报价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20</w:t>
            </w:r>
          </w:p>
          <w:p w14:paraId="086F16A6">
            <w:pPr>
              <w:pStyle w:val="2"/>
              <w:rPr>
                <w:rFonts w:hint="eastAsia"/>
                <w:lang w:val="en-US" w:eastAsia="zh-CN"/>
              </w:rPr>
            </w:pPr>
            <w:r>
              <w:rPr>
                <w:rFonts w:hint="eastAsia" w:ascii="宋体" w:hAnsi="宋体" w:eastAsia="宋体" w:cs="宋体"/>
                <w:b w:val="0"/>
                <w:bCs w:val="0"/>
                <w:color w:val="auto"/>
                <w:kern w:val="2"/>
                <w:sz w:val="24"/>
                <w:szCs w:val="24"/>
                <w:lang w:val="en-US" w:eastAsia="zh-CN" w:bidi="ar-SA"/>
              </w:rPr>
              <w:t>注：供应商不得哄抬报价，也不应低于成本价（或进价）报价。</w:t>
            </w:r>
            <w:r>
              <w:rPr>
                <w:rFonts w:hint="eastAsia" w:cs="宋体"/>
                <w:b w:val="0"/>
                <w:bCs w:val="0"/>
                <w:color w:val="auto"/>
                <w:kern w:val="2"/>
                <w:sz w:val="24"/>
                <w:szCs w:val="24"/>
                <w:lang w:val="en-US" w:eastAsia="zh-CN" w:bidi="ar-SA"/>
              </w:rPr>
              <w:t>磋商小组</w:t>
            </w:r>
            <w:r>
              <w:rPr>
                <w:rFonts w:hint="eastAsia" w:ascii="宋体" w:hAnsi="宋体" w:eastAsia="宋体" w:cs="宋体"/>
                <w:b w:val="0"/>
                <w:bCs w:val="0"/>
                <w:color w:val="auto"/>
                <w:kern w:val="2"/>
                <w:sz w:val="24"/>
                <w:szCs w:val="24"/>
                <w:lang w:val="en-US" w:eastAsia="zh-CN" w:bidi="ar-SA"/>
              </w:rPr>
              <w:t>认为供应商的报价明显低于其他通过符合性审查供应商的报价，有可能影响产品质量或者不能诚信履约的，将要求其在合理的时间内提供书面说明，必要时提交相关证明材料；供应商不能证明其报价合理性的，</w:t>
            </w:r>
            <w:r>
              <w:rPr>
                <w:rFonts w:hint="eastAsia" w:cs="宋体"/>
                <w:b w:val="0"/>
                <w:bCs w:val="0"/>
                <w:color w:val="auto"/>
                <w:kern w:val="2"/>
                <w:sz w:val="24"/>
                <w:szCs w:val="24"/>
                <w:lang w:val="en-US" w:eastAsia="zh-CN" w:bidi="ar-SA"/>
              </w:rPr>
              <w:t>磋商小组</w:t>
            </w:r>
            <w:r>
              <w:rPr>
                <w:rFonts w:hint="eastAsia" w:ascii="宋体" w:hAnsi="宋体" w:eastAsia="宋体" w:cs="宋体"/>
                <w:b w:val="0"/>
                <w:bCs w:val="0"/>
                <w:color w:val="auto"/>
                <w:kern w:val="2"/>
                <w:sz w:val="24"/>
                <w:szCs w:val="24"/>
                <w:lang w:val="en-US" w:eastAsia="zh-CN" w:bidi="ar-SA"/>
              </w:rPr>
              <w:t>应当将其作为无效投标（响应）处理。低于成本价（或进价）报价的认定：根据《关于推动解决政府采购异常低价问题的通知》财库〔2026〕2号文要求启动异常低价投标（响应）审查程序。</w:t>
            </w:r>
          </w:p>
        </w:tc>
      </w:tr>
      <w:tr w14:paraId="298C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10" w:type="dxa"/>
            <w:vMerge w:val="restart"/>
            <w:vAlign w:val="center"/>
          </w:tcPr>
          <w:p w14:paraId="24455E2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F2、商务部分</w:t>
            </w:r>
          </w:p>
          <w:p w14:paraId="713EA8D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w:t>
            </w: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分）</w:t>
            </w:r>
          </w:p>
        </w:tc>
        <w:tc>
          <w:tcPr>
            <w:tcW w:w="2005" w:type="dxa"/>
            <w:vAlign w:val="center"/>
          </w:tcPr>
          <w:p w14:paraId="2FB7948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项目管理机构人员</w:t>
            </w:r>
            <w:r>
              <w:rPr>
                <w:rFonts w:hint="eastAsia" w:ascii="宋体" w:hAnsi="宋体" w:eastAsia="宋体" w:cs="宋体"/>
                <w:b/>
                <w:bCs/>
                <w:color w:val="auto"/>
                <w:sz w:val="24"/>
                <w:szCs w:val="24"/>
              </w:rPr>
              <w:t>（</w:t>
            </w:r>
            <w:r>
              <w:rPr>
                <w:rFonts w:hint="eastAsia" w:ascii="宋体" w:hAnsi="宋体" w:eastAsia="宋体" w:cs="宋体"/>
                <w:b/>
                <w:bCs/>
                <w:color w:val="auto"/>
                <w:kern w:val="10"/>
                <w:sz w:val="24"/>
                <w:szCs w:val="24"/>
              </w:rPr>
              <w:t>满分</w:t>
            </w:r>
            <w:r>
              <w:rPr>
                <w:rFonts w:hint="eastAsia" w:ascii="宋体" w:hAnsi="宋体" w:eastAsia="宋体" w:cs="宋体"/>
                <w:b/>
                <w:bCs/>
                <w:color w:val="auto"/>
                <w:sz w:val="24"/>
                <w:szCs w:val="24"/>
                <w:lang w:val="en-US" w:eastAsia="zh-CN"/>
              </w:rPr>
              <w:t>14</w:t>
            </w:r>
            <w:r>
              <w:rPr>
                <w:rFonts w:hint="eastAsia" w:ascii="宋体" w:hAnsi="宋体" w:eastAsia="宋体" w:cs="宋体"/>
                <w:b/>
                <w:bCs/>
                <w:color w:val="auto"/>
                <w:sz w:val="24"/>
                <w:szCs w:val="24"/>
              </w:rPr>
              <w:t>分）</w:t>
            </w:r>
          </w:p>
        </w:tc>
        <w:tc>
          <w:tcPr>
            <w:tcW w:w="5602" w:type="dxa"/>
            <w:vAlign w:val="center"/>
          </w:tcPr>
          <w:p w14:paraId="1B40A2D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cs="宋体"/>
                <w:color w:val="auto"/>
                <w:sz w:val="24"/>
                <w:szCs w:val="24"/>
                <w:u w:val="none"/>
                <w:lang w:val="en-US" w:eastAsia="zh-CN"/>
              </w:rPr>
            </w:pPr>
            <w:r>
              <w:rPr>
                <w:rFonts w:hint="eastAsia" w:ascii="宋体" w:hAnsi="宋体" w:cs="宋体"/>
                <w:b/>
                <w:bCs/>
                <w:color w:val="auto"/>
                <w:sz w:val="24"/>
                <w:szCs w:val="24"/>
                <w:u w:val="none"/>
                <w:lang w:val="en-US" w:eastAsia="zh-CN"/>
              </w:rPr>
              <w:t>1.项目机构人员（满分5分）</w:t>
            </w:r>
          </w:p>
          <w:p w14:paraId="331EFEC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rPr>
            </w:pP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1</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none"/>
              </w:rPr>
              <w:t>项目组织机构管理体系完善，针对性强</w:t>
            </w: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具</w:t>
            </w:r>
            <w:r>
              <w:rPr>
                <w:rFonts w:hint="eastAsia" w:ascii="宋体" w:hAnsi="宋体" w:eastAsia="宋体" w:cs="宋体"/>
                <w:color w:val="auto"/>
                <w:sz w:val="24"/>
                <w:szCs w:val="24"/>
                <w:u w:val="none"/>
              </w:rPr>
              <w:t>有科学严谨的管理程序，配备的人员分配科学合理、岗位职责分工详细明确，</w:t>
            </w:r>
            <w:r>
              <w:rPr>
                <w:rFonts w:hint="eastAsia" w:ascii="宋体" w:hAnsi="宋体" w:cs="宋体"/>
                <w:color w:val="auto"/>
                <w:sz w:val="24"/>
                <w:szCs w:val="24"/>
                <w:u w:val="none"/>
                <w:lang w:val="en-US" w:eastAsia="zh-CN"/>
              </w:rPr>
              <w:t>提供相关证书等证明材料完整得5</w:t>
            </w:r>
            <w:r>
              <w:rPr>
                <w:rFonts w:hint="eastAsia" w:ascii="宋体" w:hAnsi="宋体" w:eastAsia="宋体" w:cs="宋体"/>
                <w:color w:val="auto"/>
                <w:sz w:val="24"/>
                <w:szCs w:val="24"/>
                <w:u w:val="none"/>
              </w:rPr>
              <w:t>分；</w:t>
            </w:r>
          </w:p>
          <w:p w14:paraId="6D79C62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rPr>
            </w:pP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2</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none"/>
              </w:rPr>
              <w:t>项目组织机构管理体系基本完善，针对性</w:t>
            </w:r>
            <w:r>
              <w:rPr>
                <w:rFonts w:hint="eastAsia" w:ascii="宋体" w:hAnsi="宋体" w:cs="宋体"/>
                <w:color w:val="auto"/>
                <w:sz w:val="24"/>
                <w:szCs w:val="24"/>
                <w:u w:val="none"/>
                <w:lang w:val="en-US" w:eastAsia="zh-CN"/>
              </w:rPr>
              <w:t>较好，具</w:t>
            </w:r>
            <w:r>
              <w:rPr>
                <w:rFonts w:hint="eastAsia" w:ascii="宋体" w:hAnsi="宋体" w:eastAsia="宋体" w:cs="宋体"/>
                <w:color w:val="auto"/>
                <w:sz w:val="24"/>
                <w:szCs w:val="24"/>
                <w:u w:val="none"/>
              </w:rPr>
              <w:t>有管理程序，配备的人员分配基本合理、岗位职责分工基本明确，</w:t>
            </w:r>
            <w:r>
              <w:rPr>
                <w:rFonts w:hint="eastAsia" w:ascii="宋体" w:hAnsi="宋体" w:cs="宋体"/>
                <w:color w:val="auto"/>
                <w:sz w:val="24"/>
                <w:szCs w:val="24"/>
                <w:u w:val="none"/>
                <w:lang w:val="en-US" w:eastAsia="zh-CN"/>
              </w:rPr>
              <w:t>提供的</w:t>
            </w:r>
            <w:r>
              <w:rPr>
                <w:rFonts w:hint="eastAsia" w:ascii="宋体" w:hAnsi="宋体" w:eastAsia="宋体" w:cs="宋体"/>
                <w:color w:val="auto"/>
                <w:sz w:val="24"/>
                <w:szCs w:val="24"/>
                <w:u w:val="none"/>
              </w:rPr>
              <w:t>相关证明材料基本</w:t>
            </w:r>
            <w:r>
              <w:rPr>
                <w:rFonts w:hint="eastAsia" w:ascii="宋体" w:hAnsi="宋体" w:cs="宋体"/>
                <w:color w:val="auto"/>
                <w:sz w:val="24"/>
                <w:szCs w:val="24"/>
                <w:u w:val="none"/>
                <w:lang w:val="en-US" w:eastAsia="zh-CN"/>
              </w:rPr>
              <w:t>完善</w:t>
            </w:r>
            <w:r>
              <w:rPr>
                <w:rFonts w:hint="eastAsia" w:ascii="宋体" w:hAnsi="宋体" w:eastAsia="宋体" w:cs="宋体"/>
                <w:color w:val="auto"/>
                <w:sz w:val="24"/>
                <w:szCs w:val="24"/>
                <w:u w:val="none"/>
              </w:rPr>
              <w:t>得</w:t>
            </w:r>
            <w:r>
              <w:rPr>
                <w:rFonts w:hint="eastAsia" w:ascii="宋体" w:hAnsi="宋体" w:cs="宋体"/>
                <w:color w:val="auto"/>
                <w:sz w:val="24"/>
                <w:szCs w:val="24"/>
                <w:u w:val="none"/>
                <w:lang w:val="en-US" w:eastAsia="zh-CN"/>
              </w:rPr>
              <w:t>4</w:t>
            </w:r>
            <w:r>
              <w:rPr>
                <w:rFonts w:hint="eastAsia" w:ascii="宋体" w:hAnsi="宋体" w:eastAsia="宋体" w:cs="宋体"/>
                <w:color w:val="auto"/>
                <w:sz w:val="24"/>
                <w:szCs w:val="24"/>
                <w:u w:val="none"/>
              </w:rPr>
              <w:t>分；</w:t>
            </w:r>
          </w:p>
          <w:p w14:paraId="3816808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rPr>
            </w:pPr>
            <w:r>
              <w:rPr>
                <w:rFonts w:hint="eastAsia" w:ascii="宋体" w:hAnsi="宋体" w:cs="宋体"/>
                <w:color w:val="auto"/>
                <w:sz w:val="24"/>
                <w:szCs w:val="24"/>
                <w:u w:val="none"/>
                <w:lang w:val="en-US" w:eastAsia="zh-CN"/>
              </w:rPr>
              <w:t>（3）</w:t>
            </w:r>
            <w:r>
              <w:rPr>
                <w:rFonts w:hint="eastAsia" w:ascii="宋体" w:hAnsi="宋体" w:eastAsia="宋体" w:cs="宋体"/>
                <w:color w:val="auto"/>
                <w:sz w:val="24"/>
                <w:szCs w:val="24"/>
                <w:u w:val="none"/>
              </w:rPr>
              <w:t>项目组织机构管理体系</w:t>
            </w:r>
            <w:r>
              <w:rPr>
                <w:rFonts w:hint="eastAsia" w:ascii="宋体" w:hAnsi="宋体" w:cs="宋体"/>
                <w:color w:val="auto"/>
                <w:sz w:val="24"/>
                <w:szCs w:val="24"/>
                <w:u w:val="none"/>
                <w:lang w:val="en-US" w:eastAsia="zh-CN"/>
              </w:rPr>
              <w:t>一般</w:t>
            </w:r>
            <w:r>
              <w:rPr>
                <w:rFonts w:hint="eastAsia" w:ascii="宋体" w:hAnsi="宋体" w:eastAsia="宋体" w:cs="宋体"/>
                <w:color w:val="auto"/>
                <w:sz w:val="24"/>
                <w:szCs w:val="24"/>
                <w:u w:val="none"/>
              </w:rPr>
              <w:t>，针对性一般，管理程序一般，配备的人员分配</w:t>
            </w:r>
            <w:r>
              <w:rPr>
                <w:rFonts w:hint="eastAsia" w:ascii="宋体" w:hAnsi="宋体" w:cs="宋体"/>
                <w:color w:val="auto"/>
                <w:sz w:val="24"/>
                <w:szCs w:val="24"/>
                <w:u w:val="none"/>
                <w:lang w:val="en-US" w:eastAsia="zh-CN"/>
              </w:rPr>
              <w:t>一般</w:t>
            </w:r>
            <w:r>
              <w:rPr>
                <w:rFonts w:hint="eastAsia" w:ascii="宋体" w:hAnsi="宋体" w:eastAsia="宋体" w:cs="宋体"/>
                <w:color w:val="auto"/>
                <w:sz w:val="24"/>
                <w:szCs w:val="24"/>
                <w:u w:val="none"/>
              </w:rPr>
              <w:t>、岗位职责分工</w:t>
            </w:r>
            <w:r>
              <w:rPr>
                <w:rFonts w:hint="eastAsia" w:ascii="宋体" w:hAnsi="宋体" w:cs="宋体"/>
                <w:color w:val="auto"/>
                <w:sz w:val="24"/>
                <w:szCs w:val="24"/>
                <w:u w:val="none"/>
                <w:lang w:val="en-US" w:eastAsia="zh-CN"/>
              </w:rPr>
              <w:t>一般</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提供</w:t>
            </w:r>
            <w:r>
              <w:rPr>
                <w:rFonts w:hint="eastAsia" w:ascii="宋体" w:hAnsi="宋体" w:eastAsia="宋体" w:cs="宋体"/>
                <w:color w:val="auto"/>
                <w:sz w:val="24"/>
                <w:szCs w:val="24"/>
                <w:u w:val="none"/>
              </w:rPr>
              <w:t>相关证书</w:t>
            </w:r>
            <w:r>
              <w:rPr>
                <w:rFonts w:hint="eastAsia" w:ascii="宋体" w:hAnsi="宋体" w:cs="宋体"/>
                <w:color w:val="auto"/>
                <w:sz w:val="24"/>
                <w:szCs w:val="24"/>
                <w:u w:val="none"/>
                <w:lang w:val="en-US" w:eastAsia="zh-CN"/>
              </w:rPr>
              <w:t>等</w:t>
            </w:r>
            <w:r>
              <w:rPr>
                <w:rFonts w:hint="eastAsia" w:ascii="宋体" w:hAnsi="宋体" w:eastAsia="宋体" w:cs="宋体"/>
                <w:color w:val="auto"/>
                <w:sz w:val="24"/>
                <w:szCs w:val="24"/>
                <w:u w:val="none"/>
              </w:rPr>
              <w:t>证明材料</w:t>
            </w:r>
            <w:r>
              <w:rPr>
                <w:rFonts w:hint="eastAsia" w:ascii="宋体" w:hAnsi="宋体" w:cs="宋体"/>
                <w:color w:val="auto"/>
                <w:sz w:val="24"/>
                <w:szCs w:val="24"/>
                <w:u w:val="none"/>
                <w:lang w:val="en-US" w:eastAsia="zh-CN"/>
              </w:rPr>
              <w:t>一般</w:t>
            </w:r>
            <w:r>
              <w:rPr>
                <w:rFonts w:hint="eastAsia" w:ascii="宋体" w:hAnsi="宋体" w:eastAsia="宋体" w:cs="宋体"/>
                <w:color w:val="auto"/>
                <w:sz w:val="24"/>
                <w:szCs w:val="24"/>
                <w:u w:val="none"/>
              </w:rPr>
              <w:t>得</w:t>
            </w:r>
            <w:r>
              <w:rPr>
                <w:rFonts w:hint="eastAsia" w:ascii="宋体" w:hAnsi="宋体" w:cs="宋体"/>
                <w:color w:val="auto"/>
                <w:sz w:val="24"/>
                <w:szCs w:val="24"/>
                <w:u w:val="none"/>
                <w:lang w:val="en-US" w:eastAsia="zh-CN"/>
              </w:rPr>
              <w:t>3</w:t>
            </w:r>
            <w:r>
              <w:rPr>
                <w:rFonts w:hint="eastAsia" w:ascii="宋体" w:hAnsi="宋体" w:eastAsia="宋体" w:cs="宋体"/>
                <w:color w:val="auto"/>
                <w:sz w:val="24"/>
                <w:szCs w:val="24"/>
                <w:u w:val="none"/>
              </w:rPr>
              <w:t>分；</w:t>
            </w:r>
          </w:p>
          <w:p w14:paraId="3208D9C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rPr>
            </w:pPr>
            <w:r>
              <w:rPr>
                <w:rFonts w:hint="eastAsia" w:ascii="宋体" w:hAnsi="宋体" w:cs="宋体"/>
                <w:color w:val="auto"/>
                <w:sz w:val="24"/>
                <w:szCs w:val="24"/>
                <w:u w:val="none"/>
                <w:lang w:val="en-US" w:eastAsia="zh-CN"/>
              </w:rPr>
              <w:t>（4）</w:t>
            </w:r>
            <w:r>
              <w:rPr>
                <w:rFonts w:hint="eastAsia" w:ascii="宋体" w:hAnsi="宋体" w:eastAsia="宋体" w:cs="宋体"/>
                <w:color w:val="auto"/>
                <w:sz w:val="24"/>
                <w:szCs w:val="24"/>
                <w:u w:val="none"/>
              </w:rPr>
              <w:t>项目组织机构管理体系</w:t>
            </w:r>
            <w:r>
              <w:rPr>
                <w:rFonts w:hint="eastAsia" w:ascii="宋体" w:hAnsi="宋体" w:cs="宋体"/>
                <w:color w:val="auto"/>
                <w:sz w:val="24"/>
                <w:szCs w:val="24"/>
                <w:u w:val="none"/>
                <w:lang w:val="en-US" w:eastAsia="zh-CN"/>
              </w:rPr>
              <w:t>无</w:t>
            </w:r>
            <w:r>
              <w:rPr>
                <w:rFonts w:hint="eastAsia" w:ascii="宋体" w:hAnsi="宋体" w:eastAsia="宋体" w:cs="宋体"/>
                <w:color w:val="auto"/>
                <w:sz w:val="24"/>
                <w:szCs w:val="24"/>
                <w:u w:val="none"/>
              </w:rPr>
              <w:t>针对性，配备的人员</w:t>
            </w:r>
            <w:r>
              <w:rPr>
                <w:rFonts w:hint="eastAsia" w:ascii="宋体" w:hAnsi="宋体" w:eastAsia="宋体" w:cs="宋体"/>
                <w:color w:val="auto"/>
                <w:sz w:val="24"/>
                <w:szCs w:val="24"/>
                <w:u w:val="none"/>
                <w:lang w:val="en-US" w:eastAsia="zh-CN"/>
              </w:rPr>
              <w:t>不合理</w:t>
            </w:r>
            <w:r>
              <w:rPr>
                <w:rFonts w:hint="eastAsia" w:ascii="宋体" w:hAnsi="宋体" w:eastAsia="宋体" w:cs="宋体"/>
                <w:color w:val="auto"/>
                <w:sz w:val="24"/>
                <w:szCs w:val="24"/>
                <w:u w:val="none"/>
              </w:rPr>
              <w:t>、岗位职责分工</w:t>
            </w:r>
            <w:r>
              <w:rPr>
                <w:rFonts w:hint="eastAsia" w:ascii="宋体" w:hAnsi="宋体" w:cs="宋体"/>
                <w:color w:val="auto"/>
                <w:sz w:val="24"/>
                <w:szCs w:val="24"/>
                <w:u w:val="none"/>
                <w:lang w:val="en-US" w:eastAsia="zh-CN"/>
              </w:rPr>
              <w:t>不明确</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提供</w:t>
            </w:r>
            <w:r>
              <w:rPr>
                <w:rFonts w:hint="eastAsia" w:ascii="宋体" w:hAnsi="宋体" w:eastAsia="宋体" w:cs="宋体"/>
                <w:color w:val="auto"/>
                <w:sz w:val="24"/>
                <w:szCs w:val="24"/>
                <w:u w:val="none"/>
              </w:rPr>
              <w:t>相关专业技能证书</w:t>
            </w:r>
            <w:r>
              <w:rPr>
                <w:rFonts w:hint="eastAsia" w:ascii="宋体" w:hAnsi="宋体" w:cs="宋体"/>
                <w:color w:val="auto"/>
                <w:sz w:val="24"/>
                <w:szCs w:val="24"/>
                <w:u w:val="none"/>
                <w:lang w:val="en-US" w:eastAsia="zh-CN"/>
              </w:rPr>
              <w:t>等</w:t>
            </w:r>
            <w:r>
              <w:rPr>
                <w:rFonts w:hint="eastAsia" w:ascii="宋体" w:hAnsi="宋体" w:eastAsia="宋体" w:cs="宋体"/>
                <w:color w:val="auto"/>
                <w:sz w:val="24"/>
                <w:szCs w:val="24"/>
                <w:u w:val="none"/>
              </w:rPr>
              <w:t>证明材料</w:t>
            </w:r>
            <w:r>
              <w:rPr>
                <w:rFonts w:hint="eastAsia" w:ascii="宋体" w:hAnsi="宋体" w:cs="宋体"/>
                <w:color w:val="auto"/>
                <w:sz w:val="24"/>
                <w:szCs w:val="24"/>
                <w:u w:val="none"/>
                <w:lang w:val="en-US" w:eastAsia="zh-CN"/>
              </w:rPr>
              <w:t>不齐全</w:t>
            </w:r>
            <w:r>
              <w:rPr>
                <w:rFonts w:hint="eastAsia" w:ascii="宋体" w:hAnsi="宋体" w:eastAsia="宋体" w:cs="宋体"/>
                <w:color w:val="auto"/>
                <w:sz w:val="24"/>
                <w:szCs w:val="24"/>
                <w:u w:val="none"/>
              </w:rPr>
              <w:t>得</w:t>
            </w:r>
            <w:r>
              <w:rPr>
                <w:rFonts w:hint="eastAsia" w:ascii="宋体" w:hAnsi="宋体" w:cs="宋体"/>
                <w:color w:val="auto"/>
                <w:sz w:val="24"/>
                <w:szCs w:val="24"/>
                <w:u w:val="none"/>
                <w:lang w:val="en-US" w:eastAsia="zh-CN"/>
              </w:rPr>
              <w:t>2</w:t>
            </w:r>
            <w:r>
              <w:rPr>
                <w:rFonts w:hint="eastAsia" w:ascii="宋体" w:hAnsi="宋体" w:eastAsia="宋体" w:cs="宋体"/>
                <w:color w:val="auto"/>
                <w:sz w:val="24"/>
                <w:szCs w:val="24"/>
                <w:u w:val="none"/>
              </w:rPr>
              <w:t>分；</w:t>
            </w:r>
          </w:p>
          <w:p w14:paraId="6960E37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cs="宋体"/>
                <w:color w:val="auto"/>
                <w:sz w:val="24"/>
                <w:szCs w:val="24"/>
                <w:u w:val="none"/>
                <w:lang w:val="en-US" w:eastAsia="zh-CN"/>
              </w:rPr>
            </w:pPr>
            <w:r>
              <w:rPr>
                <w:rFonts w:hint="eastAsia" w:cs="宋体"/>
                <w:color w:val="auto"/>
                <w:sz w:val="24"/>
                <w:szCs w:val="24"/>
                <w:u w:val="none"/>
                <w:lang w:val="en-US" w:eastAsia="zh-CN"/>
              </w:rPr>
              <w:t>（5）</w:t>
            </w:r>
            <w:r>
              <w:rPr>
                <w:rFonts w:hint="eastAsia" w:ascii="宋体" w:hAnsi="宋体" w:eastAsia="宋体" w:cs="宋体"/>
                <w:color w:val="auto"/>
                <w:sz w:val="24"/>
                <w:szCs w:val="24"/>
                <w:u w:val="none"/>
              </w:rPr>
              <w:t>项目组织机构管理体系差，针对性差，</w:t>
            </w:r>
            <w:r>
              <w:rPr>
                <w:rFonts w:hint="eastAsia" w:ascii="宋体" w:hAnsi="宋体" w:cs="宋体"/>
                <w:color w:val="auto"/>
                <w:sz w:val="24"/>
                <w:szCs w:val="24"/>
                <w:u w:val="none"/>
                <w:lang w:val="en-US" w:eastAsia="zh-CN"/>
              </w:rPr>
              <w:t>无</w:t>
            </w:r>
            <w:r>
              <w:rPr>
                <w:rFonts w:hint="eastAsia" w:ascii="宋体" w:hAnsi="宋体" w:eastAsia="宋体" w:cs="宋体"/>
                <w:color w:val="auto"/>
                <w:sz w:val="24"/>
                <w:szCs w:val="24"/>
                <w:u w:val="none"/>
              </w:rPr>
              <w:t>相关专业技能证书</w:t>
            </w:r>
            <w:r>
              <w:rPr>
                <w:rFonts w:hint="eastAsia" w:ascii="宋体" w:hAnsi="宋体" w:cs="宋体"/>
                <w:color w:val="auto"/>
                <w:sz w:val="24"/>
                <w:szCs w:val="24"/>
                <w:u w:val="none"/>
                <w:lang w:val="en-US" w:eastAsia="zh-CN"/>
              </w:rPr>
              <w:t>等</w:t>
            </w:r>
            <w:r>
              <w:rPr>
                <w:rFonts w:hint="eastAsia" w:ascii="宋体" w:hAnsi="宋体" w:eastAsia="宋体" w:cs="宋体"/>
                <w:color w:val="auto"/>
                <w:sz w:val="24"/>
                <w:szCs w:val="24"/>
                <w:u w:val="none"/>
              </w:rPr>
              <w:t>证明材料得1分</w:t>
            </w:r>
            <w:r>
              <w:rPr>
                <w:rFonts w:hint="eastAsia" w:ascii="宋体" w:hAnsi="宋体" w:cs="宋体"/>
                <w:color w:val="auto"/>
                <w:sz w:val="24"/>
                <w:szCs w:val="24"/>
                <w:u w:val="none"/>
                <w:lang w:eastAsia="zh-CN"/>
              </w:rPr>
              <w:t>。</w:t>
            </w:r>
            <w:r>
              <w:rPr>
                <w:rFonts w:hint="eastAsia" w:cs="宋体"/>
                <w:color w:val="auto"/>
                <w:sz w:val="24"/>
                <w:szCs w:val="24"/>
                <w:u w:val="none"/>
                <w:lang w:val="en-US" w:eastAsia="zh-CN"/>
              </w:rPr>
              <w:t>未提供不得分。</w:t>
            </w:r>
          </w:p>
          <w:p w14:paraId="5877288D">
            <w:pPr>
              <w:pStyle w:val="2"/>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2.</w:t>
            </w:r>
            <w:r>
              <w:rPr>
                <w:rFonts w:hint="eastAsia" w:ascii="宋体" w:hAnsi="宋体" w:eastAsia="宋体" w:cs="宋体"/>
                <w:b/>
                <w:bCs/>
                <w:color w:val="auto"/>
                <w:sz w:val="24"/>
                <w:szCs w:val="24"/>
                <w:lang w:bidi="ar"/>
              </w:rPr>
              <w:t>项目团队成员中，</w:t>
            </w:r>
            <w:r>
              <w:rPr>
                <w:rFonts w:hint="eastAsia" w:ascii="宋体" w:hAnsi="宋体" w:eastAsia="宋体" w:cs="宋体"/>
                <w:b/>
                <w:bCs/>
                <w:color w:val="auto"/>
                <w:sz w:val="24"/>
                <w:szCs w:val="24"/>
                <w:lang w:val="en-US" w:eastAsia="zh-CN" w:bidi="ar"/>
              </w:rPr>
              <w:t>每提供1</w:t>
            </w:r>
            <w:r>
              <w:rPr>
                <w:rFonts w:hint="eastAsia" w:ascii="宋体" w:hAnsi="宋体" w:eastAsia="宋体" w:cs="宋体"/>
                <w:b/>
                <w:bCs/>
                <w:color w:val="auto"/>
                <w:sz w:val="24"/>
                <w:szCs w:val="24"/>
                <w:lang w:bidi="ar"/>
              </w:rPr>
              <w:t>个IT服务项目经理证书</w:t>
            </w:r>
            <w:r>
              <w:rPr>
                <w:rFonts w:hint="eastAsia" w:ascii="宋体" w:hAnsi="宋体" w:eastAsia="宋体" w:cs="宋体"/>
                <w:b/>
                <w:bCs/>
                <w:color w:val="auto"/>
                <w:sz w:val="24"/>
                <w:szCs w:val="24"/>
                <w:lang w:val="en-US" w:eastAsia="zh-CN" w:bidi="ar"/>
              </w:rPr>
              <w:t>加</w:t>
            </w:r>
            <w:r>
              <w:rPr>
                <w:rFonts w:hint="eastAsia" w:cs="宋体"/>
                <w:b/>
                <w:bCs/>
                <w:color w:val="auto"/>
                <w:sz w:val="24"/>
                <w:szCs w:val="24"/>
                <w:lang w:val="en-US" w:eastAsia="zh-CN" w:bidi="ar"/>
              </w:rPr>
              <w:t>3</w:t>
            </w:r>
            <w:r>
              <w:rPr>
                <w:rFonts w:hint="eastAsia" w:ascii="宋体" w:hAnsi="宋体" w:eastAsia="宋体" w:cs="宋体"/>
                <w:b/>
                <w:bCs/>
                <w:color w:val="auto"/>
                <w:sz w:val="24"/>
                <w:szCs w:val="24"/>
                <w:lang w:bidi="ar"/>
              </w:rPr>
              <w:t>分</w:t>
            </w:r>
            <w:r>
              <w:rPr>
                <w:rFonts w:hint="eastAsia" w:cs="宋体"/>
                <w:b/>
                <w:bCs/>
                <w:color w:val="auto"/>
                <w:sz w:val="24"/>
                <w:szCs w:val="24"/>
                <w:lang w:eastAsia="zh-CN" w:bidi="ar"/>
              </w:rPr>
              <w:t>，最高得3分</w:t>
            </w:r>
            <w:r>
              <w:rPr>
                <w:rFonts w:hint="eastAsia" w:ascii="宋体" w:hAnsi="宋体" w:eastAsia="宋体" w:cs="宋体"/>
                <w:b/>
                <w:bCs/>
                <w:color w:val="auto"/>
                <w:sz w:val="24"/>
                <w:szCs w:val="24"/>
                <w:lang w:eastAsia="zh-CN" w:bidi="ar"/>
              </w:rPr>
              <w:t>。</w:t>
            </w:r>
          </w:p>
          <w:p w14:paraId="585F4186">
            <w:pPr>
              <w:pStyle w:val="2"/>
              <w:rPr>
                <w:rFonts w:hint="eastAsia" w:ascii="宋体" w:hAnsi="宋体" w:eastAsia="宋体" w:cs="宋体"/>
                <w:b/>
                <w:bCs/>
                <w:color w:val="auto"/>
                <w:sz w:val="24"/>
                <w:szCs w:val="24"/>
                <w:lang w:eastAsia="zh-CN" w:bidi="ar"/>
              </w:rPr>
            </w:pPr>
            <w:r>
              <w:rPr>
                <w:rFonts w:hint="eastAsia" w:cs="宋体"/>
                <w:b/>
                <w:bCs/>
                <w:color w:val="auto"/>
                <w:sz w:val="24"/>
                <w:szCs w:val="24"/>
                <w:lang w:val="en-US" w:eastAsia="zh-CN" w:bidi="ar"/>
              </w:rPr>
              <w:t>3.</w:t>
            </w:r>
            <w:r>
              <w:rPr>
                <w:rFonts w:hint="eastAsia" w:ascii="宋体" w:hAnsi="宋体" w:eastAsia="宋体" w:cs="宋体"/>
                <w:b/>
                <w:bCs/>
                <w:color w:val="auto"/>
                <w:sz w:val="24"/>
                <w:szCs w:val="24"/>
                <w:lang w:val="en-US" w:eastAsia="zh-CN" w:bidi="ar"/>
              </w:rPr>
              <w:t>每提供1</w:t>
            </w:r>
            <w:r>
              <w:rPr>
                <w:rFonts w:hint="eastAsia" w:ascii="宋体" w:hAnsi="宋体" w:eastAsia="宋体" w:cs="宋体"/>
                <w:b/>
                <w:bCs/>
                <w:color w:val="auto"/>
                <w:sz w:val="24"/>
                <w:szCs w:val="24"/>
                <w:lang w:bidi="ar"/>
              </w:rPr>
              <w:t>个IT服务项目工程师证书</w:t>
            </w:r>
            <w:r>
              <w:rPr>
                <w:rFonts w:hint="eastAsia" w:ascii="宋体" w:hAnsi="宋体" w:eastAsia="宋体" w:cs="宋体"/>
                <w:b/>
                <w:bCs/>
                <w:color w:val="auto"/>
                <w:sz w:val="24"/>
                <w:szCs w:val="24"/>
                <w:lang w:val="en-US" w:eastAsia="zh-CN" w:bidi="ar"/>
              </w:rPr>
              <w:t>加</w:t>
            </w:r>
            <w:r>
              <w:rPr>
                <w:rFonts w:hint="eastAsia" w:cs="宋体"/>
                <w:b/>
                <w:bCs/>
                <w:color w:val="auto"/>
                <w:sz w:val="24"/>
                <w:szCs w:val="24"/>
                <w:lang w:val="en-US" w:eastAsia="zh-CN" w:bidi="ar"/>
              </w:rPr>
              <w:t>3</w:t>
            </w:r>
            <w:r>
              <w:rPr>
                <w:rFonts w:hint="eastAsia" w:ascii="宋体" w:hAnsi="宋体" w:eastAsia="宋体" w:cs="宋体"/>
                <w:b/>
                <w:bCs/>
                <w:color w:val="auto"/>
                <w:sz w:val="24"/>
                <w:szCs w:val="24"/>
                <w:lang w:bidi="ar"/>
              </w:rPr>
              <w:t>分</w:t>
            </w:r>
            <w:r>
              <w:rPr>
                <w:rFonts w:hint="eastAsia" w:cs="宋体"/>
                <w:b/>
                <w:bCs/>
                <w:color w:val="auto"/>
                <w:sz w:val="24"/>
                <w:szCs w:val="24"/>
                <w:lang w:eastAsia="zh-CN" w:bidi="ar"/>
              </w:rPr>
              <w:t>，最高得3分</w:t>
            </w:r>
            <w:r>
              <w:rPr>
                <w:rFonts w:hint="eastAsia" w:ascii="宋体" w:hAnsi="宋体" w:eastAsia="宋体" w:cs="宋体"/>
                <w:b/>
                <w:bCs/>
                <w:color w:val="auto"/>
                <w:sz w:val="24"/>
                <w:szCs w:val="24"/>
                <w:lang w:eastAsia="zh-CN" w:bidi="ar"/>
              </w:rPr>
              <w:t>。</w:t>
            </w:r>
          </w:p>
          <w:p w14:paraId="3D329341">
            <w:pPr>
              <w:pStyle w:val="2"/>
              <w:rPr>
                <w:rFonts w:hint="eastAsia" w:ascii="宋体" w:hAnsi="宋体" w:eastAsia="宋体" w:cs="宋体"/>
                <w:color w:val="auto"/>
                <w:sz w:val="24"/>
                <w:szCs w:val="24"/>
                <w:lang w:eastAsia="zh-CN"/>
              </w:rPr>
            </w:pPr>
            <w:r>
              <w:rPr>
                <w:rFonts w:hint="eastAsia" w:cs="宋体"/>
                <w:b/>
                <w:bCs/>
                <w:color w:val="auto"/>
                <w:sz w:val="24"/>
                <w:szCs w:val="24"/>
                <w:lang w:val="en-US" w:eastAsia="zh-CN" w:bidi="ar"/>
              </w:rPr>
              <w:t>4.</w:t>
            </w:r>
            <w:r>
              <w:rPr>
                <w:rFonts w:hint="eastAsia" w:ascii="宋体" w:hAnsi="宋体" w:eastAsia="宋体" w:cs="宋体"/>
                <w:b/>
                <w:bCs/>
                <w:color w:val="auto"/>
                <w:sz w:val="24"/>
                <w:szCs w:val="24"/>
                <w:lang w:val="en-US" w:eastAsia="zh-CN" w:bidi="ar"/>
              </w:rPr>
              <w:t>每提供1</w:t>
            </w:r>
            <w:r>
              <w:rPr>
                <w:rFonts w:hint="eastAsia" w:ascii="宋体" w:hAnsi="宋体" w:eastAsia="宋体" w:cs="宋体"/>
                <w:b/>
                <w:bCs/>
                <w:color w:val="auto"/>
                <w:sz w:val="24"/>
                <w:szCs w:val="24"/>
                <w:lang w:bidi="ar"/>
              </w:rPr>
              <w:t>个高级信息系统项目管理师或PMP项目经理证书</w:t>
            </w:r>
            <w:r>
              <w:rPr>
                <w:rFonts w:hint="eastAsia" w:ascii="宋体" w:hAnsi="宋体" w:eastAsia="宋体" w:cs="宋体"/>
                <w:b/>
                <w:bCs/>
                <w:color w:val="auto"/>
                <w:sz w:val="24"/>
                <w:szCs w:val="24"/>
                <w:lang w:val="en-US" w:eastAsia="zh-CN" w:bidi="ar"/>
              </w:rPr>
              <w:t>加</w:t>
            </w:r>
            <w:r>
              <w:rPr>
                <w:rFonts w:hint="eastAsia" w:cs="宋体"/>
                <w:b/>
                <w:bCs/>
                <w:color w:val="auto"/>
                <w:sz w:val="24"/>
                <w:szCs w:val="24"/>
                <w:lang w:val="en-US" w:eastAsia="zh-CN" w:bidi="ar"/>
              </w:rPr>
              <w:t>3</w:t>
            </w:r>
            <w:r>
              <w:rPr>
                <w:rFonts w:hint="eastAsia" w:ascii="宋体" w:hAnsi="宋体" w:eastAsia="宋体" w:cs="宋体"/>
                <w:b/>
                <w:bCs/>
                <w:color w:val="auto"/>
                <w:sz w:val="24"/>
                <w:szCs w:val="24"/>
                <w:lang w:bidi="ar"/>
              </w:rPr>
              <w:t>分</w:t>
            </w:r>
            <w:r>
              <w:rPr>
                <w:rFonts w:hint="eastAsia" w:cs="宋体"/>
                <w:b/>
                <w:bCs/>
                <w:color w:val="auto"/>
                <w:sz w:val="24"/>
                <w:szCs w:val="24"/>
                <w:lang w:eastAsia="zh-CN" w:bidi="ar"/>
              </w:rPr>
              <w:t>，最高得3分</w:t>
            </w:r>
            <w:r>
              <w:rPr>
                <w:rFonts w:hint="eastAsia" w:ascii="宋体" w:hAnsi="宋体" w:eastAsia="宋体" w:cs="宋体"/>
                <w:b/>
                <w:bCs/>
                <w:color w:val="auto"/>
                <w:sz w:val="24"/>
                <w:szCs w:val="24"/>
                <w:lang w:eastAsia="zh-CN" w:bidi="ar"/>
              </w:rPr>
              <w:t>。</w:t>
            </w:r>
          </w:p>
        </w:tc>
      </w:tr>
      <w:tr w14:paraId="6E15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1710" w:type="dxa"/>
            <w:vMerge w:val="continue"/>
            <w:vAlign w:val="center"/>
          </w:tcPr>
          <w:p w14:paraId="0DD942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tc>
        <w:tc>
          <w:tcPr>
            <w:tcW w:w="2005" w:type="dxa"/>
            <w:vAlign w:val="center"/>
          </w:tcPr>
          <w:p w14:paraId="1EE3298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业绩(满分6分)</w:t>
            </w:r>
          </w:p>
        </w:tc>
        <w:tc>
          <w:tcPr>
            <w:tcW w:w="5602" w:type="dxa"/>
            <w:vAlign w:val="center"/>
          </w:tcPr>
          <w:p w14:paraId="386F934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供应商提供</w:t>
            </w:r>
            <w:r>
              <w:rPr>
                <w:rFonts w:hint="eastAsia" w:ascii="宋体" w:hAnsi="宋体" w:cs="宋体"/>
                <w:color w:val="auto"/>
                <w:sz w:val="24"/>
                <w:szCs w:val="24"/>
                <w:u w:val="none"/>
                <w:lang w:val="en-US" w:eastAsia="zh-CN"/>
              </w:rPr>
              <w:t>类似</w:t>
            </w:r>
            <w:r>
              <w:rPr>
                <w:rFonts w:hint="eastAsia" w:ascii="宋体" w:hAnsi="宋体" w:eastAsia="宋体" w:cs="宋体"/>
                <w:color w:val="auto"/>
                <w:sz w:val="24"/>
                <w:szCs w:val="24"/>
                <w:u w:val="none"/>
                <w:lang w:val="en-US" w:eastAsia="zh-CN"/>
              </w:rPr>
              <w:t>项目业绩，每提供1个业绩得2分，最多得6分(</w:t>
            </w:r>
            <w:r>
              <w:rPr>
                <w:rFonts w:hint="eastAsia" w:ascii="宋体" w:hAnsi="宋体" w:eastAsia="宋体" w:cs="宋体"/>
                <w:color w:val="auto"/>
                <w:sz w:val="24"/>
                <w:szCs w:val="24"/>
                <w:lang w:eastAsia="zh-CN"/>
              </w:rPr>
              <w:t>须提供类似业绩项目的中标通知书或采购合同关键页 (封面、内容页、签字页等) 扫描件，材料不明确、无法体现业绩内容的不得分</w:t>
            </w:r>
            <w:r>
              <w:rPr>
                <w:rFonts w:hint="eastAsia" w:ascii="宋体" w:hAnsi="宋体" w:eastAsia="宋体" w:cs="宋体"/>
                <w:color w:val="auto"/>
                <w:sz w:val="24"/>
                <w:szCs w:val="24"/>
                <w:u w:val="none"/>
                <w:lang w:val="en-US" w:eastAsia="zh-CN"/>
              </w:rPr>
              <w:t>)</w:t>
            </w:r>
          </w:p>
          <w:p w14:paraId="3E9B28ED">
            <w:pPr>
              <w:pStyle w:val="2"/>
              <w:rPr>
                <w:rFonts w:hint="default"/>
                <w:lang w:val="en-US" w:eastAsia="zh-CN"/>
              </w:rPr>
            </w:pPr>
            <w:r>
              <w:rPr>
                <w:rFonts w:hint="eastAsia"/>
                <w:lang w:val="en-US" w:eastAsia="zh-CN"/>
              </w:rPr>
              <w:t>注：</w:t>
            </w:r>
            <w:r>
              <w:rPr>
                <w:rFonts w:hint="eastAsia"/>
                <w:sz w:val="24"/>
                <w:szCs w:val="24"/>
                <w:lang w:val="en-US" w:eastAsia="zh-CN"/>
              </w:rPr>
              <w:t>类似项目业绩</w:t>
            </w:r>
            <w:r>
              <w:rPr>
                <w:rFonts w:hint="eastAsia" w:ascii="宋体" w:hAnsi="宋体" w:eastAsia="宋体" w:cs="宋体"/>
                <w:color w:val="auto"/>
                <w:sz w:val="24"/>
                <w:szCs w:val="24"/>
              </w:rPr>
              <w:t>是指无线电监测或测向类的固定站、移动站、小型站等</w:t>
            </w:r>
            <w:r>
              <w:rPr>
                <w:rFonts w:hint="eastAsia" w:cs="宋体"/>
                <w:color w:val="auto"/>
                <w:sz w:val="24"/>
                <w:szCs w:val="24"/>
                <w:lang w:val="en-US" w:eastAsia="zh-CN"/>
              </w:rPr>
              <w:t>维修维护</w:t>
            </w:r>
            <w:r>
              <w:rPr>
                <w:rFonts w:hint="eastAsia" w:ascii="宋体" w:hAnsi="宋体" w:eastAsia="宋体" w:cs="宋体"/>
                <w:color w:val="auto"/>
                <w:sz w:val="24"/>
                <w:szCs w:val="24"/>
              </w:rPr>
              <w:t>项目</w:t>
            </w:r>
          </w:p>
        </w:tc>
      </w:tr>
      <w:tr w14:paraId="3110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0" w:type="dxa"/>
            <w:vMerge w:val="restart"/>
            <w:vAlign w:val="center"/>
          </w:tcPr>
          <w:p w14:paraId="26B1E46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F3技术部分</w:t>
            </w:r>
          </w:p>
          <w:p w14:paraId="720C08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w:t>
            </w:r>
            <w:r>
              <w:rPr>
                <w:rFonts w:hint="eastAsia" w:ascii="宋体" w:hAnsi="宋体" w:eastAsia="宋体" w:cs="宋体"/>
                <w:b/>
                <w:bCs/>
                <w:color w:val="auto"/>
                <w:sz w:val="24"/>
                <w:szCs w:val="24"/>
                <w:lang w:val="en-US" w:eastAsia="zh-CN"/>
              </w:rPr>
              <w:t>60</w:t>
            </w:r>
            <w:r>
              <w:rPr>
                <w:rFonts w:hint="eastAsia" w:ascii="宋体" w:hAnsi="宋体" w:eastAsia="宋体" w:cs="宋体"/>
                <w:b/>
                <w:bCs/>
                <w:color w:val="auto"/>
                <w:sz w:val="24"/>
                <w:szCs w:val="24"/>
              </w:rPr>
              <w:t>分）</w:t>
            </w:r>
          </w:p>
        </w:tc>
        <w:tc>
          <w:tcPr>
            <w:tcW w:w="2005" w:type="dxa"/>
            <w:vAlign w:val="center"/>
          </w:tcPr>
          <w:p w14:paraId="3CF97D00">
            <w:pPr>
              <w:pStyle w:val="2"/>
              <w:rPr>
                <w:rFonts w:hint="eastAsia" w:ascii="宋体" w:hAnsi="宋体" w:eastAsia="宋体" w:cs="宋体"/>
                <w:b/>
                <w:bCs/>
                <w:color w:val="auto"/>
                <w:sz w:val="24"/>
                <w:szCs w:val="24"/>
                <w:highlight w:val="none"/>
                <w:lang w:val="en-US" w:eastAsia="zh-CN"/>
              </w:rPr>
            </w:pPr>
            <w:r>
              <w:rPr>
                <w:rFonts w:hint="eastAsia"/>
                <w:b/>
                <w:bCs w:val="0"/>
                <w:color w:val="auto"/>
                <w:lang w:val="en-US" w:eastAsia="zh-CN"/>
              </w:rPr>
              <w:t>总体服务方案（满分24分）</w:t>
            </w:r>
          </w:p>
        </w:tc>
        <w:tc>
          <w:tcPr>
            <w:tcW w:w="5602" w:type="dxa"/>
            <w:shd w:val="clear" w:color="auto" w:fill="auto"/>
            <w:vAlign w:val="center"/>
          </w:tcPr>
          <w:p w14:paraId="2F3E550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24"/>
                <w:szCs w:val="24"/>
                <w:lang w:val="en-US" w:eastAsia="zh-CN"/>
              </w:rPr>
            </w:pP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针对本项目提供</w:t>
            </w:r>
            <w:r>
              <w:rPr>
                <w:rFonts w:hint="eastAsia" w:ascii="宋体" w:hAnsi="宋体" w:cs="宋体"/>
                <w:b w:val="0"/>
                <w:bCs w:val="0"/>
                <w:color w:val="auto"/>
                <w:sz w:val="24"/>
                <w:szCs w:val="24"/>
                <w:highlight w:val="none"/>
                <w:lang w:val="en-US" w:eastAsia="zh-CN"/>
              </w:rPr>
              <w:t>总体</w:t>
            </w:r>
            <w:r>
              <w:rPr>
                <w:rFonts w:hint="eastAsia" w:ascii="宋体" w:hAnsi="宋体" w:eastAsia="宋体" w:cs="宋体"/>
                <w:b w:val="0"/>
                <w:bCs w:val="0"/>
                <w:color w:val="auto"/>
                <w:sz w:val="24"/>
                <w:szCs w:val="24"/>
                <w:highlight w:val="none"/>
                <w:lang w:val="en-US" w:eastAsia="zh-CN"/>
              </w:rPr>
              <w:t>服务方案，内容包括但不限于：</w:t>
            </w:r>
          </w:p>
          <w:p w14:paraId="4AA4A38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eastAsia="zh-CN"/>
              </w:rPr>
              <w:t>项目工作计划及流程</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highlight w:val="none"/>
                <w:lang w:val="en-US" w:eastAsia="zh-CN"/>
              </w:rPr>
              <w:t>②</w:t>
            </w:r>
            <w:r>
              <w:rPr>
                <w:rFonts w:hint="eastAsia" w:ascii="宋体" w:hAnsi="宋体" w:cs="宋体"/>
                <w:color w:val="auto"/>
                <w:sz w:val="24"/>
                <w:szCs w:val="24"/>
                <w:lang w:val="en-US" w:eastAsia="zh-CN"/>
              </w:rPr>
              <w:t>服务质量及保障</w:t>
            </w:r>
            <w:r>
              <w:rPr>
                <w:rFonts w:hint="eastAsia" w:ascii="宋体" w:hAnsi="宋体" w:eastAsia="宋体" w:cs="宋体"/>
                <w:color w:val="auto"/>
                <w:sz w:val="24"/>
                <w:szCs w:val="24"/>
              </w:rPr>
              <w:t>措施</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highlight w:val="none"/>
                <w:lang w:val="en-US" w:eastAsia="zh-CN"/>
              </w:rPr>
              <w:t>③</w:t>
            </w:r>
            <w:r>
              <w:rPr>
                <w:rFonts w:hint="default" w:ascii="宋体" w:hAnsi="宋体" w:cs="宋体"/>
                <w:b w:val="0"/>
                <w:bCs w:val="0"/>
                <w:color w:val="auto"/>
                <w:sz w:val="24"/>
                <w:szCs w:val="24"/>
                <w:highlight w:val="none"/>
                <w:lang w:eastAsia="zh-CN"/>
              </w:rPr>
              <w:t>维护能力</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highlight w:val="none"/>
                <w:lang w:val="en-US" w:eastAsia="zh-CN"/>
              </w:rPr>
              <w:t>④巡检方案</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lang w:eastAsia="zh-CN"/>
              </w:rPr>
              <w:t>⑤</w:t>
            </w:r>
            <w:r>
              <w:rPr>
                <w:rFonts w:hint="eastAsia" w:ascii="宋体" w:hAnsi="宋体" w:eastAsia="宋体" w:cs="宋体"/>
                <w:b w:val="0"/>
                <w:bCs w:val="0"/>
                <w:color w:val="auto"/>
                <w:sz w:val="24"/>
                <w:szCs w:val="24"/>
                <w:highlight w:val="none"/>
                <w:lang w:val="en-US" w:eastAsia="zh-CN"/>
              </w:rPr>
              <w:t>重大活动及应急任务保障</w:t>
            </w:r>
            <w:r>
              <w:rPr>
                <w:rFonts w:hint="eastAsia" w:ascii="宋体" w:hAnsi="宋体" w:cs="宋体"/>
                <w:b w:val="0"/>
                <w:bCs w:val="0"/>
                <w:color w:val="auto"/>
                <w:sz w:val="24"/>
                <w:szCs w:val="24"/>
                <w:highlight w:val="none"/>
                <w:lang w:val="en-US" w:eastAsia="zh-CN"/>
              </w:rPr>
              <w:t>；⑥故障响应时间</w:t>
            </w:r>
            <w:r>
              <w:rPr>
                <w:rFonts w:hint="eastAsia" w:ascii="宋体" w:hAnsi="宋体" w:cs="宋体"/>
                <w:b w:val="0"/>
                <w:bCs w:val="0"/>
                <w:color w:val="auto"/>
                <w:sz w:val="24"/>
                <w:szCs w:val="24"/>
                <w:lang w:eastAsia="zh-CN"/>
              </w:rPr>
              <w:t>。</w:t>
            </w:r>
          </w:p>
          <w:p w14:paraId="2CDE89DB">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每项内容</w:t>
            </w:r>
            <w:r>
              <w:rPr>
                <w:rFonts w:hint="eastAsia" w:ascii="宋体" w:hAnsi="宋体" w:eastAsia="宋体" w:cs="宋体"/>
                <w:color w:val="auto"/>
                <w:sz w:val="24"/>
                <w:szCs w:val="24"/>
              </w:rPr>
              <w:t>从“内容全面、方案合理、</w:t>
            </w:r>
            <w:r>
              <w:rPr>
                <w:rFonts w:hint="eastAsia" w:ascii="宋体" w:hAnsi="宋体" w:cs="宋体"/>
                <w:color w:val="auto"/>
                <w:sz w:val="24"/>
                <w:szCs w:val="24"/>
                <w:lang w:val="en-US" w:eastAsia="zh-CN"/>
              </w:rPr>
              <w:t>针对性</w:t>
            </w:r>
            <w:r>
              <w:rPr>
                <w:rFonts w:hint="eastAsia" w:ascii="宋体" w:hAnsi="宋体" w:eastAsia="宋体" w:cs="宋体"/>
                <w:color w:val="auto"/>
                <w:sz w:val="24"/>
                <w:szCs w:val="24"/>
              </w:rPr>
              <w:t>、完整性”等方面综合评审，进行比较打分</w:t>
            </w:r>
            <w:r>
              <w:rPr>
                <w:rFonts w:hint="eastAsia" w:ascii="宋体" w:hAnsi="宋体" w:eastAsia="宋体" w:cs="宋体"/>
                <w:color w:val="auto"/>
                <w:sz w:val="24"/>
                <w:szCs w:val="24"/>
                <w:highlight w:val="none"/>
                <w:lang w:val="en-US" w:eastAsia="zh-CN"/>
              </w:rPr>
              <w:t>：</w:t>
            </w:r>
          </w:p>
          <w:p w14:paraId="749AD4E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以上方面，每项</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分，有一项</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lang w:val="en-US" w:eastAsia="zh-CN"/>
              </w:rPr>
              <w:t>缺乏完整性、合理性的扣2分，有一项缺项漏项的扣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r>
      <w:tr w14:paraId="7253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1710" w:type="dxa"/>
            <w:vMerge w:val="continue"/>
            <w:vAlign w:val="center"/>
          </w:tcPr>
          <w:p w14:paraId="6A7B4C6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tc>
        <w:tc>
          <w:tcPr>
            <w:tcW w:w="2005" w:type="dxa"/>
            <w:vAlign w:val="center"/>
          </w:tcPr>
          <w:p w14:paraId="42DAA6D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设施设备运行保障</w:t>
            </w:r>
            <w:r>
              <w:rPr>
                <w:rFonts w:hint="eastAsia" w:ascii="宋体" w:hAnsi="宋体" w:cs="宋体"/>
                <w:b/>
                <w:bCs/>
                <w:color w:val="auto"/>
                <w:sz w:val="24"/>
                <w:szCs w:val="24"/>
                <w:lang w:val="en-US" w:eastAsia="zh-CN"/>
              </w:rPr>
              <w:t>措施</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18</w:t>
            </w:r>
            <w:r>
              <w:rPr>
                <w:rFonts w:hint="eastAsia" w:ascii="宋体" w:hAnsi="宋体" w:eastAsia="宋体" w:cs="宋体"/>
                <w:b/>
                <w:bCs/>
                <w:color w:val="auto"/>
                <w:sz w:val="24"/>
                <w:szCs w:val="24"/>
                <w:lang w:val="en-US" w:eastAsia="zh-CN"/>
              </w:rPr>
              <w:t>分）</w:t>
            </w:r>
          </w:p>
        </w:tc>
        <w:tc>
          <w:tcPr>
            <w:tcW w:w="5602" w:type="dxa"/>
            <w:vAlign w:val="center"/>
          </w:tcPr>
          <w:p w14:paraId="5CAB03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供应商针对本项目提供设施设备运行保障</w:t>
            </w:r>
            <w:r>
              <w:rPr>
                <w:rFonts w:hint="eastAsia" w:ascii="宋体" w:hAnsi="宋体" w:cs="宋体"/>
                <w:color w:val="auto"/>
                <w:sz w:val="24"/>
                <w:szCs w:val="24"/>
                <w:highlight w:val="none"/>
                <w:lang w:val="en-US" w:eastAsia="zh-CN"/>
              </w:rPr>
              <w:t>措施</w:t>
            </w:r>
            <w:r>
              <w:rPr>
                <w:rFonts w:hint="eastAsia" w:ascii="宋体" w:hAnsi="宋体" w:eastAsia="宋体" w:cs="宋体"/>
                <w:color w:val="auto"/>
                <w:sz w:val="24"/>
                <w:szCs w:val="24"/>
                <w:highlight w:val="none"/>
                <w:lang w:val="en-US" w:eastAsia="zh-CN"/>
              </w:rPr>
              <w:t>，内容包括但不限于：</w:t>
            </w:r>
          </w:p>
          <w:p w14:paraId="5BE3AF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①无线电监测设施设备</w:t>
            </w:r>
            <w:r>
              <w:rPr>
                <w:rFonts w:hint="eastAsia" w:ascii="宋体" w:hAnsi="宋体" w:cs="宋体"/>
                <w:color w:val="auto"/>
                <w:sz w:val="24"/>
                <w:szCs w:val="24"/>
                <w:highlight w:val="none"/>
                <w:lang w:val="en-US" w:eastAsia="zh-CN"/>
              </w:rPr>
              <w:t>运行保障措施</w:t>
            </w:r>
            <w:r>
              <w:rPr>
                <w:rFonts w:hint="eastAsia" w:ascii="宋体" w:hAnsi="宋体" w:eastAsia="宋体" w:cs="宋体"/>
                <w:color w:val="auto"/>
                <w:sz w:val="24"/>
                <w:szCs w:val="24"/>
                <w:highlight w:val="none"/>
                <w:lang w:val="en-US" w:eastAsia="zh-CN"/>
              </w:rPr>
              <w:t>；②无线电监测网运行保障服务；③数据备份方案。</w:t>
            </w:r>
          </w:p>
          <w:p w14:paraId="1676C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每项内容从“内容全面、方案合理、匹配性、完整性”等方面综合评审，进行比较打分。</w:t>
            </w:r>
          </w:p>
          <w:p w14:paraId="526B0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以上方面，每项</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分，有一项</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lang w:val="en-US" w:eastAsia="zh-CN"/>
              </w:rPr>
              <w:t>缺乏完整性、合理性的扣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分，有一项缺项漏项的扣</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6EFB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0" w:type="dxa"/>
            <w:vMerge w:val="continue"/>
            <w:vAlign w:val="center"/>
          </w:tcPr>
          <w:p w14:paraId="6D3C22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tc>
        <w:tc>
          <w:tcPr>
            <w:tcW w:w="2005" w:type="dxa"/>
            <w:vAlign w:val="center"/>
          </w:tcPr>
          <w:p w14:paraId="19B87E8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维修维护方案</w:t>
            </w:r>
            <w:r>
              <w:rPr>
                <w:rFonts w:hint="eastAsia" w:ascii="宋体" w:hAnsi="宋体" w:eastAsia="宋体" w:cs="宋体"/>
                <w:b/>
                <w:bCs/>
                <w:color w:val="auto"/>
                <w:sz w:val="24"/>
                <w:szCs w:val="24"/>
                <w:highlight w:val="none"/>
                <w:lang w:val="en-US" w:eastAsia="zh-CN"/>
              </w:rPr>
              <w:t>（满分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tc>
        <w:tc>
          <w:tcPr>
            <w:tcW w:w="5602" w:type="dxa"/>
            <w:vAlign w:val="center"/>
          </w:tcPr>
          <w:p w14:paraId="61D8E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供应商针对本项目提供维修维护方案，内容包括但不限于：</w:t>
            </w:r>
          </w:p>
          <w:p w14:paraId="799FF6D6">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①故障诊断与维修流程；②设备报废管理；③应急维修响应与重大活动专项保障；④预防性维修与巡检保养；</w:t>
            </w:r>
          </w:p>
          <w:p w14:paraId="5205F5F9">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每项内容从“内容全面、方案合理、匹配性、完整性”等方面综合评审，进行比较打分。</w:t>
            </w:r>
          </w:p>
          <w:p w14:paraId="2FBD13E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以上方面，每项</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分，有一项内容缺乏完整性、合理性的扣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分，有一项缺项漏项的扣</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p>
        </w:tc>
      </w:tr>
      <w:tr w14:paraId="72BB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0" w:type="dxa"/>
            <w:vMerge w:val="continue"/>
            <w:vAlign w:val="center"/>
          </w:tcPr>
          <w:p w14:paraId="2FCEB6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tc>
        <w:tc>
          <w:tcPr>
            <w:tcW w:w="2005" w:type="dxa"/>
            <w:vAlign w:val="center"/>
          </w:tcPr>
          <w:p w14:paraId="7CD92FB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备品备件库（满分4分）</w:t>
            </w:r>
          </w:p>
          <w:p w14:paraId="4E6A06FA">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highlight w:val="none"/>
                <w:lang w:val="en-US" w:eastAsia="zh-CN"/>
              </w:rPr>
            </w:pPr>
          </w:p>
        </w:tc>
        <w:tc>
          <w:tcPr>
            <w:tcW w:w="5602" w:type="dxa"/>
            <w:vAlign w:val="center"/>
          </w:tcPr>
          <w:p w14:paraId="57901A8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备品备件清单类别、数量、与本项目的适配性等进行评审，类别、数量最多、适配性最高且完全符合或优于维护要求的得4分；类别、数量较多，适配性较高，符合维护需求的得3分；类别、数量一般，适配性一般，基本符合维护需求的得2分；提供备品备件，但难以满足维护需求的得1分。未提供的不得分。</w:t>
            </w:r>
          </w:p>
        </w:tc>
      </w:tr>
      <w:tr w14:paraId="1567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0" w:type="dxa"/>
            <w:vMerge w:val="continue"/>
            <w:vAlign w:val="center"/>
          </w:tcPr>
          <w:p w14:paraId="692AFE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p>
        </w:tc>
        <w:tc>
          <w:tcPr>
            <w:tcW w:w="2005" w:type="dxa"/>
            <w:vAlign w:val="center"/>
          </w:tcPr>
          <w:p w14:paraId="554B063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10"/>
                <w:sz w:val="24"/>
                <w:szCs w:val="24"/>
                <w:highlight w:val="none"/>
                <w:lang w:val="en-US" w:eastAsia="zh-CN"/>
              </w:rPr>
            </w:pPr>
            <w:r>
              <w:rPr>
                <w:rFonts w:hint="eastAsia" w:ascii="宋体" w:hAnsi="宋体" w:eastAsia="宋体" w:cs="宋体"/>
                <w:b/>
                <w:bCs/>
                <w:color w:val="auto"/>
                <w:kern w:val="10"/>
                <w:sz w:val="24"/>
                <w:szCs w:val="24"/>
                <w:highlight w:val="none"/>
              </w:rPr>
              <w:t>应急保障能力</w:t>
            </w:r>
          </w:p>
          <w:p w14:paraId="2A375671">
            <w:pPr>
              <w:keepNext w:val="0"/>
              <w:keepLines w:val="0"/>
              <w:pageBreakBefore w:val="0"/>
              <w:kinsoku/>
              <w:wordWrap/>
              <w:overflowPunct/>
              <w:topLinePunct w:val="0"/>
              <w:autoSpaceDE/>
              <w:autoSpaceDN/>
              <w:bidi w:val="0"/>
              <w:adjustRightInd/>
              <w:snapToGrid/>
              <w:spacing w:line="360" w:lineRule="auto"/>
              <w:ind w:left="482" w:leftChars="0" w:hanging="482" w:hangingChars="200"/>
              <w:jc w:val="center"/>
              <w:textAlignment w:val="auto"/>
              <w:rPr>
                <w:rFonts w:hint="eastAsia" w:ascii="宋体" w:hAnsi="宋体" w:eastAsia="宋体" w:cs="宋体"/>
                <w:b/>
                <w:bCs/>
                <w:color w:val="auto"/>
                <w:kern w:val="10"/>
                <w:sz w:val="24"/>
                <w:szCs w:val="24"/>
                <w:highlight w:val="none"/>
              </w:rPr>
            </w:pPr>
            <w:r>
              <w:rPr>
                <w:rFonts w:hint="eastAsia" w:ascii="宋体" w:hAnsi="宋体" w:eastAsia="宋体" w:cs="宋体"/>
                <w:b/>
                <w:bCs/>
                <w:color w:val="auto"/>
                <w:kern w:val="10"/>
                <w:sz w:val="24"/>
                <w:szCs w:val="24"/>
                <w:highlight w:val="none"/>
              </w:rPr>
              <w:t>（满分</w:t>
            </w:r>
            <w:r>
              <w:rPr>
                <w:rFonts w:hint="eastAsia" w:ascii="宋体" w:hAnsi="宋体" w:cs="宋体"/>
                <w:b/>
                <w:bCs/>
                <w:color w:val="auto"/>
                <w:kern w:val="10"/>
                <w:sz w:val="24"/>
                <w:szCs w:val="24"/>
                <w:highlight w:val="none"/>
                <w:lang w:val="en-US" w:eastAsia="zh-CN"/>
              </w:rPr>
              <w:t>4</w:t>
            </w:r>
            <w:r>
              <w:rPr>
                <w:rFonts w:hint="eastAsia" w:ascii="宋体" w:hAnsi="宋体" w:eastAsia="宋体" w:cs="宋体"/>
                <w:b/>
                <w:bCs/>
                <w:color w:val="auto"/>
                <w:kern w:val="10"/>
                <w:sz w:val="24"/>
                <w:szCs w:val="24"/>
                <w:highlight w:val="none"/>
              </w:rPr>
              <w:t>分）</w:t>
            </w:r>
          </w:p>
        </w:tc>
        <w:tc>
          <w:tcPr>
            <w:tcW w:w="5602" w:type="dxa"/>
            <w:vAlign w:val="center"/>
          </w:tcPr>
          <w:p w14:paraId="186D3DF3">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根据响应文件中提供的应急保障能力</w:t>
            </w:r>
            <w:r>
              <w:rPr>
                <w:rFonts w:hint="eastAsia" w:ascii="宋体" w:hAnsi="宋体" w:eastAsia="宋体" w:cs="宋体"/>
                <w:color w:val="auto"/>
                <w:sz w:val="24"/>
                <w:szCs w:val="24"/>
                <w:highlight w:val="none"/>
                <w:lang w:val="en-US" w:eastAsia="zh-CN"/>
              </w:rPr>
              <w:t>方案，对以下内容进行评审：</w:t>
            </w:r>
          </w:p>
          <w:p w14:paraId="15631728">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总体应急预案；</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应急组织架构及职责；</w:t>
            </w: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应急响应流程；</w:t>
            </w: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应急资源保障；</w:t>
            </w:r>
          </w:p>
          <w:p w14:paraId="284D38D6">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每项内容完整、科学、可行、能够充分满足磋商文件采购内容及要求的得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分；每项内容基本满足磋商文件采购内容及要求的得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eastAsia="zh-CN"/>
              </w:rPr>
              <w:t>分；</w:t>
            </w:r>
            <w:r>
              <w:rPr>
                <w:rFonts w:hint="eastAsia" w:ascii="宋体" w:hAnsi="宋体" w:eastAsia="宋体" w:cs="宋体"/>
                <w:color w:val="auto"/>
                <w:sz w:val="24"/>
                <w:szCs w:val="24"/>
                <w:highlight w:val="none"/>
                <w:lang w:val="en-US" w:eastAsia="zh-CN"/>
              </w:rPr>
              <w:t>有一项缺项漏项的扣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w:t>
            </w:r>
          </w:p>
        </w:tc>
      </w:tr>
      <w:tr w14:paraId="05CF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0" w:type="dxa"/>
            <w:vMerge w:val="continue"/>
            <w:vAlign w:val="center"/>
          </w:tcPr>
          <w:p w14:paraId="64E705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7607" w:type="dxa"/>
            <w:gridSpan w:val="2"/>
            <w:vAlign w:val="center"/>
          </w:tcPr>
          <w:p w14:paraId="1CA3E37B">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注：①以</w:t>
            </w:r>
            <w:r>
              <w:rPr>
                <w:rFonts w:hint="eastAsia" w:ascii="宋体" w:hAnsi="宋体" w:eastAsia="宋体" w:cs="宋体"/>
                <w:color w:val="auto"/>
                <w:sz w:val="24"/>
                <w:szCs w:val="24"/>
                <w:lang w:val="en-US" w:eastAsia="zh-CN"/>
              </w:rPr>
              <w:t>上内容</w:t>
            </w:r>
            <w:r>
              <w:rPr>
                <w:rFonts w:hint="eastAsia" w:ascii="宋体" w:hAnsi="宋体" w:eastAsia="宋体" w:cs="宋体"/>
                <w:color w:val="auto"/>
                <w:sz w:val="24"/>
                <w:szCs w:val="24"/>
              </w:rPr>
              <w:t>评审专家结合项目实际情况和响应文件响应情况独立评审为准。</w:t>
            </w:r>
          </w:p>
          <w:p w14:paraId="1D739D97">
            <w:pPr>
              <w:adjustRightInd w:val="0"/>
              <w:snapToGrid w:val="0"/>
              <w:spacing w:line="360" w:lineRule="auto"/>
              <w:jc w:val="left"/>
              <w:rPr>
                <w:rFonts w:hint="eastAsia" w:ascii="宋体" w:hAnsi="宋体" w:eastAsia="宋体" w:cs="宋体"/>
                <w:b/>
                <w:color w:val="auto"/>
                <w:sz w:val="24"/>
                <w:szCs w:val="24"/>
              </w:rPr>
            </w:pPr>
            <w:r>
              <w:rPr>
                <w:rFonts w:hint="eastAsia" w:ascii="宋体" w:hAnsi="宋体" w:eastAsia="宋体" w:cs="宋体"/>
                <w:color w:val="auto"/>
                <w:sz w:val="24"/>
                <w:szCs w:val="24"/>
              </w:rPr>
              <w:t>②缺乏针对性、完整性、合理性是指：相关制度、方案及措施内容等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或与本项目无关联等任意一项类似情形。</w:t>
            </w:r>
          </w:p>
        </w:tc>
      </w:tr>
      <w:bookmarkEnd w:id="230"/>
    </w:tbl>
    <w:p w14:paraId="4E0C8452">
      <w:pPr>
        <w:rPr>
          <w:rFonts w:hint="eastAsia" w:ascii="宋体" w:hAnsi="宋体" w:eastAsia="宋体" w:cs="宋体"/>
          <w:sz w:val="24"/>
          <w:szCs w:val="24"/>
        </w:rPr>
      </w:pPr>
    </w:p>
    <w:p w14:paraId="6F054D1E">
      <w:pPr>
        <w:spacing w:line="4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统分原则</w:t>
      </w:r>
    </w:p>
    <w:p w14:paraId="291A83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（1）除响应人价格得分（F1）外，其余部分由各磋商小组成员自主评分并签字确认。</w:t>
      </w:r>
    </w:p>
    <w:p w14:paraId="7E7572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（2）各档次分值不得超过评分标准规定的分值界限。</w:t>
      </w:r>
    </w:p>
    <w:p w14:paraId="0AF26F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（3）所有磋商小组成员评分的算术平均值即为响应人该项得分（保留小数点后两位）。</w:t>
      </w:r>
    </w:p>
    <w:p w14:paraId="47F6A8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为了保证项目的正常实施，维护政府采购的正常招标秩序，响应人不得以低于成本价</w:t>
      </w:r>
      <w:r>
        <w:rPr>
          <w:rFonts w:hint="eastAsia" w:ascii="宋体" w:hAnsi="宋体" w:eastAsia="宋体" w:cs="宋体"/>
          <w:sz w:val="24"/>
          <w:szCs w:val="24"/>
          <w:lang w:eastAsia="zh-CN"/>
        </w:rPr>
        <w:t>（</w:t>
      </w:r>
      <w:r>
        <w:rPr>
          <w:rFonts w:hint="eastAsia" w:ascii="宋体" w:hAnsi="宋体" w:eastAsia="宋体" w:cs="宋体"/>
          <w:sz w:val="24"/>
          <w:szCs w:val="24"/>
        </w:rPr>
        <w:t>或进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价</w:t>
      </w:r>
      <w:r>
        <w:rPr>
          <w:rFonts w:hint="eastAsia" w:ascii="宋体" w:hAnsi="宋体" w:eastAsia="宋体" w:cs="宋体"/>
          <w:sz w:val="24"/>
          <w:szCs w:val="24"/>
          <w:lang w:eastAsia="zh-CN"/>
        </w:rPr>
        <w:t>）</w:t>
      </w:r>
      <w:r>
        <w:rPr>
          <w:rFonts w:hint="eastAsia" w:ascii="宋体" w:hAnsi="宋体" w:eastAsia="宋体" w:cs="宋体"/>
          <w:sz w:val="24"/>
          <w:szCs w:val="24"/>
        </w:rPr>
        <w:t xml:space="preserve"> 报价，否则其响应将可能被拒绝或被宣布为无效，不再进入综合评分程序。</w:t>
      </w:r>
    </w:p>
    <w:p w14:paraId="13BCBA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评审中若遇特殊问题，由磋商小组成员根据有关</w:t>
      </w:r>
      <w:r>
        <w:rPr>
          <w:rFonts w:hint="eastAsia" w:ascii="宋体" w:hAnsi="宋体" w:eastAsia="宋体" w:cs="宋体"/>
          <w:sz w:val="24"/>
          <w:szCs w:val="24"/>
          <w:lang w:eastAsia="zh-CN"/>
        </w:rPr>
        <w:t>法律法规</w:t>
      </w:r>
      <w:r>
        <w:rPr>
          <w:rFonts w:hint="eastAsia" w:ascii="宋体" w:hAnsi="宋体" w:eastAsia="宋体" w:cs="宋体"/>
          <w:sz w:val="24"/>
          <w:szCs w:val="24"/>
        </w:rPr>
        <w:t>研究决定。</w:t>
      </w:r>
    </w:p>
    <w:p w14:paraId="72419326">
      <w:pPr>
        <w:autoSpaceDE w:val="0"/>
        <w:autoSpaceDN w:val="0"/>
        <w:adjustRightInd w:val="0"/>
        <w:spacing w:beforeLines="50" w:line="480" w:lineRule="exact"/>
        <w:ind w:right="517" w:rightChars="246"/>
        <w:rPr>
          <w:rFonts w:hint="eastAsia" w:ascii="宋体" w:hAnsi="宋体" w:eastAsia="宋体" w:cs="宋体"/>
          <w:b/>
          <w:sz w:val="24"/>
          <w:szCs w:val="24"/>
        </w:rPr>
      </w:pPr>
      <w:r>
        <w:rPr>
          <w:rFonts w:hint="eastAsia" w:ascii="宋体" w:hAnsi="宋体" w:eastAsia="宋体" w:cs="宋体"/>
          <w:b/>
          <w:sz w:val="24"/>
          <w:szCs w:val="24"/>
        </w:rPr>
        <w:t>（五）成交推荐</w:t>
      </w:r>
    </w:p>
    <w:p w14:paraId="4A5BE676">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磋商小组将根据评审后的评审总得分情况由高到低的顺序推荐1～3名成交候选供应商；评审得分相同的，按照最后报价由低到高的顺序推荐；评审得分且最后报价相同的，按照技术、服务质量等优劣顺序推荐。</w:t>
      </w:r>
    </w:p>
    <w:p w14:paraId="300081F4">
      <w:pPr>
        <w:pStyle w:val="14"/>
        <w:spacing w:line="500" w:lineRule="exact"/>
        <w:ind w:firstLine="480" w:firstLineChars="200"/>
        <w:rPr>
          <w:rFonts w:hint="eastAsia" w:ascii="宋体" w:hAnsi="宋体" w:eastAsia="宋体" w:cs="宋体"/>
          <w:sz w:val="24"/>
        </w:rPr>
      </w:pPr>
      <w:r>
        <w:rPr>
          <w:rFonts w:hint="eastAsia" w:ascii="宋体" w:hAnsi="宋体" w:eastAsia="宋体" w:cs="宋体"/>
          <w:sz w:val="24"/>
        </w:rPr>
        <w:t>经磋商小组评审，有效竞争性磋商申请人少于三家时可以否决所有投标，如磋商小组认为还具备竞争性可推选综合实力强的竞争性磋商申请人作为</w:t>
      </w:r>
      <w:r>
        <w:rPr>
          <w:rFonts w:hint="eastAsia" w:hAnsi="宋体" w:cs="宋体"/>
          <w:sz w:val="24"/>
          <w:lang w:eastAsia="zh-CN"/>
        </w:rPr>
        <w:t>成交候选人</w:t>
      </w:r>
      <w:r>
        <w:rPr>
          <w:rFonts w:hint="eastAsia" w:ascii="宋体" w:hAnsi="宋体" w:eastAsia="宋体" w:cs="宋体"/>
          <w:sz w:val="24"/>
        </w:rPr>
        <w:t>。</w:t>
      </w:r>
    </w:p>
    <w:p w14:paraId="08DEEB55">
      <w:pPr>
        <w:autoSpaceDE w:val="0"/>
        <w:autoSpaceDN w:val="0"/>
        <w:adjustRightInd w:val="0"/>
        <w:spacing w:beforeLines="50" w:line="480" w:lineRule="exact"/>
        <w:ind w:right="517" w:rightChars="246"/>
        <w:rPr>
          <w:rFonts w:hint="eastAsia" w:ascii="宋体" w:hAnsi="宋体" w:eastAsia="宋体" w:cs="宋体"/>
          <w:b/>
          <w:sz w:val="24"/>
          <w:szCs w:val="24"/>
        </w:rPr>
      </w:pPr>
      <w:bookmarkStart w:id="266" w:name="_Toc351421836"/>
      <w:r>
        <w:rPr>
          <w:rFonts w:hint="eastAsia" w:ascii="宋体" w:hAnsi="宋体" w:eastAsia="宋体" w:cs="宋体"/>
          <w:b/>
          <w:sz w:val="24"/>
          <w:szCs w:val="24"/>
        </w:rPr>
        <w:t>（六）确定原则</w:t>
      </w:r>
    </w:p>
    <w:p w14:paraId="29D7947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评定成交的原则：响应文件能够全部满足磋商文件实质性要求且评审总得分最高。</w:t>
      </w:r>
    </w:p>
    <w:p w14:paraId="1FB45A87">
      <w:pPr>
        <w:autoSpaceDE w:val="0"/>
        <w:autoSpaceDN w:val="0"/>
        <w:adjustRightInd w:val="0"/>
        <w:spacing w:beforeLines="50" w:line="480" w:lineRule="exact"/>
        <w:ind w:right="517" w:rightChars="246"/>
        <w:rPr>
          <w:rFonts w:hint="eastAsia" w:ascii="宋体" w:hAnsi="宋体" w:eastAsia="宋体" w:cs="宋体"/>
          <w:b/>
          <w:sz w:val="24"/>
          <w:szCs w:val="24"/>
        </w:rPr>
      </w:pPr>
      <w:r>
        <w:rPr>
          <w:rFonts w:hint="eastAsia" w:ascii="宋体" w:hAnsi="宋体" w:eastAsia="宋体" w:cs="宋体"/>
          <w:b/>
          <w:sz w:val="24"/>
          <w:szCs w:val="24"/>
        </w:rPr>
        <w:t>（七）评审报告</w:t>
      </w:r>
      <w:bookmarkEnd w:id="266"/>
    </w:p>
    <w:p w14:paraId="06EF466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磋商小组完成评审后，应当向采购人提出评审报告，并抄送有关行政监督部门。</w:t>
      </w:r>
    </w:p>
    <w:p w14:paraId="7B4B23B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评审报告应由磋商小组全体成员签字。对评审结论有异议的磋商小组成员可以书面方式阐述其不同意见和理由。磋商小组成员拒绝在评审报告上签字且不以书面形式阐述其不同意见和理由的，视为同意评审结论，磋商小组应当对此做出书面说明并记录在案。</w:t>
      </w:r>
    </w:p>
    <w:p w14:paraId="3381A5A3">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向采购人提交书面评审报告后，磋商小组即告解散。评审过程中使用的文件、表格以及其他资料应当及时归还采购人。</w:t>
      </w:r>
    </w:p>
    <w:p w14:paraId="60F7665A">
      <w:pPr>
        <w:autoSpaceDE w:val="0"/>
        <w:autoSpaceDN w:val="0"/>
        <w:adjustRightInd w:val="0"/>
        <w:spacing w:beforeLines="50" w:line="480" w:lineRule="exact"/>
        <w:ind w:right="517" w:rightChars="246"/>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（八）异常低价审查</w:t>
      </w:r>
    </w:p>
    <w:p w14:paraId="27E2DCB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政府采购评审中出现下列情形之一的，</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应当启动异常低价投标（响应）审查程序：</w:t>
      </w:r>
    </w:p>
    <w:p w14:paraId="527E50D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（1）投标（响应）报价低于全部通过符合性审查供应商投标（响应）报价平均值</w:t>
      </w:r>
      <w:r>
        <w:rPr>
          <w:rFonts w:hint="eastAsia" w:ascii="宋体" w:hAnsi="宋体" w:eastAsia="宋体" w:cs="宋体"/>
          <w:sz w:val="24"/>
          <w:szCs w:val="24"/>
          <w:lang w:val="en-US" w:eastAsia="zh-CN"/>
        </w:rPr>
        <w:t>65</w:t>
      </w:r>
      <w:r>
        <w:rPr>
          <w:rFonts w:hint="eastAsia" w:ascii="宋体" w:hAnsi="宋体" w:eastAsia="宋体" w:cs="宋体"/>
          <w:sz w:val="24"/>
          <w:szCs w:val="24"/>
        </w:rPr>
        <w:t>%的，即投标（响应）报价&lt;全部通过符合性审查供应商投标（响应）报价平均值×</w:t>
      </w:r>
      <w:r>
        <w:rPr>
          <w:rFonts w:hint="eastAsia" w:ascii="宋体" w:hAnsi="宋体" w:eastAsia="宋体" w:cs="宋体"/>
          <w:sz w:val="24"/>
          <w:szCs w:val="24"/>
          <w:lang w:val="en-US" w:eastAsia="zh-CN"/>
        </w:rPr>
        <w:t>65</w:t>
      </w:r>
      <w:r>
        <w:rPr>
          <w:rFonts w:hint="eastAsia" w:ascii="宋体" w:hAnsi="宋体" w:eastAsia="宋体" w:cs="宋体"/>
          <w:sz w:val="24"/>
          <w:szCs w:val="24"/>
        </w:rPr>
        <w:t>%；</w:t>
      </w:r>
    </w:p>
    <w:p w14:paraId="132A2F6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（2）投标（响应）报价低于通过符合性审查的次低报价供应商投标（响应）报价</w:t>
      </w:r>
      <w:r>
        <w:rPr>
          <w:rFonts w:hint="eastAsia" w:ascii="宋体" w:hAnsi="宋体" w:eastAsia="宋体" w:cs="宋体"/>
          <w:sz w:val="24"/>
          <w:szCs w:val="24"/>
          <w:lang w:val="en-US" w:eastAsia="zh-CN"/>
        </w:rPr>
        <w:t>65</w:t>
      </w:r>
      <w:r>
        <w:rPr>
          <w:rFonts w:hint="eastAsia" w:ascii="宋体" w:hAnsi="宋体" w:eastAsia="宋体" w:cs="宋体"/>
          <w:sz w:val="24"/>
          <w:szCs w:val="24"/>
        </w:rPr>
        <w:t>%的，即投标（响应）报价&lt;通过符合性审查的次低报价供应商投标（响应）报价×</w:t>
      </w:r>
      <w:r>
        <w:rPr>
          <w:rFonts w:hint="eastAsia" w:ascii="宋体" w:hAnsi="宋体" w:eastAsia="宋体" w:cs="宋体"/>
          <w:sz w:val="24"/>
          <w:szCs w:val="24"/>
          <w:lang w:val="en-US" w:eastAsia="zh-CN"/>
        </w:rPr>
        <w:t>65</w:t>
      </w:r>
      <w:r>
        <w:rPr>
          <w:rFonts w:hint="eastAsia" w:ascii="宋体" w:hAnsi="宋体" w:eastAsia="宋体" w:cs="宋体"/>
          <w:sz w:val="24"/>
          <w:szCs w:val="24"/>
        </w:rPr>
        <w:t>%；</w:t>
      </w:r>
    </w:p>
    <w:p w14:paraId="05640A4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（3）投标（响应）报价低于采购项目最高限价</w:t>
      </w:r>
      <w:r>
        <w:rPr>
          <w:rFonts w:hint="eastAsia" w:ascii="宋体" w:hAnsi="宋体" w:eastAsia="宋体" w:cs="宋体"/>
          <w:sz w:val="24"/>
          <w:szCs w:val="24"/>
          <w:lang w:val="en-US" w:eastAsia="zh-CN"/>
        </w:rPr>
        <w:t>65</w:t>
      </w:r>
      <w:r>
        <w:rPr>
          <w:rFonts w:hint="eastAsia" w:ascii="宋体" w:hAnsi="宋体" w:eastAsia="宋体" w:cs="宋体"/>
          <w:sz w:val="24"/>
          <w:szCs w:val="24"/>
        </w:rPr>
        <w:t>%的，即投标（响应）报价&lt;采购项目最高限价×</w:t>
      </w:r>
      <w:r>
        <w:rPr>
          <w:rFonts w:hint="eastAsia" w:ascii="宋体" w:hAnsi="宋体" w:eastAsia="宋体" w:cs="宋体"/>
          <w:sz w:val="24"/>
          <w:szCs w:val="24"/>
          <w:lang w:val="en-US" w:eastAsia="zh-CN"/>
        </w:rPr>
        <w:t>65</w:t>
      </w:r>
      <w:r>
        <w:rPr>
          <w:rFonts w:hint="eastAsia" w:ascii="宋体" w:hAnsi="宋体" w:eastAsia="宋体" w:cs="宋体"/>
          <w:sz w:val="24"/>
          <w:szCs w:val="24"/>
        </w:rPr>
        <w:t>%；</w:t>
      </w:r>
    </w:p>
    <w:p w14:paraId="4750D73A">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磋商小组</w:t>
      </w:r>
      <w:r>
        <w:rPr>
          <w:rFonts w:hint="eastAsia" w:ascii="宋体" w:hAnsi="宋体" w:eastAsia="宋体" w:cs="宋体"/>
          <w:sz w:val="24"/>
          <w:szCs w:val="24"/>
        </w:rPr>
        <w:t>基于专业判断，认为供应商报价过低，有可能影响产品（服务）质量或者不能诚信履约的其他情形。</w:t>
      </w:r>
    </w:p>
    <w:p w14:paraId="45BCB515">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采购人可以结合具体项目实际情况，提高上述第（1）项至第（3）项中启动异常低价投标（响应）审查的数值标准，但是最高不得超过65%。</w:t>
      </w:r>
    </w:p>
    <w:p w14:paraId="756387F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相关法律法规对供应商报价有规定的，从其规定。</w:t>
      </w:r>
    </w:p>
    <w:p w14:paraId="1EDD699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eastAsia="zh-CN"/>
        </w:rPr>
        <w:t>磋商小组</w:t>
      </w:r>
      <w:r>
        <w:rPr>
          <w:rFonts w:hint="eastAsia" w:ascii="宋体" w:hAnsi="宋体" w:eastAsia="宋体" w:cs="宋体"/>
          <w:sz w:val="24"/>
          <w:szCs w:val="24"/>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5D74D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w:t>
      </w:r>
      <w:r>
        <w:rPr>
          <w:rFonts w:hint="eastAsia" w:ascii="宋体" w:hAnsi="宋体" w:eastAsia="宋体" w:cs="宋体"/>
          <w:sz w:val="24"/>
          <w:szCs w:val="24"/>
          <w:lang w:eastAsia="zh-CN"/>
        </w:rPr>
        <w:t>磋商小组</w:t>
      </w:r>
      <w:r>
        <w:rPr>
          <w:rFonts w:hint="eastAsia" w:ascii="宋体" w:hAnsi="宋体" w:eastAsia="宋体" w:cs="宋体"/>
          <w:sz w:val="24"/>
          <w:szCs w:val="24"/>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sz w:val="24"/>
          <w:szCs w:val="24"/>
          <w:lang w:eastAsia="zh-CN"/>
        </w:rPr>
        <w:t>磋商小组</w:t>
      </w:r>
      <w:r>
        <w:rPr>
          <w:rFonts w:hint="eastAsia" w:ascii="宋体" w:hAnsi="宋体" w:eastAsia="宋体" w:cs="宋体"/>
          <w:sz w:val="24"/>
          <w:szCs w:val="24"/>
        </w:rPr>
        <w:t>应当将其作为无效投标（响应）处理。</w:t>
      </w:r>
    </w:p>
    <w:p w14:paraId="6E74C9B3">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.4采购人、采购代理机构应当为</w:t>
      </w:r>
      <w:r>
        <w:rPr>
          <w:rFonts w:hint="eastAsia" w:ascii="宋体" w:hAnsi="宋体" w:eastAsia="宋体" w:cs="宋体"/>
          <w:sz w:val="24"/>
          <w:szCs w:val="24"/>
          <w:lang w:eastAsia="zh-CN"/>
        </w:rPr>
        <w:t>磋商小组</w:t>
      </w:r>
      <w:r>
        <w:rPr>
          <w:rFonts w:hint="eastAsia" w:ascii="宋体" w:hAnsi="宋体" w:eastAsia="宋体" w:cs="宋体"/>
          <w:sz w:val="24"/>
          <w:szCs w:val="24"/>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sz w:val="24"/>
          <w:szCs w:val="24"/>
          <w:lang w:eastAsia="zh-CN"/>
        </w:rPr>
        <w:t>磋商小组</w:t>
      </w:r>
      <w:r>
        <w:rPr>
          <w:rFonts w:hint="eastAsia" w:ascii="宋体" w:hAnsi="宋体" w:eastAsia="宋体" w:cs="宋体"/>
          <w:sz w:val="24"/>
          <w:szCs w:val="24"/>
        </w:rPr>
        <w:t>借助互联网等渠道查询相关信息的，应当严格遵守评审工作纪律，不得实施影响评审公正的行为。</w:t>
      </w:r>
    </w:p>
    <w:p w14:paraId="741FA4DF">
      <w:p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.5异常低价投标（响应）审查的启动原因、审查意见和审查结果应当在评审报告中记录，并随供应商提供的相关书面说明及证明材料，以及</w:t>
      </w:r>
      <w:r>
        <w:rPr>
          <w:rFonts w:hint="eastAsia" w:ascii="宋体" w:hAnsi="宋体" w:eastAsia="宋体" w:cs="宋体"/>
          <w:sz w:val="24"/>
          <w:szCs w:val="24"/>
          <w:lang w:eastAsia="zh-CN"/>
        </w:rPr>
        <w:t>磋商小组</w:t>
      </w:r>
      <w:r>
        <w:rPr>
          <w:rFonts w:hint="eastAsia" w:ascii="宋体" w:hAnsi="宋体" w:eastAsia="宋体" w:cs="宋体"/>
          <w:sz w:val="24"/>
          <w:szCs w:val="24"/>
        </w:rPr>
        <w:t>有关互联网浏览、查询历史一并归档。</w:t>
      </w:r>
    </w:p>
    <w:p w14:paraId="4F140F78">
      <w:pPr>
        <w:spacing w:line="460" w:lineRule="exact"/>
        <w:ind w:firstLine="480" w:firstLineChars="200"/>
        <w:rPr>
          <w:rFonts w:hint="eastAsia" w:ascii="宋体" w:hAnsi="宋体" w:eastAsia="宋体" w:cs="宋体"/>
          <w:sz w:val="24"/>
          <w:szCs w:val="24"/>
          <w:lang w:val="en-US" w:eastAsia="zh-CN"/>
        </w:rPr>
      </w:pPr>
    </w:p>
    <w:sectPr>
      <w:headerReference r:id="rId11" w:type="default"/>
      <w:footerReference r:id="rId12" w:type="default"/>
      <w:pgSz w:w="11906" w:h="16838"/>
      <w:pgMar w:top="1440" w:right="1080" w:bottom="1440" w:left="1080" w:header="851" w:footer="851" w:gutter="0"/>
      <w:pgNumType w:fmt="decimal"/>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BD90EF-2809-49BD-926F-65E73ECA3670}"/>
  </w:font>
  <w:font w:name="黑体">
    <w:panose1 w:val="02010609060101010101"/>
    <w:charset w:val="86"/>
    <w:family w:val="auto"/>
    <w:pitch w:val="default"/>
    <w:sig w:usb0="800002BF" w:usb1="38CF7CFA" w:usb2="00000016" w:usb3="00000000" w:csb0="00040001" w:csb1="00000000"/>
    <w:embedRegular r:id="rId2" w:fontKey="{10B8FBFC-8BA4-4349-B10A-132F634326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72B9018-0D36-4B83-934F-6E7CFC3383E1}"/>
  </w:font>
  <w:font w:name="Arial Unicode MS">
    <w:altName w:val="宋体"/>
    <w:panose1 w:val="020B0604020202020204"/>
    <w:charset w:val="86"/>
    <w:family w:val="swiss"/>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embedRegular r:id="rId4" w:fontKey="{CD3F26BF-4C4C-40BA-94C6-FF27166D8FA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569DB">
    <w:pPr>
      <w:pStyle w:val="16"/>
    </w:pPr>
    <w:r>
      <w:rPr>
        <w:rFonts w:hint="eastAsia" w:eastAsia="宋体"/>
        <w:lang w:eastAsia="zh-CN"/>
      </w:rPr>
      <w:drawing>
        <wp:inline distT="0" distB="0" distL="114300" distR="114300">
          <wp:extent cx="793750" cy="311785"/>
          <wp:effectExtent l="0" t="0" r="6350" b="12065"/>
          <wp:docPr id="21" name="图片 21" descr="360截图202404271617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360截图20240427161747168"/>
                  <pic:cNvPicPr>
                    <a:picLocks noChangeAspect="1"/>
                  </pic:cNvPicPr>
                </pic:nvPicPr>
                <pic:blipFill>
                  <a:blip r:embed="rId1"/>
                  <a:stretch>
                    <a:fillRect/>
                  </a:stretch>
                </pic:blipFill>
                <pic:spPr>
                  <a:xfrm>
                    <a:off x="0" y="0"/>
                    <a:ext cx="793750" cy="31178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8953">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76F5852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4758">
    <w:pPr>
      <w:pStyle w:val="1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ADB4">
    <w:pPr>
      <w:pStyle w:val="16"/>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176D3">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B176D3">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EE09">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14416">
                          <w:pPr>
                            <w:pStyle w:val="1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214416">
                    <w:pPr>
                      <w:pStyle w:val="16"/>
                    </w:pPr>
                    <w:r>
                      <w:fldChar w:fldCharType="begin"/>
                    </w:r>
                    <w:r>
                      <w:instrText xml:space="preserve"> PAGE  \* MERGEFORMAT </w:instrText>
                    </w:r>
                    <w:r>
                      <w:fldChar w:fldCharType="separate"/>
                    </w:r>
                    <w:r>
                      <w:t>- 31 -</w:t>
                    </w:r>
                    <w:r>
                      <w:fldChar w:fldCharType="end"/>
                    </w:r>
                  </w:p>
                </w:txbxContent>
              </v:textbox>
            </v:shape>
          </w:pict>
        </mc:Fallback>
      </mc:AlternateContent>
    </w:r>
    <w:r>
      <w:rPr>
        <w:rFonts w:hint="eastAsia" w:eastAsia="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8C3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F252F">
                          <w:pPr>
                            <w:pStyle w:val="16"/>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FF252F">
                    <w:pPr>
                      <w:pStyle w:val="16"/>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eastAsia="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7C2D">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34597">
                          <w:pPr>
                            <w:pStyle w:val="1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1334597">
                    <w:pPr>
                      <w:pStyle w:val="1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00E0">
    <w:pPr>
      <w:pBdr>
        <w:bottom w:val="triple" w:color="auto" w:sz="8" w:space="0"/>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720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0B0C">
    <w:pPr>
      <w:pBdr>
        <w:bottom w:val="triple" w:color="auto" w:sz="8" w:space="0"/>
      </w:pBdr>
      <w:jc w:val="left"/>
      <w:rPr>
        <w:rFonts w:hint="eastAsia" w:eastAsia="黑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0DADE"/>
    <w:multiLevelType w:val="singleLevel"/>
    <w:tmpl w:val="F9D0DADE"/>
    <w:lvl w:ilvl="0" w:tentative="0">
      <w:start w:val="1"/>
      <w:numFmt w:val="chineseCounting"/>
      <w:suff w:val="nothing"/>
      <w:lvlText w:val="%1、"/>
      <w:lvlJc w:val="left"/>
      <w:rPr>
        <w:rFonts w:hint="eastAsia"/>
      </w:rPr>
    </w:lvl>
  </w:abstractNum>
  <w:abstractNum w:abstractNumId="1">
    <w:nsid w:val="0338378C"/>
    <w:multiLevelType w:val="multilevel"/>
    <w:tmpl w:val="033837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7933C0"/>
    <w:multiLevelType w:val="multilevel"/>
    <w:tmpl w:val="137933C0"/>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38F0100"/>
    <w:multiLevelType w:val="multilevel"/>
    <w:tmpl w:val="138F0100"/>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95F1091"/>
    <w:multiLevelType w:val="multilevel"/>
    <w:tmpl w:val="195F1091"/>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5A2044B"/>
    <w:multiLevelType w:val="multilevel"/>
    <w:tmpl w:val="25A2044B"/>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AC4952"/>
    <w:multiLevelType w:val="singleLevel"/>
    <w:tmpl w:val="39AC4952"/>
    <w:lvl w:ilvl="0" w:tentative="0">
      <w:start w:val="5"/>
      <w:numFmt w:val="chineseCounting"/>
      <w:suff w:val="space"/>
      <w:lvlText w:val="第%1章"/>
      <w:lvlJc w:val="left"/>
      <w:rPr>
        <w:rFonts w:hint="eastAsia"/>
      </w:rPr>
    </w:lvl>
  </w:abstractNum>
  <w:abstractNum w:abstractNumId="7">
    <w:nsid w:val="485F3731"/>
    <w:multiLevelType w:val="multilevel"/>
    <w:tmpl w:val="485F373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4A4D1F9B"/>
    <w:multiLevelType w:val="multilevel"/>
    <w:tmpl w:val="4A4D1F9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FF369A1"/>
    <w:multiLevelType w:val="multilevel"/>
    <w:tmpl w:val="4FF369A1"/>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5A2769C"/>
    <w:multiLevelType w:val="multilevel"/>
    <w:tmpl w:val="55A2769C"/>
    <w:lvl w:ilvl="0" w:tentative="0">
      <w:start w:val="1"/>
      <w:numFmt w:val="lowerLetter"/>
      <w:lvlText w:val="%1)"/>
      <w:lvlJc w:val="left"/>
      <w:pPr>
        <w:ind w:left="900" w:hanging="420"/>
      </w:pPr>
    </w:lvl>
    <w:lvl w:ilvl="1" w:tentative="0">
      <w:start w:val="3"/>
      <w:numFmt w:val="decimal"/>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D2D4DC5"/>
    <w:multiLevelType w:val="multilevel"/>
    <w:tmpl w:val="5D2D4D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E621D19"/>
    <w:multiLevelType w:val="multilevel"/>
    <w:tmpl w:val="5E621D19"/>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601C6862"/>
    <w:multiLevelType w:val="multilevel"/>
    <w:tmpl w:val="601C686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2D70BD0"/>
    <w:multiLevelType w:val="multilevel"/>
    <w:tmpl w:val="62D70BD0"/>
    <w:lvl w:ilvl="0" w:tentative="0">
      <w:start w:val="1"/>
      <w:numFmt w:val="decimal"/>
      <w:lvlText w:val="%1."/>
      <w:lvlJc w:val="left"/>
      <w:pPr>
        <w:ind w:left="420" w:hanging="420"/>
      </w:pPr>
    </w:lvl>
    <w:lvl w:ilvl="1" w:tentative="0">
      <w:start w:val="2"/>
      <w:numFmt w:val="decimal"/>
      <w:lvlText w:val="（%2）"/>
      <w:lvlJc w:val="left"/>
      <w:pPr>
        <w:ind w:left="1140" w:hanging="720"/>
      </w:pPr>
      <w:rPr>
        <w:rFonts w:hint="default"/>
        <w:color w:val="333333"/>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FC7073"/>
    <w:multiLevelType w:val="multilevel"/>
    <w:tmpl w:val="64FC7073"/>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9A54B27"/>
    <w:multiLevelType w:val="singleLevel"/>
    <w:tmpl w:val="69A54B27"/>
    <w:lvl w:ilvl="0" w:tentative="0">
      <w:start w:val="1"/>
      <w:numFmt w:val="decimal"/>
      <w:suff w:val="nothing"/>
      <w:lvlText w:val="%1."/>
      <w:lvlJc w:val="left"/>
    </w:lvl>
  </w:abstractNum>
  <w:abstractNum w:abstractNumId="17">
    <w:nsid w:val="6A4A51DE"/>
    <w:multiLevelType w:val="singleLevel"/>
    <w:tmpl w:val="6A4A51DE"/>
    <w:lvl w:ilvl="0" w:tentative="0">
      <w:start w:val="7"/>
      <w:numFmt w:val="chineseCounting"/>
      <w:suff w:val="nothing"/>
      <w:lvlText w:val="%1、"/>
      <w:lvlJc w:val="left"/>
      <w:rPr>
        <w:rFonts w:hint="eastAsia"/>
      </w:rPr>
    </w:lvl>
  </w:abstractNum>
  <w:num w:numId="1">
    <w:abstractNumId w:val="5"/>
  </w:num>
  <w:num w:numId="2">
    <w:abstractNumId w:val="17"/>
  </w:num>
  <w:num w:numId="3">
    <w:abstractNumId w:val="0"/>
  </w:num>
  <w:num w:numId="4">
    <w:abstractNumId w:val="6"/>
  </w:num>
  <w:num w:numId="5">
    <w:abstractNumId w:val="13"/>
  </w:num>
  <w:num w:numId="6">
    <w:abstractNumId w:val="14"/>
  </w:num>
  <w:num w:numId="7">
    <w:abstractNumId w:val="16"/>
  </w:num>
  <w:num w:numId="8">
    <w:abstractNumId w:val="1"/>
  </w:num>
  <w:num w:numId="9">
    <w:abstractNumId w:val="7"/>
  </w:num>
  <w:num w:numId="10">
    <w:abstractNumId w:val="11"/>
  </w:num>
  <w:num w:numId="11">
    <w:abstractNumId w:val="2"/>
  </w:num>
  <w:num w:numId="12">
    <w:abstractNumId w:val="4"/>
  </w:num>
  <w:num w:numId="13">
    <w:abstractNumId w:val="15"/>
  </w:num>
  <w:num w:numId="14">
    <w:abstractNumId w:val="9"/>
  </w:num>
  <w:num w:numId="15">
    <w:abstractNumId w:val="8"/>
  </w:num>
  <w:num w:numId="16">
    <w:abstractNumId w:val="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80821"/>
    <w:rsid w:val="07563FC1"/>
    <w:rsid w:val="0C7C5409"/>
    <w:rsid w:val="0F803E6A"/>
    <w:rsid w:val="114C5D6B"/>
    <w:rsid w:val="158A77F0"/>
    <w:rsid w:val="1B1015FC"/>
    <w:rsid w:val="1B9C4323"/>
    <w:rsid w:val="1CEE104D"/>
    <w:rsid w:val="2B9B0122"/>
    <w:rsid w:val="2E913A09"/>
    <w:rsid w:val="345C4021"/>
    <w:rsid w:val="41A75102"/>
    <w:rsid w:val="445D2FB7"/>
    <w:rsid w:val="5E6C6676"/>
    <w:rsid w:val="61BC02FE"/>
    <w:rsid w:val="6535702C"/>
    <w:rsid w:val="698F2293"/>
    <w:rsid w:val="737F3F7A"/>
    <w:rsid w:val="7A943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120" w:beforeLines="0" w:after="120" w:afterLines="0"/>
      <w:jc w:val="center"/>
      <w:outlineLvl w:val="0"/>
    </w:pPr>
    <w:rPr>
      <w:b/>
      <w:spacing w:val="20"/>
      <w:kern w:val="44"/>
      <w:sz w:val="32"/>
    </w:rPr>
  </w:style>
  <w:style w:type="paragraph" w:styleId="4">
    <w:name w:val="heading 2"/>
    <w:basedOn w:val="1"/>
    <w:next w:val="1"/>
    <w:qFormat/>
    <w:uiPriority w:val="0"/>
    <w:pPr>
      <w:keepNext/>
      <w:keepLines/>
      <w:spacing w:line="400" w:lineRule="exact"/>
      <w:jc w:val="center"/>
      <w:outlineLvl w:val="1"/>
    </w:pPr>
    <w:rPr>
      <w:rFonts w:ascii="Arial" w:hAnsi="Arial"/>
      <w:b/>
      <w:kern w:val="0"/>
      <w:sz w:val="30"/>
    </w:rPr>
  </w:style>
  <w:style w:type="paragraph" w:styleId="5">
    <w:name w:val="heading 3"/>
    <w:basedOn w:val="1"/>
    <w:next w:val="1"/>
    <w:qFormat/>
    <w:uiPriority w:val="0"/>
    <w:pPr>
      <w:keepNext/>
      <w:keepLines/>
      <w:spacing w:before="60" w:beforeLines="0" w:after="60" w:afterLines="0" w:line="500" w:lineRule="exact"/>
      <w:ind w:firstLine="510"/>
      <w:outlineLvl w:val="2"/>
    </w:pPr>
    <w:rPr>
      <w:rFonts w:ascii="宋体"/>
      <w:b/>
      <w:sz w:val="24"/>
    </w:rPr>
  </w:style>
  <w:style w:type="paragraph" w:styleId="6">
    <w:name w:val="heading 4"/>
    <w:basedOn w:val="1"/>
    <w:next w:val="1"/>
    <w:qFormat/>
    <w:uiPriority w:val="0"/>
    <w:pPr>
      <w:keepNext/>
      <w:keepLines/>
      <w:numPr>
        <w:ilvl w:val="0"/>
        <w:numId w:val="1"/>
      </w:numPr>
      <w:spacing w:line="376" w:lineRule="auto"/>
      <w:outlineLvl w:val="3"/>
    </w:pPr>
    <w:rPr>
      <w:rFonts w:ascii="宋体" w:hAnsi="宋体"/>
      <w:b/>
      <w:bCs/>
      <w:sz w:val="24"/>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440" w:lineRule="exact"/>
    </w:pPr>
    <w:rPr>
      <w:rFonts w:ascii="宋体" w:hAnsi="宋体"/>
      <w:bCs/>
      <w:color w:val="000000"/>
      <w:sz w:val="24"/>
    </w:rPr>
  </w:style>
  <w:style w:type="paragraph" w:styleId="7">
    <w:name w:val="Normal Indent"/>
    <w:basedOn w:val="1"/>
    <w:next w:val="1"/>
    <w:qFormat/>
    <w:uiPriority w:val="0"/>
    <w:pPr>
      <w:ind w:firstLine="420"/>
    </w:pPr>
  </w:style>
  <w:style w:type="paragraph" w:styleId="8">
    <w:name w:val="toa heading"/>
    <w:basedOn w:val="1"/>
    <w:next w:val="1"/>
    <w:semiHidden/>
    <w:qFormat/>
    <w:uiPriority w:val="0"/>
    <w:pPr>
      <w:spacing w:before="120" w:beforeLines="0"/>
    </w:pPr>
    <w:rPr>
      <w:rFonts w:ascii="Arial" w:hAnsi="Arial" w:cs="Arial"/>
      <w:sz w:val="24"/>
      <w:szCs w:val="24"/>
    </w:rPr>
  </w:style>
  <w:style w:type="paragraph" w:styleId="9">
    <w:name w:val="Body Text 3"/>
    <w:basedOn w:val="1"/>
    <w:qFormat/>
    <w:uiPriority w:val="0"/>
    <w:pPr>
      <w:jc w:val="center"/>
    </w:pPr>
    <w:rPr>
      <w:rFonts w:ascii="宋体" w:hAnsi="宋体"/>
      <w:b/>
      <w:spacing w:val="60"/>
      <w:sz w:val="44"/>
      <w:szCs w:val="72"/>
    </w:rPr>
  </w:style>
  <w:style w:type="paragraph" w:styleId="10">
    <w:name w:val="Body Text Indent"/>
    <w:basedOn w:val="1"/>
    <w:next w:val="11"/>
    <w:qFormat/>
    <w:uiPriority w:val="0"/>
    <w:pPr>
      <w:spacing w:line="460" w:lineRule="exact"/>
      <w:ind w:firstLine="510"/>
    </w:p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99"/>
    <w:pPr>
      <w:ind w:left="-52" w:right="-87"/>
      <w:jc w:val="center"/>
    </w:pPr>
    <w:rPr>
      <w:rFonts w:ascii="宋体"/>
      <w:sz w:val="15"/>
      <w:szCs w:val="20"/>
    </w:rPr>
  </w:style>
  <w:style w:type="paragraph" w:styleId="13">
    <w:name w:val="toc 3"/>
    <w:basedOn w:val="1"/>
    <w:next w:val="1"/>
    <w:qFormat/>
    <w:uiPriority w:val="39"/>
    <w:pPr>
      <w:ind w:left="420"/>
      <w:jc w:val="left"/>
    </w:pPr>
    <w:rPr>
      <w:i/>
      <w:sz w:val="20"/>
    </w:rPr>
  </w:style>
  <w:style w:type="paragraph" w:styleId="14">
    <w:name w:val="Plain Text"/>
    <w:basedOn w:val="1"/>
    <w:next w:val="1"/>
    <w:qFormat/>
    <w:uiPriority w:val="0"/>
    <w:rPr>
      <w:rFonts w:ascii="宋体" w:hAnsi="Courier New"/>
    </w:rPr>
  </w:style>
  <w:style w:type="paragraph" w:styleId="15">
    <w:name w:val="Date"/>
    <w:basedOn w:val="1"/>
    <w:next w:val="1"/>
    <w:qFormat/>
    <w:uiPriority w:val="0"/>
    <w:pPr>
      <w:ind w:left="100" w:leftChars="2500"/>
    </w:p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344"/>
      </w:tabs>
      <w:spacing w:line="440" w:lineRule="exact"/>
    </w:pPr>
    <w:rPr>
      <w:rFonts w:ascii="宋体" w:hAnsi="宋体"/>
      <w:b/>
      <w:caps/>
      <w:sz w:val="28"/>
      <w:szCs w:val="32"/>
    </w:rPr>
  </w:style>
  <w:style w:type="paragraph" w:styleId="19">
    <w:name w:val="toc 2"/>
    <w:basedOn w:val="1"/>
    <w:next w:val="1"/>
    <w:qFormat/>
    <w:uiPriority w:val="39"/>
    <w:pPr>
      <w:tabs>
        <w:tab w:val="right" w:leader="dot" w:pos="9344"/>
      </w:tabs>
      <w:spacing w:line="400" w:lineRule="exact"/>
      <w:ind w:left="210"/>
      <w:jc w:val="left"/>
    </w:pPr>
    <w:rPr>
      <w:smallCaps/>
      <w:sz w:val="20"/>
      <w:szCs w:val="30"/>
    </w:rPr>
  </w:style>
  <w:style w:type="paragraph" w:styleId="20">
    <w:name w:val="Body Text 2"/>
    <w:basedOn w:val="1"/>
    <w:qFormat/>
    <w:uiPriority w:val="0"/>
    <w:pPr>
      <w:spacing w:line="400" w:lineRule="exact"/>
    </w:pPr>
    <w:rPr>
      <w:rFonts w:ascii="宋体"/>
      <w:color w:val="FF00FF"/>
      <w:sz w:val="24"/>
      <w:shd w:val="pct10" w:color="auto" w:fill="FFFFFF"/>
    </w:rPr>
  </w:style>
  <w:style w:type="paragraph" w:styleId="21">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paragraph" w:styleId="2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23">
    <w:name w:val="Body Text First Indent"/>
    <w:basedOn w:val="2"/>
    <w:next w:val="1"/>
    <w:qFormat/>
    <w:uiPriority w:val="0"/>
    <w:pPr>
      <w:spacing w:line="312" w:lineRule="auto"/>
      <w:ind w:firstLine="420"/>
    </w:pPr>
    <w:rPr>
      <w:kern w:val="0"/>
      <w:szCs w:val="20"/>
    </w:rPr>
  </w:style>
  <w:style w:type="paragraph" w:styleId="24">
    <w:name w:val="Body Text First Indent 2"/>
    <w:basedOn w:val="10"/>
    <w:next w:val="12"/>
    <w:qFormat/>
    <w:uiPriority w:val="0"/>
    <w:pPr>
      <w:spacing w:after="120"/>
      <w:ind w:left="420" w:leftChars="200" w:firstLine="420" w:firstLineChars="200"/>
    </w:pPr>
    <w:rPr>
      <w:rFonts w:ascii="Times New Roman" w:eastAsia="宋体"/>
      <w:sz w:val="21"/>
      <w:szCs w:val="24"/>
    </w:rPr>
  </w:style>
  <w:style w:type="table" w:styleId="26">
    <w:name w:val="Table Grid"/>
    <w:basedOn w:val="2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basedOn w:val="27"/>
    <w:qFormat/>
    <w:uiPriority w:val="0"/>
    <w:rPr>
      <w:color w:val="0000FF"/>
      <w:u w:val="single"/>
    </w:rPr>
  </w:style>
  <w:style w:type="paragraph" w:customStyle="1" w:styleId="32">
    <w:name w:val="style4"/>
    <w:basedOn w:val="33"/>
    <w:next w:val="34"/>
    <w:qFormat/>
    <w:uiPriority w:val="0"/>
    <w:pPr>
      <w:spacing w:before="100" w:beforeAutospacing="1" w:after="100" w:afterAutospacing="1"/>
    </w:pPr>
    <w:rPr>
      <w:rFonts w:ascii="宋体" w:hAnsi="宋体"/>
      <w:sz w:val="18"/>
      <w:szCs w:val="18"/>
    </w:rPr>
  </w:style>
  <w:style w:type="paragraph" w:customStyle="1" w:styleId="33">
    <w:name w:val="正文1"/>
    <w:basedOn w:val="1"/>
    <w:next w:val="23"/>
    <w:qFormat/>
    <w:uiPriority w:val="0"/>
    <w:pPr>
      <w:ind w:firstLine="200"/>
      <w:jc w:val="left"/>
    </w:pPr>
    <w:rPr>
      <w:rFonts w:eastAsia="Times New Roman" w:cs="宋体"/>
      <w:kern w:val="0"/>
      <w:sz w:val="28"/>
      <w:szCs w:val="20"/>
      <w:lang w:eastAsia="en-US"/>
    </w:rPr>
  </w:style>
  <w:style w:type="paragraph" w:customStyle="1" w:styleId="34">
    <w:name w:val="2"/>
    <w:basedOn w:val="1"/>
    <w:next w:val="1"/>
    <w:qFormat/>
    <w:uiPriority w:val="0"/>
    <w:rPr>
      <w:rFonts w:ascii="Times New Roman" w:hAnsi="Times New Roman" w:eastAsia="仿宋_GB2312"/>
      <w:sz w:val="28"/>
      <w:szCs w:val="28"/>
    </w:rPr>
  </w:style>
  <w:style w:type="paragraph" w:customStyle="1" w:styleId="35">
    <w:name w:val="Default"/>
    <w:basedOn w:val="22"/>
    <w:next w:val="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CN Title"/>
    <w:basedOn w:val="1"/>
    <w:qFormat/>
    <w:uiPriority w:val="0"/>
    <w:pPr>
      <w:widowControl/>
      <w:tabs>
        <w:tab w:val="left" w:pos="720"/>
      </w:tabs>
      <w:spacing w:before="144" w:after="72"/>
      <w:jc w:val="center"/>
    </w:pPr>
    <w:rPr>
      <w:b/>
      <w:bCs/>
      <w:kern w:val="0"/>
      <w:sz w:val="28"/>
      <w:szCs w:val="28"/>
    </w:rPr>
  </w:style>
  <w:style w:type="paragraph" w:customStyle="1" w:styleId="38">
    <w:name w:val="List Paragraph1"/>
    <w:basedOn w:val="1"/>
    <w:qFormat/>
    <w:uiPriority w:val="34"/>
    <w:pPr>
      <w:ind w:left="720"/>
      <w:contextualSpacing/>
    </w:pPr>
  </w:style>
  <w:style w:type="paragraph" w:customStyle="1" w:styleId="39">
    <w:name w:val="p15"/>
    <w:basedOn w:val="1"/>
    <w:qFormat/>
    <w:uiPriority w:val="99"/>
    <w:pPr>
      <w:snapToGrid/>
      <w:spacing w:after="0"/>
    </w:pPr>
    <w:rPr>
      <w:rFonts w:ascii="Arial Unicode MS" w:hAnsi="Arial Unicode MS" w:eastAsia="宋体" w:cs="宋体"/>
      <w:color w:val="000000"/>
      <w:sz w:val="24"/>
      <w:szCs w:val="24"/>
    </w:rPr>
  </w:style>
  <w:style w:type="paragraph" w:customStyle="1" w:styleId="40">
    <w:name w:val="List Paragraph"/>
    <w:basedOn w:val="1"/>
    <w:qFormat/>
    <w:uiPriority w:val="34"/>
    <w:pPr>
      <w:ind w:firstLine="420" w:firstLineChars="200"/>
    </w:pPr>
  </w:style>
  <w:style w:type="paragraph" w:customStyle="1" w:styleId="41">
    <w:name w:val="列表段落1"/>
    <w:basedOn w:val="1"/>
    <w:qFormat/>
    <w:uiPriority w:val="34"/>
    <w:pPr>
      <w:ind w:firstLine="420" w:firstLineChars="200"/>
    </w:pPr>
    <w:rPr>
      <w:rFonts w:ascii="Times New Roman" w:hAnsi="Times New Roman" w:eastAsia="宋体" w:cs="Times New Roman"/>
      <w:szCs w:val="20"/>
    </w:rPr>
  </w:style>
  <w:style w:type="paragraph" w:customStyle="1" w:styleId="42">
    <w:name w:val="首行缩进"/>
    <w:basedOn w:val="1"/>
    <w:qFormat/>
    <w:uiPriority w:val="0"/>
    <w:pPr>
      <w:ind w:firstLine="480" w:firstLineChars="200"/>
    </w:pPr>
    <w:rPr>
      <w:rFonts w:ascii="Calibri" w:hAnsi="Calibri"/>
      <w:lang w:val="zh-CN"/>
    </w:rPr>
  </w:style>
  <w:style w:type="character" w:customStyle="1" w:styleId="43">
    <w:name w:val="font11"/>
    <w:basedOn w:val="27"/>
    <w:qFormat/>
    <w:uiPriority w:val="0"/>
    <w:rPr>
      <w:rFonts w:hint="default" w:ascii="方正仿宋_GB2312" w:hAnsi="方正仿宋_GB2312" w:eastAsia="方正仿宋_GB2312" w:cs="方正仿宋_GB2312"/>
      <w:color w:val="000000"/>
      <w:sz w:val="24"/>
      <w:szCs w:val="24"/>
      <w:u w:val="none"/>
    </w:rPr>
  </w:style>
  <w:style w:type="paragraph" w:customStyle="1" w:styleId="44">
    <w:name w:val="_正文"/>
    <w:basedOn w:val="1"/>
    <w:qFormat/>
    <w:uiPriority w:val="0"/>
    <w:pPr>
      <w:spacing w:line="560" w:lineRule="exact"/>
      <w:ind w:firstLine="560"/>
    </w:pPr>
    <w:rPr>
      <w:bCs/>
      <w:color w:val="000000"/>
      <w:kern w:val="0"/>
      <w:sz w:val="28"/>
      <w:szCs w:val="28"/>
    </w:rPr>
  </w:style>
  <w:style w:type="paragraph" w:customStyle="1" w:styleId="45">
    <w:name w:val="正文缩进2格"/>
    <w:basedOn w:val="1"/>
    <w:qFormat/>
    <w:uiPriority w:val="0"/>
    <w:pPr>
      <w:widowControl/>
      <w:spacing w:line="600" w:lineRule="exact"/>
      <w:ind w:firstLine="639" w:firstLineChars="206"/>
      <w:jc w:val="left"/>
    </w:pPr>
    <w:rPr>
      <w:rFonts w:ascii="仿宋_GB2312" w:hAnsi="宋体" w:eastAsia="仿宋_GB2312"/>
      <w:sz w:val="28"/>
      <w:lang w:val="zh-CN"/>
    </w:rPr>
  </w:style>
  <w:style w:type="paragraph" w:customStyle="1" w:styleId="46">
    <w:name w:val="Table Text"/>
    <w:basedOn w:val="1"/>
    <w:semiHidden/>
    <w:qFormat/>
    <w:uiPriority w:val="0"/>
    <w:rPr>
      <w:rFonts w:ascii="宋体" w:hAnsi="宋体" w:eastAsia="宋体" w:cs="宋体"/>
      <w:sz w:val="24"/>
      <w:szCs w:val="24"/>
      <w:lang w:val="en-US" w:eastAsia="en-US" w:bidi="ar-SA"/>
    </w:r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无间隔1"/>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font01"/>
    <w:basedOn w:val="27"/>
    <w:qFormat/>
    <w:uiPriority w:val="0"/>
    <w:rPr>
      <w:rFonts w:hint="eastAsia" w:ascii="宋体" w:hAnsi="宋体" w:eastAsia="宋体" w:cs="宋体"/>
      <w:color w:val="000000"/>
      <w:sz w:val="22"/>
      <w:szCs w:val="22"/>
      <w:u w:val="none"/>
    </w:rPr>
  </w:style>
  <w:style w:type="paragraph" w:customStyle="1" w:styleId="50">
    <w:name w:val="列出段落2"/>
    <w:basedOn w:val="1"/>
    <w:qFormat/>
    <w:uiPriority w:val="34"/>
    <w:pPr>
      <w:spacing w:line="360" w:lineRule="auto"/>
      <w:ind w:firstLine="420" w:firstLineChars="200"/>
      <w:jc w:val="left"/>
      <w:textAlignment w:val="baseline"/>
    </w:pPr>
    <w:rPr>
      <w:rFonts w:asciiTheme="minorHAnsi" w:hAnsiTheme="minorHAnsi" w:eastAsiaTheme="minorEastAsia" w:cstheme="minorBidi"/>
      <w:color w:val="000000"/>
      <w:sz w:val="24"/>
    </w:rPr>
  </w:style>
  <w:style w:type="paragraph" w:customStyle="1" w:styleId="51">
    <w:name w:val="样式 样式 首行缩进:  2 字符 + 首行缩进:  2 字符"/>
    <w:basedOn w:val="52"/>
    <w:qFormat/>
    <w:uiPriority w:val="0"/>
    <w:pPr>
      <w:autoSpaceDE w:val="0"/>
      <w:autoSpaceDN w:val="0"/>
      <w:adjustRightInd w:val="0"/>
      <w:ind w:firstLine="560"/>
      <w:jc w:val="center"/>
    </w:pPr>
    <w:rPr>
      <w:rFonts w:cs="宋体"/>
      <w:bCs/>
      <w:color w:val="000000"/>
      <w:sz w:val="21"/>
      <w:lang w:val="zh-CN"/>
    </w:rPr>
  </w:style>
  <w:style w:type="paragraph" w:customStyle="1" w:styleId="52">
    <w:name w:val="样式 首行缩进:  2 字符"/>
    <w:basedOn w:val="1"/>
    <w:qFormat/>
    <w:uiPriority w:val="0"/>
    <w:rPr>
      <w:rFonts w:hAnsi="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6c439938-05db-4f09-958c-fc4f6e0882bf</errorID>
      <errorWord>2026年05月</errorWord>
      <group>L1_Knowledge</group>
      <groupName>知识性问题</groupName>
      <ability>L2_Time</ability>
      <abilityName>日期时间</abilityName>
      <candidateList>
        <item>2026年5月</item>
      </candidateList>
      <explain>根据日常书写习惯，月份一般会省略前导零。</explain>
      <paraID>79A0BED8</paraID>
      <start>11</start>
      <end>18</end>
      <status>modified</status>
      <modifiedWord>2026年5月</modifiedWord>
      <trackRevisions>false</trackRevisions>
    </reviewItem>
    <reviewItem>
      <errorID>b8f3eaff-34ad-4b09-b1b9-9471fb435094</errorID>
      <errorWord>2026年06月08日</errorWord>
      <group>L1_Knowledge</group>
      <groupName>知识性问题</groupName>
      <ability>L2_Time</ability>
      <abilityName>日期时间</abilityName>
      <candidateList>
        <item>2026年6月8日</item>
      </candidateList>
      <explain>根据日常书写习惯，月份和日期一般会省略前导零。</explain>
      <paraID>776AC3AE</paraID>
      <start>75</start>
      <end>86</end>
      <status>ignored</status>
      <modifiedWord/>
      <trackRevisions>false</trackRevisions>
    </reviewItem>
    <reviewItem>
      <errorID>11d3b35c-5f45-4f17-9a10-02e085cbab41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67C32F08</paraID>
      <start>36</start>
      <end>37</end>
      <status>ignored</status>
      <modifiedWord/>
      <trackRevisions>false</trackRevisions>
    </reviewItem>
    <reviewItem>
      <errorID>4746021f-078c-4617-9b8f-f2d068ecb6fb</errorID>
      <errorWord>2026年05月28日</errorWord>
      <group>L1_Knowledge</group>
      <groupName>知识性问题</groupName>
      <ability>L2_Time</ability>
      <abilityName>日期时间</abilityName>
      <candidateList>
        <item>2026年5月28日</item>
      </candidateList>
      <explain>根据日常书写习惯，月份一般会省略前导零。</explain>
      <paraID>2FD77137</paraID>
      <start>3</start>
      <end>14</end>
      <status>ignored</status>
      <modifiedWord/>
      <trackRevisions>false</trackRevisions>
    </reviewItem>
    <reviewItem>
      <errorID>e0df2e46-2142-4a74-a2d2-795331ef949c</errorID>
      <errorWord>2026年06月04日</errorWord>
      <group>L1_Knowledge</group>
      <groupName>知识性问题</groupName>
      <ability>L2_Time</ability>
      <abilityName>日期时间</abilityName>
      <candidateList>
        <item>2026年6月4日</item>
      </candidateList>
      <explain>根据日常书写习惯，月份和日期一般会省略前导零。</explain>
      <paraID>2FD77137</paraID>
      <start>21</start>
      <end>32</end>
      <status>ignored</status>
      <modifiedWord/>
      <trackRevisions>false</trackRevisions>
    </reviewItem>
    <reviewItem>
      <errorID>c3cd6a9d-b4d0-4e24-9e86-20884de92427</errorID>
      <errorWord>2026年06月08日</errorWord>
      <group>L1_Knowledge</group>
      <groupName>知识性问题</groupName>
      <ability>L2_Time</ability>
      <abilityName>日期时间</abilityName>
      <candidateList>
        <item>2026年6月8日</item>
      </candidateList>
      <explain>根据日常书写习惯，月份和日期一般会省略前导零。</explain>
      <paraID>281239FE</paraID>
      <start>3</start>
      <end>14</end>
      <status>ignored</status>
      <modifiedWord/>
      <trackRevisions>false</trackRevisions>
    </reviewItem>
    <reviewItem>
      <errorID>78ce73c1-77bd-4a36-9c14-59c5ae816cc2</errorID>
      <errorWord>2026年06月08日</errorWord>
      <group>L1_Knowledge</group>
      <groupName>知识性问题</groupName>
      <ability>L2_Time</ability>
      <abilityName>日期时间</abilityName>
      <candidateList>
        <item>2026年6月8日</item>
      </candidateList>
      <explain>根据日常书写习惯，月份和日期一般会省略前导零。</explain>
      <paraID>79ED6530</paraID>
      <start>3</start>
      <end>14</end>
      <status>ignored</status>
      <modifiedWord/>
      <trackRevisions>false</trackRevisions>
    </reviewItem>
    <reviewItem>
      <errorID>0509db7d-3d6d-437f-a2fb-e6f0f4c9c70c</errorID>
      <errorWord>-</errorWord>
      <group>L1_Format</group>
      <groupName>格式问题</groupName>
      <ability>L2_HalfPunc_CN</ability>
      <abilityName/>
      <candidateList>
        <item>－</item>
      </candidateList>
      <explain>文本全半角错误。</explain>
      <paraID>2C472435</paraID>
      <start>207</start>
      <end>208</end>
      <status>ignored</status>
      <modifiedWord/>
      <trackRevisions>false</trackRevisions>
    </reviewItem>
    <reviewItem>
      <errorID>03ed6333-e87a-49fa-ba49-2e9b9f70cd3f</errorID>
      <errorWord>-</errorWord>
      <group>L1_Format</group>
      <groupName>格式问题</groupName>
      <ability>L2_HalfPunc_CN</ability>
      <abilityName/>
      <candidateList>
        <item>－</item>
      </candidateList>
      <explain>文本全半角错误。</explain>
      <paraID>2C472435</paraID>
      <start>212</start>
      <end>213</end>
      <status>ignored</status>
      <modifiedWord/>
      <trackRevisions>false</trackRevisions>
    </reviewItem>
    <reviewItem>
      <errorID>c6e4db7c-6776-42ca-93a8-5b72cbcbe397</errorID>
      <errorWord>-</errorWord>
      <group>L1_Format</group>
      <groupName>格式问题</groupName>
      <ability>L2_HalfPunc_CN</ability>
      <abilityName/>
      <candidateList>
        <item>－</item>
      </candidateList>
      <explain>文本全半角错误。</explain>
      <paraID>2C472435</paraID>
      <start>217</start>
      <end>218</end>
      <status>ignored</status>
      <modifiedWord/>
      <trackRevisions>false</trackRevisions>
    </reviewItem>
    <reviewItem>
      <errorID>43de4e26-2a3e-403e-9033-70480c7b6c72</errorID>
      <errorWord>-</errorWord>
      <group>L1_Format</group>
      <groupName>格式问题</groupName>
      <ability>L2_HalfPunc_CN</ability>
      <abilityName/>
      <candidateList>
        <item>－</item>
      </candidateList>
      <explain>文本全半角错误。</explain>
      <paraID>2C472435</paraID>
      <start>337</start>
      <end>338</end>
      <status>ignored</status>
      <modifiedWord/>
      <trackRevisions>false</trackRevisions>
    </reviewItem>
    <reviewItem>
      <errorID>268c7cfb-636d-4bd3-b41d-605c1fd6f8c7</errorID>
      <errorWord>-</errorWord>
      <group>L1_Format</group>
      <groupName>格式问题</groupName>
      <ability>L2_HalfPunc_CN</ability>
      <abilityName/>
      <candidateList>
        <item>－</item>
      </candidateList>
      <explain>文本全半角错误。</explain>
      <paraID>2C472435</paraID>
      <start>343</start>
      <end>344</end>
      <status>ignored</status>
      <modifiedWord/>
      <trackRevisions>false</trackRevisions>
    </reviewItem>
    <reviewItem>
      <errorID>a64ac856-89c4-473a-890f-0d291562fd86</errorID>
      <errorWord>-</errorWord>
      <group>L1_Format</group>
      <groupName>格式问题</groupName>
      <ability>L2_HalfPunc_CN</ability>
      <abilityName/>
      <candidateList>
        <item>－</item>
      </candidateList>
      <explain>文本全半角错误。</explain>
      <paraID>2C472435</paraID>
      <start>432</start>
      <end>433</end>
      <status>ignored</status>
      <modifiedWord/>
      <trackRevisions>false</trackRevisions>
    </reviewItem>
    <reviewItem>
      <errorID>2ab97c27-1b47-4011-805e-2dd548fba76c</errorID>
      <errorWord>-</errorWord>
      <group>L1_Format</group>
      <groupName>格式问题</groupName>
      <ability>L2_HalfPunc_CN</ability>
      <abilityName/>
      <candidateList>
        <item>－</item>
      </candidateList>
      <explain>文本全半角错误。</explain>
      <paraID>2C472435</paraID>
      <start>438</start>
      <end>439</end>
      <status>ignored</status>
      <modifiedWord/>
      <trackRevisions>false</trackRevisions>
    </reviewItem>
    <reviewItem>
      <errorID>ec4c5aa1-8d8f-4cdd-ae18-990336caad5f</errorID>
      <errorWord>-</errorWord>
      <group>L1_Format</group>
      <groupName>格式问题</groupName>
      <ability>L2_HalfPunc_CN</ability>
      <abilityName/>
      <candidateList>
        <item>－</item>
      </candidateList>
      <explain>文本全半角错误。</explain>
      <paraID>2C472435</paraID>
      <start>443</start>
      <end>444</end>
      <status>ignored</status>
      <modifiedWord/>
      <trackRevisions>false</trackRevisions>
    </reviewItem>
    <reviewItem>
      <errorID>b8cecd07-2a6e-4dc0-a123-dcfd880381b6</errorID>
      <errorWord>-</errorWord>
      <group>L1_Format</group>
      <groupName>格式问题</groupName>
      <ability>L2_HalfPunc_CN</ability>
      <abilityName/>
      <candidateList>
        <item>－</item>
      </candidateList>
      <explain>文本全半角错误。</explain>
      <paraID>2C472435</paraID>
      <start>444</start>
      <end>445</end>
      <status>ignored</status>
      <modifiedWord/>
      <trackRevisions>false</trackRevisions>
    </reviewItem>
    <reviewItem>
      <errorID>4053f484-e693-4369-9fed-1e6a42a25ba9</errorID>
      <errorWord>-</errorWord>
      <group>L1_Format</group>
      <groupName>格式问题</groupName>
      <ability>L2_HalfPunc_CN</ability>
      <abilityName/>
      <candidateList>
        <item>－</item>
      </candidateList>
      <explain>文本全半角错误。</explain>
      <paraID>2C472435</paraID>
      <start>735</start>
      <end>736</end>
      <status>unmodified</status>
      <modifiedWord/>
      <trackRevisions>false</trackRevisions>
    </reviewItem>
    <reviewItem>
      <errorID>f0c2711c-1fd7-43b6-a6ed-199ab3993a99</errorID>
      <errorWord>-</errorWord>
      <group>L1_Format</group>
      <groupName>格式问题</groupName>
      <ability>L2_HalfPunc_CN</ability>
      <abilityName/>
      <candidateList>
        <item>－</item>
      </candidateList>
      <explain>文本全半角错误。</explain>
      <paraID>2C472435</paraID>
      <start>741</start>
      <end>742</end>
      <status>ignored</status>
      <modifiedWord/>
      <trackRevisions>false</trackRevisions>
    </reviewItem>
    <reviewItem>
      <errorID>fe0de22f-cb8f-44df-847c-8f2aa712f643</errorID>
      <errorWord>-</errorWord>
      <group>L1_Format</group>
      <groupName>格式问题</groupName>
      <ability>L2_HalfPunc_CN</ability>
      <abilityName/>
      <candidateList>
        <item>－</item>
      </candidateList>
      <explain>文本全半角错误。</explain>
      <paraID>2C472435</paraID>
      <start>746</start>
      <end>747</end>
      <status>ignored</status>
      <modifiedWord/>
      <trackRevisions>false</trackRevisions>
    </reviewItem>
    <reviewItem>
      <errorID>8c64c81b-1d69-4575-80c8-1386ba51d3e2</errorID>
      <errorWord>-</errorWord>
      <group>L1_Format</group>
      <groupName>格式问题</groupName>
      <ability>L2_HalfPunc_CN</ability>
      <abilityName/>
      <candidateList>
        <item>－</item>
      </candidateList>
      <explain>文本全半角错误。</explain>
      <paraID>2C472435</paraID>
      <start>751</start>
      <end>752</end>
      <status>ignored</status>
      <modifiedWord/>
      <trackRevisions>false</trackRevisions>
    </reviewItem>
    <reviewItem>
      <errorID>a54a21a1-2edd-404e-9984-02c073a19b5f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5C6504CD</paraID>
      <start>0</start>
      <end>2</end>
      <status>ignored</status>
      <modifiedWord/>
      <trackRevisions>false</trackRevisions>
    </reviewItem>
    <reviewItem>
      <errorID>e466d2ee-9a7f-4f84-924d-cdbd5c8c00c6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44644FAC</paraID>
      <start>0</start>
      <end>2</end>
      <status>ignored</status>
      <modifiedWord/>
      <trackRevisions>false</trackRevisions>
    </reviewItem>
    <reviewItem>
      <errorID>8cf4db53-f00c-4074-86c6-113ec5598f76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7758D6A2</paraID>
      <start>0</start>
      <end>2</end>
      <status>ignored</status>
      <modifiedWord/>
      <trackRevisions>false</trackRevisions>
    </reviewItem>
    <reviewItem>
      <errorID>1d10fabe-8739-421d-825a-3ce64edda4cc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3354DBD9</paraID>
      <start>0</start>
      <end>2</end>
      <status>ignored</status>
      <modifiedWord/>
      <trackRevisions>false</trackRevisions>
    </reviewItem>
    <reviewItem>
      <errorID>37195307-7220-4427-aec2-f7288d2ca9b0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2CE2C296</paraID>
      <start>0</start>
      <end>2</end>
      <status>ignored</status>
      <modifiedWord/>
      <trackRevisions>false</trackRevisions>
    </reviewItem>
    <reviewItem>
      <errorID>45f18b22-3396-40ca-9641-eed810da503f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67D15E80</paraID>
      <start>0</start>
      <end>2</end>
      <status>ignored</status>
      <modifiedWord/>
      <trackRevisions>false</trackRevisions>
    </reviewItem>
    <reviewItem>
      <errorID>f6a1c8fe-fec4-4c8f-89ac-e1bfd6e789ea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72F92A6</paraID>
      <start>0</start>
      <end>2</end>
      <status>ignored</status>
      <modifiedWord/>
      <trackRevisions>false</trackRevisions>
    </reviewItem>
    <reviewItem>
      <errorID>2be2ea15-aeda-4030-a80d-8da9424761d2</errorID>
      <errorWord>、</errorWord>
      <group>L1_Word</group>
      <groupName>字词问题</groupName>
      <ability>L2_Typo</ability>
      <abilityName>字词错误</abilityName>
      <candidateList>
        <item>、以</item>
      </candidateList>
      <explain/>
      <paraID>4F01E250</paraID>
      <start>1</start>
      <end>3</end>
      <status>modified</status>
      <modifiedWord>、以</modifiedWord>
      <trackRevisions>false</trackRevisions>
    </reviewItem>
    <reviewItem>
      <errorID>886880ab-a58f-4a95-8408-5dc5a0727d86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19117846</paraID>
      <start>0</start>
      <end>2</end>
      <status>ignored</status>
      <modifiedWord/>
      <trackRevisions>false</trackRevisions>
    </reviewItem>
    <reviewItem>
      <errorID>56a9d4e2-5ebb-4afa-b275-c5881807119a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447265E0</paraID>
      <start>0</start>
      <end>2</end>
      <status>ignored</status>
      <modifiedWord/>
      <trackRevisions>false</trackRevisions>
    </reviewItem>
    <reviewItem>
      <errorID>f7e59cf3-9368-4fef-95e3-522baee964e4</errorID>
      <errorWord>,</errorWord>
      <group>L1_Format</group>
      <groupName>格式问题</groupName>
      <ability>L2_HalfPunc_CN</ability>
      <abilityName/>
      <candidateList>
        <item>，</item>
      </candidateList>
      <explain>文本全半角错误。</explain>
      <paraID>7B24F345</paraID>
      <start>69</start>
      <end>70</end>
      <status>unmodified</status>
      <modifiedWord/>
      <trackRevisions>false</trackRevisions>
    </reviewItem>
    <reviewItem>
      <errorID>b7c94fcd-2680-44cf-b7da-c5a9f3156e6b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3C487527</paraID>
      <start>0</start>
      <end>2</end>
      <status>unmodified</status>
      <modifiedWord/>
      <trackRevisions>false</trackRevisions>
    </reviewItem>
    <reviewItem>
      <errorID>64b8fd7e-055b-430c-b1f4-a6007d5fa937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3A7CFD3C</paraID>
      <start>0</start>
      <end>2</end>
      <status>unmodified</status>
      <modifiedWord/>
      <trackRevisions>false</trackRevisions>
    </reviewItem>
    <reviewItem>
      <errorID>8d6f0ecb-585c-4b1e-9579-0abc760d3da6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4274D985</paraID>
      <start>0</start>
      <end>2</end>
      <status>unmodified</status>
      <modifiedWord/>
      <trackRevisions>false</trackRevisions>
    </reviewItem>
    <reviewItem>
      <errorID>b95ba969-8883-4f75-8af0-7c8926268477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4EEB6A84</paraID>
      <start>0</start>
      <end>2</end>
      <status>unmodified</status>
      <modifiedWord/>
      <trackRevisions>false</trackRevisions>
    </reviewItem>
    <reviewItem>
      <errorID>1923c768-fff5-46ec-8385-ce3315c39404</errorID>
      <errorWord>》</errorWord>
      <group>L1_Word</group>
      <groupName>字词问题</groupName>
      <ability>L2_Typo</ability>
      <abilityName>字词错误</abilityName>
      <candidateList>
        <item>》第</item>
      </candidateList>
      <explain/>
      <paraID>63384504</paraID>
      <start>19</start>
      <end>21</end>
      <status>modified</status>
      <modifiedWord>》第</modifiedWord>
      <trackRevisions>false</trackRevisions>
    </reviewItem>
    <reviewItem>
      <errorID>aeeeb3ac-c8d9-47b5-85c9-1303dc10744e</errorID>
      <errorWord>台湾地区</errorWord>
      <group>L1_Word</group>
      <groupName>字词问题</groupName>
      <ability>L2_Typo</ability>
      <abilityName>字词错误</abilityName>
      <candidateList>
        <item>中国台湾地区</item>
      </candidateList>
      <explain/>
      <paraID>6F0F94DE</paraID>
      <start>184</start>
      <end>190</end>
      <status>modified</status>
      <modifiedWord>中国台湾地区</modifiedWord>
      <trackRevisions>false</trackRevisions>
    </reviewItem>
    <reviewItem>
      <errorID>bcf1b20d-2ddd-4023-a1d2-040a605851b9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49DD32B8</paraID>
      <start>0</start>
      <end>3</end>
      <status>unmodified</status>
      <modifiedWord/>
      <trackRevisions>false</trackRevisions>
    </reviewItem>
    <reviewItem>
      <errorID>63717087-48e4-4bed-82e4-0788c9ada7bc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65046C1E</paraID>
      <start>0</start>
      <end>3</end>
      <status>unmodified</status>
      <modifiedWord/>
      <trackRevisions>false</trackRevisions>
    </reviewItem>
    <reviewItem>
      <errorID>45aac7f3-e149-40df-b36c-f62e078b269a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5D4DC143</paraID>
      <start>0</start>
      <end>3</end>
      <status>unmodified</status>
      <modifiedWord/>
      <trackRevisions>false</trackRevisions>
    </reviewItem>
    <reviewItem>
      <errorID>ed6e230a-056b-4a42-ab55-4eae3a28afda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436DC90F</paraID>
      <start>0</start>
      <end>3</end>
      <status>unmodified</status>
      <modifiedWord/>
      <trackRevisions>false</trackRevisions>
    </reviewItem>
    <reviewItem>
      <errorID>1e9047fd-a928-4e5a-8c2e-266cee698c7c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15C3E683</paraID>
      <start>0</start>
      <end>3</end>
      <status>unmodified</status>
      <modifiedWord/>
      <trackRevisions>false</trackRevisions>
    </reviewItem>
    <reviewItem>
      <errorID>dc5eddcc-9f8a-4e76-93a5-433ab50d4253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78402752</paraID>
      <start>0</start>
      <end>3</end>
      <status>unmodified</status>
      <modifiedWord/>
      <trackRevisions>false</trackRevisions>
    </reviewItem>
    <reviewItem>
      <errorID>d2f46a9f-69be-4aa7-920a-01141a8ddb19</errorID>
      <errorWord>指定的帐户</errorWord>
      <group>L1_Word</group>
      <groupName>字词问题</groupName>
      <ability>L2_Alias</ability>
      <abilityName>也作/曾用词</abilityName>
      <candidateList>
        <item>指定的账户</item>
      </candidateList>
      <explain>词汇[指定的帐户]为不规范表述或旧称，其规范书面表述为[指定的账户]。</explain>
      <paraID>5FE24E28</paraID>
      <start>83</start>
      <end>88</end>
      <status>modified</status>
      <modifiedWord>指定的账户</modifiedWord>
      <trackRevisions>false</trackRevisions>
    </reviewItem>
    <reviewItem>
      <errorID>8c260cd9-e807-4b85-98f1-a750c9bcf7aa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764757D7</paraID>
      <start>0</start>
      <end>3</end>
      <status>unmodified</status>
      <modifiedWord/>
      <trackRevisions>false</trackRevisions>
    </reviewItem>
    <reviewItem>
      <errorID>9e7b443f-66df-4302-bfcb-b6c4244ff9e3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4DDE2B12</paraID>
      <start>0</start>
      <end>3</end>
      <status>unmodified</status>
      <modifiedWord/>
      <trackRevisions>false</trackRevisions>
    </reviewItem>
    <reviewItem>
      <errorID>67fd6ccb-4d03-418d-bb81-97e68d408471</errorID>
      <errorWord>间</errorWord>
      <group>L1_Word</group>
      <groupName>字词问题</groupName>
      <ability>L2_Typo</ability>
      <abilityName>字词错误</abilityName>
      <candidateList>
        <item>间内</item>
      </candidateList>
      <explain/>
      <paraID> E397A8D</paraID>
      <start>31</start>
      <end>33</end>
      <status>modified</status>
      <modifiedWord>间内</modifiedWord>
      <trackRevisions>false</trackRevisions>
    </reviewItem>
    <reviewItem>
      <errorID>d7746624-69de-4121-9762-1d05dd61d757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D7C0CF2</paraID>
      <start>0</start>
      <end>3</end>
      <status>unmodified</status>
      <modifiedWord/>
      <trackRevisions>false</trackRevisions>
    </reviewItem>
    <reviewItem>
      <errorID>69bd8329-58b7-410a-b58a-1ad9734abfdc</errorID>
      <errorWord>间</errorWord>
      <group>L1_Word</group>
      <groupName>字词问题</groupName>
      <ability>L2_Typo</ability>
      <abilityName>字词错误</abilityName>
      <candidateList>
        <item>间之</item>
      </candidateList>
      <explain/>
      <paraID>61404307</paraID>
      <start>13</start>
      <end>15</end>
      <status>modified</status>
      <modifiedWord>间之</modifiedWord>
      <trackRevisions>false</trackRevisions>
    </reviewItem>
    <reviewItem>
      <errorID>3b1d2ecf-e575-4b81-a1e6-c8bda1c10bf6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2B496034</paraID>
      <start>0</start>
      <end>3</end>
      <status>unmodified</status>
      <modifiedWord/>
      <trackRevisions>false</trackRevisions>
    </reviewItem>
    <reviewItem>
      <errorID>24f07f4e-affe-4a3a-acf3-7a55c4b3a616</errorID>
      <errorWord>"</errorWord>
      <group>L1_Format</group>
      <groupName>格式问题</groupName>
      <ability>L2_HalfPunc_CN</ability>
      <abilityName/>
      <candidateList>
        <item>“</item>
      </candidateList>
      <explain>文本全半角错误。</explain>
      <paraID>14D01B1B</paraID>
      <start>46</start>
      <end>47</end>
      <status>unmodified</status>
      <modifiedWord/>
      <trackRevisions>false</trackRevisions>
    </reviewItem>
    <reviewItem>
      <errorID>f1fb82cf-dca5-4179-8249-49bd6908cbdc</errorID>
      <errorWord>"</errorWord>
      <group>L1_Format</group>
      <groupName>格式问题</groupName>
      <ability>L2_HalfPunc_CN</ability>
      <abilityName/>
      <candidateList>
        <item>”</item>
      </candidateList>
      <explain>文本全半角错误。</explain>
      <paraID>14D01B1B</paraID>
      <start>50</start>
      <end>51</end>
      <status>unmodified</status>
      <modifiedWord/>
      <trackRevisions>false</trackRevisions>
    </reviewItem>
    <reviewItem>
      <errorID>5eb7067e-0d11-405f-ae93-1eb97805b256</errorID>
      <errorWord>"</errorWord>
      <group>L1_Format</group>
      <groupName>格式问题</groupName>
      <ability>L2_HalfPunc_CN</ability>
      <abilityName/>
      <candidateList>
        <item>“</item>
      </candidateList>
      <explain>文本全半角错误。</explain>
      <paraID>14D01B1B</paraID>
      <start>77</start>
      <end>78</end>
      <status>unmodified</status>
      <modifiedWord/>
      <trackRevisions>false</trackRevisions>
    </reviewItem>
    <reviewItem>
      <errorID>87c26b72-3836-4c7e-949f-228bdad0fab3</errorID>
      <errorWord>"</errorWord>
      <group>L1_Format</group>
      <groupName>格式问题</groupName>
      <ability>L2_HalfPunc_CN</ability>
      <abilityName/>
      <candidateList>
        <item>”</item>
      </candidateList>
      <explain>文本全半角错误。</explain>
      <paraID>14D01B1B</paraID>
      <start>81</start>
      <end>82</end>
      <status>unmodified</status>
      <modifiedWord/>
      <trackRevisions>false</trackRevisions>
    </reviewItem>
    <reviewItem>
      <errorID>dcfc2571-726d-4876-800b-9c48aff685b6</errorID>
      <errorWord>间</errorWord>
      <group>L1_Word</group>
      <groupName>字词问题</groupName>
      <ability>L2_Typo</ability>
      <abilityName>字词错误</abilityName>
      <candidateList>
        <item>间内</item>
      </candidateList>
      <explain/>
      <paraID>607923BD</paraID>
      <start>36</start>
      <end>38</end>
      <status>modified</status>
      <modifiedWord>间内</modifiedWord>
      <trackRevisions>false</trackRevisions>
    </reviewItem>
    <reviewItem>
      <errorID>9b2e5f79-daf8-4666-b03b-0f8be5b8f781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C8E900</paraID>
      <start>0</start>
      <end>3</end>
      <status>unmodified</status>
      <modifiedWord/>
      <trackRevisions>false</trackRevisions>
    </reviewItem>
    <reviewItem>
      <errorID>4c7b93ef-068b-4ffd-bf7d-a8f541fc4453</errorID>
      <errorWord>间</errorWord>
      <group>L1_Word</group>
      <groupName>字词问题</groupName>
      <ability>L2_Typo</ability>
      <abilityName>字词错误</abilityName>
      <candidateList>
        <item>间之</item>
      </candidateList>
      <explain/>
      <paraID>7246F750</paraID>
      <start>17</start>
      <end>18</end>
      <status>ignored</status>
      <modifiedWord/>
      <trackRevisions>false</trackRevisions>
    </reviewItem>
    <reviewItem>
      <errorID>ceaa2c07-7321-4928-afad-3f94be7cd5d6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501126D1</paraID>
      <start>0</start>
      <end>3</end>
      <status>unmodified</status>
      <modifiedWord/>
      <trackRevisions>false</trackRevisions>
    </reviewItem>
    <reviewItem>
      <errorID>1b4085c0-0cb6-4ef4-83e5-608d57e8df4c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77F732</paraID>
      <start>0</start>
      <end>3</end>
      <status>unmodified</status>
      <modifiedWord/>
      <trackRevisions>false</trackRevisions>
    </reviewItem>
    <reviewItem>
      <errorID>8372560a-05bf-43f3-9054-b766470923ef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416E519E</paraID>
      <start>0</start>
      <end>3</end>
      <status>unmodified</status>
      <modifiedWord/>
      <trackRevisions>false</trackRevisions>
    </reviewItem>
    <reviewItem>
      <errorID>ad456775-0356-45f4-b842-bde93ee494c7</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4E467EB3</paraID>
      <start>0</start>
      <end>3</end>
      <status>unmodified</status>
      <modifiedWord/>
      <trackRevisions>false</trackRevisions>
    </reviewItem>
    <reviewItem>
      <errorID>2a7b7afd-1c67-49da-bdb9-82ca88604111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70EFBEBD</paraID>
      <start>0</start>
      <end>3</end>
      <status>unmodified</status>
      <modifiedWord/>
      <trackRevisions>false</trackRevisions>
    </reviewItem>
    <reviewItem>
      <errorID>f3185e97-6a47-48a8-b3fc-21c1f36d5766</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6239D1A</paraID>
      <start>0</start>
      <end>3</end>
      <status>unmodified</status>
      <modifiedWord/>
      <trackRevisions>false</trackRevisions>
    </reviewItem>
    <reviewItem>
      <errorID>a91d6935-29f4-47ce-bacd-ab890ceb6d7b</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38021DF6</paraID>
      <start>0</start>
      <end>3</end>
      <status>unmodified</status>
      <modifiedWord/>
      <trackRevisions>false</trackRevisions>
    </reviewItem>
    <reviewItem>
      <errorID>be7eef41-eee3-4e4e-89e3-a9202d9246e8</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663EBBC7</paraID>
      <start>0</start>
      <end>3</end>
      <status>unmodified</status>
      <modifiedWord/>
      <trackRevisions>false</trackRevisions>
    </reviewItem>
    <reviewItem>
      <errorID>0f36d472-248f-4cb8-a248-6797e991153c</errorID>
      <errorWord>&lt;</errorWord>
      <group>L1_Format</group>
      <groupName>格式问题</groupName>
      <ability>L2_HalfPunc_CN</ability>
      <abilityName/>
      <candidateList>
        <item>〈</item>
      </candidateList>
      <explain>文本全半角错误。</explain>
      <paraID>6BBEF717</paraID>
      <start>13</start>
      <end>14</end>
      <status>modified</status>
      <modifiedWord>〈</modifiedWord>
      <trackRevisions>false</trackRevisions>
    </reviewItem>
    <reviewItem>
      <errorID>6b70698f-1018-40b0-89c8-be80e7f9528a</errorID>
      <errorWord>&gt;的通知》</errorWord>
      <group>L1_Punc</group>
      <groupName>标点问题</groupName>
      <ability>L2_Punc_CN</ability>
      <abilityName/>
      <candidateList>
        <item>〉的通知》</item>
      </candidateList>
      <explain/>
      <paraID>6BBEF717</paraID>
      <start>30</start>
      <end>35</end>
      <status>modified</status>
      <modifiedWord>〉的通知》</modifiedWord>
      <trackRevisions>false</trackRevisions>
    </reviewItem>
    <reviewItem>
      <errorID>60ba7aff-02df-466a-8a71-56122f9e1621</errorID>
      <errorWord>&lt;</errorWord>
      <group>L1_Format</group>
      <groupName>格式问题</groupName>
      <ability>L2_HalfPunc_CN</ability>
      <abilityName/>
      <candidateList>
        <item>〈</item>
      </candidateList>
      <explain>文本全半角错误。</explain>
      <paraID>514441DA</paraID>
      <start>45</start>
      <end>46</end>
      <status>modified</status>
      <modifiedWord>〈</modifiedWord>
      <trackRevisions>false</trackRevisions>
    </reviewItem>
    <reviewItem>
      <errorID>2a612ffa-6840-4cb4-a7f2-15fa6bcf8371</errorID>
      <errorWord>&gt;的通知》</errorWord>
      <group>L1_Punc</group>
      <groupName>标点问题</groupName>
      <ability>L2_Punc_CN</ability>
      <abilityName/>
      <candidateList>
        <item>〉的通知》</item>
      </candidateList>
      <explain/>
      <paraID>514441DA</paraID>
      <start>62</start>
      <end>67</end>
      <status>modified</status>
      <modifiedWord>〉的通知》</modifiedWord>
      <trackRevisions>false</trackRevisions>
    </reviewItem>
    <reviewItem>
      <errorID>066c1ea9-9687-4b05-8029-5e05563ef15f</errorID>
      <errorWord>,</errorWord>
      <group>L1_Format</group>
      <groupName>格式问题</groupName>
      <ability>L2_HalfPunc_CN</ability>
      <abilityName/>
      <candidateList>
        <item>，</item>
      </candidateList>
      <explain>文本全半角错误。</explain>
      <paraID> 517B0DF</paraID>
      <start>59</start>
      <end>60</end>
      <status>modified</status>
      <modifiedWord>，</modifiedWord>
      <trackRevisions>false</trackRevisions>
    </reviewItem>
    <reviewItem>
      <errorID>5cbcea8b-40e4-4a3d-b093-5325e2977602</errorID>
      <errorWord>&lt;</errorWord>
      <group>L1_Format</group>
      <groupName>格式问题</groupName>
      <ability>L2_HalfPunc_CN</ability>
      <abilityName/>
      <candidateList>
        <item>〈</item>
      </candidateList>
      <explain>文本全半角错误。</explain>
      <paraID>289FA8AF</paraID>
      <start>28</start>
      <end>29</end>
      <status>modified</status>
      <modifiedWord>〈</modifiedWord>
      <trackRevisions>false</trackRevisions>
    </reviewItem>
    <reviewItem>
      <errorID>f3220acb-f8b8-4d07-b493-a25695b257f5</errorID>
      <errorWord>&gt;的通知》</errorWord>
      <group>L1_Punc</group>
      <groupName>标点问题</groupName>
      <ability>L2_Punc_CN</ability>
      <abilityName/>
      <candidateList>
        <item>〉的通知》</item>
      </candidateList>
      <explain/>
      <paraID>289FA8AF</paraID>
      <start>45</start>
      <end>50</end>
      <status>modified</status>
      <modifiedWord>〉的通知》</modifiedWord>
      <trackRevisions>false</trackRevisions>
    </reviewItem>
    <reviewItem>
      <errorID>f5264cc2-c435-4b89-b570-8ccdd0480d5e</errorID>
      <errorWord>&lt;</errorWord>
      <group>L1_Format</group>
      <groupName>格式问题</groupName>
      <ability>L2_HalfPunc_CN</ability>
      <abilityName/>
      <candidateList>
        <item>〈</item>
      </candidateList>
      <explain>文本全半角错误。</explain>
      <paraID>243DB469</paraID>
      <start>13</start>
      <end>14</end>
      <status>modified</status>
      <modifiedWord>〈</modifiedWord>
      <trackRevisions>false</trackRevisions>
    </reviewItem>
    <reviewItem>
      <errorID>9d912c8b-4a44-45c2-bab1-f1a505e1d0b7</errorID>
      <errorWord>&gt;的通知》</errorWord>
      <group>L1_Punc</group>
      <groupName>标点问题</groupName>
      <ability>L2_Punc_CN</ability>
      <abilityName/>
      <candidateList>
        <item>〉的通知》</item>
      </candidateList>
      <explain/>
      <paraID>243DB469</paraID>
      <start>30</start>
      <end>35</end>
      <status>modified</status>
      <modifiedWord>〉的通知》</modifiedWord>
      <trackRevisions>false</trackRevisions>
    </reviewItem>
    <reviewItem>
      <errorID>692f251a-729a-4d36-8176-d578b8b4f118</errorID>
      <errorWord>果</errorWord>
      <group>L1_Word</group>
      <groupName>字词问题</groupName>
      <ability>L2_Typo</ability>
      <abilityName>字词错误</abilityName>
      <candidateList>
        <item>果由</item>
      </candidateList>
      <explain/>
      <paraID>52EC5403</paraID>
      <start>121</start>
      <end>123</end>
      <status>modified</status>
      <modifiedWord>果由</modifiedWord>
      <trackRevisions>false</trackRevisions>
    </reviewItem>
    <reviewItem>
      <errorID>448eb190-9b59-443d-a7ec-d4f9b71a2428</errorID>
      <errorWord>(</errorWord>
      <group>L1_Format</group>
      <groupName>格式问题</groupName>
      <ability>L2_HalfPunc_CN</ability>
      <abilityName/>
      <candidateList>
        <item>（</item>
      </candidateList>
      <explain>文本全半角错误。</explain>
      <paraID>5B876BA5</paraID>
      <start>6</start>
      <end>7</end>
      <status>modified</status>
      <modifiedWord>（</modifiedWord>
      <trackRevisions>false</trackRevisions>
    </reviewItem>
    <reviewItem>
      <errorID>3a614c40-5d4a-49dd-8d6d-a30deecae7d5</errorID>
      <errorWord>)</errorWord>
      <group>L1_Format</group>
      <groupName>格式问题</groupName>
      <ability>L2_HalfPunc_CN</ability>
      <abilityName/>
      <candidateList>
        <item>）</item>
      </candidateList>
      <explain>文本全半角错误。</explain>
      <paraID>5B876BA5</paraID>
      <start>9</start>
      <end>10</end>
      <status>modified</status>
      <modifiedWord>）</modifiedWord>
      <trackRevisions>false</trackRevisions>
    </reviewItem>
    <reviewItem>
      <errorID>35063ec4-4c95-44b2-ba72-7f4e78ec7377</errorID>
      <errorWord>(</errorWord>
      <group>L1_Format</group>
      <groupName>格式问题</groupName>
      <ability>L2_HalfPunc_CN</ability>
      <abilityName/>
      <candidateList>
        <item>（</item>
      </candidateList>
      <explain>文本全半角错误。</explain>
      <paraID>5B876BA5</paraID>
      <start>12</start>
      <end>13</end>
      <status>modified</status>
      <modifiedWord>（</modifiedWord>
      <trackRevisions>false</trackRevisions>
    </reviewItem>
    <reviewItem>
      <errorID>01934ab3-8dd4-48fb-9a6a-6021c02eea44</errorID>
      <errorWord>)</errorWord>
      <group>L1_Format</group>
      <groupName>格式问题</groupName>
      <ability>L2_HalfPunc_CN</ability>
      <abilityName/>
      <candidateList>
        <item>）</item>
      </candidateList>
      <explain>文本全半角错误。</explain>
      <paraID>5B876BA5</paraID>
      <start>27</start>
      <end>28</end>
      <status>modified</status>
      <modifiedWord>）</modifiedWord>
      <trackRevisions>false</trackRevisions>
    </reviewItem>
    <reviewItem>
      <errorID>76281688-f806-4dd6-89f2-5fec8dbfa7ce</errorID>
      <errorWord>:</errorWord>
      <group>L1_Format</group>
      <groupName>格式问题</groupName>
      <ability>L2_HalfPunc_CN</ability>
      <abilityName/>
      <candidateList>
        <item>：</item>
      </candidateList>
      <explain>文本全半角错误。</explain>
      <paraID>1B46DB49</paraID>
      <start>60</start>
      <end>61</end>
      <status>modified</status>
      <modifiedWord>：</modifiedWord>
      <trackRevisions>false</trackRevisions>
    </reviewItem>
    <reviewItem>
      <errorID>1175caca-8499-4641-a6ea-0e91a9961a67</errorID>
      <errorWord>(</errorWord>
      <group>L1_Format</group>
      <groupName>格式问题</groupName>
      <ability>L2_HalfPunc_CN</ability>
      <abilityName/>
      <candidateList>
        <item>（</item>
      </candidateList>
      <explain>文本全半角错误。</explain>
      <paraID>7BFA5903</paraID>
      <start>3</start>
      <end>4</end>
      <status>modified</status>
      <modifiedWord>（</modifiedWord>
      <trackRevisions>false</trackRevisions>
    </reviewItem>
    <reviewItem>
      <errorID>c1091b2e-c54c-4cef-89ec-816ac147ad3d</errorID>
      <errorWord>)</errorWord>
      <group>L1_Format</group>
      <groupName>格式问题</groupName>
      <ability>L2_HalfPunc_CN</ability>
      <abilityName/>
      <candidateList>
        <item>）</item>
      </candidateList>
      <explain>文本全半角错误。</explain>
      <paraID>7BFA5903</paraID>
      <start>5</start>
      <end>6</end>
      <status>modified</status>
      <modifiedWord>）</modifiedWord>
      <trackRevisions>false</trackRevisions>
    </reviewItem>
    <reviewItem>
      <errorID>a0e55ea2-fd35-46ab-919b-8dac9e097c52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29B4532</paraID>
      <start>0</start>
      <end>3</end>
      <status>modified</status>
      <modifiedWord>（二）</modifiedWord>
      <trackRevisions>false</trackRevisions>
    </reviewItem>
    <reviewItem>
      <errorID>b04e18d6-2ee2-466f-a166-e6745491a628</errorID>
      <errorWord>(</errorWord>
      <group>L1_Format</group>
      <groupName>格式问题</groupName>
      <ability>L2_HalfPunc_CN</ability>
      <abilityName/>
      <candidateList>
        <item>（</item>
      </candidateList>
      <explain>文本全半角错误。</explain>
      <paraID>14902C9A</paraID>
      <start>59</start>
      <end>60</end>
      <status>modified</status>
      <modifiedWord>（</modifiedWord>
      <trackRevisions>false</trackRevisions>
    </reviewItem>
    <reviewItem>
      <errorID>72da38dd-5d33-4663-bf49-e31d9534c01e</errorID>
      <errorWord>)</errorWord>
      <group>L1_Format</group>
      <groupName>格式问题</groupName>
      <ability>L2_HalfPunc_CN</ability>
      <abilityName/>
      <candidateList>
        <item>）</item>
      </candidateList>
      <explain>文本全半角错误。</explain>
      <paraID>14902C9A</paraID>
      <start>73</start>
      <end>74</end>
      <status>modified</status>
      <modifiedWord>）</modifiedWord>
      <trackRevisions>false</trackRevisions>
    </reviewItem>
    <reviewItem>
      <errorID>8f7d8704-924d-4b87-855a-a47c70a61738</errorID>
      <errorWord>(</errorWord>
      <group>L1_Format</group>
      <groupName>格式问题</groupName>
      <ability>L2_HalfPunc_CN</ability>
      <abilityName/>
      <candidateList>
        <item>（</item>
      </candidateList>
      <explain>文本全半角错误。</explain>
      <paraID>4797B038</paraID>
      <start>2</start>
      <end>3</end>
      <status>modified</status>
      <modifiedWord>（</modifiedWord>
      <trackRevisions>false</trackRevisions>
    </reviewItem>
    <reviewItem>
      <errorID>abe4288c-979a-4d3c-b537-f56417344bd5</errorID>
      <errorWord>)</errorWord>
      <group>L1_Format</group>
      <groupName>格式问题</groupName>
      <ability>L2_HalfPunc_CN</ability>
      <abilityName/>
      <candidateList>
        <item>）</item>
      </candidateList>
      <explain>文本全半角错误。</explain>
      <paraID>4797B038</paraID>
      <start>5</start>
      <end>6</end>
      <status>modified</status>
      <modifiedWord>）</modifiedWord>
      <trackRevisions>false</trackRevisions>
    </reviewItem>
    <reviewItem>
      <errorID>8fd16d80-cd08-4352-8188-98cde7d74972</errorID>
      <errorWord>;</errorWord>
      <group>L1_Format</group>
      <groupName>格式问题</groupName>
      <ability>L2_HalfPunc_CN</ability>
      <abilityName/>
      <candidateList>
        <item>；</item>
      </candidateList>
      <explain>文本全半角错误。</explain>
      <paraID>4797B038</paraID>
      <start>53</start>
      <end>54</end>
      <status>modified</status>
      <modifiedWord>；</modifiedWord>
      <trackRevisions>false</trackRevisions>
    </reviewItem>
    <reviewItem>
      <errorID>7763e999-8f58-4276-be6f-33c26900e421</errorID>
      <errorWord>;</errorWord>
      <group>L1_Format</group>
      <groupName>格式问题</groupName>
      <ability>L2_HalfPunc_CN</ability>
      <abilityName/>
      <candidateList>
        <item>；</item>
      </candidateList>
      <explain>文本全半角错误。</explain>
      <paraID>4797B038</paraID>
      <start>70</start>
      <end>71</end>
      <status>modified</status>
      <modifiedWord>；</modifiedWord>
      <trackRevisions>false</trackRevisions>
    </reviewItem>
    <reviewItem>
      <errorID>68268e6e-5591-4262-9b16-a62db73eace4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4C54BDE3</paraID>
      <start>0</start>
      <end>2</end>
      <status>modified</status>
      <modifiedWord>1.</modifiedWord>
      <trackRevisions>false</trackRevisions>
    </reviewItem>
    <reviewItem>
      <errorID>ea39fb08-3f53-47a1-92bf-1631e1342956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66244C74</paraID>
      <start>0</start>
      <end>2</end>
      <status>modified</status>
      <modifiedWord>2.</modifiedWord>
      <trackRevisions>false</trackRevisions>
    </reviewItem>
    <reviewItem>
      <errorID>19a21af0-539f-4564-aff1-8ae3095617fc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58CA1F16</paraID>
      <start>0</start>
      <end>2</end>
      <status>modified</status>
      <modifiedWord>3.</modifiedWord>
      <trackRevisions>false</trackRevisions>
    </reviewItem>
    <reviewItem>
      <errorID>0bf5cebc-a969-46c4-8152-5a53ca73e25b</errorID>
      <errorWord>卫生洁具</errorWord>
      <group>L1_Grammar</group>
      <groupName>语法问题</groupName>
      <ability>L2_Grammar</ability>
      <abilityName>语法错误</abilityName>
      <candidateList>
        <item>洁具</item>
      </candidateList>
      <explain/>
      <paraID>47E2AEA4</paraID>
      <start>61</start>
      <end>65</end>
      <status>ignored</status>
      <modifiedWord/>
      <trackRevisions>false</trackRevisions>
    </reviewItem>
    <reviewItem>
      <errorID>2d5a08e3-8e36-436f-8be8-e2b96078157a</errorID>
      <errorWord>卫生洁具</errorWord>
      <group>L1_Grammar</group>
      <groupName>语法问题</groupName>
      <ability>L2_Grammar</ability>
      <abilityName>语法错误</abilityName>
      <candidateList>
        <item>洁具</item>
      </candidateList>
      <explain/>
      <paraID> 80B163D</paraID>
      <start>352</start>
      <end>356</end>
      <status>ignored</status>
      <modifiedWord/>
      <trackRevisions>false</trackRevisions>
    </reviewItem>
    <reviewItem>
      <errorID>15096995-bdb4-43af-8433-9b353e478669</errorID>
      <errorWord>沧源县</errorWord>
      <group>L1_Knowledge</group>
      <groupName>知识性问题</groupName>
      <ability>L2_Location</ability>
      <abilityName>地名检查</abilityName>
      <candidateList>
        <item>沧源佤族自治县</item>
      </candidateList>
      <explain>自治区州县缩写不规范。《地名管理条例》第十八条规定，标识牌、公共平台发布的信息、各类公文证件、学习类公开出版物、地图、法律法规规定等场景范围内必须使用标准地名。</explain>
      <paraID>226B9C3F</paraID>
      <start>0</start>
      <end>3</end>
      <status>ignored</status>
      <modifiedWord/>
      <trackRevisions>false</trackRevisions>
    </reviewItem>
    <reviewItem>
      <errorID>168c3119-c5c7-426a-a338-9684da293471</errorID>
      <errorWord>耿马县</errorWord>
      <group>L1_Knowledge</group>
      <groupName>知识性问题</groupName>
      <ability>L2_Location</ability>
      <abilityName>地名检查</abilityName>
      <candidateList>
        <item>耿马傣族佤族自治县</item>
      </candidateList>
      <explain>自治区州县缩写不规范。《地名管理条例》第十八条规定，标识牌、公共平台发布的信息、各类公文证件、学习类公开出版物、地图、法律法规规定等场景范围内必须使用标准地名。</explain>
      <paraID>663C8D00</paraID>
      <start>0</start>
      <end>3</end>
      <status>ignored</status>
      <modifiedWord/>
      <trackRevisions>false</trackRevisions>
    </reviewItem>
    <reviewItem>
      <errorID>4cde401d-2aa3-43df-8a60-26ec80b15b2f</errorID>
      <errorWord>耿马县</errorWord>
      <group>L1_Knowledge</group>
      <groupName>知识性问题</groupName>
      <ability>L2_Location</ability>
      <abilityName>地名检查</abilityName>
      <candidateList>
        <item>耿马傣族佤族自治县</item>
      </candidateList>
      <explain>自治区州县缩写不规范。《地名管理条例》第十八条规定，标识牌、公共平台发布的信息、各类公文证件、学习类公开出版物、地图、法律法规规定等场景范围内必须使用标准地名。</explain>
      <paraID>106A06B7</paraID>
      <start>0</start>
      <end>3</end>
      <status>ignored</status>
      <modifiedWord/>
      <trackRevisions>false</trackRevisions>
    </reviewItem>
    <reviewItem>
      <errorID>aa3e9c11-f211-4344-b4d5-03bc406da23d</errorID>
      <errorWord>沧源县</errorWord>
      <group>L1_Knowledge</group>
      <groupName>知识性问题</groupName>
      <ability>L2_Location</ability>
      <abilityName>地名检查</abilityName>
      <candidateList>
        <item>沧源佤族自治县</item>
      </candidateList>
      <explain>自治区州县缩写不规范。《地名管理条例》第十八条规定，标识牌、公共平台发布的信息、各类公文证件、学习类公开出版物、地图、法律法规规定等场景范围内必须使用标准地名。</explain>
      <paraID>5F8A0E4A</paraID>
      <start>0</start>
      <end>3</end>
      <status>ignored</status>
      <modifiedWord/>
      <trackRevisions>false</trackRevisions>
    </reviewItem>
    <reviewItem>
      <errorID>ab49bf1e-7183-406d-8d3e-1eb46681e65d</errorID>
      <errorWord>耿马县</errorWord>
      <group>L1_Knowledge</group>
      <groupName>知识性问题</groupName>
      <ability>L2_Location</ability>
      <abilityName>地名检查</abilityName>
      <candidateList>
        <item>耿马傣族佤族自治县</item>
      </candidateList>
      <explain>自治区州县缩写不规范。《地名管理条例》第十八条规定，标识牌、公共平台发布的信息、各类公文证件、学习类公开出版物、地图、法律法规规定等场景范围内必须使用标准地名。</explain>
      <paraID>4555BF53</paraID>
      <start>0</start>
      <end>3</end>
      <status>ignored</status>
      <modifiedWord/>
      <trackRevisions>false</trackRevisions>
    </reviewItem>
    <reviewItem>
      <errorID>a7be133f-a049-4cf8-ac8b-dbd5cbdba168</errorID>
      <errorWord>耿马县</errorWord>
      <group>L1_Knowledge</group>
      <groupName>知识性问题</groupName>
      <ability>L2_Location</ability>
      <abilityName>地名检查</abilityName>
      <candidateList>
        <item>耿马傣族佤族自治县</item>
      </candidateList>
      <explain>自治区州县缩写不规范。《地名管理条例》第十八条规定，标识牌、公共平台发布的信息、各类公文证件、学习类公开出版物、地图、法律法规规定等场景范围内必须使用标准地名。</explain>
      <paraID>3FC895BA</paraID>
      <start>0</start>
      <end>3</end>
      <status>ignored</status>
      <modifiedWord/>
      <trackRevisions>false</trackRevisions>
    </reviewItem>
    <reviewItem>
      <errorID>eada84f6-b055-40eb-8d65-710ac7f67ebb</errorID>
      <errorWord>沧源县</errorWord>
      <group>L1_Knowledge</group>
      <groupName>知识性问题</groupName>
      <ability>L2_Location</ability>
      <abilityName>地名检查</abilityName>
      <candidateList>
        <item>沧源佤族自治县</item>
      </candidateList>
      <explain>自治区州县缩写不规范。《地名管理条例》第十八条规定，标识牌、公共平台发布的信息、各类公文证件、学习类公开出版物、地图、法律法规规定等场景范围内必须使用标准地名。</explain>
      <paraID>3B23288F</paraID>
      <start>0</start>
      <end>3</end>
      <status>ignored</status>
      <modifiedWord/>
      <trackRevisions>false</trackRevisions>
    </reviewItem>
    <reviewItem>
      <errorID>b5ddc9ec-99bf-4a5d-a52a-90604fa51134</errorID>
      <errorWord>沧源县</errorWord>
      <group>L1_Knowledge</group>
      <groupName>知识性问题</groupName>
      <ability>L2_Location</ability>
      <abilityName>地名检查</abilityName>
      <candidateList>
        <item>沧源佤族自治县</item>
      </candidateList>
      <explain>自治区州县缩写不规范。《地名管理条例》第十八条规定，标识牌、公共平台发布的信息、各类公文证件、学习类公开出版物、地图、法律法规规定等场景范围内必须使用标准地名。</explain>
      <paraID>11A0E199</paraID>
      <start>0</start>
      <end>3</end>
      <status>ignored</status>
      <modifiedWord/>
      <trackRevisions>false</trackRevisions>
    </reviewItem>
    <reviewItem>
      <errorID>a88ec7ef-a47a-40fb-8ce9-e476f285778c</errorID>
      <errorWord>DELL</errorWord>
      <group>L1_English</group>
      <groupName>英文问题</groupName>
      <ability>L2_Case</ability>
      <abilityName>大小写问题</abilityName>
      <candidateList>
        <item>Dell</item>
      </candidateList>
      <explain>疑似单词大小写错误，建议将DELL修改为Dell</explain>
      <paraID>4463A9D6</paraID>
      <start>0</start>
      <end>4</end>
      <status>unmodified</status>
      <modifiedWord/>
      <trackRevisions>false</trackRevisions>
    </reviewItem>
    <reviewItem>
      <errorID>2ad1792b-3dc2-4145-b306-b9916d4e2543</errorID>
      <errorWord>lenovo</errorWord>
      <group>L1_English</group>
      <groupName>英文问题</groupName>
      <ability>L2_Case</ability>
      <abilityName>大小写问题</abilityName>
      <candidateList>
        <item>Lenovo</item>
      </candidateList>
      <explain>疑似单词大小写错误，建议将lenovo修改为Lenovo</explain>
      <paraID>1EA39BDE</paraID>
      <start>0</start>
      <end>6</end>
      <status>unmodified</status>
      <modifiedWord/>
      <trackRevisions>false</trackRevisions>
    </reviewItem>
    <reviewItem>
      <errorID>3424ae39-24e3-4ba9-80a5-c0da15fa7cab</errorID>
      <errorWord>DELL</errorWord>
      <group>L1_English</group>
      <groupName>英文问题</groupName>
      <ability>L2_Case</ability>
      <abilityName>大小写问题</abilityName>
      <candidateList>
        <item>Dell</item>
      </candidateList>
      <explain>疑似单词大小写错误，建议将DELL修改为Dell</explain>
      <paraID>3ACA55D4</paraID>
      <start>0</start>
      <end>4</end>
      <status>unmodified</status>
      <modifiedWord/>
      <trackRevisions>false</trackRevisions>
    </reviewItem>
    <reviewItem>
      <errorID>4e379c84-171c-4607-bbc2-9ae79b37530b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1A310CE8</paraID>
      <start>0</start>
      <end>3</end>
      <status>unmodified</status>
      <modifiedWord/>
      <trackRevisions>false</trackRevisions>
    </reviewItem>
    <reviewItem>
      <errorID>fcab2a29-d6e9-4117-8cd5-63df201bb150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3E2F964A</paraID>
      <start>2</start>
      <end>3</end>
      <status>unmodified</status>
      <modifiedWord/>
      <trackRevisions>false</trackRevisions>
    </reviewItem>
    <reviewItem>
      <errorID>54bba4cd-ebbf-4143-b6ab-610c35bfed82</errorID>
      <errorWord>度</errorWord>
      <group>L1_Word</group>
      <groupName>字词问题</groupName>
      <ability>L2_Typo</ability>
      <abilityName>字词错误</abilityName>
      <candidateList>
        <item>度地</item>
      </candidateList>
      <explain/>
      <paraID>4B211E87</paraID>
      <start>13</start>
      <end>14</end>
      <status>unmodified</status>
      <modifiedWord/>
      <trackRevisions>false</trackRevisions>
    </reviewItem>
    <reviewItem>
      <errorID>71d7b37a-beed-4cd7-9598-9bb53e02c1bb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311FA77D</paraID>
      <start>0</start>
      <end>3</end>
      <status>unmodified</status>
      <modifiedWord/>
      <trackRevisions>false</trackRevisions>
    </reviewItem>
    <reviewItem>
      <errorID>0e4083b0-c8bd-4e6d-aa26-e95679d412c8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16E52245</paraID>
      <start>0</start>
      <end>3</end>
      <status>unmodified</status>
      <modifiedWord/>
      <trackRevisions>false</trackRevisions>
    </reviewItem>
    <reviewItem>
      <errorID>5a2dca41-bd5b-4ce9-bdff-b5fe46afbc29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33415B93</paraID>
      <start>0</start>
      <end>3</end>
      <status>unmodified</status>
      <modifiedWord/>
      <trackRevisions>false</trackRevisions>
    </reviewItem>
    <reviewItem>
      <errorID>3e224e10-d58e-45c7-ba6c-7ee4b7b46984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63507A02</paraID>
      <start>0</start>
      <end>3</end>
      <status>unmodified</status>
      <modifiedWord/>
      <trackRevisions>false</trackRevisions>
    </reviewItem>
    <reviewItem>
      <errorID>b3da1dc0-d8ba-4c47-a9da-2790beed7368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35ED326C</paraID>
      <start>0</start>
      <end>3</end>
      <status>unmodified</status>
      <modifiedWord/>
      <trackRevisions>false</trackRevisions>
    </reviewItem>
    <reviewItem>
      <errorID>1cf5235d-92ff-4683-9143-6654fe6afdf6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3BA4D8BB</paraID>
      <start>0</start>
      <end>3</end>
      <status>unmodified</status>
      <modifiedWord/>
      <trackRevisions>false</trackRevisions>
    </reviewItem>
    <reviewItem>
      <errorID>4d6a9bfb-1e8b-43a2-a31c-909fcd2a265c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3D1D65A7</paraID>
      <start>0</start>
      <end>3</end>
      <status>unmodified</status>
      <modifiedWord/>
      <trackRevisions>false</trackRevisions>
    </reviewItem>
    <reviewItem>
      <errorID>ea99d59d-d523-4eaa-b0ec-dc69ffe1c398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36E19C85</paraID>
      <start>0</start>
      <end>4</end>
      <status>unmodified</status>
      <modifiedWord/>
      <trackRevisions>false</trackRevisions>
    </reviewItem>
    <reviewItem>
      <errorID>49bc6085-a36d-4f59-82ff-6d4594093fb3</errorID>
      <errorWord>联通性</errorWord>
      <group>L1_Word</group>
      <groupName>字词问题</groupName>
      <ability>L2_Typo</ability>
      <abilityName>字词错误</abilityName>
      <candidateList>
        <item>连通性</item>
      </candidateList>
      <explain>存在发音相同字词的误用。</explain>
      <paraID>78FA2D39</paraID>
      <start>8</start>
      <end>11</end>
      <status>unmodified</status>
      <modifiedWord/>
      <trackRevisions>false</trackRevisions>
    </reviewItem>
    <reviewItem>
      <errorID>d8b390a0-a001-4023-ac45-0c21baec101f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1D2B3D9E</paraID>
      <start>41</start>
      <end>42</end>
      <status>unmodified</status>
      <modifiedWord/>
      <trackRevisions>false</trackRevisions>
    </reviewItem>
    <reviewItem>
      <errorID>48733bc7-6e8f-4dd7-92f8-bcbec9aa6870</errorID>
      <errorWord>联接</errorWord>
      <group>L1_Word</group>
      <groupName>字词问题</groupName>
      <ability>L2_Typo</ability>
      <abilityName>字词错误</abilityName>
      <candidateList>
        <item>连接</item>
      </candidateList>
      <explain>存在发音相同字词的误用。</explain>
      <paraID> 74A54A7</paraID>
      <start>57</start>
      <end>59</end>
      <status>unmodified</status>
      <modifiedWord/>
      <trackRevisions>false</trackRevisions>
    </reviewItem>
    <reviewItem>
      <errorID>2fa2f762-e563-4b15-9134-1cfe4528330b</errorID>
      <errorWord>卫生洁具</errorWord>
      <group>L1_Grammar</group>
      <groupName>语法问题</groupName>
      <ability>L2_Grammar</ability>
      <abilityName>语法错误</abilityName>
      <candidateList>
        <item>洁具</item>
      </candidateList>
      <explain/>
      <paraID>4BE00309</paraID>
      <start>44</start>
      <end>48</end>
      <status>unmodified</status>
      <modifiedWord/>
      <trackRevisions>false</trackRevisions>
    </reviewItem>
    <reviewItem>
      <errorID>5a72cb7e-e7c7-4d22-bd10-767afa51a1cc</errorID>
      <errorWord>,</errorWord>
      <group>L1_Format</group>
      <groupName>格式问题</groupName>
      <ability>L2_HalfPunc_CN</ability>
      <abilityName/>
      <candidateList>
        <item>，</item>
      </candidateList>
      <explain>文本全半角错误。</explain>
      <paraID>5B0DD6AA</paraID>
      <start>28</start>
      <end>29</end>
      <status>unmodified</status>
      <modifiedWord/>
      <trackRevisions>false</trackRevisions>
    </reviewItem>
    <reviewItem>
      <errorID>3cedb0da-c252-49bd-bdab-884489124010</errorID>
      <errorWord>》</errorWord>
      <group>L1_Word</group>
      <groupName>字词问题</groupName>
      <ability>L2_Typo</ability>
      <abilityName>字词错误</abilityName>
      <candidateList>
        <item>》和</item>
      </candidateList>
      <explain/>
      <paraID> 8BD4B7E</paraID>
      <start>37</start>
      <end>38</end>
      <status>unmodified</status>
      <modifiedWord/>
      <trackRevisions>false</trackRevisions>
    </reviewItem>
    <reviewItem>
      <errorID>5a0d3134-58c4-4af8-8a7d-2e4b5a7a6b08</errorID>
      <errorWord>二家</errorWord>
      <group>L1_Word</group>
      <groupName>字词问题</groupName>
      <ability>L2_Typo</ability>
      <abilityName>字词错误</abilityName>
      <candidateList>
        <item>两家</item>
      </candidateList>
      <explain/>
      <paraID>60B625F2</paraID>
      <start>94</start>
      <end>96</end>
      <status>unmodified</status>
      <modifiedWord/>
      <trackRevisions>false</trackRevisions>
    </reviewItem>
    <reviewItem>
      <errorID>e04acd81-8d61-481f-b304-0db906ae2f51</errorID>
      <errorWord>会</errorWord>
      <group>L1_Word</group>
      <groupName>字词问题</groupName>
      <ability>L2_Typo</ability>
      <abilityName>字词错误</abilityName>
      <candidateList>
        <item>会议</item>
      </candidateList>
      <explain/>
      <paraID>749AC020</paraID>
      <start>13</start>
      <end>14</end>
      <status>unmodified</status>
      <modifiedWord/>
      <trackRevisions>false</trackRevisions>
    </reviewItem>
    <reviewItem>
      <errorID>afd6ba59-e767-4348-a384-84d6fda71a34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2AFA5CD8</paraID>
      <start>0</start>
      <end>2</end>
      <status>unmodified</status>
      <modifiedWord/>
      <trackRevisions>false</trackRevisions>
    </reviewItem>
    <reviewItem>
      <errorID>4133f540-4bce-4398-8cf5-cf38ca199a6c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65B7490B</paraID>
      <start>0</start>
      <end>2</end>
      <status>unmodified</status>
      <modifiedWord/>
      <trackRevisions>false</trackRevisions>
    </reviewItem>
    <reviewItem>
      <errorID>514d2a98-50de-4532-8ef8-e599dfaa65a7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48327DE7</paraID>
      <start>24</start>
      <end>25</end>
      <status>unmodified</status>
      <modifiedWord/>
      <trackRevisions>false</trackRevisions>
    </reviewItem>
    <reviewItem>
      <errorID>ae6631f3-f6e7-4cfc-bef0-8e7092012626</errorID>
      <errorWord>(</errorWord>
      <group>L1_Format</group>
      <groupName>格式问题</groupName>
      <ability>L2_HalfPunc_CN</ability>
      <abilityName/>
      <candidateList>
        <item>（</item>
      </candidateList>
      <explain>文本全半角错误。</explain>
      <paraID>1EE3298B</paraID>
      <start>2</start>
      <end>3</end>
      <status>unmodified</status>
      <modifiedWord/>
      <trackRevisions>false</trackRevisions>
    </reviewItem>
    <reviewItem>
      <errorID>71960cd6-2ed8-426c-b26b-3bb8d1961297</errorID>
      <errorWord>)</errorWord>
      <group>L1_Format</group>
      <groupName>格式问题</groupName>
      <ability>L2_HalfPunc_CN</ability>
      <abilityName/>
      <candidateList>
        <item>）</item>
      </candidateList>
      <explain>文本全半角错误。</explain>
      <paraID>1EE3298B</paraID>
      <start>7</start>
      <end>8</end>
      <status>unmodified</status>
      <modifiedWord/>
      <trackRevisions>false</trackRevisions>
    </reviewItem>
    <reviewItem>
      <errorID>d33d9e5a-597c-45bf-ba1f-14e69f39fcb2</errorID>
      <errorWord>(</errorWord>
      <group>L1_Format</group>
      <groupName>格式问题</groupName>
      <ability>L2_HalfPunc_CN</ability>
      <abilityName/>
      <candidateList>
        <item>（</item>
      </candidateList>
      <explain>文本全半角错误。</explain>
      <paraID>386F934F</paraID>
      <start>28</start>
      <end>29</end>
      <status>unmodified</status>
      <modifiedWord/>
      <trackRevisions>false</trackRevisions>
    </reviewItem>
    <reviewItem>
      <errorID>3cba8858-488f-4310-b9e9-d340b67ef6ec</errorID>
      <errorWord>(</errorWord>
      <group>L1_Punc</group>
      <groupName>标点问题</groupName>
      <ability>L2_Punc_CN</ability>
      <abilityName/>
      <candidateList/>
      <explain>同一形式括号套用。</explain>
      <paraID>386F934F</paraID>
      <start>53</start>
      <end>54</end>
      <status>unmodified</status>
      <modifiedWord/>
      <trackRevisions>false</trackRevisions>
    </reviewItem>
    <reviewItem>
      <errorID>bb4c0d03-a45d-4c58-8b09-a473f6a75296</errorID>
      <errorWord>)</errorWord>
      <group>L1_Punc</group>
      <groupName>标点问题</groupName>
      <ability>L2_Punc_CN</ability>
      <abilityName/>
      <candidateList/>
      <explain>同一形式括号套用。</explain>
      <paraID>386F934F</paraID>
      <start>65</start>
      <end>66</end>
      <status>unmodified</status>
      <modifiedWord/>
      <trackRevisions>false</trackRevisions>
    </reviewItem>
    <reviewItem>
      <errorID>139f87c7-eac6-40ed-ab6e-23d36d7d11bd</errorID>
      <errorWord>)</errorWord>
      <group>L1_Format</group>
      <groupName>格式问题</groupName>
      <ability>L2_HalfPunc_CN</ability>
      <abilityName/>
      <candidateList>
        <item>）</item>
      </candidateList>
      <explain>文本全半角错误。</explain>
      <paraID>386F934F</paraID>
      <start>89</start>
      <end>90</end>
      <status>unmodified</status>
      <modifiedWord/>
      <trackRevisions>false</trackRevisions>
    </reviewItem>
    <reviewItem>
      <errorID>9883a251-fdd7-49e5-9a58-5a26f1da8aca</errorID>
      <errorWord>况</errorWord>
      <group>L1_Word</group>
      <groupName>字词问题</groupName>
      <ability>L2_Typo</ability>
      <abilityName>字词错误</abilityName>
      <candidateList>
        <item>况以</item>
      </candidateList>
      <explain/>
      <paraID>1CA3E37B</paraID>
      <start>27</start>
      <end>28</end>
      <status>unmodified</status>
      <modifiedWord/>
      <trackRevisions>false</trackRevisions>
    </reviewItem>
    <reviewItem>
      <errorID>309767d8-c999-4515-bea1-382a29923156</errorID>
      <errorWord>&lt;</errorWord>
      <group>L1_Format</group>
      <groupName>格式问题</groupName>
      <ability>L2_HalfPunc_CN</ability>
      <abilityName/>
      <candidateList>
        <item>〈</item>
      </candidateList>
      <explain>文本全半角错误。</explain>
      <paraID>527E50D0</paraID>
      <start>50</start>
      <end>51</end>
      <status>unmodified</status>
      <modifiedWord/>
      <trackRevisions>false</trackRevisions>
    </reviewItem>
    <reviewItem>
      <errorID>71a9485e-5399-4190-9be6-ce92f06b349e</errorID>
      <errorWord>&lt;</errorWord>
      <group>L1_Format</group>
      <groupName>格式问题</groupName>
      <ability>L2_HalfPunc_CN</ability>
      <abilityName/>
      <candidateList>
        <item>〈</item>
      </candidateList>
      <explain>文本全半角错误。</explain>
      <paraID>132A2F6C</paraID>
      <start>50</start>
      <end>51</end>
      <status>unmodified</status>
      <modifiedWord/>
      <trackRevisions>false</trackRevisions>
    </reviewItem>
    <reviewItem>
      <errorID>c5782b9d-94a8-4e8e-9ba2-aa1d03b663b7</errorID>
      <errorWord>&lt;</errorWord>
      <group>L1_Format</group>
      <groupName>格式问题</groupName>
      <ability>L2_HalfPunc_CN</ability>
      <abilityName/>
      <candidateList>
        <item>〈</item>
      </candidateList>
      <explain>文本全半角错误。</explain>
      <paraID> 5640A45</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0a537-1296-46ec-9dd6-0b23d673c8b8}">
  <ds:schemaRefs/>
</ds:datastoreItem>
</file>

<file path=docProps/app.xml><?xml version="1.0" encoding="utf-8"?>
<Properties xmlns="http://schemas.openxmlformats.org/officeDocument/2006/extended-properties" xmlns:vt="http://schemas.openxmlformats.org/officeDocument/2006/docPropsVTypes">
  <Template>Normal.dotm</Template>
  <Company>临沧市直属党政机关单位</Company>
  <Pages>75</Pages>
  <Words>19038</Words>
  <Characters>20389</Characters>
  <Lines>0</Lines>
  <Paragraphs>0</Paragraphs>
  <TotalTime>67</TotalTime>
  <ScaleCrop>false</ScaleCrop>
  <LinksUpToDate>false</LinksUpToDate>
  <CharactersWithSpaces>20950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2022-04-02T14:36:00Z</dcterms:created>
  <dc:creator>admin</dc:creator>
  <cp:lastModifiedBy>云南万合工程管理有限公司</cp:lastModifiedBy>
  <cp:lastPrinted>2023-12-04T09:41:00Z</cp:lastPrinted>
  <dcterms:modified xsi:type="dcterms:W3CDTF">2026-05-29T07:59:40Z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CFE75B71F982408FB5F66F47F94A8E64_13</vt:lpwstr>
  </property>
  <property fmtid="{D5CDD505-2E9C-101B-9397-08002B2CF9AE}" pid="4" name="commondata">
    <vt:lpwstr>eyJoZGlkIjoiYjkxODYzYjk5YzUxM2IyZWE4NTRmNzQ2MWI1N2Q2N2IifQ==</vt:lpwstr>
  </property>
  <property fmtid="{D5CDD505-2E9C-101B-9397-08002B2CF9AE}" pid="5" name="KSOTemplateDocerSaveRecord">
    <vt:lpwstr>eyJoZGlkIjoiOWVkZjY5NWQ2NmIwZTlmMjczZTRkZWRjMDA2NDU1OTciLCJ1c2VySWQiOiI2Mjg1NzEwNTMifQ==</vt:lpwstr>
  </property>
</Properties>
</file>