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ACA99">
      <w:pPr>
        <w:pStyle w:val="10"/>
        <w:spacing w:before="0"/>
        <w:ind w:left="0"/>
        <w:rPr>
          <w:rFonts w:hint="eastAsia" w:ascii="仿宋" w:hAnsi="仿宋" w:eastAsia="仿宋" w:cs="仿宋"/>
          <w:color w:val="auto"/>
          <w:sz w:val="20"/>
          <w:highlight w:val="none"/>
        </w:rPr>
      </w:pPr>
    </w:p>
    <w:p w14:paraId="3FBEACBC">
      <w:pPr>
        <w:pStyle w:val="26"/>
        <w:spacing w:line="48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政府采购公开招标</w:t>
      </w:r>
    </w:p>
    <w:p w14:paraId="0A16AC90">
      <w:pPr>
        <w:pStyle w:val="26"/>
        <w:spacing w:line="48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采购文件</w:t>
      </w:r>
    </w:p>
    <w:p w14:paraId="79748303">
      <w:pPr>
        <w:pStyle w:val="26"/>
        <w:spacing w:line="360" w:lineRule="auto"/>
        <w:jc w:val="center"/>
        <w:rPr>
          <w:rFonts w:hint="eastAsia" w:ascii="仿宋" w:hAnsi="仿宋" w:eastAsia="仿宋" w:cs="仿宋"/>
          <w:color w:val="auto"/>
          <w:sz w:val="32"/>
          <w:highlight w:val="none"/>
        </w:rPr>
      </w:pPr>
      <w:r>
        <w:rPr>
          <w:rFonts w:hint="eastAsia" w:ascii="仿宋" w:hAnsi="仿宋" w:eastAsia="仿宋" w:cs="仿宋"/>
          <w:color w:val="auto"/>
          <w:sz w:val="28"/>
          <w:highlight w:val="none"/>
        </w:rPr>
        <w:drawing>
          <wp:inline distT="0" distB="0" distL="114300" distR="114300">
            <wp:extent cx="2202180" cy="2806065"/>
            <wp:effectExtent l="0" t="0" r="7620" b="133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1704975" cy="2171700"/>
                    </a:xfrm>
                    <a:prstGeom prst="rect">
                      <a:avLst/>
                    </a:prstGeom>
                    <a:noFill/>
                    <a:ln w="9525">
                      <a:noFill/>
                      <a:miter/>
                    </a:ln>
                    <a:effectLst/>
                  </pic:spPr>
                </pic:pic>
              </a:graphicData>
            </a:graphic>
          </wp:inline>
        </w:drawing>
      </w:r>
    </w:p>
    <w:p w14:paraId="44138820">
      <w:pPr>
        <w:pStyle w:val="26"/>
        <w:spacing w:line="360" w:lineRule="auto"/>
        <w:ind w:firstLine="1920" w:firstLineChars="600"/>
        <w:rPr>
          <w:rFonts w:hint="eastAsia" w:ascii="仿宋" w:hAnsi="仿宋" w:eastAsia="仿宋" w:cs="仿宋"/>
          <w:color w:val="auto"/>
          <w:sz w:val="32"/>
          <w:highlight w:val="none"/>
        </w:rPr>
      </w:pPr>
    </w:p>
    <w:p w14:paraId="4A6EB6E4">
      <w:pPr>
        <w:pStyle w:val="11"/>
        <w:spacing w:line="360" w:lineRule="auto"/>
        <w:ind w:left="2616" w:leftChars="459" w:hanging="1606" w:hangingChars="500"/>
        <w:jc w:val="both"/>
        <w:rPr>
          <w:rFonts w:hint="eastAsia" w:ascii="仿宋" w:hAnsi="仿宋" w:eastAsia="仿宋" w:cs="仿宋"/>
          <w:color w:val="auto"/>
          <w:sz w:val="32"/>
          <w:szCs w:val="32"/>
          <w:highlight w:val="none"/>
          <w:u w:val="single"/>
          <w:lang w:val="en-US"/>
        </w:rPr>
      </w:pPr>
      <w:r>
        <w:rPr>
          <w:rFonts w:hint="eastAsia" w:ascii="仿宋" w:hAnsi="仿宋" w:eastAsia="仿宋" w:cs="仿宋"/>
          <w:b/>
          <w:color w:val="auto"/>
          <w:sz w:val="32"/>
          <w:szCs w:val="32"/>
          <w:highlight w:val="none"/>
        </w:rPr>
        <w:t>招标项目：</w:t>
      </w:r>
      <w:r>
        <w:rPr>
          <w:rFonts w:hint="eastAsia" w:ascii="仿宋" w:hAnsi="仿宋" w:eastAsia="仿宋" w:cs="仿宋"/>
          <w:color w:val="auto"/>
          <w:sz w:val="32"/>
          <w:szCs w:val="32"/>
          <w:highlight w:val="none"/>
          <w:u w:val="single"/>
          <w:lang w:val="en-US" w:eastAsia="zh-CN"/>
        </w:rPr>
        <w:t>现代种业技术专业群数据管理平台项目</w:t>
      </w:r>
    </w:p>
    <w:p w14:paraId="003B809E">
      <w:pPr>
        <w:pStyle w:val="11"/>
        <w:autoSpaceDE/>
        <w:autoSpaceDN/>
        <w:adjustRightInd w:val="0"/>
        <w:spacing w:line="360" w:lineRule="auto"/>
        <w:ind w:firstLine="964" w:firstLineChars="300"/>
        <w:jc w:val="both"/>
        <w:rPr>
          <w:rFonts w:hint="eastAsia" w:ascii="仿宋" w:hAnsi="仿宋" w:eastAsia="仿宋" w:cs="仿宋"/>
          <w:color w:val="auto"/>
          <w:sz w:val="32"/>
          <w:szCs w:val="32"/>
          <w:highlight w:val="none"/>
          <w:u w:val="single"/>
          <w:lang w:val="en-US"/>
        </w:rPr>
      </w:pPr>
      <w:r>
        <w:rPr>
          <w:rFonts w:hint="eastAsia" w:ascii="仿宋" w:hAnsi="仿宋" w:eastAsia="仿宋" w:cs="仿宋"/>
          <w:b/>
          <w:color w:val="auto"/>
          <w:sz w:val="32"/>
          <w:szCs w:val="32"/>
          <w:highlight w:val="none"/>
        </w:rPr>
        <w:t>招标编号：</w:t>
      </w:r>
      <w:r>
        <w:rPr>
          <w:rFonts w:hint="eastAsia" w:ascii="仿宋" w:hAnsi="仿宋" w:eastAsia="仿宋" w:cs="仿宋"/>
          <w:color w:val="auto"/>
          <w:sz w:val="32"/>
          <w:szCs w:val="32"/>
          <w:highlight w:val="none"/>
          <w:u w:val="single"/>
          <w:lang w:val="en-US" w:eastAsia="zh-CN"/>
        </w:rPr>
        <w:t>XJHY-NYDX-2026-001</w:t>
      </w:r>
    </w:p>
    <w:p w14:paraId="2CA8965E">
      <w:pPr>
        <w:pStyle w:val="11"/>
        <w:spacing w:line="360" w:lineRule="auto"/>
        <w:ind w:firstLine="964" w:firstLineChars="300"/>
        <w:rPr>
          <w:rFonts w:hint="eastAsia" w:ascii="仿宋" w:hAnsi="仿宋" w:eastAsia="仿宋" w:cs="仿宋"/>
          <w:bCs/>
          <w:color w:val="auto"/>
          <w:sz w:val="32"/>
          <w:szCs w:val="32"/>
          <w:highlight w:val="none"/>
          <w:u w:val="single"/>
          <w:lang w:val="en-US"/>
        </w:rPr>
      </w:pPr>
      <w:r>
        <w:rPr>
          <w:rFonts w:hint="eastAsia" w:ascii="仿宋" w:hAnsi="仿宋" w:eastAsia="仿宋" w:cs="仿宋"/>
          <w:b/>
          <w:color w:val="auto"/>
          <w:sz w:val="32"/>
          <w:szCs w:val="32"/>
          <w:highlight w:val="none"/>
        </w:rPr>
        <w:t>招标方式：</w:t>
      </w:r>
      <w:r>
        <w:rPr>
          <w:rFonts w:hint="eastAsia" w:ascii="仿宋" w:hAnsi="仿宋" w:eastAsia="仿宋" w:cs="仿宋"/>
          <w:color w:val="auto"/>
          <w:sz w:val="32"/>
          <w:szCs w:val="32"/>
          <w:highlight w:val="none"/>
          <w:u w:val="single"/>
          <w:lang w:val="en-US"/>
        </w:rPr>
        <w:t>公开招标</w:t>
      </w:r>
    </w:p>
    <w:p w14:paraId="77CAE283">
      <w:pPr>
        <w:pStyle w:val="11"/>
        <w:spacing w:line="360" w:lineRule="auto"/>
        <w:ind w:firstLine="964" w:firstLineChars="300"/>
        <w:rPr>
          <w:rFonts w:hint="eastAsia" w:ascii="仿宋" w:hAnsi="仿宋" w:eastAsia="仿宋" w:cs="仿宋"/>
          <w:color w:val="auto"/>
          <w:highlight w:val="none"/>
          <w:lang w:val="en-US"/>
        </w:rPr>
      </w:pPr>
      <w:r>
        <w:rPr>
          <w:rFonts w:hint="eastAsia" w:ascii="仿宋" w:hAnsi="仿宋" w:eastAsia="仿宋" w:cs="仿宋"/>
          <w:b/>
          <w:color w:val="auto"/>
          <w:sz w:val="32"/>
          <w:szCs w:val="32"/>
          <w:highlight w:val="none"/>
        </w:rPr>
        <w:t>项目类别：</w:t>
      </w:r>
      <w:r>
        <w:rPr>
          <w:rFonts w:hint="eastAsia" w:ascii="仿宋" w:hAnsi="仿宋" w:eastAsia="仿宋" w:cs="仿宋"/>
          <w:color w:val="auto"/>
          <w:sz w:val="32"/>
          <w:szCs w:val="32"/>
          <w:highlight w:val="none"/>
          <w:u w:val="single"/>
          <w:lang w:val="en-US" w:eastAsia="zh-CN"/>
        </w:rPr>
        <w:t>货物</w:t>
      </w:r>
      <w:r>
        <w:rPr>
          <w:rFonts w:hint="eastAsia" w:ascii="仿宋" w:hAnsi="仿宋" w:eastAsia="仿宋" w:cs="仿宋"/>
          <w:color w:val="auto"/>
          <w:sz w:val="32"/>
          <w:szCs w:val="32"/>
          <w:highlight w:val="none"/>
          <w:u w:val="single"/>
          <w:lang w:val="en-US"/>
        </w:rPr>
        <w:t>类</w:t>
      </w:r>
    </w:p>
    <w:p w14:paraId="4DC767FF">
      <w:pPr>
        <w:pStyle w:val="11"/>
        <w:spacing w:line="360" w:lineRule="auto"/>
        <w:ind w:firstLine="964" w:firstLineChars="300"/>
        <w:rPr>
          <w:rFonts w:hint="eastAsia" w:ascii="仿宋" w:hAnsi="仿宋" w:eastAsia="仿宋" w:cs="仿宋"/>
          <w:bCs/>
          <w:color w:val="auto"/>
          <w:sz w:val="32"/>
          <w:szCs w:val="32"/>
          <w:highlight w:val="none"/>
          <w:u w:val="single"/>
          <w:lang w:val="en-US"/>
        </w:rPr>
      </w:pPr>
      <w:r>
        <w:rPr>
          <w:rFonts w:hint="eastAsia" w:ascii="仿宋" w:hAnsi="仿宋" w:eastAsia="仿宋" w:cs="仿宋"/>
          <w:b/>
          <w:color w:val="auto"/>
          <w:sz w:val="32"/>
          <w:szCs w:val="32"/>
          <w:highlight w:val="none"/>
          <w:lang w:val="en-US"/>
        </w:rPr>
        <w:t>采购人：</w:t>
      </w:r>
      <w:r>
        <w:rPr>
          <w:rFonts w:hint="eastAsia" w:ascii="仿宋" w:hAnsi="仿宋" w:eastAsia="仿宋" w:cs="仿宋"/>
          <w:bCs/>
          <w:color w:val="auto"/>
          <w:sz w:val="32"/>
          <w:szCs w:val="32"/>
          <w:highlight w:val="none"/>
          <w:u w:val="single"/>
          <w:lang w:val="en-US" w:eastAsia="zh-CN"/>
        </w:rPr>
        <w:t>新疆农业职业技术大学</w:t>
      </w:r>
    </w:p>
    <w:p w14:paraId="2AE46EA4">
      <w:pPr>
        <w:pStyle w:val="11"/>
        <w:spacing w:line="360" w:lineRule="auto"/>
        <w:ind w:firstLine="964" w:firstLineChars="300"/>
        <w:rPr>
          <w:rFonts w:hint="eastAsia" w:ascii="仿宋" w:hAnsi="仿宋" w:eastAsia="仿宋" w:cs="仿宋"/>
          <w:b/>
          <w:color w:val="auto"/>
          <w:sz w:val="32"/>
          <w:szCs w:val="32"/>
          <w:highlight w:val="none"/>
          <w:lang w:val="en-US"/>
        </w:rPr>
      </w:pPr>
      <w:r>
        <w:rPr>
          <w:rFonts w:hint="eastAsia" w:ascii="仿宋" w:hAnsi="仿宋" w:eastAsia="仿宋" w:cs="仿宋"/>
          <w:b/>
          <w:color w:val="auto"/>
          <w:sz w:val="32"/>
          <w:szCs w:val="32"/>
          <w:highlight w:val="none"/>
          <w:lang w:val="en-US"/>
        </w:rPr>
        <w:t>采购代理机构：</w:t>
      </w:r>
      <w:r>
        <w:rPr>
          <w:rFonts w:hint="eastAsia" w:ascii="仿宋" w:hAnsi="仿宋" w:eastAsia="仿宋" w:cs="仿宋"/>
          <w:bCs/>
          <w:color w:val="auto"/>
          <w:sz w:val="32"/>
          <w:szCs w:val="32"/>
          <w:highlight w:val="none"/>
          <w:u w:val="single"/>
          <w:lang w:val="en-US"/>
        </w:rPr>
        <w:t>新疆华域建设工程项目管理咨询有限公司</w:t>
      </w:r>
    </w:p>
    <w:p w14:paraId="5A739AD0">
      <w:pPr>
        <w:pStyle w:val="27"/>
        <w:ind w:firstLine="643"/>
        <w:rPr>
          <w:rFonts w:hint="eastAsia" w:ascii="仿宋" w:hAnsi="仿宋" w:eastAsia="仿宋" w:cs="仿宋"/>
          <w:b/>
          <w:color w:val="auto"/>
          <w:sz w:val="32"/>
          <w:highlight w:val="none"/>
        </w:rPr>
      </w:pPr>
      <w:r>
        <w:rPr>
          <w:rFonts w:hint="eastAsia" w:ascii="仿宋" w:hAnsi="仿宋" w:eastAsia="仿宋" w:cs="仿宋"/>
          <w:b/>
          <w:snapToGrid w:val="0"/>
          <w:color w:val="auto"/>
          <w:kern w:val="2"/>
          <w:sz w:val="32"/>
          <w:szCs w:val="32"/>
          <w:highlight w:val="none"/>
          <w:u w:val="single"/>
          <w:lang w:val="en-US" w:bidi="ar-SA"/>
        </w:rPr>
        <w:t>2026年</w:t>
      </w:r>
      <w:r>
        <w:rPr>
          <w:rFonts w:hint="eastAsia" w:ascii="仿宋" w:hAnsi="仿宋" w:eastAsia="仿宋" w:cs="仿宋"/>
          <w:b/>
          <w:snapToGrid w:val="0"/>
          <w:color w:val="auto"/>
          <w:kern w:val="2"/>
          <w:sz w:val="32"/>
          <w:szCs w:val="32"/>
          <w:highlight w:val="none"/>
          <w:u w:val="single"/>
          <w:lang w:val="en-US" w:eastAsia="zh-CN" w:bidi="ar-SA"/>
        </w:rPr>
        <w:t>5</w:t>
      </w:r>
      <w:r>
        <w:rPr>
          <w:rFonts w:hint="eastAsia" w:ascii="仿宋" w:hAnsi="仿宋" w:eastAsia="仿宋" w:cs="仿宋"/>
          <w:b/>
          <w:snapToGrid w:val="0"/>
          <w:color w:val="auto"/>
          <w:kern w:val="2"/>
          <w:sz w:val="32"/>
          <w:szCs w:val="32"/>
          <w:highlight w:val="none"/>
          <w:u w:val="single"/>
          <w:lang w:val="en-US" w:bidi="ar-SA"/>
        </w:rPr>
        <w:t>月</w:t>
      </w:r>
      <w:r>
        <w:rPr>
          <w:rFonts w:hint="eastAsia" w:ascii="仿宋" w:hAnsi="仿宋" w:eastAsia="仿宋" w:cs="仿宋"/>
          <w:b/>
          <w:color w:val="auto"/>
          <w:sz w:val="32"/>
          <w:highlight w:val="none"/>
        </w:rPr>
        <w:br w:type="page"/>
      </w:r>
      <w:r>
        <w:rPr>
          <w:rFonts w:hint="eastAsia" w:ascii="仿宋" w:hAnsi="仿宋" w:eastAsia="仿宋" w:cs="仿宋"/>
          <w:b/>
          <w:color w:val="auto"/>
          <w:sz w:val="32"/>
          <w:highlight w:val="none"/>
        </w:rPr>
        <w:t>目</w:t>
      </w:r>
      <w:r>
        <w:rPr>
          <w:rFonts w:hint="eastAsia" w:ascii="仿宋" w:hAnsi="仿宋" w:eastAsia="仿宋" w:cs="仿宋"/>
          <w:b/>
          <w:color w:val="auto"/>
          <w:sz w:val="32"/>
          <w:highlight w:val="none"/>
        </w:rPr>
        <w:tab/>
      </w:r>
      <w:r>
        <w:rPr>
          <w:rFonts w:hint="eastAsia" w:ascii="仿宋" w:hAnsi="仿宋" w:eastAsia="仿宋" w:cs="仿宋"/>
          <w:b/>
          <w:color w:val="auto"/>
          <w:sz w:val="32"/>
          <w:highlight w:val="none"/>
        </w:rPr>
        <w:t>录</w:t>
      </w:r>
    </w:p>
    <w:p w14:paraId="0288CF9D">
      <w:pPr>
        <w:numPr>
          <w:ilvl w:val="0"/>
          <w:numId w:val="1"/>
        </w:numPr>
        <w:spacing w:before="186" w:line="364"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招标公告</w:t>
      </w:r>
    </w:p>
    <w:p w14:paraId="076AEA63">
      <w:pPr>
        <w:spacing w:before="1" w:line="36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招标公告</w:t>
      </w:r>
    </w:p>
    <w:p w14:paraId="6A854248">
      <w:pPr>
        <w:spacing w:before="1" w:line="364"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第二部分 投标须知</w:t>
      </w:r>
    </w:p>
    <w:p w14:paraId="2B399894">
      <w:pPr>
        <w:spacing w:before="1" w:line="360" w:lineRule="auto"/>
        <w:ind w:firstLine="960" w:firstLineChars="400"/>
        <w:rPr>
          <w:rFonts w:hint="eastAsia" w:ascii="仿宋" w:hAnsi="仿宋" w:eastAsia="仿宋" w:cs="仿宋"/>
          <w:color w:val="auto"/>
          <w:highlight w:val="none"/>
          <w:lang w:val="en-US"/>
        </w:rPr>
      </w:pPr>
      <w:r>
        <w:rPr>
          <w:rFonts w:hint="eastAsia" w:ascii="仿宋" w:hAnsi="仿宋" w:eastAsia="仿宋" w:cs="仿宋"/>
          <w:color w:val="auto"/>
          <w:sz w:val="24"/>
          <w:highlight w:val="none"/>
        </w:rPr>
        <w:t>投标须知</w:t>
      </w:r>
      <w:r>
        <w:rPr>
          <w:rFonts w:hint="eastAsia" w:ascii="仿宋" w:hAnsi="仿宋" w:eastAsia="仿宋" w:cs="仿宋"/>
          <w:color w:val="auto"/>
          <w:sz w:val="24"/>
          <w:highlight w:val="none"/>
          <w:lang w:val="en-US"/>
        </w:rPr>
        <w:t>前附表</w:t>
      </w:r>
    </w:p>
    <w:p w14:paraId="4E267803">
      <w:pPr>
        <w:spacing w:before="1" w:line="364"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第三部分 招标说明</w:t>
      </w:r>
    </w:p>
    <w:p w14:paraId="4340D09A">
      <w:pPr>
        <w:spacing w:before="1" w:line="364"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第四部分 投标说明</w:t>
      </w:r>
    </w:p>
    <w:p w14:paraId="35E16AB2">
      <w:pPr>
        <w:pStyle w:val="10"/>
        <w:spacing w:line="364" w:lineRule="auto"/>
        <w:ind w:left="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第一章 对投标人的资质要求</w:t>
      </w:r>
    </w:p>
    <w:p w14:paraId="3D0A8FC9">
      <w:pPr>
        <w:pStyle w:val="10"/>
        <w:spacing w:line="364" w:lineRule="auto"/>
        <w:ind w:left="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第二章 投标文件的编写</w:t>
      </w:r>
    </w:p>
    <w:p w14:paraId="12F8D5C7">
      <w:pPr>
        <w:pStyle w:val="10"/>
        <w:spacing w:before="2" w:line="364" w:lineRule="auto"/>
        <w:ind w:left="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第三章 投标文件的递交</w:t>
      </w:r>
    </w:p>
    <w:p w14:paraId="1EA72A24">
      <w:pPr>
        <w:pStyle w:val="10"/>
        <w:spacing w:before="2" w:line="364" w:lineRule="auto"/>
        <w:ind w:left="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第四章 评标委员会</w:t>
      </w:r>
    </w:p>
    <w:p w14:paraId="19D03EF1">
      <w:pPr>
        <w:tabs>
          <w:tab w:val="left" w:pos="2677"/>
        </w:tabs>
        <w:spacing w:before="1" w:line="364"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第五部分 开标 评标 定标说明</w:t>
      </w:r>
    </w:p>
    <w:p w14:paraId="18A8D036">
      <w:pPr>
        <w:pStyle w:val="10"/>
        <w:spacing w:line="364" w:lineRule="auto"/>
        <w:ind w:left="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第一章 开</w:t>
      </w:r>
      <w:r>
        <w:rPr>
          <w:rFonts w:hint="eastAsia" w:ascii="仿宋" w:hAnsi="仿宋" w:eastAsia="仿宋" w:cs="仿宋"/>
          <w:color w:val="auto"/>
          <w:highlight w:val="none"/>
        </w:rPr>
        <w:tab/>
      </w:r>
      <w:r>
        <w:rPr>
          <w:rFonts w:hint="eastAsia" w:ascii="仿宋" w:hAnsi="仿宋" w:eastAsia="仿宋" w:cs="仿宋"/>
          <w:color w:val="auto"/>
          <w:highlight w:val="none"/>
        </w:rPr>
        <w:t>标</w:t>
      </w:r>
    </w:p>
    <w:p w14:paraId="0ACCD8E4">
      <w:pPr>
        <w:pStyle w:val="10"/>
        <w:tabs>
          <w:tab w:val="left" w:pos="2677"/>
        </w:tabs>
        <w:spacing w:line="364" w:lineRule="auto"/>
        <w:ind w:left="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 xml:space="preserve">第二章 评标 </w:t>
      </w:r>
    </w:p>
    <w:p w14:paraId="3FC1B3E2">
      <w:pPr>
        <w:pStyle w:val="10"/>
        <w:tabs>
          <w:tab w:val="left" w:pos="2677"/>
        </w:tabs>
        <w:spacing w:line="364" w:lineRule="auto"/>
        <w:ind w:left="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 xml:space="preserve">第三章 定标 </w:t>
      </w:r>
    </w:p>
    <w:p w14:paraId="11BF22D4">
      <w:pPr>
        <w:pStyle w:val="10"/>
        <w:tabs>
          <w:tab w:val="left" w:pos="2677"/>
        </w:tabs>
        <w:spacing w:line="364" w:lineRule="auto"/>
        <w:ind w:left="0"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第四章 授予合同</w:t>
      </w:r>
    </w:p>
    <w:p w14:paraId="54BE1082">
      <w:pPr>
        <w:spacing w:before="2" w:line="364"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第六部分 </w:t>
      </w:r>
      <w:r>
        <w:rPr>
          <w:rFonts w:hint="eastAsia" w:ascii="仿宋" w:hAnsi="仿宋" w:eastAsia="仿宋" w:cs="仿宋"/>
          <w:b/>
          <w:color w:val="auto"/>
          <w:sz w:val="24"/>
          <w:highlight w:val="none"/>
          <w:lang w:val="en-US" w:eastAsia="zh-CN"/>
        </w:rPr>
        <w:t>采购</w:t>
      </w:r>
      <w:r>
        <w:rPr>
          <w:rFonts w:hint="eastAsia" w:ascii="仿宋" w:hAnsi="仿宋" w:eastAsia="仿宋" w:cs="仿宋"/>
          <w:b/>
          <w:color w:val="auto"/>
          <w:sz w:val="24"/>
          <w:highlight w:val="none"/>
        </w:rPr>
        <w:t>需求、技术规格说明</w:t>
      </w:r>
    </w:p>
    <w:p w14:paraId="49B980DB">
      <w:pPr>
        <w:spacing w:before="2" w:line="364"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需求、技术规格</w:t>
      </w:r>
      <w:r>
        <w:rPr>
          <w:rFonts w:hint="eastAsia" w:ascii="仿宋" w:hAnsi="仿宋" w:eastAsia="仿宋" w:cs="仿宋"/>
          <w:color w:val="auto"/>
          <w:sz w:val="24"/>
          <w:szCs w:val="24"/>
          <w:highlight w:val="none"/>
          <w:lang w:val="en-US"/>
        </w:rPr>
        <w:t>说</w:t>
      </w:r>
      <w:r>
        <w:rPr>
          <w:rFonts w:hint="eastAsia" w:ascii="仿宋" w:hAnsi="仿宋" w:eastAsia="仿宋" w:cs="仿宋"/>
          <w:color w:val="auto"/>
          <w:sz w:val="24"/>
          <w:szCs w:val="24"/>
          <w:highlight w:val="none"/>
        </w:rPr>
        <w:t>明</w:t>
      </w:r>
    </w:p>
    <w:p w14:paraId="019631B0">
      <w:pPr>
        <w:spacing w:before="1" w:line="364"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第七部分 商务</w:t>
      </w:r>
      <w:r>
        <w:rPr>
          <w:rFonts w:hint="eastAsia" w:ascii="仿宋" w:hAnsi="仿宋" w:eastAsia="仿宋" w:cs="仿宋"/>
          <w:b/>
          <w:color w:val="auto"/>
          <w:sz w:val="24"/>
          <w:highlight w:val="none"/>
          <w:lang w:val="en-US"/>
        </w:rPr>
        <w:t>合同</w:t>
      </w:r>
      <w:r>
        <w:rPr>
          <w:rFonts w:hint="eastAsia" w:ascii="仿宋" w:hAnsi="仿宋" w:eastAsia="仿宋" w:cs="仿宋"/>
          <w:b/>
          <w:color w:val="auto"/>
          <w:sz w:val="24"/>
          <w:highlight w:val="none"/>
        </w:rPr>
        <w:t>部分</w:t>
      </w:r>
    </w:p>
    <w:p w14:paraId="4280743B">
      <w:pPr>
        <w:tabs>
          <w:tab w:val="left" w:pos="2079"/>
        </w:tabs>
        <w:spacing w:before="2" w:line="364"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第八部分</w:t>
      </w:r>
      <w:r>
        <w:rPr>
          <w:rFonts w:hint="eastAsia" w:ascii="仿宋" w:hAnsi="仿宋" w:eastAsia="仿宋" w:cs="仿宋"/>
          <w:b/>
          <w:color w:val="auto"/>
          <w:sz w:val="24"/>
          <w:highlight w:val="none"/>
          <w:lang w:val="en-US"/>
        </w:rPr>
        <w:t xml:space="preserve"> </w:t>
      </w:r>
      <w:r>
        <w:rPr>
          <w:rFonts w:hint="eastAsia" w:ascii="仿宋" w:hAnsi="仿宋" w:eastAsia="仿宋" w:cs="仿宋"/>
          <w:b/>
          <w:color w:val="auto"/>
          <w:sz w:val="24"/>
          <w:highlight w:val="none"/>
        </w:rPr>
        <w:t>投标文件的编制装订</w:t>
      </w:r>
    </w:p>
    <w:p w14:paraId="3AFA238A">
      <w:pPr>
        <w:pStyle w:val="10"/>
        <w:spacing w:line="364" w:lineRule="auto"/>
        <w:ind w:left="0"/>
        <w:rPr>
          <w:rFonts w:hint="eastAsia" w:ascii="仿宋" w:hAnsi="仿宋" w:eastAsia="仿宋" w:cs="仿宋"/>
          <w:color w:val="auto"/>
          <w:highlight w:val="none"/>
        </w:rPr>
      </w:pPr>
    </w:p>
    <w:p w14:paraId="69717948">
      <w:pPr>
        <w:rPr>
          <w:rFonts w:hint="eastAsia" w:ascii="仿宋" w:hAnsi="仿宋" w:eastAsia="仿宋" w:cs="仿宋"/>
          <w:color w:val="auto"/>
          <w:highlight w:val="none"/>
        </w:rPr>
      </w:pPr>
    </w:p>
    <w:p w14:paraId="2ED66CF0">
      <w:pPr>
        <w:rPr>
          <w:rFonts w:hint="eastAsia" w:ascii="仿宋" w:hAnsi="仿宋" w:eastAsia="仿宋" w:cs="仿宋"/>
          <w:color w:val="auto"/>
          <w:highlight w:val="none"/>
        </w:rPr>
        <w:sectPr>
          <w:headerReference r:id="rId3" w:type="default"/>
          <w:footerReference r:id="rId4" w:type="default"/>
          <w:pgSz w:w="11910" w:h="16840"/>
          <w:pgMar w:top="1420" w:right="1134" w:bottom="1180" w:left="1160" w:header="878" w:footer="993" w:gutter="0"/>
          <w:pgNumType w:start="2"/>
          <w:cols w:space="720" w:num="1"/>
        </w:sectPr>
      </w:pPr>
    </w:p>
    <w:p w14:paraId="675BF10D">
      <w:pPr>
        <w:pStyle w:val="2"/>
        <w:spacing w:before="2"/>
        <w:ind w:left="0" w:leftChars="0" w:right="0" w:rightChars="0"/>
        <w:rPr>
          <w:rFonts w:hint="eastAsia" w:ascii="仿宋" w:hAnsi="仿宋" w:eastAsia="仿宋" w:cs="仿宋"/>
          <w:color w:val="auto"/>
          <w:highlight w:val="none"/>
        </w:rPr>
      </w:pPr>
      <w:r>
        <w:rPr>
          <w:rFonts w:hint="eastAsia" w:ascii="仿宋" w:hAnsi="仿宋" w:eastAsia="仿宋" w:cs="仿宋"/>
          <w:color w:val="auto"/>
          <w:highlight w:val="none"/>
          <w:lang w:val="en-US"/>
        </w:rPr>
        <w:t xml:space="preserve">第一部分 </w:t>
      </w:r>
      <w:r>
        <w:rPr>
          <w:rFonts w:hint="eastAsia" w:ascii="仿宋" w:hAnsi="仿宋" w:eastAsia="仿宋" w:cs="仿宋"/>
          <w:color w:val="auto"/>
          <w:highlight w:val="none"/>
        </w:rPr>
        <w:t>招标公告</w:t>
      </w:r>
    </w:p>
    <w:p w14:paraId="34174E3A">
      <w:pPr>
        <w:spacing w:line="400" w:lineRule="exact"/>
        <w:jc w:val="center"/>
        <w:rPr>
          <w:rFonts w:hint="eastAsia" w:ascii="仿宋" w:hAnsi="仿宋" w:eastAsia="仿宋" w:cs="仿宋"/>
          <w:b/>
          <w:color w:val="auto"/>
          <w:sz w:val="28"/>
          <w:szCs w:val="28"/>
          <w:highlight w:val="none"/>
          <w:lang w:val="en-US"/>
        </w:rPr>
      </w:pPr>
      <w:r>
        <w:rPr>
          <w:rFonts w:hint="eastAsia" w:ascii="仿宋" w:hAnsi="仿宋" w:eastAsia="仿宋" w:cs="仿宋"/>
          <w:b/>
          <w:color w:val="auto"/>
          <w:sz w:val="28"/>
          <w:szCs w:val="28"/>
          <w:highlight w:val="none"/>
          <w:lang w:val="en-US" w:eastAsia="zh-CN"/>
        </w:rPr>
        <w:t>现代种业技术专业群数据管理平台项目</w:t>
      </w:r>
      <w:r>
        <w:rPr>
          <w:rFonts w:hint="eastAsia" w:ascii="仿宋" w:hAnsi="仿宋" w:eastAsia="仿宋" w:cs="仿宋"/>
          <w:b/>
          <w:color w:val="auto"/>
          <w:sz w:val="28"/>
          <w:szCs w:val="28"/>
          <w:highlight w:val="none"/>
          <w:lang w:val="en-US"/>
        </w:rPr>
        <w:t>的公开招标公告</w:t>
      </w:r>
    </w:p>
    <w:p w14:paraId="66B3237E">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项目概况</w:t>
      </w:r>
    </w:p>
    <w:p w14:paraId="775D6F73">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现代种业技术专业群数据管理平台项目</w:t>
      </w:r>
      <w:r>
        <w:rPr>
          <w:rFonts w:hint="eastAsia" w:ascii="仿宋" w:hAnsi="仿宋" w:eastAsia="仿宋" w:cs="仿宋"/>
          <w:color w:val="auto"/>
          <w:szCs w:val="24"/>
          <w:highlight w:val="none"/>
        </w:rPr>
        <w:t>招标项目的潜在投标人应在政采云https://www.zcygov.cn/平台后进入“项目采购”应用，在获取文件菜单中选择项目，申请获取采购文件，并于2026年</w:t>
      </w:r>
      <w:r>
        <w:rPr>
          <w:rFonts w:hint="eastAsia" w:ascii="仿宋" w:hAnsi="仿宋" w:eastAsia="仿宋" w:cs="仿宋"/>
          <w:color w:val="auto"/>
          <w:szCs w:val="24"/>
          <w:highlight w:val="none"/>
          <w:lang w:val="en-US" w:eastAsia="zh-CN"/>
        </w:rPr>
        <w:t>06</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lang w:val="en-US" w:eastAsia="zh-CN"/>
        </w:rPr>
        <w:t>11</w:t>
      </w:r>
      <w:r>
        <w:rPr>
          <w:rFonts w:hint="eastAsia" w:ascii="仿宋" w:hAnsi="仿宋" w:eastAsia="仿宋" w:cs="仿宋"/>
          <w:color w:val="auto"/>
          <w:szCs w:val="24"/>
          <w:highlight w:val="none"/>
        </w:rPr>
        <w:t>日 1</w:t>
      </w:r>
      <w:r>
        <w:rPr>
          <w:rFonts w:hint="eastAsia" w:ascii="仿宋" w:hAnsi="仿宋" w:eastAsia="仿宋" w:cs="仿宋"/>
          <w:color w:val="auto"/>
          <w:szCs w:val="24"/>
          <w:highlight w:val="none"/>
          <w:lang w:val="en-US"/>
        </w:rPr>
        <w:t>1</w:t>
      </w:r>
      <w:r>
        <w:rPr>
          <w:rFonts w:hint="eastAsia" w:ascii="仿宋" w:hAnsi="仿宋" w:eastAsia="仿宋" w:cs="仿宋"/>
          <w:color w:val="auto"/>
          <w:szCs w:val="24"/>
          <w:highlight w:val="none"/>
        </w:rPr>
        <w:t>:00（北京时间）前递交投标文件。</w:t>
      </w:r>
    </w:p>
    <w:p w14:paraId="7E317DFD">
      <w:pPr>
        <w:pStyle w:val="16"/>
        <w:widowControl/>
        <w:spacing w:before="255" w:beforeAutospacing="0" w:after="255" w:afterAutospacing="0" w:line="300" w:lineRule="atLeast"/>
        <w:jc w:val="both"/>
        <w:rPr>
          <w:rFonts w:hint="eastAsia" w:ascii="仿宋" w:hAnsi="仿宋" w:eastAsia="仿宋" w:cs="仿宋"/>
          <w:color w:val="auto"/>
          <w:szCs w:val="24"/>
          <w:highlight w:val="none"/>
        </w:rPr>
      </w:pPr>
      <w:r>
        <w:rPr>
          <w:rStyle w:val="23"/>
          <w:rFonts w:hint="eastAsia" w:ascii="仿宋" w:hAnsi="仿宋" w:eastAsia="仿宋" w:cs="仿宋"/>
          <w:color w:val="auto"/>
          <w:szCs w:val="24"/>
          <w:highlight w:val="none"/>
        </w:rPr>
        <w:t>一、项目基本情况</w:t>
      </w:r>
    </w:p>
    <w:p w14:paraId="3449ABE4">
      <w:pPr>
        <w:pStyle w:val="16"/>
        <w:widowControl/>
        <w:spacing w:before="75" w:beforeAutospacing="0" w:after="75" w:afterAutospacing="0" w:line="300" w:lineRule="atLeast"/>
        <w:ind w:firstLine="42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项目编号：</w:t>
      </w:r>
      <w:r>
        <w:rPr>
          <w:rFonts w:hint="eastAsia" w:ascii="仿宋" w:hAnsi="仿宋" w:eastAsia="仿宋" w:cs="仿宋"/>
          <w:color w:val="auto"/>
          <w:szCs w:val="24"/>
          <w:highlight w:val="none"/>
          <w:lang w:val="en-US" w:eastAsia="zh-CN"/>
        </w:rPr>
        <w:t>XJHY-NYDX-2026-001</w:t>
      </w:r>
    </w:p>
    <w:p w14:paraId="6F885739">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项目名称：</w:t>
      </w:r>
      <w:r>
        <w:rPr>
          <w:rFonts w:hint="eastAsia" w:ascii="仿宋" w:hAnsi="仿宋" w:eastAsia="仿宋" w:cs="仿宋"/>
          <w:color w:val="auto"/>
          <w:szCs w:val="24"/>
          <w:highlight w:val="none"/>
          <w:lang w:eastAsia="zh-CN"/>
        </w:rPr>
        <w:t>现代种业技术专业群数据管理平台项目</w:t>
      </w:r>
      <w:r>
        <w:rPr>
          <w:rFonts w:hint="eastAsia" w:ascii="仿宋" w:hAnsi="仿宋" w:eastAsia="仿宋" w:cs="仿宋"/>
          <w:color w:val="auto"/>
          <w:szCs w:val="24"/>
          <w:highlight w:val="none"/>
        </w:rPr>
        <w:t> </w:t>
      </w:r>
    </w:p>
    <w:p w14:paraId="56B45165">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采购方式：公开招标</w:t>
      </w:r>
    </w:p>
    <w:p w14:paraId="0793A00E">
      <w:pPr>
        <w:pStyle w:val="16"/>
        <w:widowControl/>
        <w:spacing w:before="75" w:beforeAutospacing="0" w:after="75" w:afterAutospacing="0" w:line="300" w:lineRule="atLeast"/>
        <w:ind w:firstLine="420"/>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rPr>
        <w:t>预算金额（元）：</w:t>
      </w:r>
      <w:r>
        <w:rPr>
          <w:rFonts w:hint="eastAsia" w:ascii="仿宋" w:hAnsi="仿宋" w:eastAsia="仿宋" w:cs="仿宋"/>
          <w:color w:val="auto"/>
          <w:szCs w:val="24"/>
          <w:highlight w:val="none"/>
          <w:lang w:val="en-US" w:eastAsia="zh-CN"/>
        </w:rPr>
        <w:t>3000000.00元</w:t>
      </w:r>
    </w:p>
    <w:p w14:paraId="58037B13">
      <w:pPr>
        <w:pStyle w:val="16"/>
        <w:widowControl/>
        <w:spacing w:before="75" w:beforeAutospacing="0" w:after="75" w:afterAutospacing="0" w:line="300" w:lineRule="atLeast"/>
        <w:ind w:firstLine="420"/>
        <w:rPr>
          <w:rFonts w:hint="default" w:ascii="仿宋" w:hAnsi="仿宋" w:eastAsia="仿宋" w:cs="仿宋"/>
          <w:color w:val="auto"/>
          <w:szCs w:val="24"/>
          <w:highlight w:val="none"/>
          <w:lang w:val="en-US"/>
        </w:rPr>
      </w:pPr>
      <w:r>
        <w:rPr>
          <w:rFonts w:hint="eastAsia" w:ascii="仿宋" w:hAnsi="仿宋" w:eastAsia="仿宋" w:cs="仿宋"/>
          <w:color w:val="auto"/>
          <w:szCs w:val="24"/>
          <w:highlight w:val="none"/>
        </w:rPr>
        <w:t>最高限价（元）：</w:t>
      </w:r>
      <w:r>
        <w:rPr>
          <w:rFonts w:hint="eastAsia" w:ascii="仿宋" w:hAnsi="仿宋" w:eastAsia="仿宋" w:cs="仿宋"/>
          <w:color w:val="auto"/>
          <w:szCs w:val="24"/>
          <w:highlight w:val="none"/>
          <w:lang w:val="en-US" w:eastAsia="zh-CN"/>
        </w:rPr>
        <w:t>3000000.00元</w:t>
      </w:r>
    </w:p>
    <w:p w14:paraId="7760380C">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采购需求：</w:t>
      </w:r>
    </w:p>
    <w:p w14:paraId="14768598">
      <w:pPr>
        <w:pStyle w:val="16"/>
        <w:widowControl/>
        <w:spacing w:before="75" w:beforeAutospacing="0" w:after="75" w:afterAutospacing="0" w:line="300" w:lineRule="atLeast"/>
        <w:ind w:firstLine="420"/>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lang w:val="en-US"/>
        </w:rPr>
        <w:t>标项</w:t>
      </w:r>
      <w:r>
        <w:rPr>
          <w:rFonts w:hint="eastAsia" w:ascii="仿宋" w:hAnsi="仿宋" w:eastAsia="仿宋" w:cs="仿宋"/>
          <w:b/>
          <w:bCs/>
          <w:color w:val="auto"/>
          <w:szCs w:val="24"/>
          <w:highlight w:val="none"/>
          <w:lang w:val="en-US" w:eastAsia="zh-CN"/>
        </w:rPr>
        <w:t>名称</w:t>
      </w:r>
      <w:r>
        <w:rPr>
          <w:rFonts w:hint="eastAsia" w:ascii="仿宋" w:hAnsi="仿宋" w:eastAsia="仿宋" w:cs="仿宋"/>
          <w:b/>
          <w:bCs/>
          <w:color w:val="auto"/>
          <w:szCs w:val="24"/>
          <w:highlight w:val="none"/>
          <w:lang w:val="en-US"/>
        </w:rPr>
        <w:t>:</w:t>
      </w:r>
      <w:r>
        <w:rPr>
          <w:rFonts w:hint="eastAsia" w:ascii="仿宋" w:hAnsi="仿宋" w:eastAsia="仿宋" w:cs="仿宋"/>
          <w:b/>
          <w:bCs/>
          <w:color w:val="auto"/>
          <w:szCs w:val="24"/>
          <w:highlight w:val="none"/>
          <w:lang w:val="en-US" w:eastAsia="zh-CN"/>
        </w:rPr>
        <w:t>现代种业技术专业群数据管理平台项目</w:t>
      </w:r>
    </w:p>
    <w:p w14:paraId="36AFEB9C">
      <w:pPr>
        <w:pStyle w:val="16"/>
        <w:widowControl/>
        <w:spacing w:before="75" w:beforeAutospacing="0" w:after="75" w:afterAutospacing="0" w:line="300" w:lineRule="atLeast"/>
        <w:ind w:firstLine="42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rPr>
        <w:t>数量：1</w:t>
      </w:r>
      <w:r>
        <w:rPr>
          <w:rFonts w:hint="eastAsia" w:ascii="仿宋" w:hAnsi="仿宋" w:eastAsia="仿宋" w:cs="仿宋"/>
          <w:color w:val="auto"/>
          <w:szCs w:val="24"/>
          <w:highlight w:val="none"/>
          <w:lang w:val="en-US"/>
        </w:rPr>
        <w:t>批</w:t>
      </w:r>
    </w:p>
    <w:p w14:paraId="07949252">
      <w:pPr>
        <w:pStyle w:val="16"/>
        <w:widowControl/>
        <w:spacing w:before="75" w:beforeAutospacing="0" w:after="75" w:afterAutospacing="0" w:line="300" w:lineRule="atLeast"/>
        <w:ind w:firstLine="42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rPr>
        <w:t>预算金额（元）：</w:t>
      </w:r>
    </w:p>
    <w:p w14:paraId="3D56D283">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简要规格描述或项目基本概况介绍、用途：</w:t>
      </w:r>
      <w:r>
        <w:rPr>
          <w:rStyle w:val="25"/>
          <w:rFonts w:hint="eastAsia" w:ascii="仿宋" w:hAnsi="仿宋" w:eastAsia="仿宋" w:cs="仿宋"/>
          <w:color w:val="auto"/>
          <w:szCs w:val="24"/>
          <w:highlight w:val="none"/>
          <w:lang w:eastAsia="zh-CN"/>
        </w:rPr>
        <w:t>新疆农业职业技术大学</w:t>
      </w:r>
      <w:r>
        <w:rPr>
          <w:rFonts w:hint="eastAsia" w:ascii="仿宋" w:hAnsi="仿宋" w:eastAsia="仿宋" w:cs="仿宋"/>
          <w:color w:val="auto"/>
          <w:szCs w:val="24"/>
          <w:highlight w:val="none"/>
          <w:lang w:val="en-US" w:eastAsia="zh-CN"/>
        </w:rPr>
        <w:t>现代种业技术专业群数据管理平台</w:t>
      </w:r>
      <w:r>
        <w:rPr>
          <w:rFonts w:hint="eastAsia" w:ascii="仿宋" w:hAnsi="仿宋" w:eastAsia="仿宋" w:cs="仿宋"/>
          <w:color w:val="auto"/>
          <w:szCs w:val="24"/>
          <w:highlight w:val="none"/>
          <w:lang w:val="en-US"/>
        </w:rPr>
        <w:t>建设，</w:t>
      </w:r>
      <w:r>
        <w:rPr>
          <w:rFonts w:hint="eastAsia" w:ascii="仿宋" w:hAnsi="仿宋" w:eastAsia="仿宋" w:cs="仿宋"/>
          <w:color w:val="auto"/>
          <w:szCs w:val="24"/>
          <w:highlight w:val="none"/>
          <w:lang w:val="en-US" w:eastAsia="zh-CN"/>
        </w:rPr>
        <w:t>包含数据开发平台、</w:t>
      </w:r>
      <w:r>
        <w:rPr>
          <w:rFonts w:hint="eastAsia" w:ascii="仿宋" w:hAnsi="仿宋" w:eastAsia="仿宋" w:cs="仿宋"/>
          <w:color w:val="auto"/>
          <w:szCs w:val="24"/>
          <w:highlight w:val="none"/>
          <w:lang w:val="en-US"/>
        </w:rPr>
        <w:t>数据治理平台</w:t>
      </w:r>
      <w:r>
        <w:rPr>
          <w:rFonts w:hint="eastAsia" w:ascii="仿宋" w:hAnsi="仿宋" w:eastAsia="仿宋" w:cs="仿宋"/>
          <w:color w:val="auto"/>
          <w:szCs w:val="24"/>
          <w:highlight w:val="none"/>
          <w:lang w:val="en-US" w:eastAsia="zh-CN"/>
        </w:rPr>
        <w:t>、标量数据治理技术服务、数据安全服务、数据迁移服务、应用层数据开发服务、典型业务平台和场景数据支撑服务</w:t>
      </w:r>
      <w:r>
        <w:rPr>
          <w:rFonts w:hint="eastAsia" w:ascii="仿宋" w:hAnsi="仿宋" w:eastAsia="仿宋" w:cs="仿宋"/>
          <w:color w:val="auto"/>
          <w:szCs w:val="24"/>
          <w:highlight w:val="none"/>
          <w:lang w:val="en-US"/>
        </w:rPr>
        <w:t>等，</w:t>
      </w:r>
      <w:r>
        <w:rPr>
          <w:rFonts w:hint="eastAsia" w:ascii="仿宋" w:hAnsi="仿宋" w:eastAsia="仿宋" w:cs="仿宋"/>
          <w:color w:val="auto"/>
          <w:szCs w:val="24"/>
          <w:highlight w:val="none"/>
        </w:rPr>
        <w:t>具体详见采购文件。</w:t>
      </w:r>
    </w:p>
    <w:p w14:paraId="1D709EA1">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306DD04C">
      <w:pPr>
        <w:pStyle w:val="16"/>
        <w:widowControl/>
        <w:spacing w:before="75" w:beforeAutospacing="0" w:after="75" w:afterAutospacing="0" w:line="300" w:lineRule="atLeast"/>
        <w:ind w:firstLine="42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rPr>
        <w:t>合同履约期限：</w:t>
      </w:r>
      <w:r>
        <w:rPr>
          <w:rFonts w:hint="eastAsia" w:ascii="仿宋" w:hAnsi="仿宋" w:eastAsia="仿宋" w:cs="仿宋"/>
          <w:color w:val="auto"/>
          <w:szCs w:val="24"/>
          <w:highlight w:val="none"/>
          <w:lang w:val="en-US" w:eastAsia="zh-CN"/>
        </w:rPr>
        <w:t>合同签订后，项目组入场实施，30日历天内完成平台部署调试，具备上线试运行条件；合同签订后6个月内完成全部数据治理服务内容并通过最终验收。</w:t>
      </w:r>
    </w:p>
    <w:p w14:paraId="70BD0F8D">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本项目（否）接受联合体投标。</w:t>
      </w:r>
    </w:p>
    <w:p w14:paraId="6BA47178">
      <w:pPr>
        <w:pStyle w:val="16"/>
        <w:widowControl/>
        <w:spacing w:before="75" w:beforeAutospacing="0" w:after="75" w:afterAutospacing="0" w:line="300" w:lineRule="atLeast"/>
        <w:rPr>
          <w:rFonts w:hint="eastAsia" w:ascii="仿宋" w:hAnsi="仿宋" w:eastAsia="仿宋" w:cs="仿宋"/>
          <w:color w:val="auto"/>
          <w:szCs w:val="24"/>
          <w:highlight w:val="none"/>
        </w:rPr>
      </w:pPr>
      <w:r>
        <w:rPr>
          <w:rStyle w:val="23"/>
          <w:rFonts w:hint="eastAsia" w:ascii="仿宋" w:hAnsi="仿宋" w:eastAsia="仿宋" w:cs="仿宋"/>
          <w:color w:val="auto"/>
          <w:szCs w:val="24"/>
          <w:highlight w:val="none"/>
        </w:rPr>
        <w:t>二、申请人的资格要求：</w:t>
      </w:r>
    </w:p>
    <w:p w14:paraId="2AFB880F">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14:paraId="4F419E85">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（1）具有独立承担民事责任的能力；</w:t>
      </w:r>
    </w:p>
    <w:p w14:paraId="05B3FB97">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（2）具有良好的商业信誉和健全的财务会计制度；</w:t>
      </w:r>
    </w:p>
    <w:p w14:paraId="50DC1D5C">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（3）具有履行合同所必需的设备和专业技术能力；</w:t>
      </w:r>
    </w:p>
    <w:p w14:paraId="2A10D9D9">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（4）有依法缴纳税收和社会保障资金的良好记录；</w:t>
      </w:r>
    </w:p>
    <w:p w14:paraId="27609978">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（5）参加政府采购活动前三年内，在经营活动中没有重大违法记录；</w:t>
      </w:r>
    </w:p>
    <w:p w14:paraId="05E1F777">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（6）法律、行政法规规定的其他条件。</w:t>
      </w:r>
    </w:p>
    <w:p w14:paraId="682F1CE7">
      <w:pPr>
        <w:pStyle w:val="16"/>
        <w:widowControl/>
        <w:autoSpaceDE/>
        <w:autoSpaceDN/>
        <w:spacing w:before="0" w:beforeAutospacing="0" w:after="0" w:afterAutospacing="0" w:line="240" w:lineRule="auto"/>
        <w:ind w:left="0" w:leftChars="0"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2.落实政府采购政策需满足的资格要求：本项目</w:t>
      </w:r>
      <w:r>
        <w:rPr>
          <w:rFonts w:hint="eastAsia" w:ascii="仿宋" w:hAnsi="仿宋" w:eastAsia="仿宋" w:cs="仿宋"/>
          <w:color w:val="auto"/>
          <w:szCs w:val="24"/>
          <w:highlight w:val="none"/>
          <w:lang w:val="en-US" w:eastAsia="zh-CN"/>
        </w:rPr>
        <w:t>不专门</w:t>
      </w:r>
      <w:r>
        <w:rPr>
          <w:rFonts w:hint="eastAsia" w:ascii="仿宋" w:hAnsi="仿宋" w:eastAsia="仿宋" w:cs="仿宋"/>
          <w:color w:val="auto"/>
          <w:szCs w:val="24"/>
          <w:highlight w:val="none"/>
        </w:rPr>
        <w:t>面向中小企业采购。</w:t>
      </w:r>
    </w:p>
    <w:p w14:paraId="276C5E33">
      <w:pPr>
        <w:pStyle w:val="16"/>
        <w:widowControl/>
        <w:spacing w:before="75" w:beforeAutospacing="0" w:after="75" w:afterAutospacing="0" w:line="300" w:lineRule="atLeast"/>
        <w:ind w:firstLine="420"/>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rPr>
        <w:t>3.本项目的特定资格要求：</w:t>
      </w:r>
      <w:r>
        <w:rPr>
          <w:rFonts w:hint="eastAsia" w:ascii="仿宋" w:hAnsi="仿宋" w:eastAsia="仿宋" w:cs="仿宋"/>
          <w:color w:val="auto"/>
          <w:szCs w:val="24"/>
          <w:highlight w:val="none"/>
          <w:lang w:val="en-US" w:eastAsia="zh-CN"/>
        </w:rPr>
        <w:t>无。</w:t>
      </w:r>
    </w:p>
    <w:p w14:paraId="4839B384">
      <w:pPr>
        <w:pStyle w:val="16"/>
        <w:widowControl/>
        <w:spacing w:before="255" w:beforeAutospacing="0" w:after="255" w:afterAutospacing="0" w:line="300" w:lineRule="atLeast"/>
        <w:jc w:val="both"/>
        <w:rPr>
          <w:rFonts w:hint="eastAsia" w:ascii="仿宋" w:hAnsi="仿宋" w:eastAsia="仿宋" w:cs="仿宋"/>
          <w:color w:val="auto"/>
          <w:szCs w:val="24"/>
          <w:highlight w:val="none"/>
        </w:rPr>
      </w:pPr>
      <w:r>
        <w:rPr>
          <w:rStyle w:val="23"/>
          <w:rFonts w:hint="eastAsia" w:ascii="仿宋" w:hAnsi="仿宋" w:eastAsia="仿宋" w:cs="仿宋"/>
          <w:color w:val="auto"/>
          <w:szCs w:val="24"/>
          <w:highlight w:val="none"/>
        </w:rPr>
        <w:t>三、获取招标文件</w:t>
      </w:r>
    </w:p>
    <w:p w14:paraId="2D441900">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时间：2026年</w:t>
      </w:r>
      <w:r>
        <w:rPr>
          <w:rFonts w:hint="eastAsia" w:ascii="仿宋" w:hAnsi="仿宋" w:eastAsia="仿宋" w:cs="仿宋"/>
          <w:color w:val="auto"/>
          <w:szCs w:val="24"/>
          <w:highlight w:val="none"/>
          <w:lang w:val="en-US" w:eastAsia="zh-CN"/>
        </w:rPr>
        <w:t>05</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lang w:val="en-US" w:eastAsia="zh-CN"/>
        </w:rPr>
        <w:t>19</w:t>
      </w:r>
      <w:r>
        <w:rPr>
          <w:rFonts w:hint="eastAsia" w:ascii="仿宋" w:hAnsi="仿宋" w:eastAsia="仿宋" w:cs="仿宋"/>
          <w:color w:val="auto"/>
          <w:szCs w:val="24"/>
          <w:highlight w:val="none"/>
        </w:rPr>
        <w:t>日至2026年</w:t>
      </w:r>
      <w:r>
        <w:rPr>
          <w:rFonts w:hint="eastAsia" w:ascii="仿宋" w:hAnsi="仿宋" w:eastAsia="仿宋" w:cs="仿宋"/>
          <w:color w:val="auto"/>
          <w:szCs w:val="24"/>
          <w:highlight w:val="none"/>
          <w:lang w:val="en-US" w:eastAsia="zh-CN"/>
        </w:rPr>
        <w:t>05</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lang w:val="en-US" w:eastAsia="zh-CN"/>
        </w:rPr>
        <w:t>26</w:t>
      </w:r>
      <w:r>
        <w:rPr>
          <w:rFonts w:hint="eastAsia" w:ascii="仿宋" w:hAnsi="仿宋" w:eastAsia="仿宋" w:cs="仿宋"/>
          <w:color w:val="auto"/>
          <w:szCs w:val="24"/>
          <w:highlight w:val="none"/>
        </w:rPr>
        <w:t>日，每天上午</w:t>
      </w:r>
      <w:r>
        <w:rPr>
          <w:rFonts w:hint="eastAsia" w:ascii="仿宋" w:hAnsi="仿宋" w:eastAsia="仿宋" w:cs="仿宋"/>
          <w:color w:val="auto"/>
          <w:szCs w:val="24"/>
          <w:highlight w:val="none"/>
          <w:lang w:val="en-US" w:eastAsia="zh-CN"/>
        </w:rPr>
        <w:t>0</w:t>
      </w:r>
      <w:r>
        <w:rPr>
          <w:rFonts w:hint="eastAsia" w:ascii="仿宋" w:hAnsi="仿宋" w:eastAsia="仿宋" w:cs="仿宋"/>
          <w:color w:val="auto"/>
          <w:szCs w:val="24"/>
          <w:highlight w:val="none"/>
        </w:rPr>
        <w:t>0:00至1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:00，下午1</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:00至</w:t>
      </w:r>
      <w:r>
        <w:rPr>
          <w:rFonts w:hint="eastAsia" w:ascii="仿宋" w:hAnsi="仿宋" w:eastAsia="仿宋" w:cs="仿宋"/>
          <w:color w:val="auto"/>
          <w:szCs w:val="24"/>
          <w:highlight w:val="none"/>
          <w:lang w:val="en-US" w:eastAsia="zh-CN"/>
        </w:rPr>
        <w:t>23</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59</w:t>
      </w:r>
      <w:r>
        <w:rPr>
          <w:rFonts w:hint="eastAsia" w:ascii="仿宋" w:hAnsi="仿宋" w:eastAsia="仿宋" w:cs="仿宋"/>
          <w:color w:val="auto"/>
          <w:szCs w:val="24"/>
          <w:highlight w:val="none"/>
        </w:rPr>
        <w:t>（北京时间，法定节假日除外）</w:t>
      </w:r>
    </w:p>
    <w:p w14:paraId="5C9EE198">
      <w:pPr>
        <w:pStyle w:val="16"/>
        <w:widowControl/>
        <w:spacing w:before="75" w:beforeAutospacing="0" w:after="75" w:afterAutospacing="0" w:line="300" w:lineRule="atLeast"/>
        <w:ind w:firstLine="42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rPr>
        <w:t>地点：政采云https://www.zcygov.cn/平台后进入“项目采购”应用，在获取文件菜单中选择项目，申请获取采购文件</w:t>
      </w:r>
    </w:p>
    <w:p w14:paraId="48624566">
      <w:pPr>
        <w:pStyle w:val="16"/>
        <w:widowControl/>
        <w:spacing w:before="75" w:beforeAutospacing="0" w:after="75" w:afterAutospacing="0" w:line="300" w:lineRule="atLeast"/>
        <w:ind w:firstLine="420"/>
        <w:rPr>
          <w:rFonts w:hint="eastAsia" w:ascii="仿宋" w:hAnsi="仿宋" w:eastAsia="仿宋" w:cs="仿宋"/>
          <w:color w:val="auto"/>
          <w:szCs w:val="24"/>
          <w:highlight w:val="none"/>
          <w:lang w:val="en-US"/>
        </w:rPr>
      </w:pPr>
      <w:r>
        <w:rPr>
          <w:rFonts w:hint="eastAsia" w:ascii="仿宋" w:hAnsi="仿宋" w:eastAsia="仿宋" w:cs="仿宋"/>
          <w:color w:val="auto"/>
          <w:szCs w:val="24"/>
          <w:highlight w:val="none"/>
        </w:rPr>
        <w:t>方式</w:t>
      </w:r>
      <w:r>
        <w:rPr>
          <w:rFonts w:hint="eastAsia" w:ascii="仿宋" w:hAnsi="仿宋" w:eastAsia="仿宋" w:cs="仿宋"/>
          <w:color w:val="auto"/>
          <w:szCs w:val="24"/>
          <w:highlight w:val="none"/>
          <w:lang w:val="en-US"/>
        </w:rPr>
        <w:t>：</w:t>
      </w:r>
      <w:r>
        <w:rPr>
          <w:rFonts w:hint="eastAsia" w:ascii="仿宋" w:hAnsi="仿宋" w:eastAsia="仿宋" w:cs="仿宋"/>
          <w:color w:val="auto"/>
          <w:szCs w:val="24"/>
          <w:highlight w:val="none"/>
        </w:rPr>
        <w:t>投标单位须办理</w:t>
      </w:r>
      <w:r>
        <w:rPr>
          <w:rFonts w:hint="eastAsia" w:ascii="仿宋" w:hAnsi="仿宋" w:eastAsia="仿宋" w:cs="仿宋"/>
          <w:color w:val="auto"/>
          <w:szCs w:val="24"/>
          <w:highlight w:val="none"/>
          <w:lang w:val="en-US"/>
        </w:rPr>
        <w:t>CA</w:t>
      </w:r>
      <w:r>
        <w:rPr>
          <w:rFonts w:hint="eastAsia" w:ascii="仿宋" w:hAnsi="仿宋" w:eastAsia="仿宋" w:cs="仿宋"/>
          <w:color w:val="auto"/>
          <w:szCs w:val="24"/>
          <w:highlight w:val="none"/>
        </w:rPr>
        <w:t>数字证书</w:t>
      </w:r>
      <w:r>
        <w:rPr>
          <w:rFonts w:hint="eastAsia" w:ascii="仿宋" w:hAnsi="仿宋" w:eastAsia="仿宋" w:cs="仿宋"/>
          <w:color w:val="auto"/>
          <w:szCs w:val="24"/>
          <w:highlight w:val="none"/>
          <w:lang w:val="en-US"/>
        </w:rPr>
        <w:t>，</w:t>
      </w:r>
      <w:r>
        <w:rPr>
          <w:rFonts w:hint="eastAsia" w:ascii="仿宋" w:hAnsi="仿宋" w:eastAsia="仿宋" w:cs="仿宋"/>
          <w:color w:val="auto"/>
          <w:szCs w:val="24"/>
          <w:highlight w:val="none"/>
        </w:rPr>
        <w:t>通过</w:t>
      </w:r>
      <w:r>
        <w:rPr>
          <w:rFonts w:hint="eastAsia" w:ascii="仿宋" w:hAnsi="仿宋" w:eastAsia="仿宋" w:cs="仿宋"/>
          <w:color w:val="auto"/>
          <w:szCs w:val="24"/>
          <w:highlight w:val="none"/>
          <w:lang w:val="en-US"/>
        </w:rPr>
        <w:t>CA</w:t>
      </w:r>
      <w:r>
        <w:rPr>
          <w:rFonts w:hint="eastAsia" w:ascii="仿宋" w:hAnsi="仿宋" w:eastAsia="仿宋" w:cs="仿宋"/>
          <w:color w:val="auto"/>
          <w:szCs w:val="24"/>
          <w:highlight w:val="none"/>
        </w:rPr>
        <w:t>数字证书登录政采云平台</w:t>
      </w:r>
      <w:r>
        <w:rPr>
          <w:rFonts w:hint="eastAsia" w:ascii="仿宋" w:hAnsi="仿宋" w:eastAsia="仿宋" w:cs="仿宋"/>
          <w:color w:val="auto"/>
          <w:szCs w:val="24"/>
          <w:highlight w:val="none"/>
          <w:lang w:val="en-US"/>
        </w:rPr>
        <w:t>https://www.zcygov.cn/，</w:t>
      </w:r>
      <w:r>
        <w:rPr>
          <w:rFonts w:hint="eastAsia" w:ascii="仿宋" w:hAnsi="仿宋" w:eastAsia="仿宋" w:cs="仿宋"/>
          <w:color w:val="auto"/>
          <w:szCs w:val="24"/>
          <w:highlight w:val="none"/>
        </w:rPr>
        <w:t>进行下载采购文件。</w:t>
      </w:r>
    </w:p>
    <w:p w14:paraId="65269E0D">
      <w:pPr>
        <w:pStyle w:val="16"/>
        <w:widowControl/>
        <w:spacing w:before="75" w:beforeAutospacing="0" w:after="75" w:afterAutospacing="0" w:line="300" w:lineRule="atLeast"/>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售价（元）：0</w:t>
      </w:r>
    </w:p>
    <w:p w14:paraId="270E3D76">
      <w:pPr>
        <w:pStyle w:val="16"/>
        <w:widowControl/>
        <w:numPr>
          <w:ilvl w:val="0"/>
          <w:numId w:val="2"/>
        </w:numPr>
        <w:spacing w:before="255" w:beforeAutospacing="0" w:after="255" w:afterAutospacing="0" w:line="300" w:lineRule="atLeast"/>
        <w:jc w:val="both"/>
        <w:rPr>
          <w:rStyle w:val="23"/>
          <w:rFonts w:hint="eastAsia" w:ascii="仿宋" w:hAnsi="仿宋" w:eastAsia="仿宋" w:cs="仿宋"/>
          <w:color w:val="auto"/>
          <w:szCs w:val="24"/>
          <w:highlight w:val="none"/>
        </w:rPr>
      </w:pPr>
      <w:r>
        <w:rPr>
          <w:rStyle w:val="23"/>
          <w:rFonts w:hint="eastAsia" w:ascii="仿宋" w:hAnsi="仿宋" w:eastAsia="仿宋" w:cs="仿宋"/>
          <w:color w:val="auto"/>
          <w:szCs w:val="24"/>
          <w:highlight w:val="none"/>
        </w:rPr>
        <w:t>提交投标文件截止时间、开标时间和地点</w:t>
      </w:r>
    </w:p>
    <w:p w14:paraId="2A374E1C">
      <w:pPr>
        <w:pStyle w:val="16"/>
        <w:widowControl/>
        <w:spacing w:before="255" w:beforeAutospacing="0" w:after="255" w:afterAutospacing="0"/>
        <w:jc w:val="both"/>
        <w:rPr>
          <w:rStyle w:val="23"/>
          <w:rFonts w:hint="eastAsia" w:ascii="仿宋" w:hAnsi="仿宋" w:eastAsia="仿宋" w:cs="仿宋"/>
          <w:b w:val="0"/>
          <w:bCs/>
          <w:color w:val="auto"/>
          <w:szCs w:val="24"/>
          <w:highlight w:val="none"/>
        </w:rPr>
      </w:pPr>
      <w:r>
        <w:rPr>
          <w:rStyle w:val="23"/>
          <w:rFonts w:hint="eastAsia" w:ascii="仿宋" w:hAnsi="仿宋" w:eastAsia="仿宋" w:cs="仿宋"/>
          <w:b w:val="0"/>
          <w:bCs/>
          <w:color w:val="auto"/>
          <w:szCs w:val="24"/>
          <w:highlight w:val="none"/>
        </w:rPr>
        <w:t>提交投标文件截止时间：2026年</w:t>
      </w:r>
      <w:r>
        <w:rPr>
          <w:rStyle w:val="23"/>
          <w:rFonts w:hint="eastAsia" w:ascii="仿宋" w:hAnsi="仿宋" w:eastAsia="仿宋" w:cs="仿宋"/>
          <w:b w:val="0"/>
          <w:bCs/>
          <w:color w:val="auto"/>
          <w:szCs w:val="24"/>
          <w:highlight w:val="none"/>
          <w:lang w:val="en-US" w:eastAsia="zh-CN"/>
        </w:rPr>
        <w:t>06</w:t>
      </w:r>
      <w:r>
        <w:rPr>
          <w:rStyle w:val="23"/>
          <w:rFonts w:hint="eastAsia" w:ascii="仿宋" w:hAnsi="仿宋" w:eastAsia="仿宋" w:cs="仿宋"/>
          <w:b w:val="0"/>
          <w:bCs/>
          <w:color w:val="auto"/>
          <w:szCs w:val="24"/>
          <w:highlight w:val="none"/>
        </w:rPr>
        <w:t>月</w:t>
      </w:r>
      <w:r>
        <w:rPr>
          <w:rStyle w:val="23"/>
          <w:rFonts w:hint="eastAsia" w:ascii="仿宋" w:hAnsi="仿宋" w:eastAsia="仿宋" w:cs="仿宋"/>
          <w:b w:val="0"/>
          <w:bCs/>
          <w:color w:val="auto"/>
          <w:szCs w:val="24"/>
          <w:highlight w:val="none"/>
          <w:lang w:val="en-US" w:eastAsia="zh-CN"/>
        </w:rPr>
        <w:t>11</w:t>
      </w:r>
      <w:r>
        <w:rPr>
          <w:rStyle w:val="23"/>
          <w:rFonts w:hint="eastAsia" w:ascii="仿宋" w:hAnsi="仿宋" w:eastAsia="仿宋" w:cs="仿宋"/>
          <w:b w:val="0"/>
          <w:bCs/>
          <w:color w:val="auto"/>
          <w:szCs w:val="24"/>
          <w:highlight w:val="none"/>
        </w:rPr>
        <w:t>日 11:00（北京时间）</w:t>
      </w:r>
    </w:p>
    <w:p w14:paraId="21958F15">
      <w:pPr>
        <w:pStyle w:val="16"/>
        <w:widowControl/>
        <w:spacing w:before="255" w:beforeAutospacing="0" w:after="255" w:afterAutospacing="0"/>
        <w:jc w:val="both"/>
        <w:rPr>
          <w:rStyle w:val="23"/>
          <w:rFonts w:hint="eastAsia" w:ascii="仿宋" w:hAnsi="仿宋" w:eastAsia="仿宋" w:cs="仿宋"/>
          <w:b w:val="0"/>
          <w:bCs/>
          <w:color w:val="auto"/>
          <w:szCs w:val="24"/>
          <w:highlight w:val="none"/>
        </w:rPr>
      </w:pPr>
      <w:r>
        <w:rPr>
          <w:rStyle w:val="23"/>
          <w:rFonts w:hint="eastAsia" w:ascii="仿宋" w:hAnsi="仿宋" w:eastAsia="仿宋" w:cs="仿宋"/>
          <w:b w:val="0"/>
          <w:bCs/>
          <w:color w:val="auto"/>
          <w:szCs w:val="24"/>
          <w:highlight w:val="none"/>
        </w:rPr>
        <w:t>投标地点：将投标文件上传至政采云平台https://www.zcygov.cn/对应位置（逾期未上传的或不符合规定的投标文件将被拒绝接收）</w:t>
      </w:r>
    </w:p>
    <w:p w14:paraId="59AE9D6A">
      <w:pPr>
        <w:pStyle w:val="16"/>
        <w:widowControl/>
        <w:spacing w:before="255" w:beforeAutospacing="0" w:after="255" w:afterAutospacing="0"/>
        <w:jc w:val="both"/>
        <w:rPr>
          <w:rStyle w:val="23"/>
          <w:rFonts w:hint="eastAsia" w:ascii="仿宋" w:hAnsi="仿宋" w:eastAsia="仿宋" w:cs="仿宋"/>
          <w:b w:val="0"/>
          <w:bCs/>
          <w:color w:val="auto"/>
          <w:szCs w:val="24"/>
          <w:highlight w:val="none"/>
        </w:rPr>
      </w:pPr>
      <w:r>
        <w:rPr>
          <w:rStyle w:val="23"/>
          <w:rFonts w:hint="eastAsia" w:ascii="仿宋" w:hAnsi="仿宋" w:eastAsia="仿宋" w:cs="仿宋"/>
          <w:b w:val="0"/>
          <w:bCs/>
          <w:color w:val="auto"/>
          <w:szCs w:val="24"/>
          <w:highlight w:val="none"/>
        </w:rPr>
        <w:t>开标时间：2026年</w:t>
      </w:r>
      <w:r>
        <w:rPr>
          <w:rStyle w:val="23"/>
          <w:rFonts w:hint="eastAsia" w:ascii="仿宋" w:hAnsi="仿宋" w:eastAsia="仿宋" w:cs="仿宋"/>
          <w:b w:val="0"/>
          <w:bCs/>
          <w:color w:val="auto"/>
          <w:szCs w:val="24"/>
          <w:highlight w:val="none"/>
          <w:lang w:val="en-US" w:eastAsia="zh-CN"/>
        </w:rPr>
        <w:t>06</w:t>
      </w:r>
      <w:r>
        <w:rPr>
          <w:rStyle w:val="23"/>
          <w:rFonts w:hint="eastAsia" w:ascii="仿宋" w:hAnsi="仿宋" w:eastAsia="仿宋" w:cs="仿宋"/>
          <w:b w:val="0"/>
          <w:bCs/>
          <w:color w:val="auto"/>
          <w:szCs w:val="24"/>
          <w:highlight w:val="none"/>
        </w:rPr>
        <w:t>月</w:t>
      </w:r>
      <w:r>
        <w:rPr>
          <w:rStyle w:val="23"/>
          <w:rFonts w:hint="eastAsia" w:ascii="仿宋" w:hAnsi="仿宋" w:eastAsia="仿宋" w:cs="仿宋"/>
          <w:b w:val="0"/>
          <w:bCs/>
          <w:color w:val="auto"/>
          <w:szCs w:val="24"/>
          <w:highlight w:val="none"/>
          <w:lang w:val="en-US" w:eastAsia="zh-CN"/>
        </w:rPr>
        <w:t>11</w:t>
      </w:r>
      <w:r>
        <w:rPr>
          <w:rStyle w:val="23"/>
          <w:rFonts w:hint="eastAsia" w:ascii="仿宋" w:hAnsi="仿宋" w:eastAsia="仿宋" w:cs="仿宋"/>
          <w:b w:val="0"/>
          <w:bCs/>
          <w:color w:val="auto"/>
          <w:szCs w:val="24"/>
          <w:highlight w:val="none"/>
        </w:rPr>
        <w:t>日 11:00（北京时间）</w:t>
      </w:r>
    </w:p>
    <w:p w14:paraId="23C4A74D">
      <w:pPr>
        <w:pStyle w:val="16"/>
        <w:widowControl/>
        <w:spacing w:before="255" w:beforeAutospacing="0" w:after="255" w:afterAutospacing="0"/>
        <w:jc w:val="both"/>
        <w:rPr>
          <w:rStyle w:val="23"/>
          <w:rFonts w:hint="eastAsia" w:ascii="仿宋" w:hAnsi="仿宋" w:eastAsia="仿宋" w:cs="仿宋"/>
          <w:b w:val="0"/>
          <w:bCs/>
          <w:color w:val="auto"/>
          <w:szCs w:val="24"/>
          <w:highlight w:val="none"/>
        </w:rPr>
      </w:pPr>
      <w:r>
        <w:rPr>
          <w:rStyle w:val="23"/>
          <w:rFonts w:hint="eastAsia" w:ascii="仿宋" w:hAnsi="仿宋" w:eastAsia="仿宋" w:cs="仿宋"/>
          <w:b w:val="0"/>
          <w:bCs/>
          <w:color w:val="auto"/>
          <w:szCs w:val="24"/>
          <w:highlight w:val="none"/>
        </w:rPr>
        <w:t>开标地点：将投标文件上传至政采云平台https://www.zcygov.cn/对应位置（逾期未上传的或不符合规定的投标文件将被拒绝接收）</w:t>
      </w:r>
    </w:p>
    <w:p w14:paraId="30FDD633">
      <w:pPr>
        <w:pStyle w:val="16"/>
        <w:widowControl/>
        <w:spacing w:before="255" w:beforeAutospacing="0" w:after="255" w:afterAutospacing="0" w:line="300" w:lineRule="atLeast"/>
        <w:jc w:val="both"/>
        <w:rPr>
          <w:rFonts w:hint="eastAsia" w:ascii="仿宋" w:hAnsi="仿宋" w:eastAsia="仿宋" w:cs="仿宋"/>
          <w:color w:val="auto"/>
          <w:szCs w:val="24"/>
          <w:highlight w:val="none"/>
        </w:rPr>
      </w:pPr>
      <w:r>
        <w:rPr>
          <w:rStyle w:val="23"/>
          <w:rFonts w:hint="eastAsia" w:ascii="仿宋" w:hAnsi="仿宋" w:eastAsia="仿宋" w:cs="仿宋"/>
          <w:color w:val="auto"/>
          <w:szCs w:val="24"/>
          <w:highlight w:val="none"/>
        </w:rPr>
        <w:t>五、公告期限</w:t>
      </w:r>
    </w:p>
    <w:p w14:paraId="3EC4CB98">
      <w:pPr>
        <w:pStyle w:val="16"/>
        <w:widowControl/>
        <w:spacing w:before="75" w:beforeAutospacing="0" w:after="75" w:afterAutospacing="0"/>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自本公告发布之日起5个工作日。</w:t>
      </w:r>
    </w:p>
    <w:p w14:paraId="516ADB6B">
      <w:pPr>
        <w:pStyle w:val="16"/>
        <w:widowControl/>
        <w:spacing w:before="255" w:beforeAutospacing="0" w:after="255" w:afterAutospacing="0" w:line="300" w:lineRule="atLeast"/>
        <w:jc w:val="both"/>
        <w:rPr>
          <w:rFonts w:hint="eastAsia" w:ascii="仿宋" w:hAnsi="仿宋" w:eastAsia="仿宋" w:cs="仿宋"/>
          <w:color w:val="auto"/>
          <w:szCs w:val="24"/>
          <w:highlight w:val="none"/>
        </w:rPr>
      </w:pPr>
      <w:r>
        <w:rPr>
          <w:rStyle w:val="23"/>
          <w:rFonts w:hint="eastAsia" w:ascii="仿宋" w:hAnsi="仿宋" w:eastAsia="仿宋" w:cs="仿宋"/>
          <w:color w:val="auto"/>
          <w:szCs w:val="24"/>
          <w:highlight w:val="none"/>
        </w:rPr>
        <w:t>六、其他补充事宜</w:t>
      </w:r>
    </w:p>
    <w:p w14:paraId="01613DFB">
      <w:pPr>
        <w:pStyle w:val="16"/>
        <w:widowControl/>
        <w:spacing w:before="75" w:beforeAutospacing="0" w:after="75" w:afterAutospacing="0"/>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rPr>
        <w:t>1、</w:t>
      </w:r>
      <w:r>
        <w:rPr>
          <w:rFonts w:hint="eastAsia" w:ascii="仿宋" w:hAnsi="仿宋" w:eastAsia="仿宋" w:cs="仿宋"/>
          <w:color w:val="auto"/>
          <w:szCs w:val="24"/>
          <w:highlight w:val="none"/>
        </w:rPr>
        <w:t>本公告在新疆政府采购网发布。</w:t>
      </w:r>
    </w:p>
    <w:p w14:paraId="05925175">
      <w:pPr>
        <w:pStyle w:val="16"/>
        <w:widowControl/>
        <w:spacing w:before="75" w:beforeAutospacing="0" w:after="75" w:afterAutospacing="0"/>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2、请各供应商随时关注本项目的变更、答疑、澄清文件。</w:t>
      </w:r>
    </w:p>
    <w:p w14:paraId="57B5A407">
      <w:pPr>
        <w:pStyle w:val="16"/>
        <w:widowControl/>
        <w:spacing w:before="75" w:beforeAutospacing="0" w:after="75" w:afterAutospacing="0"/>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3、本项目实行电子招投标，供应商须登录政采云平台申请获取磋商文件，并通过政采云电子投标客户端制作响应文件，同时自行承担与投标有关的一切费用。　</w:t>
      </w:r>
    </w:p>
    <w:p w14:paraId="7B41B415">
      <w:pPr>
        <w:pStyle w:val="16"/>
        <w:widowControl/>
        <w:spacing w:before="75" w:beforeAutospacing="0" w:after="75" w:afterAutospacing="0"/>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78716963">
      <w:pPr>
        <w:pStyle w:val="16"/>
        <w:widowControl/>
        <w:spacing w:before="75" w:beforeAutospacing="0" w:after="75" w:afterAutospacing="0"/>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507E9764">
      <w:pPr>
        <w:pStyle w:val="16"/>
        <w:widowControl/>
        <w:spacing w:before="75" w:beforeAutospacing="0" w:after="75" w:afterAutospacing="0"/>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6、本项目采用不见面开标，供应商须在投标截止时间前通过CA在政采云平台上传加密的电子响应文件。</w:t>
      </w:r>
    </w:p>
    <w:p w14:paraId="3240AD2E">
      <w:pPr>
        <w:pStyle w:val="16"/>
        <w:widowControl/>
        <w:spacing w:before="255" w:beforeAutospacing="0" w:after="255" w:afterAutospacing="0" w:line="480" w:lineRule="atLeast"/>
        <w:jc w:val="both"/>
        <w:rPr>
          <w:rFonts w:hint="eastAsia" w:ascii="仿宋" w:hAnsi="仿宋" w:eastAsia="仿宋" w:cs="仿宋"/>
          <w:color w:val="auto"/>
          <w:szCs w:val="24"/>
          <w:highlight w:val="none"/>
        </w:rPr>
      </w:pPr>
      <w:r>
        <w:rPr>
          <w:rStyle w:val="23"/>
          <w:rFonts w:hint="eastAsia" w:ascii="仿宋" w:hAnsi="仿宋" w:eastAsia="仿宋" w:cs="仿宋"/>
          <w:color w:val="auto"/>
          <w:szCs w:val="24"/>
          <w:highlight w:val="none"/>
        </w:rPr>
        <w:t>七、对本次采购提出询问，请按以下方式联系</w:t>
      </w:r>
    </w:p>
    <w:p w14:paraId="4033A46E">
      <w:pPr>
        <w:pStyle w:val="16"/>
        <w:widowControl/>
        <w:spacing w:before="75" w:beforeAutospacing="0" w:after="75" w:afterAutospacing="0"/>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1.采购人信息</w:t>
      </w:r>
    </w:p>
    <w:p w14:paraId="080BD1B4">
      <w:pPr>
        <w:pStyle w:val="16"/>
        <w:widowControl/>
        <w:spacing w:before="75" w:beforeAutospacing="0" w:after="75" w:afterAutospacing="0"/>
        <w:ind w:firstLine="42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Style w:val="25"/>
          <w:rFonts w:hint="eastAsia" w:ascii="仿宋" w:hAnsi="仿宋" w:eastAsia="仿宋" w:cs="仿宋"/>
          <w:color w:val="auto"/>
          <w:szCs w:val="24"/>
          <w:highlight w:val="none"/>
          <w:lang w:eastAsia="zh-CN"/>
        </w:rPr>
        <w:t>新疆农业职业技术大学</w:t>
      </w:r>
    </w:p>
    <w:p w14:paraId="60149AC3">
      <w:pPr>
        <w:pStyle w:val="16"/>
        <w:widowControl/>
        <w:spacing w:before="75" w:beforeAutospacing="0" w:after="75" w:afterAutospacing="0"/>
        <w:ind w:firstLine="42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地 址：</w:t>
      </w:r>
      <w:r>
        <w:rPr>
          <w:rFonts w:hint="eastAsia" w:ascii="仿宋" w:hAnsi="仿宋" w:eastAsia="仿宋" w:cs="仿宋"/>
          <w:color w:val="auto"/>
          <w:szCs w:val="24"/>
          <w:highlight w:val="none"/>
          <w:lang w:eastAsia="zh-CN"/>
        </w:rPr>
        <w:t>昌吉市文化东路29号</w:t>
      </w:r>
    </w:p>
    <w:p w14:paraId="4D614360">
      <w:pPr>
        <w:pStyle w:val="16"/>
        <w:widowControl/>
        <w:spacing w:before="75" w:beforeAutospacing="0" w:after="75" w:afterAutospacing="0"/>
        <w:ind w:firstLine="42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联系方式：17590531360</w:t>
      </w:r>
    </w:p>
    <w:p w14:paraId="08ADB4F3">
      <w:pPr>
        <w:pStyle w:val="16"/>
        <w:widowControl/>
        <w:spacing w:before="75" w:beforeAutospacing="0" w:after="75" w:afterAutospacing="0"/>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2.采购代理机构信息</w:t>
      </w:r>
    </w:p>
    <w:p w14:paraId="51803E0B">
      <w:pPr>
        <w:pStyle w:val="16"/>
        <w:widowControl/>
        <w:spacing w:before="75" w:beforeAutospacing="0" w:after="75" w:afterAutospacing="0"/>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名 称：新疆华域建设工程项目管理咨询有限公司</w:t>
      </w:r>
    </w:p>
    <w:p w14:paraId="0AD4FC9C">
      <w:pPr>
        <w:pStyle w:val="16"/>
        <w:widowControl/>
        <w:spacing w:before="75" w:beforeAutospacing="0" w:after="75" w:afterAutospacing="0"/>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 址：乌鲁木齐市水磨沟区五星北路194号</w:t>
      </w:r>
    </w:p>
    <w:p w14:paraId="4917CDEA">
      <w:pPr>
        <w:pStyle w:val="16"/>
        <w:widowControl/>
        <w:spacing w:before="75" w:beforeAutospacing="0" w:after="75" w:afterAutospacing="0"/>
        <w:ind w:firstLine="420"/>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rPr>
        <w:t>联系方式：</w:t>
      </w:r>
      <w:r>
        <w:rPr>
          <w:rFonts w:hint="eastAsia" w:ascii="仿宋" w:hAnsi="仿宋" w:eastAsia="仿宋" w:cs="仿宋"/>
          <w:color w:val="auto"/>
          <w:szCs w:val="24"/>
          <w:highlight w:val="none"/>
          <w:lang w:val="en-US" w:eastAsia="zh-CN"/>
        </w:rPr>
        <w:t>17690970999</w:t>
      </w:r>
    </w:p>
    <w:p w14:paraId="7E1E2086">
      <w:pPr>
        <w:pStyle w:val="16"/>
        <w:widowControl/>
        <w:spacing w:before="75" w:beforeAutospacing="0" w:after="75" w:afterAutospacing="0"/>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3.项目联系方式</w:t>
      </w:r>
    </w:p>
    <w:p w14:paraId="0BA4FA7D">
      <w:pPr>
        <w:pStyle w:val="16"/>
        <w:widowControl/>
        <w:spacing w:before="75" w:beforeAutospacing="0" w:after="75" w:afterAutospacing="0"/>
        <w:ind w:firstLine="42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联系人：</w:t>
      </w:r>
      <w:r>
        <w:rPr>
          <w:rFonts w:hint="eastAsia" w:ascii="仿宋" w:hAnsi="仿宋" w:eastAsia="仿宋" w:cs="仿宋"/>
          <w:color w:val="auto"/>
          <w:szCs w:val="24"/>
          <w:highlight w:val="none"/>
          <w:lang w:val="en-US" w:eastAsia="zh-CN"/>
        </w:rPr>
        <w:t>马成武</w:t>
      </w:r>
      <w:r>
        <w:rPr>
          <w:rFonts w:hint="eastAsia" w:ascii="仿宋" w:hAnsi="仿宋" w:eastAsia="仿宋" w:cs="仿宋"/>
          <w:color w:val="auto"/>
          <w:szCs w:val="24"/>
          <w:highlight w:val="none"/>
          <w:lang w:eastAsia="zh-CN"/>
        </w:rPr>
        <w:t xml:space="preserve"> </w:t>
      </w:r>
    </w:p>
    <w:p w14:paraId="44887AFD">
      <w:pPr>
        <w:pStyle w:val="16"/>
        <w:widowControl/>
        <w:spacing w:before="75" w:beforeAutospacing="0" w:after="75" w:afterAutospacing="0"/>
        <w:ind w:firstLine="420"/>
        <w:rPr>
          <w:rFonts w:hint="eastAsia" w:ascii="仿宋" w:hAnsi="仿宋" w:eastAsia="仿宋" w:cs="仿宋"/>
          <w:color w:val="auto"/>
          <w:szCs w:val="24"/>
          <w:highlight w:val="none"/>
        </w:rPr>
      </w:pPr>
      <w:r>
        <w:rPr>
          <w:rFonts w:hint="eastAsia" w:ascii="仿宋" w:hAnsi="仿宋" w:eastAsia="仿宋" w:cs="仿宋"/>
          <w:color w:val="auto"/>
          <w:szCs w:val="24"/>
          <w:highlight w:val="none"/>
        </w:rPr>
        <w:t>联系电话：</w:t>
      </w:r>
      <w:r>
        <w:rPr>
          <w:rFonts w:hint="eastAsia" w:ascii="仿宋" w:hAnsi="仿宋" w:eastAsia="仿宋" w:cs="仿宋"/>
          <w:color w:val="auto"/>
          <w:szCs w:val="24"/>
          <w:highlight w:val="none"/>
          <w:lang w:val="en-US" w:eastAsia="zh-CN"/>
        </w:rPr>
        <w:t>17690970999</w:t>
      </w:r>
    </w:p>
    <w:p w14:paraId="0137A04B">
      <w:pPr>
        <w:adjustRightInd w:val="0"/>
        <w:snapToGrid w:val="0"/>
        <w:spacing w:line="500" w:lineRule="exact"/>
        <w:rPr>
          <w:rFonts w:hint="eastAsia" w:ascii="仿宋" w:hAnsi="仿宋" w:eastAsia="仿宋" w:cs="仿宋"/>
          <w:color w:val="auto"/>
          <w:sz w:val="24"/>
          <w:szCs w:val="24"/>
          <w:highlight w:val="none"/>
        </w:rPr>
        <w:sectPr>
          <w:footerReference r:id="rId5" w:type="default"/>
          <w:pgSz w:w="11910" w:h="16840"/>
          <w:pgMar w:top="1440" w:right="1800" w:bottom="1440" w:left="1800" w:header="878" w:footer="993" w:gutter="0"/>
          <w:cols w:space="720" w:num="1"/>
        </w:sectPr>
      </w:pPr>
    </w:p>
    <w:p w14:paraId="7CAAD712">
      <w:pPr>
        <w:pStyle w:val="2"/>
        <w:spacing w:before="2"/>
        <w:ind w:left="0" w:leftChars="0" w:right="0" w:rightChars="0"/>
        <w:rPr>
          <w:rFonts w:hint="eastAsia" w:ascii="仿宋" w:hAnsi="仿宋" w:eastAsia="仿宋" w:cs="仿宋"/>
          <w:color w:val="auto"/>
          <w:highlight w:val="none"/>
        </w:rPr>
      </w:pPr>
      <w:r>
        <w:rPr>
          <w:rFonts w:hint="eastAsia" w:ascii="仿宋" w:hAnsi="仿宋" w:eastAsia="仿宋" w:cs="仿宋"/>
          <w:color w:val="auto"/>
          <w:highlight w:val="none"/>
        </w:rPr>
        <w:t>第二部分 投标须知</w:t>
      </w:r>
    </w:p>
    <w:p w14:paraId="3C5C30A1">
      <w:pPr>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 xml:space="preserve">                                </w:t>
      </w:r>
      <w:r>
        <w:rPr>
          <w:rFonts w:hint="eastAsia" w:ascii="仿宋" w:hAnsi="仿宋" w:eastAsia="仿宋" w:cs="仿宋"/>
          <w:b/>
          <w:bCs/>
          <w:color w:val="auto"/>
          <w:sz w:val="28"/>
          <w:szCs w:val="28"/>
          <w:highlight w:val="none"/>
          <w:lang w:val="en-US"/>
        </w:rPr>
        <w:t xml:space="preserve">     投标须知前附表</w:t>
      </w:r>
    </w:p>
    <w:tbl>
      <w:tblPr>
        <w:tblStyle w:val="20"/>
        <w:tblW w:w="98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1720"/>
        <w:gridCol w:w="7376"/>
      </w:tblGrid>
      <w:tr w14:paraId="7AD94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22" w:type="dxa"/>
            <w:vAlign w:val="center"/>
          </w:tcPr>
          <w:p w14:paraId="056A061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20" w:type="dxa"/>
            <w:vAlign w:val="center"/>
          </w:tcPr>
          <w:p w14:paraId="36524484">
            <w:pPr>
              <w:spacing w:line="400" w:lineRule="exact"/>
              <w:ind w:firstLine="240" w:firstLine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7376" w:type="dxa"/>
            <w:vAlign w:val="center"/>
          </w:tcPr>
          <w:p w14:paraId="28E6B47A">
            <w:pPr>
              <w:spacing w:line="400" w:lineRule="exact"/>
              <w:ind w:firstLine="240" w:firstLine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14:paraId="11AC3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722" w:type="dxa"/>
            <w:vAlign w:val="center"/>
          </w:tcPr>
          <w:p w14:paraId="28798729">
            <w:pPr>
              <w:spacing w:line="40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w:t>
            </w:r>
          </w:p>
        </w:tc>
        <w:tc>
          <w:tcPr>
            <w:tcW w:w="1720" w:type="dxa"/>
            <w:vAlign w:val="center"/>
          </w:tcPr>
          <w:p w14:paraId="5DB97685">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7376" w:type="dxa"/>
            <w:vAlign w:val="center"/>
          </w:tcPr>
          <w:p w14:paraId="66F427FF">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新疆农业职业技术大学</w:t>
            </w:r>
          </w:p>
          <w:p w14:paraId="045A2E7B">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李老师</w:t>
            </w:r>
          </w:p>
          <w:p w14:paraId="1FF9D9B9">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联系电话：17590531360</w:t>
            </w:r>
          </w:p>
        </w:tc>
      </w:tr>
      <w:tr w14:paraId="3D518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14:paraId="21C44232">
            <w:pPr>
              <w:spacing w:line="40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w:t>
            </w:r>
          </w:p>
        </w:tc>
        <w:tc>
          <w:tcPr>
            <w:tcW w:w="1720" w:type="dxa"/>
            <w:vAlign w:val="center"/>
          </w:tcPr>
          <w:p w14:paraId="527FA867">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7376" w:type="dxa"/>
            <w:vAlign w:val="center"/>
          </w:tcPr>
          <w:p w14:paraId="57A4005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名称：新疆华域建设工程项目管理咨询有限公司</w:t>
            </w:r>
          </w:p>
          <w:p w14:paraId="56F8606C">
            <w:pP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rPr>
              <w:t>新疆乌鲁木齐市水磨沟区五星北路194号1栋1401号</w:t>
            </w:r>
          </w:p>
          <w:p w14:paraId="7D8F35FE">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马成武</w:t>
            </w:r>
          </w:p>
          <w:p w14:paraId="3D7F83E1">
            <w:pP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17690970999</w:t>
            </w:r>
          </w:p>
        </w:tc>
      </w:tr>
      <w:tr w14:paraId="1DE40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restart"/>
            <w:vAlign w:val="center"/>
          </w:tcPr>
          <w:p w14:paraId="21D12F6C">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3</w:t>
            </w:r>
          </w:p>
        </w:tc>
        <w:tc>
          <w:tcPr>
            <w:tcW w:w="1720" w:type="dxa"/>
            <w:vAlign w:val="center"/>
          </w:tcPr>
          <w:p w14:paraId="05C6B6E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376" w:type="dxa"/>
            <w:vAlign w:val="center"/>
          </w:tcPr>
          <w:p w14:paraId="1B1F9BCD">
            <w:pPr>
              <w:pStyle w:val="10"/>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XJHY-NYDX-2026-001</w:t>
            </w:r>
          </w:p>
        </w:tc>
      </w:tr>
      <w:tr w14:paraId="2BF7D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259A8519">
            <w:pPr>
              <w:spacing w:line="400" w:lineRule="exact"/>
              <w:jc w:val="center"/>
              <w:rPr>
                <w:rFonts w:hint="eastAsia" w:ascii="仿宋" w:hAnsi="仿宋" w:eastAsia="仿宋" w:cs="仿宋"/>
                <w:color w:val="auto"/>
                <w:sz w:val="24"/>
                <w:szCs w:val="24"/>
                <w:highlight w:val="none"/>
              </w:rPr>
            </w:pPr>
          </w:p>
        </w:tc>
        <w:tc>
          <w:tcPr>
            <w:tcW w:w="1720" w:type="dxa"/>
            <w:vAlign w:val="center"/>
          </w:tcPr>
          <w:p w14:paraId="2D00253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376" w:type="dxa"/>
          </w:tcPr>
          <w:p w14:paraId="06847E22">
            <w:pPr>
              <w:spacing w:line="40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现代种业技术专业群数据管理平台项目</w:t>
            </w:r>
            <w:r>
              <w:rPr>
                <w:rFonts w:hint="eastAsia" w:ascii="仿宋" w:hAnsi="仿宋" w:eastAsia="仿宋" w:cs="仿宋"/>
                <w:color w:val="auto"/>
                <w:sz w:val="24"/>
                <w:szCs w:val="24"/>
                <w:highlight w:val="none"/>
                <w:lang w:val="en-US"/>
              </w:rPr>
              <w:t> </w:t>
            </w:r>
          </w:p>
        </w:tc>
      </w:tr>
      <w:tr w14:paraId="1A6CB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722" w:type="dxa"/>
            <w:vMerge w:val="continue"/>
            <w:vAlign w:val="center"/>
          </w:tcPr>
          <w:p w14:paraId="0B7AB27A">
            <w:pPr>
              <w:spacing w:line="400" w:lineRule="exact"/>
              <w:jc w:val="center"/>
              <w:rPr>
                <w:rFonts w:hint="eastAsia" w:ascii="仿宋" w:hAnsi="仿宋" w:eastAsia="仿宋" w:cs="仿宋"/>
                <w:color w:val="auto"/>
                <w:sz w:val="24"/>
                <w:szCs w:val="24"/>
                <w:highlight w:val="none"/>
              </w:rPr>
            </w:pPr>
          </w:p>
        </w:tc>
        <w:tc>
          <w:tcPr>
            <w:tcW w:w="1720" w:type="dxa"/>
            <w:vAlign w:val="center"/>
          </w:tcPr>
          <w:p w14:paraId="28BD9B05">
            <w:pPr>
              <w:spacing w:line="40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采购方式</w:t>
            </w:r>
          </w:p>
        </w:tc>
        <w:tc>
          <w:tcPr>
            <w:tcW w:w="7376" w:type="dxa"/>
          </w:tcPr>
          <w:p w14:paraId="3D0A5837">
            <w:pPr>
              <w:spacing w:line="40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公开招标</w:t>
            </w:r>
          </w:p>
        </w:tc>
      </w:tr>
      <w:tr w14:paraId="01C25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28988F84">
            <w:pPr>
              <w:spacing w:line="400" w:lineRule="exact"/>
              <w:jc w:val="center"/>
              <w:rPr>
                <w:rFonts w:hint="eastAsia" w:ascii="仿宋" w:hAnsi="仿宋" w:eastAsia="仿宋" w:cs="仿宋"/>
                <w:color w:val="auto"/>
                <w:sz w:val="24"/>
                <w:szCs w:val="24"/>
                <w:highlight w:val="none"/>
              </w:rPr>
            </w:pPr>
          </w:p>
        </w:tc>
        <w:tc>
          <w:tcPr>
            <w:tcW w:w="1720" w:type="dxa"/>
            <w:vAlign w:val="center"/>
          </w:tcPr>
          <w:p w14:paraId="4476DA08">
            <w:pPr>
              <w:pStyle w:val="26"/>
              <w:spacing w:line="400" w:lineRule="exact"/>
              <w:jc w:val="center"/>
              <w:outlineLvl w:val="0"/>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资金来源</w:t>
            </w:r>
          </w:p>
        </w:tc>
        <w:tc>
          <w:tcPr>
            <w:tcW w:w="7376" w:type="dxa"/>
          </w:tcPr>
          <w:p w14:paraId="68BBC8EE">
            <w:pPr>
              <w:pStyle w:val="26"/>
              <w:spacing w:line="400" w:lineRule="exact"/>
              <w:jc w:val="both"/>
              <w:outlineLvl w:val="0"/>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财政资金</w:t>
            </w:r>
          </w:p>
        </w:tc>
      </w:tr>
      <w:tr w14:paraId="3030F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6A3194AD">
            <w:pPr>
              <w:spacing w:line="400" w:lineRule="exact"/>
              <w:jc w:val="center"/>
              <w:rPr>
                <w:rFonts w:hint="eastAsia" w:ascii="仿宋" w:hAnsi="仿宋" w:eastAsia="仿宋" w:cs="仿宋"/>
                <w:color w:val="auto"/>
                <w:sz w:val="24"/>
                <w:szCs w:val="24"/>
                <w:highlight w:val="none"/>
              </w:rPr>
            </w:pPr>
          </w:p>
        </w:tc>
        <w:tc>
          <w:tcPr>
            <w:tcW w:w="1720" w:type="dxa"/>
            <w:vAlign w:val="center"/>
          </w:tcPr>
          <w:p w14:paraId="0991F28F">
            <w:pPr>
              <w:spacing w:line="40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资格审查方式</w:t>
            </w:r>
          </w:p>
        </w:tc>
        <w:tc>
          <w:tcPr>
            <w:tcW w:w="7376" w:type="dxa"/>
            <w:vAlign w:val="center"/>
          </w:tcPr>
          <w:p w14:paraId="064BB36D">
            <w:pPr>
              <w:pStyle w:val="26"/>
              <w:spacing w:line="400" w:lineRule="exact"/>
              <w:jc w:val="both"/>
              <w:outlineLvl w:val="0"/>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资格后审</w:t>
            </w:r>
          </w:p>
        </w:tc>
      </w:tr>
      <w:tr w14:paraId="6B4DB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722" w:type="dxa"/>
            <w:vMerge w:val="continue"/>
            <w:vAlign w:val="center"/>
          </w:tcPr>
          <w:p w14:paraId="3E438C48">
            <w:pPr>
              <w:spacing w:line="400" w:lineRule="exact"/>
              <w:jc w:val="center"/>
              <w:rPr>
                <w:rFonts w:hint="eastAsia" w:ascii="仿宋" w:hAnsi="仿宋" w:eastAsia="仿宋" w:cs="仿宋"/>
                <w:color w:val="auto"/>
                <w:sz w:val="24"/>
                <w:szCs w:val="24"/>
                <w:highlight w:val="none"/>
              </w:rPr>
            </w:pPr>
          </w:p>
        </w:tc>
        <w:tc>
          <w:tcPr>
            <w:tcW w:w="1720" w:type="dxa"/>
            <w:vAlign w:val="center"/>
          </w:tcPr>
          <w:p w14:paraId="23C6079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采购内容</w:t>
            </w:r>
          </w:p>
        </w:tc>
        <w:tc>
          <w:tcPr>
            <w:tcW w:w="7376" w:type="dxa"/>
            <w:vAlign w:val="center"/>
          </w:tcPr>
          <w:p w14:paraId="5C2CFDDF">
            <w:pPr>
              <w:pStyle w:val="1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新疆农业职业技术大学现代种业技术专业群数据管理平台建设，包含数据开发平台、数据治理平台、标量数据治理技术服务、数据安全服务、数据迁移服务、应用层数据开发服务、典型业务平台和场景数据支撑服务等，具体详见采购文件。</w:t>
            </w:r>
          </w:p>
        </w:tc>
      </w:tr>
      <w:tr w14:paraId="6CB63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22" w:type="dxa"/>
            <w:vMerge w:val="continue"/>
            <w:vAlign w:val="center"/>
          </w:tcPr>
          <w:p w14:paraId="20797079">
            <w:pPr>
              <w:spacing w:line="400" w:lineRule="exact"/>
              <w:jc w:val="center"/>
              <w:rPr>
                <w:rFonts w:hint="eastAsia" w:ascii="仿宋" w:hAnsi="仿宋" w:eastAsia="仿宋" w:cs="仿宋"/>
                <w:color w:val="auto"/>
                <w:sz w:val="24"/>
                <w:szCs w:val="24"/>
                <w:highlight w:val="none"/>
              </w:rPr>
            </w:pPr>
          </w:p>
        </w:tc>
        <w:tc>
          <w:tcPr>
            <w:tcW w:w="1720" w:type="dxa"/>
            <w:vAlign w:val="center"/>
          </w:tcPr>
          <w:p w14:paraId="347F5BA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是否允许采购进口产品</w:t>
            </w:r>
          </w:p>
        </w:tc>
        <w:tc>
          <w:tcPr>
            <w:tcW w:w="7376" w:type="dxa"/>
            <w:vAlign w:val="center"/>
          </w:tcPr>
          <w:p w14:paraId="3CB1D4C8">
            <w:pPr>
              <w:pStyle w:val="26"/>
              <w:spacing w:line="400" w:lineRule="exact"/>
              <w:jc w:val="both"/>
              <w:outlineLvl w:val="0"/>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不允许</w:t>
            </w:r>
          </w:p>
        </w:tc>
      </w:tr>
      <w:tr w14:paraId="28CCB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722" w:type="dxa"/>
            <w:vAlign w:val="center"/>
          </w:tcPr>
          <w:p w14:paraId="392FFD70">
            <w:pPr>
              <w:spacing w:line="40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w:t>
            </w:r>
          </w:p>
        </w:tc>
        <w:tc>
          <w:tcPr>
            <w:tcW w:w="1720" w:type="dxa"/>
            <w:vAlign w:val="center"/>
          </w:tcPr>
          <w:p w14:paraId="4A141E5E">
            <w:pPr>
              <w:overflowPunct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采购</w:t>
            </w:r>
            <w:r>
              <w:rPr>
                <w:rFonts w:hint="eastAsia" w:ascii="仿宋" w:hAnsi="仿宋" w:eastAsia="仿宋" w:cs="仿宋"/>
                <w:b/>
                <w:bCs/>
                <w:color w:val="auto"/>
                <w:sz w:val="24"/>
                <w:szCs w:val="24"/>
                <w:highlight w:val="none"/>
              </w:rPr>
              <w:t>预算</w:t>
            </w:r>
          </w:p>
          <w:p w14:paraId="719FE04B">
            <w:pPr>
              <w:overflowPunct w:val="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rPr>
              <w:t>（最高限价）</w:t>
            </w:r>
          </w:p>
        </w:tc>
        <w:tc>
          <w:tcPr>
            <w:tcW w:w="7376" w:type="dxa"/>
            <w:vAlign w:val="center"/>
          </w:tcPr>
          <w:p w14:paraId="2865DBA5">
            <w:pPr>
              <w:pStyle w:val="16"/>
              <w:widowControl/>
              <w:spacing w:before="75" w:after="75" w:line="300" w:lineRule="atLeast"/>
              <w:rPr>
                <w:rFonts w:hint="eastAsia" w:ascii="仿宋" w:hAnsi="仿宋" w:eastAsia="仿宋" w:cs="仿宋"/>
                <w:b/>
                <w:bCs/>
                <w:color w:val="auto"/>
                <w:highlight w:val="none"/>
                <w:lang w:bidi="zh-CN"/>
              </w:rPr>
            </w:pPr>
            <w:r>
              <w:rPr>
                <w:rFonts w:hint="eastAsia" w:ascii="仿宋" w:hAnsi="仿宋" w:eastAsia="仿宋" w:cs="仿宋"/>
                <w:b/>
                <w:bCs/>
                <w:color w:val="auto"/>
                <w:sz w:val="24"/>
                <w:szCs w:val="24"/>
                <w:highlight w:val="none"/>
                <w:lang w:val="en-US" w:eastAsia="zh-CN" w:bidi="zh-CN"/>
              </w:rPr>
              <w:t>3000000.00</w:t>
            </w:r>
            <w:r>
              <w:rPr>
                <w:rFonts w:hint="eastAsia" w:ascii="仿宋" w:hAnsi="仿宋" w:eastAsia="仿宋" w:cs="仿宋"/>
                <w:b/>
                <w:bCs/>
                <w:color w:val="auto"/>
                <w:sz w:val="24"/>
                <w:szCs w:val="24"/>
                <w:highlight w:val="none"/>
                <w:lang w:val="en-US" w:bidi="zh-CN"/>
              </w:rPr>
              <w:t>元。供应商投标报价超过采购预算、最高限价的按无效投标处理。</w:t>
            </w:r>
          </w:p>
        </w:tc>
      </w:tr>
      <w:tr w14:paraId="1622D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restart"/>
            <w:vAlign w:val="center"/>
          </w:tcPr>
          <w:p w14:paraId="77E039F2">
            <w:pPr>
              <w:overflowPunct w:val="0"/>
              <w:spacing w:line="44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w:t>
            </w:r>
          </w:p>
        </w:tc>
        <w:tc>
          <w:tcPr>
            <w:tcW w:w="1720" w:type="dxa"/>
            <w:vAlign w:val="center"/>
          </w:tcPr>
          <w:p w14:paraId="4A5638DD">
            <w:pPr>
              <w:spacing w:line="400" w:lineRule="exact"/>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 合同履约期限</w:t>
            </w:r>
          </w:p>
        </w:tc>
        <w:tc>
          <w:tcPr>
            <w:tcW w:w="7376" w:type="dxa"/>
            <w:vAlign w:val="center"/>
          </w:tcPr>
          <w:p w14:paraId="2C3FE17E">
            <w:pPr>
              <w:pStyle w:val="26"/>
              <w:jc w:val="both"/>
              <w:outlineLvl w:val="0"/>
              <w:rPr>
                <w:rFonts w:hint="eastAsia" w:ascii="仿宋" w:hAnsi="仿宋" w:eastAsia="仿宋" w:cs="仿宋"/>
                <w:b/>
                <w:bCs/>
                <w:color w:val="auto"/>
                <w:kern w:val="1"/>
                <w:highlight w:val="none"/>
              </w:rPr>
            </w:pPr>
            <w:r>
              <w:rPr>
                <w:rFonts w:hint="eastAsia" w:ascii="仿宋" w:hAnsi="仿宋" w:eastAsia="仿宋" w:cs="仿宋"/>
                <w:b/>
                <w:bCs/>
                <w:color w:val="auto"/>
                <w:kern w:val="1"/>
                <w:highlight w:val="none"/>
                <w:lang w:val="en-US" w:eastAsia="zh-CN"/>
              </w:rPr>
              <w:t>合同签订后，项目组入场实施，30日历天内完成平台部署调试，具备上线试运行条件；合同签订后6个月内完成全部数据治理服务内容并通过最终验收。</w:t>
            </w:r>
          </w:p>
        </w:tc>
      </w:tr>
      <w:tr w14:paraId="201B3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722" w:type="dxa"/>
            <w:vMerge w:val="continue"/>
            <w:vAlign w:val="center"/>
          </w:tcPr>
          <w:p w14:paraId="030A7366">
            <w:pPr>
              <w:overflowPunct w:val="0"/>
              <w:spacing w:line="440" w:lineRule="exact"/>
              <w:jc w:val="center"/>
              <w:rPr>
                <w:rFonts w:hint="eastAsia" w:ascii="仿宋" w:hAnsi="仿宋" w:eastAsia="仿宋" w:cs="仿宋"/>
                <w:color w:val="auto"/>
                <w:sz w:val="24"/>
                <w:szCs w:val="24"/>
                <w:highlight w:val="none"/>
                <w:lang w:val="en-US"/>
              </w:rPr>
            </w:pPr>
          </w:p>
        </w:tc>
        <w:tc>
          <w:tcPr>
            <w:tcW w:w="1720" w:type="dxa"/>
            <w:vAlign w:val="center"/>
          </w:tcPr>
          <w:p w14:paraId="3BD0F486">
            <w:pPr>
              <w:spacing w:line="40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维保期</w:t>
            </w:r>
          </w:p>
        </w:tc>
        <w:tc>
          <w:tcPr>
            <w:tcW w:w="7376" w:type="dxa"/>
            <w:vAlign w:val="center"/>
          </w:tcPr>
          <w:p w14:paraId="29637A68">
            <w:pPr>
              <w:jc w:val="both"/>
              <w:rPr>
                <w:rFonts w:hint="eastAsia" w:ascii="仿宋" w:hAnsi="仿宋" w:eastAsia="仿宋" w:cs="仿宋"/>
                <w:b/>
                <w:bCs/>
                <w:color w:val="auto"/>
                <w:kern w:val="1"/>
                <w:sz w:val="24"/>
                <w:szCs w:val="24"/>
                <w:highlight w:val="none"/>
                <w:lang w:val="en-US"/>
              </w:rPr>
            </w:pPr>
            <w:r>
              <w:rPr>
                <w:rFonts w:hint="eastAsia" w:ascii="仿宋" w:hAnsi="仿宋" w:eastAsia="仿宋" w:cs="仿宋"/>
                <w:b/>
                <w:bCs/>
                <w:color w:val="auto"/>
                <w:sz w:val="24"/>
                <w:szCs w:val="24"/>
                <w:highlight w:val="none"/>
                <w:lang w:val="en-US" w:eastAsia="zh-CN"/>
              </w:rPr>
              <w:t>详见第六部分 采购</w:t>
            </w:r>
            <w:r>
              <w:rPr>
                <w:rFonts w:hint="eastAsia" w:ascii="仿宋" w:hAnsi="仿宋" w:eastAsia="仿宋" w:cs="仿宋"/>
                <w:b/>
                <w:bCs/>
                <w:color w:val="auto"/>
                <w:sz w:val="24"/>
                <w:szCs w:val="24"/>
                <w:highlight w:val="none"/>
                <w:lang w:val="en-US"/>
              </w:rPr>
              <w:t>需求、技术规格说明</w:t>
            </w:r>
          </w:p>
        </w:tc>
      </w:tr>
      <w:tr w14:paraId="29971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4B79D60A">
            <w:pPr>
              <w:overflowPunct w:val="0"/>
              <w:spacing w:line="440" w:lineRule="exact"/>
              <w:jc w:val="center"/>
              <w:rPr>
                <w:rFonts w:hint="eastAsia" w:ascii="仿宋" w:hAnsi="仿宋" w:eastAsia="仿宋" w:cs="仿宋"/>
                <w:color w:val="auto"/>
                <w:sz w:val="24"/>
                <w:szCs w:val="24"/>
                <w:highlight w:val="none"/>
              </w:rPr>
            </w:pPr>
          </w:p>
        </w:tc>
        <w:tc>
          <w:tcPr>
            <w:tcW w:w="1720" w:type="dxa"/>
            <w:vAlign w:val="center"/>
          </w:tcPr>
          <w:p w14:paraId="1DA090E9">
            <w:pPr>
              <w:spacing w:line="440" w:lineRule="exact"/>
              <w:jc w:val="center"/>
              <w:rPr>
                <w:rFonts w:hint="eastAsia" w:ascii="仿宋" w:hAnsi="仿宋" w:eastAsia="仿宋" w:cs="仿宋"/>
                <w:color w:val="auto"/>
                <w:sz w:val="24"/>
                <w:szCs w:val="24"/>
                <w:highlight w:val="none"/>
                <w:lang w:val="en-US"/>
              </w:rPr>
            </w:pPr>
            <w:r>
              <w:rPr>
                <w:rFonts w:hint="eastAsia" w:ascii="仿宋" w:hAnsi="仿宋" w:eastAsia="仿宋" w:cs="仿宋"/>
                <w:b/>
                <w:bCs/>
                <w:color w:val="auto"/>
                <w:sz w:val="24"/>
                <w:szCs w:val="24"/>
                <w:highlight w:val="none"/>
                <w:lang w:val="en-US" w:eastAsia="zh-CN"/>
              </w:rPr>
              <w:t>项目</w:t>
            </w:r>
            <w:r>
              <w:rPr>
                <w:rFonts w:hint="eastAsia" w:ascii="仿宋" w:hAnsi="仿宋" w:eastAsia="仿宋" w:cs="仿宋"/>
                <w:b/>
                <w:bCs/>
                <w:color w:val="auto"/>
                <w:sz w:val="24"/>
                <w:szCs w:val="24"/>
                <w:highlight w:val="none"/>
                <w:lang w:val="en-US"/>
              </w:rPr>
              <w:t>地点</w:t>
            </w:r>
          </w:p>
        </w:tc>
        <w:tc>
          <w:tcPr>
            <w:tcW w:w="7376" w:type="dxa"/>
            <w:vAlign w:val="center"/>
          </w:tcPr>
          <w:p w14:paraId="28712FCC">
            <w:pPr>
              <w:spacing w:line="440" w:lineRule="exact"/>
              <w:jc w:val="both"/>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新疆农业职业技术大</w:t>
            </w:r>
            <w:r>
              <w:rPr>
                <w:rFonts w:hint="eastAsia" w:ascii="仿宋" w:hAnsi="仿宋" w:eastAsia="仿宋" w:cs="仿宋"/>
                <w:b/>
                <w:bCs/>
                <w:color w:val="auto"/>
                <w:sz w:val="24"/>
                <w:szCs w:val="24"/>
                <w:highlight w:val="none"/>
                <w:lang w:val="en-US"/>
              </w:rPr>
              <w:t>学</w:t>
            </w:r>
          </w:p>
        </w:tc>
      </w:tr>
      <w:tr w14:paraId="04708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5AAE1AAB">
            <w:pPr>
              <w:overflowPunct w:val="0"/>
              <w:spacing w:line="440" w:lineRule="exact"/>
              <w:jc w:val="center"/>
              <w:rPr>
                <w:rFonts w:hint="eastAsia" w:ascii="仿宋" w:hAnsi="仿宋" w:eastAsia="仿宋" w:cs="仿宋"/>
                <w:color w:val="auto"/>
                <w:sz w:val="24"/>
                <w:szCs w:val="24"/>
                <w:highlight w:val="none"/>
              </w:rPr>
            </w:pPr>
          </w:p>
        </w:tc>
        <w:tc>
          <w:tcPr>
            <w:tcW w:w="1720" w:type="dxa"/>
            <w:vAlign w:val="center"/>
          </w:tcPr>
          <w:p w14:paraId="16C4833C">
            <w:pPr>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所属行业</w:t>
            </w:r>
          </w:p>
        </w:tc>
        <w:tc>
          <w:tcPr>
            <w:tcW w:w="7376" w:type="dxa"/>
            <w:vAlign w:val="center"/>
          </w:tcPr>
          <w:p w14:paraId="1CD76973">
            <w:pPr>
              <w:pStyle w:val="26"/>
              <w:jc w:val="both"/>
              <w:outlineLvl w:val="0"/>
              <w:rPr>
                <w:rFonts w:hint="eastAsia" w:ascii="仿宋" w:hAnsi="仿宋" w:eastAsia="仿宋" w:cs="仿宋"/>
                <w:b/>
                <w:bCs/>
                <w:color w:val="auto"/>
                <w:highlight w:val="none"/>
                <w:lang w:bidi="zh-CN"/>
              </w:rPr>
            </w:pPr>
            <w:r>
              <w:rPr>
                <w:rFonts w:hint="eastAsia" w:ascii="仿宋" w:hAnsi="仿宋" w:eastAsia="仿宋" w:cs="仿宋"/>
                <w:b/>
                <w:bCs/>
                <w:color w:val="auto"/>
                <w:highlight w:val="none"/>
                <w:lang w:bidi="zh-CN"/>
              </w:rPr>
              <w:t>本项目采购标的对应的中小企业划分标准所属行业：</w:t>
            </w:r>
          </w:p>
          <w:p w14:paraId="2C6C444B">
            <w:pPr>
              <w:rPr>
                <w:rFonts w:hint="eastAsia" w:ascii="仿宋" w:hAnsi="仿宋" w:eastAsia="仿宋" w:cs="仿宋"/>
                <w:b/>
                <w:bCs/>
                <w:color w:val="auto"/>
                <w:sz w:val="24"/>
                <w:szCs w:val="24"/>
                <w:highlight w:val="none"/>
                <w:lang w:val="en-US" w:eastAsia="zh-CN" w:bidi="zh-CN"/>
              </w:rPr>
            </w:pPr>
            <w:r>
              <w:rPr>
                <w:rFonts w:hint="eastAsia" w:ascii="仿宋" w:hAnsi="仿宋" w:eastAsia="仿宋" w:cs="仿宋"/>
                <w:b/>
                <w:bCs/>
                <w:color w:val="auto"/>
                <w:sz w:val="24"/>
                <w:szCs w:val="24"/>
                <w:highlight w:val="none"/>
                <w:lang w:val="en-US" w:eastAsia="zh-CN" w:bidi="zh-CN"/>
              </w:rPr>
              <w:t>软件和信息技术服务业；</w:t>
            </w:r>
          </w:p>
          <w:p w14:paraId="06439A60">
            <w:pP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08CB1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63778B29">
            <w:pPr>
              <w:overflowPunct w:val="0"/>
              <w:spacing w:line="440" w:lineRule="exact"/>
              <w:jc w:val="center"/>
              <w:rPr>
                <w:rFonts w:hint="eastAsia" w:ascii="仿宋" w:hAnsi="仿宋" w:eastAsia="仿宋" w:cs="仿宋"/>
                <w:color w:val="auto"/>
                <w:sz w:val="24"/>
                <w:szCs w:val="24"/>
                <w:highlight w:val="none"/>
              </w:rPr>
            </w:pPr>
          </w:p>
        </w:tc>
        <w:tc>
          <w:tcPr>
            <w:tcW w:w="1720" w:type="dxa"/>
            <w:vAlign w:val="center"/>
          </w:tcPr>
          <w:p w14:paraId="738B7F7C">
            <w:pPr>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核心产品</w:t>
            </w:r>
          </w:p>
        </w:tc>
        <w:tc>
          <w:tcPr>
            <w:tcW w:w="7376" w:type="dxa"/>
            <w:vAlign w:val="center"/>
          </w:tcPr>
          <w:p w14:paraId="241235DF">
            <w:pP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数据治理平台</w:t>
            </w:r>
          </w:p>
        </w:tc>
      </w:tr>
      <w:tr w14:paraId="6E851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722" w:type="dxa"/>
            <w:vMerge w:val="continue"/>
            <w:vAlign w:val="center"/>
          </w:tcPr>
          <w:p w14:paraId="49F93063">
            <w:pPr>
              <w:overflowPunct w:val="0"/>
              <w:spacing w:line="440" w:lineRule="exact"/>
              <w:jc w:val="center"/>
              <w:rPr>
                <w:rFonts w:hint="eastAsia" w:ascii="仿宋" w:hAnsi="仿宋" w:eastAsia="仿宋" w:cs="仿宋"/>
                <w:color w:val="auto"/>
                <w:sz w:val="24"/>
                <w:szCs w:val="24"/>
                <w:highlight w:val="none"/>
              </w:rPr>
            </w:pPr>
          </w:p>
        </w:tc>
        <w:tc>
          <w:tcPr>
            <w:tcW w:w="1720" w:type="dxa"/>
            <w:vAlign w:val="center"/>
          </w:tcPr>
          <w:p w14:paraId="73F03E72">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付款方式</w:t>
            </w:r>
          </w:p>
        </w:tc>
        <w:tc>
          <w:tcPr>
            <w:tcW w:w="7376" w:type="dxa"/>
            <w:vAlign w:val="center"/>
          </w:tcPr>
          <w:p w14:paraId="529C2DF7">
            <w:pPr>
              <w:pStyle w:val="5"/>
              <w:ind w:left="0" w:leftChars="0" w:firstLine="0" w:firstLineChars="0"/>
              <w:jc w:val="both"/>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甲乙双方合同签订完成且乙方向甲方开具符合甲方要求的预付款保函后，甲方向乙方支付合同总金额</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val="en-US"/>
              </w:rPr>
              <w:t>0%的预付款；乙方在合同约定的时间内</w:t>
            </w:r>
            <w:r>
              <w:rPr>
                <w:rFonts w:hint="eastAsia" w:ascii="仿宋" w:hAnsi="仿宋" w:eastAsia="仿宋" w:cs="仿宋"/>
                <w:color w:val="auto"/>
                <w:highlight w:val="none"/>
                <w:lang w:val="en-US" w:eastAsia="zh-CN"/>
              </w:rPr>
              <w:t>完成平台部署调试，具备上线试运行条件后</w:t>
            </w:r>
            <w:r>
              <w:rPr>
                <w:rFonts w:hint="eastAsia" w:ascii="仿宋" w:hAnsi="仿宋" w:eastAsia="仿宋" w:cs="仿宋"/>
                <w:color w:val="auto"/>
                <w:highlight w:val="none"/>
                <w:lang w:val="en-US"/>
              </w:rPr>
              <w:t>，乙方在甲方收到</w:t>
            </w:r>
            <w:r>
              <w:rPr>
                <w:rFonts w:hint="eastAsia" w:ascii="仿宋" w:hAnsi="仿宋" w:eastAsia="仿宋" w:cs="仿宋"/>
                <w:color w:val="auto"/>
                <w:highlight w:val="none"/>
                <w:lang w:val="en-US" w:eastAsia="zh-CN"/>
              </w:rPr>
              <w:t>完成全部数据治理服务内容并通过最终验收后</w:t>
            </w:r>
            <w:r>
              <w:rPr>
                <w:rFonts w:hint="eastAsia" w:ascii="仿宋" w:hAnsi="仿宋" w:eastAsia="仿宋" w:cs="仿宋"/>
                <w:color w:val="auto"/>
                <w:highlight w:val="none"/>
                <w:lang w:val="en-US"/>
              </w:rPr>
              <w:t>，甲方向乙方支付合同总金额</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val="en-US"/>
              </w:rPr>
              <w:t>5%的</w:t>
            </w:r>
            <w:r>
              <w:rPr>
                <w:rFonts w:hint="eastAsia" w:ascii="仿宋" w:hAnsi="仿宋" w:eastAsia="仿宋" w:cs="仿宋"/>
                <w:color w:val="auto"/>
                <w:highlight w:val="none"/>
                <w:lang w:val="en-US" w:eastAsia="zh-CN"/>
              </w:rPr>
              <w:t>款项</w:t>
            </w:r>
            <w:r>
              <w:rPr>
                <w:rFonts w:hint="eastAsia" w:ascii="仿宋" w:hAnsi="仿宋" w:eastAsia="仿宋" w:cs="仿宋"/>
                <w:color w:val="auto"/>
                <w:highlight w:val="none"/>
                <w:lang w:val="en-US"/>
              </w:rPr>
              <w:t>；剩余的合同总金额 5%，自甲方书面验收合格之日起满壹年，经甲方再次验收，无质量问题后，甲方无息支付给乙方。</w:t>
            </w:r>
          </w:p>
        </w:tc>
      </w:tr>
      <w:tr w14:paraId="7CF9A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1" w:hRule="atLeast"/>
          <w:jc w:val="center"/>
        </w:trPr>
        <w:tc>
          <w:tcPr>
            <w:tcW w:w="722" w:type="dxa"/>
            <w:tcBorders>
              <w:bottom w:val="single" w:color="auto" w:sz="4" w:space="0"/>
            </w:tcBorders>
            <w:vAlign w:val="center"/>
          </w:tcPr>
          <w:p w14:paraId="456E0CC5">
            <w:pPr>
              <w:overflowPunct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720" w:type="dxa"/>
            <w:tcBorders>
              <w:bottom w:val="single" w:color="auto" w:sz="4" w:space="0"/>
              <w:right w:val="single" w:color="auto" w:sz="4" w:space="0"/>
            </w:tcBorders>
            <w:vAlign w:val="center"/>
          </w:tcPr>
          <w:p w14:paraId="50D960E1">
            <w:pPr>
              <w:overflowPunct w:val="0"/>
              <w:spacing w:line="440" w:lineRule="exact"/>
              <w:jc w:val="center"/>
              <w:rPr>
                <w:rFonts w:hint="eastAsia" w:ascii="仿宋" w:hAnsi="仿宋" w:eastAsia="仿宋" w:cs="仿宋"/>
                <w:color w:val="auto"/>
                <w:sz w:val="24"/>
                <w:szCs w:val="24"/>
                <w:highlight w:val="none"/>
              </w:rPr>
            </w:pPr>
          </w:p>
          <w:p w14:paraId="111352CA">
            <w:pPr>
              <w:overflowPunct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投标资格</w:t>
            </w:r>
          </w:p>
        </w:tc>
        <w:tc>
          <w:tcPr>
            <w:tcW w:w="7376" w:type="dxa"/>
            <w:tcBorders>
              <w:left w:val="single" w:color="auto" w:sz="4" w:space="0"/>
              <w:bottom w:val="single" w:color="auto" w:sz="4" w:space="0"/>
            </w:tcBorders>
            <w:vAlign w:val="center"/>
          </w:tcPr>
          <w:p w14:paraId="010CA446">
            <w:pPr>
              <w:pStyle w:val="16"/>
              <w:widowControl/>
              <w:spacing w:before="75" w:beforeAutospacing="0" w:after="75" w:afterAutospacing="0" w:line="30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73E86FD5">
            <w:pPr>
              <w:pStyle w:val="16"/>
              <w:widowControl/>
              <w:spacing w:before="75" w:beforeAutospacing="0" w:after="75" w:afterAutospacing="0" w:line="30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B844937">
            <w:pPr>
              <w:pStyle w:val="16"/>
              <w:widowControl/>
              <w:spacing w:before="75" w:beforeAutospacing="0" w:after="75" w:afterAutospacing="0" w:line="30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77E2897D">
            <w:pPr>
              <w:pStyle w:val="16"/>
              <w:widowControl/>
              <w:spacing w:before="75" w:beforeAutospacing="0" w:after="75" w:afterAutospacing="0" w:line="30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59D16071">
            <w:pPr>
              <w:pStyle w:val="16"/>
              <w:widowControl/>
              <w:spacing w:before="75" w:beforeAutospacing="0" w:after="75" w:afterAutospacing="0" w:line="30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02918DB4">
            <w:pPr>
              <w:pStyle w:val="16"/>
              <w:widowControl/>
              <w:spacing w:before="75" w:beforeAutospacing="0" w:after="75" w:afterAutospacing="0" w:line="30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70E74914">
            <w:pPr>
              <w:pStyle w:val="16"/>
              <w:widowControl/>
              <w:spacing w:before="75" w:beforeAutospacing="0" w:after="75" w:afterAutospacing="0" w:line="30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0AF2836D">
            <w:pPr>
              <w:pStyle w:val="16"/>
              <w:widowControl/>
              <w:spacing w:before="75" w:beforeAutospacing="0" w:after="75" w:afterAutospacing="0" w:line="30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2.落实政府采购政策需满足的资格要求：本项目不专门面向中小企业采购。</w:t>
            </w:r>
          </w:p>
          <w:p w14:paraId="23639D90">
            <w:pPr>
              <w:pStyle w:val="16"/>
              <w:widowControl/>
              <w:spacing w:before="75" w:beforeAutospacing="0" w:after="75" w:afterAutospacing="0" w:line="30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3.本项目的特定资格要求：无。</w:t>
            </w:r>
          </w:p>
        </w:tc>
      </w:tr>
      <w:tr w14:paraId="475FA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22" w:type="dxa"/>
            <w:tcBorders>
              <w:bottom w:val="single" w:color="auto" w:sz="4" w:space="0"/>
            </w:tcBorders>
            <w:vAlign w:val="center"/>
          </w:tcPr>
          <w:p w14:paraId="352B5B3D">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720" w:type="dxa"/>
            <w:tcBorders>
              <w:bottom w:val="single" w:color="auto" w:sz="4" w:space="0"/>
              <w:right w:val="single" w:color="auto" w:sz="4" w:space="0"/>
            </w:tcBorders>
            <w:vAlign w:val="center"/>
          </w:tcPr>
          <w:p w14:paraId="0F3AFAF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信用情况</w:t>
            </w:r>
          </w:p>
        </w:tc>
        <w:tc>
          <w:tcPr>
            <w:tcW w:w="7376" w:type="dxa"/>
            <w:tcBorders>
              <w:left w:val="single" w:color="auto" w:sz="4" w:space="0"/>
              <w:bottom w:val="single" w:color="auto" w:sz="4" w:space="0"/>
            </w:tcBorders>
            <w:vAlign w:val="center"/>
          </w:tcPr>
          <w:p w14:paraId="4C83A1E9">
            <w:pPr>
              <w:pStyle w:val="3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查询渠道：信用中国网站、中国政府采购网和新疆税务局官网；</w:t>
            </w:r>
          </w:p>
          <w:p w14:paraId="4BC0FFF8">
            <w:pPr>
              <w:pStyle w:val="3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查询时间：投标截止时间以后</w:t>
            </w:r>
            <w:r>
              <w:rPr>
                <w:rFonts w:hint="eastAsia" w:ascii="仿宋" w:hAnsi="仿宋" w:eastAsia="仿宋" w:cs="仿宋"/>
                <w:color w:val="auto"/>
                <w:sz w:val="24"/>
                <w:szCs w:val="24"/>
                <w:highlight w:val="none"/>
                <w:lang w:eastAsia="zh-CN"/>
              </w:rPr>
              <w:t>至</w:t>
            </w:r>
            <w:r>
              <w:rPr>
                <w:rFonts w:hint="eastAsia" w:ascii="仿宋" w:hAnsi="仿宋" w:eastAsia="仿宋" w:cs="仿宋"/>
                <w:color w:val="auto"/>
                <w:sz w:val="24"/>
                <w:szCs w:val="24"/>
                <w:highlight w:val="none"/>
              </w:rPr>
              <w:t>资格审查阶段采购人或采购代理机构的实际查询时间；</w:t>
            </w:r>
          </w:p>
          <w:p w14:paraId="350E7E1C">
            <w:pPr>
              <w:pStyle w:val="3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信息查询记录和证据留存具体方式：查询结果网页打印页作为查询记录和证据，与其他采购文件一并保存；信用信息的使用原则：经认定的“中国执行信息公开网”被列入失信被执行人、“信用中国”网站被列入重大税收违法失信主体、政府采购严重违法失信名单的（尚在处罚期内的）、中国政府采购网被列入政府采购严重违法失信行为记录名单（尚在处罚期内的）以及被列入新疆税务局失信惩戒企业名单的供应商，其投标无效。</w:t>
            </w:r>
          </w:p>
          <w:p w14:paraId="30559F93">
            <w:pPr>
              <w:ind w:firstLine="241" w:firstLineChars="1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注：由采购人或采购代理机构查询。</w:t>
            </w:r>
          </w:p>
        </w:tc>
      </w:tr>
      <w:tr w14:paraId="3E5BA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tcBorders>
              <w:top w:val="single" w:color="auto" w:sz="4" w:space="0"/>
            </w:tcBorders>
            <w:vAlign w:val="center"/>
          </w:tcPr>
          <w:p w14:paraId="2052F3BC">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720" w:type="dxa"/>
            <w:tcBorders>
              <w:top w:val="single" w:color="auto" w:sz="4" w:space="0"/>
            </w:tcBorders>
            <w:vAlign w:val="center"/>
          </w:tcPr>
          <w:p w14:paraId="5C79916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7376" w:type="dxa"/>
            <w:tcBorders>
              <w:top w:val="single" w:color="auto" w:sz="4" w:space="0"/>
            </w:tcBorders>
            <w:vAlign w:val="center"/>
          </w:tcPr>
          <w:p w14:paraId="76EE7B9E">
            <w:pPr>
              <w:spacing w:line="40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90天</w:t>
            </w:r>
          </w:p>
        </w:tc>
      </w:tr>
      <w:tr w14:paraId="669F2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722" w:type="dxa"/>
            <w:tcBorders>
              <w:bottom w:val="single" w:color="auto" w:sz="4" w:space="0"/>
            </w:tcBorders>
            <w:vAlign w:val="center"/>
          </w:tcPr>
          <w:p w14:paraId="154628E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720" w:type="dxa"/>
            <w:tcBorders>
              <w:bottom w:val="single" w:color="auto" w:sz="4" w:space="0"/>
            </w:tcBorders>
            <w:vAlign w:val="center"/>
          </w:tcPr>
          <w:p w14:paraId="4BF02569">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评标方法</w:t>
            </w:r>
          </w:p>
        </w:tc>
        <w:tc>
          <w:tcPr>
            <w:tcW w:w="7376" w:type="dxa"/>
            <w:tcBorders>
              <w:bottom w:val="single" w:color="auto" w:sz="4" w:space="0"/>
            </w:tcBorders>
            <w:vAlign w:val="center"/>
          </w:tcPr>
          <w:p w14:paraId="14171103">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综合评分法</w:t>
            </w:r>
          </w:p>
        </w:tc>
      </w:tr>
      <w:tr w14:paraId="6056C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722" w:type="dxa"/>
            <w:tcBorders>
              <w:top w:val="single" w:color="auto" w:sz="4" w:space="0"/>
            </w:tcBorders>
            <w:vAlign w:val="center"/>
          </w:tcPr>
          <w:p w14:paraId="6973C73F">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720" w:type="dxa"/>
            <w:tcBorders>
              <w:top w:val="single" w:color="auto" w:sz="4" w:space="0"/>
            </w:tcBorders>
            <w:vAlign w:val="center"/>
          </w:tcPr>
          <w:p w14:paraId="0E18ED9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w:t>
            </w:r>
          </w:p>
          <w:p w14:paraId="192B810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联合体投标</w:t>
            </w:r>
          </w:p>
        </w:tc>
        <w:tc>
          <w:tcPr>
            <w:tcW w:w="7376" w:type="dxa"/>
            <w:tcBorders>
              <w:top w:val="single" w:color="auto" w:sz="4" w:space="0"/>
            </w:tcBorders>
            <w:vAlign w:val="center"/>
          </w:tcPr>
          <w:p w14:paraId="511EF9F3">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14:paraId="73ABB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3" w:hRule="atLeast"/>
          <w:jc w:val="center"/>
        </w:trPr>
        <w:tc>
          <w:tcPr>
            <w:tcW w:w="722" w:type="dxa"/>
            <w:tcBorders>
              <w:top w:val="single" w:color="auto" w:sz="4" w:space="0"/>
            </w:tcBorders>
            <w:vAlign w:val="center"/>
          </w:tcPr>
          <w:p w14:paraId="28AD7920">
            <w:pPr>
              <w:spacing w:line="40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w:t>
            </w:r>
          </w:p>
        </w:tc>
        <w:tc>
          <w:tcPr>
            <w:tcW w:w="1720" w:type="dxa"/>
            <w:tcBorders>
              <w:top w:val="single" w:color="auto" w:sz="4" w:space="0"/>
            </w:tcBorders>
            <w:vAlign w:val="center"/>
          </w:tcPr>
          <w:p w14:paraId="39A5CEFC">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7376" w:type="dxa"/>
            <w:tcBorders>
              <w:top w:val="single" w:color="auto" w:sz="4" w:space="0"/>
            </w:tcBorders>
            <w:vAlign w:val="center"/>
          </w:tcPr>
          <w:p w14:paraId="3426A44D">
            <w:pP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缴纳方式：电汇、保函等非现金形式</w:t>
            </w:r>
          </w:p>
          <w:p w14:paraId="32FA2BCA">
            <w:p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投标保证金：</w:t>
            </w:r>
            <w:r>
              <w:rPr>
                <w:rFonts w:hint="eastAsia" w:ascii="仿宋" w:hAnsi="仿宋" w:eastAsia="仿宋" w:cs="仿宋"/>
                <w:color w:val="auto"/>
                <w:sz w:val="24"/>
                <w:szCs w:val="24"/>
                <w:highlight w:val="none"/>
                <w:lang w:val="en-US" w:eastAsia="zh-CN"/>
              </w:rPr>
              <w:t>58000元(伍万捌仟元整)</w:t>
            </w:r>
          </w:p>
          <w:p w14:paraId="632E204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投标保证金缴纳账号：</w:t>
            </w:r>
          </w:p>
          <w:p w14:paraId="78014F6E">
            <w:pPr>
              <w:overflowPunct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开户名称：新疆华域建设工程项目管理咨询有限公司</w:t>
            </w:r>
          </w:p>
          <w:p w14:paraId="4F98B1BE">
            <w:pPr>
              <w:overflowPunct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开户银行：中国银行乌鲁木齐南湖东路支行</w:t>
            </w:r>
          </w:p>
          <w:p w14:paraId="16FB7E6C">
            <w:pPr>
              <w:overflowPunct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开户行行号：104881006151 </w:t>
            </w:r>
          </w:p>
          <w:p w14:paraId="753F9F53">
            <w:pPr>
              <w:overflowPunct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 107083025521</w:t>
            </w:r>
          </w:p>
          <w:p w14:paraId="0B217AE1">
            <w:pP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注：汇款单上需注明</w:t>
            </w:r>
            <w:r>
              <w:rPr>
                <w:rFonts w:hint="eastAsia" w:ascii="仿宋" w:hAnsi="仿宋" w:eastAsia="仿宋" w:cs="仿宋"/>
                <w:color w:val="auto"/>
                <w:sz w:val="24"/>
                <w:szCs w:val="24"/>
                <w:highlight w:val="none"/>
                <w:lang w:val="en-US"/>
              </w:rPr>
              <w:t>项目编号或项目名称。</w:t>
            </w:r>
          </w:p>
          <w:p w14:paraId="7323D5C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投标保证金缴纳期限：凡拟参加本次招标项目的供应商，必须在开标前将投标保证金汇入指定账户。</w:t>
            </w:r>
          </w:p>
          <w:p w14:paraId="3C33D688">
            <w:pP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注：供应商缴纳投标保证金时，</w:t>
            </w:r>
            <w:r>
              <w:rPr>
                <w:rFonts w:hint="eastAsia" w:ascii="仿宋" w:hAnsi="仿宋" w:eastAsia="仿宋" w:cs="仿宋"/>
                <w:b/>
                <w:bCs/>
                <w:color w:val="auto"/>
                <w:sz w:val="24"/>
                <w:szCs w:val="24"/>
                <w:highlight w:val="none"/>
              </w:rPr>
              <w:t>须备注所投</w:t>
            </w:r>
            <w:r>
              <w:rPr>
                <w:rFonts w:hint="eastAsia" w:ascii="仿宋" w:hAnsi="仿宋" w:eastAsia="仿宋" w:cs="仿宋"/>
                <w:b/>
                <w:bCs/>
                <w:color w:val="auto"/>
                <w:sz w:val="24"/>
                <w:szCs w:val="24"/>
                <w:highlight w:val="none"/>
                <w:lang w:val="en-US"/>
              </w:rPr>
              <w:t>项目编号或项目名称</w:t>
            </w:r>
            <w:r>
              <w:rPr>
                <w:rFonts w:hint="eastAsia" w:ascii="仿宋" w:hAnsi="仿宋" w:eastAsia="仿宋" w:cs="仿宋"/>
                <w:color w:val="auto"/>
                <w:sz w:val="24"/>
                <w:szCs w:val="24"/>
                <w:highlight w:val="none"/>
              </w:rPr>
              <w:t>。</w:t>
            </w:r>
          </w:p>
        </w:tc>
      </w:tr>
      <w:tr w14:paraId="2BB36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22" w:type="dxa"/>
            <w:vAlign w:val="center"/>
          </w:tcPr>
          <w:p w14:paraId="6D4712CC">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720" w:type="dxa"/>
            <w:vAlign w:val="center"/>
          </w:tcPr>
          <w:p w14:paraId="4CC6520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采购文件</w:t>
            </w:r>
            <w:r>
              <w:rPr>
                <w:rFonts w:hint="eastAsia" w:ascii="仿宋" w:hAnsi="仿宋" w:eastAsia="仿宋" w:cs="仿宋"/>
                <w:color w:val="auto"/>
                <w:sz w:val="24"/>
                <w:szCs w:val="24"/>
                <w:highlight w:val="none"/>
              </w:rPr>
              <w:t>发放</w:t>
            </w:r>
          </w:p>
        </w:tc>
        <w:tc>
          <w:tcPr>
            <w:tcW w:w="7376" w:type="dxa"/>
            <w:vAlign w:val="center"/>
          </w:tcPr>
          <w:p w14:paraId="33F27EC0">
            <w:pP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登录政采云平台https://www.zcygov.cn/平台后进入“项目采购”应用，在获取文件菜单中选择项目，申请获取采购文件，投标单位须办理CA数字证书，通过CA数字证书登录政采云平台https://www.zcygov.cn/，进行下载采购文件。</w:t>
            </w:r>
          </w:p>
        </w:tc>
      </w:tr>
      <w:tr w14:paraId="2555E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14:paraId="1A9D0A07">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1720" w:type="dxa"/>
            <w:vAlign w:val="center"/>
          </w:tcPr>
          <w:p w14:paraId="1E92F0F0">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采购文件售价</w:t>
            </w:r>
          </w:p>
        </w:tc>
        <w:tc>
          <w:tcPr>
            <w:tcW w:w="7376" w:type="dxa"/>
            <w:vAlign w:val="center"/>
          </w:tcPr>
          <w:p w14:paraId="6AAB4B6C">
            <w:pPr>
              <w:overflowPunct w:val="0"/>
              <w:spacing w:line="44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0元/标项</w:t>
            </w:r>
          </w:p>
        </w:tc>
      </w:tr>
      <w:tr w14:paraId="32CA4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14:paraId="5A718A4B">
            <w:pPr>
              <w:overflowPunct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720" w:type="dxa"/>
            <w:vAlign w:val="center"/>
          </w:tcPr>
          <w:p w14:paraId="7EA57D1D">
            <w:pPr>
              <w:overflowPunct w:val="0"/>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开标查验</w:t>
            </w:r>
          </w:p>
        </w:tc>
        <w:tc>
          <w:tcPr>
            <w:tcW w:w="7376" w:type="dxa"/>
            <w:vAlign w:val="center"/>
          </w:tcPr>
          <w:p w14:paraId="271DD91E">
            <w:pP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无</w:t>
            </w:r>
          </w:p>
        </w:tc>
      </w:tr>
      <w:tr w14:paraId="6DECA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722" w:type="dxa"/>
            <w:vAlign w:val="center"/>
          </w:tcPr>
          <w:p w14:paraId="237AAB5C">
            <w:pPr>
              <w:overflowPunct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720" w:type="dxa"/>
            <w:vAlign w:val="center"/>
          </w:tcPr>
          <w:p w14:paraId="2E06CD81">
            <w:pPr>
              <w:overflowPunct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开标地点及投标文件递交</w:t>
            </w:r>
          </w:p>
        </w:tc>
        <w:tc>
          <w:tcPr>
            <w:tcW w:w="7376" w:type="dxa"/>
            <w:vAlign w:val="center"/>
          </w:tcPr>
          <w:p w14:paraId="72149B9C">
            <w:pPr>
              <w:overflowPunct w:val="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（1）开标地点：政采云平台https://login.zcygov.cn/。（</w:t>
            </w:r>
            <w:r>
              <w:rPr>
                <w:rFonts w:hint="eastAsia" w:ascii="仿宋" w:hAnsi="仿宋" w:eastAsia="仿宋" w:cs="仿宋"/>
                <w:color w:val="auto"/>
                <w:sz w:val="24"/>
                <w:szCs w:val="24"/>
                <w:highlight w:val="none"/>
                <w:lang w:val="en-US"/>
              </w:rPr>
              <w:t>全流程不见面开标</w:t>
            </w:r>
            <w:r>
              <w:rPr>
                <w:rFonts w:hint="eastAsia" w:ascii="仿宋" w:hAnsi="仿宋" w:eastAsia="仿宋" w:cs="仿宋"/>
                <w:color w:val="auto"/>
                <w:sz w:val="24"/>
                <w:szCs w:val="24"/>
                <w:highlight w:val="none"/>
              </w:rPr>
              <w:t>）</w:t>
            </w:r>
          </w:p>
          <w:p w14:paraId="1F53054E">
            <w:pPr>
              <w:overflowPunct w:val="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rPr>
              <w:t>开标时间：</w:t>
            </w:r>
            <w:r>
              <w:rPr>
                <w:rStyle w:val="23"/>
                <w:rFonts w:hint="eastAsia" w:ascii="仿宋" w:hAnsi="仿宋" w:eastAsia="仿宋" w:cs="仿宋"/>
                <w:b w:val="0"/>
                <w:bCs/>
                <w:color w:val="auto"/>
                <w:szCs w:val="24"/>
                <w:highlight w:val="none"/>
              </w:rPr>
              <w:t>2026年</w:t>
            </w:r>
            <w:r>
              <w:rPr>
                <w:rStyle w:val="23"/>
                <w:rFonts w:hint="eastAsia" w:ascii="仿宋" w:hAnsi="仿宋" w:eastAsia="仿宋" w:cs="仿宋"/>
                <w:b w:val="0"/>
                <w:bCs/>
                <w:color w:val="auto"/>
                <w:szCs w:val="24"/>
                <w:highlight w:val="none"/>
                <w:lang w:val="en-US" w:eastAsia="zh-CN"/>
              </w:rPr>
              <w:t>06</w:t>
            </w:r>
            <w:r>
              <w:rPr>
                <w:rStyle w:val="23"/>
                <w:rFonts w:hint="eastAsia" w:ascii="仿宋" w:hAnsi="仿宋" w:eastAsia="仿宋" w:cs="仿宋"/>
                <w:b w:val="0"/>
                <w:bCs/>
                <w:color w:val="auto"/>
                <w:szCs w:val="24"/>
                <w:highlight w:val="none"/>
              </w:rPr>
              <w:t>月</w:t>
            </w:r>
            <w:r>
              <w:rPr>
                <w:rStyle w:val="23"/>
                <w:rFonts w:hint="eastAsia" w:ascii="仿宋" w:hAnsi="仿宋" w:eastAsia="仿宋" w:cs="仿宋"/>
                <w:b w:val="0"/>
                <w:bCs/>
                <w:color w:val="auto"/>
                <w:szCs w:val="24"/>
                <w:highlight w:val="none"/>
                <w:lang w:val="en-US" w:eastAsia="zh-CN"/>
              </w:rPr>
              <w:t>11</w:t>
            </w:r>
            <w:r>
              <w:rPr>
                <w:rStyle w:val="23"/>
                <w:rFonts w:hint="eastAsia" w:ascii="仿宋" w:hAnsi="仿宋" w:eastAsia="仿宋" w:cs="仿宋"/>
                <w:b w:val="0"/>
                <w:bCs/>
                <w:color w:val="auto"/>
                <w:szCs w:val="24"/>
                <w:highlight w:val="none"/>
              </w:rPr>
              <w:t>日 11:00</w:t>
            </w:r>
          </w:p>
        </w:tc>
      </w:tr>
      <w:tr w14:paraId="12797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722" w:type="dxa"/>
            <w:tcBorders>
              <w:top w:val="single" w:color="auto" w:sz="4" w:space="0"/>
              <w:bottom w:val="single" w:color="auto" w:sz="4" w:space="0"/>
            </w:tcBorders>
            <w:vAlign w:val="center"/>
          </w:tcPr>
          <w:p w14:paraId="6A7014FE">
            <w:pPr>
              <w:overflowPunct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6</w:t>
            </w:r>
          </w:p>
        </w:tc>
        <w:tc>
          <w:tcPr>
            <w:tcW w:w="1720" w:type="dxa"/>
            <w:tcBorders>
              <w:top w:val="single" w:color="auto" w:sz="4" w:space="0"/>
              <w:bottom w:val="single" w:color="auto" w:sz="4" w:space="0"/>
            </w:tcBorders>
            <w:vAlign w:val="center"/>
          </w:tcPr>
          <w:p w14:paraId="50F527C2">
            <w:pPr>
              <w:overflowPunct w:val="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rPr>
              <w:t>投标文件份数</w:t>
            </w:r>
          </w:p>
        </w:tc>
        <w:tc>
          <w:tcPr>
            <w:tcW w:w="7376" w:type="dxa"/>
            <w:tcBorders>
              <w:top w:val="single" w:color="auto" w:sz="4" w:space="0"/>
              <w:bottom w:val="single" w:color="auto" w:sz="4" w:space="0"/>
            </w:tcBorders>
            <w:vAlign w:val="center"/>
          </w:tcPr>
          <w:p w14:paraId="52E28366">
            <w:pP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开标时无需递交纸质版投标文件，将投标文件上传至政采云平台https://www.zcygov.cn/对应位置（逾期未上传的或不符合规定的投标文件将被拒绝接收）。</w:t>
            </w:r>
          </w:p>
        </w:tc>
      </w:tr>
      <w:tr w14:paraId="0C19A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14:paraId="2D639137">
            <w:pPr>
              <w:overflowPunct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7</w:t>
            </w:r>
          </w:p>
        </w:tc>
        <w:tc>
          <w:tcPr>
            <w:tcW w:w="1720" w:type="dxa"/>
            <w:vAlign w:val="center"/>
          </w:tcPr>
          <w:p w14:paraId="63ACAD54">
            <w:pPr>
              <w:overflowPunct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p w14:paraId="37710435">
            <w:pPr>
              <w:overflowPunct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服务费</w:t>
            </w:r>
          </w:p>
        </w:tc>
        <w:tc>
          <w:tcPr>
            <w:tcW w:w="7376" w:type="dxa"/>
            <w:vAlign w:val="center"/>
          </w:tcPr>
          <w:p w14:paraId="11CFE637">
            <w:pPr>
              <w:overflowPunct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参照：发改价格[2011]534号及计价格[2002]1980号文件计算的招标代理服务收费标准</w:t>
            </w:r>
            <w:r>
              <w:rPr>
                <w:rFonts w:hint="eastAsia" w:ascii="仿宋" w:hAnsi="仿宋" w:eastAsia="仿宋" w:cs="仿宋"/>
                <w:b/>
                <w:bCs/>
                <w:color w:val="auto"/>
                <w:sz w:val="24"/>
                <w:szCs w:val="24"/>
                <w:highlight w:val="none"/>
                <w:lang w:val="en-US" w:eastAsia="zh-CN"/>
              </w:rPr>
              <w:t>下浮30%收取</w:t>
            </w:r>
            <w:r>
              <w:rPr>
                <w:rFonts w:hint="eastAsia" w:ascii="仿宋" w:hAnsi="仿宋" w:eastAsia="仿宋" w:cs="仿宋"/>
                <w:b/>
                <w:bCs/>
                <w:color w:val="auto"/>
                <w:sz w:val="24"/>
                <w:szCs w:val="24"/>
                <w:highlight w:val="none"/>
              </w:rPr>
              <w:t xml:space="preserve">，代理服务费由中标人支付。   </w:t>
            </w:r>
          </w:p>
          <w:p w14:paraId="1E7E0A4D">
            <w:pPr>
              <w:overflowPunct w:val="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支付时间：在中标人领取中标通知书时，由中标人向采购代理机构一次性支付全部招标代理服务费。</w:t>
            </w:r>
          </w:p>
        </w:tc>
      </w:tr>
      <w:tr w14:paraId="07A99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1B6649FE">
            <w:pPr>
              <w:overflowPunct w:val="0"/>
              <w:spacing w:line="44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rPr>
              <w:t>8</w:t>
            </w:r>
          </w:p>
        </w:tc>
        <w:tc>
          <w:tcPr>
            <w:tcW w:w="1720" w:type="dxa"/>
            <w:vAlign w:val="center"/>
          </w:tcPr>
          <w:p w14:paraId="5F21648C">
            <w:pPr>
              <w:overflowPunct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关于推动解决政府采购异常低价问题</w:t>
            </w:r>
          </w:p>
        </w:tc>
        <w:tc>
          <w:tcPr>
            <w:tcW w:w="7376" w:type="dxa"/>
            <w:vAlign w:val="center"/>
          </w:tcPr>
          <w:p w14:paraId="20AA323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一、</w:t>
            </w:r>
            <w:r>
              <w:rPr>
                <w:rFonts w:hint="eastAsia" w:ascii="仿宋" w:hAnsi="仿宋" w:eastAsia="仿宋" w:cs="仿宋"/>
                <w:color w:val="auto"/>
                <w:sz w:val="24"/>
                <w:szCs w:val="24"/>
                <w:highlight w:val="none"/>
              </w:rPr>
              <w:t>政府采购评审中出现下列情形之一的，评审委员会应当启动异常低价投标审查程序：</w:t>
            </w:r>
          </w:p>
          <w:p w14:paraId="3565FB7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1.投标报价低于全部通过符合性审查供应商投标报价平均值</w:t>
            </w:r>
            <w:r>
              <w:rPr>
                <w:rFonts w:hint="eastAsia" w:ascii="仿宋" w:hAnsi="仿宋" w:eastAsia="仿宋" w:cs="仿宋"/>
                <w:color w:val="auto"/>
                <w:sz w:val="24"/>
                <w:szCs w:val="24"/>
                <w:highlight w:val="none"/>
                <w:lang w:val="en-US" w:eastAsia="zh-CN"/>
              </w:rPr>
              <w:t>6</w:t>
            </w: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%的，即投标报价〈全部通过符合性审查供应商投标报价平均值×</w:t>
            </w:r>
            <w:r>
              <w:rPr>
                <w:rFonts w:hint="eastAsia" w:ascii="仿宋" w:hAnsi="仿宋" w:eastAsia="仿宋" w:cs="仿宋"/>
                <w:color w:val="auto"/>
                <w:sz w:val="24"/>
                <w:szCs w:val="24"/>
                <w:highlight w:val="none"/>
                <w:lang w:val="en-US" w:eastAsia="zh-CN"/>
              </w:rPr>
              <w:t>6</w:t>
            </w: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p>
          <w:p w14:paraId="03902B6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2.投标报价低于通过符合性审查的次低报价供应商投标报价</w:t>
            </w:r>
            <w:r>
              <w:rPr>
                <w:rFonts w:hint="eastAsia" w:ascii="仿宋" w:hAnsi="仿宋" w:eastAsia="仿宋" w:cs="仿宋"/>
                <w:color w:val="auto"/>
                <w:sz w:val="24"/>
                <w:szCs w:val="24"/>
                <w:highlight w:val="none"/>
                <w:lang w:val="en-US" w:eastAsia="zh-CN"/>
              </w:rPr>
              <w:t>6</w:t>
            </w: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%的，即投标报价〈通过符合性审查的次低报价供应商投标报价×</w:t>
            </w:r>
            <w:r>
              <w:rPr>
                <w:rFonts w:hint="eastAsia" w:ascii="仿宋" w:hAnsi="仿宋" w:eastAsia="仿宋" w:cs="仿宋"/>
                <w:color w:val="auto"/>
                <w:sz w:val="24"/>
                <w:szCs w:val="24"/>
                <w:highlight w:val="none"/>
                <w:lang w:val="en-US" w:eastAsia="zh-CN"/>
              </w:rPr>
              <w:t>6</w:t>
            </w: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p>
          <w:p w14:paraId="6FD4F26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3.投标报价低于采购项目最高限价</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5%的，即投标报价〈采购项目最高限价×</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5%；</w:t>
            </w:r>
          </w:p>
          <w:p w14:paraId="1F0717D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4.评审委员会基于专业判断，认为供应商报价过低，有可能影响产品质量或者不能诚信履约的其他情形。</w:t>
            </w:r>
          </w:p>
          <w:p w14:paraId="2BFBFB96">
            <w:pPr>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采购人可以结合具体项目实际情况，提高上述第1项至第3项中启动异常低价投标审查的数值标准，但是最高不得超过6</w:t>
            </w:r>
            <w:r>
              <w:rPr>
                <w:rFonts w:hint="default" w:ascii="仿宋" w:hAnsi="仿宋" w:eastAsia="仿宋" w:cs="仿宋"/>
                <w:color w:val="auto"/>
                <w:sz w:val="24"/>
                <w:szCs w:val="24"/>
                <w:highlight w:val="none"/>
                <w:lang w:val="en-US"/>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新疆农业职业技术大学根据项目实际情况启动异常低价投标（响应）审查的数值标准设置为6</w:t>
            </w: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p>
          <w:p w14:paraId="093CB81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rPr>
              <w:t>相关法律法规对供应商报价有规定的，从其规定。 </w:t>
            </w:r>
          </w:p>
          <w:p w14:paraId="0ADB8E9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192D39F1">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tc>
      </w:tr>
      <w:tr w14:paraId="4C046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42407315">
            <w:pPr>
              <w:overflowPunct w:val="0"/>
              <w:spacing w:line="440" w:lineRule="exact"/>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19</w:t>
            </w:r>
          </w:p>
        </w:tc>
        <w:tc>
          <w:tcPr>
            <w:tcW w:w="1720" w:type="dxa"/>
            <w:vAlign w:val="center"/>
          </w:tcPr>
          <w:p w14:paraId="0FA7F7D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政府采购政策支持</w:t>
            </w:r>
          </w:p>
        </w:tc>
        <w:tc>
          <w:tcPr>
            <w:tcW w:w="7376" w:type="dxa"/>
          </w:tcPr>
          <w:p w14:paraId="0B28AF9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w:t>
            </w:r>
            <w:r>
              <w:rPr>
                <w:rFonts w:hint="eastAsia" w:ascii="仿宋" w:hAnsi="仿宋" w:eastAsia="仿宋" w:cs="仿宋"/>
                <w:color w:val="auto"/>
                <w:sz w:val="24"/>
                <w:szCs w:val="24"/>
                <w:highlight w:val="none"/>
                <w:lang w:val="en-US"/>
              </w:rPr>
              <w:t>不</w:t>
            </w:r>
            <w:r>
              <w:rPr>
                <w:rFonts w:hint="eastAsia" w:ascii="仿宋" w:hAnsi="仿宋" w:eastAsia="仿宋" w:cs="仿宋"/>
                <w:color w:val="auto"/>
                <w:sz w:val="24"/>
                <w:szCs w:val="24"/>
                <w:highlight w:val="none"/>
              </w:rPr>
              <w:t>专门面向中小企业采购项目，根据《政府采购促进中小企业发展管理办法》（财库﹝2020﹞46 号）</w:t>
            </w:r>
            <w:r>
              <w:rPr>
                <w:rFonts w:hint="eastAsia" w:ascii="仿宋" w:hAnsi="仿宋" w:eastAsia="仿宋" w:cs="仿宋"/>
                <w:color w:val="auto"/>
                <w:sz w:val="24"/>
                <w:szCs w:val="24"/>
                <w:highlight w:val="none"/>
                <w:lang w:val="en-US"/>
              </w:rPr>
              <w:t>及其财政部门相关</w:t>
            </w:r>
            <w:r>
              <w:rPr>
                <w:rFonts w:hint="eastAsia" w:ascii="仿宋" w:hAnsi="仿宋" w:eastAsia="仿宋" w:cs="仿宋"/>
                <w:color w:val="auto"/>
                <w:sz w:val="24"/>
                <w:szCs w:val="24"/>
                <w:highlight w:val="none"/>
              </w:rPr>
              <w:t>的规定，评标时将给予</w:t>
            </w:r>
            <w:r>
              <w:rPr>
                <w:rFonts w:hint="eastAsia" w:ascii="仿宋" w:hAnsi="仿宋" w:eastAsia="仿宋" w:cs="仿宋"/>
                <w:color w:val="auto"/>
                <w:sz w:val="24"/>
                <w:szCs w:val="24"/>
                <w:highlight w:val="none"/>
                <w:lang w:val="en-US"/>
              </w:rPr>
              <w:t>小型、微型</w:t>
            </w:r>
            <w:r>
              <w:rPr>
                <w:rFonts w:hint="eastAsia" w:ascii="仿宋" w:hAnsi="仿宋" w:eastAsia="仿宋" w:cs="仿宋"/>
                <w:color w:val="auto"/>
                <w:sz w:val="24"/>
                <w:szCs w:val="24"/>
                <w:highlight w:val="none"/>
              </w:rPr>
              <w:t>企业进行价格10%的优惠，监狱企业、残疾人福利性单位视同为小微企业，用优惠后的价格参与评审。</w:t>
            </w:r>
          </w:p>
          <w:p w14:paraId="7B934565">
            <w:pPr>
              <w:overflowPunct w:val="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节能环保产品：根据财政部、发展改革委、生态环境部等部门发布的“节能产品政府采购品目清单”“环境标志产品政府采购品目清单”，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59FE8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5D4365F0">
            <w:pPr>
              <w:overflowPunct w:val="0"/>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720" w:type="dxa"/>
            <w:vAlign w:val="center"/>
          </w:tcPr>
          <w:p w14:paraId="42E62955">
            <w:pPr>
              <w:jc w:val="center"/>
              <w:rPr>
                <w:rFonts w:hint="eastAsia" w:ascii="仿宋" w:hAnsi="仿宋" w:eastAsia="仿宋" w:cs="仿宋"/>
                <w:color w:val="auto"/>
                <w:sz w:val="24"/>
                <w:szCs w:val="24"/>
                <w:highlight w:val="none"/>
              </w:rPr>
            </w:pPr>
            <w:r>
              <w:rPr>
                <w:rFonts w:hint="eastAsia"/>
                <w:color w:val="auto"/>
                <w:sz w:val="24"/>
                <w:szCs w:val="24"/>
              </w:rPr>
              <w:t>支持本国产品</w:t>
            </w:r>
          </w:p>
        </w:tc>
        <w:tc>
          <w:tcPr>
            <w:tcW w:w="7376" w:type="dxa"/>
            <w:vAlign w:val="top"/>
          </w:tcPr>
          <w:p w14:paraId="26F3E5D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1、本国产品标准的适用范围：</w:t>
            </w:r>
          </w:p>
          <w:p w14:paraId="7CC3769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本国产品标准适用于货物，包括政府采购货物项目和服务项目中涉及的货物。</w:t>
            </w:r>
          </w:p>
          <w:p w14:paraId="404ABAE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2、本采购项目：</w:t>
            </w:r>
          </w:p>
          <w:p w14:paraId="37CD44A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不适用本国产品标准及相关政策。</w:t>
            </w:r>
          </w:p>
          <w:p w14:paraId="067D0CE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eq \o\ac(□,√)</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 适用本国产品标准及相关政策。</w:t>
            </w:r>
          </w:p>
          <w:p w14:paraId="0FCCE0E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3、本国产品标准：</w:t>
            </w:r>
          </w:p>
          <w:p w14:paraId="5328B7F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（1）产品在中国境内生产；</w:t>
            </w:r>
          </w:p>
          <w:p w14:paraId="3688E12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（2）产品在中国境内生产的组件成本占比达到规定比例：尚未实施</w:t>
            </w:r>
          </w:p>
          <w:p w14:paraId="7E98D35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（3）产品关键组件符合相关要求：尚未实施</w:t>
            </w:r>
          </w:p>
          <w:p w14:paraId="6587B26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（4）产品关键工序符合相关要求：尚未实施</w:t>
            </w:r>
          </w:p>
          <w:p w14:paraId="164DCBB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4、出具符合要求的《关于符合本国产品标准的声明函》（格式见第六章）或财政部会同有关部门规定的有关证明文件的，该产品视为本国产品。</w:t>
            </w:r>
          </w:p>
          <w:p w14:paraId="49F6AFF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5、对本国产品的支持政策：</w:t>
            </w:r>
          </w:p>
          <w:p w14:paraId="538CD58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1</w:t>
            </w:r>
            <w:r>
              <w:rPr>
                <w:rFonts w:hint="eastAsia" w:ascii="仿宋" w:hAnsi="仿宋" w:eastAsia="仿宋" w:cs="仿宋"/>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6862055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14:paraId="1CFD9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62029646">
            <w:pPr>
              <w:overflowPunct w:val="0"/>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lang w:val="en-US" w:eastAsia="zh-CN"/>
              </w:rPr>
              <w:t>1</w:t>
            </w:r>
          </w:p>
        </w:tc>
        <w:tc>
          <w:tcPr>
            <w:tcW w:w="1720" w:type="dxa"/>
            <w:vAlign w:val="center"/>
          </w:tcPr>
          <w:p w14:paraId="7E45396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履约保证金</w:t>
            </w:r>
          </w:p>
        </w:tc>
        <w:tc>
          <w:tcPr>
            <w:tcW w:w="7376" w:type="dxa"/>
          </w:tcPr>
          <w:p w14:paraId="61D9F88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供应商签订合同前、收到</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通知书后10日内向采购人缴纳履约保证金。否则视为自动放弃中标，由第二候选人中标，以此类推。收取履约保证金比例如下:</w:t>
            </w:r>
          </w:p>
          <w:p w14:paraId="14A1044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货物类服务类:中标价*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p>
          <w:p w14:paraId="7CA8CEB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履约保证金递交形式:履约保证函（银行保函或保险公司保函）</w:t>
            </w:r>
          </w:p>
          <w:p w14:paraId="3C698AC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中标单位未按本文件规定缴纳履约保证金的，其投标保证金将不予退还。</w:t>
            </w:r>
          </w:p>
          <w:p w14:paraId="56DE24D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履约保证金的退还:</w:t>
            </w:r>
            <w:r>
              <w:rPr>
                <w:rFonts w:hint="eastAsia" w:ascii="仿宋" w:hAnsi="仿宋" w:eastAsia="仿宋" w:cs="仿宋"/>
                <w:color w:val="auto"/>
                <w:sz w:val="24"/>
                <w:szCs w:val="24"/>
                <w:highlight w:val="none"/>
                <w:lang w:val="en-US" w:eastAsia="zh-CN"/>
              </w:rPr>
              <w:t>项目最终验收合格后，</w:t>
            </w:r>
            <w:r>
              <w:rPr>
                <w:rFonts w:hint="eastAsia" w:ascii="仿宋" w:hAnsi="仿宋" w:eastAsia="仿宋" w:cs="仿宋"/>
                <w:color w:val="auto"/>
                <w:sz w:val="24"/>
                <w:szCs w:val="24"/>
                <w:highlight w:val="none"/>
              </w:rPr>
              <w:t>采购人无息退还履约保证金。中标单位未按照合同、法律法规、招标文件等相关规定履行责任，采购人有权扣除履约保证金，并解除合同，由此造成的一切损失，由中标单位自行承担。</w:t>
            </w:r>
          </w:p>
        </w:tc>
      </w:tr>
      <w:tr w14:paraId="1C07F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345C3DF1">
            <w:pPr>
              <w:overflowPunct w:val="0"/>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lang w:val="en-US" w:eastAsia="zh-CN"/>
              </w:rPr>
              <w:t>2</w:t>
            </w:r>
          </w:p>
        </w:tc>
        <w:tc>
          <w:tcPr>
            <w:tcW w:w="1720" w:type="dxa"/>
            <w:vAlign w:val="center"/>
          </w:tcPr>
          <w:p w14:paraId="11358552">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解密时长</w:t>
            </w:r>
          </w:p>
        </w:tc>
        <w:tc>
          <w:tcPr>
            <w:tcW w:w="7376" w:type="dxa"/>
            <w:vAlign w:val="center"/>
          </w:tcPr>
          <w:p w14:paraId="44A231C6">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解密时长：30分钟（过时未进行解密的投标文件，开标现场不进行解密时间延长。）</w:t>
            </w:r>
          </w:p>
          <w:p w14:paraId="56DA782E">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开标当日仅需在任意地点通过政采云平台不见面开标系统（登录地址详见网站操作手册）完成远程解密、提疑澄清、开标唱标、结果公布等交互环节。供应商必须在规定的时间内使用能正确解密投标文件的“CA锁”完成远程解密，因供应商原因未能解密、解密失败或解密超时，视为供应商撤销其投标文件，系统内投标文件将被退回；因网上招投标平台发生故障，导致无法按时完成投标文件解密或开、评标工作无法进行的，可根据实际情况相应延迟解密时间或调整开、评标时间。</w:t>
            </w:r>
          </w:p>
          <w:p w14:paraId="774429CB">
            <w:pPr>
              <w:ind w:right="88"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（友情提示：若供应商已领取副锁（含多把副锁）请注意正副锁的使用差别，务必使用生成投标文件的那把锁解密）</w:t>
            </w:r>
          </w:p>
        </w:tc>
      </w:tr>
      <w:tr w14:paraId="24A23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78DFFED3">
            <w:pPr>
              <w:overflowPunct w:val="0"/>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lang w:val="en-US" w:eastAsia="zh-CN"/>
              </w:rPr>
              <w:t>3</w:t>
            </w:r>
          </w:p>
        </w:tc>
        <w:tc>
          <w:tcPr>
            <w:tcW w:w="1720" w:type="dxa"/>
            <w:vAlign w:val="center"/>
          </w:tcPr>
          <w:p w14:paraId="250BCBB1">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投标文件编制注意1</w:t>
            </w:r>
          </w:p>
          <w:p w14:paraId="1EC856E7">
            <w:pPr>
              <w:jc w:val="center"/>
              <w:rPr>
                <w:rFonts w:hint="eastAsia" w:ascii="仿宋" w:hAnsi="仿宋" w:eastAsia="仿宋" w:cs="仿宋"/>
                <w:color w:val="auto"/>
                <w:sz w:val="24"/>
                <w:szCs w:val="24"/>
                <w:highlight w:val="none"/>
                <w:lang w:val="en-US"/>
              </w:rPr>
            </w:pPr>
          </w:p>
        </w:tc>
        <w:tc>
          <w:tcPr>
            <w:tcW w:w="7376" w:type="dxa"/>
            <w:vAlign w:val="center"/>
          </w:tcPr>
          <w:p w14:paraId="220EE403">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1、在采购文件领取截止时间前，使用办理的CA数字证书，通过政采云平台（https://www.zcygov.cn/）窗口下载所投项目的采购文件。</w:t>
            </w:r>
          </w:p>
          <w:p w14:paraId="15BD9D37">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供应商需在新疆政府采购网（http://www.ccgp-xinjiang.gov.cn/）下载专区自行下载政采云电子投标客户端。在电子投标客户端内制作对应的投标文件。投标文件制作完成后在投标截止时间前上传至政采云平台对应项目即可。</w:t>
            </w:r>
          </w:p>
          <w:p w14:paraId="59BD615D">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3、采购文件规定：不接受投标文件中出现的可选择或可调整的投标方案和报价，任何有选择的或可调整的投标方案和报价将被视为不响应采购文件，其投标将被拒绝。</w:t>
            </w:r>
          </w:p>
          <w:p w14:paraId="48F85CDC">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特别声明：供应商在制作投标文件时，不得弄虚作假，不得使用各种手段伪造、变造本不属于供应商本身的响应材料。（如假证书、假业绩、假合同、假授权、故意隐瞒不良行为记录、夸大荣誉、使用非供应商在职员工的相关证件及其他不符合《中华人民共和国政府采购法》等规定的条款）；如在采购过程中发现有供应商出现此类问题，将按照《中华人民共和国政府采购法》等相关规定进行处理，并将其列入政府采购黑名单库。</w:t>
            </w:r>
          </w:p>
        </w:tc>
      </w:tr>
      <w:tr w14:paraId="2AE01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59FECECD">
            <w:pPr>
              <w:overflowPunct w:val="0"/>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lang w:val="en-US" w:eastAsia="zh-CN"/>
              </w:rPr>
              <w:t>4</w:t>
            </w:r>
          </w:p>
        </w:tc>
        <w:tc>
          <w:tcPr>
            <w:tcW w:w="1720" w:type="dxa"/>
            <w:vAlign w:val="center"/>
          </w:tcPr>
          <w:p w14:paraId="1987060A">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投标文件编制注意2</w:t>
            </w:r>
          </w:p>
          <w:p w14:paraId="632D77FE">
            <w:pPr>
              <w:jc w:val="center"/>
              <w:rPr>
                <w:rFonts w:hint="eastAsia" w:ascii="仿宋" w:hAnsi="仿宋" w:eastAsia="仿宋" w:cs="仿宋"/>
                <w:color w:val="auto"/>
                <w:sz w:val="24"/>
                <w:szCs w:val="24"/>
                <w:highlight w:val="none"/>
                <w:lang w:val="en-US"/>
              </w:rPr>
            </w:pPr>
          </w:p>
        </w:tc>
        <w:tc>
          <w:tcPr>
            <w:tcW w:w="7376" w:type="dxa"/>
            <w:vAlign w:val="center"/>
          </w:tcPr>
          <w:p w14:paraId="56542E59">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1、各供应商必须针对每包项目分别制作投标文件并报价，每包的投标文件均必须满足采购文件份数与制作等要求，否则将导致投标被拒绝。</w:t>
            </w:r>
          </w:p>
          <w:p w14:paraId="7C290617">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2、当出现下列情形之一，投标文件将予以退回：</w:t>
            </w:r>
          </w:p>
          <w:p w14:paraId="0AFD96D2">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（1）供应商在投标文件递交截止时间前未成功上传加密电子投标文件；</w:t>
            </w:r>
          </w:p>
          <w:p w14:paraId="2B83804E">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（2）供应商使用解密的CA数字证书与上传加密投标文件使用的CA数字证书不一致；</w:t>
            </w:r>
          </w:p>
          <w:p w14:paraId="026B8524">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（3）供应商解密时CA数字证书已过期，导致无法正常解密；</w:t>
            </w:r>
          </w:p>
          <w:p w14:paraId="040D9C82">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（4）加密投标文件时，CA数字证书未过期，解密时，显示CA数字证书已过期，导致无法正常解密；</w:t>
            </w:r>
          </w:p>
          <w:p w14:paraId="3067F298">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（5）未在规定的投标文件解密时间内进行解密的；</w:t>
            </w:r>
          </w:p>
          <w:p w14:paraId="0D7162F7">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（6）供应商个人原因导致无法解密的其他情形。 </w:t>
            </w:r>
          </w:p>
          <w:p w14:paraId="1660E371">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3、供应商应在投标截止时间前将投标时使用的计算机安装相关的浏览器（推荐使用谷歌浏览器）、CA驱动等软件，方便投标文件解密时能够正常解密。</w:t>
            </w:r>
          </w:p>
          <w:p w14:paraId="0CB0B488">
            <w:pPr>
              <w:ind w:right="88"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4、供应商需在磋商投标文件递交截止时间前自行测试开标时使用的计算机，如因供应商自身原因导致投标文件解密失败的，由供应商自行承担相应后果。</w:t>
            </w:r>
          </w:p>
        </w:tc>
      </w:tr>
      <w:tr w14:paraId="4F6BC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74E6269C">
            <w:pPr>
              <w:overflowPunct w:val="0"/>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lang w:val="en-US" w:eastAsia="zh-CN"/>
              </w:rPr>
              <w:t>5</w:t>
            </w:r>
          </w:p>
        </w:tc>
        <w:tc>
          <w:tcPr>
            <w:tcW w:w="1720" w:type="dxa"/>
            <w:vAlign w:val="center"/>
          </w:tcPr>
          <w:p w14:paraId="5DDFB20C">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投标文件编制注意3</w:t>
            </w:r>
          </w:p>
          <w:p w14:paraId="5ADFFEFF">
            <w:pPr>
              <w:jc w:val="center"/>
              <w:rPr>
                <w:rFonts w:hint="eastAsia" w:ascii="仿宋" w:hAnsi="仿宋" w:eastAsia="仿宋" w:cs="仿宋"/>
                <w:color w:val="auto"/>
                <w:sz w:val="24"/>
                <w:szCs w:val="24"/>
                <w:highlight w:val="none"/>
                <w:lang w:val="en-US"/>
              </w:rPr>
            </w:pPr>
          </w:p>
        </w:tc>
        <w:tc>
          <w:tcPr>
            <w:tcW w:w="7376" w:type="dxa"/>
            <w:vAlign w:val="center"/>
          </w:tcPr>
          <w:p w14:paraId="19686B56">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1、无论何种原因，在投标文件中未提供相应材料的，将视同其未提供。</w:t>
            </w:r>
          </w:p>
          <w:p w14:paraId="41CE5955">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2、各供应商应在开标前应确保成为新疆政府采购网正式注册入库供应商，并完成CA数字证书（符合国密标准）申领。如需咨询，请联系新疆CA服务热线0991-2819290；</w:t>
            </w:r>
          </w:p>
          <w:p w14:paraId="0F79FF8E">
            <w:pPr>
              <w:ind w:right="88" w:rightChars="4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w:t>
            </w:r>
          </w:p>
          <w:p w14:paraId="57D5E0F4">
            <w:pPr>
              <w:ind w:right="88" w:rightChars="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4、供应商首次参加政府采购活动的，可前往新疆政府采购网（ http://www.ccgp-xinjiang.gov.cn/）下载操作指南。（步骤：进入新疆政府采购网（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"http://www.ccgp-xinjiang.gov.cn/"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val="en-US"/>
              </w:rPr>
              <w:t>http://www.ccgp-xinjiang.gov.cn/</w:t>
            </w:r>
            <w:r>
              <w:rPr>
                <w:rFonts w:hint="eastAsia" w:ascii="仿宋" w:hAnsi="仿宋" w:eastAsia="仿宋" w:cs="仿宋"/>
                <w:color w:val="auto"/>
                <w:sz w:val="24"/>
                <w:szCs w:val="24"/>
                <w:highlight w:val="none"/>
                <w:lang w:val="en-US"/>
              </w:rPr>
              <w:fldChar w:fldCharType="end"/>
            </w:r>
            <w:r>
              <w:rPr>
                <w:rFonts w:hint="eastAsia" w:ascii="仿宋" w:hAnsi="仿宋" w:eastAsia="仿宋" w:cs="仿宋"/>
                <w:color w:val="auto"/>
                <w:sz w:val="24"/>
                <w:szCs w:val="24"/>
                <w:highlight w:val="none"/>
                <w:lang w:val="en-US"/>
              </w:rPr>
              <w:t>）点击主页面的办事指南—选择并下载供应商政采云平台操作指南。）</w:t>
            </w:r>
          </w:p>
        </w:tc>
      </w:tr>
      <w:tr w14:paraId="62025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3C38AA47">
            <w:pPr>
              <w:overflowPunct w:val="0"/>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2</w:t>
            </w:r>
            <w:r>
              <w:rPr>
                <w:rFonts w:hint="eastAsia" w:ascii="仿宋" w:hAnsi="仿宋" w:eastAsia="仿宋" w:cs="仿宋"/>
                <w:color w:val="auto"/>
                <w:sz w:val="24"/>
                <w:szCs w:val="24"/>
                <w:highlight w:val="none"/>
                <w:lang w:val="en-US" w:eastAsia="zh-CN"/>
              </w:rPr>
              <w:t>6</w:t>
            </w:r>
          </w:p>
        </w:tc>
        <w:tc>
          <w:tcPr>
            <w:tcW w:w="1720" w:type="dxa"/>
            <w:vAlign w:val="center"/>
          </w:tcPr>
          <w:p w14:paraId="4EB0C70E">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质疑</w:t>
            </w:r>
          </w:p>
        </w:tc>
        <w:tc>
          <w:tcPr>
            <w:tcW w:w="7376" w:type="dxa"/>
            <w:vAlign w:val="center"/>
          </w:tcPr>
          <w:p w14:paraId="2864BB4A">
            <w:pPr>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1.供应商认为采购文件、采购过程、中标或者中标结果使自己的权益受到损害的，可以在知道或者应知其权益受到损害之日起 7个工作日内，以书面形式向采购人、采购代理机构提出质疑。 </w:t>
            </w:r>
          </w:p>
          <w:p w14:paraId="48644078">
            <w:pPr>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2.供应商应在法定质疑期内一次性提出针对同一采购程序环节的质疑，本项目不接受供应商多次/反复质疑。 </w:t>
            </w:r>
          </w:p>
          <w:p w14:paraId="0ED2EC0A">
            <w:pPr>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3.质疑供应商应按照财政部制定的《政府采购质疑函范本》格式10（可从财政部官方网站下载）和《政府采购质疑和投诉办法》（财政部令第 94 号）的要求，在法定质疑期内以书面形式提出质疑。 </w:t>
            </w:r>
          </w:p>
          <w:p w14:paraId="53EDD8A5">
            <w:pPr>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4.超出法定质疑期、重复或分次提出的、内容或形式不符合《政府采购质疑和投诉办法》规定的质疑将被拒绝。</w:t>
            </w:r>
          </w:p>
          <w:p w14:paraId="431C070C">
            <w:pPr>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依据：《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中标或者中标结果提出质疑的，为中标或者中标结果公告期限届满之日。</w:t>
            </w:r>
          </w:p>
          <w:p w14:paraId="55A427D3">
            <w:pPr>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6.采购代理机构质疑函接收信息</w:t>
            </w:r>
          </w:p>
          <w:p w14:paraId="7827B782">
            <w:pPr>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接收部门：新疆华域建设工程项目管理咨询有限公司　</w:t>
            </w:r>
          </w:p>
          <w:p w14:paraId="63421862">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联系人：</w:t>
            </w:r>
            <w:r>
              <w:rPr>
                <w:rFonts w:hint="eastAsia" w:ascii="仿宋" w:hAnsi="仿宋" w:eastAsia="仿宋" w:cs="仿宋"/>
                <w:color w:val="auto"/>
                <w:sz w:val="24"/>
                <w:szCs w:val="24"/>
                <w:highlight w:val="none"/>
                <w:lang w:val="en-US" w:eastAsia="zh-CN"/>
              </w:rPr>
              <w:t xml:space="preserve">马成武 </w:t>
            </w:r>
            <w:r>
              <w:rPr>
                <w:rFonts w:hint="eastAsia" w:ascii="仿宋" w:hAnsi="仿宋" w:eastAsia="仿宋" w:cs="仿宋"/>
                <w:color w:val="auto"/>
                <w:sz w:val="24"/>
                <w:szCs w:val="24"/>
                <w:highlight w:val="none"/>
                <w:lang w:val="en-US"/>
              </w:rPr>
              <w:br w:type="textWrapping"/>
            </w:r>
            <w:r>
              <w:rPr>
                <w:rFonts w:hint="eastAsia" w:ascii="仿宋" w:hAnsi="仿宋" w:eastAsia="仿宋" w:cs="仿宋"/>
                <w:color w:val="auto"/>
                <w:sz w:val="24"/>
                <w:szCs w:val="24"/>
                <w:highlight w:val="none"/>
                <w:lang w:val="en-US"/>
              </w:rPr>
              <w:t>联系电话：</w:t>
            </w:r>
            <w:r>
              <w:rPr>
                <w:rFonts w:hint="eastAsia" w:ascii="仿宋" w:hAnsi="仿宋" w:eastAsia="仿宋" w:cs="仿宋"/>
                <w:color w:val="auto"/>
                <w:sz w:val="24"/>
                <w:szCs w:val="24"/>
                <w:highlight w:val="none"/>
                <w:lang w:val="en-US" w:eastAsia="zh-CN"/>
              </w:rPr>
              <w:t>17690970999</w:t>
            </w:r>
          </w:p>
          <w:p w14:paraId="291AF941">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rPr>
              <w:t>地址：乌鲁木齐市五星北路194号新地园大厦1401</w:t>
            </w:r>
            <w:r>
              <w:rPr>
                <w:rFonts w:hint="eastAsia" w:ascii="仿宋" w:hAnsi="仿宋" w:eastAsia="仿宋" w:cs="仿宋"/>
                <w:color w:val="auto"/>
                <w:sz w:val="24"/>
                <w:szCs w:val="24"/>
                <w:highlight w:val="none"/>
                <w:lang w:val="en-US" w:eastAsia="zh-CN"/>
              </w:rPr>
              <w:t>号</w:t>
            </w:r>
          </w:p>
          <w:p w14:paraId="06372B4A">
            <w:pPr>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提交方式：提交盖章的纸质版原件，在法定质疑期内一次性提出针对同一采购程序环节的质疑。逾期未提出的视同理解和接受。</w:t>
            </w:r>
          </w:p>
          <w:p w14:paraId="3738749E">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7.澄清、修改文件发出后（若有），供应商必须使用最新的澄清文件制作电子投标文件。</w:t>
            </w:r>
          </w:p>
        </w:tc>
      </w:tr>
      <w:tr w14:paraId="57A35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722" w:type="dxa"/>
            <w:vAlign w:val="center"/>
          </w:tcPr>
          <w:p w14:paraId="6301AB49">
            <w:pPr>
              <w:overflowPunct w:val="0"/>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c>
          <w:tcPr>
            <w:tcW w:w="9096" w:type="dxa"/>
            <w:gridSpan w:val="2"/>
            <w:vAlign w:val="center"/>
          </w:tcPr>
          <w:p w14:paraId="7109B496">
            <w:pPr>
              <w:spacing w:line="312"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1、采购文件中部分加粗、</w:t>
            </w:r>
            <w:r>
              <w:rPr>
                <w:rFonts w:hint="eastAsia" w:ascii="仿宋" w:hAnsi="仿宋" w:eastAsia="仿宋" w:cs="仿宋"/>
                <w:b/>
                <w:color w:val="auto"/>
                <w:sz w:val="24"/>
                <w:szCs w:val="24"/>
                <w:highlight w:val="none"/>
                <w:lang w:val="en-US"/>
              </w:rPr>
              <w:t>标★</w:t>
            </w:r>
            <w:r>
              <w:rPr>
                <w:rFonts w:hint="eastAsia" w:ascii="仿宋" w:hAnsi="仿宋" w:eastAsia="仿宋" w:cs="仿宋"/>
                <w:b/>
                <w:color w:val="auto"/>
                <w:sz w:val="24"/>
                <w:szCs w:val="24"/>
                <w:highlight w:val="none"/>
              </w:rPr>
              <w:t>、加下划线、废标、无效标、投标被拒绝字样的条款，为招标的</w:t>
            </w:r>
            <w:r>
              <w:rPr>
                <w:rFonts w:hint="eastAsia" w:ascii="仿宋" w:hAnsi="仿宋" w:eastAsia="仿宋" w:cs="仿宋"/>
                <w:b/>
                <w:color w:val="auto"/>
                <w:sz w:val="24"/>
                <w:szCs w:val="24"/>
                <w:highlight w:val="none"/>
                <w:lang w:val="en-US"/>
              </w:rPr>
              <w:t>重要条款</w:t>
            </w:r>
            <w:r>
              <w:rPr>
                <w:rFonts w:hint="eastAsia" w:ascii="仿宋" w:hAnsi="仿宋" w:eastAsia="仿宋" w:cs="仿宋"/>
                <w:b/>
                <w:color w:val="auto"/>
                <w:sz w:val="24"/>
                <w:szCs w:val="24"/>
                <w:highlight w:val="none"/>
              </w:rPr>
              <w:t>，着重提醒各投标人注意，并认真查看采购文件中的每一个条款及要求，因误读采购文件而造成的后果，招标人概不负责。</w:t>
            </w:r>
          </w:p>
          <w:p w14:paraId="3C934731">
            <w:pPr>
              <w:spacing w:line="312"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标文件中有弄虚作假的内容，其投标文件作废。（如假证书、假业绩、隐瞒不良行为记录、夸大荣誉、使用非本单位在职员工的相关证件及不符合采购文件规定的条款等）；在签订合同之前，如发现投标人的投标文件有弄虚作假内容，招标人可拒绝与其签订合同</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顺延第二中标候选人为中标人或重新招标</w:t>
            </w:r>
            <w:r>
              <w:rPr>
                <w:rFonts w:hint="eastAsia" w:ascii="仿宋" w:hAnsi="仿宋" w:eastAsia="仿宋" w:cs="仿宋"/>
                <w:b/>
                <w:color w:val="auto"/>
                <w:sz w:val="24"/>
                <w:szCs w:val="24"/>
                <w:highlight w:val="none"/>
              </w:rPr>
              <w:t>。</w:t>
            </w:r>
          </w:p>
          <w:p w14:paraId="14868941">
            <w:pPr>
              <w:spacing w:line="312"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rPr>
              <w:t>3、★投标人应保证在本项目使用的任何产品和服务（包括部分使用）时，不会产生因第三方提出侵犯其专利权、商标权或其他知识产权而引起的法律和经济纠纷，如因专利权、商标权或其他知识产权而引起法律和经济纠纷，由投标人承担所有相关责任的同时不得耽误本项目实施。</w:t>
            </w:r>
          </w:p>
          <w:p w14:paraId="17654D73">
            <w:pPr>
              <w:spacing w:line="312" w:lineRule="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rPr>
              <w:t>4、投标单位所投产品，虽满足负偏离要求，但综合由于负偏离参数使得所供产品或服务无法满足甲方正常使用要求，可属于甲方不能接受的条件情形，投标单位作无效标处理。</w:t>
            </w:r>
          </w:p>
        </w:tc>
      </w:tr>
    </w:tbl>
    <w:p w14:paraId="3ADF2275">
      <w:pPr>
        <w:spacing w:before="2"/>
        <w:rPr>
          <w:rFonts w:hint="eastAsia" w:ascii="仿宋" w:hAnsi="仿宋" w:eastAsia="仿宋" w:cs="仿宋"/>
          <w:b/>
          <w:bCs/>
          <w:color w:val="auto"/>
          <w:highlight w:val="none"/>
        </w:rPr>
        <w:sectPr>
          <w:headerReference r:id="rId6" w:type="default"/>
          <w:footerReference r:id="rId7" w:type="default"/>
          <w:pgSz w:w="11910" w:h="16840"/>
          <w:pgMar w:top="1420" w:right="1134" w:bottom="1180" w:left="1134" w:header="878" w:footer="993" w:gutter="0"/>
          <w:cols w:space="720" w:num="1"/>
        </w:sectPr>
      </w:pPr>
      <w:r>
        <w:rPr>
          <w:rFonts w:hint="eastAsia" w:ascii="仿宋" w:hAnsi="仿宋" w:eastAsia="仿宋" w:cs="仿宋"/>
          <w:b/>
          <w:bCs/>
          <w:color w:val="auto"/>
          <w:highlight w:val="none"/>
          <w:lang w:val="en-US"/>
        </w:rPr>
        <w:t>注：</w:t>
      </w:r>
      <w:r>
        <w:rPr>
          <w:rFonts w:hint="eastAsia" w:ascii="仿宋" w:hAnsi="仿宋" w:eastAsia="仿宋" w:cs="仿宋"/>
          <w:b/>
          <w:bCs/>
          <w:color w:val="auto"/>
          <w:highlight w:val="none"/>
        </w:rPr>
        <w:t>如后文中相关格式要求表述与文件前附表，表述不一致的，以前附表为准（除资格审查、符合性审查及采购人需求外）。</w:t>
      </w:r>
    </w:p>
    <w:p w14:paraId="3ED200EC">
      <w:pPr>
        <w:jc w:val="center"/>
        <w:outlineLvl w:val="0"/>
        <w:rPr>
          <w:rFonts w:hint="eastAsia" w:ascii="仿宋" w:hAnsi="仿宋" w:eastAsia="仿宋" w:cs="仿宋"/>
          <w:color w:val="auto"/>
          <w:highlight w:val="none"/>
        </w:rPr>
      </w:pPr>
      <w:r>
        <w:rPr>
          <w:rStyle w:val="28"/>
          <w:rFonts w:hint="eastAsia" w:ascii="仿宋" w:hAnsi="仿宋" w:eastAsia="仿宋" w:cs="仿宋"/>
          <w:color w:val="auto"/>
          <w:highlight w:val="none"/>
        </w:rPr>
        <w:t>第三部分 招标说明</w:t>
      </w:r>
    </w:p>
    <w:p w14:paraId="1744E02E">
      <w:pPr>
        <w:spacing w:line="360" w:lineRule="auto"/>
        <w:rPr>
          <w:rFonts w:hint="eastAsia" w:ascii="仿宋" w:hAnsi="仿宋" w:eastAsia="仿宋" w:cs="仿宋"/>
          <w:color w:val="auto"/>
          <w:highlight w:val="none"/>
        </w:rPr>
      </w:pPr>
    </w:p>
    <w:p w14:paraId="4451888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1.适用范围</w:t>
      </w:r>
    </w:p>
    <w:p w14:paraId="4897290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本采购文件仅适用于在</w:t>
      </w:r>
      <w:r>
        <w:rPr>
          <w:rFonts w:hint="eastAsia" w:ascii="仿宋" w:hAnsi="仿宋" w:eastAsia="仿宋" w:cs="仿宋"/>
          <w:color w:val="auto"/>
          <w:sz w:val="24"/>
          <w:highlight w:val="none"/>
          <w:lang w:eastAsia="zh-CN"/>
        </w:rPr>
        <w:t>现代种业技术专业群数据管理平台项目</w:t>
      </w:r>
      <w:r>
        <w:rPr>
          <w:rFonts w:hint="eastAsia" w:ascii="仿宋" w:hAnsi="仿宋" w:eastAsia="仿宋" w:cs="仿宋"/>
          <w:color w:val="auto"/>
          <w:sz w:val="24"/>
          <w:highlight w:val="none"/>
        </w:rPr>
        <w:t>采购文件中所叙述的本采购项目的合格投标人。</w:t>
      </w:r>
    </w:p>
    <w:p w14:paraId="5C76996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2.投标资格</w:t>
      </w:r>
    </w:p>
    <w:p w14:paraId="5AC9CBB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2.1凡在中华人民共和国境内注册的合法的法人且有承担本项目的能力以及能够提供资格必备条件和审查项目条件且均合格的供应商。</w:t>
      </w:r>
    </w:p>
    <w:p w14:paraId="4DCD8A3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2.2投标人应遵守中华人民共和国法律、法规和行政规章。</w:t>
      </w:r>
    </w:p>
    <w:p w14:paraId="578CBF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2.3本项目不接受联合体投标。</w:t>
      </w:r>
    </w:p>
    <w:p w14:paraId="786706A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3.定义</w:t>
      </w:r>
    </w:p>
    <w:p w14:paraId="3C7FC8A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下列术语和缩写的定义为：</w:t>
      </w:r>
    </w:p>
    <w:p w14:paraId="0B7D8E0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3.1“招标方”系指</w:t>
      </w:r>
      <w:r>
        <w:rPr>
          <w:rFonts w:hint="eastAsia" w:ascii="仿宋" w:hAnsi="仿宋" w:eastAsia="仿宋" w:cs="仿宋"/>
          <w:color w:val="auto"/>
          <w:sz w:val="24"/>
          <w:highlight w:val="none"/>
          <w:lang w:val="en-US"/>
        </w:rPr>
        <w:t>采购人和采购代理机构的统称</w:t>
      </w:r>
      <w:r>
        <w:rPr>
          <w:rFonts w:hint="eastAsia" w:ascii="仿宋" w:hAnsi="仿宋" w:eastAsia="仿宋" w:cs="仿宋"/>
          <w:color w:val="auto"/>
          <w:sz w:val="24"/>
          <w:highlight w:val="none"/>
        </w:rPr>
        <w:t>。</w:t>
      </w:r>
    </w:p>
    <w:p w14:paraId="1133F0F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 “投标人”系指有资格的供应商（</w:t>
      </w:r>
      <w:r>
        <w:rPr>
          <w:rFonts w:hint="eastAsia" w:ascii="仿宋" w:hAnsi="仿宋" w:eastAsia="仿宋" w:cs="仿宋"/>
          <w:color w:val="auto"/>
          <w:sz w:val="24"/>
          <w:highlight w:val="none"/>
          <w:lang w:val="en-US"/>
        </w:rPr>
        <w:t>生产</w:t>
      </w:r>
      <w:r>
        <w:rPr>
          <w:rFonts w:hint="eastAsia" w:ascii="仿宋" w:hAnsi="仿宋" w:eastAsia="仿宋" w:cs="仿宋"/>
          <w:color w:val="auto"/>
          <w:sz w:val="24"/>
          <w:highlight w:val="none"/>
        </w:rPr>
        <w:t>商</w:t>
      </w:r>
      <w:r>
        <w:rPr>
          <w:rFonts w:hint="eastAsia" w:ascii="仿宋" w:hAnsi="仿宋" w:eastAsia="仿宋" w:cs="仿宋"/>
          <w:color w:val="auto"/>
          <w:sz w:val="24"/>
          <w:highlight w:val="none"/>
          <w:lang w:val="en-US"/>
        </w:rPr>
        <w:t>或销售</w:t>
      </w:r>
      <w:r>
        <w:rPr>
          <w:rFonts w:hint="eastAsia" w:ascii="仿宋" w:hAnsi="仿宋" w:eastAsia="仿宋" w:cs="仿宋"/>
          <w:color w:val="auto"/>
          <w:sz w:val="24"/>
          <w:highlight w:val="none"/>
        </w:rPr>
        <w:t>商）及投标代表。</w:t>
      </w:r>
    </w:p>
    <w:p w14:paraId="767FDD2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3.3“货物”系指采购文件规定的，投标人须向采购人提供的一切设备、附件、备品备件、工具、手册及其它有关资料和材料。</w:t>
      </w:r>
    </w:p>
    <w:p w14:paraId="46C2E64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3.4“服务”系指采购文件规定投标人须承担的保修、技术协助、培训及其他类似的责任。</w:t>
      </w:r>
    </w:p>
    <w:p w14:paraId="7ADB73A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4.投标费用</w:t>
      </w:r>
    </w:p>
    <w:p w14:paraId="0777F4F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无论投标结果如何，凡参与招标、投标活动有关的所有费用将由投标人自行承担。</w:t>
      </w:r>
    </w:p>
    <w:p w14:paraId="0F00628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投标人被视为熟悉本招标项目的各种情况以及与履行合同有关的一切情况。</w:t>
      </w:r>
    </w:p>
    <w:p w14:paraId="2199FEE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5.采购文件的构成</w:t>
      </w:r>
    </w:p>
    <w:p w14:paraId="42519B5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采购文件由</w:t>
      </w:r>
      <w:r>
        <w:rPr>
          <w:rFonts w:hint="eastAsia" w:ascii="仿宋" w:hAnsi="仿宋" w:eastAsia="仿宋" w:cs="仿宋"/>
          <w:color w:val="auto"/>
          <w:sz w:val="24"/>
          <w:highlight w:val="none"/>
          <w:lang w:val="en-US"/>
        </w:rPr>
        <w:t>招标公告、</w:t>
      </w:r>
      <w:r>
        <w:rPr>
          <w:rFonts w:hint="eastAsia" w:ascii="仿宋" w:hAnsi="仿宋" w:eastAsia="仿宋" w:cs="仿宋"/>
          <w:color w:val="auto"/>
          <w:sz w:val="24"/>
          <w:highlight w:val="none"/>
        </w:rPr>
        <w:t>投标须知、招标说明、投标说明、开标 评标及定标说明、货物需求及技术规格说明、商务部分、</w:t>
      </w:r>
      <w:r>
        <w:rPr>
          <w:rFonts w:hint="eastAsia" w:ascii="仿宋" w:hAnsi="仿宋" w:eastAsia="仿宋" w:cs="仿宋"/>
          <w:color w:val="auto"/>
          <w:sz w:val="24"/>
          <w:highlight w:val="none"/>
          <w:lang w:val="en-US"/>
        </w:rPr>
        <w:t>投标文件的编制装订</w:t>
      </w:r>
      <w:r>
        <w:rPr>
          <w:rFonts w:hint="eastAsia" w:ascii="仿宋" w:hAnsi="仿宋" w:eastAsia="仿宋" w:cs="仿宋"/>
          <w:color w:val="auto"/>
          <w:sz w:val="24"/>
          <w:highlight w:val="none"/>
        </w:rPr>
        <w:t>等组成。</w:t>
      </w:r>
    </w:p>
    <w:p w14:paraId="0DAF2F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6.采购文件的澄清或修改</w:t>
      </w:r>
    </w:p>
    <w:p w14:paraId="097F1EC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采购人或者采购代理机构对采购文件澄清或者修改的，在投标截止时间至少15日前，通知所有获取采购文件的潜在投标人；不足15日的，采购人或者采购代理机构顺延提交投标文件的截止时间。</w:t>
      </w:r>
    </w:p>
    <w:p w14:paraId="4CBC216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投标人对采购文件如有疑点，可在投标截止日的</w:t>
      </w:r>
      <w:r>
        <w:rPr>
          <w:rFonts w:hint="eastAsia" w:ascii="仿宋" w:hAnsi="仿宋" w:eastAsia="仿宋" w:cs="仿宋"/>
          <w:color w:val="auto"/>
          <w:sz w:val="24"/>
          <w:highlight w:val="none"/>
          <w:lang w:val="en-US"/>
        </w:rPr>
        <w:t>15</w:t>
      </w:r>
      <w:r>
        <w:rPr>
          <w:rFonts w:hint="eastAsia" w:ascii="仿宋" w:hAnsi="仿宋" w:eastAsia="仿宋" w:cs="仿宋"/>
          <w:color w:val="auto"/>
          <w:sz w:val="24"/>
          <w:highlight w:val="none"/>
        </w:rPr>
        <w:t>日前按采购文件中载明的地址以书面形式通知采购人要求澄清。采购人将视情况确定采用适当方式予以澄清或以书面形式予以答复。采购人认为有必要时，可将答复内容（包括原提出问题， 但不包括问题的来源）分发给所有拟投标人。</w:t>
      </w:r>
    </w:p>
    <w:p w14:paraId="592A63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7.采购文件的修改或补充</w:t>
      </w:r>
    </w:p>
    <w:p w14:paraId="5AD965D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在投标截止日</w:t>
      </w:r>
      <w:r>
        <w:rPr>
          <w:rFonts w:hint="eastAsia" w:ascii="仿宋" w:hAnsi="仿宋" w:eastAsia="仿宋" w:cs="仿宋"/>
          <w:color w:val="auto"/>
          <w:sz w:val="24"/>
          <w:highlight w:val="none"/>
          <w:lang w:val="en-US"/>
        </w:rPr>
        <w:t>15</w:t>
      </w:r>
      <w:r>
        <w:rPr>
          <w:rFonts w:hint="eastAsia" w:ascii="仿宋" w:hAnsi="仿宋" w:eastAsia="仿宋" w:cs="仿宋"/>
          <w:color w:val="auto"/>
          <w:sz w:val="24"/>
          <w:highlight w:val="none"/>
        </w:rPr>
        <w:t>日前的任何时间，采购人可主动或依据投标人要求澄清的问题而修改或补充采购文件，并以书面或公告等形式通知所有投标人。</w:t>
      </w:r>
    </w:p>
    <w:p w14:paraId="6A4B9C9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为使投标人在准备投标时有适当的时间考虑投标文件的修改，采购人有权决定推迟投标截止日期和开标日期，并将此变更以书面或公告等形式通知所有投标人。</w:t>
      </w:r>
    </w:p>
    <w:p w14:paraId="3D2E26C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采购文件的修改和补充文件将构成采购文件的一部分，并且对投标人具有优先约束力。</w:t>
      </w:r>
    </w:p>
    <w:p w14:paraId="050F86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8.廉洁自律承诺要求：</w:t>
      </w:r>
    </w:p>
    <w:p w14:paraId="25B75DD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8.1 按照《预防职务违法违纪工作规程》规定要求，在本次招标活动中，新疆华域建设工程项目管理咨询有限公司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采购人要求参加本次项目的采购人专家、评标专家要填写和提交《廉洁自律承诺书》，所有投标人必须现场提交“信用中国”及“中国政府采购网”、中国裁判文书网网站无任何不良记录的查询截图并加盖公章；凡不填写和不提交的将视为无效招标或无效投标处理。</w:t>
      </w:r>
    </w:p>
    <w:p w14:paraId="49EAEA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9.设备、材料性能要求</w:t>
      </w:r>
    </w:p>
    <w:p w14:paraId="4FF5F74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9.1</w:t>
      </w:r>
      <w:r>
        <w:rPr>
          <w:rFonts w:hint="eastAsia" w:ascii="仿宋" w:hAnsi="仿宋" w:eastAsia="仿宋" w:cs="仿宋"/>
          <w:color w:val="auto"/>
          <w:sz w:val="24"/>
          <w:highlight w:val="none"/>
        </w:rPr>
        <w:t>为贯彻落实《国务院办公厅关于建立政府强制采购节能产品制度的知》， 扩大节能产品范围，发挥政府机构节能的表率作用，降低政府机构能源费用开支， 促进节能技术进步，扩大节能产品市场，根据《中华人民共和国节约能源法》、《中华人民共和国法》等相关政策法规规定，属于环境标志产品、节能产品和计算机、印机、空调、照明产品（包括双端荧光灯、自镇流荧光灯、单端荧光灯、管型荧光灯镇流器）、电视机、电热水器、显示器、便器、水嘴等九大类强制采购产品的采购，必须优先选择国家财政部、国家环保部、国家发展和改革委员会等有关部门最新发布的《节能产品清单》和《环境标志产品清单》中的产品。</w:t>
      </w:r>
    </w:p>
    <w:p w14:paraId="1E4E88C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9.2 </w:t>
      </w:r>
      <w:r>
        <w:rPr>
          <w:rFonts w:hint="eastAsia" w:ascii="仿宋" w:hAnsi="仿宋" w:eastAsia="仿宋" w:cs="仿宋"/>
          <w:color w:val="auto"/>
          <w:sz w:val="24"/>
          <w:highlight w:val="none"/>
        </w:rPr>
        <w:t>按照上述国家政策规定，凡本次招标产品涉及国家强制采购节能、环保产品，生产制造商必须使用节能环保材料，并要将纳入节能产品清单的产品作为投标产品，要以 “</w:t>
      </w:r>
      <w:r>
        <w:rPr>
          <w:rFonts w:hint="eastAsia" w:ascii="仿宋" w:hAnsi="仿宋" w:eastAsia="仿宋" w:cs="仿宋"/>
          <w:color w:val="auto"/>
          <w:sz w:val="24"/>
          <w:highlight w:val="none"/>
          <w:lang w:val="en-US"/>
        </w:rPr>
        <w:drawing>
          <wp:inline distT="0" distB="0" distL="114300" distR="114300">
            <wp:extent cx="159385" cy="159385"/>
            <wp:effectExtent l="0" t="0" r="8255" b="8255"/>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a:picLocks noChangeAspect="1"/>
                    </pic:cNvPicPr>
                  </pic:nvPicPr>
                  <pic:blipFill>
                    <a:blip r:embed="rId14"/>
                    <a:stretch>
                      <a:fillRect/>
                    </a:stretch>
                  </pic:blipFill>
                  <pic:spPr>
                    <a:xfrm>
                      <a:off x="0" y="0"/>
                      <a:ext cx="159385" cy="159385"/>
                    </a:xfrm>
                    <a:prstGeom prst="rect">
                      <a:avLst/>
                    </a:prstGeom>
                    <a:noFill/>
                    <a:ln>
                      <a:noFill/>
                    </a:ln>
                  </pic:spPr>
                </pic:pic>
              </a:graphicData>
            </a:graphic>
          </wp:inline>
        </w:drawing>
      </w:r>
      <w:r>
        <w:rPr>
          <w:rFonts w:hint="eastAsia" w:ascii="仿宋" w:hAnsi="仿宋" w:eastAsia="仿宋" w:cs="仿宋"/>
          <w:color w:val="auto"/>
          <w:sz w:val="24"/>
          <w:highlight w:val="none"/>
        </w:rPr>
        <w:t>”作标注，对于获得中国环境标志认证证书的产品要以 “</w:t>
      </w:r>
      <w:r>
        <w:rPr>
          <w:rFonts w:hint="eastAsia" w:ascii="仿宋" w:hAnsi="仿宋" w:eastAsia="仿宋" w:cs="仿宋"/>
          <w:color w:val="auto"/>
          <w:sz w:val="24"/>
          <w:highlight w:val="none"/>
          <w:lang w:val="en-US"/>
        </w:rPr>
        <w:drawing>
          <wp:inline distT="0" distB="0" distL="114300" distR="114300">
            <wp:extent cx="130810" cy="118745"/>
            <wp:effectExtent l="0" t="0" r="6350" b="3175"/>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a:picLocks noChangeAspect="1"/>
                    </pic:cNvPicPr>
                  </pic:nvPicPr>
                  <pic:blipFill>
                    <a:blip r:embed="rId15"/>
                    <a:stretch>
                      <a:fillRect/>
                    </a:stretch>
                  </pic:blipFill>
                  <pic:spPr>
                    <a:xfrm>
                      <a:off x="0" y="0"/>
                      <a:ext cx="130810" cy="118745"/>
                    </a:xfrm>
                    <a:prstGeom prst="rect">
                      <a:avLst/>
                    </a:prstGeom>
                    <a:noFill/>
                    <a:ln>
                      <a:noFill/>
                    </a:ln>
                  </pic:spPr>
                </pic:pic>
              </a:graphicData>
            </a:graphic>
          </wp:inline>
        </w:drawing>
      </w:r>
      <w:r>
        <w:rPr>
          <w:rFonts w:hint="eastAsia" w:ascii="仿宋" w:hAnsi="仿宋" w:eastAsia="仿宋" w:cs="仿宋"/>
          <w:color w:val="auto"/>
          <w:sz w:val="24"/>
          <w:highlight w:val="none"/>
        </w:rPr>
        <w:t>”作标注。否则，届时经核实情况后，其投标将可能被拒绝。</w:t>
      </w:r>
    </w:p>
    <w:p w14:paraId="0F1534A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10</w:t>
      </w:r>
      <w:r>
        <w:rPr>
          <w:rFonts w:hint="eastAsia" w:ascii="仿宋" w:hAnsi="仿宋" w:eastAsia="仿宋" w:cs="仿宋"/>
          <w:color w:val="auto"/>
          <w:sz w:val="24"/>
          <w:highlight w:val="none"/>
        </w:rPr>
        <w:t>.招标会场纪律及要求</w:t>
      </w:r>
    </w:p>
    <w:p w14:paraId="03219B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10.1 </w:t>
      </w:r>
      <w:r>
        <w:rPr>
          <w:rFonts w:hint="eastAsia" w:ascii="仿宋" w:hAnsi="仿宋" w:eastAsia="仿宋" w:cs="仿宋"/>
          <w:color w:val="auto"/>
          <w:sz w:val="24"/>
          <w:highlight w:val="none"/>
        </w:rPr>
        <w:t>会议按照“公开、公平、公正、诚信”的原则，招标采取全封闭现场开评标程序进行。</w:t>
      </w:r>
    </w:p>
    <w:p w14:paraId="6D33F05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10.2 </w:t>
      </w:r>
      <w:r>
        <w:rPr>
          <w:rFonts w:hint="eastAsia" w:ascii="仿宋" w:hAnsi="仿宋" w:eastAsia="仿宋" w:cs="仿宋"/>
          <w:color w:val="auto"/>
          <w:sz w:val="24"/>
          <w:highlight w:val="none"/>
        </w:rPr>
        <w:t>凡没有在开标时间（投标截止时间）准时进入</w:t>
      </w:r>
      <w:r>
        <w:rPr>
          <w:rFonts w:hint="eastAsia" w:ascii="仿宋" w:hAnsi="仿宋" w:eastAsia="仿宋" w:cs="仿宋"/>
          <w:color w:val="auto"/>
          <w:sz w:val="24"/>
          <w:highlight w:val="none"/>
          <w:lang w:val="en-US"/>
        </w:rPr>
        <w:t>开标现场的投标人，其投标将被拒绝。</w:t>
      </w:r>
      <w:r>
        <w:rPr>
          <w:rFonts w:hint="eastAsia" w:ascii="仿宋" w:hAnsi="仿宋" w:eastAsia="仿宋" w:cs="仿宋"/>
          <w:color w:val="auto"/>
          <w:sz w:val="24"/>
          <w:highlight w:val="none"/>
        </w:rPr>
        <w:t xml:space="preserve"> </w:t>
      </w:r>
    </w:p>
    <w:p w14:paraId="1EE26B3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10.3 </w:t>
      </w:r>
      <w:r>
        <w:rPr>
          <w:rFonts w:hint="eastAsia" w:ascii="仿宋" w:hAnsi="仿宋" w:eastAsia="仿宋" w:cs="仿宋"/>
          <w:color w:val="auto"/>
          <w:sz w:val="24"/>
          <w:highlight w:val="none"/>
        </w:rPr>
        <w:t>评标活动结束前，评标委员会各成员</w:t>
      </w:r>
      <w:r>
        <w:rPr>
          <w:rFonts w:hint="eastAsia" w:ascii="仿宋" w:hAnsi="仿宋" w:eastAsia="仿宋" w:cs="仿宋"/>
          <w:color w:val="auto"/>
          <w:sz w:val="24"/>
          <w:highlight w:val="none"/>
          <w:lang w:val="en-US"/>
        </w:rPr>
        <w:t>严禁</w:t>
      </w:r>
      <w:r>
        <w:rPr>
          <w:rFonts w:hint="eastAsia" w:ascii="仿宋" w:hAnsi="仿宋" w:eastAsia="仿宋" w:cs="仿宋"/>
          <w:color w:val="auto"/>
          <w:sz w:val="24"/>
          <w:highlight w:val="none"/>
        </w:rPr>
        <w:t>与外界及投标人有任何形式的联系，确有特殊原因需要外出或其他方面的，必须由监标人提交采购人后，方可</w:t>
      </w:r>
      <w:r>
        <w:rPr>
          <w:rFonts w:hint="eastAsia" w:ascii="仿宋" w:hAnsi="仿宋" w:eastAsia="仿宋" w:cs="仿宋"/>
          <w:color w:val="auto"/>
          <w:sz w:val="24"/>
          <w:highlight w:val="none"/>
          <w:lang w:val="en-US"/>
        </w:rPr>
        <w:t>离开评标现场</w:t>
      </w:r>
      <w:r>
        <w:rPr>
          <w:rFonts w:hint="eastAsia" w:ascii="仿宋" w:hAnsi="仿宋" w:eastAsia="仿宋" w:cs="仿宋"/>
          <w:color w:val="auto"/>
          <w:sz w:val="24"/>
          <w:highlight w:val="none"/>
        </w:rPr>
        <w:t>，外出时须有监标人员陪同。</w:t>
      </w:r>
    </w:p>
    <w:p w14:paraId="5EEA3AB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10.4 非特殊原因（如</w:t>
      </w:r>
      <w:r>
        <w:rPr>
          <w:rFonts w:hint="eastAsia" w:ascii="仿宋" w:hAnsi="仿宋" w:eastAsia="仿宋" w:cs="仿宋"/>
          <w:color w:val="auto"/>
          <w:sz w:val="24"/>
          <w:highlight w:val="none"/>
        </w:rPr>
        <w:t>需要供应商进行必要澄清、说明或者纠正</w:t>
      </w:r>
      <w:r>
        <w:rPr>
          <w:rFonts w:hint="eastAsia" w:ascii="仿宋" w:hAnsi="仿宋" w:eastAsia="仿宋" w:cs="仿宋"/>
          <w:color w:val="auto"/>
          <w:sz w:val="24"/>
          <w:highlight w:val="none"/>
          <w:lang w:val="en-US"/>
        </w:rPr>
        <w:t>等）除外，</w:t>
      </w:r>
      <w:r>
        <w:rPr>
          <w:rFonts w:hint="eastAsia" w:ascii="仿宋" w:hAnsi="仿宋" w:eastAsia="仿宋" w:cs="仿宋"/>
          <w:color w:val="auto"/>
          <w:sz w:val="24"/>
          <w:highlight w:val="none"/>
        </w:rPr>
        <w:t>投标截止时间后，对投标方的所有投标</w:t>
      </w:r>
      <w:r>
        <w:rPr>
          <w:rFonts w:hint="eastAsia" w:ascii="仿宋" w:hAnsi="仿宋" w:eastAsia="仿宋" w:cs="仿宋"/>
          <w:color w:val="auto"/>
          <w:sz w:val="24"/>
          <w:highlight w:val="none"/>
          <w:lang w:val="en-US"/>
        </w:rPr>
        <w:t>资料</w:t>
      </w:r>
      <w:r>
        <w:rPr>
          <w:rFonts w:hint="eastAsia" w:ascii="仿宋" w:hAnsi="仿宋" w:eastAsia="仿宋" w:cs="仿宋"/>
          <w:color w:val="auto"/>
          <w:sz w:val="24"/>
          <w:highlight w:val="none"/>
        </w:rPr>
        <w:t>及评标所需的资料证明等均不接受二次提供，否则，将直接取消其投标资格。</w:t>
      </w:r>
    </w:p>
    <w:p w14:paraId="311DC1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10.5 </w:t>
      </w:r>
      <w:r>
        <w:rPr>
          <w:rFonts w:hint="eastAsia" w:ascii="仿宋" w:hAnsi="仿宋" w:eastAsia="仿宋" w:cs="仿宋"/>
          <w:color w:val="auto"/>
          <w:sz w:val="24"/>
          <w:highlight w:val="none"/>
        </w:rPr>
        <w:t>参加本次评标的专家成员及其他与会人员如果与其他投标人有利害关系的，可以现场申请其回避。如不申请其回避的，则视同无利害关系。</w:t>
      </w:r>
    </w:p>
    <w:p w14:paraId="2F26433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10.6 </w:t>
      </w:r>
      <w:r>
        <w:rPr>
          <w:rFonts w:hint="eastAsia" w:ascii="仿宋" w:hAnsi="仿宋" w:eastAsia="仿宋" w:cs="仿宋"/>
          <w:color w:val="auto"/>
          <w:sz w:val="24"/>
          <w:highlight w:val="none"/>
        </w:rPr>
        <w:t>对各投标人的资质审查、开标、报价、评标、询标（答疑）、澄清、定标等工作逐一进行；评标期间</w:t>
      </w:r>
      <w:r>
        <w:rPr>
          <w:rFonts w:hint="eastAsia" w:ascii="仿宋" w:hAnsi="仿宋" w:eastAsia="仿宋" w:cs="仿宋"/>
          <w:color w:val="auto"/>
          <w:sz w:val="24"/>
          <w:highlight w:val="none"/>
          <w:lang w:val="en-US"/>
        </w:rPr>
        <w:t>各</w:t>
      </w:r>
      <w:r>
        <w:rPr>
          <w:rFonts w:hint="eastAsia" w:ascii="仿宋" w:hAnsi="仿宋" w:eastAsia="仿宋" w:cs="仿宋"/>
          <w:color w:val="auto"/>
          <w:sz w:val="24"/>
          <w:highlight w:val="none"/>
        </w:rPr>
        <w:t>投标人务必保持通讯工具的畅通，以便及时联络和不延误工作。若发生通讯工具不通或备案通讯工具号码有误，无法实现联络的，或无理拒绝或不执行采购人工作安排的，将视同自愿放弃本次投标权利。</w:t>
      </w:r>
    </w:p>
    <w:p w14:paraId="201A427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10.7</w:t>
      </w:r>
      <w:r>
        <w:rPr>
          <w:rFonts w:hint="eastAsia" w:ascii="仿宋" w:hAnsi="仿宋" w:eastAsia="仿宋" w:cs="仿宋"/>
          <w:color w:val="auto"/>
          <w:sz w:val="24"/>
          <w:highlight w:val="none"/>
        </w:rPr>
        <w:t xml:space="preserve"> 投标人对开标有异议的，应当在开标现场提出，采购人当场作出答复，并记录。</w:t>
      </w:r>
    </w:p>
    <w:p w14:paraId="54E7D3B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10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7 </w:t>
      </w:r>
      <w:r>
        <w:rPr>
          <w:rFonts w:hint="eastAsia" w:ascii="仿宋" w:hAnsi="仿宋" w:eastAsia="仿宋" w:cs="仿宋"/>
          <w:color w:val="auto"/>
          <w:sz w:val="24"/>
          <w:highlight w:val="none"/>
        </w:rPr>
        <w:t>招标评标须在监标人的监督下由采购人组织进行。评标委员会各成员、采购人代表、投标人、特邀代表、工作人员等与会人员如有违纪、违规行为，监标人有权予以纠正或制止。</w:t>
      </w:r>
    </w:p>
    <w:p w14:paraId="4CA0532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11</w:t>
      </w:r>
      <w:r>
        <w:rPr>
          <w:rFonts w:hint="eastAsia" w:ascii="仿宋" w:hAnsi="仿宋" w:eastAsia="仿宋" w:cs="仿宋"/>
          <w:color w:val="auto"/>
          <w:sz w:val="24"/>
          <w:highlight w:val="none"/>
        </w:rPr>
        <w:t>.与评标活动有关的工作人员。是指评标委员会成员以外的、因参与评标监督工作或者事务性工作而知悉有关评标情况的所有人员。</w:t>
      </w:r>
    </w:p>
    <w:p w14:paraId="300B65F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参与项目采购人员及相关人员与供应商有下列利害关系之一的，应当回避：</w:t>
      </w:r>
    </w:p>
    <w:p w14:paraId="7A4059F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（一）参加采购活动前3年内与供应商存在劳动关系；</w:t>
      </w:r>
    </w:p>
    <w:p w14:paraId="758933DB">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（二）参加采购活动前3年内担任供应商的董事、监事；</w:t>
      </w:r>
    </w:p>
    <w:p w14:paraId="601F009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（三）参加采购活动前3年内是供应商的控股股东或者实际控制人；</w:t>
      </w:r>
    </w:p>
    <w:p w14:paraId="012064C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（四）与供应商的法定代表人或者负责人有夫妻、直系血亲、三代以内旁系血亲或者近姻亲关系；</w:t>
      </w:r>
    </w:p>
    <w:p w14:paraId="1053B207">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（五）与供应商有其他可能影响政府采购活动公平、公正进行的关系。</w:t>
      </w:r>
    </w:p>
    <w:p w14:paraId="0344E8B3">
      <w:pPr>
        <w:spacing w:line="360" w:lineRule="auto"/>
        <w:ind w:firstLine="480" w:firstLineChars="200"/>
        <w:rPr>
          <w:rFonts w:hint="eastAsia" w:ascii="仿宋" w:hAnsi="仿宋" w:eastAsia="仿宋" w:cs="仿宋"/>
          <w:color w:val="auto"/>
          <w:sz w:val="24"/>
          <w:highlight w:val="none"/>
        </w:rPr>
      </w:pPr>
    </w:p>
    <w:p w14:paraId="01958FC3">
      <w:pP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16D5056E">
      <w:pP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2B666C58">
      <w:pPr>
        <w:pStyle w:val="2"/>
        <w:spacing w:before="2"/>
        <w:ind w:left="0" w:leftChars="0" w:right="0" w:rightChars="0"/>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第四部分 投标说明</w:t>
      </w:r>
    </w:p>
    <w:p w14:paraId="295A44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第一章 对投标方的资质要求</w:t>
      </w:r>
    </w:p>
    <w:p w14:paraId="4CE6F0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1.1</w:t>
      </w:r>
      <w:r>
        <w:rPr>
          <w:rFonts w:hint="eastAsia" w:ascii="仿宋" w:hAnsi="仿宋" w:eastAsia="仿宋" w:cs="仿宋"/>
          <w:color w:val="auto"/>
          <w:sz w:val="24"/>
          <w:highlight w:val="none"/>
        </w:rPr>
        <w:t>投标人必须提交能够证明其具有履行本招标项目合同能力的资质证明文件，作为投标文件的一部分。</w:t>
      </w:r>
    </w:p>
    <w:p w14:paraId="5E63E4A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1.2</w:t>
      </w:r>
      <w:r>
        <w:rPr>
          <w:rFonts w:hint="eastAsia" w:ascii="仿宋" w:hAnsi="仿宋" w:eastAsia="仿宋" w:cs="仿宋"/>
          <w:color w:val="auto"/>
          <w:sz w:val="24"/>
          <w:highlight w:val="none"/>
        </w:rPr>
        <w:t>投标时</w:t>
      </w:r>
      <w:r>
        <w:rPr>
          <w:rFonts w:hint="eastAsia" w:ascii="仿宋" w:hAnsi="仿宋" w:eastAsia="仿宋" w:cs="仿宋"/>
          <w:color w:val="auto"/>
          <w:sz w:val="24"/>
          <w:highlight w:val="none"/>
          <w:lang w:val="en-US"/>
        </w:rPr>
        <w:t>资格</w:t>
      </w:r>
      <w:r>
        <w:rPr>
          <w:rFonts w:hint="eastAsia" w:ascii="仿宋" w:hAnsi="仿宋" w:eastAsia="仿宋" w:cs="仿宋"/>
          <w:color w:val="auto"/>
          <w:sz w:val="24"/>
          <w:highlight w:val="none"/>
        </w:rPr>
        <w:t>审查的必要条件（如果不能提供或有缺项则视为对采购文件资格审查内容的不响应，其投标将被拒绝，</w:t>
      </w:r>
      <w:r>
        <w:rPr>
          <w:rFonts w:hint="eastAsia" w:ascii="仿宋" w:hAnsi="仿宋" w:eastAsia="仿宋" w:cs="仿宋"/>
          <w:color w:val="auto"/>
          <w:sz w:val="24"/>
          <w:highlight w:val="none"/>
          <w:lang w:val="en-US"/>
        </w:rPr>
        <w:t>资格审查具体内容详见资格审核表</w:t>
      </w:r>
      <w:r>
        <w:rPr>
          <w:rFonts w:hint="eastAsia" w:ascii="仿宋" w:hAnsi="仿宋" w:eastAsia="仿宋" w:cs="仿宋"/>
          <w:color w:val="auto"/>
          <w:sz w:val="24"/>
          <w:highlight w:val="none"/>
        </w:rPr>
        <w:t>）。</w:t>
      </w:r>
    </w:p>
    <w:p w14:paraId="6CDE987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1.3 </w:t>
      </w:r>
      <w:r>
        <w:rPr>
          <w:rFonts w:hint="eastAsia" w:ascii="仿宋" w:hAnsi="仿宋" w:eastAsia="仿宋" w:cs="仿宋"/>
          <w:color w:val="auto"/>
          <w:sz w:val="24"/>
          <w:highlight w:val="none"/>
        </w:rPr>
        <w:t>投标时的评审审查项目。投标人如果不能提供或有缺项的，则相应本项目不得分，且本项目将作为是否中标的重要因素。</w:t>
      </w:r>
    </w:p>
    <w:p w14:paraId="53C9B31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1</w:t>
      </w:r>
      <w:r>
        <w:rPr>
          <w:rFonts w:hint="eastAsia" w:ascii="仿宋" w:hAnsi="仿宋" w:eastAsia="仿宋" w:cs="仿宋"/>
          <w:color w:val="auto"/>
          <w:sz w:val="24"/>
          <w:highlight w:val="none"/>
        </w:rPr>
        <w:t>）产品选型、配置及性能指标、质量保证措施等；</w:t>
      </w:r>
    </w:p>
    <w:p w14:paraId="19454B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（2）货物供应、售后服务、项目业绩等；</w:t>
      </w:r>
    </w:p>
    <w:p w14:paraId="32F221EE">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（3）利于投标方的其它证明材料；</w:t>
      </w:r>
    </w:p>
    <w:p w14:paraId="3751CC8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 开标对投标人资质中的所有投标资质及评标所需的资料证明等，严格遵循“第四部分”中 1.2、1.3 条款之规定。</w:t>
      </w:r>
    </w:p>
    <w:p w14:paraId="4FF46C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 投标方保证和承诺所投产品报价不存在恶意或有意压价、恶意或有意虚报报价，也不存在恶意或有意抬高报价等行为。</w:t>
      </w:r>
    </w:p>
    <w:p w14:paraId="141E7DB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 投标方保证和承诺不存在与其它投标人有串标、陪标等行为。</w:t>
      </w:r>
    </w:p>
    <w:p w14:paraId="0C604526">
      <w:pPr>
        <w:spacing w:line="360" w:lineRule="auto"/>
        <w:ind w:firstLine="2760" w:firstLineChars="115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 投标文件的编写</w:t>
      </w:r>
    </w:p>
    <w:p w14:paraId="56B0AE9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2.要求</w:t>
      </w:r>
    </w:p>
    <w:p w14:paraId="39AAB73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2.1投标人应详细阅读采购人的采购文件中的条款、规范、表述、条件和格式等所有内容，按采购文件的要求编制投标文件和</w:t>
      </w:r>
      <w:r>
        <w:rPr>
          <w:rFonts w:hint="eastAsia" w:ascii="仿宋" w:hAnsi="仿宋" w:eastAsia="仿宋" w:cs="仿宋"/>
          <w:color w:val="auto"/>
          <w:sz w:val="24"/>
          <w:highlight w:val="none"/>
          <w:lang w:val="en-US"/>
        </w:rPr>
        <w:t>按时</w:t>
      </w:r>
      <w:r>
        <w:rPr>
          <w:rFonts w:hint="eastAsia" w:ascii="仿宋" w:hAnsi="仿宋" w:eastAsia="仿宋" w:cs="仿宋"/>
          <w:color w:val="auto"/>
          <w:sz w:val="24"/>
          <w:highlight w:val="none"/>
        </w:rPr>
        <w:t>上传投标文件，并保证所提供全部材料的真实性；投标文件必须对采购文件提出的要求和条件作出实质性响应。否则，其投标可能将被拒绝。</w:t>
      </w:r>
    </w:p>
    <w:p w14:paraId="6C045C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2.2允许投标人对采购文件中的所有包投标，也可根据本企业生产或</w:t>
      </w:r>
      <w:r>
        <w:rPr>
          <w:rFonts w:hint="eastAsia" w:ascii="仿宋" w:hAnsi="仿宋" w:eastAsia="仿宋" w:cs="仿宋"/>
          <w:color w:val="auto"/>
          <w:sz w:val="24"/>
          <w:highlight w:val="none"/>
          <w:lang w:val="en-US"/>
        </w:rPr>
        <w:t>本企业销售</w:t>
      </w:r>
      <w:r>
        <w:rPr>
          <w:rFonts w:hint="eastAsia" w:ascii="仿宋" w:hAnsi="仿宋" w:eastAsia="仿宋" w:cs="仿宋"/>
          <w:color w:val="auto"/>
          <w:sz w:val="24"/>
          <w:highlight w:val="none"/>
        </w:rPr>
        <w:t>产品的情况对部分包进行投标，但不允许投标人对某一包中的一项或部分项进行投标。采购人可选择一家投标人为所有包的成交人，也可选择若干个分别中标。</w:t>
      </w:r>
    </w:p>
    <w:p w14:paraId="04E4ED5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3.投标文件语言和度量单位</w:t>
      </w:r>
    </w:p>
    <w:p w14:paraId="47D6E8E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3.1采购文件及投标人和采购人就招标、投标交换的文件和往来信件，须以中文书写。</w:t>
      </w:r>
    </w:p>
    <w:p w14:paraId="5F11371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3.2除在采购文件的技术规格中另有规定外，计量单位应使用中华人民共和国法定计量单位。</w:t>
      </w:r>
    </w:p>
    <w:p w14:paraId="636DEAA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4.投标文件的组成</w:t>
      </w:r>
    </w:p>
    <w:p w14:paraId="4BFED32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4.1投标人编写的投标文件应</w:t>
      </w:r>
      <w:r>
        <w:rPr>
          <w:rFonts w:hint="eastAsia" w:ascii="仿宋" w:hAnsi="仿宋" w:eastAsia="仿宋" w:cs="仿宋"/>
          <w:color w:val="auto"/>
          <w:sz w:val="24"/>
          <w:highlight w:val="none"/>
          <w:lang w:val="en-US"/>
        </w:rPr>
        <w:t>主要</w:t>
      </w:r>
      <w:r>
        <w:rPr>
          <w:rFonts w:hint="eastAsia" w:ascii="仿宋" w:hAnsi="仿宋" w:eastAsia="仿宋" w:cs="仿宋"/>
          <w:color w:val="auto"/>
          <w:sz w:val="24"/>
          <w:highlight w:val="none"/>
        </w:rPr>
        <w:t>包括下列内容：（</w:t>
      </w:r>
      <w:r>
        <w:rPr>
          <w:rFonts w:hint="eastAsia" w:ascii="仿宋" w:hAnsi="仿宋" w:eastAsia="仿宋" w:cs="仿宋"/>
          <w:color w:val="auto"/>
          <w:sz w:val="24"/>
          <w:highlight w:val="none"/>
          <w:lang w:val="en-US"/>
        </w:rPr>
        <w:t>包含但不限于</w:t>
      </w:r>
      <w:r>
        <w:rPr>
          <w:rFonts w:hint="eastAsia" w:ascii="仿宋" w:hAnsi="仿宋" w:eastAsia="仿宋" w:cs="仿宋"/>
          <w:color w:val="auto"/>
          <w:sz w:val="24"/>
          <w:highlight w:val="none"/>
        </w:rPr>
        <w:t>）</w:t>
      </w:r>
    </w:p>
    <w:p w14:paraId="4699690E">
      <w:pPr>
        <w:spacing w:line="360" w:lineRule="auto"/>
        <w:ind w:firstLine="440" w:firstLineChars="200"/>
        <w:rPr>
          <w:rFonts w:hint="eastAsia" w:ascii="仿宋" w:hAnsi="仿宋" w:eastAsia="仿宋" w:cs="仿宋"/>
          <w:color w:val="auto"/>
          <w:highlight w:val="none"/>
        </w:rPr>
      </w:pPr>
      <w:r>
        <w:rPr>
          <w:rFonts w:hint="eastAsia" w:ascii="仿宋" w:hAnsi="仿宋" w:eastAsia="仿宋" w:cs="仿宋"/>
          <w:color w:val="auto"/>
          <w:highlight w:val="none"/>
        </w:rPr>
        <w:t>1、投标函</w:t>
      </w:r>
    </w:p>
    <w:p w14:paraId="034F61AA">
      <w:pPr>
        <w:spacing w:line="360" w:lineRule="auto"/>
        <w:ind w:firstLine="440" w:firstLineChars="200"/>
        <w:rPr>
          <w:rFonts w:hint="eastAsia" w:ascii="仿宋" w:hAnsi="仿宋" w:eastAsia="仿宋" w:cs="仿宋"/>
          <w:color w:val="auto"/>
          <w:highlight w:val="none"/>
        </w:rPr>
      </w:pPr>
      <w:r>
        <w:rPr>
          <w:rFonts w:hint="eastAsia" w:ascii="仿宋" w:hAnsi="仿宋" w:eastAsia="仿宋" w:cs="仿宋"/>
          <w:color w:val="auto"/>
          <w:highlight w:val="none"/>
        </w:rPr>
        <w:t>2、法定代表人资格证明书或法定代表人授权委托书</w:t>
      </w:r>
    </w:p>
    <w:p w14:paraId="6A2BCC53">
      <w:pPr>
        <w:spacing w:line="360" w:lineRule="auto"/>
        <w:ind w:firstLine="440" w:firstLineChars="200"/>
        <w:rPr>
          <w:rFonts w:hint="eastAsia" w:ascii="仿宋" w:hAnsi="仿宋" w:eastAsia="仿宋" w:cs="仿宋"/>
          <w:color w:val="auto"/>
          <w:highlight w:val="none"/>
        </w:rPr>
      </w:pPr>
      <w:r>
        <w:rPr>
          <w:rFonts w:hint="eastAsia" w:ascii="仿宋" w:hAnsi="仿宋" w:eastAsia="仿宋" w:cs="仿宋"/>
          <w:color w:val="auto"/>
          <w:highlight w:val="none"/>
        </w:rPr>
        <w:t>3、开标一览表</w:t>
      </w:r>
    </w:p>
    <w:p w14:paraId="66E25DCF">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4、报价明细表；</w:t>
      </w:r>
    </w:p>
    <w:p w14:paraId="09FD98D5">
      <w:pPr>
        <w:spacing w:line="360" w:lineRule="auto"/>
        <w:ind w:firstLine="44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rPr>
        <w:t>5、核心设备规格型号一览表（</w:t>
      </w:r>
      <w:r>
        <w:rPr>
          <w:rFonts w:hint="eastAsia" w:ascii="仿宋" w:hAnsi="仿宋" w:eastAsia="仿宋" w:cs="仿宋"/>
          <w:color w:val="auto"/>
          <w:highlight w:val="none"/>
        </w:rPr>
        <w:t>格式附后</w:t>
      </w:r>
      <w:r>
        <w:rPr>
          <w:rFonts w:hint="eastAsia" w:ascii="仿宋" w:hAnsi="仿宋" w:eastAsia="仿宋" w:cs="仿宋"/>
          <w:color w:val="auto"/>
          <w:highlight w:val="none"/>
          <w:lang w:val="en-US"/>
        </w:rPr>
        <w:t>）</w:t>
      </w:r>
    </w:p>
    <w:p w14:paraId="2F19E392">
      <w:pPr>
        <w:spacing w:line="360" w:lineRule="auto"/>
        <w:ind w:firstLine="44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rPr>
        <w:t>6</w:t>
      </w:r>
      <w:r>
        <w:rPr>
          <w:rFonts w:hint="eastAsia" w:ascii="仿宋" w:hAnsi="仿宋" w:eastAsia="仿宋" w:cs="仿宋"/>
          <w:color w:val="auto"/>
          <w:highlight w:val="none"/>
        </w:rPr>
        <w:t>、投标人资质证明文件，包括：（</w:t>
      </w:r>
      <w:r>
        <w:rPr>
          <w:rFonts w:hint="eastAsia" w:ascii="仿宋" w:hAnsi="仿宋" w:eastAsia="仿宋" w:cs="仿宋"/>
          <w:color w:val="auto"/>
          <w:highlight w:val="none"/>
          <w:lang w:val="en-US"/>
        </w:rPr>
        <w:t>但不限于</w:t>
      </w:r>
      <w:r>
        <w:rPr>
          <w:rFonts w:hint="eastAsia" w:ascii="仿宋" w:hAnsi="仿宋" w:eastAsia="仿宋" w:cs="仿宋"/>
          <w:color w:val="auto"/>
          <w:highlight w:val="none"/>
        </w:rPr>
        <w:t>）</w:t>
      </w:r>
    </w:p>
    <w:p w14:paraId="645BD759">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（1）关于资格的声明函</w:t>
      </w:r>
    </w:p>
    <w:p w14:paraId="76356337">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（2）法人营业执照或其他资格证明</w:t>
      </w:r>
    </w:p>
    <w:p w14:paraId="49E27ECB">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（3）法定代表人授权书</w:t>
      </w:r>
    </w:p>
    <w:p w14:paraId="666EC111">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（4）供应商财务状况报告（提供上年度财务审计报告）</w:t>
      </w:r>
    </w:p>
    <w:p w14:paraId="1BC9E08E">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（5）社会保障资金缴纳记录（提供近半年社保缴纳凭证）</w:t>
      </w:r>
    </w:p>
    <w:p w14:paraId="10A587AF">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（6）依法缴纳税收的证明材料（提供近半年完税证明）</w:t>
      </w:r>
    </w:p>
    <w:p w14:paraId="5E9DDA4D">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（7）具备履行合同所必需的设备和专业技术能力的书面声明</w:t>
      </w:r>
    </w:p>
    <w:p w14:paraId="6198CC37">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（8）参加本次采购活动前三年内，在经营活动中没有重大违法记录的书面声明</w:t>
      </w:r>
    </w:p>
    <w:p w14:paraId="5BF499CC">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（9）未参与本项目整体设计、规范编制或者项目管理、监理、检测等服务、与参与本次政府采购活动的其他供应商不存在法人(单位负责人)为同一人或者直接控股、管理关系的，</w:t>
      </w:r>
      <w:r>
        <w:rPr>
          <w:rFonts w:hint="eastAsia" w:ascii="仿宋" w:hAnsi="仿宋" w:eastAsia="仿宋" w:cs="仿宋"/>
          <w:color w:val="auto"/>
          <w:highlight w:val="none"/>
        </w:rPr>
        <w:t>与采购人</w:t>
      </w:r>
      <w:r>
        <w:rPr>
          <w:rFonts w:hint="eastAsia" w:ascii="仿宋" w:hAnsi="仿宋" w:eastAsia="仿宋" w:cs="仿宋"/>
          <w:color w:val="auto"/>
          <w:highlight w:val="none"/>
          <w:lang w:val="en-US"/>
        </w:rPr>
        <w:t>不</w:t>
      </w:r>
      <w:r>
        <w:rPr>
          <w:rFonts w:hint="eastAsia" w:ascii="仿宋" w:hAnsi="仿宋" w:eastAsia="仿宋" w:cs="仿宋"/>
          <w:color w:val="auto"/>
          <w:highlight w:val="none"/>
        </w:rPr>
        <w:t>存在利害关系可能影响采购公正性的</w:t>
      </w:r>
      <w:r>
        <w:rPr>
          <w:rFonts w:hint="eastAsia" w:ascii="仿宋" w:hAnsi="仿宋" w:eastAsia="仿宋" w:cs="仿宋"/>
          <w:color w:val="auto"/>
          <w:highlight w:val="none"/>
          <w:lang w:val="en-US"/>
        </w:rPr>
        <w:t>（提供承诺书）</w:t>
      </w:r>
    </w:p>
    <w:p w14:paraId="47455B97">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（10）投标保证金（提供汇款凭证）</w:t>
      </w:r>
    </w:p>
    <w:p w14:paraId="42578459">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（11）信用信息查询截图（包含不限于信用中国网站（</w:t>
      </w:r>
      <w:r>
        <w:rPr>
          <w:rFonts w:hint="eastAsia" w:ascii="仿宋" w:hAnsi="仿宋" w:eastAsia="仿宋" w:cs="仿宋"/>
          <w:color w:val="auto"/>
          <w:highlight w:val="none"/>
          <w:lang w:val="en-US" w:eastAsia="zh-CN"/>
        </w:rPr>
        <w:t>重大税收违法失信主体</w:t>
      </w:r>
      <w:r>
        <w:rPr>
          <w:rFonts w:hint="eastAsia" w:ascii="仿宋" w:hAnsi="仿宋" w:eastAsia="仿宋" w:cs="仿宋"/>
          <w:color w:val="auto"/>
          <w:highlight w:val="none"/>
          <w:lang w:val="en-US"/>
        </w:rPr>
        <w:t>查询）、中国政府采购网（政府采购严重违法失信名单查询）、中国执行信息公开网（失信被执行人名单查询）、国家企业信用信息公示系统（行政处罚信息、列入经营异常名录信息、列入严重违法失信名单（黑名单）信息）、裁判文书网（行贿犯罪记录查询））；</w:t>
      </w:r>
    </w:p>
    <w:p w14:paraId="257B1E18">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（12）投标单位（供应商）《反商业贿赂承诺书》；</w:t>
      </w:r>
    </w:p>
    <w:p w14:paraId="46D740D1">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（13）未组成联合体进行投标的声明。</w:t>
      </w:r>
    </w:p>
    <w:p w14:paraId="47137C1B">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（14）其它补充资料</w:t>
      </w:r>
    </w:p>
    <w:p w14:paraId="5D0EF173">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7、技术及商务响应（偏离）表；</w:t>
      </w:r>
    </w:p>
    <w:p w14:paraId="386F93A5">
      <w:pPr>
        <w:spacing w:line="360" w:lineRule="auto"/>
        <w:ind w:firstLine="44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8、产品</w:t>
      </w:r>
      <w:r>
        <w:rPr>
          <w:rFonts w:hint="eastAsia" w:ascii="仿宋" w:hAnsi="仿宋" w:eastAsia="仿宋" w:cs="仿宋"/>
          <w:color w:val="auto"/>
          <w:highlight w:val="none"/>
        </w:rPr>
        <w:t>配置及性能指标；</w:t>
      </w:r>
    </w:p>
    <w:p w14:paraId="6B9F5A13">
      <w:pPr>
        <w:spacing w:line="360" w:lineRule="auto"/>
        <w:ind w:firstLine="44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rPr>
        <w:t>9、质量保证措施；</w:t>
      </w:r>
    </w:p>
    <w:p w14:paraId="0ACCCBAF">
      <w:pPr>
        <w:spacing w:line="360" w:lineRule="auto"/>
        <w:ind w:firstLine="44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rPr>
        <w:t>10、</w:t>
      </w:r>
      <w:r>
        <w:rPr>
          <w:rFonts w:hint="eastAsia" w:ascii="仿宋" w:hAnsi="仿宋" w:eastAsia="仿宋" w:cs="仿宋"/>
          <w:color w:val="auto"/>
          <w:highlight w:val="none"/>
          <w:lang w:val="en-US" w:eastAsia="zh-CN"/>
        </w:rPr>
        <w:t>实施</w:t>
      </w:r>
      <w:r>
        <w:rPr>
          <w:rFonts w:hint="eastAsia" w:ascii="仿宋" w:hAnsi="仿宋" w:eastAsia="仿宋" w:cs="仿宋"/>
          <w:color w:val="auto"/>
          <w:highlight w:val="none"/>
          <w:lang w:val="en-US"/>
        </w:rPr>
        <w:t>方案</w:t>
      </w:r>
      <w:r>
        <w:rPr>
          <w:rFonts w:hint="eastAsia" w:ascii="仿宋" w:hAnsi="仿宋" w:eastAsia="仿宋" w:cs="仿宋"/>
          <w:color w:val="auto"/>
          <w:highlight w:val="none"/>
        </w:rPr>
        <w:t>；</w:t>
      </w:r>
    </w:p>
    <w:p w14:paraId="6EDC7AE0">
      <w:pPr>
        <w:spacing w:line="360" w:lineRule="auto"/>
        <w:ind w:firstLine="44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rPr>
        <w:t>11、</w:t>
      </w:r>
      <w:r>
        <w:rPr>
          <w:rFonts w:hint="eastAsia" w:ascii="仿宋" w:hAnsi="仿宋" w:eastAsia="仿宋" w:cs="仿宋"/>
          <w:color w:val="auto"/>
          <w:highlight w:val="none"/>
        </w:rPr>
        <w:t>售后服务；</w:t>
      </w:r>
    </w:p>
    <w:p w14:paraId="118DD2E2">
      <w:pPr>
        <w:spacing w:line="360" w:lineRule="auto"/>
        <w:ind w:firstLine="44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rPr>
        <w:t>12、</w:t>
      </w:r>
      <w:r>
        <w:rPr>
          <w:rFonts w:hint="eastAsia" w:ascii="仿宋" w:hAnsi="仿宋" w:eastAsia="仿宋" w:cs="仿宋"/>
          <w:color w:val="auto"/>
          <w:highlight w:val="none"/>
        </w:rPr>
        <w:t>项目的业绩；</w:t>
      </w:r>
    </w:p>
    <w:p w14:paraId="25838788">
      <w:pPr>
        <w:spacing w:line="360" w:lineRule="auto"/>
        <w:ind w:firstLine="440" w:firstLineChars="200"/>
        <w:rPr>
          <w:rFonts w:hint="eastAsia" w:ascii="仿宋" w:hAnsi="仿宋" w:eastAsia="仿宋" w:cs="仿宋"/>
          <w:color w:val="auto"/>
          <w:sz w:val="24"/>
          <w:highlight w:val="none"/>
          <w:lang w:val="en-US"/>
        </w:rPr>
      </w:pPr>
      <w:r>
        <w:rPr>
          <w:rFonts w:hint="eastAsia" w:ascii="仿宋" w:hAnsi="仿宋" w:eastAsia="仿宋" w:cs="仿宋"/>
          <w:color w:val="auto"/>
          <w:highlight w:val="none"/>
          <w:lang w:val="en-US"/>
        </w:rPr>
        <w:t>13、提供其它有利于投标的资料；</w:t>
      </w:r>
    </w:p>
    <w:p w14:paraId="0C3F22B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具体编制顺序严格按附件中投标文件编制顺序进行</w:t>
      </w:r>
      <w:r>
        <w:rPr>
          <w:rFonts w:hint="eastAsia" w:ascii="仿宋" w:hAnsi="仿宋" w:eastAsia="仿宋" w:cs="仿宋"/>
          <w:color w:val="auto"/>
          <w:sz w:val="24"/>
          <w:highlight w:val="none"/>
          <w:lang w:val="en-US"/>
        </w:rPr>
        <w:t>编制</w:t>
      </w:r>
      <w:r>
        <w:rPr>
          <w:rFonts w:hint="eastAsia" w:ascii="仿宋" w:hAnsi="仿宋" w:eastAsia="仿宋" w:cs="仿宋"/>
          <w:color w:val="auto"/>
          <w:sz w:val="24"/>
          <w:highlight w:val="none"/>
        </w:rPr>
        <w:t>。</w:t>
      </w:r>
    </w:p>
    <w:p w14:paraId="64845BB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5．投标文件格式</w:t>
      </w:r>
    </w:p>
    <w:p w14:paraId="6831561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 投标方应按采购文件范本格式中提供的投标文件格式认真填写投标</w:t>
      </w:r>
      <w:r>
        <w:rPr>
          <w:rFonts w:hint="eastAsia" w:ascii="仿宋" w:hAnsi="仿宋" w:eastAsia="仿宋" w:cs="仿宋"/>
          <w:color w:val="auto"/>
          <w:sz w:val="24"/>
          <w:highlight w:val="none"/>
          <w:lang w:val="en-US"/>
        </w:rPr>
        <w:t>函</w:t>
      </w:r>
      <w:r>
        <w:rPr>
          <w:rFonts w:hint="eastAsia" w:ascii="仿宋" w:hAnsi="仿宋" w:eastAsia="仿宋" w:cs="仿宋"/>
          <w:color w:val="auto"/>
          <w:sz w:val="24"/>
          <w:highlight w:val="none"/>
        </w:rPr>
        <w:t>、开标一览表、产品规格报价明细表等，并</w:t>
      </w:r>
      <w:r>
        <w:rPr>
          <w:rFonts w:hint="eastAsia" w:ascii="仿宋" w:hAnsi="仿宋" w:eastAsia="仿宋" w:cs="仿宋"/>
          <w:color w:val="auto"/>
          <w:sz w:val="24"/>
          <w:highlight w:val="none"/>
          <w:lang w:val="en-US"/>
        </w:rPr>
        <w:t>按表格要求</w:t>
      </w:r>
      <w:r>
        <w:rPr>
          <w:rFonts w:hint="eastAsia" w:ascii="仿宋" w:hAnsi="仿宋" w:eastAsia="仿宋" w:cs="仿宋"/>
          <w:color w:val="auto"/>
          <w:sz w:val="24"/>
          <w:highlight w:val="none"/>
        </w:rPr>
        <w:t>注明投标货物的名称、货物</w:t>
      </w:r>
      <w:r>
        <w:rPr>
          <w:rFonts w:hint="eastAsia" w:ascii="仿宋" w:hAnsi="仿宋" w:eastAsia="仿宋" w:cs="仿宋"/>
          <w:color w:val="auto"/>
          <w:sz w:val="24"/>
          <w:highlight w:val="none"/>
          <w:lang w:val="en-US"/>
        </w:rPr>
        <w:t>规格及型号</w:t>
      </w:r>
      <w:r>
        <w:rPr>
          <w:rFonts w:hint="eastAsia" w:ascii="仿宋" w:hAnsi="仿宋" w:eastAsia="仿宋" w:cs="仿宋"/>
          <w:color w:val="auto"/>
          <w:sz w:val="24"/>
          <w:highlight w:val="none"/>
        </w:rPr>
        <w:t>、原产地、数量和价格等。</w:t>
      </w:r>
    </w:p>
    <w:p w14:paraId="7C842F7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6.投标报价</w:t>
      </w:r>
    </w:p>
    <w:p w14:paraId="345D5F8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6.1投标人须在报价</w:t>
      </w:r>
      <w:r>
        <w:rPr>
          <w:rFonts w:hint="eastAsia" w:ascii="仿宋" w:hAnsi="仿宋" w:eastAsia="仿宋" w:cs="仿宋"/>
          <w:color w:val="auto"/>
          <w:sz w:val="24"/>
          <w:highlight w:val="none"/>
          <w:lang w:val="en-US"/>
        </w:rPr>
        <w:t>明细</w:t>
      </w:r>
      <w:r>
        <w:rPr>
          <w:rFonts w:hint="eastAsia" w:ascii="仿宋" w:hAnsi="仿宋" w:eastAsia="仿宋" w:cs="仿宋"/>
          <w:color w:val="auto"/>
          <w:sz w:val="24"/>
          <w:highlight w:val="none"/>
        </w:rPr>
        <w:t>表上标明单价和总价。</w:t>
      </w:r>
    </w:p>
    <w:p w14:paraId="0CF3C92B">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14:paraId="270A058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同时出现两种以上不一致的，按照规定的顺序修正。修正后的报价按照规定经投标人确认后产生约束力，投标人不确认的，其投标无效。</w:t>
      </w:r>
    </w:p>
    <w:p w14:paraId="42F2EB9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投标人应标明其提供的所有</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及其相关工作范围内所有费用的总价，采购人不接受有任何选择性的报价。</w:t>
      </w:r>
    </w:p>
    <w:p w14:paraId="1C49E6A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6.2投标时应注意下列几点：</w:t>
      </w:r>
    </w:p>
    <w:p w14:paraId="3B602A3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6.2.1采购文件中特别要求的安装、调试、培训、运输、保险及其它附带服务的全部费用；</w:t>
      </w:r>
    </w:p>
    <w:p w14:paraId="3F6C846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7.投标报价的货币单位</w:t>
      </w:r>
    </w:p>
    <w:p w14:paraId="230DD36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7.1投标报价单位为人民币。</w:t>
      </w:r>
    </w:p>
    <w:p w14:paraId="348E484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8．投标文件规定的技术文件</w:t>
      </w:r>
    </w:p>
    <w:p w14:paraId="7C29FF0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8.1投标人须提交证明拟供货物和服务符合采购文件规定的技术文件，作为投标文件的一部分。</w:t>
      </w:r>
    </w:p>
    <w:p w14:paraId="5A76CCF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8.2上述文件可以是文字资料、图纸和数据，并提供：</w:t>
      </w:r>
    </w:p>
    <w:p w14:paraId="69A6FD9A">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（1）货物主要技术及性能特点的详细描述；</w:t>
      </w:r>
    </w:p>
    <w:p w14:paraId="592ACC53">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（2）货物的详细资料，包括检验报告等；</w:t>
      </w:r>
    </w:p>
    <w:p w14:paraId="4144E2E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9.</w:t>
      </w:r>
      <w:r>
        <w:rPr>
          <w:rFonts w:hint="eastAsia" w:ascii="仿宋" w:hAnsi="仿宋" w:eastAsia="仿宋" w:cs="仿宋"/>
          <w:color w:val="auto"/>
          <w:sz w:val="24"/>
          <w:highlight w:val="none"/>
        </w:rPr>
        <w:t>投标有效期</w:t>
      </w:r>
    </w:p>
    <w:p w14:paraId="1BC84D98">
      <w:pPr>
        <w:spacing w:line="360" w:lineRule="auto"/>
        <w:ind w:firstLine="482" w:firstLineChars="20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投标有效期</w:t>
      </w:r>
      <w:r>
        <w:rPr>
          <w:rFonts w:hint="eastAsia" w:ascii="仿宋" w:hAnsi="仿宋" w:eastAsia="仿宋" w:cs="仿宋"/>
          <w:b/>
          <w:bCs/>
          <w:color w:val="auto"/>
          <w:sz w:val="24"/>
          <w:highlight w:val="none"/>
          <w:lang w:val="zh-CN"/>
        </w:rPr>
        <w:t>9</w:t>
      </w:r>
      <w:r>
        <w:rPr>
          <w:rFonts w:hint="eastAsia" w:ascii="仿宋" w:hAnsi="仿宋" w:eastAsia="仿宋" w:cs="仿宋"/>
          <w:b/>
          <w:bCs/>
          <w:color w:val="auto"/>
          <w:sz w:val="24"/>
          <w:highlight w:val="none"/>
        </w:rPr>
        <w:t>0天；</w:t>
      </w:r>
    </w:p>
    <w:p w14:paraId="41079439">
      <w:pPr>
        <w:rPr>
          <w:rFonts w:hint="eastAsia" w:ascii="仿宋" w:hAnsi="仿宋" w:eastAsia="仿宋" w:cs="仿宋"/>
          <w:color w:val="auto"/>
          <w:highlight w:val="none"/>
        </w:rPr>
      </w:pPr>
    </w:p>
    <w:p w14:paraId="48CE525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10.1　投标文件应清楚工整，一般不准修改。个别非实质性修改之处必须由投标人的法定代表人或</w:t>
      </w:r>
      <w:r>
        <w:rPr>
          <w:rFonts w:hint="eastAsia" w:ascii="仿宋" w:hAnsi="仿宋" w:eastAsia="仿宋" w:cs="仿宋"/>
          <w:color w:val="auto"/>
          <w:sz w:val="24"/>
          <w:highlight w:val="none"/>
          <w:lang w:val="en-US"/>
        </w:rPr>
        <w:t>委托代理人</w:t>
      </w:r>
      <w:r>
        <w:rPr>
          <w:rFonts w:hint="eastAsia" w:ascii="仿宋" w:hAnsi="仿宋" w:eastAsia="仿宋" w:cs="仿宋"/>
          <w:color w:val="auto"/>
          <w:sz w:val="24"/>
          <w:highlight w:val="none"/>
        </w:rPr>
        <w:t>在修改的每一页上签字或盖投标单位公章后</w:t>
      </w:r>
      <w:r>
        <w:rPr>
          <w:rFonts w:hint="eastAsia" w:ascii="仿宋" w:hAnsi="仿宋" w:eastAsia="仿宋" w:cs="仿宋"/>
          <w:color w:val="auto"/>
          <w:sz w:val="24"/>
          <w:highlight w:val="none"/>
          <w:lang w:val="en-US"/>
        </w:rPr>
        <w:t>方才</w:t>
      </w:r>
      <w:r>
        <w:rPr>
          <w:rFonts w:hint="eastAsia" w:ascii="仿宋" w:hAnsi="仿宋" w:eastAsia="仿宋" w:cs="仿宋"/>
          <w:color w:val="auto"/>
          <w:sz w:val="24"/>
          <w:highlight w:val="none"/>
        </w:rPr>
        <w:t>有效。</w:t>
      </w:r>
    </w:p>
    <w:p w14:paraId="02546D6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10.2　投标文件应由法定代表人或</w:t>
      </w:r>
      <w:r>
        <w:rPr>
          <w:rFonts w:hint="eastAsia" w:ascii="仿宋" w:hAnsi="仿宋" w:eastAsia="仿宋" w:cs="仿宋"/>
          <w:b/>
          <w:bCs/>
          <w:color w:val="auto"/>
          <w:sz w:val="24"/>
          <w:highlight w:val="none"/>
          <w:lang w:val="en-US"/>
        </w:rPr>
        <w:t>委托代理人</w:t>
      </w:r>
      <w:r>
        <w:rPr>
          <w:rFonts w:hint="eastAsia" w:ascii="仿宋" w:hAnsi="仿宋" w:eastAsia="仿宋" w:cs="仿宋"/>
          <w:b/>
          <w:bCs/>
          <w:color w:val="auto"/>
          <w:sz w:val="24"/>
          <w:highlight w:val="none"/>
        </w:rPr>
        <w:t>在</w:t>
      </w:r>
      <w:r>
        <w:rPr>
          <w:rFonts w:hint="eastAsia" w:ascii="仿宋" w:hAnsi="仿宋" w:eastAsia="仿宋" w:cs="仿宋"/>
          <w:b/>
          <w:bCs/>
          <w:color w:val="auto"/>
          <w:sz w:val="24"/>
          <w:highlight w:val="none"/>
          <w:lang w:val="en-US"/>
        </w:rPr>
        <w:t>规定位置</w:t>
      </w:r>
      <w:r>
        <w:rPr>
          <w:rFonts w:hint="eastAsia" w:ascii="仿宋" w:hAnsi="仿宋" w:eastAsia="仿宋" w:cs="仿宋"/>
          <w:b/>
          <w:bCs/>
          <w:color w:val="auto"/>
          <w:sz w:val="24"/>
          <w:highlight w:val="none"/>
        </w:rPr>
        <w:t>逐一签署或加盖</w:t>
      </w:r>
      <w:r>
        <w:rPr>
          <w:rFonts w:hint="eastAsia" w:ascii="仿宋" w:hAnsi="仿宋" w:eastAsia="仿宋" w:cs="仿宋"/>
          <w:b/>
          <w:bCs/>
          <w:color w:val="auto"/>
          <w:sz w:val="24"/>
          <w:highlight w:val="none"/>
          <w:lang w:val="en-US"/>
        </w:rPr>
        <w:t>投标</w:t>
      </w:r>
      <w:r>
        <w:rPr>
          <w:rFonts w:hint="eastAsia" w:ascii="仿宋" w:hAnsi="仿宋" w:eastAsia="仿宋" w:cs="仿宋"/>
          <w:b/>
          <w:bCs/>
          <w:color w:val="auto"/>
          <w:sz w:val="24"/>
          <w:highlight w:val="none"/>
        </w:rPr>
        <w:t>单位公章，投标文件方为有效。</w:t>
      </w:r>
    </w:p>
    <w:p w14:paraId="3F7527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10.3  电报、电话、传真、电子邮件等形式的投标概不接受。</w:t>
      </w:r>
    </w:p>
    <w:p w14:paraId="0B15ACB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11．投标保证金</w:t>
      </w:r>
    </w:p>
    <w:p w14:paraId="5FFAD7C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1 </w:t>
      </w:r>
      <w:r>
        <w:rPr>
          <w:rFonts w:hint="eastAsia" w:ascii="仿宋" w:hAnsi="仿宋" w:eastAsia="仿宋" w:cs="仿宋"/>
          <w:color w:val="auto"/>
          <w:sz w:val="24"/>
          <w:highlight w:val="none"/>
        </w:rPr>
        <w:t>投标保证金</w:t>
      </w:r>
      <w:r>
        <w:rPr>
          <w:rFonts w:hint="eastAsia" w:ascii="仿宋" w:hAnsi="仿宋" w:eastAsia="仿宋" w:cs="仿宋"/>
          <w:color w:val="auto"/>
          <w:sz w:val="24"/>
          <w:highlight w:val="none"/>
          <w:lang w:val="en-US"/>
        </w:rPr>
        <w:t>的</w:t>
      </w:r>
      <w:r>
        <w:rPr>
          <w:rFonts w:hint="eastAsia" w:ascii="仿宋" w:hAnsi="仿宋" w:eastAsia="仿宋" w:cs="仿宋"/>
          <w:color w:val="auto"/>
          <w:sz w:val="24"/>
          <w:highlight w:val="none"/>
        </w:rPr>
        <w:t>有效期应不低于投标有效期。</w:t>
      </w:r>
    </w:p>
    <w:p w14:paraId="08D3B760">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2</w:t>
      </w:r>
      <w:r>
        <w:rPr>
          <w:rFonts w:hint="eastAsia" w:ascii="仿宋" w:hAnsi="仿宋" w:eastAsia="仿宋" w:cs="仿宋"/>
          <w:color w:val="auto"/>
          <w:sz w:val="24"/>
          <w:highlight w:val="none"/>
        </w:rPr>
        <w:t>投标保证金：在投标截止时间前将本项目投标保证金</w:t>
      </w:r>
      <w:r>
        <w:rPr>
          <w:rFonts w:hint="eastAsia" w:ascii="仿宋" w:hAnsi="仿宋" w:eastAsia="仿宋" w:cs="仿宋"/>
          <w:color w:val="auto"/>
          <w:sz w:val="24"/>
          <w:highlight w:val="none"/>
          <w:lang w:val="en-US"/>
        </w:rPr>
        <w:t>提</w:t>
      </w:r>
      <w:r>
        <w:rPr>
          <w:rFonts w:hint="eastAsia" w:ascii="仿宋" w:hAnsi="仿宋" w:eastAsia="仿宋" w:cs="仿宋"/>
          <w:color w:val="auto"/>
          <w:sz w:val="24"/>
          <w:highlight w:val="none"/>
        </w:rPr>
        <w:t>交</w:t>
      </w:r>
      <w:r>
        <w:rPr>
          <w:rFonts w:hint="eastAsia" w:ascii="仿宋" w:hAnsi="仿宋" w:eastAsia="仿宋" w:cs="仿宋"/>
          <w:color w:val="auto"/>
          <w:sz w:val="24"/>
          <w:highlight w:val="none"/>
          <w:lang w:val="en-US"/>
        </w:rPr>
        <w:t>至</w:t>
      </w: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val="en-US"/>
        </w:rPr>
        <w:t>。</w:t>
      </w:r>
    </w:p>
    <w:p w14:paraId="17365620">
      <w:pPr>
        <w:spacing w:line="360" w:lineRule="auto"/>
        <w:ind w:firstLine="1080" w:firstLineChars="45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投标保证金提交形式：转  账</w:t>
      </w:r>
    </w:p>
    <w:p w14:paraId="77F8A8F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备注：办理投标保证金退付手续须</w:t>
      </w:r>
      <w:r>
        <w:rPr>
          <w:rFonts w:hint="eastAsia" w:ascii="仿宋" w:hAnsi="仿宋" w:eastAsia="仿宋" w:cs="仿宋"/>
          <w:color w:val="auto"/>
          <w:sz w:val="24"/>
          <w:highlight w:val="none"/>
          <w:lang w:val="en-US"/>
        </w:rPr>
        <w:t>提交</w:t>
      </w:r>
      <w:r>
        <w:rPr>
          <w:rFonts w:hint="eastAsia" w:ascii="仿宋" w:hAnsi="仿宋" w:eastAsia="仿宋" w:cs="仿宋"/>
          <w:color w:val="auto"/>
          <w:sz w:val="24"/>
          <w:highlight w:val="none"/>
        </w:rPr>
        <w:t>的资料：1、授权委托书（附身份证复印件）；2、转账凭证。请各投标人在开标结束后尽快</w:t>
      </w:r>
      <w:r>
        <w:rPr>
          <w:rFonts w:hint="eastAsia" w:ascii="仿宋" w:hAnsi="仿宋" w:eastAsia="仿宋" w:cs="仿宋"/>
          <w:color w:val="auto"/>
          <w:sz w:val="24"/>
          <w:highlight w:val="none"/>
          <w:lang w:val="en-US"/>
        </w:rPr>
        <w:t>提交</w:t>
      </w:r>
      <w:r>
        <w:rPr>
          <w:rFonts w:hint="eastAsia" w:ascii="仿宋" w:hAnsi="仿宋" w:eastAsia="仿宋" w:cs="仿宋"/>
          <w:color w:val="auto"/>
          <w:sz w:val="24"/>
          <w:highlight w:val="none"/>
        </w:rPr>
        <w:t>以上资料到我公司办理保证金退</w:t>
      </w:r>
      <w:r>
        <w:rPr>
          <w:rFonts w:hint="eastAsia" w:ascii="仿宋" w:hAnsi="仿宋" w:eastAsia="仿宋" w:cs="仿宋"/>
          <w:color w:val="auto"/>
          <w:sz w:val="24"/>
          <w:highlight w:val="none"/>
          <w:lang w:val="en-US"/>
        </w:rPr>
        <w:t>还</w:t>
      </w:r>
      <w:r>
        <w:rPr>
          <w:rFonts w:hint="eastAsia" w:ascii="仿宋" w:hAnsi="仿宋" w:eastAsia="仿宋" w:cs="仿宋"/>
          <w:color w:val="auto"/>
          <w:sz w:val="24"/>
          <w:highlight w:val="none"/>
        </w:rPr>
        <w:t>事宜。</w:t>
      </w:r>
    </w:p>
    <w:p w14:paraId="6DB4BF4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3 </w:t>
      </w:r>
      <w:r>
        <w:rPr>
          <w:rFonts w:hint="eastAsia" w:ascii="仿宋" w:hAnsi="仿宋" w:eastAsia="仿宋" w:cs="仿宋"/>
          <w:color w:val="auto"/>
          <w:sz w:val="24"/>
          <w:highlight w:val="none"/>
        </w:rPr>
        <w:t>采购人应在《中标通知书》发出后5个工作日内无息退还未成交供应商的投标保证金；在采购合同签订</w:t>
      </w:r>
      <w:r>
        <w:rPr>
          <w:rFonts w:hint="eastAsia" w:ascii="仿宋" w:hAnsi="仿宋" w:eastAsia="仿宋" w:cs="仿宋"/>
          <w:color w:val="auto"/>
          <w:sz w:val="24"/>
          <w:highlight w:val="none"/>
          <w:lang w:val="en-US"/>
        </w:rPr>
        <w:t>后</w:t>
      </w:r>
      <w:r>
        <w:rPr>
          <w:rFonts w:hint="eastAsia" w:ascii="仿宋" w:hAnsi="仿宋" w:eastAsia="仿宋" w:cs="仿宋"/>
          <w:color w:val="auto"/>
          <w:sz w:val="24"/>
          <w:highlight w:val="none"/>
        </w:rPr>
        <w:t>5个工作日内无息退还中标人的投标</w:t>
      </w:r>
      <w:r>
        <w:rPr>
          <w:rFonts w:hint="eastAsia" w:ascii="仿宋" w:hAnsi="仿宋" w:eastAsia="仿宋" w:cs="仿宋"/>
          <w:color w:val="auto"/>
          <w:sz w:val="24"/>
          <w:highlight w:val="none"/>
          <w:lang w:val="en-US"/>
        </w:rPr>
        <w:t>保证金</w:t>
      </w:r>
      <w:r>
        <w:rPr>
          <w:rFonts w:hint="eastAsia" w:ascii="仿宋" w:hAnsi="仿宋" w:eastAsia="仿宋" w:cs="仿宋"/>
          <w:color w:val="auto"/>
          <w:sz w:val="24"/>
          <w:highlight w:val="none"/>
        </w:rPr>
        <w:t>。</w:t>
      </w:r>
    </w:p>
    <w:p w14:paraId="4C22FE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 </w:t>
      </w:r>
      <w:r>
        <w:rPr>
          <w:rFonts w:hint="eastAsia" w:ascii="仿宋" w:hAnsi="仿宋" w:eastAsia="仿宋" w:cs="仿宋"/>
          <w:color w:val="auto"/>
          <w:sz w:val="24"/>
          <w:highlight w:val="none"/>
        </w:rPr>
        <w:t>未按采购文件规定提交投标保证金的，采购人应当拒绝接受投标人的投标文件，视为无效投标。</w:t>
      </w:r>
    </w:p>
    <w:p w14:paraId="6AB4BDD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5 </w:t>
      </w:r>
      <w:r>
        <w:rPr>
          <w:rFonts w:hint="eastAsia" w:ascii="仿宋" w:hAnsi="仿宋" w:eastAsia="仿宋" w:cs="仿宋"/>
          <w:color w:val="auto"/>
          <w:sz w:val="24"/>
          <w:highlight w:val="none"/>
        </w:rPr>
        <w:t>下列任何情况发生时，投标报价保证金将被没收。</w:t>
      </w:r>
    </w:p>
    <w:p w14:paraId="7F0CBC6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5.1</w:t>
      </w:r>
      <w:r>
        <w:rPr>
          <w:rFonts w:hint="eastAsia" w:ascii="仿宋" w:hAnsi="仿宋" w:eastAsia="仿宋" w:cs="仿宋"/>
          <w:color w:val="auto"/>
          <w:sz w:val="24"/>
          <w:highlight w:val="none"/>
        </w:rPr>
        <w:t>投标有效期内投标人撤销投标文件的，采购人或者采购代理机构可以不退还投标保证金。</w:t>
      </w:r>
    </w:p>
    <w:p w14:paraId="0E6D292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5.2 </w:t>
      </w:r>
      <w:r>
        <w:rPr>
          <w:rFonts w:hint="eastAsia" w:ascii="仿宋" w:hAnsi="仿宋" w:eastAsia="仿宋" w:cs="仿宋"/>
          <w:color w:val="auto"/>
          <w:sz w:val="24"/>
          <w:highlight w:val="none"/>
        </w:rPr>
        <w:t>中标方在规定期限内未能按规定与采购人签订合同的。</w:t>
      </w:r>
    </w:p>
    <w:p w14:paraId="572F9DA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5.3 </w:t>
      </w:r>
      <w:r>
        <w:rPr>
          <w:rFonts w:hint="eastAsia" w:ascii="仿宋" w:hAnsi="仿宋" w:eastAsia="仿宋" w:cs="仿宋"/>
          <w:color w:val="auto"/>
          <w:sz w:val="24"/>
          <w:highlight w:val="none"/>
        </w:rPr>
        <w:t>投标人串通投标，其投标无效。</w:t>
      </w:r>
    </w:p>
    <w:p w14:paraId="2AAFAC8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投标文件的递交</w:t>
      </w:r>
    </w:p>
    <w:p w14:paraId="1E0059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 投标文件的标记</w:t>
      </w:r>
    </w:p>
    <w:p w14:paraId="65C129F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　任何不完整或不满足采购文件要求的投标文件</w:t>
      </w:r>
      <w:r>
        <w:rPr>
          <w:rFonts w:hint="eastAsia" w:ascii="仿宋" w:hAnsi="仿宋" w:eastAsia="仿宋" w:cs="仿宋"/>
          <w:color w:val="auto"/>
          <w:sz w:val="24"/>
          <w:highlight w:val="none"/>
          <w:lang w:val="en-US"/>
        </w:rPr>
        <w:t>采购人有权</w:t>
      </w:r>
      <w:r>
        <w:rPr>
          <w:rFonts w:hint="eastAsia" w:ascii="仿宋" w:hAnsi="仿宋" w:eastAsia="仿宋" w:cs="仿宋"/>
          <w:color w:val="auto"/>
          <w:sz w:val="24"/>
          <w:highlight w:val="none"/>
        </w:rPr>
        <w:t>拒绝。</w:t>
      </w:r>
    </w:p>
    <w:p w14:paraId="61F32C7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 投标截止时间</w:t>
      </w:r>
    </w:p>
    <w:p w14:paraId="1101BAAD">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13.1  投标文件的递交不得迟于采购文件规定的</w:t>
      </w:r>
      <w:r>
        <w:rPr>
          <w:rFonts w:hint="eastAsia" w:ascii="仿宋" w:hAnsi="仿宋" w:eastAsia="仿宋" w:cs="仿宋"/>
          <w:color w:val="auto"/>
          <w:sz w:val="24"/>
          <w:highlight w:val="none"/>
          <w:lang w:val="en-US"/>
        </w:rPr>
        <w:t>投标</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val="en-US"/>
        </w:rPr>
        <w:t>本次投标为线上投标；</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lang w:val="en-US"/>
        </w:rPr>
        <w:t>投标截止时间后递交或上传的</w:t>
      </w:r>
      <w:r>
        <w:rPr>
          <w:rFonts w:hint="eastAsia" w:ascii="仿宋" w:hAnsi="仿宋" w:eastAsia="仿宋" w:cs="仿宋"/>
          <w:color w:val="auto"/>
          <w:sz w:val="24"/>
          <w:highlight w:val="none"/>
        </w:rPr>
        <w:t>投标文件，为无效投标，投标文件将一律</w:t>
      </w:r>
      <w:r>
        <w:rPr>
          <w:rFonts w:hint="eastAsia" w:ascii="仿宋" w:hAnsi="仿宋" w:eastAsia="仿宋" w:cs="仿宋"/>
          <w:color w:val="auto"/>
          <w:sz w:val="24"/>
          <w:highlight w:val="none"/>
          <w:lang w:val="en-US"/>
        </w:rPr>
        <w:t>被拒绝。</w:t>
      </w:r>
    </w:p>
    <w:p w14:paraId="38F0DDCB">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13.2  如出现因采购文件的修改而推迟投标截止时间的，投标人应在采购文件变更中重新规定的投标截止时间前递交或上传投标文件。</w:t>
      </w:r>
    </w:p>
    <w:p w14:paraId="2751AC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第四章 评标委员会</w:t>
      </w:r>
    </w:p>
    <w:p w14:paraId="54AC3B8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15、评标委员会组成</w:t>
      </w:r>
    </w:p>
    <w:p w14:paraId="16BA4E0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5</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由采购人将根据《中华人民共和国政府采购法》规定，依法组建本次招标的评标委员会，负责组织本次招标的评标活动。评标委员会负责向采购人推荐拟中标人或者根据采购人的授权直接确定中标人。</w:t>
      </w:r>
    </w:p>
    <w:p w14:paraId="5C2312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本采购文件中所指的评标委员会及其成员，适用于公开招标（</w:t>
      </w:r>
      <w:r>
        <w:rPr>
          <w:rFonts w:hint="eastAsia" w:ascii="仿宋" w:hAnsi="仿宋" w:eastAsia="仿宋" w:cs="仿宋"/>
          <w:color w:val="auto"/>
          <w:sz w:val="24"/>
          <w:highlight w:val="none"/>
          <w:lang w:val="en-US"/>
        </w:rPr>
        <w:t>或</w:t>
      </w:r>
      <w:r>
        <w:rPr>
          <w:rFonts w:hint="eastAsia" w:ascii="仿宋" w:hAnsi="仿宋" w:eastAsia="仿宋" w:cs="仿宋"/>
          <w:color w:val="auto"/>
          <w:sz w:val="24"/>
          <w:highlight w:val="none"/>
        </w:rPr>
        <w:t>邀请招标）的采购方式。本采购文件中对评标委员会及其成员的要求，同时适用于采取</w:t>
      </w:r>
      <w:r>
        <w:rPr>
          <w:rFonts w:hint="eastAsia" w:ascii="仿宋" w:hAnsi="仿宋" w:eastAsia="仿宋" w:cs="仿宋"/>
          <w:color w:val="auto"/>
          <w:sz w:val="24"/>
          <w:highlight w:val="none"/>
          <w:lang w:val="en-US"/>
        </w:rPr>
        <w:t>公开招标</w:t>
      </w:r>
      <w:r>
        <w:rPr>
          <w:rFonts w:hint="eastAsia" w:ascii="仿宋" w:hAnsi="仿宋" w:eastAsia="仿宋" w:cs="仿宋"/>
          <w:color w:val="auto"/>
          <w:sz w:val="24"/>
          <w:highlight w:val="none"/>
        </w:rPr>
        <w:t>、竞争性谈判、询价或单一来源采购方式时依法组成的评审小组及其成员。</w:t>
      </w:r>
    </w:p>
    <w:p w14:paraId="4AE1B65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2 </w:t>
      </w:r>
      <w:r>
        <w:rPr>
          <w:rFonts w:hint="eastAsia" w:ascii="仿宋" w:hAnsi="仿宋" w:eastAsia="仿宋" w:cs="仿宋"/>
          <w:color w:val="auto"/>
          <w:sz w:val="24"/>
          <w:highlight w:val="none"/>
        </w:rPr>
        <w:t>评标委员会的成员于开标前，从</w:t>
      </w:r>
      <w:r>
        <w:rPr>
          <w:rFonts w:hint="eastAsia" w:ascii="仿宋" w:hAnsi="仿宋" w:eastAsia="仿宋" w:cs="仿宋"/>
          <w:color w:val="auto"/>
          <w:sz w:val="24"/>
          <w:highlight w:val="none"/>
          <w:lang w:val="en-US"/>
        </w:rPr>
        <w:t>政府采购</w:t>
      </w:r>
      <w:r>
        <w:rPr>
          <w:rFonts w:hint="eastAsia" w:ascii="仿宋" w:hAnsi="仿宋" w:eastAsia="仿宋" w:cs="仿宋"/>
          <w:color w:val="auto"/>
          <w:sz w:val="24"/>
          <w:highlight w:val="none"/>
        </w:rPr>
        <w:t>专家库中采取随机抽取的方式确定；对于技术复杂、专业性要求较高或者国家有特殊要求的招标项目，抽取的专家不能满足评标工作需要时，将采取直接确定的方式选定评标委员会的人选；评标委员会成员名单在中标结果确定前保密。</w:t>
      </w:r>
    </w:p>
    <w:p w14:paraId="0DA5B0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3 </w:t>
      </w:r>
      <w:r>
        <w:rPr>
          <w:rFonts w:hint="eastAsia" w:ascii="仿宋" w:hAnsi="仿宋" w:eastAsia="仿宋" w:cs="仿宋"/>
          <w:color w:val="auto"/>
          <w:sz w:val="24"/>
          <w:highlight w:val="none"/>
        </w:rPr>
        <w:t>评标委员会由有关技术、经济等方面的专家和采购人熟悉相关业务的代表人员组成，成员为</w:t>
      </w:r>
      <w:r>
        <w:rPr>
          <w:rFonts w:hint="eastAsia" w:ascii="仿宋" w:hAnsi="仿宋" w:eastAsia="仿宋" w:cs="仿宋"/>
          <w:color w:val="auto"/>
          <w:sz w:val="24"/>
          <w:highlight w:val="none"/>
          <w:lang w:val="en-US"/>
        </w:rPr>
        <w:t>五</w:t>
      </w:r>
      <w:r>
        <w:rPr>
          <w:rFonts w:hint="eastAsia" w:ascii="仿宋" w:hAnsi="仿宋" w:eastAsia="仿宋" w:cs="仿宋"/>
          <w:color w:val="auto"/>
          <w:sz w:val="24"/>
          <w:highlight w:val="none"/>
        </w:rPr>
        <w:t>人及以上的单数，其中技术、经济等方面的成员人数不少于成员总数的三分之二。</w:t>
      </w:r>
    </w:p>
    <w:p w14:paraId="4FACF2E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评标委员会专家的条件和回避规定</w:t>
      </w:r>
    </w:p>
    <w:p w14:paraId="691754D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1 </w:t>
      </w:r>
      <w:r>
        <w:rPr>
          <w:rFonts w:hint="eastAsia" w:ascii="仿宋" w:hAnsi="仿宋" w:eastAsia="仿宋" w:cs="仿宋"/>
          <w:color w:val="auto"/>
          <w:sz w:val="24"/>
          <w:highlight w:val="none"/>
        </w:rPr>
        <w:t>评标委员会专家应符合下列条件：</w:t>
      </w:r>
    </w:p>
    <w:p w14:paraId="5A0C577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1.1 </w:t>
      </w:r>
      <w:r>
        <w:rPr>
          <w:rFonts w:hint="eastAsia" w:ascii="仿宋" w:hAnsi="仿宋" w:eastAsia="仿宋" w:cs="仿宋"/>
          <w:color w:val="auto"/>
          <w:sz w:val="24"/>
          <w:highlight w:val="none"/>
        </w:rPr>
        <w:t>熟悉有关和招标投标的法律法规；</w:t>
      </w:r>
    </w:p>
    <w:p w14:paraId="32645A8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1.2 </w:t>
      </w:r>
      <w:r>
        <w:rPr>
          <w:rFonts w:hint="eastAsia" w:ascii="仿宋" w:hAnsi="仿宋" w:eastAsia="仿宋" w:cs="仿宋"/>
          <w:color w:val="auto"/>
          <w:sz w:val="24"/>
          <w:highlight w:val="none"/>
        </w:rPr>
        <w:t>在相关专业领域工作满八年并具有高级职称或者同等专业水平；</w:t>
      </w:r>
    </w:p>
    <w:p w14:paraId="2E7501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1.3 </w:t>
      </w:r>
      <w:r>
        <w:rPr>
          <w:rFonts w:hint="eastAsia" w:ascii="仿宋" w:hAnsi="仿宋" w:eastAsia="仿宋" w:cs="仿宋"/>
          <w:color w:val="auto"/>
          <w:sz w:val="24"/>
          <w:highlight w:val="none"/>
        </w:rPr>
        <w:t>熟悉有关招标投标的法律法规，并具有与招标项目相关的实践经验；</w:t>
      </w:r>
    </w:p>
    <w:p w14:paraId="4E94555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1.4 </w:t>
      </w:r>
      <w:r>
        <w:rPr>
          <w:rFonts w:hint="eastAsia" w:ascii="仿宋" w:hAnsi="仿宋" w:eastAsia="仿宋" w:cs="仿宋"/>
          <w:color w:val="auto"/>
          <w:sz w:val="24"/>
          <w:highlight w:val="none"/>
        </w:rPr>
        <w:t>能够认真、公正、诚实、廉洁的履行职责。</w:t>
      </w:r>
    </w:p>
    <w:p w14:paraId="5A26539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2 </w:t>
      </w:r>
      <w:r>
        <w:rPr>
          <w:rFonts w:hint="eastAsia" w:ascii="仿宋" w:hAnsi="仿宋" w:eastAsia="仿宋" w:cs="仿宋"/>
          <w:color w:val="auto"/>
          <w:sz w:val="24"/>
          <w:highlight w:val="none"/>
        </w:rPr>
        <w:t>有下列情形之一的，不得担任评标委员会成员：</w:t>
      </w:r>
    </w:p>
    <w:p w14:paraId="3BD15B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2.1 </w:t>
      </w:r>
      <w:r>
        <w:rPr>
          <w:rFonts w:hint="eastAsia" w:ascii="仿宋" w:hAnsi="仿宋" w:eastAsia="仿宋" w:cs="仿宋"/>
          <w:color w:val="auto"/>
          <w:sz w:val="24"/>
          <w:highlight w:val="none"/>
        </w:rPr>
        <w:t>与投标人或者投标人主要负责人有近亲关系的或有利害关系的；</w:t>
      </w:r>
    </w:p>
    <w:p w14:paraId="5F42E41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2.2 </w:t>
      </w:r>
      <w:r>
        <w:rPr>
          <w:rFonts w:hint="eastAsia" w:ascii="仿宋" w:hAnsi="仿宋" w:eastAsia="仿宋" w:cs="仿宋"/>
          <w:color w:val="auto"/>
          <w:sz w:val="24"/>
          <w:highlight w:val="none"/>
        </w:rPr>
        <w:t>与项目主管部门或者行政监督部门的人员有近亲关系的或有利害关系的；</w:t>
      </w:r>
    </w:p>
    <w:p w14:paraId="36F3964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2.3 </w:t>
      </w:r>
      <w:r>
        <w:rPr>
          <w:rFonts w:hint="eastAsia" w:ascii="仿宋" w:hAnsi="仿宋" w:eastAsia="仿宋" w:cs="仿宋"/>
          <w:color w:val="auto"/>
          <w:sz w:val="24"/>
          <w:highlight w:val="none"/>
        </w:rPr>
        <w:t>与投标人有经济利益关系，可能影响对投标公正评标的；</w:t>
      </w:r>
    </w:p>
    <w:p w14:paraId="36DA636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2.4 </w:t>
      </w:r>
      <w:r>
        <w:rPr>
          <w:rFonts w:hint="eastAsia" w:ascii="仿宋" w:hAnsi="仿宋" w:eastAsia="仿宋" w:cs="仿宋"/>
          <w:color w:val="auto"/>
          <w:sz w:val="24"/>
          <w:highlight w:val="none"/>
        </w:rPr>
        <w:t>曾因在招标、评标以及其他与招标、投标有关活动中从事违法行为而受过行政处罚或刑事处罚的。</w:t>
      </w:r>
    </w:p>
    <w:p w14:paraId="3C9CA19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评标委员会成员有前款规定情形之一的，应当主动提出回避。</w:t>
      </w:r>
    </w:p>
    <w:p w14:paraId="2C748AB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8</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评标委员会成员应熟悉并认真研究采购文件，至少应了解和熟悉以下内容：</w:t>
      </w:r>
    </w:p>
    <w:p w14:paraId="0B533032">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8</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1 招标目的。</w:t>
      </w:r>
    </w:p>
    <w:p w14:paraId="3F0B31F1">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8</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2 招标项目的范围、性质。</w:t>
      </w:r>
    </w:p>
    <w:p w14:paraId="18AED5C0">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8</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3 采购文件中规定的主要技术要求、标准和商务条款。</w:t>
      </w:r>
    </w:p>
    <w:p w14:paraId="44D52DD8">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8</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4 采购文件规定的评标原则、评标标准、评标方法和在评标过程中应考虑的相关因素。</w:t>
      </w:r>
    </w:p>
    <w:p w14:paraId="499D09D2">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 采购人应当向评标委员会提供评标所需的重要信息和数据。</w:t>
      </w:r>
    </w:p>
    <w:p w14:paraId="47A8BE0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评标委员会及其成员应当履行的义务：</w:t>
      </w:r>
    </w:p>
    <w:p w14:paraId="0E9E95F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1 </w:t>
      </w:r>
      <w:r>
        <w:rPr>
          <w:rFonts w:hint="eastAsia" w:ascii="仿宋" w:hAnsi="仿宋" w:eastAsia="仿宋" w:cs="仿宋"/>
          <w:color w:val="auto"/>
          <w:sz w:val="24"/>
          <w:highlight w:val="none"/>
        </w:rPr>
        <w:t>遵纪守法，客观、公正、廉洁地履行职责；</w:t>
      </w:r>
    </w:p>
    <w:p w14:paraId="3544019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2 </w:t>
      </w:r>
      <w:r>
        <w:rPr>
          <w:rFonts w:hint="eastAsia" w:ascii="仿宋" w:hAnsi="仿宋" w:eastAsia="仿宋" w:cs="仿宋"/>
          <w:color w:val="auto"/>
          <w:sz w:val="24"/>
          <w:highlight w:val="none"/>
        </w:rPr>
        <w:t>按照采购文件规定的评标方法和标准进行评标，严格履行签字确认手续， 对评标意见承担个人责任；</w:t>
      </w:r>
    </w:p>
    <w:p w14:paraId="5EA00F8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3 </w:t>
      </w:r>
      <w:r>
        <w:rPr>
          <w:rFonts w:hint="eastAsia" w:ascii="仿宋" w:hAnsi="仿宋" w:eastAsia="仿宋" w:cs="仿宋"/>
          <w:color w:val="auto"/>
          <w:sz w:val="24"/>
          <w:highlight w:val="none"/>
        </w:rPr>
        <w:t>对评标过程和结果，以及供应商的商业秘密保密；</w:t>
      </w:r>
    </w:p>
    <w:p w14:paraId="443C47D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 </w:t>
      </w:r>
      <w:r>
        <w:rPr>
          <w:rFonts w:hint="eastAsia" w:ascii="仿宋" w:hAnsi="仿宋" w:eastAsia="仿宋" w:cs="仿宋"/>
          <w:color w:val="auto"/>
          <w:sz w:val="24"/>
          <w:highlight w:val="none"/>
        </w:rPr>
        <w:t>参与评标报告的起草；</w:t>
      </w:r>
    </w:p>
    <w:p w14:paraId="541CFE8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5 </w:t>
      </w:r>
      <w:r>
        <w:rPr>
          <w:rFonts w:hint="eastAsia" w:ascii="仿宋" w:hAnsi="仿宋" w:eastAsia="仿宋" w:cs="仿宋"/>
          <w:color w:val="auto"/>
          <w:sz w:val="24"/>
          <w:highlight w:val="none"/>
        </w:rPr>
        <w:t>配合财政部门的投诉处理工作；</w:t>
      </w:r>
    </w:p>
    <w:p w14:paraId="5D4696A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6 </w:t>
      </w:r>
      <w:r>
        <w:rPr>
          <w:rFonts w:hint="eastAsia" w:ascii="仿宋" w:hAnsi="仿宋" w:eastAsia="仿宋" w:cs="仿宋"/>
          <w:color w:val="auto"/>
          <w:sz w:val="24"/>
          <w:highlight w:val="none"/>
        </w:rPr>
        <w:t>配合采购人答复投标人提出的质疑。</w:t>
      </w:r>
    </w:p>
    <w:p w14:paraId="0A96C92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评标委员会及其成员应注意事项：</w:t>
      </w:r>
    </w:p>
    <w:p w14:paraId="593FA67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1 </w:t>
      </w:r>
      <w:r>
        <w:rPr>
          <w:rFonts w:hint="eastAsia" w:ascii="仿宋" w:hAnsi="仿宋" w:eastAsia="仿宋" w:cs="仿宋"/>
          <w:color w:val="auto"/>
          <w:sz w:val="24"/>
          <w:highlight w:val="none"/>
        </w:rPr>
        <w:t>评标委员会应当客观、公正地履行职责，遵守职业道德，不得与任何投标人或者与招标结果有利害关系的人员进行私下接触，须响应前款“第三部分”中8.1 条款之规定要求。</w:t>
      </w:r>
    </w:p>
    <w:p w14:paraId="745D1F3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2 </w:t>
      </w:r>
      <w:r>
        <w:rPr>
          <w:rFonts w:hint="eastAsia" w:ascii="仿宋" w:hAnsi="仿宋" w:eastAsia="仿宋" w:cs="仿宋"/>
          <w:color w:val="auto"/>
          <w:sz w:val="24"/>
          <w:highlight w:val="none"/>
        </w:rPr>
        <w:t>评标委员会应当遵循独立评标的原则，按照《中华人民共和国政府采购法》，要以采购文件为评标的唯一依据，不做标书以外无关问题讨论和将采购文件中没有规定的标准和方法不得作为评标的依据。应本着“实事求是、公正诚信”的原则，根据采购文件规定的评标标准和方法，对投标人的投标文件进行系统地评标和比较。并按要求做好相关书面原始署名记录。</w:t>
      </w:r>
    </w:p>
    <w:p w14:paraId="55FE495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3 </w:t>
      </w:r>
      <w:r>
        <w:rPr>
          <w:rFonts w:hint="eastAsia" w:ascii="仿宋" w:hAnsi="仿宋" w:eastAsia="仿宋" w:cs="仿宋"/>
          <w:color w:val="auto"/>
          <w:sz w:val="24"/>
          <w:highlight w:val="none"/>
        </w:rPr>
        <w:t>评标委员会应当客观、公正地履行职责。评标时，严禁存在个人印象、个人关系或带有明显倾向性的行为发生。否则，经核实后，采购人将有权予以制止此类行为的发生，责成其修正不果的，将做为不良记录记录在案，并按相关政策法规的规定和程序，向财政监管部门提出处罚建议意见。</w:t>
      </w:r>
    </w:p>
    <w:p w14:paraId="09DC6D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 </w:t>
      </w:r>
      <w:r>
        <w:rPr>
          <w:rFonts w:hint="eastAsia" w:ascii="仿宋" w:hAnsi="仿宋" w:eastAsia="仿宋" w:cs="仿宋"/>
          <w:color w:val="auto"/>
          <w:sz w:val="24"/>
          <w:highlight w:val="none"/>
        </w:rPr>
        <w:t>评标委员会成员和与本次评标活动有关的工作人员，不得透露对投标文件的评标和比较、中标候选人的推荐情况以及与评标有关的其他情况。</w:t>
      </w:r>
    </w:p>
    <w:p w14:paraId="2CEE095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5 </w:t>
      </w:r>
      <w:r>
        <w:rPr>
          <w:rFonts w:hint="eastAsia" w:ascii="仿宋" w:hAnsi="仿宋" w:eastAsia="仿宋" w:cs="仿宋"/>
          <w:color w:val="auto"/>
          <w:sz w:val="24"/>
          <w:highlight w:val="none"/>
        </w:rPr>
        <w:t>除法律需要外，自开标直至宣布中标及签订合同为止，有关投标文件的审查、澄清、评定及关于评标的建议等情况，评标委员会及其成员任何人均不得以任何形式泄露，评标过程中如有不明事宜，需要投标人进行解释的，只能由评标委员会各成员进行询标（答疑）。</w:t>
      </w:r>
    </w:p>
    <w:p w14:paraId="215B015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与评标活动有关的工作人员，自开标之日起至定标日止，在此期间任何监标人、采购人代表、特邀代表、工作人员及供应商不得干扰评标委员会正常及其它评标工作，否则，采购人将有权取消其权利资格。</w:t>
      </w:r>
    </w:p>
    <w:p w14:paraId="56DBE4B6">
      <w:pPr>
        <w:pStyle w:val="2"/>
        <w:spacing w:before="2"/>
        <w:ind w:left="0" w:leftChars="0" w:right="0" w:rightChars="0"/>
        <w:rPr>
          <w:rFonts w:hint="eastAsia" w:ascii="仿宋" w:hAnsi="仿宋" w:eastAsia="仿宋" w:cs="仿宋"/>
          <w:color w:val="auto"/>
          <w:highlight w:val="none"/>
        </w:rPr>
      </w:pPr>
      <w:r>
        <w:rPr>
          <w:rFonts w:hint="eastAsia" w:ascii="仿宋" w:hAnsi="仿宋" w:eastAsia="仿宋" w:cs="仿宋"/>
          <w:color w:val="auto"/>
          <w:highlight w:val="none"/>
        </w:rPr>
        <w:t>第五部分 开标 评标 定标说明</w:t>
      </w:r>
    </w:p>
    <w:p w14:paraId="17CFEAFA">
      <w:pPr>
        <w:pStyle w:val="4"/>
        <w:ind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第一章 开</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标</w:t>
      </w:r>
    </w:p>
    <w:p w14:paraId="53755A8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开标</w:t>
      </w:r>
    </w:p>
    <w:p w14:paraId="0028762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1 </w:t>
      </w:r>
      <w:r>
        <w:rPr>
          <w:rFonts w:hint="eastAsia" w:ascii="仿宋" w:hAnsi="仿宋" w:eastAsia="仿宋" w:cs="仿宋"/>
          <w:color w:val="auto"/>
          <w:sz w:val="24"/>
          <w:highlight w:val="none"/>
        </w:rPr>
        <w:t>本次招标按采购文件</w:t>
      </w:r>
      <w:r>
        <w:rPr>
          <w:rFonts w:hint="eastAsia" w:ascii="仿宋" w:hAnsi="仿宋" w:eastAsia="仿宋" w:cs="仿宋"/>
          <w:color w:val="auto"/>
          <w:sz w:val="24"/>
          <w:highlight w:val="none"/>
          <w:lang w:val="en-US"/>
        </w:rPr>
        <w:t>中</w:t>
      </w:r>
      <w:r>
        <w:rPr>
          <w:rFonts w:hint="eastAsia" w:ascii="仿宋" w:hAnsi="仿宋" w:eastAsia="仿宋" w:cs="仿宋"/>
          <w:color w:val="auto"/>
          <w:sz w:val="24"/>
          <w:highlight w:val="none"/>
        </w:rPr>
        <w:t>规定的时间和地点进行公开开标，允许投标人的法定代表人或其</w:t>
      </w:r>
      <w:r>
        <w:rPr>
          <w:rFonts w:hint="eastAsia" w:ascii="仿宋" w:hAnsi="仿宋" w:eastAsia="仿宋" w:cs="仿宋"/>
          <w:color w:val="auto"/>
          <w:sz w:val="24"/>
          <w:highlight w:val="none"/>
          <w:lang w:val="en-US"/>
        </w:rPr>
        <w:t>委托代理人</w:t>
      </w:r>
      <w:r>
        <w:rPr>
          <w:rFonts w:hint="eastAsia" w:ascii="仿宋" w:hAnsi="仿宋" w:eastAsia="仿宋" w:cs="仿宋"/>
          <w:color w:val="auto"/>
          <w:sz w:val="24"/>
          <w:highlight w:val="none"/>
        </w:rPr>
        <w:t>参加开标</w:t>
      </w:r>
      <w:r>
        <w:rPr>
          <w:rFonts w:hint="eastAsia" w:ascii="仿宋" w:hAnsi="仿宋" w:eastAsia="仿宋" w:cs="仿宋"/>
          <w:color w:val="auto"/>
          <w:sz w:val="24"/>
          <w:highlight w:val="none"/>
          <w:lang w:val="en-US"/>
        </w:rPr>
        <w:t>会议</w:t>
      </w:r>
      <w:r>
        <w:rPr>
          <w:rFonts w:hint="eastAsia" w:ascii="仿宋" w:hAnsi="仿宋" w:eastAsia="仿宋" w:cs="仿宋"/>
          <w:color w:val="auto"/>
          <w:sz w:val="24"/>
          <w:highlight w:val="none"/>
        </w:rPr>
        <w:t>。</w:t>
      </w:r>
    </w:p>
    <w:p w14:paraId="75B2444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2 </w:t>
      </w:r>
      <w:r>
        <w:rPr>
          <w:rFonts w:hint="eastAsia" w:ascii="仿宋" w:hAnsi="仿宋" w:eastAsia="仿宋" w:cs="仿宋"/>
          <w:color w:val="auto"/>
          <w:sz w:val="24"/>
          <w:highlight w:val="none"/>
        </w:rPr>
        <w:t>为了体现投标人的合法权益，和确保评标工作的公平、公正，如果评标委员会成员及其他与会人员与其他投标人有利害关系的，在开</w:t>
      </w:r>
      <w:r>
        <w:rPr>
          <w:rFonts w:hint="eastAsia" w:ascii="仿宋" w:hAnsi="仿宋" w:eastAsia="仿宋" w:cs="仿宋"/>
          <w:color w:val="auto"/>
          <w:sz w:val="24"/>
          <w:highlight w:val="none"/>
          <w:lang w:val="en-US"/>
        </w:rPr>
        <w:t>评</w:t>
      </w:r>
      <w:r>
        <w:rPr>
          <w:rFonts w:hint="eastAsia" w:ascii="仿宋" w:hAnsi="仿宋" w:eastAsia="仿宋" w:cs="仿宋"/>
          <w:color w:val="auto"/>
          <w:sz w:val="24"/>
          <w:highlight w:val="none"/>
        </w:rPr>
        <w:t>标现场以举手示意的方式向采购人申请其回避。如现场不提请采购人申请其回避的，则视同无利害关系。</w:t>
      </w:r>
    </w:p>
    <w:p w14:paraId="4ADD9A3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3 各</w:t>
      </w: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val="en-US"/>
        </w:rPr>
        <w:t>如对本次招标过程存有异议</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应及时提出以便进行答疑回复；</w:t>
      </w:r>
      <w:r>
        <w:rPr>
          <w:rFonts w:hint="eastAsia" w:ascii="仿宋" w:hAnsi="仿宋" w:eastAsia="仿宋" w:cs="仿宋"/>
          <w:color w:val="auto"/>
          <w:sz w:val="24"/>
          <w:highlight w:val="none"/>
        </w:rPr>
        <w:t>如</w:t>
      </w:r>
      <w:r>
        <w:rPr>
          <w:rFonts w:hint="eastAsia" w:ascii="仿宋" w:hAnsi="仿宋" w:eastAsia="仿宋" w:cs="仿宋"/>
          <w:color w:val="auto"/>
          <w:sz w:val="24"/>
          <w:highlight w:val="none"/>
          <w:lang w:val="en-US"/>
        </w:rPr>
        <w:t>待评标结果产生</w:t>
      </w:r>
      <w:r>
        <w:rPr>
          <w:rFonts w:hint="eastAsia" w:ascii="仿宋" w:hAnsi="仿宋" w:eastAsia="仿宋" w:cs="仿宋"/>
          <w:color w:val="auto"/>
          <w:sz w:val="24"/>
          <w:highlight w:val="none"/>
        </w:rPr>
        <w:t>后发生的</w:t>
      </w:r>
      <w:r>
        <w:rPr>
          <w:rFonts w:hint="eastAsia" w:ascii="仿宋" w:hAnsi="仿宋" w:eastAsia="仿宋" w:cs="仿宋"/>
          <w:color w:val="auto"/>
          <w:sz w:val="24"/>
          <w:highlight w:val="none"/>
          <w:lang w:val="en-US"/>
        </w:rPr>
        <w:t>恶意</w:t>
      </w:r>
      <w:r>
        <w:rPr>
          <w:rFonts w:hint="eastAsia" w:ascii="仿宋" w:hAnsi="仿宋" w:eastAsia="仿宋" w:cs="仿宋"/>
          <w:color w:val="auto"/>
          <w:sz w:val="24"/>
          <w:highlight w:val="none"/>
        </w:rPr>
        <w:t>质疑或投诉事项，新疆华域建设工程项目管理咨询有限公司将不予采信。</w:t>
      </w:r>
    </w:p>
    <w:p w14:paraId="59A6234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 </w:t>
      </w:r>
      <w:r>
        <w:rPr>
          <w:rFonts w:hint="eastAsia" w:ascii="仿宋" w:hAnsi="仿宋" w:eastAsia="仿宋" w:cs="仿宋"/>
          <w:color w:val="auto"/>
          <w:sz w:val="24"/>
          <w:highlight w:val="none"/>
        </w:rPr>
        <w:t>投标人资格审查</w:t>
      </w:r>
    </w:p>
    <w:p w14:paraId="3BBD20F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4.1 </w:t>
      </w:r>
      <w:r>
        <w:rPr>
          <w:rFonts w:hint="eastAsia" w:ascii="仿宋" w:hAnsi="仿宋" w:eastAsia="仿宋" w:cs="仿宋"/>
          <w:color w:val="auto"/>
          <w:sz w:val="24"/>
          <w:highlight w:val="none"/>
        </w:rPr>
        <w:t>各投标人的资格审查</w:t>
      </w:r>
      <w:r>
        <w:rPr>
          <w:rFonts w:hint="eastAsia" w:ascii="仿宋" w:hAnsi="仿宋" w:eastAsia="仿宋" w:cs="仿宋"/>
          <w:color w:val="auto"/>
          <w:sz w:val="24"/>
          <w:highlight w:val="none"/>
          <w:lang w:val="en-US"/>
        </w:rPr>
        <w:t>资料交由招标人或招标代理机构审核，审核合格后为有效投标人</w:t>
      </w:r>
      <w:r>
        <w:rPr>
          <w:rFonts w:hint="eastAsia" w:ascii="仿宋" w:hAnsi="仿宋" w:eastAsia="仿宋" w:cs="仿宋"/>
          <w:color w:val="auto"/>
          <w:sz w:val="24"/>
          <w:highlight w:val="none"/>
        </w:rPr>
        <w:t>。</w:t>
      </w:r>
    </w:p>
    <w:p w14:paraId="773158BF">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4.2 </w:t>
      </w:r>
      <w:r>
        <w:rPr>
          <w:rFonts w:hint="eastAsia" w:ascii="仿宋" w:hAnsi="仿宋" w:eastAsia="仿宋" w:cs="仿宋"/>
          <w:color w:val="auto"/>
          <w:sz w:val="24"/>
          <w:highlight w:val="none"/>
        </w:rPr>
        <w:t>依据采购文件规定</w:t>
      </w:r>
      <w:r>
        <w:rPr>
          <w:rFonts w:hint="eastAsia" w:ascii="仿宋" w:hAnsi="仿宋" w:eastAsia="仿宋" w:cs="仿宋"/>
          <w:color w:val="auto"/>
          <w:sz w:val="24"/>
          <w:highlight w:val="none"/>
          <w:lang w:val="en-US"/>
        </w:rPr>
        <w:t>对各投标人的</w:t>
      </w:r>
      <w:r>
        <w:rPr>
          <w:rFonts w:hint="eastAsia" w:ascii="仿宋" w:hAnsi="仿宋" w:eastAsia="仿宋" w:cs="仿宋"/>
          <w:color w:val="auto"/>
          <w:sz w:val="24"/>
          <w:highlight w:val="none"/>
        </w:rPr>
        <w:t>投</w:t>
      </w:r>
      <w:r>
        <w:rPr>
          <w:rFonts w:hint="eastAsia" w:ascii="仿宋" w:hAnsi="仿宋" w:eastAsia="仿宋" w:cs="仿宋"/>
          <w:color w:val="auto"/>
          <w:sz w:val="24"/>
          <w:highlight w:val="none"/>
          <w:lang w:val="en-US" w:eastAsia="zh-CN"/>
        </w:rPr>
        <w:t>标</w:t>
      </w:r>
      <w:r>
        <w:rPr>
          <w:rFonts w:hint="eastAsia" w:ascii="仿宋" w:hAnsi="仿宋" w:eastAsia="仿宋" w:cs="仿宋"/>
          <w:color w:val="auto"/>
          <w:sz w:val="24"/>
          <w:highlight w:val="none"/>
        </w:rPr>
        <w:t xml:space="preserve">保证金缴纳情况等进行审查。凡不符合前款“第四部分”中 1.2 条款之规定要求的， </w:t>
      </w:r>
      <w:r>
        <w:rPr>
          <w:rFonts w:hint="eastAsia" w:ascii="仿宋" w:hAnsi="仿宋" w:eastAsia="仿宋" w:cs="仿宋"/>
          <w:color w:val="auto"/>
          <w:sz w:val="24"/>
          <w:highlight w:val="none"/>
          <w:lang w:val="en-US"/>
        </w:rPr>
        <w:t>其投标将被直接拒绝。</w:t>
      </w:r>
    </w:p>
    <w:p w14:paraId="0B1A200E">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4.4 </w:t>
      </w:r>
      <w:r>
        <w:rPr>
          <w:rFonts w:hint="eastAsia" w:ascii="仿宋" w:hAnsi="仿宋" w:eastAsia="仿宋" w:cs="仿宋"/>
          <w:color w:val="auto"/>
          <w:sz w:val="24"/>
          <w:highlight w:val="none"/>
        </w:rPr>
        <w:t>投标人资格审查</w:t>
      </w:r>
      <w:r>
        <w:rPr>
          <w:rFonts w:hint="eastAsia" w:ascii="仿宋" w:hAnsi="仿宋" w:eastAsia="仿宋" w:cs="仿宋"/>
          <w:color w:val="auto"/>
          <w:sz w:val="24"/>
          <w:highlight w:val="none"/>
          <w:lang w:val="en-US"/>
        </w:rPr>
        <w:t>合格后方可进入到</w:t>
      </w:r>
      <w:r>
        <w:rPr>
          <w:rFonts w:hint="eastAsia" w:ascii="仿宋" w:hAnsi="仿宋" w:eastAsia="仿宋" w:cs="仿宋"/>
          <w:color w:val="auto"/>
          <w:sz w:val="24"/>
          <w:highlight w:val="none"/>
        </w:rPr>
        <w:t>投标文件初步审查审查</w:t>
      </w:r>
      <w:r>
        <w:rPr>
          <w:rFonts w:hint="eastAsia" w:ascii="仿宋" w:hAnsi="仿宋" w:eastAsia="仿宋" w:cs="仿宋"/>
          <w:color w:val="auto"/>
          <w:sz w:val="24"/>
          <w:highlight w:val="none"/>
          <w:lang w:val="en-US"/>
        </w:rPr>
        <w:t>阶段。</w:t>
      </w:r>
    </w:p>
    <w:p w14:paraId="14C9851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4.3 </w:t>
      </w:r>
      <w:r>
        <w:rPr>
          <w:rFonts w:hint="eastAsia" w:ascii="仿宋" w:hAnsi="仿宋" w:eastAsia="仿宋" w:cs="仿宋"/>
          <w:color w:val="auto"/>
          <w:sz w:val="24"/>
          <w:highlight w:val="none"/>
        </w:rPr>
        <w:t>资格审查合格的供应商不足法定数量时，可以比照“第五部分” 中 23.</w:t>
      </w: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 xml:space="preserve"> 条款中的 23.</w:t>
      </w: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.2 条款和 23.</w:t>
      </w: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.3 条款之规定执行。</w:t>
      </w:r>
    </w:p>
    <w:p w14:paraId="5469B76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5 </w:t>
      </w:r>
      <w:r>
        <w:rPr>
          <w:rFonts w:hint="eastAsia" w:ascii="仿宋" w:hAnsi="仿宋" w:eastAsia="仿宋" w:cs="仿宋"/>
          <w:color w:val="auto"/>
          <w:sz w:val="24"/>
          <w:highlight w:val="none"/>
        </w:rPr>
        <w:t>投标文件响应性审查</w:t>
      </w:r>
    </w:p>
    <w:p w14:paraId="37B8802F">
      <w:pPr>
        <w:spacing w:line="360" w:lineRule="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 xml:space="preserve">    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5.1 </w:t>
      </w:r>
      <w:r>
        <w:rPr>
          <w:rFonts w:hint="eastAsia" w:ascii="仿宋" w:hAnsi="仿宋" w:eastAsia="仿宋" w:cs="仿宋"/>
          <w:color w:val="auto"/>
          <w:sz w:val="24"/>
          <w:highlight w:val="none"/>
        </w:rPr>
        <w:t>开标后，采购人将组织对投标文件进行审查，</w:t>
      </w:r>
      <w:r>
        <w:rPr>
          <w:rFonts w:hint="eastAsia" w:ascii="仿宋" w:hAnsi="仿宋" w:eastAsia="仿宋" w:cs="仿宋"/>
          <w:color w:val="auto"/>
          <w:sz w:val="24"/>
          <w:highlight w:val="none"/>
          <w:lang w:val="en-US"/>
        </w:rPr>
        <w:t>包括</w:t>
      </w:r>
      <w:r>
        <w:rPr>
          <w:rFonts w:hint="eastAsia" w:ascii="仿宋" w:hAnsi="仿宋" w:eastAsia="仿宋" w:cs="仿宋"/>
          <w:color w:val="auto"/>
          <w:sz w:val="24"/>
          <w:highlight w:val="none"/>
        </w:rPr>
        <w:t>响应程度初步审查</w:t>
      </w:r>
      <w:r>
        <w:rPr>
          <w:rFonts w:hint="eastAsia" w:ascii="仿宋" w:hAnsi="仿宋" w:eastAsia="仿宋" w:cs="仿宋"/>
          <w:color w:val="auto"/>
          <w:sz w:val="24"/>
          <w:highlight w:val="none"/>
          <w:lang w:val="en-US"/>
        </w:rPr>
        <w:t>阶段</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资格性审查和符合性审查）和</w:t>
      </w:r>
      <w:r>
        <w:rPr>
          <w:rFonts w:hint="eastAsia" w:ascii="仿宋" w:hAnsi="仿宋" w:eastAsia="仿宋" w:cs="仿宋"/>
          <w:color w:val="auto"/>
          <w:sz w:val="24"/>
          <w:highlight w:val="none"/>
        </w:rPr>
        <w:t>技术商务</w:t>
      </w:r>
      <w:r>
        <w:rPr>
          <w:rFonts w:hint="eastAsia" w:ascii="仿宋" w:hAnsi="仿宋" w:eastAsia="仿宋" w:cs="仿宋"/>
          <w:color w:val="auto"/>
          <w:sz w:val="24"/>
          <w:highlight w:val="none"/>
          <w:lang w:val="en-US"/>
        </w:rPr>
        <w:t>详细评审阶段；</w:t>
      </w:r>
      <w:r>
        <w:rPr>
          <w:rFonts w:hint="eastAsia" w:ascii="仿宋" w:hAnsi="仿宋" w:eastAsia="仿宋" w:cs="仿宋"/>
          <w:color w:val="auto"/>
          <w:sz w:val="24"/>
          <w:highlight w:val="none"/>
        </w:rPr>
        <w:t>投标文件响应程度初步审查通过的投标企业，进入下一步详细评审阶段，未通过投标文件响应程度初步审查的企业，其投标作为无效标，不进入后期评审阶段；</w:t>
      </w:r>
      <w:r>
        <w:rPr>
          <w:rFonts w:hint="eastAsia" w:ascii="仿宋" w:hAnsi="仿宋" w:eastAsia="仿宋" w:cs="仿宋"/>
          <w:color w:val="auto"/>
          <w:sz w:val="24"/>
          <w:highlight w:val="none"/>
          <w:lang w:val="en-US"/>
        </w:rPr>
        <w:t>具体评审详见</w:t>
      </w:r>
      <w:r>
        <w:rPr>
          <w:rFonts w:hint="eastAsia" w:ascii="仿宋" w:hAnsi="仿宋" w:eastAsia="仿宋" w:cs="仿宋"/>
          <w:color w:val="auto"/>
          <w:sz w:val="24"/>
          <w:highlight w:val="none"/>
        </w:rPr>
        <w:t>投标文件《投标文件初步审查表》《</w:t>
      </w:r>
      <w:r>
        <w:rPr>
          <w:rFonts w:hint="eastAsia" w:ascii="仿宋" w:hAnsi="仿宋" w:eastAsia="仿宋" w:cs="仿宋"/>
          <w:color w:val="auto"/>
          <w:sz w:val="24"/>
          <w:highlight w:val="none"/>
          <w:lang w:val="en-US"/>
        </w:rPr>
        <w:t>详细评审</w:t>
      </w:r>
      <w:r>
        <w:rPr>
          <w:rFonts w:hint="eastAsia" w:ascii="仿宋" w:hAnsi="仿宋" w:eastAsia="仿宋" w:cs="仿宋"/>
          <w:color w:val="auto"/>
          <w:sz w:val="24"/>
          <w:highlight w:val="none"/>
        </w:rPr>
        <w:t>明细表》。</w:t>
      </w:r>
    </w:p>
    <w:p w14:paraId="7677C9E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5.2 </w:t>
      </w:r>
      <w:r>
        <w:rPr>
          <w:rFonts w:hint="eastAsia" w:ascii="仿宋" w:hAnsi="仿宋" w:eastAsia="仿宋" w:cs="仿宋"/>
          <w:color w:val="auto"/>
          <w:sz w:val="24"/>
          <w:highlight w:val="none"/>
        </w:rPr>
        <w:t>评标委员会将确定每一投标人是否对投标文件的要求做出了实质性响应，而没有重大偏离。实质性响应的投标是指符合采购文件的所有条款、条件和规定且没有重大偏离和保留的投标。</w:t>
      </w:r>
    </w:p>
    <w:p w14:paraId="6C399C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5.3 </w:t>
      </w:r>
      <w:r>
        <w:rPr>
          <w:rFonts w:hint="eastAsia" w:ascii="仿宋" w:hAnsi="仿宋" w:eastAsia="仿宋" w:cs="仿宋"/>
          <w:color w:val="auto"/>
          <w:sz w:val="24"/>
          <w:highlight w:val="none"/>
        </w:rPr>
        <w:t>评标委员会判断投标文件的响应性仅基于投标文件本身而不靠外部证据。</w:t>
      </w:r>
    </w:p>
    <w:p w14:paraId="2FE446E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5.4 </w:t>
      </w:r>
      <w:r>
        <w:rPr>
          <w:rFonts w:hint="eastAsia" w:ascii="仿宋" w:hAnsi="仿宋" w:eastAsia="仿宋" w:cs="仿宋"/>
          <w:color w:val="auto"/>
          <w:sz w:val="24"/>
          <w:highlight w:val="none"/>
        </w:rPr>
        <w:t>评标委员会将拒绝被确定为非实质性响应的投标。投标人不能通过修正或撤回不符合之处而使其投标成为实质性响应的投标。</w:t>
      </w:r>
    </w:p>
    <w:p w14:paraId="41CC64F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6 </w:t>
      </w:r>
      <w:r>
        <w:rPr>
          <w:rFonts w:hint="eastAsia" w:ascii="仿宋" w:hAnsi="仿宋" w:eastAsia="仿宋" w:cs="仿宋"/>
          <w:color w:val="auto"/>
          <w:sz w:val="24"/>
          <w:highlight w:val="none"/>
        </w:rPr>
        <w:t>投标登记确认的审查</w:t>
      </w:r>
    </w:p>
    <w:p w14:paraId="5FEA55F1">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6.1 投标人应按采购文件要求递交投标文件，否则，其投标将直接被拒绝</w:t>
      </w:r>
      <w:r>
        <w:rPr>
          <w:rFonts w:hint="eastAsia" w:ascii="仿宋" w:hAnsi="仿宋" w:eastAsia="仿宋" w:cs="仿宋"/>
          <w:color w:val="auto"/>
          <w:sz w:val="24"/>
          <w:highlight w:val="none"/>
        </w:rPr>
        <w:t>。</w:t>
      </w:r>
    </w:p>
    <w:p w14:paraId="681D016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6.2 </w:t>
      </w:r>
      <w:r>
        <w:rPr>
          <w:rFonts w:hint="eastAsia" w:ascii="仿宋" w:hAnsi="仿宋" w:eastAsia="仿宋" w:cs="仿宋"/>
          <w:color w:val="auto"/>
          <w:sz w:val="24"/>
          <w:highlight w:val="none"/>
        </w:rPr>
        <w:t>在采购文件及程序符合法律规定的前提下，对采购文件做出实质性响应的供应商只有两家时，且是第一次开标，采购人应中止</w:t>
      </w:r>
      <w:r>
        <w:rPr>
          <w:rFonts w:hint="eastAsia" w:ascii="仿宋" w:hAnsi="仿宋" w:eastAsia="仿宋" w:cs="仿宋"/>
          <w:color w:val="auto"/>
          <w:sz w:val="24"/>
          <w:highlight w:val="none"/>
          <w:lang w:val="en-US"/>
        </w:rPr>
        <w:t>采购</w:t>
      </w:r>
      <w:r>
        <w:rPr>
          <w:rFonts w:hint="eastAsia" w:ascii="仿宋" w:hAnsi="仿宋" w:eastAsia="仿宋" w:cs="仿宋"/>
          <w:color w:val="auto"/>
          <w:sz w:val="24"/>
          <w:highlight w:val="none"/>
        </w:rPr>
        <w:t>，重新组织采购；如果是第</w:t>
      </w:r>
      <w:r>
        <w:rPr>
          <w:rFonts w:hint="eastAsia" w:ascii="仿宋" w:hAnsi="仿宋" w:eastAsia="仿宋" w:cs="仿宋"/>
          <w:color w:val="auto"/>
          <w:sz w:val="24"/>
          <w:highlight w:val="none"/>
          <w:lang w:val="en-US"/>
        </w:rPr>
        <w:t>二</w:t>
      </w:r>
      <w:r>
        <w:rPr>
          <w:rFonts w:hint="eastAsia" w:ascii="仿宋" w:hAnsi="仿宋" w:eastAsia="仿宋" w:cs="仿宋"/>
          <w:color w:val="auto"/>
          <w:sz w:val="24"/>
          <w:highlight w:val="none"/>
        </w:rPr>
        <w:t>次开标，按照公开、公平和竞争的原则，采购人可以提出转竞争性谈判方式进行，</w:t>
      </w:r>
      <w:r>
        <w:rPr>
          <w:rFonts w:hint="eastAsia" w:ascii="仿宋" w:hAnsi="仿宋" w:eastAsia="仿宋" w:cs="仿宋"/>
          <w:color w:val="auto"/>
          <w:sz w:val="24"/>
          <w:highlight w:val="none"/>
          <w:lang w:val="en-US"/>
        </w:rPr>
        <w:t>经批准</w:t>
      </w:r>
      <w:r>
        <w:rPr>
          <w:rFonts w:hint="eastAsia" w:ascii="仿宋" w:hAnsi="仿宋" w:eastAsia="仿宋" w:cs="仿宋"/>
          <w:color w:val="auto"/>
          <w:sz w:val="24"/>
          <w:highlight w:val="none"/>
        </w:rPr>
        <w:t>后，按批准后的采购方式继续开标。反之，则应直接作废标处理，并依法重新组织采购。</w:t>
      </w:r>
    </w:p>
    <w:p w14:paraId="401EEAD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6.3 评审后</w:t>
      </w:r>
      <w:r>
        <w:rPr>
          <w:rFonts w:hint="eastAsia" w:ascii="仿宋" w:hAnsi="仿宋" w:eastAsia="仿宋" w:cs="仿宋"/>
          <w:color w:val="auto"/>
          <w:sz w:val="24"/>
          <w:highlight w:val="none"/>
        </w:rPr>
        <w:t>如果合格供应商只有一家时，且是第一次开标，采购人应中止</w:t>
      </w:r>
      <w:r>
        <w:rPr>
          <w:rFonts w:hint="eastAsia" w:ascii="仿宋" w:hAnsi="仿宋" w:eastAsia="仿宋" w:cs="仿宋"/>
          <w:color w:val="auto"/>
          <w:sz w:val="24"/>
          <w:highlight w:val="none"/>
          <w:lang w:val="en-US"/>
        </w:rPr>
        <w:t>采购</w:t>
      </w:r>
      <w:r>
        <w:rPr>
          <w:rFonts w:hint="eastAsia" w:ascii="仿宋" w:hAnsi="仿宋" w:eastAsia="仿宋" w:cs="仿宋"/>
          <w:color w:val="auto"/>
          <w:sz w:val="24"/>
          <w:highlight w:val="none"/>
        </w:rPr>
        <w:t>，重新组织采购；如果是第</w:t>
      </w:r>
      <w:r>
        <w:rPr>
          <w:rFonts w:hint="eastAsia" w:ascii="仿宋" w:hAnsi="仿宋" w:eastAsia="仿宋" w:cs="仿宋"/>
          <w:color w:val="auto"/>
          <w:sz w:val="24"/>
          <w:highlight w:val="none"/>
          <w:lang w:val="en-US"/>
        </w:rPr>
        <w:t>二</w:t>
      </w:r>
      <w:r>
        <w:rPr>
          <w:rFonts w:hint="eastAsia" w:ascii="仿宋" w:hAnsi="仿宋" w:eastAsia="仿宋" w:cs="仿宋"/>
          <w:color w:val="auto"/>
          <w:sz w:val="24"/>
          <w:highlight w:val="none"/>
        </w:rPr>
        <w:t>次开标，采购人和投标商既没有过不良行为记录，也不存在明显或恶意的投标倾向性行为，采购人可以申请单一来源方式采购，经批准后，按批准后的采购方式依法按程序组织采购。反之，则应直接作废标处理，并依法重新组织采购。</w:t>
      </w:r>
    </w:p>
    <w:p w14:paraId="595C82E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7 </w:t>
      </w:r>
      <w:r>
        <w:rPr>
          <w:rFonts w:hint="eastAsia" w:ascii="仿宋" w:hAnsi="仿宋" w:eastAsia="仿宋" w:cs="仿宋"/>
          <w:color w:val="auto"/>
          <w:sz w:val="24"/>
          <w:highlight w:val="none"/>
        </w:rPr>
        <w:t>评标前的意见征求</w:t>
      </w:r>
    </w:p>
    <w:p w14:paraId="5255A1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7.1 </w:t>
      </w:r>
      <w:r>
        <w:rPr>
          <w:rFonts w:hint="eastAsia" w:ascii="仿宋" w:hAnsi="仿宋" w:eastAsia="仿宋" w:cs="仿宋"/>
          <w:color w:val="auto"/>
          <w:sz w:val="24"/>
          <w:highlight w:val="none"/>
        </w:rPr>
        <w:t>严格在采购文件的规定范围内，由采购人现场以书面的方式，征求采购人代表对本次评标委员会评标时应注意的事项及意见建议，并签字确认。</w:t>
      </w:r>
    </w:p>
    <w:p w14:paraId="3E9DF8F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7.2 </w:t>
      </w:r>
      <w:r>
        <w:rPr>
          <w:rFonts w:hint="eastAsia" w:ascii="仿宋" w:hAnsi="仿宋" w:eastAsia="仿宋" w:cs="仿宋"/>
          <w:color w:val="auto"/>
          <w:sz w:val="24"/>
          <w:highlight w:val="none"/>
        </w:rPr>
        <w:t>由采购人本次项目承办责任人严格按照采购文件的规定范围，核实并提出是否采信的意见并签字确认。</w:t>
      </w:r>
    </w:p>
    <w:p w14:paraId="764EA4E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7.3 </w:t>
      </w:r>
      <w:r>
        <w:rPr>
          <w:rFonts w:hint="eastAsia" w:ascii="仿宋" w:hAnsi="仿宋" w:eastAsia="仿宋" w:cs="仿宋"/>
          <w:color w:val="auto"/>
          <w:sz w:val="24"/>
          <w:highlight w:val="none"/>
        </w:rPr>
        <w:t>由采购人将可采信的上述意见建议，现场向评标委员会及成员提出可以予以采纳的决定。反之，则不予采纳。</w:t>
      </w:r>
    </w:p>
    <w:p w14:paraId="771F69E5">
      <w:pPr>
        <w:pStyle w:val="4"/>
        <w:ind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 评</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标</w:t>
      </w:r>
    </w:p>
    <w:p w14:paraId="4EAB329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开标报价</w:t>
      </w:r>
    </w:p>
    <w:p w14:paraId="6419EF1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1 </w:t>
      </w:r>
      <w:r>
        <w:rPr>
          <w:rFonts w:hint="eastAsia" w:ascii="仿宋" w:hAnsi="仿宋" w:eastAsia="仿宋" w:cs="仿宋"/>
          <w:color w:val="auto"/>
          <w:sz w:val="24"/>
          <w:highlight w:val="none"/>
        </w:rPr>
        <w:t>评标依据</w:t>
      </w:r>
    </w:p>
    <w:p w14:paraId="643FEA2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1.1 </w:t>
      </w:r>
      <w:r>
        <w:rPr>
          <w:rFonts w:hint="eastAsia" w:ascii="仿宋" w:hAnsi="仿宋" w:eastAsia="仿宋" w:cs="仿宋"/>
          <w:color w:val="auto"/>
          <w:sz w:val="24"/>
          <w:highlight w:val="none"/>
        </w:rPr>
        <w:t>采购文件是评标的唯一依据。评标委员会评标要依据采购人的采购文件和投标人的投标文件进行比较与评标。</w:t>
      </w:r>
    </w:p>
    <w:p w14:paraId="4157A7B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1.2</w:t>
      </w:r>
      <w:r>
        <w:rPr>
          <w:rFonts w:hint="eastAsia" w:ascii="仿宋" w:hAnsi="仿宋" w:eastAsia="仿宋" w:cs="仿宋"/>
          <w:color w:val="auto"/>
          <w:sz w:val="24"/>
          <w:highlight w:val="none"/>
        </w:rPr>
        <w:t>当发现投标人的投标文件有以下情形时，将认定为有串标嫌疑而对其予以废标：总报价相近，但其中分项报价不合理，且没有合理解释的；总报价相近， 且其中款项报价雷同，又提不出计算依据的；总报价相近，数项子目单价完全相同， 且提不出合理的单价组成的；总报价相近，主要材料设备价格极其相近的；总价相</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"http://www.shenmeshi.com/Education/Education_20070429223431.html" \h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同，没有成本分析</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，分项乱调的；几个投标人的</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"http://www.shenmeshi.com/Science/Index.html" \h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技术</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标都雷同的。</w:t>
      </w:r>
    </w:p>
    <w:p w14:paraId="1A655D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本次评标采取综合评分法。</w:t>
      </w:r>
    </w:p>
    <w:p w14:paraId="25DA665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2 </w:t>
      </w:r>
      <w:r>
        <w:rPr>
          <w:rFonts w:hint="eastAsia" w:ascii="仿宋" w:hAnsi="仿宋" w:eastAsia="仿宋" w:cs="仿宋"/>
          <w:color w:val="auto"/>
          <w:sz w:val="24"/>
          <w:highlight w:val="none"/>
        </w:rPr>
        <w:t>评标过程的保密性</w:t>
      </w:r>
    </w:p>
    <w:p w14:paraId="5C2B5E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2.1 </w:t>
      </w:r>
      <w:r>
        <w:rPr>
          <w:rFonts w:hint="eastAsia" w:ascii="仿宋" w:hAnsi="仿宋" w:eastAsia="仿宋" w:cs="仿宋"/>
          <w:color w:val="auto"/>
          <w:sz w:val="24"/>
          <w:highlight w:val="none"/>
        </w:rPr>
        <w:t>所有与本次招标及评标有关的人员，均不得向供应商及与招标项目无关的其他人员，透露与评标有关的资料以及授予合同的意见等。</w:t>
      </w:r>
    </w:p>
    <w:p w14:paraId="57A4F03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2.2 </w:t>
      </w:r>
      <w:r>
        <w:rPr>
          <w:rFonts w:hint="eastAsia" w:ascii="仿宋" w:hAnsi="仿宋" w:eastAsia="仿宋" w:cs="仿宋"/>
          <w:color w:val="auto"/>
          <w:sz w:val="24"/>
          <w:highlight w:val="none"/>
        </w:rPr>
        <w:t>在评标过程中，供应商试图在投标文件审查、报价、询标（答疑）、澄清、比较及授予合同方面向采购人员施加影响的任何行为，都可能导致其投标文件被拒绝。</w:t>
      </w:r>
    </w:p>
    <w:p w14:paraId="1BC48BA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2.3 </w:t>
      </w:r>
      <w:r>
        <w:rPr>
          <w:rFonts w:hint="eastAsia" w:ascii="仿宋" w:hAnsi="仿宋" w:eastAsia="仿宋" w:cs="仿宋"/>
          <w:color w:val="auto"/>
          <w:sz w:val="24"/>
          <w:highlight w:val="none"/>
        </w:rPr>
        <w:t>开标后直到授予投标人合同为止，凡是属于审查、报价、询标（答疑）、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4B855F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2.4 </w:t>
      </w:r>
      <w:r>
        <w:rPr>
          <w:rFonts w:hint="eastAsia" w:ascii="仿宋" w:hAnsi="仿宋" w:eastAsia="仿宋" w:cs="仿宋"/>
          <w:color w:val="auto"/>
          <w:sz w:val="24"/>
          <w:highlight w:val="none"/>
        </w:rPr>
        <w:t>投标人在评标过程中，所进行的力图影响评标结果的不符合《政府采购法》及本次招标有关规定的活动，将被取消中标资格。</w:t>
      </w:r>
    </w:p>
    <w:p w14:paraId="34F491B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3 </w:t>
      </w:r>
      <w:r>
        <w:rPr>
          <w:rFonts w:hint="eastAsia" w:ascii="仿宋" w:hAnsi="仿宋" w:eastAsia="仿宋" w:cs="仿宋"/>
          <w:color w:val="auto"/>
          <w:sz w:val="24"/>
          <w:highlight w:val="none"/>
        </w:rPr>
        <w:t>评标有关规定要求</w:t>
      </w:r>
    </w:p>
    <w:p w14:paraId="569A6B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3.1 </w:t>
      </w:r>
      <w:r>
        <w:rPr>
          <w:rFonts w:hint="eastAsia" w:ascii="仿宋" w:hAnsi="仿宋" w:eastAsia="仿宋" w:cs="仿宋"/>
          <w:color w:val="auto"/>
          <w:sz w:val="24"/>
          <w:highlight w:val="none"/>
        </w:rPr>
        <w:t>参加本次评标的专家成员及其他与会人员</w:t>
      </w:r>
      <w:r>
        <w:rPr>
          <w:rFonts w:hint="eastAsia" w:ascii="仿宋" w:hAnsi="仿宋" w:eastAsia="仿宋" w:cs="仿宋"/>
          <w:color w:val="auto"/>
          <w:sz w:val="24"/>
          <w:highlight w:val="none"/>
          <w:lang w:val="en-US"/>
        </w:rPr>
        <w:t>应</w:t>
      </w:r>
      <w:r>
        <w:rPr>
          <w:rFonts w:hint="eastAsia" w:ascii="仿宋" w:hAnsi="仿宋" w:eastAsia="仿宋" w:cs="仿宋"/>
          <w:color w:val="auto"/>
          <w:sz w:val="24"/>
          <w:highlight w:val="none"/>
        </w:rPr>
        <w:t>严格遵守前款“第三部分”中10.</w:t>
      </w:r>
      <w:r>
        <w:rPr>
          <w:rFonts w:hint="eastAsia" w:ascii="仿宋" w:hAnsi="仿宋" w:eastAsia="仿宋" w:cs="仿宋"/>
          <w:color w:val="auto"/>
          <w:sz w:val="24"/>
          <w:highlight w:val="none"/>
          <w:lang w:val="en-US"/>
        </w:rPr>
        <w:t>4</w:t>
      </w:r>
      <w:r>
        <w:rPr>
          <w:rFonts w:hint="eastAsia" w:ascii="仿宋" w:hAnsi="仿宋" w:eastAsia="仿宋" w:cs="仿宋"/>
          <w:color w:val="auto"/>
          <w:sz w:val="24"/>
          <w:highlight w:val="none"/>
        </w:rPr>
        <w:t>条款之规定进行评标。</w:t>
      </w:r>
    </w:p>
    <w:p w14:paraId="4388C67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3.2 </w:t>
      </w:r>
      <w:r>
        <w:rPr>
          <w:rFonts w:hint="eastAsia" w:ascii="仿宋" w:hAnsi="仿宋" w:eastAsia="仿宋" w:cs="仿宋"/>
          <w:color w:val="auto"/>
          <w:sz w:val="24"/>
          <w:highlight w:val="none"/>
        </w:rPr>
        <w:t>评标、报价、询标（答疑）、澄清应按照投标人递交投标文件的正顺序进行。</w:t>
      </w:r>
    </w:p>
    <w:p w14:paraId="630931B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3.3 </w:t>
      </w:r>
      <w:r>
        <w:rPr>
          <w:rFonts w:hint="eastAsia" w:ascii="仿宋" w:hAnsi="仿宋" w:eastAsia="仿宋" w:cs="仿宋"/>
          <w:color w:val="auto"/>
          <w:sz w:val="24"/>
          <w:highlight w:val="none"/>
        </w:rPr>
        <w:t>评标委员会成员和与本次评标活动有关的工作人员，应遵循前款“第四部分”“第四章”中 21 条款和 22.条款之规定。</w:t>
      </w:r>
    </w:p>
    <w:p w14:paraId="0395AD9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3.4 </w:t>
      </w:r>
      <w:r>
        <w:rPr>
          <w:rFonts w:hint="eastAsia" w:ascii="仿宋" w:hAnsi="仿宋" w:eastAsia="仿宋" w:cs="仿宋"/>
          <w:color w:val="auto"/>
          <w:sz w:val="24"/>
          <w:highlight w:val="none"/>
        </w:rPr>
        <w:t>评标现场凡供应商提供所涉及的投标资料，严格按照前款“第三部分” 中 10.4 条款执行。</w:t>
      </w:r>
    </w:p>
    <w:p w14:paraId="5071E1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3.5 </w:t>
      </w:r>
      <w:r>
        <w:rPr>
          <w:rFonts w:hint="eastAsia" w:ascii="仿宋" w:hAnsi="仿宋" w:eastAsia="仿宋" w:cs="仿宋"/>
          <w:color w:val="auto"/>
          <w:sz w:val="24"/>
          <w:highlight w:val="none"/>
        </w:rPr>
        <w:t>采购人要对当事双方的评标、报价、询标（答疑）、澄清等，做好书面记录，经评标委员会、投标人确认的记录与采购文件、投标人投标文件具有同等法律地位；也是供应商一旦中标后，与采购人签订中标合同和发生质疑或投诉事项时的重要法律依据。</w:t>
      </w:r>
    </w:p>
    <w:p w14:paraId="7C663FD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3.6 </w:t>
      </w:r>
      <w:r>
        <w:rPr>
          <w:rFonts w:hint="eastAsia" w:ascii="仿宋" w:hAnsi="仿宋" w:eastAsia="仿宋" w:cs="仿宋"/>
          <w:color w:val="auto"/>
          <w:sz w:val="24"/>
          <w:highlight w:val="none"/>
        </w:rPr>
        <w:t>评标委员会各成员应在采购人规定时间内阅读和熟悉采购文件，当要提出采购文件疑问事项时，应由采购人本次招标项目的责任人作为主体解答者，解答不清的，由会议主持进行补充解答。</w:t>
      </w:r>
    </w:p>
    <w:p w14:paraId="09908E5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 </w:t>
      </w:r>
      <w:r>
        <w:rPr>
          <w:rFonts w:hint="eastAsia" w:ascii="仿宋" w:hAnsi="仿宋" w:eastAsia="仿宋" w:cs="仿宋"/>
          <w:color w:val="auto"/>
          <w:sz w:val="24"/>
          <w:highlight w:val="none"/>
        </w:rPr>
        <w:t>报价</w:t>
      </w:r>
    </w:p>
    <w:p w14:paraId="0F30D59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4.1 </w:t>
      </w:r>
      <w:r>
        <w:rPr>
          <w:rFonts w:hint="eastAsia" w:ascii="仿宋" w:hAnsi="仿宋" w:eastAsia="仿宋" w:cs="仿宋"/>
          <w:color w:val="auto"/>
          <w:sz w:val="24"/>
          <w:highlight w:val="none"/>
        </w:rPr>
        <w:t>投标报价的审查和原则要求</w:t>
      </w:r>
    </w:p>
    <w:p w14:paraId="75E1DB2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4.1.1 </w:t>
      </w:r>
      <w:r>
        <w:rPr>
          <w:rFonts w:hint="eastAsia" w:ascii="仿宋" w:hAnsi="仿宋" w:eastAsia="仿宋" w:cs="仿宋"/>
          <w:color w:val="auto"/>
          <w:sz w:val="24"/>
          <w:highlight w:val="none"/>
        </w:rPr>
        <w:t>采购人应须对评标委员会确定为实质上响应采购文件要求的投标文件中的价格进行审核，检查看其是否有计算和累加上的错误。</w:t>
      </w:r>
    </w:p>
    <w:p w14:paraId="0C3FDA3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4.1.2 </w:t>
      </w:r>
      <w:r>
        <w:rPr>
          <w:rFonts w:hint="eastAsia" w:ascii="仿宋" w:hAnsi="仿宋" w:eastAsia="仿宋" w:cs="仿宋"/>
          <w:color w:val="auto"/>
          <w:sz w:val="24"/>
          <w:highlight w:val="none"/>
        </w:rPr>
        <w:t>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供应商具有约束力。如果供应商不接受修正后的价格，则其报价将被拒绝，其投标报价保证金将被没收。</w:t>
      </w:r>
    </w:p>
    <w:p w14:paraId="1FF82FC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4.1.3 开标时进行</w:t>
      </w:r>
      <w:r>
        <w:rPr>
          <w:rFonts w:hint="eastAsia" w:ascii="仿宋" w:hAnsi="仿宋" w:eastAsia="仿宋" w:cs="仿宋"/>
          <w:color w:val="auto"/>
          <w:sz w:val="24"/>
          <w:highlight w:val="none"/>
        </w:rPr>
        <w:t>公开唱标</w:t>
      </w:r>
      <w:r>
        <w:rPr>
          <w:rFonts w:hint="eastAsia" w:ascii="仿宋" w:hAnsi="仿宋" w:eastAsia="仿宋" w:cs="仿宋"/>
          <w:color w:val="auto"/>
          <w:sz w:val="24"/>
          <w:highlight w:val="none"/>
          <w:lang w:val="en-US"/>
        </w:rPr>
        <w:t>并由各投标人进行确认</w:t>
      </w:r>
      <w:r>
        <w:rPr>
          <w:rFonts w:hint="eastAsia" w:ascii="仿宋" w:hAnsi="仿宋" w:eastAsia="仿宋" w:cs="仿宋"/>
          <w:color w:val="auto"/>
          <w:sz w:val="24"/>
          <w:highlight w:val="none"/>
        </w:rPr>
        <w:t>；报价采用一次性报价方式，不接受</w:t>
      </w:r>
      <w:r>
        <w:rPr>
          <w:rFonts w:hint="eastAsia" w:ascii="仿宋" w:hAnsi="仿宋" w:eastAsia="仿宋" w:cs="仿宋"/>
          <w:color w:val="auto"/>
          <w:sz w:val="24"/>
          <w:highlight w:val="none"/>
          <w:lang w:val="en-US"/>
        </w:rPr>
        <w:t>二</w:t>
      </w:r>
      <w:r>
        <w:rPr>
          <w:rFonts w:hint="eastAsia" w:ascii="仿宋" w:hAnsi="仿宋" w:eastAsia="仿宋" w:cs="仿宋"/>
          <w:color w:val="auto"/>
          <w:sz w:val="24"/>
          <w:highlight w:val="none"/>
        </w:rPr>
        <w:t>次提供，否则，将直接取消其投标报价资格。</w:t>
      </w:r>
    </w:p>
    <w:p w14:paraId="60B2E8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4.1.4 </w:t>
      </w:r>
      <w:r>
        <w:rPr>
          <w:rFonts w:hint="eastAsia" w:ascii="仿宋" w:hAnsi="仿宋" w:eastAsia="仿宋" w:cs="仿宋"/>
          <w:color w:val="auto"/>
          <w:sz w:val="24"/>
          <w:highlight w:val="none"/>
        </w:rPr>
        <w:t>投标人的报价均应报出拟提供货物的单价和总价。</w:t>
      </w:r>
    </w:p>
    <w:p w14:paraId="1DBED12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4.1.5 </w:t>
      </w:r>
      <w:r>
        <w:rPr>
          <w:rFonts w:hint="eastAsia" w:ascii="仿宋" w:hAnsi="仿宋" w:eastAsia="仿宋" w:cs="仿宋"/>
          <w:color w:val="auto"/>
          <w:sz w:val="24"/>
          <w:highlight w:val="none"/>
        </w:rPr>
        <w:t>各投标人须</w:t>
      </w:r>
      <w:r>
        <w:rPr>
          <w:rFonts w:hint="eastAsia" w:ascii="仿宋" w:hAnsi="仿宋" w:eastAsia="仿宋" w:cs="仿宋"/>
          <w:color w:val="auto"/>
          <w:sz w:val="24"/>
          <w:highlight w:val="none"/>
          <w:lang w:val="en-US"/>
        </w:rPr>
        <w:t>在</w:t>
      </w:r>
      <w:r>
        <w:rPr>
          <w:rFonts w:hint="eastAsia" w:ascii="仿宋" w:hAnsi="仿宋" w:eastAsia="仿宋" w:cs="仿宋"/>
          <w:color w:val="auto"/>
          <w:sz w:val="24"/>
          <w:highlight w:val="none"/>
        </w:rPr>
        <w:t>采购人规定的时间</w:t>
      </w:r>
      <w:r>
        <w:rPr>
          <w:rFonts w:hint="eastAsia" w:ascii="仿宋" w:hAnsi="仿宋" w:eastAsia="仿宋" w:cs="仿宋"/>
          <w:color w:val="auto"/>
          <w:sz w:val="24"/>
          <w:highlight w:val="none"/>
          <w:lang w:val="en-US"/>
        </w:rPr>
        <w:t>内</w:t>
      </w:r>
      <w:r>
        <w:rPr>
          <w:rFonts w:hint="eastAsia" w:ascii="仿宋" w:hAnsi="仿宋" w:eastAsia="仿宋" w:cs="仿宋"/>
          <w:color w:val="auto"/>
          <w:sz w:val="24"/>
          <w:highlight w:val="none"/>
        </w:rPr>
        <w:t>进行报价，严格遵守前款“第三部分”中10.</w:t>
      </w: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条款之规定。</w:t>
      </w:r>
    </w:p>
    <w:p w14:paraId="1270DDE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4.2 </w:t>
      </w:r>
      <w:r>
        <w:rPr>
          <w:rFonts w:hint="eastAsia" w:ascii="仿宋" w:hAnsi="仿宋" w:eastAsia="仿宋" w:cs="仿宋"/>
          <w:color w:val="auto"/>
          <w:sz w:val="24"/>
          <w:highlight w:val="none"/>
        </w:rPr>
        <w:t>唱标、记标</w:t>
      </w:r>
    </w:p>
    <w:p w14:paraId="2967408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4.2.1 </w:t>
      </w:r>
      <w:r>
        <w:rPr>
          <w:rFonts w:hint="eastAsia" w:ascii="仿宋" w:hAnsi="仿宋" w:eastAsia="仿宋" w:cs="仿宋"/>
          <w:color w:val="auto"/>
          <w:sz w:val="24"/>
          <w:highlight w:val="none"/>
        </w:rPr>
        <w:t>采购人对投标报价登记确认、资格资质审查合格，及对采购文件做出实质性响应的供应商的报价，要给予每个正在参加评标的供应商相同的机会，并对报价采取公开的方式，按照供应商现场递交投标文件的正顺序，采取书面记录方式，在现场开标现场当场进行唱标公布。该报价只允许有一个报价，投标人任何有选择性的报价将不予接受。</w:t>
      </w:r>
    </w:p>
    <w:p w14:paraId="28C94AD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4.2.2 </w:t>
      </w:r>
      <w:r>
        <w:rPr>
          <w:rFonts w:hint="eastAsia" w:ascii="仿宋" w:hAnsi="仿宋" w:eastAsia="仿宋" w:cs="仿宋"/>
          <w:color w:val="auto"/>
          <w:sz w:val="24"/>
          <w:highlight w:val="none"/>
        </w:rPr>
        <w:t>报价以供应商提交的投标文件中“开标一览表”的内容为准。</w:t>
      </w:r>
    </w:p>
    <w:p w14:paraId="0E4961C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4.2.3 </w:t>
      </w:r>
      <w:r>
        <w:rPr>
          <w:rFonts w:hint="eastAsia" w:ascii="仿宋" w:hAnsi="仿宋" w:eastAsia="仿宋" w:cs="仿宋"/>
          <w:color w:val="auto"/>
          <w:sz w:val="24"/>
          <w:highlight w:val="none"/>
        </w:rPr>
        <w:t>唱标和记标的顺序，按照投标人现场递交投标文件的正顺序依次进行。</w:t>
      </w:r>
    </w:p>
    <w:p w14:paraId="5D22C3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4.3 </w:t>
      </w:r>
      <w:r>
        <w:rPr>
          <w:rFonts w:hint="eastAsia" w:ascii="仿宋" w:hAnsi="仿宋" w:eastAsia="仿宋" w:cs="仿宋"/>
          <w:color w:val="auto"/>
          <w:sz w:val="24"/>
          <w:highlight w:val="none"/>
        </w:rPr>
        <w:t>最终报价是否均超过采购预算的审查确认</w:t>
      </w:r>
    </w:p>
    <w:p w14:paraId="09778589">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4.3.1 </w:t>
      </w:r>
      <w:r>
        <w:rPr>
          <w:rFonts w:hint="eastAsia" w:ascii="仿宋" w:hAnsi="仿宋" w:eastAsia="仿宋" w:cs="仿宋"/>
          <w:color w:val="auto"/>
          <w:sz w:val="24"/>
          <w:highlight w:val="none"/>
        </w:rPr>
        <w:t>报价唱标结束后，采购人须根据《中华人民共和国政府采购法》及采购文件</w:t>
      </w:r>
      <w:r>
        <w:rPr>
          <w:rFonts w:hint="eastAsia" w:ascii="仿宋" w:hAnsi="仿宋" w:eastAsia="仿宋" w:cs="仿宋"/>
          <w:color w:val="auto"/>
          <w:sz w:val="24"/>
          <w:highlight w:val="none"/>
          <w:lang w:val="en-US"/>
        </w:rPr>
        <w:t>的规定，按照最终报价不接受超过采购预算的原则，对最终报价是否均超过采购预算进行审查确认，并在开标现场公布结果。</w:t>
      </w:r>
    </w:p>
    <w:p w14:paraId="06B25197">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24.4.3.2 唱标结束后，如所有报价均超过采购预算，且采购人不能支付时，采购人现场应宣布本次招标废标。出现此种情况时，评标委员会有权决定拒绝所有的投标文件。</w:t>
      </w:r>
    </w:p>
    <w:p w14:paraId="1C77799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5 </w:t>
      </w:r>
      <w:r>
        <w:rPr>
          <w:rFonts w:hint="eastAsia" w:ascii="仿宋" w:hAnsi="仿宋" w:eastAsia="仿宋" w:cs="仿宋"/>
          <w:color w:val="auto"/>
          <w:sz w:val="24"/>
          <w:highlight w:val="none"/>
        </w:rPr>
        <w:t>评标程序</w:t>
      </w:r>
    </w:p>
    <w:p w14:paraId="261F161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24.5.1 </w:t>
      </w:r>
      <w:r>
        <w:rPr>
          <w:rFonts w:hint="eastAsia" w:ascii="仿宋" w:hAnsi="仿宋" w:eastAsia="仿宋" w:cs="仿宋"/>
          <w:color w:val="auto"/>
          <w:sz w:val="24"/>
          <w:highlight w:val="none"/>
        </w:rPr>
        <w:t>评标委员会及其成员应当遵循独立评标的原则，按照独立初审、单独（或集中）询标（答疑）、独立综合评审、独立推荐拟中标候选人、集体定标、出具评标报告的工作程序进行。</w:t>
      </w:r>
    </w:p>
    <w:p w14:paraId="3FA76B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24.5.2 </w:t>
      </w:r>
      <w:r>
        <w:rPr>
          <w:rFonts w:hint="eastAsia" w:ascii="仿宋" w:hAnsi="仿宋" w:eastAsia="仿宋" w:cs="仿宋"/>
          <w:color w:val="auto"/>
          <w:sz w:val="24"/>
          <w:highlight w:val="none"/>
        </w:rPr>
        <w:t>评标委员会应单独（或集中）与资格资质审查合格的投标人分别进行技术和商务评审与比较。</w:t>
      </w:r>
    </w:p>
    <w:p w14:paraId="64ADAA9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24.5.3 </w:t>
      </w:r>
      <w:r>
        <w:rPr>
          <w:rFonts w:hint="eastAsia" w:ascii="仿宋" w:hAnsi="仿宋" w:eastAsia="仿宋" w:cs="仿宋"/>
          <w:color w:val="auto"/>
          <w:sz w:val="24"/>
          <w:highlight w:val="none"/>
        </w:rPr>
        <w:t>按照采购人规定程序，评标当事双方应本着“实事求是、公正诚信” 的原则，以采购人的采购文件为评标的唯一依据，不允许做采购文件以外无关问题讨论；评标委员会成员可以采取单独（或集中）的方式与供应商分别逐一进行评标、询标（答疑）、澄清。</w:t>
      </w:r>
    </w:p>
    <w:p w14:paraId="05E0059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5.5 </w:t>
      </w:r>
      <w:r>
        <w:rPr>
          <w:rFonts w:hint="eastAsia" w:ascii="仿宋" w:hAnsi="仿宋" w:eastAsia="仿宋" w:cs="仿宋"/>
          <w:color w:val="auto"/>
          <w:sz w:val="24"/>
          <w:highlight w:val="none"/>
        </w:rPr>
        <w:t>询标（答疑）、澄清</w:t>
      </w:r>
    </w:p>
    <w:p w14:paraId="12288F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24.5.5.1 </w:t>
      </w:r>
      <w:r>
        <w:rPr>
          <w:rFonts w:hint="eastAsia" w:ascii="仿宋" w:hAnsi="仿宋" w:eastAsia="仿宋" w:cs="仿宋"/>
          <w:color w:val="auto"/>
          <w:sz w:val="24"/>
          <w:highlight w:val="none"/>
        </w:rPr>
        <w:t>在评标过程中，评标委员会各成员如对投标文件中含义不明确、同类问题表述不一致或者有明显文字和计算错误的内容，需要供应商进行必要澄清、说明或者纠正</w:t>
      </w:r>
      <w:r>
        <w:rPr>
          <w:rFonts w:hint="eastAsia" w:ascii="仿宋" w:hAnsi="仿宋" w:eastAsia="仿宋" w:cs="仿宋"/>
          <w:color w:val="auto"/>
          <w:sz w:val="24"/>
          <w:highlight w:val="none"/>
          <w:lang w:val="en-US"/>
        </w:rPr>
        <w:t>的</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各投标人应按</w:t>
      </w: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val="en-US"/>
        </w:rPr>
        <w:t>的</w:t>
      </w:r>
      <w:r>
        <w:rPr>
          <w:rFonts w:hint="eastAsia" w:ascii="仿宋" w:hAnsi="仿宋" w:eastAsia="仿宋" w:cs="仿宋"/>
          <w:color w:val="auto"/>
          <w:sz w:val="24"/>
          <w:highlight w:val="none"/>
        </w:rPr>
        <w:t>规定作出必要的澄清、说明或者补正，和分别单独（或集中）进行询标（答疑）。</w:t>
      </w:r>
    </w:p>
    <w:p w14:paraId="1166C79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24.5.5.2 </w:t>
      </w:r>
      <w:r>
        <w:rPr>
          <w:rFonts w:hint="eastAsia" w:ascii="仿宋" w:hAnsi="仿宋" w:eastAsia="仿宋" w:cs="仿宋"/>
          <w:color w:val="auto"/>
          <w:sz w:val="24"/>
          <w:highlight w:val="none"/>
        </w:rPr>
        <w:t>为有助于对投标文件进行审查、评估和比较，评标委员会及其成员将对认为需要投标人进行询标（答疑）、澄清等时，投标人有责任按照采购人通知的时间、地点进行询标（答疑）和澄清。询标（答疑）和澄清时，投标人代表应作书面记录，并对重要内容做出书面答复。</w:t>
      </w:r>
    </w:p>
    <w:p w14:paraId="0A9F18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24.5.5.3 </w:t>
      </w:r>
      <w:r>
        <w:rPr>
          <w:rFonts w:hint="eastAsia" w:ascii="仿宋" w:hAnsi="仿宋" w:eastAsia="仿宋" w:cs="仿宋"/>
          <w:color w:val="auto"/>
          <w:sz w:val="24"/>
          <w:highlight w:val="none"/>
        </w:rPr>
        <w:t>评标委员会在初步评审的基础上，单独（或集体）讨论、分析、综合各种因素后，可决定是否与各投标人再次进行询标（答疑）。</w:t>
      </w:r>
    </w:p>
    <w:p w14:paraId="45106B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24.5.5.4 </w:t>
      </w:r>
      <w:r>
        <w:rPr>
          <w:rFonts w:hint="eastAsia" w:ascii="仿宋" w:hAnsi="仿宋" w:eastAsia="仿宋" w:cs="仿宋"/>
          <w:color w:val="auto"/>
          <w:sz w:val="24"/>
          <w:highlight w:val="none"/>
        </w:rPr>
        <w:t>采购人要对供应商的澄清、说明或者补正采用现场</w:t>
      </w:r>
      <w:r>
        <w:rPr>
          <w:rFonts w:hint="eastAsia" w:ascii="仿宋" w:hAnsi="仿宋" w:eastAsia="仿宋" w:cs="仿宋"/>
          <w:color w:val="auto"/>
          <w:sz w:val="24"/>
          <w:highlight w:val="none"/>
          <w:lang w:val="en-US"/>
        </w:rPr>
        <w:t>递交</w:t>
      </w:r>
      <w:r>
        <w:rPr>
          <w:rFonts w:hint="eastAsia" w:ascii="仿宋" w:hAnsi="仿宋" w:eastAsia="仿宋" w:cs="仿宋"/>
          <w:color w:val="auto"/>
          <w:sz w:val="24"/>
          <w:highlight w:val="none"/>
        </w:rPr>
        <w:t>形式，由采购人做好书面记录，并由其法定代表人或授权的代表签字或加盖公章，其澄清、说明或者补正不得超出投标报价文件的范围或者改变其实质性内容，并作为投标文件的组成部分。</w:t>
      </w:r>
    </w:p>
    <w:p w14:paraId="0D996B5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24.5.5.5</w:t>
      </w:r>
      <w:r>
        <w:rPr>
          <w:rFonts w:hint="eastAsia" w:ascii="仿宋" w:hAnsi="仿宋" w:eastAsia="仿宋" w:cs="仿宋"/>
          <w:color w:val="auto"/>
          <w:sz w:val="24"/>
          <w:highlight w:val="none"/>
        </w:rPr>
        <w:t>投标人拒不进行澄清、说明或者补正的，或者不能在采购人规定时间内做出书面澄清、说明或者补正的，评标委员会将取消其继续参加评标的资格。</w:t>
      </w:r>
    </w:p>
    <w:p w14:paraId="777961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24.5.5.6</w:t>
      </w:r>
      <w:r>
        <w:rPr>
          <w:rFonts w:hint="eastAsia" w:ascii="仿宋" w:hAnsi="仿宋" w:eastAsia="仿宋" w:cs="仿宋"/>
          <w:color w:val="auto"/>
          <w:sz w:val="24"/>
          <w:highlight w:val="none"/>
        </w:rPr>
        <w:t>参加投标的供应商应当对评标（审）的承诺和最终报价以书面形式确认，并由其法定代表人（或其授权人）签署或加盖公章。</w:t>
      </w:r>
    </w:p>
    <w:p w14:paraId="73FAAC1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 xml:space="preserve">5.6 </w:t>
      </w:r>
      <w:r>
        <w:rPr>
          <w:rFonts w:hint="eastAsia" w:ascii="仿宋" w:hAnsi="仿宋" w:eastAsia="仿宋" w:cs="仿宋"/>
          <w:color w:val="auto"/>
          <w:sz w:val="24"/>
          <w:highlight w:val="none"/>
        </w:rPr>
        <w:t>符合性审查</w:t>
      </w:r>
    </w:p>
    <w:p w14:paraId="0552523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24.5.6.1 </w:t>
      </w:r>
      <w:r>
        <w:rPr>
          <w:rFonts w:hint="eastAsia" w:ascii="仿宋" w:hAnsi="仿宋" w:eastAsia="仿宋" w:cs="仿宋"/>
          <w:color w:val="auto"/>
          <w:sz w:val="24"/>
          <w:highlight w:val="none"/>
        </w:rPr>
        <w:t>评标委员会应依据采购文件的规定，对投标人报价文件的有效性、完整性和对采购文件的响应程度进行审查，以确定是否对采购文件的要求做出实质性响应，对采购文件的要求未做出实质性响应的投标人，不得进入具体评标程序。</w:t>
      </w:r>
    </w:p>
    <w:p w14:paraId="5134EEA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24.5.6.2 </w:t>
      </w:r>
      <w:r>
        <w:rPr>
          <w:rFonts w:hint="eastAsia" w:ascii="仿宋" w:hAnsi="仿宋" w:eastAsia="仿宋" w:cs="仿宋"/>
          <w:color w:val="auto"/>
          <w:sz w:val="24"/>
          <w:highlight w:val="none"/>
        </w:rPr>
        <w:t>评标委员会应当根据采购文件，审查并逐项列出每一个投标文件的全部投标偏差。投标偏差分为重大偏差和细微偏差。</w:t>
      </w:r>
    </w:p>
    <w:p w14:paraId="32A91E7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细微偏差是指投标实质上响应了采购文件要求，但在个别地方存在漏项或者提供了不完整的技术信息和数据等情况，并且补正这些遗漏或不完整不会对其他投标人造成不公平的结果。细微偏差不影响投标文件的有效性。</w:t>
      </w:r>
    </w:p>
    <w:p w14:paraId="2362840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2</w:t>
      </w:r>
      <w:r>
        <w:rPr>
          <w:rFonts w:hint="eastAsia" w:ascii="仿宋" w:hAnsi="仿宋" w:eastAsia="仿宋" w:cs="仿宋"/>
          <w:color w:val="auto"/>
          <w:sz w:val="24"/>
          <w:highlight w:val="none"/>
        </w:rPr>
        <w:t>）应当要求存在细小偏差的投标人在评标结束前以书面形式予以补正。拒绝补正的，在综合评审时可以对细微偏差作不利于该投标人的量化。</w:t>
      </w:r>
    </w:p>
    <w:p w14:paraId="5B22DF1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3</w:t>
      </w:r>
      <w:r>
        <w:rPr>
          <w:rFonts w:hint="eastAsia" w:ascii="仿宋" w:hAnsi="仿宋" w:eastAsia="仿宋" w:cs="仿宋"/>
          <w:color w:val="auto"/>
          <w:sz w:val="24"/>
          <w:highlight w:val="none"/>
        </w:rPr>
        <w:t>）重大偏离或保留系指影响到采购文件规定的</w:t>
      </w:r>
      <w:r>
        <w:rPr>
          <w:rFonts w:hint="eastAsia" w:ascii="仿宋" w:hAnsi="仿宋" w:eastAsia="仿宋" w:cs="仿宋"/>
          <w:color w:val="auto"/>
          <w:sz w:val="24"/>
          <w:highlight w:val="none"/>
          <w:lang w:val="en-US"/>
        </w:rPr>
        <w:t>供货、</w:t>
      </w:r>
      <w:r>
        <w:rPr>
          <w:rFonts w:hint="eastAsia" w:ascii="仿宋" w:hAnsi="仿宋" w:eastAsia="仿宋" w:cs="仿宋"/>
          <w:color w:val="auto"/>
          <w:sz w:val="24"/>
          <w:highlight w:val="none"/>
        </w:rPr>
        <w:t>服务范围和质量，或限制了采购人的权力和义务的规定，而纠正这些偏离将影响到其他提交实质性响应的投标人的公平竞争地位。主要表现有投标文件没有按照采购文件要求提供投标保证金的， 投标文件没有</w:t>
      </w:r>
      <w:r>
        <w:rPr>
          <w:rFonts w:hint="eastAsia" w:ascii="仿宋" w:hAnsi="仿宋" w:eastAsia="仿宋" w:cs="仿宋"/>
          <w:color w:val="auto"/>
          <w:sz w:val="24"/>
          <w:highlight w:val="none"/>
          <w:lang w:val="en-US"/>
        </w:rPr>
        <w:t>按采购文件要求进行签章或盖章的</w:t>
      </w:r>
      <w:r>
        <w:rPr>
          <w:rFonts w:hint="eastAsia" w:ascii="仿宋" w:hAnsi="仿宋" w:eastAsia="仿宋" w:cs="仿宋"/>
          <w:color w:val="auto"/>
          <w:sz w:val="24"/>
          <w:highlight w:val="none"/>
        </w:rPr>
        <w:t>，投标文件中附有采购人不能接受的条件的，和不符合采购文件中规定的其他实质性要求的等。</w:t>
      </w:r>
    </w:p>
    <w:p w14:paraId="4E700F5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4</w:t>
      </w:r>
      <w:r>
        <w:rPr>
          <w:rFonts w:hint="eastAsia" w:ascii="仿宋" w:hAnsi="仿宋" w:eastAsia="仿宋" w:cs="仿宋"/>
          <w:color w:val="auto"/>
          <w:sz w:val="24"/>
          <w:highlight w:val="none"/>
        </w:rPr>
        <w:t>）发现有重大偏差时，评标委员会及其成员应按采购文件中的规定，可以取消其投标的权利。</w:t>
      </w:r>
    </w:p>
    <w:p w14:paraId="26089C2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24.5.6.3 </w:t>
      </w:r>
      <w:r>
        <w:rPr>
          <w:rFonts w:hint="eastAsia" w:ascii="仿宋" w:hAnsi="仿宋" w:eastAsia="仿宋" w:cs="仿宋"/>
          <w:color w:val="auto"/>
          <w:sz w:val="24"/>
          <w:highlight w:val="none"/>
        </w:rPr>
        <w:t>进行符合性审查时，评标委员会应当审查每一个投标文件是否对采购文件提出的所有实质性要求和条件作出响应。未能实质上响应的，视情况按照采购文件的规定，应不得进入综合评审程序。主要有下列情况：</w:t>
      </w:r>
    </w:p>
    <w:p w14:paraId="406B12C9">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1.投标文件组成是否完整，主要内容是否齐全；</w:t>
      </w:r>
    </w:p>
    <w:p w14:paraId="7D58A8E4">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2.投标文件是否按采购文件要求进行签字或盖章；</w:t>
      </w:r>
    </w:p>
    <w:p w14:paraId="1B03A710">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3.投标报价是否高于采购文件公布的采购预算金额（或最高限价）；</w:t>
      </w:r>
    </w:p>
    <w:p w14:paraId="74BAFA29">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4.投标文件载明的投标有效期是否满足采购文件要求；</w:t>
      </w:r>
    </w:p>
    <w:p w14:paraId="768C9694">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5.投标文件载明的</w:t>
      </w:r>
      <w:r>
        <w:rPr>
          <w:rFonts w:hint="eastAsia" w:ascii="仿宋" w:hAnsi="仿宋" w:eastAsia="仿宋" w:cs="仿宋"/>
          <w:color w:val="auto"/>
          <w:sz w:val="24"/>
          <w:highlight w:val="none"/>
          <w:lang w:val="en-US" w:eastAsia="zh-CN"/>
        </w:rPr>
        <w:t>合同履约期、维保期</w:t>
      </w:r>
      <w:r>
        <w:rPr>
          <w:rFonts w:hint="eastAsia" w:ascii="仿宋" w:hAnsi="仿宋" w:eastAsia="仿宋" w:cs="仿宋"/>
          <w:color w:val="auto"/>
          <w:sz w:val="24"/>
          <w:highlight w:val="none"/>
          <w:lang w:val="en-US"/>
        </w:rPr>
        <w:t>是否满足采购文件要求；</w:t>
      </w:r>
    </w:p>
    <w:p w14:paraId="4F6A3BA4">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6.投标文件是否附有招标人不能接受的条件；</w:t>
      </w:r>
    </w:p>
    <w:p w14:paraId="3BDC3314">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rPr>
        <w:t>7.是否符合法律、法规和采购文件中规定的其他实质性要求；</w:t>
      </w:r>
    </w:p>
    <w:p w14:paraId="6F3C26A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24.5.7 </w:t>
      </w:r>
      <w:r>
        <w:rPr>
          <w:rFonts w:hint="eastAsia" w:ascii="仿宋" w:hAnsi="仿宋" w:eastAsia="仿宋" w:cs="仿宋"/>
          <w:color w:val="auto"/>
          <w:sz w:val="24"/>
          <w:highlight w:val="none"/>
        </w:rPr>
        <w:t>评标委员会根据上述规定否决不合格投标或者界定为废标后，因有效投标不足三个使得投标明显缺乏竞争性时，根据《中华人民共和国政府采购法》及采购文件的相关规定，可以作出废标处理，并由采购人依法重新组织采购活动。</w:t>
      </w:r>
    </w:p>
    <w:p w14:paraId="586205B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综合评审</w:t>
      </w:r>
    </w:p>
    <w:p w14:paraId="22870C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各成员应当遵循独立评审原则，按照采购文件的评标方法和标准，对资质资格资质检查和复合性检查合格的投标文件的商务和技术进行评估，综合比较与评价。并应当以书面方式发表各自（或集体）的具体综合评审意见。</w:t>
      </w:r>
    </w:p>
    <w:p w14:paraId="329F73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评估和综合比较与评价，应当严格按照采购人设计格式要求，做好书面原始署名记录，连同书面评标报告提交采购人。</w:t>
      </w:r>
    </w:p>
    <w:p w14:paraId="493666D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公开招标</w:t>
      </w:r>
      <w:r>
        <w:rPr>
          <w:rFonts w:hint="eastAsia" w:ascii="仿宋" w:hAnsi="仿宋" w:eastAsia="仿宋" w:cs="仿宋"/>
          <w:color w:val="auto"/>
          <w:sz w:val="24"/>
          <w:highlight w:val="none"/>
        </w:rPr>
        <w:t>”应当载明投标人的投标项目、所作的任何修正、对商业偏差的调整、对技术偏差的调整、对各评审因素的评估，以及对每一投标的最终评标结果。</w:t>
      </w:r>
    </w:p>
    <w:p w14:paraId="1F92C93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综合评审记录要突出重点、抓住关键（核心）、真实准确、简明扼要，体现公平、公正、合理。否则，经核实后，将按前款“第四部分”中“第四章” 的21.3条款之规定执行。</w:t>
      </w:r>
    </w:p>
    <w:p w14:paraId="6F9903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24.5.8 比较与评价</w:t>
      </w:r>
    </w:p>
    <w:p w14:paraId="666E8C3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综合评标时，评标委员会各成员应当</w:t>
      </w:r>
      <w:r>
        <w:rPr>
          <w:rFonts w:hint="eastAsia" w:ascii="仿宋" w:hAnsi="仿宋" w:eastAsia="仿宋" w:cs="仿宋"/>
          <w:color w:val="auto"/>
          <w:sz w:val="24"/>
          <w:highlight w:val="none"/>
          <w:lang w:val="en-US"/>
        </w:rPr>
        <w:t>独立</w:t>
      </w:r>
      <w:r>
        <w:rPr>
          <w:rFonts w:hint="eastAsia" w:ascii="仿宋" w:hAnsi="仿宋" w:eastAsia="仿宋" w:cs="仿宋"/>
          <w:color w:val="auto"/>
          <w:sz w:val="24"/>
          <w:highlight w:val="none"/>
        </w:rPr>
        <w:t>对每一个有效投标人投标文件， 根据采购文件中要求的产品价格、</w:t>
      </w:r>
      <w:r>
        <w:rPr>
          <w:rFonts w:hint="eastAsia" w:ascii="仿宋" w:hAnsi="仿宋" w:eastAsia="仿宋" w:cs="仿宋"/>
          <w:color w:val="auto"/>
          <w:sz w:val="24"/>
          <w:highlight w:val="none"/>
          <w:lang w:val="en-US"/>
        </w:rPr>
        <w:t>产品</w:t>
      </w:r>
      <w:r>
        <w:rPr>
          <w:rFonts w:hint="eastAsia" w:ascii="仿宋" w:hAnsi="仿宋" w:eastAsia="仿宋" w:cs="仿宋"/>
          <w:color w:val="auto"/>
          <w:sz w:val="24"/>
          <w:highlight w:val="none"/>
        </w:rPr>
        <w:t>选型、配置及性能指标、</w:t>
      </w:r>
      <w:r>
        <w:rPr>
          <w:rFonts w:hint="eastAsia" w:ascii="仿宋" w:hAnsi="仿宋" w:eastAsia="仿宋" w:cs="仿宋"/>
          <w:color w:val="auto"/>
          <w:sz w:val="24"/>
          <w:highlight w:val="none"/>
          <w:lang w:val="en-US"/>
        </w:rPr>
        <w:t>质量保证措施、</w:t>
      </w:r>
      <w:r>
        <w:rPr>
          <w:rFonts w:hint="eastAsia" w:ascii="仿宋" w:hAnsi="仿宋" w:eastAsia="仿宋" w:cs="仿宋"/>
          <w:color w:val="auto"/>
          <w:sz w:val="24"/>
          <w:highlight w:val="none"/>
        </w:rPr>
        <w:t>货物供应、售后服务、类似项目业绩</w:t>
      </w:r>
      <w:r>
        <w:rPr>
          <w:rFonts w:hint="eastAsia" w:ascii="仿宋" w:hAnsi="仿宋" w:eastAsia="仿宋" w:cs="仿宋"/>
          <w:color w:val="auto"/>
          <w:sz w:val="24"/>
          <w:highlight w:val="none"/>
          <w:lang w:val="en-US"/>
        </w:rPr>
        <w:t>等</w:t>
      </w:r>
      <w:r>
        <w:rPr>
          <w:rFonts w:hint="eastAsia" w:ascii="仿宋" w:hAnsi="仿宋" w:eastAsia="仿宋" w:cs="仿宋"/>
          <w:color w:val="auto"/>
          <w:sz w:val="24"/>
          <w:highlight w:val="none"/>
        </w:rPr>
        <w:t>因素</w:t>
      </w:r>
      <w:r>
        <w:rPr>
          <w:rFonts w:hint="eastAsia" w:ascii="仿宋" w:hAnsi="仿宋" w:eastAsia="仿宋" w:cs="仿宋"/>
          <w:color w:val="auto"/>
          <w:sz w:val="24"/>
          <w:highlight w:val="none"/>
          <w:lang w:val="en-US"/>
        </w:rPr>
        <w:t>进行</w:t>
      </w:r>
      <w:r>
        <w:rPr>
          <w:rFonts w:hint="eastAsia" w:ascii="仿宋" w:hAnsi="仿宋" w:eastAsia="仿宋" w:cs="仿宋"/>
          <w:color w:val="auto"/>
          <w:sz w:val="24"/>
          <w:highlight w:val="none"/>
        </w:rPr>
        <w:t>比较与</w:t>
      </w:r>
      <w:r>
        <w:rPr>
          <w:rFonts w:hint="eastAsia" w:ascii="仿宋" w:hAnsi="仿宋" w:eastAsia="仿宋" w:cs="仿宋"/>
          <w:color w:val="auto"/>
          <w:sz w:val="24"/>
          <w:highlight w:val="none"/>
          <w:lang w:val="en-US"/>
        </w:rPr>
        <w:t>及具体</w:t>
      </w:r>
      <w:r>
        <w:rPr>
          <w:rFonts w:hint="eastAsia" w:ascii="仿宋" w:hAnsi="仿宋" w:eastAsia="仿宋" w:cs="仿宋"/>
          <w:color w:val="auto"/>
          <w:sz w:val="24"/>
          <w:highlight w:val="none"/>
        </w:rPr>
        <w:t>评估。</w:t>
      </w:r>
    </w:p>
    <w:p w14:paraId="2C157C02">
      <w:pPr>
        <w:spacing w:line="360" w:lineRule="auto"/>
        <w:ind w:firstLine="440" w:firstLineChars="200"/>
        <w:rPr>
          <w:rFonts w:hint="eastAsia" w:ascii="仿宋" w:hAnsi="仿宋" w:eastAsia="仿宋" w:cs="仿宋"/>
          <w:color w:val="auto"/>
          <w:sz w:val="24"/>
          <w:highlight w:val="none"/>
        </w:rPr>
      </w:pPr>
      <w:r>
        <w:rPr>
          <w:rFonts w:hint="eastAsia" w:ascii="仿宋" w:hAnsi="仿宋" w:eastAsia="仿宋" w:cs="仿宋"/>
          <w:color w:val="auto"/>
          <w:highlight w:val="none"/>
          <w:lang w:val="en-US"/>
        </w:rPr>
        <w:t>公开招标</w:t>
      </w:r>
      <w:r>
        <w:rPr>
          <w:rFonts w:hint="eastAsia" w:ascii="仿宋" w:hAnsi="仿宋" w:eastAsia="仿宋" w:cs="仿宋"/>
          <w:color w:val="auto"/>
          <w:sz w:val="24"/>
          <w:highlight w:val="none"/>
        </w:rPr>
        <w:t>的原则、方法和标准</w:t>
      </w:r>
    </w:p>
    <w:p w14:paraId="7F82B6B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采用</w:t>
      </w:r>
      <w:r>
        <w:rPr>
          <w:rFonts w:hint="eastAsia" w:ascii="仿宋" w:hAnsi="仿宋" w:eastAsia="仿宋" w:cs="仿宋"/>
          <w:color w:val="auto"/>
          <w:sz w:val="24"/>
          <w:highlight w:val="none"/>
          <w:lang w:val="en-US"/>
        </w:rPr>
        <w:t>公开招标</w:t>
      </w:r>
      <w:r>
        <w:rPr>
          <w:rFonts w:hint="eastAsia" w:ascii="仿宋" w:hAnsi="仿宋" w:eastAsia="仿宋" w:cs="仿宋"/>
          <w:color w:val="auto"/>
          <w:sz w:val="24"/>
          <w:highlight w:val="none"/>
        </w:rPr>
        <w:t>，是指在最大限度地满足采购文件实质性要求前提下，按照采购文件中规定的各项因素进行综合评审后，以评分得分最高的投标人作为中标候选人或者中标人的评标方法。</w:t>
      </w:r>
    </w:p>
    <w:p w14:paraId="73C2875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公开招标</w:t>
      </w:r>
      <w:r>
        <w:rPr>
          <w:rFonts w:hint="eastAsia" w:ascii="仿宋" w:hAnsi="仿宋" w:eastAsia="仿宋" w:cs="仿宋"/>
          <w:color w:val="auto"/>
          <w:sz w:val="24"/>
          <w:highlight w:val="none"/>
        </w:rPr>
        <w:t>：评标委员会成员应按照独立综合评审原则，根据对采购文件的响应程度和具体评标情况，独立对具体投标文件的商务和技术指标进行评估和综合比较与评价后，独立（或集体）发表综合评审（议）意见，对每一个投标人做出打分决定；经采购人核对和汇总后，按得高分原则，由高到低进行排序后，最后根据评标委员会各成员签署的打分结果，得出评标结论。</w:t>
      </w:r>
    </w:p>
    <w:p w14:paraId="6A69F1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评标时，评标委员会各成员应当独立对每个有效投标人的投标文件进行评价、打分，然后由采购人核对汇总出每个投标人每项评分因素的得分。</w:t>
      </w:r>
    </w:p>
    <w:p w14:paraId="1B84DB9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综合评分，应严格遵守前款“24.5.8 综合评审”条款之规定。否则， 经核实后，将按前款“第四部分”中“第四章”的规定执行。</w:t>
      </w:r>
    </w:p>
    <w:p w14:paraId="715FB55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评标委员会各成员要按照采购人规定格式，将每一个投标人的综合评审意见、打分结果、推荐理由等进行署名原始记录。</w:t>
      </w:r>
    </w:p>
    <w:p w14:paraId="4BA6E8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综合评分主要包括技术、商务、报价等指标</w:t>
      </w:r>
    </w:p>
    <w:p w14:paraId="0574685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         1、</w:t>
      </w:r>
      <w:r>
        <w:rPr>
          <w:rFonts w:hint="eastAsia" w:ascii="仿宋" w:hAnsi="仿宋" w:eastAsia="仿宋" w:cs="仿宋"/>
          <w:color w:val="auto"/>
          <w:sz w:val="24"/>
          <w:highlight w:val="none"/>
        </w:rPr>
        <w:t>技术部分主要包括：技术参数、质量管理与措施</w:t>
      </w:r>
      <w:r>
        <w:rPr>
          <w:rFonts w:hint="eastAsia" w:ascii="仿宋" w:hAnsi="仿宋" w:eastAsia="仿宋" w:cs="仿宋"/>
          <w:color w:val="auto"/>
          <w:sz w:val="24"/>
          <w:highlight w:val="none"/>
          <w:lang w:val="en-US"/>
        </w:rPr>
        <w:t>等</w:t>
      </w:r>
      <w:r>
        <w:rPr>
          <w:rFonts w:hint="eastAsia" w:ascii="仿宋" w:hAnsi="仿宋" w:eastAsia="仿宋" w:cs="仿宋"/>
          <w:color w:val="auto"/>
          <w:sz w:val="24"/>
          <w:highlight w:val="none"/>
        </w:rPr>
        <w:t>指标。</w:t>
      </w:r>
    </w:p>
    <w:p w14:paraId="54646F7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         2、</w:t>
      </w:r>
      <w:r>
        <w:rPr>
          <w:rFonts w:hint="eastAsia" w:ascii="仿宋" w:hAnsi="仿宋" w:eastAsia="仿宋" w:cs="仿宋"/>
          <w:color w:val="auto"/>
          <w:sz w:val="24"/>
          <w:highlight w:val="none"/>
        </w:rPr>
        <w:t>商务部分主要包括：</w:t>
      </w:r>
      <w:r>
        <w:rPr>
          <w:rFonts w:hint="eastAsia" w:ascii="仿宋" w:hAnsi="仿宋" w:eastAsia="仿宋" w:cs="仿宋"/>
          <w:color w:val="auto"/>
          <w:sz w:val="24"/>
          <w:highlight w:val="none"/>
          <w:lang w:val="en-US" w:eastAsia="zh-CN"/>
        </w:rPr>
        <w:t>履约</w:t>
      </w:r>
      <w:r>
        <w:rPr>
          <w:rFonts w:hint="eastAsia" w:ascii="仿宋" w:hAnsi="仿宋" w:eastAsia="仿宋" w:cs="仿宋"/>
          <w:color w:val="auto"/>
          <w:sz w:val="24"/>
          <w:highlight w:val="none"/>
        </w:rPr>
        <w:t>能力和状况、售后服务、项目业绩等指标。</w:t>
      </w:r>
    </w:p>
    <w:p w14:paraId="263AB96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3、报价：有效投标人的投标报价。</w:t>
      </w:r>
    </w:p>
    <w:p w14:paraId="3E3B680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4、综合评分具体指标和标准，见《评标（分）记录明细表》。</w:t>
      </w:r>
    </w:p>
    <w:p w14:paraId="6517095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综合评分原则</w:t>
      </w:r>
    </w:p>
    <w:p w14:paraId="38333F4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1</w:t>
      </w:r>
      <w:r>
        <w:rPr>
          <w:rFonts w:hint="eastAsia" w:ascii="仿宋" w:hAnsi="仿宋" w:eastAsia="仿宋" w:cs="仿宋"/>
          <w:color w:val="auto"/>
          <w:sz w:val="24"/>
          <w:highlight w:val="none"/>
        </w:rPr>
        <w:t>）评标委员会对所报产品价格、</w:t>
      </w:r>
      <w:r>
        <w:rPr>
          <w:rFonts w:hint="eastAsia" w:ascii="仿宋" w:hAnsi="仿宋" w:eastAsia="仿宋" w:cs="仿宋"/>
          <w:color w:val="auto"/>
          <w:sz w:val="24"/>
          <w:highlight w:val="none"/>
          <w:lang w:val="en-US"/>
        </w:rPr>
        <w:t>产品</w:t>
      </w:r>
      <w:r>
        <w:rPr>
          <w:rFonts w:hint="eastAsia" w:ascii="仿宋" w:hAnsi="仿宋" w:eastAsia="仿宋" w:cs="仿宋"/>
          <w:color w:val="auto"/>
          <w:sz w:val="24"/>
          <w:highlight w:val="none"/>
        </w:rPr>
        <w:t>选型、配置及性能指标、</w:t>
      </w:r>
      <w:r>
        <w:rPr>
          <w:rFonts w:hint="eastAsia" w:ascii="仿宋" w:hAnsi="仿宋" w:eastAsia="仿宋" w:cs="仿宋"/>
          <w:color w:val="auto"/>
          <w:sz w:val="24"/>
          <w:highlight w:val="none"/>
          <w:lang w:val="en-US"/>
        </w:rPr>
        <w:t>质量保证措施、</w:t>
      </w:r>
      <w:r>
        <w:rPr>
          <w:rFonts w:hint="eastAsia" w:ascii="仿宋" w:hAnsi="仿宋" w:eastAsia="仿宋" w:cs="仿宋"/>
          <w:color w:val="auto"/>
          <w:sz w:val="24"/>
          <w:highlight w:val="none"/>
        </w:rPr>
        <w:t>货物供应、售后服务、类似项目的业绩</w:t>
      </w:r>
      <w:r>
        <w:rPr>
          <w:rFonts w:hint="eastAsia" w:ascii="仿宋" w:hAnsi="仿宋" w:eastAsia="仿宋" w:cs="仿宋"/>
          <w:color w:val="auto"/>
          <w:sz w:val="24"/>
          <w:highlight w:val="none"/>
          <w:lang w:val="en-US"/>
        </w:rPr>
        <w:t>等</w:t>
      </w:r>
      <w:r>
        <w:rPr>
          <w:rFonts w:hint="eastAsia" w:ascii="仿宋" w:hAnsi="仿宋" w:eastAsia="仿宋" w:cs="仿宋"/>
          <w:color w:val="auto"/>
          <w:sz w:val="24"/>
          <w:highlight w:val="none"/>
        </w:rPr>
        <w:t>因素</w:t>
      </w:r>
      <w:r>
        <w:rPr>
          <w:rFonts w:hint="eastAsia" w:ascii="仿宋" w:hAnsi="仿宋" w:eastAsia="仿宋" w:cs="仿宋"/>
          <w:color w:val="auto"/>
          <w:sz w:val="24"/>
          <w:highlight w:val="none"/>
          <w:lang w:val="en-US"/>
        </w:rPr>
        <w:t>进行</w:t>
      </w:r>
      <w:r>
        <w:rPr>
          <w:rFonts w:hint="eastAsia" w:ascii="仿宋" w:hAnsi="仿宋" w:eastAsia="仿宋" w:cs="仿宋"/>
          <w:color w:val="auto"/>
          <w:sz w:val="24"/>
          <w:highlight w:val="none"/>
        </w:rPr>
        <w:t>比较与</w:t>
      </w:r>
      <w:r>
        <w:rPr>
          <w:rFonts w:hint="eastAsia" w:ascii="仿宋" w:hAnsi="仿宋" w:eastAsia="仿宋" w:cs="仿宋"/>
          <w:color w:val="auto"/>
          <w:sz w:val="24"/>
          <w:highlight w:val="none"/>
          <w:lang w:val="en-US"/>
        </w:rPr>
        <w:t>及具体</w:t>
      </w:r>
      <w:r>
        <w:rPr>
          <w:rFonts w:hint="eastAsia" w:ascii="仿宋" w:hAnsi="仿宋" w:eastAsia="仿宋" w:cs="仿宋"/>
          <w:color w:val="auto"/>
          <w:sz w:val="24"/>
          <w:highlight w:val="none"/>
        </w:rPr>
        <w:t>评估等因素进行比较与评价，并进行打分和汇总。详见《评标（分）记录明细表》。</w:t>
      </w:r>
    </w:p>
    <w:p w14:paraId="29580BF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2</w:t>
      </w:r>
      <w:r>
        <w:rPr>
          <w:rFonts w:hint="eastAsia" w:ascii="仿宋" w:hAnsi="仿宋" w:eastAsia="仿宋" w:cs="仿宋"/>
          <w:color w:val="auto"/>
          <w:sz w:val="24"/>
          <w:highlight w:val="none"/>
        </w:rPr>
        <w:t>）评标委员会小组成员评标、打分时不得协商，应独立完成。</w:t>
      </w:r>
    </w:p>
    <w:p w14:paraId="50F3D14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3</w:t>
      </w:r>
      <w:r>
        <w:rPr>
          <w:rFonts w:hint="eastAsia" w:ascii="仿宋" w:hAnsi="仿宋" w:eastAsia="仿宋" w:cs="仿宋"/>
          <w:color w:val="auto"/>
          <w:sz w:val="24"/>
          <w:highlight w:val="none"/>
        </w:rPr>
        <w:t>）未满足采购文件要求的投标人，不予评分。</w:t>
      </w:r>
    </w:p>
    <w:p w14:paraId="6C8696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4</w:t>
      </w:r>
      <w:r>
        <w:rPr>
          <w:rFonts w:hint="eastAsia" w:ascii="仿宋" w:hAnsi="仿宋" w:eastAsia="仿宋" w:cs="仿宋"/>
          <w:color w:val="auto"/>
          <w:sz w:val="24"/>
          <w:highlight w:val="none"/>
        </w:rPr>
        <w:t>）评标打分应当按照技术部分、商务部分、报价部分的顺序进行，打分可保留两位小数。</w:t>
      </w:r>
    </w:p>
    <w:p w14:paraId="43B7BE5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5</w:t>
      </w:r>
      <w:r>
        <w:rPr>
          <w:rFonts w:hint="eastAsia" w:ascii="仿宋" w:hAnsi="仿宋" w:eastAsia="仿宋" w:cs="仿宋"/>
          <w:color w:val="auto"/>
          <w:sz w:val="24"/>
          <w:highlight w:val="none"/>
        </w:rPr>
        <w:t>）技术、商务部分应按各小项分档打分，投标文件中各小项指标相近的，打分应属同一档次。在采购人同意的情况下，允许评标委员会小组各成员根据采购文件部分要求的技术、功能和《评标（分）记录明细表》表格部分的性能指标要求，可以按各投标文件（投标书和产品技术说明书）实际情况在档次打分范围内调整分值。</w:t>
      </w:r>
    </w:p>
    <w:p w14:paraId="6532D2F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6</w:t>
      </w:r>
      <w:r>
        <w:rPr>
          <w:rFonts w:hint="eastAsia" w:ascii="仿宋" w:hAnsi="仿宋" w:eastAsia="仿宋" w:cs="仿宋"/>
          <w:color w:val="auto"/>
          <w:sz w:val="24"/>
          <w:highlight w:val="none"/>
        </w:rPr>
        <w:t>）打分采取百分制：详见详细评审明细表；</w:t>
      </w:r>
    </w:p>
    <w:p w14:paraId="51F5365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7</w:t>
      </w:r>
      <w:r>
        <w:rPr>
          <w:rFonts w:hint="eastAsia" w:ascii="仿宋" w:hAnsi="仿宋" w:eastAsia="仿宋" w:cs="仿宋"/>
          <w:color w:val="auto"/>
          <w:sz w:val="24"/>
          <w:highlight w:val="none"/>
        </w:rPr>
        <w:t>）采购人核对汇总评标委员会各成员评分时，将计算出每一个投标人技术部分和商务部分所得分数的合计数后，再计算出其合计数的算术平均数，加上该投标人报价部分的得分后，即为该投标人的最后综合得分。</w:t>
      </w:r>
    </w:p>
    <w:p w14:paraId="200166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8</w:t>
      </w:r>
      <w:r>
        <w:rPr>
          <w:rFonts w:hint="eastAsia" w:ascii="仿宋" w:hAnsi="仿宋" w:eastAsia="仿宋" w:cs="仿宋"/>
          <w:color w:val="auto"/>
          <w:sz w:val="24"/>
          <w:highlight w:val="none"/>
        </w:rPr>
        <w:t>）由采购人核对录入和汇总计算出每一个投标人的所得分数值，并由高到底排序后，须有评标委员会小组各成员署名确认。如出现得分相同的，应按投标人的报价由低到高顺序排列；得分且其报价相等的，则按核心技术指标优劣顺序排列。价格、技术指标的高低或优劣由评标委员各成员确认评定。</w:t>
      </w:r>
    </w:p>
    <w:p w14:paraId="66E86CF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8</w:t>
      </w:r>
      <w:r>
        <w:rPr>
          <w:rFonts w:hint="eastAsia" w:ascii="仿宋" w:hAnsi="仿宋" w:eastAsia="仿宋" w:cs="仿宋"/>
          <w:color w:val="auto"/>
          <w:sz w:val="24"/>
          <w:highlight w:val="none"/>
        </w:rPr>
        <w:t>）若发现打分有误或者有差错的，或发现存在个人印象或带有明显倾向性时， 采购人将按前款“第四部分”中“第四章”的21.3条款之规定执行。</w:t>
      </w:r>
    </w:p>
    <w:p w14:paraId="26ECF49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《评标（分）记录明细表》</w:t>
      </w:r>
    </w:p>
    <w:p w14:paraId="56298C5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1、明细表包括技术部分、商务部分、报价部分、评审分标准、具体评审意见、综合评审意见、分数标准、得分、其他等组成。</w:t>
      </w:r>
    </w:p>
    <w:p w14:paraId="7CAAE6ED">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2、评标委员会各成员记录原则上不允许有涂改、划擦等，如有应按规定修正。不允许在采购人核对汇总且确认之后，在未经许可时，不能再要回重新记录。</w:t>
      </w:r>
    </w:p>
    <w:p w14:paraId="1761A0D4">
      <w:pPr>
        <w:pStyle w:val="5"/>
        <w:ind w:left="0"/>
        <w:rPr>
          <w:rFonts w:hint="eastAsia" w:ascii="仿宋" w:hAnsi="仿宋" w:eastAsia="仿宋" w:cs="仿宋"/>
          <w:b w:val="0"/>
          <w:bCs w:val="0"/>
          <w:color w:val="auto"/>
          <w:sz w:val="30"/>
          <w:szCs w:val="30"/>
          <w:highlight w:val="none"/>
        </w:rPr>
      </w:pPr>
      <w:r>
        <w:rPr>
          <w:rFonts w:hint="eastAsia" w:ascii="仿宋" w:hAnsi="仿宋" w:eastAsia="仿宋" w:cs="仿宋"/>
          <w:color w:val="auto"/>
          <w:sz w:val="30"/>
          <w:szCs w:val="30"/>
          <w:highlight w:val="none"/>
        </w:rPr>
        <w:br w:type="page"/>
      </w:r>
      <w:r>
        <w:rPr>
          <w:rFonts w:hint="eastAsia" w:ascii="仿宋" w:hAnsi="仿宋" w:eastAsia="仿宋" w:cs="仿宋"/>
          <w:color w:val="auto"/>
          <w:sz w:val="30"/>
          <w:szCs w:val="30"/>
          <w:highlight w:val="none"/>
        </w:rPr>
        <w:t>投标文件初步审查表</w:t>
      </w:r>
    </w:p>
    <w:p w14:paraId="28AEEFA0">
      <w:pP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1.资格性审查</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16"/>
        <w:gridCol w:w="2084"/>
        <w:gridCol w:w="5779"/>
      </w:tblGrid>
      <w:tr w14:paraId="768F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16" w:type="dxa"/>
            <w:shd w:val="clear" w:color="auto" w:fill="D8D8D8"/>
            <w:noWrap w:val="0"/>
            <w:vAlign w:val="center"/>
          </w:tcPr>
          <w:p w14:paraId="3FBAE225">
            <w:pPr>
              <w:pStyle w:val="39"/>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序号</w:t>
            </w:r>
          </w:p>
        </w:tc>
        <w:tc>
          <w:tcPr>
            <w:tcW w:w="2084" w:type="dxa"/>
            <w:shd w:val="clear" w:color="auto" w:fill="D8D8D8"/>
            <w:noWrap w:val="0"/>
            <w:vAlign w:val="center"/>
          </w:tcPr>
          <w:p w14:paraId="142DC4BC">
            <w:pPr>
              <w:pStyle w:val="39"/>
              <w:jc w:val="center"/>
              <w:rPr>
                <w:rFonts w:hint="eastAsia" w:ascii="仿宋" w:hAnsi="仿宋" w:eastAsia="仿宋" w:cs="仿宋"/>
                <w:b/>
                <w:bCs/>
                <w:color w:val="auto"/>
                <w:szCs w:val="24"/>
                <w:highlight w:val="none"/>
                <w:lang w:eastAsia="zh-CN"/>
              </w:rPr>
            </w:pPr>
            <w:r>
              <w:rPr>
                <w:rFonts w:hint="eastAsia" w:ascii="仿宋" w:hAnsi="仿宋" w:eastAsia="仿宋" w:cs="仿宋"/>
                <w:b/>
                <w:bCs/>
                <w:color w:val="auto"/>
                <w:szCs w:val="24"/>
                <w:highlight w:val="none"/>
              </w:rPr>
              <w:t>审查</w:t>
            </w:r>
            <w:r>
              <w:rPr>
                <w:rFonts w:hint="eastAsia" w:ascii="仿宋" w:hAnsi="仿宋" w:eastAsia="仿宋" w:cs="仿宋"/>
                <w:b/>
                <w:bCs/>
                <w:color w:val="auto"/>
                <w:szCs w:val="24"/>
                <w:highlight w:val="none"/>
                <w:lang w:eastAsia="zh-CN"/>
              </w:rPr>
              <w:t>内容</w:t>
            </w:r>
          </w:p>
        </w:tc>
        <w:tc>
          <w:tcPr>
            <w:tcW w:w="5779" w:type="dxa"/>
            <w:shd w:val="clear" w:color="auto" w:fill="D8D8D8"/>
            <w:noWrap w:val="0"/>
            <w:vAlign w:val="center"/>
          </w:tcPr>
          <w:p w14:paraId="6C5D57F9">
            <w:pPr>
              <w:pStyle w:val="39"/>
              <w:jc w:val="center"/>
              <w:rPr>
                <w:rFonts w:hint="eastAsia" w:ascii="仿宋" w:hAnsi="仿宋" w:eastAsia="仿宋" w:cs="仿宋"/>
                <w:b/>
                <w:bCs/>
                <w:color w:val="auto"/>
                <w:szCs w:val="24"/>
                <w:highlight w:val="none"/>
                <w:lang w:eastAsia="zh-CN"/>
              </w:rPr>
            </w:pPr>
            <w:r>
              <w:rPr>
                <w:rFonts w:hint="eastAsia" w:ascii="仿宋" w:hAnsi="仿宋" w:eastAsia="仿宋" w:cs="仿宋"/>
                <w:b/>
                <w:bCs/>
                <w:color w:val="auto"/>
                <w:szCs w:val="24"/>
                <w:highlight w:val="none"/>
              </w:rPr>
              <w:t>审查</w:t>
            </w:r>
            <w:r>
              <w:rPr>
                <w:rFonts w:hint="eastAsia" w:ascii="仿宋" w:hAnsi="仿宋" w:eastAsia="仿宋" w:cs="仿宋"/>
                <w:b/>
                <w:bCs/>
                <w:color w:val="auto"/>
                <w:szCs w:val="24"/>
                <w:highlight w:val="none"/>
                <w:lang w:eastAsia="zh-CN"/>
              </w:rPr>
              <w:t>标准</w:t>
            </w:r>
          </w:p>
        </w:tc>
      </w:tr>
      <w:tr w14:paraId="74AF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533" w:hRule="atLeast"/>
          <w:jc w:val="center"/>
        </w:trPr>
        <w:tc>
          <w:tcPr>
            <w:tcW w:w="816" w:type="dxa"/>
            <w:shd w:val="clear" w:color="auto" w:fill="FFFFFF"/>
            <w:noWrap w:val="0"/>
            <w:vAlign w:val="center"/>
          </w:tcPr>
          <w:p w14:paraId="39D08C64">
            <w:pPr>
              <w:pStyle w:val="39"/>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p>
        </w:tc>
        <w:tc>
          <w:tcPr>
            <w:tcW w:w="2084" w:type="dxa"/>
            <w:shd w:val="clear" w:color="auto" w:fill="FFFFFF"/>
            <w:noWrap w:val="0"/>
            <w:vAlign w:val="center"/>
          </w:tcPr>
          <w:p w14:paraId="4D89918C">
            <w:pPr>
              <w:widowControl/>
              <w:spacing w:line="2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满足《中华人民共和国中华人民共和国政府采购法》第二十二条规定；</w:t>
            </w:r>
          </w:p>
          <w:p w14:paraId="4AF2302A">
            <w:pPr>
              <w:widowControl/>
              <w:spacing w:line="2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(1)具有独立承担民事责任的能力；</w:t>
            </w:r>
          </w:p>
          <w:p w14:paraId="0C1D548D">
            <w:pPr>
              <w:widowControl/>
              <w:spacing w:line="2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(2)具有良好的商业信誉和健全的财务会计制度；</w:t>
            </w:r>
          </w:p>
          <w:p w14:paraId="4384AFE2">
            <w:pPr>
              <w:widowControl/>
              <w:spacing w:line="2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(3)具有履行合同所必需的设备和专业技术能力；</w:t>
            </w:r>
          </w:p>
          <w:p w14:paraId="5B3A8129">
            <w:pPr>
              <w:widowControl/>
              <w:spacing w:line="2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(4)有依法缴纳税收和社会保障资金的良好记录；</w:t>
            </w:r>
          </w:p>
          <w:p w14:paraId="6A557A64">
            <w:pPr>
              <w:widowControl/>
              <w:spacing w:line="2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(5)参加政府采购活动前三年内，在经营活动中没有重大违法记录；</w:t>
            </w:r>
          </w:p>
          <w:p w14:paraId="432B5566">
            <w:pPr>
              <w:widowControl/>
              <w:spacing w:line="2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(6)中华人民共和国政府采购法律法规相关规定的其他条件。</w:t>
            </w:r>
          </w:p>
        </w:tc>
        <w:tc>
          <w:tcPr>
            <w:tcW w:w="5779" w:type="dxa"/>
            <w:shd w:val="clear" w:color="auto" w:fill="FFFFFF"/>
            <w:noWrap w:val="0"/>
            <w:vAlign w:val="center"/>
          </w:tcPr>
          <w:p w14:paraId="3BACB627">
            <w:pPr>
              <w:pStyle w:val="3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(1)须提供法人或其他组织或自然人的营业执照副本或事业法人登记证或执业许可证或身份证等相关证明复印件（除身份证外其余证件须加盖公章）</w:t>
            </w:r>
          </w:p>
          <w:p w14:paraId="39E11393">
            <w:pPr>
              <w:pStyle w:val="3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加盖公章（格式自拟）。</w:t>
            </w:r>
          </w:p>
          <w:p w14:paraId="610C2B72">
            <w:pPr>
              <w:pStyle w:val="3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(3)须提供具备履行合同所必需的设备和专业技术能力的书面声明函加盖公章（格式自拟）或其他证明文件。</w:t>
            </w:r>
          </w:p>
          <w:p w14:paraId="370F7F6E">
            <w:pPr>
              <w:pStyle w:val="3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①.须提供投标文件递交截止日期之前六个月内任何一期的纳税记录或证明文件原件或复印件加盖公章（依法免税的应提供相应文件说明），如供应商注册成立不足三个月的则提供承诺书加盖公章（格式自拟）。②.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加盖公章（格式自拟）。</w:t>
            </w:r>
          </w:p>
          <w:p w14:paraId="6FC7743B">
            <w:pPr>
              <w:pStyle w:val="3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)参加政府采购活动前三年内，在经营活动中没有重大违法记录须提供声明函加盖公章（格式自拟）。</w:t>
            </w:r>
          </w:p>
          <w:p w14:paraId="15029B82">
            <w:pPr>
              <w:pStyle w:val="3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）中华人民共和国政府采购法律法规相关规定的其他条件。须提供承诺书加盖公章（格式自拟）。</w:t>
            </w:r>
          </w:p>
        </w:tc>
      </w:tr>
      <w:tr w14:paraId="7EE6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70" w:hRule="atLeast"/>
          <w:jc w:val="center"/>
        </w:trPr>
        <w:tc>
          <w:tcPr>
            <w:tcW w:w="816" w:type="dxa"/>
            <w:shd w:val="clear" w:color="auto" w:fill="FFFFFF"/>
            <w:noWrap w:val="0"/>
            <w:vAlign w:val="center"/>
          </w:tcPr>
          <w:p w14:paraId="18F0CC04">
            <w:pPr>
              <w:pStyle w:val="39"/>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p>
        </w:tc>
        <w:tc>
          <w:tcPr>
            <w:tcW w:w="2084" w:type="dxa"/>
            <w:shd w:val="clear" w:color="auto" w:fill="FFFFFF"/>
            <w:noWrap w:val="0"/>
            <w:vAlign w:val="center"/>
          </w:tcPr>
          <w:p w14:paraId="07FAA08C">
            <w:pPr>
              <w:pStyle w:val="39"/>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按照招标文件规定提交投标保证金的</w:t>
            </w:r>
          </w:p>
        </w:tc>
        <w:tc>
          <w:tcPr>
            <w:tcW w:w="5779" w:type="dxa"/>
            <w:shd w:val="clear" w:color="auto" w:fill="FFFFFF"/>
            <w:noWrap w:val="0"/>
            <w:vAlign w:val="center"/>
          </w:tcPr>
          <w:p w14:paraId="72A4F64D">
            <w:pPr>
              <w:pStyle w:val="39"/>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按照招标文件规定提供保证金缴纳凭证</w:t>
            </w:r>
            <w:r>
              <w:rPr>
                <w:rFonts w:hint="eastAsia" w:ascii="仿宋" w:hAnsi="仿宋" w:eastAsia="仿宋" w:cs="仿宋"/>
                <w:bCs/>
                <w:color w:val="auto"/>
                <w:sz w:val="24"/>
                <w:szCs w:val="24"/>
                <w:highlight w:val="none"/>
                <w:lang w:eastAsia="zh-CN"/>
              </w:rPr>
              <w:t>。</w:t>
            </w:r>
          </w:p>
        </w:tc>
      </w:tr>
      <w:tr w14:paraId="18B0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5" w:hRule="atLeast"/>
          <w:jc w:val="center"/>
        </w:trPr>
        <w:tc>
          <w:tcPr>
            <w:tcW w:w="8679" w:type="dxa"/>
            <w:gridSpan w:val="3"/>
            <w:shd w:val="clear" w:color="auto" w:fill="FFFFFF"/>
            <w:noWrap w:val="0"/>
            <w:vAlign w:val="center"/>
          </w:tcPr>
          <w:p w14:paraId="5DC10084">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u w:val="none"/>
                <w:lang w:val="en-US" w:bidi="ar-SA"/>
              </w:rPr>
              <w:t>结论：是否通过评审</w:t>
            </w:r>
          </w:p>
        </w:tc>
      </w:tr>
    </w:tbl>
    <w:p w14:paraId="1D077419">
      <w:pPr>
        <w:spacing w:line="440" w:lineRule="exact"/>
        <w:ind w:firstLine="482" w:firstLineChars="200"/>
        <w:rPr>
          <w:rFonts w:hint="eastAsia" w:ascii="仿宋" w:hAnsi="仿宋" w:eastAsia="仿宋" w:cs="仿宋"/>
          <w:b/>
          <w:bCs/>
          <w:color w:val="auto"/>
          <w:sz w:val="24"/>
          <w:szCs w:val="24"/>
          <w:highlight w:val="none"/>
        </w:rPr>
      </w:pPr>
    </w:p>
    <w:p w14:paraId="4EB4A2FC">
      <w:pPr>
        <w:spacing w:line="440" w:lineRule="exact"/>
        <w:ind w:firstLine="482" w:firstLineChars="200"/>
        <w:rPr>
          <w:rFonts w:hint="eastAsia" w:ascii="仿宋" w:hAnsi="仿宋" w:eastAsia="仿宋" w:cs="仿宋"/>
          <w:b/>
          <w:bCs/>
          <w:color w:val="auto"/>
          <w:sz w:val="24"/>
          <w:szCs w:val="24"/>
          <w:highlight w:val="none"/>
        </w:rPr>
      </w:pPr>
    </w:p>
    <w:p w14:paraId="48406167">
      <w:pPr>
        <w:spacing w:line="440" w:lineRule="exact"/>
        <w:ind w:firstLine="482" w:firstLineChars="200"/>
        <w:rPr>
          <w:rFonts w:hint="eastAsia" w:ascii="仿宋" w:hAnsi="仿宋" w:eastAsia="仿宋" w:cs="仿宋"/>
          <w:b/>
          <w:bCs/>
          <w:color w:val="auto"/>
          <w:sz w:val="24"/>
          <w:szCs w:val="24"/>
          <w:highlight w:val="none"/>
        </w:rPr>
      </w:pPr>
    </w:p>
    <w:p w14:paraId="3F84D53D">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2.符合性审查</w:t>
      </w:r>
    </w:p>
    <w:tbl>
      <w:tblPr>
        <w:tblStyle w:val="20"/>
        <w:tblW w:w="101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5"/>
        <w:gridCol w:w="8089"/>
        <w:gridCol w:w="453"/>
        <w:gridCol w:w="379"/>
        <w:gridCol w:w="355"/>
        <w:gridCol w:w="328"/>
      </w:tblGrid>
      <w:tr w14:paraId="34CB4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8644" w:type="dxa"/>
            <w:gridSpan w:val="2"/>
            <w:vMerge w:val="restart"/>
            <w:tcBorders>
              <w:top w:val="single" w:color="auto" w:sz="12" w:space="0"/>
              <w:right w:val="single" w:color="auto" w:sz="4" w:space="0"/>
            </w:tcBorders>
            <w:vAlign w:val="center"/>
          </w:tcPr>
          <w:p w14:paraId="3BE3A7D8">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评审内容</w:t>
            </w:r>
          </w:p>
        </w:tc>
        <w:tc>
          <w:tcPr>
            <w:tcW w:w="1515" w:type="dxa"/>
            <w:gridSpan w:val="4"/>
            <w:tcBorders>
              <w:top w:val="single" w:color="auto" w:sz="12" w:space="0"/>
              <w:left w:val="single" w:color="auto" w:sz="4" w:space="0"/>
              <w:bottom w:val="single" w:color="auto" w:sz="4" w:space="0"/>
            </w:tcBorders>
            <w:vAlign w:val="center"/>
          </w:tcPr>
          <w:p w14:paraId="69EE0CA5">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投标人名称</w:t>
            </w:r>
          </w:p>
        </w:tc>
      </w:tr>
      <w:tr w14:paraId="6A8EA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8644" w:type="dxa"/>
            <w:gridSpan w:val="2"/>
            <w:vMerge w:val="continue"/>
            <w:tcBorders>
              <w:right w:val="single" w:color="auto" w:sz="4" w:space="0"/>
            </w:tcBorders>
          </w:tcPr>
          <w:p w14:paraId="7C9CD95C">
            <w:pPr>
              <w:rPr>
                <w:rFonts w:hint="eastAsia" w:ascii="仿宋" w:hAnsi="仿宋" w:eastAsia="仿宋" w:cs="仿宋"/>
                <w:b/>
                <w:color w:val="auto"/>
                <w:szCs w:val="21"/>
                <w:highlight w:val="none"/>
              </w:rPr>
            </w:pPr>
          </w:p>
        </w:tc>
        <w:tc>
          <w:tcPr>
            <w:tcW w:w="453" w:type="dxa"/>
            <w:tcBorders>
              <w:top w:val="single" w:color="auto" w:sz="4" w:space="0"/>
              <w:left w:val="single" w:color="auto" w:sz="4" w:space="0"/>
              <w:right w:val="single" w:color="auto" w:sz="4" w:space="0"/>
            </w:tcBorders>
            <w:vAlign w:val="center"/>
          </w:tcPr>
          <w:p w14:paraId="60A7E362">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w:t>
            </w:r>
          </w:p>
        </w:tc>
        <w:tc>
          <w:tcPr>
            <w:tcW w:w="379" w:type="dxa"/>
            <w:tcBorders>
              <w:top w:val="single" w:color="auto" w:sz="4" w:space="0"/>
              <w:left w:val="single" w:color="auto" w:sz="4" w:space="0"/>
            </w:tcBorders>
            <w:vAlign w:val="center"/>
          </w:tcPr>
          <w:p w14:paraId="006DF8A0">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w:t>
            </w:r>
          </w:p>
        </w:tc>
        <w:tc>
          <w:tcPr>
            <w:tcW w:w="355" w:type="dxa"/>
            <w:vAlign w:val="center"/>
          </w:tcPr>
          <w:p w14:paraId="734B629C">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w:t>
            </w:r>
          </w:p>
        </w:tc>
        <w:tc>
          <w:tcPr>
            <w:tcW w:w="328" w:type="dxa"/>
            <w:vAlign w:val="center"/>
          </w:tcPr>
          <w:p w14:paraId="2CB18E40">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w:t>
            </w:r>
          </w:p>
        </w:tc>
      </w:tr>
      <w:tr w14:paraId="0FDAC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555" w:type="dxa"/>
            <w:vAlign w:val="center"/>
          </w:tcPr>
          <w:p w14:paraId="764197EC">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w:t>
            </w:r>
          </w:p>
        </w:tc>
        <w:tc>
          <w:tcPr>
            <w:tcW w:w="8089" w:type="dxa"/>
            <w:tcBorders>
              <w:right w:val="single" w:color="auto" w:sz="4" w:space="0"/>
            </w:tcBorders>
            <w:vAlign w:val="center"/>
          </w:tcPr>
          <w:p w14:paraId="1D8D2809">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投标文件组成是否完整，主要内容是否齐全；</w:t>
            </w:r>
          </w:p>
        </w:tc>
        <w:tc>
          <w:tcPr>
            <w:tcW w:w="453" w:type="dxa"/>
            <w:tcBorders>
              <w:left w:val="single" w:color="auto" w:sz="4" w:space="0"/>
              <w:right w:val="single" w:color="auto" w:sz="4" w:space="0"/>
            </w:tcBorders>
            <w:vAlign w:val="center"/>
          </w:tcPr>
          <w:p w14:paraId="174759ED">
            <w:pPr>
              <w:rPr>
                <w:rFonts w:hint="eastAsia" w:ascii="仿宋" w:hAnsi="仿宋" w:eastAsia="仿宋" w:cs="仿宋"/>
                <w:color w:val="auto"/>
                <w:sz w:val="24"/>
                <w:szCs w:val="24"/>
                <w:highlight w:val="none"/>
              </w:rPr>
            </w:pPr>
          </w:p>
        </w:tc>
        <w:tc>
          <w:tcPr>
            <w:tcW w:w="379" w:type="dxa"/>
            <w:tcBorders>
              <w:left w:val="single" w:color="auto" w:sz="4" w:space="0"/>
            </w:tcBorders>
            <w:vAlign w:val="center"/>
          </w:tcPr>
          <w:p w14:paraId="25A1F72A">
            <w:pPr>
              <w:rPr>
                <w:rFonts w:hint="eastAsia" w:ascii="仿宋" w:hAnsi="仿宋" w:eastAsia="仿宋" w:cs="仿宋"/>
                <w:color w:val="auto"/>
                <w:sz w:val="24"/>
                <w:szCs w:val="24"/>
                <w:highlight w:val="none"/>
              </w:rPr>
            </w:pPr>
          </w:p>
        </w:tc>
        <w:tc>
          <w:tcPr>
            <w:tcW w:w="355" w:type="dxa"/>
            <w:tcBorders>
              <w:right w:val="single" w:color="auto" w:sz="4" w:space="0"/>
            </w:tcBorders>
          </w:tcPr>
          <w:p w14:paraId="6B98C36A">
            <w:pPr>
              <w:rPr>
                <w:rFonts w:hint="eastAsia" w:ascii="仿宋" w:hAnsi="仿宋" w:eastAsia="仿宋" w:cs="仿宋"/>
                <w:color w:val="auto"/>
                <w:sz w:val="24"/>
                <w:szCs w:val="24"/>
                <w:highlight w:val="none"/>
              </w:rPr>
            </w:pPr>
          </w:p>
        </w:tc>
        <w:tc>
          <w:tcPr>
            <w:tcW w:w="328" w:type="dxa"/>
            <w:tcBorders>
              <w:left w:val="single" w:color="auto" w:sz="4" w:space="0"/>
            </w:tcBorders>
          </w:tcPr>
          <w:p w14:paraId="5B7363AC">
            <w:pPr>
              <w:rPr>
                <w:rFonts w:hint="eastAsia" w:ascii="仿宋" w:hAnsi="仿宋" w:eastAsia="仿宋" w:cs="仿宋"/>
                <w:color w:val="auto"/>
                <w:sz w:val="24"/>
                <w:szCs w:val="24"/>
                <w:highlight w:val="none"/>
              </w:rPr>
            </w:pPr>
          </w:p>
        </w:tc>
      </w:tr>
      <w:tr w14:paraId="47EC6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555" w:type="dxa"/>
            <w:vAlign w:val="center"/>
          </w:tcPr>
          <w:p w14:paraId="4BD09DE9">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w:t>
            </w:r>
          </w:p>
        </w:tc>
        <w:tc>
          <w:tcPr>
            <w:tcW w:w="8089" w:type="dxa"/>
            <w:tcBorders>
              <w:right w:val="single" w:color="auto" w:sz="4" w:space="0"/>
            </w:tcBorders>
            <w:vAlign w:val="center"/>
          </w:tcPr>
          <w:p w14:paraId="6FB8E695">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rPr>
              <w:t>文件</w:t>
            </w:r>
            <w:r>
              <w:rPr>
                <w:rFonts w:hint="eastAsia" w:ascii="仿宋" w:hAnsi="仿宋" w:eastAsia="仿宋" w:cs="仿宋"/>
                <w:color w:val="auto"/>
                <w:sz w:val="24"/>
                <w:szCs w:val="24"/>
                <w:highlight w:val="none"/>
              </w:rPr>
              <w:t>是否按采购文件要求</w:t>
            </w:r>
            <w:r>
              <w:rPr>
                <w:rFonts w:hint="eastAsia" w:ascii="仿宋" w:hAnsi="仿宋" w:eastAsia="仿宋" w:cs="仿宋"/>
                <w:color w:val="auto"/>
                <w:sz w:val="24"/>
                <w:szCs w:val="24"/>
                <w:highlight w:val="none"/>
                <w:lang w:val="en-US"/>
              </w:rPr>
              <w:t>进行</w:t>
            </w:r>
            <w:r>
              <w:rPr>
                <w:rFonts w:hint="eastAsia" w:ascii="仿宋" w:hAnsi="仿宋" w:eastAsia="仿宋" w:cs="仿宋"/>
                <w:color w:val="auto"/>
                <w:sz w:val="24"/>
                <w:szCs w:val="24"/>
                <w:highlight w:val="none"/>
              </w:rPr>
              <w:t>签字或盖章；</w:t>
            </w:r>
          </w:p>
        </w:tc>
        <w:tc>
          <w:tcPr>
            <w:tcW w:w="453" w:type="dxa"/>
            <w:tcBorders>
              <w:left w:val="single" w:color="auto" w:sz="4" w:space="0"/>
              <w:right w:val="single" w:color="auto" w:sz="4" w:space="0"/>
            </w:tcBorders>
            <w:vAlign w:val="center"/>
          </w:tcPr>
          <w:p w14:paraId="22CE9FB9">
            <w:pPr>
              <w:rPr>
                <w:rFonts w:hint="eastAsia" w:ascii="仿宋" w:hAnsi="仿宋" w:eastAsia="仿宋" w:cs="仿宋"/>
                <w:color w:val="auto"/>
                <w:sz w:val="24"/>
                <w:szCs w:val="24"/>
                <w:highlight w:val="none"/>
              </w:rPr>
            </w:pPr>
          </w:p>
        </w:tc>
        <w:tc>
          <w:tcPr>
            <w:tcW w:w="379" w:type="dxa"/>
            <w:tcBorders>
              <w:left w:val="single" w:color="auto" w:sz="4" w:space="0"/>
            </w:tcBorders>
            <w:vAlign w:val="center"/>
          </w:tcPr>
          <w:p w14:paraId="2D73B50C">
            <w:pPr>
              <w:rPr>
                <w:rFonts w:hint="eastAsia" w:ascii="仿宋" w:hAnsi="仿宋" w:eastAsia="仿宋" w:cs="仿宋"/>
                <w:color w:val="auto"/>
                <w:sz w:val="24"/>
                <w:szCs w:val="24"/>
                <w:highlight w:val="none"/>
              </w:rPr>
            </w:pPr>
          </w:p>
        </w:tc>
        <w:tc>
          <w:tcPr>
            <w:tcW w:w="355" w:type="dxa"/>
            <w:tcBorders>
              <w:right w:val="single" w:color="auto" w:sz="4" w:space="0"/>
            </w:tcBorders>
          </w:tcPr>
          <w:p w14:paraId="0A4BD30C">
            <w:pPr>
              <w:rPr>
                <w:rFonts w:hint="eastAsia" w:ascii="仿宋" w:hAnsi="仿宋" w:eastAsia="仿宋" w:cs="仿宋"/>
                <w:color w:val="auto"/>
                <w:sz w:val="24"/>
                <w:szCs w:val="24"/>
                <w:highlight w:val="none"/>
              </w:rPr>
            </w:pPr>
          </w:p>
        </w:tc>
        <w:tc>
          <w:tcPr>
            <w:tcW w:w="328" w:type="dxa"/>
            <w:tcBorders>
              <w:left w:val="single" w:color="auto" w:sz="4" w:space="0"/>
            </w:tcBorders>
          </w:tcPr>
          <w:p w14:paraId="11AF2742">
            <w:pPr>
              <w:rPr>
                <w:rFonts w:hint="eastAsia" w:ascii="仿宋" w:hAnsi="仿宋" w:eastAsia="仿宋" w:cs="仿宋"/>
                <w:color w:val="auto"/>
                <w:sz w:val="24"/>
                <w:szCs w:val="24"/>
                <w:highlight w:val="none"/>
              </w:rPr>
            </w:pPr>
          </w:p>
        </w:tc>
      </w:tr>
      <w:tr w14:paraId="417A2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555" w:type="dxa"/>
            <w:vAlign w:val="center"/>
          </w:tcPr>
          <w:p w14:paraId="052AFF2F">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w:t>
            </w:r>
          </w:p>
        </w:tc>
        <w:tc>
          <w:tcPr>
            <w:tcW w:w="8089" w:type="dxa"/>
            <w:tcBorders>
              <w:right w:val="single" w:color="auto" w:sz="4" w:space="0"/>
            </w:tcBorders>
            <w:vAlign w:val="center"/>
          </w:tcPr>
          <w:p w14:paraId="7D4C31F9">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投标报价是否高于</w:t>
            </w:r>
            <w:r>
              <w:rPr>
                <w:rFonts w:hint="eastAsia" w:ascii="仿宋" w:hAnsi="仿宋" w:eastAsia="仿宋" w:cs="仿宋"/>
                <w:color w:val="auto"/>
                <w:sz w:val="24"/>
                <w:szCs w:val="24"/>
                <w:highlight w:val="none"/>
                <w:lang w:val="en-US"/>
              </w:rPr>
              <w:t>采购文件</w:t>
            </w:r>
            <w:r>
              <w:rPr>
                <w:rFonts w:hint="eastAsia" w:ascii="仿宋" w:hAnsi="仿宋" w:eastAsia="仿宋" w:cs="仿宋"/>
                <w:color w:val="auto"/>
                <w:sz w:val="24"/>
                <w:szCs w:val="24"/>
                <w:highlight w:val="none"/>
              </w:rPr>
              <w:t>公布的采购预算金额（或最高限价）；</w:t>
            </w:r>
          </w:p>
        </w:tc>
        <w:tc>
          <w:tcPr>
            <w:tcW w:w="453" w:type="dxa"/>
            <w:tcBorders>
              <w:left w:val="single" w:color="auto" w:sz="4" w:space="0"/>
              <w:right w:val="single" w:color="auto" w:sz="4" w:space="0"/>
            </w:tcBorders>
            <w:vAlign w:val="center"/>
          </w:tcPr>
          <w:p w14:paraId="2D406312">
            <w:pPr>
              <w:rPr>
                <w:rFonts w:hint="eastAsia" w:ascii="仿宋" w:hAnsi="仿宋" w:eastAsia="仿宋" w:cs="仿宋"/>
                <w:color w:val="auto"/>
                <w:sz w:val="24"/>
                <w:szCs w:val="24"/>
                <w:highlight w:val="none"/>
              </w:rPr>
            </w:pPr>
          </w:p>
        </w:tc>
        <w:tc>
          <w:tcPr>
            <w:tcW w:w="379" w:type="dxa"/>
            <w:tcBorders>
              <w:left w:val="single" w:color="auto" w:sz="4" w:space="0"/>
            </w:tcBorders>
            <w:vAlign w:val="center"/>
          </w:tcPr>
          <w:p w14:paraId="4FA1BCBD">
            <w:pPr>
              <w:rPr>
                <w:rFonts w:hint="eastAsia" w:ascii="仿宋" w:hAnsi="仿宋" w:eastAsia="仿宋" w:cs="仿宋"/>
                <w:color w:val="auto"/>
                <w:sz w:val="24"/>
                <w:szCs w:val="24"/>
                <w:highlight w:val="none"/>
              </w:rPr>
            </w:pPr>
          </w:p>
        </w:tc>
        <w:tc>
          <w:tcPr>
            <w:tcW w:w="355" w:type="dxa"/>
            <w:tcBorders>
              <w:right w:val="single" w:color="auto" w:sz="4" w:space="0"/>
            </w:tcBorders>
          </w:tcPr>
          <w:p w14:paraId="594C470E">
            <w:pPr>
              <w:rPr>
                <w:rFonts w:hint="eastAsia" w:ascii="仿宋" w:hAnsi="仿宋" w:eastAsia="仿宋" w:cs="仿宋"/>
                <w:color w:val="auto"/>
                <w:sz w:val="24"/>
                <w:szCs w:val="24"/>
                <w:highlight w:val="none"/>
              </w:rPr>
            </w:pPr>
          </w:p>
        </w:tc>
        <w:tc>
          <w:tcPr>
            <w:tcW w:w="328" w:type="dxa"/>
            <w:tcBorders>
              <w:left w:val="single" w:color="auto" w:sz="4" w:space="0"/>
            </w:tcBorders>
          </w:tcPr>
          <w:p w14:paraId="1BC13B2E">
            <w:pPr>
              <w:rPr>
                <w:rFonts w:hint="eastAsia" w:ascii="仿宋" w:hAnsi="仿宋" w:eastAsia="仿宋" w:cs="仿宋"/>
                <w:color w:val="auto"/>
                <w:sz w:val="24"/>
                <w:szCs w:val="24"/>
                <w:highlight w:val="none"/>
              </w:rPr>
            </w:pPr>
          </w:p>
        </w:tc>
      </w:tr>
      <w:tr w14:paraId="76FB2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6" w:hRule="atLeast"/>
          <w:jc w:val="center"/>
        </w:trPr>
        <w:tc>
          <w:tcPr>
            <w:tcW w:w="555" w:type="dxa"/>
            <w:vAlign w:val="center"/>
          </w:tcPr>
          <w:p w14:paraId="4C39FC68">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089" w:type="dxa"/>
            <w:tcBorders>
              <w:right w:val="single" w:color="auto" w:sz="4" w:space="0"/>
            </w:tcBorders>
            <w:vAlign w:val="center"/>
          </w:tcPr>
          <w:p w14:paraId="0E19E306">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合理性（异常低价审查）投标人的报价不存在异常低价情况，或被启动审查的供应商，在合理时间内（不少于30分钟），就报价合理性提交书面说明，并提供项目成本测算明细、人工成本核算依据等可核验的证明材料证明其报价合理性的</w:t>
            </w:r>
            <w:r>
              <w:rPr>
                <w:rFonts w:hint="eastAsia" w:ascii="仿宋" w:hAnsi="仿宋" w:eastAsia="仿宋" w:cs="仿宋"/>
                <w:color w:val="auto"/>
                <w:sz w:val="24"/>
                <w:szCs w:val="24"/>
                <w:highlight w:val="none"/>
                <w:lang w:eastAsia="zh-CN"/>
              </w:rPr>
              <w:t>。</w:t>
            </w:r>
          </w:p>
        </w:tc>
        <w:tc>
          <w:tcPr>
            <w:tcW w:w="453" w:type="dxa"/>
            <w:tcBorders>
              <w:left w:val="single" w:color="auto" w:sz="4" w:space="0"/>
              <w:right w:val="single" w:color="auto" w:sz="4" w:space="0"/>
            </w:tcBorders>
            <w:vAlign w:val="center"/>
          </w:tcPr>
          <w:p w14:paraId="53F777B8">
            <w:pPr>
              <w:rPr>
                <w:rFonts w:hint="eastAsia" w:ascii="仿宋" w:hAnsi="仿宋" w:eastAsia="仿宋" w:cs="仿宋"/>
                <w:color w:val="auto"/>
                <w:sz w:val="24"/>
                <w:szCs w:val="24"/>
                <w:highlight w:val="none"/>
              </w:rPr>
            </w:pPr>
          </w:p>
        </w:tc>
        <w:tc>
          <w:tcPr>
            <w:tcW w:w="379" w:type="dxa"/>
            <w:tcBorders>
              <w:left w:val="single" w:color="auto" w:sz="4" w:space="0"/>
            </w:tcBorders>
            <w:vAlign w:val="center"/>
          </w:tcPr>
          <w:p w14:paraId="3E2AB066">
            <w:pPr>
              <w:rPr>
                <w:rFonts w:hint="eastAsia" w:ascii="仿宋" w:hAnsi="仿宋" w:eastAsia="仿宋" w:cs="仿宋"/>
                <w:color w:val="auto"/>
                <w:sz w:val="24"/>
                <w:szCs w:val="24"/>
                <w:highlight w:val="none"/>
              </w:rPr>
            </w:pPr>
          </w:p>
        </w:tc>
        <w:tc>
          <w:tcPr>
            <w:tcW w:w="355" w:type="dxa"/>
            <w:tcBorders>
              <w:right w:val="single" w:color="auto" w:sz="4" w:space="0"/>
            </w:tcBorders>
          </w:tcPr>
          <w:p w14:paraId="5EF7A7E2">
            <w:pPr>
              <w:rPr>
                <w:rFonts w:hint="eastAsia" w:ascii="仿宋" w:hAnsi="仿宋" w:eastAsia="仿宋" w:cs="仿宋"/>
                <w:color w:val="auto"/>
                <w:sz w:val="24"/>
                <w:szCs w:val="24"/>
                <w:highlight w:val="none"/>
              </w:rPr>
            </w:pPr>
          </w:p>
        </w:tc>
        <w:tc>
          <w:tcPr>
            <w:tcW w:w="328" w:type="dxa"/>
            <w:tcBorders>
              <w:left w:val="single" w:color="auto" w:sz="4" w:space="0"/>
            </w:tcBorders>
          </w:tcPr>
          <w:p w14:paraId="4CD61F2A">
            <w:pPr>
              <w:rPr>
                <w:rFonts w:hint="eastAsia" w:ascii="仿宋" w:hAnsi="仿宋" w:eastAsia="仿宋" w:cs="仿宋"/>
                <w:color w:val="auto"/>
                <w:sz w:val="24"/>
                <w:szCs w:val="24"/>
                <w:highlight w:val="none"/>
              </w:rPr>
            </w:pPr>
          </w:p>
        </w:tc>
      </w:tr>
      <w:tr w14:paraId="4E1C8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555" w:type="dxa"/>
            <w:vAlign w:val="center"/>
          </w:tcPr>
          <w:p w14:paraId="6762B625">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5</w:t>
            </w:r>
          </w:p>
        </w:tc>
        <w:tc>
          <w:tcPr>
            <w:tcW w:w="8089" w:type="dxa"/>
            <w:tcBorders>
              <w:right w:val="single" w:color="auto" w:sz="4" w:space="0"/>
            </w:tcBorders>
            <w:vAlign w:val="center"/>
          </w:tcPr>
          <w:p w14:paraId="7944A141">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投标文件载明的</w:t>
            </w:r>
            <w:r>
              <w:rPr>
                <w:rFonts w:hint="eastAsia" w:ascii="仿宋" w:hAnsi="仿宋" w:eastAsia="仿宋" w:cs="仿宋"/>
                <w:color w:val="auto"/>
                <w:sz w:val="24"/>
                <w:szCs w:val="24"/>
                <w:highlight w:val="none"/>
                <w:lang w:val="en-US"/>
              </w:rPr>
              <w:t>投标有效期</w:t>
            </w:r>
            <w:r>
              <w:rPr>
                <w:rFonts w:hint="eastAsia" w:ascii="仿宋" w:hAnsi="仿宋" w:eastAsia="仿宋" w:cs="仿宋"/>
                <w:color w:val="auto"/>
                <w:sz w:val="24"/>
                <w:szCs w:val="24"/>
                <w:highlight w:val="none"/>
              </w:rPr>
              <w:t>是否满足</w:t>
            </w:r>
            <w:r>
              <w:rPr>
                <w:rFonts w:hint="eastAsia" w:ascii="仿宋" w:hAnsi="仿宋" w:eastAsia="仿宋" w:cs="仿宋"/>
                <w:color w:val="auto"/>
                <w:sz w:val="24"/>
                <w:szCs w:val="24"/>
                <w:highlight w:val="none"/>
                <w:lang w:val="en-US"/>
              </w:rPr>
              <w:t>采购</w:t>
            </w:r>
            <w:r>
              <w:rPr>
                <w:rFonts w:hint="eastAsia" w:ascii="仿宋" w:hAnsi="仿宋" w:eastAsia="仿宋" w:cs="仿宋"/>
                <w:color w:val="auto"/>
                <w:sz w:val="24"/>
                <w:szCs w:val="24"/>
                <w:highlight w:val="none"/>
              </w:rPr>
              <w:t>文件要求；</w:t>
            </w:r>
          </w:p>
        </w:tc>
        <w:tc>
          <w:tcPr>
            <w:tcW w:w="453" w:type="dxa"/>
            <w:tcBorders>
              <w:left w:val="single" w:color="auto" w:sz="4" w:space="0"/>
              <w:right w:val="single" w:color="auto" w:sz="4" w:space="0"/>
            </w:tcBorders>
            <w:vAlign w:val="center"/>
          </w:tcPr>
          <w:p w14:paraId="1CF96C86">
            <w:pPr>
              <w:rPr>
                <w:rFonts w:hint="eastAsia" w:ascii="仿宋" w:hAnsi="仿宋" w:eastAsia="仿宋" w:cs="仿宋"/>
                <w:color w:val="auto"/>
                <w:sz w:val="24"/>
                <w:szCs w:val="24"/>
                <w:highlight w:val="none"/>
              </w:rPr>
            </w:pPr>
          </w:p>
        </w:tc>
        <w:tc>
          <w:tcPr>
            <w:tcW w:w="379" w:type="dxa"/>
            <w:tcBorders>
              <w:left w:val="single" w:color="auto" w:sz="4" w:space="0"/>
            </w:tcBorders>
            <w:vAlign w:val="center"/>
          </w:tcPr>
          <w:p w14:paraId="30B944EB">
            <w:pPr>
              <w:rPr>
                <w:rFonts w:hint="eastAsia" w:ascii="仿宋" w:hAnsi="仿宋" w:eastAsia="仿宋" w:cs="仿宋"/>
                <w:color w:val="auto"/>
                <w:sz w:val="24"/>
                <w:szCs w:val="24"/>
                <w:highlight w:val="none"/>
              </w:rPr>
            </w:pPr>
          </w:p>
        </w:tc>
        <w:tc>
          <w:tcPr>
            <w:tcW w:w="355" w:type="dxa"/>
            <w:tcBorders>
              <w:right w:val="single" w:color="auto" w:sz="4" w:space="0"/>
            </w:tcBorders>
          </w:tcPr>
          <w:p w14:paraId="04B4A456">
            <w:pPr>
              <w:rPr>
                <w:rFonts w:hint="eastAsia" w:ascii="仿宋" w:hAnsi="仿宋" w:eastAsia="仿宋" w:cs="仿宋"/>
                <w:color w:val="auto"/>
                <w:sz w:val="24"/>
                <w:szCs w:val="24"/>
                <w:highlight w:val="none"/>
              </w:rPr>
            </w:pPr>
          </w:p>
        </w:tc>
        <w:tc>
          <w:tcPr>
            <w:tcW w:w="328" w:type="dxa"/>
            <w:tcBorders>
              <w:left w:val="single" w:color="auto" w:sz="4" w:space="0"/>
            </w:tcBorders>
          </w:tcPr>
          <w:p w14:paraId="3519F545">
            <w:pPr>
              <w:rPr>
                <w:rFonts w:hint="eastAsia" w:ascii="仿宋" w:hAnsi="仿宋" w:eastAsia="仿宋" w:cs="仿宋"/>
                <w:color w:val="auto"/>
                <w:sz w:val="24"/>
                <w:szCs w:val="24"/>
                <w:highlight w:val="none"/>
              </w:rPr>
            </w:pPr>
          </w:p>
        </w:tc>
      </w:tr>
      <w:tr w14:paraId="5B8F9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555" w:type="dxa"/>
            <w:vAlign w:val="center"/>
          </w:tcPr>
          <w:p w14:paraId="2598C087">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089" w:type="dxa"/>
            <w:tcBorders>
              <w:right w:val="single" w:color="auto" w:sz="4" w:space="0"/>
            </w:tcBorders>
            <w:vAlign w:val="center"/>
          </w:tcPr>
          <w:p w14:paraId="19775C81">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投标文件载明的</w:t>
            </w:r>
            <w:r>
              <w:rPr>
                <w:rFonts w:hint="eastAsia" w:ascii="仿宋" w:hAnsi="仿宋" w:eastAsia="仿宋" w:cs="仿宋"/>
                <w:color w:val="auto"/>
                <w:sz w:val="24"/>
                <w:szCs w:val="24"/>
                <w:highlight w:val="none"/>
                <w:lang w:val="en-US" w:eastAsia="zh-CN"/>
              </w:rPr>
              <w:t>维保</w:t>
            </w:r>
            <w:r>
              <w:rPr>
                <w:rFonts w:hint="eastAsia" w:ascii="仿宋" w:hAnsi="仿宋" w:eastAsia="仿宋" w:cs="仿宋"/>
                <w:color w:val="auto"/>
                <w:sz w:val="24"/>
                <w:szCs w:val="24"/>
                <w:highlight w:val="none"/>
              </w:rPr>
              <w:t>期、付款方式及合同履约期限是否满足采购文件要求；</w:t>
            </w:r>
          </w:p>
        </w:tc>
        <w:tc>
          <w:tcPr>
            <w:tcW w:w="453" w:type="dxa"/>
            <w:tcBorders>
              <w:left w:val="single" w:color="auto" w:sz="4" w:space="0"/>
              <w:right w:val="single" w:color="auto" w:sz="4" w:space="0"/>
            </w:tcBorders>
            <w:vAlign w:val="center"/>
          </w:tcPr>
          <w:p w14:paraId="6AF31D71">
            <w:pPr>
              <w:rPr>
                <w:rFonts w:hint="eastAsia" w:ascii="仿宋" w:hAnsi="仿宋" w:eastAsia="仿宋" w:cs="仿宋"/>
                <w:color w:val="auto"/>
                <w:sz w:val="24"/>
                <w:szCs w:val="24"/>
                <w:highlight w:val="none"/>
              </w:rPr>
            </w:pPr>
          </w:p>
        </w:tc>
        <w:tc>
          <w:tcPr>
            <w:tcW w:w="379" w:type="dxa"/>
            <w:tcBorders>
              <w:left w:val="single" w:color="auto" w:sz="4" w:space="0"/>
            </w:tcBorders>
            <w:vAlign w:val="center"/>
          </w:tcPr>
          <w:p w14:paraId="28CDE85A">
            <w:pPr>
              <w:rPr>
                <w:rFonts w:hint="eastAsia" w:ascii="仿宋" w:hAnsi="仿宋" w:eastAsia="仿宋" w:cs="仿宋"/>
                <w:color w:val="auto"/>
                <w:sz w:val="24"/>
                <w:szCs w:val="24"/>
                <w:highlight w:val="none"/>
              </w:rPr>
            </w:pPr>
          </w:p>
        </w:tc>
        <w:tc>
          <w:tcPr>
            <w:tcW w:w="355" w:type="dxa"/>
            <w:tcBorders>
              <w:right w:val="single" w:color="auto" w:sz="4" w:space="0"/>
            </w:tcBorders>
          </w:tcPr>
          <w:p w14:paraId="250A20CC">
            <w:pPr>
              <w:rPr>
                <w:rFonts w:hint="eastAsia" w:ascii="仿宋" w:hAnsi="仿宋" w:eastAsia="仿宋" w:cs="仿宋"/>
                <w:color w:val="auto"/>
                <w:sz w:val="24"/>
                <w:szCs w:val="24"/>
                <w:highlight w:val="none"/>
              </w:rPr>
            </w:pPr>
          </w:p>
        </w:tc>
        <w:tc>
          <w:tcPr>
            <w:tcW w:w="328" w:type="dxa"/>
            <w:tcBorders>
              <w:left w:val="single" w:color="auto" w:sz="4" w:space="0"/>
            </w:tcBorders>
          </w:tcPr>
          <w:p w14:paraId="660E9E5B">
            <w:pPr>
              <w:rPr>
                <w:rFonts w:hint="eastAsia" w:ascii="仿宋" w:hAnsi="仿宋" w:eastAsia="仿宋" w:cs="仿宋"/>
                <w:color w:val="auto"/>
                <w:sz w:val="24"/>
                <w:szCs w:val="24"/>
                <w:highlight w:val="none"/>
              </w:rPr>
            </w:pPr>
          </w:p>
        </w:tc>
      </w:tr>
      <w:tr w14:paraId="74471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555" w:type="dxa"/>
            <w:vAlign w:val="center"/>
          </w:tcPr>
          <w:p w14:paraId="5A855159">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8089" w:type="dxa"/>
            <w:tcBorders>
              <w:right w:val="single" w:color="auto" w:sz="4" w:space="0"/>
            </w:tcBorders>
            <w:vAlign w:val="center"/>
          </w:tcPr>
          <w:p w14:paraId="0161027A">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投标文件是否附有招标人不能接受的条件；</w:t>
            </w:r>
          </w:p>
        </w:tc>
        <w:tc>
          <w:tcPr>
            <w:tcW w:w="453" w:type="dxa"/>
            <w:tcBorders>
              <w:left w:val="single" w:color="auto" w:sz="4" w:space="0"/>
              <w:right w:val="single" w:color="auto" w:sz="4" w:space="0"/>
            </w:tcBorders>
            <w:vAlign w:val="center"/>
          </w:tcPr>
          <w:p w14:paraId="5D313779">
            <w:pPr>
              <w:rPr>
                <w:rFonts w:hint="eastAsia" w:ascii="仿宋" w:hAnsi="仿宋" w:eastAsia="仿宋" w:cs="仿宋"/>
                <w:color w:val="auto"/>
                <w:sz w:val="24"/>
                <w:szCs w:val="24"/>
                <w:highlight w:val="none"/>
              </w:rPr>
            </w:pPr>
          </w:p>
        </w:tc>
        <w:tc>
          <w:tcPr>
            <w:tcW w:w="379" w:type="dxa"/>
            <w:tcBorders>
              <w:left w:val="single" w:color="auto" w:sz="4" w:space="0"/>
            </w:tcBorders>
            <w:vAlign w:val="center"/>
          </w:tcPr>
          <w:p w14:paraId="3998439A">
            <w:pPr>
              <w:snapToGrid w:val="0"/>
              <w:spacing w:line="360" w:lineRule="auto"/>
              <w:rPr>
                <w:rFonts w:hint="eastAsia" w:ascii="仿宋" w:hAnsi="仿宋" w:eastAsia="仿宋" w:cs="仿宋"/>
                <w:color w:val="auto"/>
                <w:sz w:val="24"/>
                <w:szCs w:val="24"/>
                <w:highlight w:val="none"/>
              </w:rPr>
            </w:pPr>
          </w:p>
        </w:tc>
        <w:tc>
          <w:tcPr>
            <w:tcW w:w="355" w:type="dxa"/>
            <w:tcBorders>
              <w:right w:val="single" w:color="auto" w:sz="4" w:space="0"/>
            </w:tcBorders>
          </w:tcPr>
          <w:p w14:paraId="2F049745">
            <w:pPr>
              <w:rPr>
                <w:rFonts w:hint="eastAsia" w:ascii="仿宋" w:hAnsi="仿宋" w:eastAsia="仿宋" w:cs="仿宋"/>
                <w:color w:val="auto"/>
                <w:sz w:val="24"/>
                <w:szCs w:val="24"/>
                <w:highlight w:val="none"/>
              </w:rPr>
            </w:pPr>
          </w:p>
        </w:tc>
        <w:tc>
          <w:tcPr>
            <w:tcW w:w="328" w:type="dxa"/>
            <w:tcBorders>
              <w:left w:val="single" w:color="auto" w:sz="4" w:space="0"/>
            </w:tcBorders>
          </w:tcPr>
          <w:p w14:paraId="64AB19F1">
            <w:pPr>
              <w:rPr>
                <w:rFonts w:hint="eastAsia" w:ascii="仿宋" w:hAnsi="仿宋" w:eastAsia="仿宋" w:cs="仿宋"/>
                <w:color w:val="auto"/>
                <w:sz w:val="24"/>
                <w:szCs w:val="24"/>
                <w:highlight w:val="none"/>
              </w:rPr>
            </w:pPr>
          </w:p>
        </w:tc>
      </w:tr>
      <w:tr w14:paraId="3B87D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55" w:type="dxa"/>
            <w:vAlign w:val="center"/>
          </w:tcPr>
          <w:p w14:paraId="23FAF48B">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089" w:type="dxa"/>
            <w:tcBorders>
              <w:right w:val="single" w:color="auto" w:sz="4" w:space="0"/>
            </w:tcBorders>
            <w:vAlign w:val="center"/>
          </w:tcPr>
          <w:p w14:paraId="72AE5DEA">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是否符合法律、法规和采购文件中规定的其他实质性要求；</w:t>
            </w:r>
          </w:p>
        </w:tc>
        <w:tc>
          <w:tcPr>
            <w:tcW w:w="453" w:type="dxa"/>
            <w:tcBorders>
              <w:left w:val="single" w:color="auto" w:sz="4" w:space="0"/>
              <w:right w:val="single" w:color="auto" w:sz="4" w:space="0"/>
            </w:tcBorders>
            <w:vAlign w:val="center"/>
          </w:tcPr>
          <w:p w14:paraId="552DFE28">
            <w:pPr>
              <w:rPr>
                <w:rFonts w:hint="eastAsia" w:ascii="仿宋" w:hAnsi="仿宋" w:eastAsia="仿宋" w:cs="仿宋"/>
                <w:color w:val="auto"/>
                <w:sz w:val="24"/>
                <w:szCs w:val="24"/>
                <w:highlight w:val="none"/>
              </w:rPr>
            </w:pPr>
          </w:p>
        </w:tc>
        <w:tc>
          <w:tcPr>
            <w:tcW w:w="379" w:type="dxa"/>
            <w:tcBorders>
              <w:left w:val="single" w:color="auto" w:sz="4" w:space="0"/>
            </w:tcBorders>
            <w:vAlign w:val="center"/>
          </w:tcPr>
          <w:p w14:paraId="5AA1BF61">
            <w:pPr>
              <w:rPr>
                <w:rFonts w:hint="eastAsia" w:ascii="仿宋" w:hAnsi="仿宋" w:eastAsia="仿宋" w:cs="仿宋"/>
                <w:color w:val="auto"/>
                <w:sz w:val="24"/>
                <w:szCs w:val="24"/>
                <w:highlight w:val="none"/>
              </w:rPr>
            </w:pPr>
          </w:p>
        </w:tc>
        <w:tc>
          <w:tcPr>
            <w:tcW w:w="355" w:type="dxa"/>
            <w:tcBorders>
              <w:right w:val="single" w:color="auto" w:sz="4" w:space="0"/>
            </w:tcBorders>
          </w:tcPr>
          <w:p w14:paraId="4F9B0157">
            <w:pPr>
              <w:rPr>
                <w:rFonts w:hint="eastAsia" w:ascii="仿宋" w:hAnsi="仿宋" w:eastAsia="仿宋" w:cs="仿宋"/>
                <w:color w:val="auto"/>
                <w:sz w:val="24"/>
                <w:szCs w:val="24"/>
                <w:highlight w:val="none"/>
              </w:rPr>
            </w:pPr>
          </w:p>
        </w:tc>
        <w:tc>
          <w:tcPr>
            <w:tcW w:w="328" w:type="dxa"/>
            <w:tcBorders>
              <w:left w:val="single" w:color="auto" w:sz="4" w:space="0"/>
            </w:tcBorders>
          </w:tcPr>
          <w:p w14:paraId="1B7F9BB6">
            <w:pPr>
              <w:rPr>
                <w:rFonts w:hint="eastAsia" w:ascii="仿宋" w:hAnsi="仿宋" w:eastAsia="仿宋" w:cs="仿宋"/>
                <w:color w:val="auto"/>
                <w:sz w:val="24"/>
                <w:szCs w:val="24"/>
                <w:highlight w:val="none"/>
              </w:rPr>
            </w:pPr>
          </w:p>
        </w:tc>
      </w:tr>
      <w:tr w14:paraId="43EE7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8644" w:type="dxa"/>
            <w:gridSpan w:val="2"/>
            <w:tcBorders>
              <w:bottom w:val="single" w:color="auto" w:sz="12" w:space="0"/>
              <w:right w:val="single" w:color="auto" w:sz="4" w:space="0"/>
            </w:tcBorders>
            <w:vAlign w:val="center"/>
          </w:tcPr>
          <w:p w14:paraId="6074FFA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w:t>
            </w:r>
          </w:p>
        </w:tc>
        <w:tc>
          <w:tcPr>
            <w:tcW w:w="453" w:type="dxa"/>
            <w:tcBorders>
              <w:left w:val="single" w:color="auto" w:sz="4" w:space="0"/>
              <w:bottom w:val="single" w:color="auto" w:sz="12" w:space="0"/>
              <w:right w:val="single" w:color="auto" w:sz="4" w:space="0"/>
            </w:tcBorders>
          </w:tcPr>
          <w:p w14:paraId="36A5AD1C">
            <w:pPr>
              <w:rPr>
                <w:rFonts w:hint="eastAsia" w:ascii="仿宋" w:hAnsi="仿宋" w:eastAsia="仿宋" w:cs="仿宋"/>
                <w:color w:val="auto"/>
                <w:sz w:val="24"/>
                <w:szCs w:val="24"/>
                <w:highlight w:val="none"/>
              </w:rPr>
            </w:pPr>
          </w:p>
        </w:tc>
        <w:tc>
          <w:tcPr>
            <w:tcW w:w="379" w:type="dxa"/>
            <w:tcBorders>
              <w:left w:val="single" w:color="auto" w:sz="4" w:space="0"/>
              <w:bottom w:val="single" w:color="auto" w:sz="12" w:space="0"/>
            </w:tcBorders>
          </w:tcPr>
          <w:p w14:paraId="4DF34C6E">
            <w:pPr>
              <w:rPr>
                <w:rFonts w:hint="eastAsia" w:ascii="仿宋" w:hAnsi="仿宋" w:eastAsia="仿宋" w:cs="仿宋"/>
                <w:color w:val="auto"/>
                <w:sz w:val="24"/>
                <w:szCs w:val="24"/>
                <w:highlight w:val="none"/>
              </w:rPr>
            </w:pPr>
          </w:p>
        </w:tc>
        <w:tc>
          <w:tcPr>
            <w:tcW w:w="355" w:type="dxa"/>
            <w:tcBorders>
              <w:bottom w:val="single" w:color="auto" w:sz="12" w:space="0"/>
            </w:tcBorders>
          </w:tcPr>
          <w:p w14:paraId="557E83CE">
            <w:pPr>
              <w:rPr>
                <w:rFonts w:hint="eastAsia" w:ascii="仿宋" w:hAnsi="仿宋" w:eastAsia="仿宋" w:cs="仿宋"/>
                <w:color w:val="auto"/>
                <w:sz w:val="24"/>
                <w:szCs w:val="24"/>
                <w:highlight w:val="none"/>
              </w:rPr>
            </w:pPr>
          </w:p>
        </w:tc>
        <w:tc>
          <w:tcPr>
            <w:tcW w:w="328" w:type="dxa"/>
            <w:tcBorders>
              <w:bottom w:val="single" w:color="auto" w:sz="12" w:space="0"/>
            </w:tcBorders>
          </w:tcPr>
          <w:p w14:paraId="120BBB0F">
            <w:pPr>
              <w:rPr>
                <w:rFonts w:hint="eastAsia" w:ascii="仿宋" w:hAnsi="仿宋" w:eastAsia="仿宋" w:cs="仿宋"/>
                <w:color w:val="auto"/>
                <w:sz w:val="24"/>
                <w:szCs w:val="24"/>
                <w:highlight w:val="none"/>
              </w:rPr>
            </w:pPr>
          </w:p>
        </w:tc>
      </w:tr>
    </w:tbl>
    <w:p w14:paraId="2DAEE19E">
      <w:pPr>
        <w:spacing w:line="440" w:lineRule="exact"/>
        <w:rPr>
          <w:rFonts w:hint="eastAsia" w:ascii="仿宋" w:hAnsi="仿宋" w:eastAsia="仿宋" w:cs="仿宋"/>
          <w:b/>
          <w:bCs/>
          <w:color w:val="auto"/>
          <w:sz w:val="32"/>
          <w:szCs w:val="28"/>
          <w:highlight w:val="none"/>
        </w:rPr>
      </w:pPr>
      <w:r>
        <w:rPr>
          <w:rFonts w:hint="eastAsia" w:ascii="仿宋" w:hAnsi="仿宋" w:eastAsia="仿宋" w:cs="仿宋"/>
          <w:b/>
          <w:bCs/>
          <w:color w:val="auto"/>
          <w:szCs w:val="21"/>
          <w:highlight w:val="none"/>
          <w:lang w:val="en-US"/>
        </w:rPr>
        <w:t>备注：</w:t>
      </w:r>
      <w:r>
        <w:rPr>
          <w:rFonts w:hint="eastAsia" w:ascii="仿宋" w:hAnsi="仿宋" w:eastAsia="仿宋" w:cs="仿宋"/>
          <w:b/>
          <w:bCs/>
          <w:color w:val="auto"/>
          <w:szCs w:val="21"/>
          <w:highlight w:val="none"/>
        </w:rPr>
        <w:t>投标文件响应程度初步审查通过的投标企业，进入下一步详细评审阶段，未通过投标文件响应程度初步审查的企业，其投标作为无效标，不进入后期评审阶段。</w:t>
      </w:r>
    </w:p>
    <w:p w14:paraId="293D391D">
      <w:pPr>
        <w:pStyle w:val="5"/>
        <w:ind w:left="0"/>
        <w:rPr>
          <w:rFonts w:hint="eastAsia" w:ascii="仿宋" w:hAnsi="仿宋" w:eastAsia="仿宋" w:cs="仿宋"/>
          <w:color w:val="auto"/>
          <w:highlight w:val="none"/>
          <w:lang w:eastAsia="zh-CN"/>
        </w:rPr>
      </w:pPr>
      <w:r>
        <w:rPr>
          <w:rFonts w:hint="eastAsia" w:ascii="仿宋" w:hAnsi="仿宋" w:eastAsia="仿宋" w:cs="仿宋"/>
          <w:color w:val="auto"/>
          <w:highlight w:val="none"/>
        </w:rPr>
        <w:br w:type="page"/>
      </w:r>
      <w:r>
        <w:rPr>
          <w:rFonts w:hint="eastAsia" w:ascii="仿宋" w:hAnsi="仿宋" w:eastAsia="仿宋" w:cs="仿宋"/>
          <w:color w:val="auto"/>
          <w:highlight w:val="none"/>
        </w:rPr>
        <w:t>详细评审明细表</w:t>
      </w:r>
    </w:p>
    <w:tbl>
      <w:tblPr>
        <w:tblStyle w:val="2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1891"/>
        <w:gridCol w:w="495"/>
        <w:gridCol w:w="6711"/>
      </w:tblGrid>
      <w:tr w14:paraId="3AB3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2853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14:ligatures w14:val="none"/>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73D6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14:ligatures w14:val="none"/>
              </w:rPr>
              <w:t>评分内容</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00C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14:ligatures w14:val="none"/>
              </w:rPr>
              <w:t>分值</w:t>
            </w:r>
          </w:p>
        </w:tc>
        <w:tc>
          <w:tcPr>
            <w:tcW w:w="6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0FC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14:ligatures w14:val="none"/>
              </w:rPr>
              <w:t>评分方法</w:t>
            </w:r>
          </w:p>
        </w:tc>
      </w:tr>
      <w:tr w14:paraId="5176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6BD76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14:ligatures w14:val="none"/>
              </w:rPr>
              <w:t>报价部分：30分</w:t>
            </w:r>
          </w:p>
        </w:tc>
      </w:tr>
      <w:tr w14:paraId="2589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201F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27D0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报价</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4B5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30</w:t>
            </w:r>
          </w:p>
        </w:tc>
        <w:tc>
          <w:tcPr>
            <w:tcW w:w="6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AEA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综合评分法中的价格分统一采用低价优先法计算，即满足招标文件要求且投标价格最低的投标报价为评标基准价，其价格分为满分。</w:t>
            </w:r>
          </w:p>
          <w:p w14:paraId="50A7D2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其它投标人的价格分统一按照下列公式计算：</w:t>
            </w:r>
          </w:p>
          <w:p w14:paraId="4802CA3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投标报价得分=(评标基准价／投标报价)×30%×100；</w:t>
            </w:r>
          </w:p>
        </w:tc>
      </w:tr>
      <w:tr w14:paraId="7880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93BFB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14:ligatures w14:val="none"/>
              </w:rPr>
              <w:t>商务技术部分：70分</w:t>
            </w:r>
          </w:p>
        </w:tc>
      </w:tr>
      <w:tr w14:paraId="1684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BD00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A6F2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投标人业绩</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F1F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14:ligatures w14:val="none"/>
              </w:rPr>
              <w:t>5</w:t>
            </w:r>
          </w:p>
        </w:tc>
        <w:tc>
          <w:tcPr>
            <w:tcW w:w="6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426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sz w:val="24"/>
                <w:szCs w:val="24"/>
                <w:highlight w:val="none"/>
                <w:u w:val="none"/>
                <w:lang w:val="en-US" w:bidi="ar"/>
              </w:rPr>
            </w:pPr>
            <w:r>
              <w:rPr>
                <w:rFonts w:hint="eastAsia" w:ascii="仿宋" w:hAnsi="仿宋" w:eastAsia="仿宋" w:cs="仿宋"/>
                <w:i w:val="0"/>
                <w:iCs w:val="0"/>
                <w:color w:val="auto"/>
                <w:kern w:val="0"/>
                <w:sz w:val="24"/>
                <w:szCs w:val="24"/>
                <w:highlight w:val="none"/>
                <w:u w:val="none"/>
                <w:lang w:val="en-US" w:eastAsia="zh-CN" w:bidi="ar"/>
                <w14:ligatures w14:val="none"/>
              </w:rPr>
              <w:t>投标人提供自2024年1月1日起至投标日止（以合同签订日期为准）与本项目建设内容或需求类似的业绩合同，每提供一个合格的业绩得1分，最高得5分。不提供或者提供的业绩不符合相关业绩要求的不得分。（提供签订的项目合同的首页、合同建设清单页及盖章页等关键页，复印件加盖公章的电子扫描件，内容不全的不计分）；</w:t>
            </w:r>
            <w:r>
              <w:rPr>
                <w:rFonts w:hint="eastAsia" w:ascii="仿宋" w:hAnsi="仿宋" w:eastAsia="仿宋" w:cs="仿宋"/>
                <w:i w:val="0"/>
                <w:iCs w:val="0"/>
                <w:color w:val="auto"/>
                <w:kern w:val="0"/>
                <w:sz w:val="24"/>
                <w:szCs w:val="24"/>
                <w:highlight w:val="none"/>
                <w:u w:val="none"/>
                <w:lang w:val="en-US" w:eastAsia="zh-CN" w:bidi="ar"/>
                <w14:ligatures w14:val="none"/>
              </w:rPr>
              <w:br w:type="textWrapping"/>
            </w:r>
            <w:r>
              <w:rPr>
                <w:rFonts w:hint="eastAsia" w:ascii="仿宋" w:hAnsi="仿宋" w:eastAsia="仿宋" w:cs="仿宋"/>
                <w:i w:val="0"/>
                <w:iCs w:val="0"/>
                <w:color w:val="auto"/>
                <w:kern w:val="0"/>
                <w:sz w:val="24"/>
                <w:szCs w:val="24"/>
                <w:highlight w:val="none"/>
                <w:u w:val="none"/>
                <w:lang w:val="en-US" w:eastAsia="zh-CN" w:bidi="ar"/>
                <w14:ligatures w14:val="none"/>
              </w:rPr>
              <w:t>注：与本项目建设内容类似的业绩，指合同内容包含“大数据计算”、“数据治理”、“数据集成”、“数据服务”、“集成开发”、“数据共享”、“数据管理”、“数据资产”“一张表”、“可视化”等关键字中至少任意一项。需提供合同（包括首页、合同建设清单描述页、合同盖章页）复印件并加盖投标人公章。</w:t>
            </w:r>
          </w:p>
        </w:tc>
      </w:tr>
      <w:tr w14:paraId="68AF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E22C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B2BF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项目实施团队</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3D8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4</w:t>
            </w:r>
          </w:p>
        </w:tc>
        <w:tc>
          <w:tcPr>
            <w:tcW w:w="6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E92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为保障项目顺利实施，对投标人拟派项目经理及技术负责人的资质与专业能力进行综合评价。</w:t>
            </w:r>
          </w:p>
          <w:p w14:paraId="2D116CF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1.项目经理（满分2.5分）</w:t>
            </w:r>
          </w:p>
          <w:p w14:paraId="0D55A4D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1）基本资质（1.5分）：拟派项目经理具备由中华人民共和国人力资源和社会保障部、工业和信息化部联合颁发的信息系统项目管理师（高级）或系统集成项目管理工程师（中级）职业资格证书。提供有效证书及投标截止日前3个月的社保证明</w:t>
            </w:r>
            <w:r>
              <w:rPr>
                <w:rFonts w:hint="eastAsia" w:ascii="仿宋" w:hAnsi="仿宋" w:eastAsia="仿宋" w:cs="仿宋"/>
                <w:color w:val="auto"/>
                <w:sz w:val="24"/>
                <w:szCs w:val="24"/>
                <w:highlight w:val="none"/>
                <w:u w:val="none"/>
                <w:lang w:val="en-US" w:eastAsia="zh-CN" w:bidi="ar"/>
              </w:rPr>
              <w:t>或提供与本单位签订在有效期内的劳动合同</w:t>
            </w:r>
            <w:r>
              <w:rPr>
                <w:rFonts w:hint="eastAsia" w:ascii="仿宋" w:hAnsi="仿宋" w:eastAsia="仿宋" w:cs="仿宋"/>
                <w:color w:val="auto"/>
                <w:sz w:val="24"/>
                <w:szCs w:val="24"/>
                <w:highlight w:val="none"/>
                <w:u w:val="none"/>
                <w:lang w:val="en-US" w:bidi="ar"/>
              </w:rPr>
              <w:t>，得1.5分。</w:t>
            </w:r>
          </w:p>
          <w:p w14:paraId="5334467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2）项目管理经验（1分）：项目经理自2024年1月1日起至投标日止（以合同签订日期为准）作为负责人，完成过1个与本项目同类型的数据管理平台或数据中台项目，项目内容须涉及数据治理、数据应用或数据分析等相关功能。</w:t>
            </w:r>
          </w:p>
          <w:p w14:paraId="5D4DE3B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eastAsia="zh-CN" w:bidi="ar"/>
              </w:rPr>
              <w:t>证明材料：</w:t>
            </w:r>
            <w:r>
              <w:rPr>
                <w:rFonts w:hint="eastAsia" w:ascii="仿宋" w:hAnsi="仿宋" w:eastAsia="仿宋" w:cs="仿宋"/>
                <w:color w:val="auto"/>
                <w:sz w:val="24"/>
                <w:szCs w:val="24"/>
                <w:highlight w:val="none"/>
                <w:u w:val="none"/>
                <w:lang w:val="en-US" w:bidi="ar"/>
              </w:rPr>
              <w:t>提供</w:t>
            </w:r>
            <w:r>
              <w:rPr>
                <w:rFonts w:hint="eastAsia" w:ascii="仿宋" w:hAnsi="仿宋" w:eastAsia="仿宋" w:cs="仿宋"/>
                <w:color w:val="auto"/>
                <w:sz w:val="24"/>
                <w:szCs w:val="24"/>
                <w:highlight w:val="none"/>
                <w:u w:val="none"/>
                <w:lang w:val="en-US" w:eastAsia="zh-CN" w:bidi="ar"/>
              </w:rPr>
              <w:t>合同</w:t>
            </w:r>
            <w:r>
              <w:rPr>
                <w:rFonts w:hint="eastAsia" w:ascii="仿宋" w:hAnsi="仿宋" w:eastAsia="仿宋" w:cs="仿宋"/>
                <w:color w:val="auto"/>
                <w:sz w:val="24"/>
                <w:szCs w:val="24"/>
                <w:highlight w:val="none"/>
                <w:u w:val="none"/>
                <w:lang w:val="en-US" w:bidi="ar"/>
              </w:rPr>
              <w:t>包含</w:t>
            </w:r>
            <w:r>
              <w:rPr>
                <w:rFonts w:hint="eastAsia" w:ascii="仿宋" w:hAnsi="仿宋" w:eastAsia="仿宋" w:cs="仿宋"/>
                <w:color w:val="auto"/>
                <w:sz w:val="24"/>
                <w:szCs w:val="24"/>
                <w:highlight w:val="none"/>
                <w:u w:val="none"/>
                <w:lang w:val="en-US" w:eastAsia="zh-CN" w:bidi="ar"/>
              </w:rPr>
              <w:t>但不限于</w:t>
            </w:r>
            <w:r>
              <w:rPr>
                <w:rFonts w:hint="eastAsia" w:ascii="仿宋" w:hAnsi="仿宋" w:eastAsia="仿宋" w:cs="仿宋"/>
                <w:color w:val="auto"/>
                <w:sz w:val="24"/>
                <w:szCs w:val="24"/>
                <w:highlight w:val="none"/>
                <w:u w:val="none"/>
                <w:lang w:val="en-US" w:bidi="ar"/>
              </w:rPr>
              <w:t>项目技术内容、合同金额、双方签字盖章页及验收证明</w:t>
            </w:r>
            <w:r>
              <w:rPr>
                <w:rFonts w:hint="eastAsia" w:ascii="仿宋" w:hAnsi="仿宋" w:eastAsia="仿宋" w:cs="仿宋"/>
                <w:color w:val="auto"/>
                <w:sz w:val="24"/>
                <w:szCs w:val="24"/>
                <w:highlight w:val="none"/>
                <w:u w:val="none"/>
                <w:lang w:val="en-US" w:eastAsia="zh-CN" w:bidi="ar"/>
              </w:rPr>
              <w:t>等</w:t>
            </w:r>
            <w:r>
              <w:rPr>
                <w:rFonts w:hint="eastAsia" w:ascii="仿宋" w:hAnsi="仿宋" w:eastAsia="仿宋" w:cs="仿宋"/>
                <w:color w:val="auto"/>
                <w:sz w:val="24"/>
                <w:szCs w:val="24"/>
                <w:highlight w:val="none"/>
                <w:u w:val="none"/>
                <w:lang w:val="en-US" w:bidi="ar"/>
              </w:rPr>
              <w:t>关键材料，得1分。本项满分1分。</w:t>
            </w:r>
          </w:p>
          <w:p w14:paraId="72BB7F8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2.技术负责人（满分1.5分）</w:t>
            </w:r>
          </w:p>
          <w:p w14:paraId="36950A3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1）基本资质（0.5分）：拟派技术负责人具备由中华人民共和国人力资源和社会保障部、工业和信息化部联合颁发的系统架构设计师（高级）或软件设计师（中级）职业资格证书。提供有效证书及投标截止日前3个月的社保证明</w:t>
            </w:r>
            <w:r>
              <w:rPr>
                <w:rFonts w:hint="eastAsia" w:ascii="仿宋" w:hAnsi="仿宋" w:eastAsia="仿宋" w:cs="仿宋"/>
                <w:color w:val="auto"/>
                <w:sz w:val="24"/>
                <w:szCs w:val="24"/>
                <w:highlight w:val="none"/>
                <w:u w:val="none"/>
                <w:lang w:val="en-US" w:eastAsia="zh-CN" w:bidi="ar"/>
              </w:rPr>
              <w:t>或提供与本单位签订在有效期内的劳动合同</w:t>
            </w:r>
            <w:r>
              <w:rPr>
                <w:rFonts w:hint="eastAsia" w:ascii="仿宋" w:hAnsi="仿宋" w:eastAsia="仿宋" w:cs="仿宋"/>
                <w:color w:val="auto"/>
                <w:sz w:val="24"/>
                <w:szCs w:val="24"/>
                <w:highlight w:val="none"/>
                <w:u w:val="none"/>
                <w:lang w:val="en-US" w:bidi="ar"/>
              </w:rPr>
              <w:t>，得0.5分。</w:t>
            </w:r>
          </w:p>
          <w:p w14:paraId="6A484CA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2）专业技术能力（1分）：技术负责人具备与本次招标项目第六部分技术规格说明中明确的核心技术直接相关的其他职业资格证书。每具备1项相关证书（如：数据库系统工程师、信息安全工程师、软件评测师等），得0.5分，本项最高得1分。</w:t>
            </w:r>
          </w:p>
          <w:p w14:paraId="4522275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注：</w:t>
            </w:r>
          </w:p>
          <w:p w14:paraId="4B7321D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1.项目经理与技术负责人不得由同一人兼任。</w:t>
            </w:r>
          </w:p>
          <w:p w14:paraId="63C1583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2.第2.2项“专业技术能力”所涉证书，须在投标文件中说明其与项目核心技术需求的具体关联性。</w:t>
            </w:r>
          </w:p>
          <w:p w14:paraId="5C6A4FF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3.所有人员证书须在有效期内，并提供清晰扫描件。</w:t>
            </w:r>
          </w:p>
          <w:p w14:paraId="69BAE3C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4.同一业绩或证书在同一投标人中仅计分一次，不重复累计。</w:t>
            </w:r>
          </w:p>
        </w:tc>
      </w:tr>
      <w:tr w14:paraId="3E24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58EA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0D8E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技术参数响应情况</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D1D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14:ligatures w14:val="none"/>
              </w:rPr>
              <w:t>30</w:t>
            </w:r>
          </w:p>
        </w:tc>
        <w:tc>
          <w:tcPr>
            <w:tcW w:w="6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FAD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评标委员会依据下述标准，对投标文件的技术参数响应情况进行评审：</w:t>
            </w:r>
          </w:p>
          <w:p w14:paraId="040846A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核心参数（“★”）：必须逐条响应并提供有效证明材料。每有一项未提供有效证明、证明无效或存在负偏离，扣</w:t>
            </w:r>
            <w:r>
              <w:rPr>
                <w:rFonts w:hint="eastAsia" w:ascii="仿宋" w:hAnsi="仿宋" w:eastAsia="仿宋" w:cs="仿宋"/>
                <w:color w:val="auto"/>
                <w:sz w:val="24"/>
                <w:szCs w:val="24"/>
                <w:highlight w:val="none"/>
                <w:u w:val="none"/>
                <w:lang w:val="en-US" w:eastAsia="zh-CN" w:bidi="ar"/>
              </w:rPr>
              <w:t>3</w:t>
            </w:r>
            <w:r>
              <w:rPr>
                <w:rFonts w:hint="eastAsia" w:ascii="仿宋" w:hAnsi="仿宋" w:eastAsia="仿宋" w:cs="仿宋"/>
                <w:color w:val="auto"/>
                <w:sz w:val="24"/>
                <w:szCs w:val="24"/>
                <w:highlight w:val="none"/>
                <w:u w:val="none"/>
                <w:lang w:val="en-US" w:bidi="ar"/>
              </w:rPr>
              <w:t>分。</w:t>
            </w:r>
          </w:p>
          <w:p w14:paraId="5BD6920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重要参数（“▲”）：必须逐条响应并提供有效证明材料。每有一项未提供有效证明、证明无效或存在负偏离，扣</w:t>
            </w:r>
            <w:r>
              <w:rPr>
                <w:rFonts w:hint="eastAsia" w:ascii="仿宋" w:hAnsi="仿宋" w:eastAsia="仿宋" w:cs="仿宋"/>
                <w:color w:val="auto"/>
                <w:sz w:val="24"/>
                <w:szCs w:val="24"/>
                <w:highlight w:val="none"/>
                <w:u w:val="none"/>
                <w:lang w:val="en-US" w:eastAsia="zh-CN" w:bidi="ar"/>
              </w:rPr>
              <w:t>1</w:t>
            </w:r>
            <w:r>
              <w:rPr>
                <w:rFonts w:hint="eastAsia" w:ascii="仿宋" w:hAnsi="仿宋" w:eastAsia="仿宋" w:cs="仿宋"/>
                <w:color w:val="auto"/>
                <w:sz w:val="24"/>
                <w:szCs w:val="24"/>
                <w:highlight w:val="none"/>
                <w:u w:val="none"/>
                <w:lang w:val="en-US" w:bidi="ar"/>
              </w:rPr>
              <w:t>分。</w:t>
            </w:r>
          </w:p>
          <w:p w14:paraId="3C2CEBC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普通参数（无标志）</w:t>
            </w:r>
            <w:r>
              <w:rPr>
                <w:rFonts w:hint="eastAsia" w:ascii="仿宋" w:hAnsi="仿宋" w:eastAsia="仿宋" w:cs="仿宋"/>
                <w:color w:val="auto"/>
                <w:sz w:val="24"/>
                <w:szCs w:val="24"/>
                <w:highlight w:val="none"/>
                <w:u w:val="none"/>
                <w:lang w:val="en-US" w:eastAsia="zh-CN" w:bidi="ar"/>
              </w:rPr>
              <w:t>（指第六部分指标要求无标志项）</w:t>
            </w:r>
            <w:r>
              <w:rPr>
                <w:rFonts w:hint="eastAsia" w:ascii="仿宋" w:hAnsi="仿宋" w:eastAsia="仿宋" w:cs="仿宋"/>
                <w:color w:val="auto"/>
                <w:sz w:val="24"/>
                <w:szCs w:val="24"/>
                <w:highlight w:val="none"/>
                <w:u w:val="none"/>
                <w:lang w:val="en-US" w:bidi="ar"/>
              </w:rPr>
              <w:t>：应在《技术及商务响应（偏离）表》中明确响应。每有一项负偏离或缺漏，扣0.5分。</w:t>
            </w:r>
          </w:p>
          <w:p w14:paraId="20C518E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本项总分3</w:t>
            </w:r>
            <w:r>
              <w:rPr>
                <w:rFonts w:hint="eastAsia" w:ascii="仿宋" w:hAnsi="仿宋" w:eastAsia="仿宋" w:cs="仿宋"/>
                <w:color w:val="auto"/>
                <w:sz w:val="24"/>
                <w:szCs w:val="24"/>
                <w:highlight w:val="none"/>
                <w:u w:val="none"/>
                <w:lang w:val="en-US" w:eastAsia="zh-CN" w:bidi="ar"/>
              </w:rPr>
              <w:t>0</w:t>
            </w:r>
            <w:r>
              <w:rPr>
                <w:rFonts w:hint="eastAsia" w:ascii="仿宋" w:hAnsi="仿宋" w:eastAsia="仿宋" w:cs="仿宋"/>
                <w:color w:val="auto"/>
                <w:sz w:val="24"/>
                <w:szCs w:val="24"/>
                <w:highlight w:val="none"/>
                <w:u w:val="none"/>
                <w:lang w:val="en-US" w:bidi="ar"/>
              </w:rPr>
              <w:t>分，扣完为止。</w:t>
            </w:r>
          </w:p>
          <w:p w14:paraId="03F2852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注：</w:t>
            </w:r>
          </w:p>
          <w:p w14:paraId="11505A6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1.凡要求提供第三方检测报告的，须由具备CMA或CNAS资质的第三方检验检测机构出具（或提供同等效力有效证明文件），报告内容须完全覆盖对应技术指标，未提供或不符合要求的按负偏离处理。技术参数要求可提供的“同等效力有效证明文件”，是指可替代CMA/CNAS检测报告的权威证明材料，包括以下任意一类：</w:t>
            </w:r>
          </w:p>
          <w:p w14:paraId="1C983B8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1）国家级或省级权威机构出具的报告：包括但不限于工业和信息化部、国家发展改革委等国家部委直属或主管的测评机构（如中国软件评测中心、国家工业信息安全发展研究中心等）出具的产品测评、验证报告；</w:t>
            </w:r>
          </w:p>
          <w:p w14:paraId="40B549E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（2）具有ILAC、APLAC国际互认标识的第三方检测机构出具的检测报告；</w:t>
            </w:r>
          </w:p>
          <w:p w14:paraId="33F5C21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（3）带有效电子签名的CMA/CNAS电子检测报告；</w:t>
            </w:r>
          </w:p>
          <w:p w14:paraId="318695F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（4）产品制造商官方发布、可公开查验的技术白皮书、产品规格说明书（需体现对应参数并逐页盖章）；</w:t>
            </w:r>
          </w:p>
          <w:p w14:paraId="4070D66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（5）已验收项目的验收报告关键页或用户证明（含项目名称、合同信息、功能实现说明）。</w:t>
            </w:r>
          </w:p>
          <w:p w14:paraId="31F33FC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3.技术参数要求提供“技术说明材料”的，可从以下任选一项提供（须盖章、内容完整覆盖指标，否则按负偏离处理）：</w:t>
            </w:r>
          </w:p>
          <w:p w14:paraId="0F27DC4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（1）产品官方技术文档（彩页、白皮书等）；</w:t>
            </w:r>
          </w:p>
          <w:p w14:paraId="62DA815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（2）加盖公章的书面承诺函（承诺完全满足参数，虚假视为无效投标）；</w:t>
            </w:r>
          </w:p>
          <w:p w14:paraId="00F6987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（3）第三方权威检测报告、认证证书、软件著作权证书等。</w:t>
            </w:r>
          </w:p>
          <w:p w14:paraId="1A759AD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4.凡要求提供系统功能截图的，须同时满足以下要求：</w:t>
            </w:r>
          </w:p>
          <w:p w14:paraId="3FA6990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（1）截图为系统全屏或完整窗口截图，清晰显示登录状态、系统名称、功能界面、操作节点等可追溯信息；</w:t>
            </w:r>
          </w:p>
          <w:p w14:paraId="1F326F3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（2）对于部分复杂技术要求，可提供连续三张截图，完整展示该技术功能的操作流程及关键节点；</w:t>
            </w:r>
          </w:p>
          <w:p w14:paraId="5C1F661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w:t>
            </w:r>
            <w:r>
              <w:rPr>
                <w:rFonts w:hint="eastAsia" w:ascii="仿宋" w:hAnsi="仿宋" w:eastAsia="仿宋" w:cs="仿宋"/>
                <w:color w:val="auto"/>
                <w:sz w:val="24"/>
                <w:szCs w:val="24"/>
                <w:highlight w:val="none"/>
                <w:u w:val="none"/>
                <w:lang w:val="en-US" w:eastAsia="zh-CN" w:bidi="ar"/>
              </w:rPr>
              <w:t>3</w:t>
            </w:r>
            <w:r>
              <w:rPr>
                <w:rFonts w:hint="eastAsia" w:ascii="仿宋" w:hAnsi="仿宋" w:eastAsia="仿宋" w:cs="仿宋"/>
                <w:color w:val="auto"/>
                <w:sz w:val="24"/>
                <w:szCs w:val="24"/>
                <w:highlight w:val="none"/>
                <w:u w:val="none"/>
                <w:lang w:val="en-US" w:bidi="ar"/>
              </w:rPr>
              <w:t>）截图须加盖投标人公章，并标注对应技术参数序号；</w:t>
            </w:r>
          </w:p>
          <w:p w14:paraId="546B38E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w:t>
            </w:r>
            <w:r>
              <w:rPr>
                <w:rFonts w:hint="eastAsia" w:ascii="仿宋" w:hAnsi="仿宋" w:eastAsia="仿宋" w:cs="仿宋"/>
                <w:color w:val="auto"/>
                <w:sz w:val="24"/>
                <w:szCs w:val="24"/>
                <w:highlight w:val="none"/>
                <w:u w:val="none"/>
                <w:lang w:val="en-US" w:eastAsia="zh-CN" w:bidi="ar"/>
              </w:rPr>
              <w:t>4</w:t>
            </w:r>
            <w:r>
              <w:rPr>
                <w:rFonts w:hint="eastAsia" w:ascii="仿宋" w:hAnsi="仿宋" w:eastAsia="仿宋" w:cs="仿宋"/>
                <w:color w:val="auto"/>
                <w:sz w:val="24"/>
                <w:szCs w:val="24"/>
                <w:highlight w:val="none"/>
                <w:u w:val="none"/>
                <w:lang w:val="en-US" w:bidi="ar"/>
              </w:rPr>
              <w:t>）严禁裁剪、拼接、篡改、PS造假，否则该截图无效，对应参数按负偏离处理。</w:t>
            </w:r>
          </w:p>
          <w:p w14:paraId="289DDA7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eastAsia="zh-CN" w:bidi="ar"/>
              </w:rPr>
              <w:t>以上</w:t>
            </w:r>
            <w:r>
              <w:rPr>
                <w:rFonts w:hint="eastAsia" w:ascii="仿宋" w:hAnsi="仿宋" w:eastAsia="仿宋" w:cs="仿宋"/>
                <w:color w:val="auto"/>
                <w:sz w:val="24"/>
                <w:szCs w:val="24"/>
                <w:highlight w:val="none"/>
                <w:u w:val="none"/>
                <w:lang w:val="en-US" w:bidi="ar"/>
              </w:rPr>
              <w:t>所有证明材料、截图、偏离表等必须加盖投标人公章（鲜章），否则视为无效材料，对应参数按负偏离处理。</w:t>
            </w:r>
          </w:p>
          <w:p w14:paraId="5F18EF8B">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5.投标人须逐条对照招标文件'技术/服务参数规格要求'填写《技术及商务响应（偏离）表》，明确注明'无偏离''正偏离'或'负偏离'，并对偏离内容作出具体说明。若仅简单复制、粘贴招标参数内容而未明确标注偏离性质及作说明的，视为未按招标文件要求填写偏离表，评标时不予认可（或按无效投标处理／由评标委员会判定其有效性），后果由投标人承担。</w:t>
            </w:r>
          </w:p>
        </w:tc>
      </w:tr>
      <w:tr w14:paraId="5D13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8E08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0F1D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专利和创新能力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8D1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5</w:t>
            </w:r>
          </w:p>
        </w:tc>
        <w:tc>
          <w:tcPr>
            <w:tcW w:w="6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649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投标人或所投产品制造商需取得相关领域产品软件著作权证书，且证书名称中包含以下关键词之一的：大数据计算、数据标准、能力共享、数据集成开发、信息资源目录、数据治理、数据集成、数据模型、数据管控、数据安全、数据智能、数据分析。每具有一项上述证书得0.5分，最多得5分。同一证书只计一次，不得重复计分；不同证书具有相同的关键字，只算为一项满足。</w:t>
            </w:r>
            <w:r>
              <w:rPr>
                <w:rFonts w:hint="eastAsia" w:ascii="仿宋" w:hAnsi="仿宋" w:eastAsia="仿宋" w:cs="仿宋"/>
                <w:i w:val="0"/>
                <w:iCs w:val="0"/>
                <w:color w:val="auto"/>
                <w:kern w:val="0"/>
                <w:sz w:val="24"/>
                <w:szCs w:val="24"/>
                <w:highlight w:val="none"/>
                <w:u w:val="none"/>
                <w:lang w:val="en-US" w:eastAsia="zh-CN" w:bidi="ar"/>
                <w14:ligatures w14:val="none"/>
              </w:rPr>
              <w:br w:type="textWrapping"/>
            </w:r>
            <w:r>
              <w:rPr>
                <w:rFonts w:hint="eastAsia" w:ascii="仿宋" w:hAnsi="仿宋" w:eastAsia="仿宋" w:cs="仿宋"/>
                <w:i w:val="0"/>
                <w:iCs w:val="0"/>
                <w:color w:val="auto"/>
                <w:kern w:val="0"/>
                <w:sz w:val="24"/>
                <w:szCs w:val="24"/>
                <w:highlight w:val="none"/>
                <w:u w:val="none"/>
                <w:lang w:val="en-US" w:eastAsia="zh-CN" w:bidi="ar"/>
                <w14:ligatures w14:val="none"/>
              </w:rPr>
              <w:t>注：提供相关软著证书复印件并加盖投标人单位公章，证书获得日期须在本项目开标日之前，否则不得分。中标公告发布后招标人将在国家版权中心官网进行查询核实，提供虚假软著证明材料的中标人将会被追究责任。</w:t>
            </w:r>
          </w:p>
        </w:tc>
      </w:tr>
      <w:tr w14:paraId="781A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4B63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2029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系统功能演示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6BD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14:ligatures w14:val="none"/>
              </w:rPr>
              <w:t>20</w:t>
            </w:r>
          </w:p>
        </w:tc>
        <w:tc>
          <w:tcPr>
            <w:tcW w:w="6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08E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系统演示，演示时间不超过 20 分钟（不含专家提问），根据演示内容，演示须为投标人所投产品自身功能，不得使用其他厂商产品、非投产品或无关项目演示，否则该项得0分。真实系统演示（20分）：使用所投产品正式商用版本进行演示（含已落地项目正式环境或为本次投标专门部署的完整功能环境），功能完整、流程贯通、完全满足演示功能要求的，得20分。</w:t>
            </w:r>
          </w:p>
          <w:p w14:paraId="6F8AF24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1.Demo/原型演示（最高5分）：</w:t>
            </w:r>
          </w:p>
          <w:p w14:paraId="11E63E0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2.用所投产品演示版、原型版、半成品进行演示，功能逻辑基本完整但非正式商用版本的，最高得5分。</w:t>
            </w:r>
          </w:p>
          <w:p w14:paraId="2CAFA46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3.PPT演示或无演示（0分）：</w:t>
            </w:r>
          </w:p>
          <w:p w14:paraId="0AAAC36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4.仅提供PPT讲解、视频播放、无系统演示或未演示的，得0分。</w:t>
            </w:r>
          </w:p>
          <w:p w14:paraId="377D92E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注：</w:t>
            </w:r>
          </w:p>
          <w:p w14:paraId="583DB90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1）“真实系统演示”指：所投产品已商用发布的正式版本，具备完整功能、可部署、可交付、可验收。</w:t>
            </w:r>
          </w:p>
          <w:p w14:paraId="5B96A29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2）演示界面须清晰显示产品名称、产品标识或厂商信息，用于评标委员会识别为投标人所投产品。</w:t>
            </w:r>
          </w:p>
          <w:p w14:paraId="4FE4C4D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3）演示内容、界面风格、操作路径不做统一限定，只要满足功能要点即可。</w:t>
            </w:r>
            <w:r>
              <w:rPr>
                <w:rFonts w:hint="eastAsia" w:ascii="仿宋" w:hAnsi="仿宋" w:eastAsia="仿宋" w:cs="仿宋"/>
                <w:i w:val="0"/>
                <w:iCs w:val="0"/>
                <w:color w:val="auto"/>
                <w:kern w:val="0"/>
                <w:sz w:val="24"/>
                <w:szCs w:val="24"/>
                <w:highlight w:val="none"/>
                <w:u w:val="none"/>
                <w:lang w:val="en-US" w:eastAsia="zh-CN" w:bidi="ar"/>
                <w14:ligatures w14:val="none"/>
              </w:rPr>
              <w:br w:type="textWrapping"/>
            </w:r>
            <w:r>
              <w:rPr>
                <w:rFonts w:hint="eastAsia" w:ascii="仿宋" w:hAnsi="仿宋" w:eastAsia="仿宋" w:cs="仿宋"/>
                <w:i w:val="0"/>
                <w:iCs w:val="0"/>
                <w:color w:val="auto"/>
                <w:kern w:val="0"/>
                <w:sz w:val="24"/>
                <w:szCs w:val="24"/>
                <w:highlight w:val="none"/>
                <w:u w:val="none"/>
                <w:lang w:val="en-US" w:eastAsia="zh-CN" w:bidi="ar"/>
                <w14:ligatures w14:val="none"/>
              </w:rPr>
              <w:t>1、</w:t>
            </w:r>
            <w:r>
              <w:rPr>
                <w:rFonts w:hint="eastAsia" w:ascii="仿宋" w:hAnsi="仿宋" w:eastAsia="仿宋" w:cs="仿宋"/>
                <w:b/>
                <w:bCs/>
                <w:i w:val="0"/>
                <w:iCs w:val="0"/>
                <w:color w:val="auto"/>
                <w:kern w:val="0"/>
                <w:sz w:val="24"/>
                <w:szCs w:val="24"/>
                <w:highlight w:val="none"/>
                <w:u w:val="none"/>
                <w:lang w:val="en-US" w:eastAsia="zh-CN" w:bidi="ar"/>
                <w14:ligatures w14:val="none"/>
              </w:rPr>
              <w:t>数据全生命周期管理。</w:t>
            </w:r>
            <w:r>
              <w:rPr>
                <w:rFonts w:hint="eastAsia" w:ascii="仿宋" w:hAnsi="仿宋" w:eastAsia="仿宋" w:cs="仿宋"/>
                <w:i w:val="0"/>
                <w:iCs w:val="0"/>
                <w:color w:val="auto"/>
                <w:kern w:val="0"/>
                <w:sz w:val="24"/>
                <w:szCs w:val="24"/>
                <w:highlight w:val="none"/>
                <w:u w:val="none"/>
                <w:lang w:val="en-US" w:eastAsia="zh-CN" w:bidi="ar"/>
                <w14:ligatures w14:val="none"/>
              </w:rPr>
              <w:t>演示通过一个账号登录后，能够实现数据全生命周期管理能力，包含</w:t>
            </w:r>
            <w:r>
              <w:rPr>
                <w:rFonts w:hint="eastAsia" w:ascii="仿宋" w:hAnsi="仿宋" w:eastAsia="仿宋" w:cs="仿宋"/>
                <w:b/>
                <w:bCs/>
                <w:i w:val="0"/>
                <w:iCs w:val="0"/>
                <w:color w:val="auto"/>
                <w:kern w:val="0"/>
                <w:sz w:val="24"/>
                <w:szCs w:val="24"/>
                <w:highlight w:val="none"/>
                <w:u w:val="none"/>
                <w:lang w:val="en-US" w:eastAsia="zh-CN" w:bidi="ar"/>
                <w14:ligatures w14:val="none"/>
              </w:rPr>
              <w:t>数据集成、数据处理、数据治理、数据开发、数据服务</w:t>
            </w:r>
            <w:r>
              <w:rPr>
                <w:rFonts w:hint="eastAsia" w:ascii="仿宋" w:hAnsi="仿宋" w:eastAsia="仿宋" w:cs="仿宋"/>
                <w:i w:val="0"/>
                <w:iCs w:val="0"/>
                <w:color w:val="auto"/>
                <w:kern w:val="0"/>
                <w:sz w:val="24"/>
                <w:szCs w:val="24"/>
                <w:highlight w:val="none"/>
                <w:u w:val="none"/>
                <w:lang w:val="en-US" w:eastAsia="zh-CN" w:bidi="ar"/>
                <w14:ligatures w14:val="none"/>
              </w:rPr>
              <w:t>等主要功能模块，契合招标功能需求，能满足一体化数据资源管理平台要求。全部满足得5分，每缺少一项或演示内容达不到要求的扣 1 分。</w:t>
            </w:r>
          </w:p>
          <w:p w14:paraId="3BEDCB9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2、</w:t>
            </w:r>
            <w:r>
              <w:rPr>
                <w:rFonts w:hint="eastAsia" w:ascii="仿宋" w:hAnsi="仿宋" w:eastAsia="仿宋" w:cs="仿宋"/>
                <w:b/>
                <w:bCs/>
                <w:i w:val="0"/>
                <w:iCs w:val="0"/>
                <w:color w:val="auto"/>
                <w:kern w:val="0"/>
                <w:sz w:val="24"/>
                <w:szCs w:val="24"/>
                <w:highlight w:val="none"/>
                <w:u w:val="none"/>
                <w:lang w:val="en-US" w:eastAsia="zh-CN" w:bidi="ar"/>
                <w14:ligatures w14:val="none"/>
              </w:rPr>
              <w:t>数据集成能力。</w:t>
            </w:r>
            <w:r>
              <w:rPr>
                <w:rFonts w:hint="eastAsia" w:ascii="仿宋" w:hAnsi="仿宋" w:eastAsia="仿宋" w:cs="仿宋"/>
                <w:i w:val="0"/>
                <w:iCs w:val="0"/>
                <w:color w:val="auto"/>
                <w:kern w:val="0"/>
                <w:sz w:val="24"/>
                <w:szCs w:val="24"/>
                <w:highlight w:val="none"/>
                <w:u w:val="none"/>
                <w:lang w:val="en-US" w:eastAsia="zh-CN" w:bidi="ar"/>
                <w14:ligatures w14:val="none"/>
              </w:rPr>
              <w:t>演示数据集成平台：</w:t>
            </w:r>
            <w:r>
              <w:rPr>
                <w:rFonts w:hint="eastAsia" w:ascii="仿宋" w:hAnsi="仿宋" w:eastAsia="仿宋" w:cs="仿宋"/>
                <w:b/>
                <w:bCs/>
                <w:i w:val="0"/>
                <w:iCs w:val="0"/>
                <w:color w:val="auto"/>
                <w:kern w:val="0"/>
                <w:sz w:val="24"/>
                <w:szCs w:val="24"/>
                <w:highlight w:val="none"/>
                <w:u w:val="none"/>
                <w:lang w:val="en-US" w:eastAsia="zh-CN" w:bidi="ar"/>
                <w14:ligatures w14:val="none"/>
              </w:rPr>
              <w:t>支持的数据源种类，数据加工转换功能，作业调度功能，运维监控功能</w:t>
            </w:r>
            <w:r>
              <w:rPr>
                <w:rFonts w:hint="eastAsia" w:ascii="仿宋" w:hAnsi="仿宋" w:eastAsia="仿宋" w:cs="仿宋"/>
                <w:i w:val="0"/>
                <w:iCs w:val="0"/>
                <w:color w:val="auto"/>
                <w:kern w:val="0"/>
                <w:sz w:val="24"/>
                <w:szCs w:val="24"/>
                <w:highlight w:val="none"/>
                <w:u w:val="none"/>
                <w:lang w:val="en-US" w:eastAsia="zh-CN" w:bidi="ar"/>
                <w14:ligatures w14:val="none"/>
              </w:rPr>
              <w:t>。全部满足得4分，每缺少一项或演示内容达不到要求的扣 1 分。</w:t>
            </w:r>
          </w:p>
          <w:p w14:paraId="18A2A06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3、</w:t>
            </w:r>
            <w:r>
              <w:rPr>
                <w:rFonts w:hint="eastAsia" w:ascii="仿宋" w:hAnsi="仿宋" w:eastAsia="仿宋" w:cs="仿宋"/>
                <w:b/>
                <w:bCs/>
                <w:i w:val="0"/>
                <w:iCs w:val="0"/>
                <w:color w:val="auto"/>
                <w:kern w:val="0"/>
                <w:sz w:val="24"/>
                <w:szCs w:val="24"/>
                <w:highlight w:val="none"/>
                <w:u w:val="none"/>
                <w:lang w:val="en-US" w:eastAsia="zh-CN" w:bidi="ar"/>
                <w14:ligatures w14:val="none"/>
              </w:rPr>
              <w:t>数据开发能力。</w:t>
            </w:r>
            <w:r>
              <w:rPr>
                <w:rFonts w:hint="eastAsia" w:ascii="仿宋" w:hAnsi="仿宋" w:eastAsia="仿宋" w:cs="仿宋"/>
                <w:i w:val="0"/>
                <w:iCs w:val="0"/>
                <w:color w:val="auto"/>
                <w:kern w:val="0"/>
                <w:sz w:val="24"/>
                <w:szCs w:val="24"/>
                <w:highlight w:val="none"/>
                <w:u w:val="none"/>
                <w:lang w:val="en-US" w:eastAsia="zh-CN" w:bidi="ar"/>
                <w14:ligatures w14:val="none"/>
              </w:rPr>
              <w:t>演示数据开发平台：</w:t>
            </w:r>
            <w:r>
              <w:rPr>
                <w:rFonts w:hint="eastAsia" w:ascii="仿宋" w:hAnsi="仿宋" w:eastAsia="仿宋" w:cs="仿宋"/>
                <w:b/>
                <w:bCs/>
                <w:i w:val="0"/>
                <w:iCs w:val="0"/>
                <w:color w:val="auto"/>
                <w:kern w:val="0"/>
                <w:sz w:val="24"/>
                <w:szCs w:val="24"/>
                <w:highlight w:val="none"/>
                <w:u w:val="none"/>
                <w:lang w:val="en-US" w:eastAsia="zh-CN" w:bidi="ar"/>
                <w14:ligatures w14:val="none"/>
              </w:rPr>
              <w:t>图形化开发工作流、数据过滤组件、数据清洗组件、任务调度管理功能。</w:t>
            </w:r>
            <w:r>
              <w:rPr>
                <w:rFonts w:hint="eastAsia" w:ascii="仿宋" w:hAnsi="仿宋" w:eastAsia="仿宋" w:cs="仿宋"/>
                <w:i w:val="0"/>
                <w:iCs w:val="0"/>
                <w:color w:val="auto"/>
                <w:kern w:val="0"/>
                <w:sz w:val="24"/>
                <w:szCs w:val="24"/>
                <w:highlight w:val="none"/>
                <w:u w:val="none"/>
                <w:lang w:val="en-US" w:eastAsia="zh-CN" w:bidi="ar"/>
                <w14:ligatures w14:val="none"/>
              </w:rPr>
              <w:t>全部满足得4分，每缺少一项或演示内容达不到要求的扣 1 分。</w:t>
            </w:r>
          </w:p>
          <w:p w14:paraId="09383FB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4、</w:t>
            </w:r>
            <w:r>
              <w:rPr>
                <w:rFonts w:hint="eastAsia" w:ascii="仿宋" w:hAnsi="仿宋" w:eastAsia="仿宋" w:cs="仿宋"/>
                <w:b/>
                <w:bCs/>
                <w:i w:val="0"/>
                <w:iCs w:val="0"/>
                <w:color w:val="auto"/>
                <w:kern w:val="0"/>
                <w:sz w:val="24"/>
                <w:szCs w:val="24"/>
                <w:highlight w:val="none"/>
                <w:u w:val="none"/>
                <w:lang w:val="en-US" w:eastAsia="zh-CN" w:bidi="ar"/>
                <w14:ligatures w14:val="none"/>
              </w:rPr>
              <w:t>一体化数据级联管理。</w:t>
            </w:r>
            <w:r>
              <w:rPr>
                <w:rFonts w:hint="eastAsia" w:ascii="仿宋" w:hAnsi="仿宋" w:eastAsia="仿宋" w:cs="仿宋"/>
                <w:i w:val="0"/>
                <w:iCs w:val="0"/>
                <w:color w:val="auto"/>
                <w:kern w:val="0"/>
                <w:sz w:val="24"/>
                <w:szCs w:val="24"/>
                <w:highlight w:val="none"/>
                <w:u w:val="none"/>
                <w:lang w:val="en-US" w:eastAsia="zh-CN" w:bidi="ar"/>
                <w14:ligatures w14:val="none"/>
              </w:rPr>
              <w:t>演示一体化数据级联管理功能，实现目录、标准、服务的向上共享、向下共享以及横向共享的级联能力，以在线拓扑图的动态更新方式展示各层级节点的</w:t>
            </w:r>
            <w:r>
              <w:rPr>
                <w:rFonts w:hint="eastAsia" w:ascii="仿宋" w:hAnsi="仿宋" w:eastAsia="仿宋" w:cs="仿宋"/>
                <w:b/>
                <w:bCs/>
                <w:i w:val="0"/>
                <w:iCs w:val="0"/>
                <w:color w:val="auto"/>
                <w:kern w:val="0"/>
                <w:sz w:val="24"/>
                <w:szCs w:val="24"/>
                <w:highlight w:val="none"/>
                <w:u w:val="none"/>
                <w:lang w:val="en-US" w:eastAsia="zh-CN" w:bidi="ar"/>
                <w14:ligatures w14:val="none"/>
              </w:rPr>
              <w:t>已共享目录数、累计被申请数、接口被调用数据等，</w:t>
            </w:r>
            <w:r>
              <w:rPr>
                <w:rFonts w:hint="eastAsia" w:ascii="仿宋" w:hAnsi="仿宋" w:eastAsia="仿宋" w:cs="仿宋"/>
                <w:b w:val="0"/>
                <w:bCs w:val="0"/>
                <w:i w:val="0"/>
                <w:iCs w:val="0"/>
                <w:color w:val="auto"/>
                <w:kern w:val="0"/>
                <w:sz w:val="24"/>
                <w:szCs w:val="24"/>
                <w:highlight w:val="none"/>
                <w:u w:val="none"/>
                <w:lang w:val="en-US" w:eastAsia="zh-CN" w:bidi="ar"/>
                <w14:ligatures w14:val="none"/>
              </w:rPr>
              <w:t>实现跨区域、跨层级的对接能力。全部满足得3分</w:t>
            </w:r>
            <w:r>
              <w:rPr>
                <w:rFonts w:hint="eastAsia" w:ascii="仿宋" w:hAnsi="仿宋" w:eastAsia="仿宋" w:cs="仿宋"/>
                <w:i w:val="0"/>
                <w:iCs w:val="0"/>
                <w:color w:val="auto"/>
                <w:kern w:val="0"/>
                <w:sz w:val="24"/>
                <w:szCs w:val="24"/>
                <w:highlight w:val="none"/>
                <w:u w:val="none"/>
                <w:lang w:val="en-US" w:eastAsia="zh-CN" w:bidi="ar"/>
                <w14:ligatures w14:val="none"/>
              </w:rPr>
              <w:t>，每缺少一项或演示内容达不到要求的扣1分。</w:t>
            </w:r>
            <w:r>
              <w:rPr>
                <w:rFonts w:hint="eastAsia" w:ascii="仿宋" w:hAnsi="仿宋" w:eastAsia="仿宋" w:cs="仿宋"/>
                <w:i w:val="0"/>
                <w:iCs w:val="0"/>
                <w:color w:val="auto"/>
                <w:kern w:val="0"/>
                <w:sz w:val="24"/>
                <w:szCs w:val="24"/>
                <w:highlight w:val="none"/>
                <w:u w:val="none"/>
                <w:lang w:val="en-US" w:eastAsia="zh-CN" w:bidi="ar"/>
                <w14:ligatures w14:val="none"/>
              </w:rPr>
              <w:br w:type="textWrapping"/>
            </w:r>
            <w:r>
              <w:rPr>
                <w:rFonts w:hint="eastAsia" w:ascii="仿宋" w:hAnsi="仿宋" w:eastAsia="仿宋" w:cs="仿宋"/>
                <w:i w:val="0"/>
                <w:iCs w:val="0"/>
                <w:color w:val="auto"/>
                <w:kern w:val="0"/>
                <w:sz w:val="24"/>
                <w:szCs w:val="24"/>
                <w:highlight w:val="none"/>
                <w:u w:val="none"/>
                <w:lang w:val="en-US" w:eastAsia="zh-CN" w:bidi="ar"/>
                <w14:ligatures w14:val="none"/>
              </w:rPr>
              <w:t>5、</w:t>
            </w:r>
            <w:r>
              <w:rPr>
                <w:rFonts w:hint="eastAsia" w:ascii="仿宋" w:hAnsi="仿宋" w:eastAsia="仿宋" w:cs="仿宋"/>
                <w:b/>
                <w:bCs/>
                <w:i w:val="0"/>
                <w:iCs w:val="0"/>
                <w:color w:val="auto"/>
                <w:kern w:val="0"/>
                <w:sz w:val="24"/>
                <w:szCs w:val="24"/>
                <w:highlight w:val="none"/>
                <w:u w:val="none"/>
                <w:lang w:val="en-US" w:eastAsia="zh-CN" w:bidi="ar"/>
                <w14:ligatures w14:val="none"/>
              </w:rPr>
              <w:t>数据治理能力演示。</w:t>
            </w:r>
            <w:r>
              <w:rPr>
                <w:rFonts w:hint="eastAsia" w:ascii="仿宋" w:hAnsi="仿宋" w:eastAsia="仿宋" w:cs="仿宋"/>
                <w:i w:val="0"/>
                <w:iCs w:val="0"/>
                <w:color w:val="auto"/>
                <w:kern w:val="0"/>
                <w:sz w:val="24"/>
                <w:szCs w:val="24"/>
                <w:highlight w:val="none"/>
                <w:u w:val="none"/>
                <w:lang w:val="en-US" w:eastAsia="zh-CN" w:bidi="ar"/>
                <w14:ligatures w14:val="none"/>
              </w:rPr>
              <w:t>演示数据治理运营平台：</w:t>
            </w:r>
            <w:r>
              <w:rPr>
                <w:rFonts w:hint="eastAsia" w:ascii="仿宋" w:hAnsi="仿宋" w:eastAsia="仿宋" w:cs="仿宋"/>
                <w:b/>
                <w:bCs/>
                <w:i w:val="0"/>
                <w:iCs w:val="0"/>
                <w:color w:val="auto"/>
                <w:kern w:val="0"/>
                <w:sz w:val="24"/>
                <w:szCs w:val="24"/>
                <w:highlight w:val="none"/>
                <w:u w:val="none"/>
                <w:lang w:val="en-US" w:eastAsia="zh-CN" w:bidi="ar"/>
                <w14:ligatures w14:val="none"/>
              </w:rPr>
              <w:t>支持数据标准创建导入、数据质量管理、问题数据处理、数据血缘功能。</w:t>
            </w:r>
            <w:r>
              <w:rPr>
                <w:rFonts w:hint="eastAsia" w:ascii="仿宋" w:hAnsi="仿宋" w:eastAsia="仿宋" w:cs="仿宋"/>
                <w:i w:val="0"/>
                <w:iCs w:val="0"/>
                <w:color w:val="auto"/>
                <w:kern w:val="0"/>
                <w:sz w:val="24"/>
                <w:szCs w:val="24"/>
                <w:highlight w:val="none"/>
                <w:u w:val="none"/>
                <w:lang w:val="en-US" w:eastAsia="zh-CN" w:bidi="ar"/>
                <w14:ligatures w14:val="none"/>
              </w:rPr>
              <w:t>全部满足得4分，每缺少一项或演示内容达不到要求的扣1分。</w:t>
            </w:r>
          </w:p>
        </w:tc>
      </w:tr>
      <w:tr w14:paraId="7810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E0F5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D755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实施方案</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88D2">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w:t>
            </w:r>
          </w:p>
        </w:tc>
        <w:tc>
          <w:tcPr>
            <w:tcW w:w="6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B704">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投标人针对本项目提供的实施方案进行评分：</w:t>
            </w:r>
            <w:r>
              <w:rPr>
                <w:rFonts w:hint="eastAsia" w:ascii="仿宋" w:hAnsi="仿宋" w:eastAsia="仿宋" w:cs="仿宋"/>
                <w:i w:val="0"/>
                <w:iCs w:val="0"/>
                <w:color w:val="auto"/>
                <w:kern w:val="0"/>
                <w:sz w:val="24"/>
                <w:szCs w:val="24"/>
                <w:highlight w:val="none"/>
                <w:u w:val="none"/>
                <w:lang w:val="en-US" w:eastAsia="zh-CN" w:bidi="ar"/>
                <w14:ligatures w14:val="none"/>
              </w:rPr>
              <w:br w:type="textWrapping"/>
            </w:r>
            <w:r>
              <w:rPr>
                <w:rFonts w:hint="eastAsia" w:ascii="仿宋" w:hAnsi="仿宋" w:eastAsia="仿宋" w:cs="仿宋"/>
                <w:i w:val="0"/>
                <w:iCs w:val="0"/>
                <w:color w:val="auto"/>
                <w:kern w:val="0"/>
                <w:sz w:val="24"/>
                <w:szCs w:val="24"/>
                <w:highlight w:val="none"/>
                <w:u w:val="none"/>
                <w:lang w:val="en-US" w:eastAsia="zh-CN" w:bidi="ar"/>
                <w14:ligatures w14:val="none"/>
              </w:rPr>
              <w:t>实施方案包括但不限于：①进度计划及人员配置、②安装调试测试、③验收方案、④质量保障方案等内容，方案内容完整齐全，符合项目实际需求的得2分；每有一处缺陷的扣0.5分，不提供不得分。 (缺陷是指:存在不适用该项目实际情况的情形、凭空编造、内容前后不一致、前后逻辑错误、涉及的规范及标准错误、地点区域错误、内容缺失、不符合采购需求的任意一项)</w:t>
            </w:r>
          </w:p>
        </w:tc>
      </w:tr>
      <w:tr w14:paraId="0CD4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55C49">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C403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培训方案</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1A6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2</w:t>
            </w:r>
          </w:p>
        </w:tc>
        <w:tc>
          <w:tcPr>
            <w:tcW w:w="6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F02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根据投标人提供的项目培训方案进行评分：</w:t>
            </w:r>
            <w:r>
              <w:rPr>
                <w:rFonts w:hint="eastAsia" w:ascii="仿宋" w:hAnsi="仿宋" w:eastAsia="仿宋" w:cs="仿宋"/>
                <w:i w:val="0"/>
                <w:iCs w:val="0"/>
                <w:color w:val="auto"/>
                <w:kern w:val="0"/>
                <w:sz w:val="24"/>
                <w:szCs w:val="24"/>
                <w:highlight w:val="none"/>
                <w:u w:val="none"/>
                <w:lang w:val="en-US" w:eastAsia="zh-CN" w:bidi="ar"/>
                <w14:ligatures w14:val="none"/>
              </w:rPr>
              <w:br w:type="textWrapping"/>
            </w:r>
            <w:r>
              <w:rPr>
                <w:rFonts w:hint="eastAsia" w:ascii="仿宋" w:hAnsi="仿宋" w:eastAsia="仿宋" w:cs="仿宋"/>
                <w:i w:val="0"/>
                <w:iCs w:val="0"/>
                <w:color w:val="auto"/>
                <w:kern w:val="0"/>
                <w:sz w:val="24"/>
                <w:szCs w:val="24"/>
                <w:highlight w:val="none"/>
                <w:u w:val="none"/>
                <w:lang w:val="en-US" w:eastAsia="zh-CN" w:bidi="ar"/>
                <w14:ligatures w14:val="none"/>
              </w:rPr>
              <w:t>项目培训方案包括但不限于①培训内容、②培训方式、③培训计划、④培训人员配置等内容，方案内容完整齐全，符合项目实际需求的得2分；每有一处缺陷的扣0.5分，不提供不得分。 (缺陷是指:存在不适用该项目实际情况的情形、凭空编造、内容前后不一致、前后逻辑错误、涉及的规范及标准错误、地点区域错误、内容缺失、不符合采购需求的任意一项)</w:t>
            </w:r>
          </w:p>
        </w:tc>
      </w:tr>
      <w:tr w14:paraId="0D9A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1ECD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A8CD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售后服务方案</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A6E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2</w:t>
            </w:r>
          </w:p>
        </w:tc>
        <w:tc>
          <w:tcPr>
            <w:tcW w:w="6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6D5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根据投标人提供的售后服务方案进行评分：</w:t>
            </w:r>
            <w:r>
              <w:rPr>
                <w:rFonts w:hint="eastAsia" w:ascii="仿宋" w:hAnsi="仿宋" w:eastAsia="仿宋" w:cs="仿宋"/>
                <w:i w:val="0"/>
                <w:iCs w:val="0"/>
                <w:color w:val="auto"/>
                <w:kern w:val="0"/>
                <w:sz w:val="24"/>
                <w:szCs w:val="24"/>
                <w:highlight w:val="none"/>
                <w:u w:val="none"/>
                <w:lang w:val="en-US" w:eastAsia="zh-CN" w:bidi="ar"/>
                <w14:ligatures w14:val="none"/>
              </w:rPr>
              <w:br w:type="textWrapping"/>
            </w:r>
            <w:r>
              <w:rPr>
                <w:rFonts w:hint="eastAsia" w:ascii="仿宋" w:hAnsi="仿宋" w:eastAsia="仿宋" w:cs="仿宋"/>
                <w:i w:val="0"/>
                <w:iCs w:val="0"/>
                <w:color w:val="auto"/>
                <w:kern w:val="0"/>
                <w:sz w:val="24"/>
                <w:szCs w:val="24"/>
                <w:highlight w:val="none"/>
                <w:u w:val="none"/>
                <w:lang w:val="en-US" w:eastAsia="zh-CN" w:bidi="ar"/>
                <w14:ligatures w14:val="none"/>
              </w:rPr>
              <w:t>项目售后服务方案包括但不限于①售后服务承诺、授权函、②服务响应方案、③故障响应措施、④质保外服务措施等内容，方案内容完整齐全，符合项目实际的得2分；每有一处缺陷的扣0.5分，售后服务方案及相关产品厂商授权函、服务承诺书未提供或提供不完整的不得分。 (缺陷是指:存在不适用该项目实际情况的情形、凭空编造、内容前后不一致、前后逻辑错误、涉及的规范及标准错误、地点区域错误、内容缺失、不符合采购需求的任意一项)。</w:t>
            </w:r>
          </w:p>
        </w:tc>
      </w:tr>
    </w:tbl>
    <w:p w14:paraId="21B51BC9">
      <w:pPr>
        <w:pStyle w:val="29"/>
        <w:spacing w:line="360" w:lineRule="auto"/>
        <w:ind w:firstLine="480" w:firstLineChars="200"/>
        <w:rPr>
          <w:rFonts w:hint="eastAsia" w:ascii="仿宋" w:hAnsi="仿宋" w:eastAsia="仿宋" w:cs="仿宋"/>
          <w:color w:val="auto"/>
          <w:spacing w:val="0"/>
          <w:sz w:val="24"/>
          <w:szCs w:val="20"/>
          <w:highlight w:val="none"/>
        </w:rPr>
      </w:pPr>
      <w:r>
        <w:rPr>
          <w:rFonts w:hint="eastAsia" w:ascii="仿宋" w:hAnsi="仿宋" w:eastAsia="仿宋" w:cs="仿宋"/>
          <w:color w:val="auto"/>
          <w:spacing w:val="0"/>
          <w:sz w:val="24"/>
          <w:szCs w:val="20"/>
          <w:highlight w:val="none"/>
        </w:rPr>
        <w:t xml:space="preserve">  </w:t>
      </w:r>
    </w:p>
    <w:p w14:paraId="3278F4C9">
      <w:pPr>
        <w:rPr>
          <w:rFonts w:hint="eastAsia" w:ascii="仿宋" w:hAnsi="仿宋" w:eastAsia="仿宋" w:cs="仿宋"/>
          <w:b/>
          <w:bCs w:val="0"/>
          <w:color w:val="auto"/>
          <w:spacing w:val="0"/>
          <w:kern w:val="2"/>
          <w:sz w:val="24"/>
          <w:szCs w:val="24"/>
          <w:highlight w:val="none"/>
          <w:lang w:bidi="ar"/>
        </w:rPr>
      </w:pPr>
      <w:r>
        <w:rPr>
          <w:rFonts w:hint="eastAsia" w:ascii="仿宋" w:hAnsi="仿宋" w:eastAsia="仿宋" w:cs="仿宋"/>
          <w:b/>
          <w:bCs w:val="0"/>
          <w:color w:val="auto"/>
          <w:sz w:val="24"/>
          <w:szCs w:val="24"/>
          <w:highlight w:val="none"/>
        </w:rPr>
        <w:t>备注：</w:t>
      </w:r>
      <w:r>
        <w:rPr>
          <w:rFonts w:hint="eastAsia" w:ascii="仿宋" w:hAnsi="仿宋" w:eastAsia="仿宋" w:cs="仿宋"/>
          <w:b/>
          <w:bCs w:val="0"/>
          <w:color w:val="auto"/>
          <w:spacing w:val="0"/>
          <w:kern w:val="2"/>
          <w:sz w:val="24"/>
          <w:szCs w:val="24"/>
          <w:highlight w:val="none"/>
          <w:lang w:bidi="ar"/>
        </w:rPr>
        <w:t>详细评审中应考虑下列因素：</w:t>
      </w:r>
    </w:p>
    <w:p w14:paraId="68B4DAA5">
      <w:pPr>
        <w:pStyle w:val="29"/>
        <w:spacing w:line="360" w:lineRule="auto"/>
        <w:ind w:firstLine="480" w:firstLineChars="200"/>
        <w:rPr>
          <w:rFonts w:hint="eastAsia"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14:paraId="4D0C044B">
      <w:pPr>
        <w:pStyle w:val="29"/>
        <w:spacing w:line="360" w:lineRule="auto"/>
        <w:ind w:firstLine="480" w:firstLineChars="200"/>
        <w:rPr>
          <w:rFonts w:hint="eastAsia"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2.  根据《政府采购促进中小企业</w:t>
      </w:r>
      <w:r>
        <w:rPr>
          <w:rFonts w:hint="eastAsia" w:ascii="仿宋" w:hAnsi="仿宋" w:eastAsia="仿宋" w:cs="仿宋"/>
          <w:color w:val="auto"/>
          <w:highlight w:val="none"/>
        </w:rPr>
        <w:t>发展管理办法</w:t>
      </w:r>
      <w:r>
        <w:rPr>
          <w:rFonts w:hint="eastAsia" w:ascii="仿宋" w:hAnsi="仿宋" w:eastAsia="仿宋" w:cs="仿宋"/>
          <w:bCs w:val="0"/>
          <w:color w:val="auto"/>
          <w:spacing w:val="0"/>
          <w:kern w:val="2"/>
          <w:sz w:val="24"/>
          <w:szCs w:val="24"/>
          <w:highlight w:val="none"/>
          <w:lang w:bidi="ar"/>
        </w:rPr>
        <w:t>》</w:t>
      </w:r>
      <w:r>
        <w:rPr>
          <w:rFonts w:hint="eastAsia" w:ascii="仿宋" w:hAnsi="仿宋" w:eastAsia="仿宋" w:cs="仿宋"/>
          <w:color w:val="auto"/>
          <w:highlight w:val="none"/>
        </w:rPr>
        <w:t>（财库﹝2020﹞46 号）</w:t>
      </w:r>
      <w:r>
        <w:rPr>
          <w:rFonts w:hint="eastAsia" w:ascii="仿宋" w:hAnsi="仿宋" w:eastAsia="仿宋" w:cs="仿宋"/>
          <w:bCs w:val="0"/>
          <w:color w:val="auto"/>
          <w:spacing w:val="0"/>
          <w:kern w:val="2"/>
          <w:sz w:val="24"/>
          <w:szCs w:val="24"/>
          <w:highlight w:val="none"/>
          <w:lang w:bidi="ar"/>
        </w:rPr>
        <w:t>、《财政部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bCs w:val="0"/>
          <w:color w:val="auto"/>
          <w:spacing w:val="0"/>
          <w:kern w:val="2"/>
          <w:sz w:val="24"/>
          <w:szCs w:val="24"/>
          <w:highlight w:val="none"/>
          <w:u w:val="single"/>
          <w:lang w:bidi="ar"/>
        </w:rPr>
        <w:t xml:space="preserve"> 10 % </w:t>
      </w:r>
      <w:r>
        <w:rPr>
          <w:rFonts w:hint="eastAsia" w:ascii="仿宋" w:hAnsi="仿宋" w:eastAsia="仿宋" w:cs="仿宋"/>
          <w:bCs w:val="0"/>
          <w:color w:val="auto"/>
          <w:spacing w:val="0"/>
          <w:kern w:val="2"/>
          <w:sz w:val="24"/>
          <w:szCs w:val="24"/>
          <w:highlight w:val="none"/>
          <w:lang w:bidi="ar"/>
        </w:rPr>
        <w:t>后参与评审。对于同时属于小微企业、监狱企业或残疾人福利性单位的，不重复进行投标报价扣除。</w:t>
      </w:r>
    </w:p>
    <w:p w14:paraId="030028E0">
      <w:pPr>
        <w:pStyle w:val="29"/>
        <w:spacing w:line="360" w:lineRule="auto"/>
        <w:ind w:firstLine="480" w:firstLineChars="200"/>
        <w:rPr>
          <w:rFonts w:hint="eastAsia"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3.  联合协议中约定，小型、微型企业和监狱企业的协议合同金额占到联合体协议合同总金额30%以上的，可给予联合体</w:t>
      </w:r>
      <w:r>
        <w:rPr>
          <w:rFonts w:hint="eastAsia" w:ascii="仿宋" w:hAnsi="仿宋" w:eastAsia="仿宋" w:cs="仿宋"/>
          <w:bCs w:val="0"/>
          <w:color w:val="auto"/>
          <w:spacing w:val="0"/>
          <w:kern w:val="2"/>
          <w:sz w:val="24"/>
          <w:szCs w:val="24"/>
          <w:highlight w:val="none"/>
          <w:u w:val="single"/>
          <w:lang w:bidi="ar"/>
        </w:rPr>
        <w:t xml:space="preserve"> 4 %</w:t>
      </w:r>
      <w:r>
        <w:rPr>
          <w:rFonts w:hint="eastAsia" w:ascii="仿宋" w:hAnsi="仿宋" w:eastAsia="仿宋" w:cs="仿宋"/>
          <w:bCs w:val="0"/>
          <w:color w:val="auto"/>
          <w:spacing w:val="0"/>
          <w:kern w:val="2"/>
          <w:sz w:val="24"/>
          <w:szCs w:val="24"/>
          <w:highlight w:val="none"/>
          <w:lang w:bidi="ar"/>
        </w:rPr>
        <w:t xml:space="preserve"> 的价格扣除。联合体各方均为小型、微型企业和监狱企业的，联合体视同为小型、微型企业和监狱企业。（本项目不使用）</w:t>
      </w:r>
    </w:p>
    <w:p w14:paraId="4DDC2A03">
      <w:pPr>
        <w:pStyle w:val="29"/>
        <w:spacing w:line="360" w:lineRule="auto"/>
        <w:ind w:firstLine="480" w:firstLineChars="200"/>
        <w:rPr>
          <w:rFonts w:hint="eastAsia" w:ascii="仿宋" w:hAnsi="仿宋" w:eastAsia="仿宋" w:cs="仿宋"/>
          <w:bCs w:val="0"/>
          <w:color w:val="auto"/>
          <w:spacing w:val="0"/>
          <w:kern w:val="2"/>
          <w:sz w:val="24"/>
          <w:szCs w:val="24"/>
          <w:highlight w:val="none"/>
          <w:u w:val="single"/>
          <w:lang w:bidi="ar"/>
        </w:rPr>
      </w:pPr>
      <w:r>
        <w:rPr>
          <w:rFonts w:hint="eastAsia" w:ascii="仿宋" w:hAnsi="仿宋" w:eastAsia="仿宋" w:cs="仿宋"/>
          <w:bCs w:val="0"/>
          <w:color w:val="auto"/>
          <w:spacing w:val="0"/>
          <w:kern w:val="2"/>
          <w:sz w:val="24"/>
          <w:szCs w:val="24"/>
          <w:highlight w:val="none"/>
          <w:lang w:bidi="ar"/>
        </w:rPr>
        <w:t>4.  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Cs w:val="0"/>
          <w:color w:val="auto"/>
          <w:spacing w:val="0"/>
          <w:kern w:val="2"/>
          <w:sz w:val="24"/>
          <w:szCs w:val="24"/>
          <w:highlight w:val="none"/>
          <w:u w:val="single"/>
          <w:lang w:bidi="ar"/>
        </w:rPr>
        <w:t>采购人采购产品属于节能产品、环境标志产品品目清单范围内，且投标人所投产品具有节能产品、环境标志产品认证证书，在评标时予以优先采购，具体优惠措施为：在技术部分打分项中加1分。</w:t>
      </w:r>
    </w:p>
    <w:p w14:paraId="795D8DD8">
      <w:pPr>
        <w:pStyle w:val="29"/>
        <w:spacing w:line="360" w:lineRule="auto"/>
        <w:ind w:firstLine="520" w:firstLineChars="200"/>
        <w:rPr>
          <w:rFonts w:hint="eastAsia"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z w:val="24"/>
          <w:szCs w:val="24"/>
          <w:highlight w:val="none"/>
          <w:lang w:bidi="ar"/>
        </w:rPr>
        <w:t>投标人所投产品列入无线局域网产品清单，应提供相关证明，在评标时予以优先采购，具体优惠措施为：</w:t>
      </w:r>
      <w:r>
        <w:rPr>
          <w:rFonts w:hint="eastAsia" w:ascii="仿宋" w:hAnsi="仿宋" w:eastAsia="仿宋" w:cs="仿宋"/>
          <w:bCs w:val="0"/>
          <w:color w:val="auto"/>
          <w:sz w:val="24"/>
          <w:szCs w:val="24"/>
          <w:highlight w:val="none"/>
          <w:u w:val="single"/>
          <w:lang w:bidi="ar"/>
        </w:rPr>
        <w:t>在技术部分打分项中加0.5分 。</w:t>
      </w:r>
    </w:p>
    <w:p w14:paraId="7AB568B5">
      <w:pPr>
        <w:pStyle w:val="29"/>
        <w:spacing w:line="360" w:lineRule="auto"/>
        <w:ind w:firstLine="480" w:firstLineChars="200"/>
        <w:rPr>
          <w:rFonts w:hint="eastAsia"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color w:val="auto"/>
          <w:spacing w:val="0"/>
          <w:kern w:val="2"/>
          <w:sz w:val="24"/>
          <w:szCs w:val="24"/>
          <w:highlight w:val="none"/>
          <w:lang w:bidi="ar"/>
        </w:rPr>
        <w:t>无效投标</w:t>
      </w:r>
      <w:r>
        <w:rPr>
          <w:rFonts w:hint="eastAsia" w:ascii="仿宋" w:hAnsi="仿宋" w:eastAsia="仿宋" w:cs="仿宋"/>
          <w:bCs w:val="0"/>
          <w:color w:val="auto"/>
          <w:spacing w:val="0"/>
          <w:kern w:val="2"/>
          <w:sz w:val="24"/>
          <w:szCs w:val="24"/>
          <w:highlight w:val="none"/>
          <w:lang w:bidi="ar"/>
        </w:rPr>
        <w:t>被拒绝。</w:t>
      </w:r>
    </w:p>
    <w:p w14:paraId="2A276B8A">
      <w:pPr>
        <w:pStyle w:val="29"/>
        <w:adjustRightInd w:val="0"/>
        <w:snapToGrid w:val="0"/>
        <w:spacing w:line="360" w:lineRule="auto"/>
        <w:ind w:firstLine="480" w:firstLineChars="200"/>
        <w:jc w:val="both"/>
        <w:rPr>
          <w:rFonts w:hint="eastAsia" w:ascii="仿宋" w:hAnsi="仿宋" w:eastAsia="仿宋" w:cs="仿宋"/>
          <w:bCs w:val="0"/>
          <w:color w:val="auto"/>
          <w:sz w:val="24"/>
          <w:szCs w:val="24"/>
          <w:highlight w:val="none"/>
          <w:lang w:bidi="ar"/>
        </w:rPr>
      </w:pPr>
      <w:r>
        <w:rPr>
          <w:rFonts w:hint="eastAsia" w:ascii="仿宋" w:hAnsi="仿宋" w:eastAsia="仿宋" w:cs="仿宋"/>
          <w:bCs w:val="0"/>
          <w:color w:val="auto"/>
          <w:spacing w:val="0"/>
          <w:kern w:val="2"/>
          <w:sz w:val="24"/>
          <w:szCs w:val="24"/>
          <w:highlight w:val="none"/>
          <w:lang w:bidi="ar"/>
        </w:rPr>
        <w:t xml:space="preserve">5. </w:t>
      </w:r>
      <w:r>
        <w:rPr>
          <w:rFonts w:hint="eastAsia" w:ascii="仿宋" w:hAnsi="仿宋" w:eastAsia="仿宋" w:cs="仿宋"/>
          <w:bCs w:val="0"/>
          <w:color w:val="auto"/>
          <w:sz w:val="24"/>
          <w:szCs w:val="24"/>
          <w:highlight w:val="none"/>
          <w:lang w:bidi="ar"/>
        </w:rPr>
        <w:t xml:space="preserve">根据《关于运用政府采购政策支持脱贫攻坚的通知》（财库〔2019〕27 </w:t>
      </w:r>
    </w:p>
    <w:p w14:paraId="2E74025D">
      <w:pPr>
        <w:pStyle w:val="29"/>
        <w:adjustRightInd w:val="0"/>
        <w:snapToGrid w:val="0"/>
        <w:spacing w:line="360" w:lineRule="auto"/>
        <w:ind w:firstLine="520" w:firstLineChars="200"/>
        <w:jc w:val="both"/>
        <w:rPr>
          <w:rFonts w:hint="eastAsia" w:ascii="仿宋" w:hAnsi="仿宋" w:eastAsia="仿宋" w:cs="仿宋"/>
          <w:bCs w:val="0"/>
          <w:color w:val="auto"/>
          <w:sz w:val="24"/>
          <w:szCs w:val="24"/>
          <w:highlight w:val="none"/>
          <w:lang w:bidi="ar"/>
        </w:rPr>
      </w:pPr>
      <w:r>
        <w:rPr>
          <w:rFonts w:hint="eastAsia" w:ascii="仿宋" w:hAnsi="仿宋" w:eastAsia="仿宋" w:cs="仿宋"/>
          <w:bCs w:val="0"/>
          <w:color w:val="auto"/>
          <w:sz w:val="24"/>
          <w:szCs w:val="24"/>
          <w:highlight w:val="none"/>
          <w:lang w:bidi="ar"/>
        </w:rPr>
        <w:t>号）的规定，采购人采购农副产品的，对产地在国家级贫困地区的农副产品的优先采购措施：</w:t>
      </w:r>
      <w:r>
        <w:rPr>
          <w:rFonts w:hint="eastAsia" w:ascii="仿宋" w:hAnsi="仿宋" w:eastAsia="仿宋" w:cs="仿宋"/>
          <w:bCs w:val="0"/>
          <w:color w:val="auto"/>
          <w:sz w:val="24"/>
          <w:szCs w:val="24"/>
          <w:highlight w:val="none"/>
          <w:u w:val="single"/>
          <w:lang w:bidi="ar"/>
        </w:rPr>
        <w:t xml:space="preserve">  /   </w:t>
      </w:r>
      <w:r>
        <w:rPr>
          <w:rFonts w:hint="eastAsia" w:ascii="仿宋" w:hAnsi="仿宋" w:eastAsia="仿宋" w:cs="仿宋"/>
          <w:bCs w:val="0"/>
          <w:color w:val="auto"/>
          <w:sz w:val="24"/>
          <w:szCs w:val="24"/>
          <w:highlight w:val="none"/>
          <w:lang w:bidi="ar"/>
        </w:rPr>
        <w:t xml:space="preserve">。 </w:t>
      </w:r>
    </w:p>
    <w:p w14:paraId="5BF66981">
      <w:pPr>
        <w:pStyle w:val="29"/>
        <w:spacing w:line="360" w:lineRule="auto"/>
        <w:ind w:firstLine="480" w:firstLineChars="200"/>
        <w:rPr>
          <w:rFonts w:hint="eastAsia"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 xml:space="preserve">6.中标候选人并列式时的处理方式：   </w:t>
      </w:r>
    </w:p>
    <w:p w14:paraId="43BE581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如采用最低评标办法，则：由评标委员会随机抽取的方式确定；</w:t>
      </w:r>
    </w:p>
    <w:p w14:paraId="53ECF195">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如采用综合评标法，则：综合评审得分相同的,投标报价最低优先，如报价相同则技术部分得分最高优先，投标报价相同且技术部分得分也相同的，由评标委员会现场采取随机抽取方式确定。</w:t>
      </w:r>
    </w:p>
    <w:p w14:paraId="54C44922">
      <w:pPr>
        <w:spacing w:before="55"/>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lang w:val="en-US"/>
        </w:rPr>
        <w:t xml:space="preserve">  </w:t>
      </w:r>
    </w:p>
    <w:p w14:paraId="360F526F">
      <w:pPr>
        <w:pStyle w:val="31"/>
        <w:tabs>
          <w:tab w:val="left" w:pos="1660"/>
        </w:tabs>
        <w:spacing w:before="0"/>
        <w:ind w:left="0" w:firstLine="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rPr>
        <w:t xml:space="preserve">25. </w:t>
      </w:r>
      <w:r>
        <w:rPr>
          <w:rFonts w:hint="eastAsia" w:ascii="仿宋" w:hAnsi="仿宋" w:eastAsia="仿宋" w:cs="仿宋"/>
          <w:b/>
          <w:color w:val="auto"/>
          <w:sz w:val="24"/>
          <w:highlight w:val="none"/>
        </w:rPr>
        <w:t>推荐拟中标候选人</w:t>
      </w:r>
    </w:p>
    <w:p w14:paraId="069EE327">
      <w:pPr>
        <w:pStyle w:val="31"/>
        <w:tabs>
          <w:tab w:val="left" w:pos="1720"/>
        </w:tabs>
        <w:spacing w:before="161" w:line="364" w:lineRule="auto"/>
        <w:ind w:left="0" w:firstLine="499" w:firstLineChars="208"/>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25.1 </w:t>
      </w:r>
      <w:r>
        <w:rPr>
          <w:rFonts w:hint="eastAsia" w:ascii="仿宋" w:hAnsi="仿宋" w:eastAsia="仿宋" w:cs="仿宋"/>
          <w:color w:val="auto"/>
          <w:sz w:val="24"/>
          <w:highlight w:val="none"/>
        </w:rPr>
        <w:t>由评标委员会集体按照经署名确认的汇总得分排序顺序，推荐拟中标候选人。</w:t>
      </w:r>
    </w:p>
    <w:p w14:paraId="4827422E">
      <w:pPr>
        <w:pStyle w:val="31"/>
        <w:tabs>
          <w:tab w:val="left" w:pos="1778"/>
        </w:tabs>
        <w:ind w:left="0"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25.2 推荐拟中标候选人数量应当根据采购需要确定，应当限定在一至三人，并标明排列顺序。排序第一位的为推荐的第一拟成交供应商。</w:t>
      </w:r>
    </w:p>
    <w:p w14:paraId="63D9D9D7">
      <w:pPr>
        <w:pStyle w:val="31"/>
        <w:tabs>
          <w:tab w:val="left" w:pos="1778"/>
        </w:tabs>
        <w:spacing w:before="160" w:line="364" w:lineRule="auto"/>
        <w:ind w:left="0" w:firstLine="499" w:firstLineChars="20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25.3 投标人最低投标报价不是唯一中标条件。对资格资质审查和符合性审查合格的投标报价文件完整无缺、最大限度的满足采购文件需求的投标人，中标机会均等。</w:t>
      </w:r>
    </w:p>
    <w:p w14:paraId="3D71D12C">
      <w:pPr>
        <w:pStyle w:val="31"/>
        <w:tabs>
          <w:tab w:val="left" w:pos="1778"/>
        </w:tabs>
        <w:spacing w:before="2" w:line="364" w:lineRule="auto"/>
        <w:ind w:left="0" w:firstLine="499" w:firstLineChars="20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25.4 </w:t>
      </w:r>
      <w:r>
        <w:rPr>
          <w:rFonts w:hint="eastAsia" w:ascii="仿宋" w:hAnsi="仿宋" w:eastAsia="仿宋" w:cs="仿宋"/>
          <w:color w:val="auto"/>
          <w:sz w:val="24"/>
          <w:highlight w:val="none"/>
        </w:rPr>
        <w:t>如汇总得分排序后出现推荐拟中标候选人得分相同的，评标委员会只对取得得分前三位供应商，按照其报价由低到高顺序排列；得分且其报价相等的，则按核心技术指标优劣顺序排列。价格、技术指标的高低或优劣由评标委员会集体进行综合确认评定。排序在前三位之后的，按原排序不变，允许排序并列。</w:t>
      </w:r>
    </w:p>
    <w:p w14:paraId="2B8B91AE">
      <w:pPr>
        <w:pStyle w:val="31"/>
        <w:tabs>
          <w:tab w:val="left" w:pos="1720"/>
        </w:tabs>
        <w:spacing w:before="3" w:line="364" w:lineRule="auto"/>
        <w:ind w:left="0" w:firstLine="439" w:firstLineChars="18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25.5 </w:t>
      </w:r>
      <w:r>
        <w:rPr>
          <w:rFonts w:hint="eastAsia" w:ascii="仿宋" w:hAnsi="仿宋" w:eastAsia="仿宋" w:cs="仿宋"/>
          <w:color w:val="auto"/>
          <w:sz w:val="24"/>
          <w:highlight w:val="none"/>
        </w:rPr>
        <w:t>由采购人对未推荐拟中标候选人、确认废标的，进行核对汇总后，由评标委员会各成员签署确认。</w:t>
      </w:r>
    </w:p>
    <w:p w14:paraId="3AF940AA">
      <w:pPr>
        <w:pStyle w:val="31"/>
        <w:tabs>
          <w:tab w:val="left" w:pos="1660"/>
        </w:tabs>
        <w:spacing w:before="0"/>
        <w:ind w:left="0" w:firstLine="0"/>
        <w:rPr>
          <w:rFonts w:hint="eastAsia" w:ascii="仿宋" w:hAnsi="仿宋" w:eastAsia="仿宋" w:cs="仿宋"/>
          <w:color w:val="auto"/>
          <w:highlight w:val="none"/>
        </w:rPr>
      </w:pPr>
      <w:r>
        <w:rPr>
          <w:rFonts w:hint="eastAsia" w:ascii="仿宋" w:hAnsi="仿宋" w:eastAsia="仿宋" w:cs="仿宋"/>
          <w:b/>
          <w:color w:val="auto"/>
          <w:sz w:val="24"/>
          <w:highlight w:val="none"/>
          <w:lang w:val="en-US"/>
        </w:rPr>
        <w:t xml:space="preserve">26. </w:t>
      </w:r>
      <w:r>
        <w:rPr>
          <w:rFonts w:hint="eastAsia" w:ascii="仿宋" w:hAnsi="仿宋" w:eastAsia="仿宋" w:cs="仿宋"/>
          <w:color w:val="auto"/>
          <w:highlight w:val="none"/>
        </w:rPr>
        <w:t>编写评标报告</w:t>
      </w:r>
    </w:p>
    <w:p w14:paraId="25D7C00C">
      <w:pPr>
        <w:pStyle w:val="31"/>
        <w:tabs>
          <w:tab w:val="left" w:pos="1720"/>
        </w:tabs>
        <w:spacing w:before="160" w:line="364" w:lineRule="auto"/>
        <w:ind w:left="0" w:firstLine="499" w:firstLineChars="20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26.1 </w:t>
      </w:r>
      <w:r>
        <w:rPr>
          <w:rFonts w:hint="eastAsia" w:ascii="仿宋" w:hAnsi="仿宋" w:eastAsia="仿宋" w:cs="仿宋"/>
          <w:color w:val="auto"/>
          <w:sz w:val="24"/>
          <w:highlight w:val="none"/>
        </w:rPr>
        <w:t>评标委员会根据全体成员签字的评标（评审）原始记录和结果，编写评标报告，并现场提交给采购人。编写的评标报告要符合采购文件的要求。</w:t>
      </w:r>
    </w:p>
    <w:p w14:paraId="2682374A">
      <w:pPr>
        <w:pStyle w:val="31"/>
        <w:tabs>
          <w:tab w:val="left" w:pos="1660"/>
        </w:tabs>
        <w:spacing w:before="0"/>
        <w:ind w:left="0" w:firstLine="0"/>
        <w:rPr>
          <w:rFonts w:hint="eastAsia" w:ascii="仿宋" w:hAnsi="仿宋" w:eastAsia="仿宋" w:cs="仿宋"/>
          <w:color w:val="auto"/>
          <w:highlight w:val="none"/>
        </w:rPr>
      </w:pPr>
      <w:r>
        <w:rPr>
          <w:rFonts w:hint="eastAsia" w:ascii="仿宋" w:hAnsi="仿宋" w:eastAsia="仿宋" w:cs="仿宋"/>
          <w:b/>
          <w:color w:val="auto"/>
          <w:sz w:val="24"/>
          <w:highlight w:val="none"/>
          <w:lang w:val="en-US"/>
        </w:rPr>
        <w:t xml:space="preserve">27. </w:t>
      </w:r>
      <w:r>
        <w:rPr>
          <w:rFonts w:hint="eastAsia" w:ascii="仿宋" w:hAnsi="仿宋" w:eastAsia="仿宋" w:cs="仿宋"/>
          <w:color w:val="auto"/>
          <w:highlight w:val="none"/>
        </w:rPr>
        <w:t>评标结束</w:t>
      </w:r>
    </w:p>
    <w:p w14:paraId="240898AE">
      <w:pPr>
        <w:pStyle w:val="31"/>
        <w:tabs>
          <w:tab w:val="left" w:pos="1720"/>
        </w:tabs>
        <w:spacing w:before="161" w:line="364" w:lineRule="auto"/>
        <w:ind w:left="0" w:firstLine="499" w:firstLineChars="20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27.1 </w:t>
      </w:r>
      <w:r>
        <w:rPr>
          <w:rFonts w:hint="eastAsia" w:ascii="仿宋" w:hAnsi="仿宋" w:eastAsia="仿宋" w:cs="仿宋"/>
          <w:color w:val="auto"/>
          <w:sz w:val="24"/>
          <w:highlight w:val="none"/>
        </w:rPr>
        <w:t>采购人应按规定时间，通知</w:t>
      </w:r>
      <w:r>
        <w:rPr>
          <w:rFonts w:hint="eastAsia" w:ascii="仿宋" w:hAnsi="仿宋" w:eastAsia="仿宋" w:cs="仿宋"/>
          <w:color w:val="auto"/>
          <w:sz w:val="24"/>
          <w:highlight w:val="none"/>
          <w:lang w:val="en-US"/>
        </w:rPr>
        <w:t>各</w:t>
      </w:r>
      <w:r>
        <w:rPr>
          <w:rFonts w:hint="eastAsia" w:ascii="仿宋" w:hAnsi="仿宋" w:eastAsia="仿宋" w:cs="仿宋"/>
          <w:color w:val="auto"/>
          <w:sz w:val="24"/>
          <w:highlight w:val="none"/>
        </w:rPr>
        <w:t>有效投标人</w:t>
      </w:r>
      <w:r>
        <w:rPr>
          <w:rFonts w:hint="eastAsia" w:ascii="仿宋" w:hAnsi="仿宋" w:eastAsia="仿宋" w:cs="仿宋"/>
          <w:color w:val="auto"/>
          <w:sz w:val="24"/>
          <w:highlight w:val="none"/>
          <w:lang w:val="en-US"/>
        </w:rPr>
        <w:t>开始进入定标议程</w:t>
      </w:r>
      <w:r>
        <w:rPr>
          <w:rFonts w:hint="eastAsia" w:ascii="仿宋" w:hAnsi="仿宋" w:eastAsia="仿宋" w:cs="仿宋"/>
          <w:color w:val="auto"/>
          <w:sz w:val="24"/>
          <w:highlight w:val="none"/>
        </w:rPr>
        <w:t>，宣布本次评标委员会推荐的第一中标候选人名单。</w:t>
      </w:r>
    </w:p>
    <w:p w14:paraId="175FDD8F">
      <w:pPr>
        <w:pStyle w:val="31"/>
        <w:tabs>
          <w:tab w:val="left" w:pos="1778"/>
        </w:tabs>
        <w:ind w:left="0" w:firstLine="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27.2</w:t>
      </w:r>
      <w:r>
        <w:rPr>
          <w:rFonts w:hint="eastAsia" w:ascii="仿宋" w:hAnsi="仿宋" w:eastAsia="仿宋" w:cs="仿宋"/>
          <w:color w:val="auto"/>
          <w:sz w:val="24"/>
          <w:highlight w:val="none"/>
        </w:rPr>
        <w:t xml:space="preserve"> 评审小组各成员名单不公开。</w:t>
      </w:r>
    </w:p>
    <w:p w14:paraId="2D07A51E">
      <w:pPr>
        <w:pStyle w:val="31"/>
        <w:tabs>
          <w:tab w:val="left" w:pos="1778"/>
        </w:tabs>
        <w:spacing w:before="161" w:line="364" w:lineRule="auto"/>
        <w:ind w:left="0" w:firstLine="499" w:firstLineChars="20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27.3 </w:t>
      </w:r>
      <w:r>
        <w:rPr>
          <w:rFonts w:hint="eastAsia" w:ascii="仿宋" w:hAnsi="仿宋" w:eastAsia="仿宋" w:cs="仿宋"/>
          <w:color w:val="auto"/>
          <w:sz w:val="24"/>
          <w:highlight w:val="none"/>
        </w:rPr>
        <w:t>由采购人宣读有关招标信息公告、中标确认原则及质疑（投诉）事项等说明。</w:t>
      </w:r>
    </w:p>
    <w:p w14:paraId="6E14C58C">
      <w:pPr>
        <w:pStyle w:val="31"/>
        <w:tabs>
          <w:tab w:val="left" w:pos="1778"/>
        </w:tabs>
        <w:spacing w:line="364" w:lineRule="auto"/>
        <w:ind w:left="0" w:firstLine="499" w:firstLineChars="20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 xml:space="preserve">27.4 </w:t>
      </w:r>
      <w:r>
        <w:rPr>
          <w:rFonts w:hint="eastAsia" w:ascii="仿宋" w:hAnsi="仿宋" w:eastAsia="仿宋" w:cs="仿宋"/>
          <w:color w:val="auto"/>
          <w:sz w:val="24"/>
          <w:highlight w:val="none"/>
        </w:rPr>
        <w:t>在宣布会议结束后，采购人均有义务告知所有投标人办理投标保证金的退付手续。</w:t>
      </w:r>
    </w:p>
    <w:p w14:paraId="1FE28C59">
      <w:pPr>
        <w:pStyle w:val="10"/>
        <w:spacing w:line="364" w:lineRule="auto"/>
        <w:ind w:left="0" w:firstLine="480"/>
        <w:jc w:val="both"/>
        <w:rPr>
          <w:rFonts w:hint="eastAsia" w:ascii="仿宋" w:hAnsi="仿宋" w:eastAsia="仿宋" w:cs="仿宋"/>
          <w:color w:val="auto"/>
          <w:highlight w:val="none"/>
        </w:rPr>
      </w:pPr>
      <w:r>
        <w:rPr>
          <w:rFonts w:hint="eastAsia" w:ascii="仿宋" w:hAnsi="仿宋" w:eastAsia="仿宋" w:cs="仿宋"/>
          <w:color w:val="auto"/>
          <w:highlight w:val="none"/>
        </w:rPr>
        <w:t>27.5</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rPr>
        <w:t>评标和定标一般应当在开标后 7 个工作日内完成，项目金额较大、技术较为复杂等特殊项目的评标工作应当在 30 个工作日内完成。不能在开标后 30 个工作日内完成评标和定标的，招标人应当提前 3 天通知所有投标人延长投标有效期。同意延长投标有效期的投标人应当相应延长其投标保证金的有效期，但不得修改其投标文件的实质性内容。</w:t>
      </w:r>
    </w:p>
    <w:p w14:paraId="4B203923">
      <w:pPr>
        <w:pStyle w:val="4"/>
        <w:tabs>
          <w:tab w:val="left" w:pos="1766"/>
        </w:tabs>
        <w:spacing w:before="118"/>
        <w:ind w:right="0"/>
        <w:rPr>
          <w:rFonts w:hint="eastAsia" w:ascii="仿宋" w:hAnsi="仿宋" w:eastAsia="仿宋" w:cs="仿宋"/>
          <w:color w:val="auto"/>
          <w:highlight w:val="none"/>
        </w:rPr>
      </w:pPr>
      <w:r>
        <w:rPr>
          <w:rFonts w:hint="eastAsia" w:ascii="仿宋" w:hAnsi="仿宋" w:eastAsia="仿宋" w:cs="仿宋"/>
          <w:color w:val="auto"/>
          <w:highlight w:val="none"/>
        </w:rPr>
        <w:t>第三章 定</w:t>
      </w:r>
      <w:r>
        <w:rPr>
          <w:rFonts w:hint="eastAsia" w:ascii="仿宋" w:hAnsi="仿宋" w:eastAsia="仿宋" w:cs="仿宋"/>
          <w:color w:val="auto"/>
          <w:highlight w:val="none"/>
        </w:rPr>
        <w:tab/>
      </w:r>
      <w:r>
        <w:rPr>
          <w:rFonts w:hint="eastAsia" w:ascii="仿宋" w:hAnsi="仿宋" w:eastAsia="仿宋" w:cs="仿宋"/>
          <w:color w:val="auto"/>
          <w:highlight w:val="none"/>
        </w:rPr>
        <w:t>标</w:t>
      </w:r>
    </w:p>
    <w:p w14:paraId="38254B0C">
      <w:pPr>
        <w:pStyle w:val="31"/>
        <w:tabs>
          <w:tab w:val="left" w:pos="1660"/>
        </w:tabs>
        <w:spacing w:before="0"/>
        <w:ind w:left="0" w:firstLine="0"/>
        <w:rPr>
          <w:rFonts w:hint="eastAsia" w:ascii="仿宋" w:hAnsi="仿宋" w:eastAsia="仿宋" w:cs="仿宋"/>
          <w:color w:val="auto"/>
          <w:highlight w:val="none"/>
        </w:rPr>
      </w:pPr>
      <w:r>
        <w:rPr>
          <w:rFonts w:hint="eastAsia" w:ascii="仿宋" w:hAnsi="仿宋" w:eastAsia="仿宋" w:cs="仿宋"/>
          <w:b/>
          <w:color w:val="auto"/>
          <w:sz w:val="24"/>
          <w:highlight w:val="none"/>
          <w:lang w:val="en-US"/>
        </w:rPr>
        <w:t xml:space="preserve">28. </w:t>
      </w:r>
      <w:r>
        <w:rPr>
          <w:rFonts w:hint="eastAsia" w:ascii="仿宋" w:hAnsi="仿宋" w:eastAsia="仿宋" w:cs="仿宋"/>
          <w:color w:val="auto"/>
          <w:highlight w:val="none"/>
        </w:rPr>
        <w:t>定标标准</w:t>
      </w:r>
    </w:p>
    <w:p w14:paraId="57E3FC55">
      <w:pPr>
        <w:pStyle w:val="31"/>
        <w:tabs>
          <w:tab w:val="left" w:pos="1718"/>
        </w:tabs>
        <w:spacing w:before="160" w:line="364" w:lineRule="auto"/>
        <w:ind w:left="0" w:firstLine="440" w:firstLineChars="200"/>
        <w:jc w:val="both"/>
        <w:rPr>
          <w:rFonts w:hint="eastAsia" w:ascii="仿宋" w:hAnsi="仿宋" w:eastAsia="仿宋" w:cs="仿宋"/>
          <w:color w:val="auto"/>
          <w:sz w:val="24"/>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rPr>
        <w:t>8</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1 </w:t>
      </w:r>
      <w:r>
        <w:rPr>
          <w:rFonts w:hint="eastAsia" w:ascii="仿宋" w:hAnsi="仿宋" w:eastAsia="仿宋" w:cs="仿宋"/>
          <w:color w:val="auto"/>
          <w:sz w:val="24"/>
          <w:highlight w:val="none"/>
        </w:rPr>
        <w:t>采购人应在评标结束后2个工作日内，以书面形式向采购人发出《中标人确认函》，采购人在收到后5个工作日内，应按照评标报告确定的中标候选人名单中的顺序确认中标人。</w:t>
      </w:r>
    </w:p>
    <w:p w14:paraId="053AF74E">
      <w:pPr>
        <w:pStyle w:val="31"/>
        <w:tabs>
          <w:tab w:val="left" w:pos="1720"/>
        </w:tabs>
        <w:spacing w:before="2" w:line="364" w:lineRule="auto"/>
        <w:ind w:left="0" w:firstLine="440" w:firstLineChars="200"/>
        <w:jc w:val="both"/>
        <w:rPr>
          <w:rFonts w:hint="eastAsia" w:ascii="仿宋" w:hAnsi="仿宋" w:eastAsia="仿宋" w:cs="仿宋"/>
          <w:color w:val="auto"/>
          <w:sz w:val="24"/>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rPr>
        <w:t>8</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2 </w:t>
      </w:r>
      <w:r>
        <w:rPr>
          <w:rFonts w:hint="eastAsia" w:ascii="仿宋" w:hAnsi="仿宋" w:eastAsia="仿宋" w:cs="仿宋"/>
          <w:color w:val="auto"/>
          <w:sz w:val="24"/>
          <w:highlight w:val="none"/>
        </w:rPr>
        <w:t>中标人因不可抗力或者自身原因不能履行合同的，采购人可以与排位在中标人之后第一位的中标候选人签订合同，以此类推。</w:t>
      </w:r>
    </w:p>
    <w:p w14:paraId="67DC0590">
      <w:pPr>
        <w:pStyle w:val="31"/>
        <w:tabs>
          <w:tab w:val="left" w:pos="1958"/>
        </w:tabs>
        <w:ind w:left="0" w:firstLine="0"/>
        <w:jc w:val="both"/>
        <w:rPr>
          <w:rFonts w:hint="eastAsia" w:ascii="仿宋" w:hAnsi="仿宋" w:eastAsia="仿宋" w:cs="仿宋"/>
          <w:color w:val="auto"/>
          <w:sz w:val="24"/>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rPr>
        <w:t>8</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3 </w:t>
      </w:r>
      <w:r>
        <w:rPr>
          <w:rFonts w:hint="eastAsia" w:ascii="仿宋" w:hAnsi="仿宋" w:eastAsia="仿宋" w:cs="仿宋"/>
          <w:color w:val="auto"/>
          <w:sz w:val="24"/>
          <w:highlight w:val="none"/>
        </w:rPr>
        <w:t>最低投标价不一定是被授予合同的保证。</w:t>
      </w:r>
    </w:p>
    <w:p w14:paraId="4D223857">
      <w:pPr>
        <w:pStyle w:val="31"/>
        <w:tabs>
          <w:tab w:val="left" w:pos="1960"/>
        </w:tabs>
        <w:spacing w:before="161" w:line="364" w:lineRule="auto"/>
        <w:ind w:left="0" w:firstLine="440" w:firstLineChars="200"/>
        <w:jc w:val="both"/>
        <w:rPr>
          <w:rFonts w:hint="eastAsia" w:ascii="仿宋" w:hAnsi="仿宋" w:eastAsia="仿宋" w:cs="仿宋"/>
          <w:color w:val="auto"/>
          <w:sz w:val="24"/>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rPr>
        <w:t>8</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4 </w:t>
      </w:r>
      <w:r>
        <w:rPr>
          <w:rFonts w:hint="eastAsia" w:ascii="仿宋" w:hAnsi="仿宋" w:eastAsia="仿宋" w:cs="仿宋"/>
          <w:color w:val="auto"/>
          <w:sz w:val="24"/>
          <w:highlight w:val="none"/>
        </w:rPr>
        <w:t>合同将授予被确定为实质上响应采购文件要求，经评定认为具备履行合同义务能力、报价合理、技术和商务条件都符合采购文件要求的、对买方最为有利的投标人。</w:t>
      </w:r>
    </w:p>
    <w:p w14:paraId="4F9B0238">
      <w:pPr>
        <w:pStyle w:val="31"/>
        <w:tabs>
          <w:tab w:val="left" w:pos="1960"/>
        </w:tabs>
        <w:spacing w:before="2" w:line="364" w:lineRule="auto"/>
        <w:ind w:left="0" w:firstLine="440" w:firstLineChars="200"/>
        <w:jc w:val="both"/>
        <w:rPr>
          <w:rFonts w:hint="eastAsia" w:ascii="仿宋" w:hAnsi="仿宋" w:eastAsia="仿宋" w:cs="仿宋"/>
          <w:color w:val="auto"/>
          <w:sz w:val="24"/>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rPr>
        <w:t>8</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5 </w:t>
      </w:r>
      <w:r>
        <w:rPr>
          <w:rFonts w:hint="eastAsia" w:ascii="仿宋" w:hAnsi="仿宋" w:eastAsia="仿宋" w:cs="仿宋"/>
          <w:color w:val="auto"/>
          <w:sz w:val="24"/>
          <w:highlight w:val="none"/>
        </w:rPr>
        <w:t>如果采购人确定该中标人无条件圆满履行合同，应由采购人将对下一个可能成交的投标人资格做出类似的审查。</w:t>
      </w:r>
    </w:p>
    <w:p w14:paraId="14F6FE9E">
      <w:pPr>
        <w:pStyle w:val="31"/>
        <w:tabs>
          <w:tab w:val="left" w:pos="1660"/>
        </w:tabs>
        <w:spacing w:before="0"/>
        <w:ind w:left="0" w:firstLine="0"/>
        <w:rPr>
          <w:rFonts w:hint="eastAsia" w:ascii="仿宋" w:hAnsi="仿宋" w:eastAsia="仿宋" w:cs="仿宋"/>
          <w:color w:val="auto"/>
          <w:highlight w:val="none"/>
        </w:rPr>
      </w:pPr>
      <w:r>
        <w:rPr>
          <w:rFonts w:hint="eastAsia" w:ascii="仿宋" w:hAnsi="仿宋" w:eastAsia="仿宋" w:cs="仿宋"/>
          <w:b/>
          <w:color w:val="auto"/>
          <w:sz w:val="24"/>
          <w:highlight w:val="none"/>
          <w:lang w:val="en-US"/>
        </w:rPr>
        <w:t>29</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rPr>
        <w:t>接受和拒绝任何或所有投标的权力</w:t>
      </w:r>
    </w:p>
    <w:p w14:paraId="221629C7">
      <w:pPr>
        <w:pStyle w:val="31"/>
        <w:tabs>
          <w:tab w:val="left" w:pos="1713"/>
        </w:tabs>
        <w:spacing w:before="160" w:line="364" w:lineRule="auto"/>
        <w:ind w:left="0" w:firstLine="440" w:firstLineChars="200"/>
        <w:rPr>
          <w:rFonts w:hint="eastAsia" w:ascii="仿宋" w:hAnsi="仿宋" w:eastAsia="仿宋" w:cs="仿宋"/>
          <w:color w:val="auto"/>
          <w:sz w:val="24"/>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rPr>
        <w:t>9</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1 </w:t>
      </w:r>
      <w:r>
        <w:rPr>
          <w:rFonts w:hint="eastAsia" w:ascii="仿宋" w:hAnsi="仿宋" w:eastAsia="仿宋" w:cs="仿宋"/>
          <w:color w:val="auto"/>
          <w:sz w:val="24"/>
          <w:highlight w:val="none"/>
        </w:rPr>
        <w:t>为维护国家利益，评标委员会在授予合同之前仍有选择或拒绝任何投标的权力。</w:t>
      </w:r>
    </w:p>
    <w:p w14:paraId="4AE73FA2">
      <w:pPr>
        <w:pStyle w:val="31"/>
        <w:tabs>
          <w:tab w:val="left" w:pos="1660"/>
        </w:tabs>
        <w:spacing w:before="0"/>
        <w:ind w:left="0" w:firstLine="0"/>
        <w:rPr>
          <w:rFonts w:hint="eastAsia" w:ascii="仿宋" w:hAnsi="仿宋" w:eastAsia="仿宋" w:cs="仿宋"/>
          <w:color w:val="auto"/>
          <w:highlight w:val="none"/>
        </w:rPr>
      </w:pPr>
      <w:r>
        <w:rPr>
          <w:rFonts w:hint="eastAsia" w:ascii="仿宋" w:hAnsi="仿宋" w:eastAsia="仿宋" w:cs="仿宋"/>
          <w:color w:val="auto"/>
          <w:highlight w:val="none"/>
          <w:lang w:val="en-US"/>
        </w:rPr>
        <w:t>30</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rPr>
        <w:t>中标通知书</w:t>
      </w:r>
    </w:p>
    <w:p w14:paraId="19E9ACA2">
      <w:pPr>
        <w:pStyle w:val="31"/>
        <w:tabs>
          <w:tab w:val="left" w:pos="1713"/>
        </w:tabs>
        <w:spacing w:before="160" w:line="364" w:lineRule="auto"/>
        <w:ind w:left="0" w:firstLine="440" w:firstLineChars="200"/>
        <w:jc w:val="both"/>
        <w:rPr>
          <w:rFonts w:hint="eastAsia" w:ascii="仿宋" w:hAnsi="仿宋" w:eastAsia="仿宋" w:cs="仿宋"/>
          <w:color w:val="auto"/>
          <w:sz w:val="24"/>
          <w:highlight w:val="none"/>
        </w:rPr>
      </w:pPr>
      <w:r>
        <w:rPr>
          <w:rFonts w:hint="eastAsia" w:ascii="仿宋" w:hAnsi="仿宋" w:eastAsia="仿宋" w:cs="仿宋"/>
          <w:color w:val="auto"/>
          <w:highlight w:val="none"/>
          <w:lang w:val="en-US"/>
        </w:rPr>
        <w:t>30</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1 </w:t>
      </w:r>
      <w:r>
        <w:rPr>
          <w:rFonts w:hint="eastAsia" w:ascii="仿宋" w:hAnsi="仿宋" w:eastAsia="仿宋" w:cs="仿宋"/>
          <w:color w:val="auto"/>
          <w:sz w:val="24"/>
          <w:highlight w:val="none"/>
        </w:rPr>
        <w:t>中标人确定后，采购人应当将中标结果在省级以上财政部门指定的信息发布媒体上公告1个工作日，在公告中标结果的同时，采购人向中标人发出《中标通知书》 。</w:t>
      </w:r>
    </w:p>
    <w:p w14:paraId="4D39E1FB">
      <w:pPr>
        <w:pStyle w:val="31"/>
        <w:tabs>
          <w:tab w:val="left" w:pos="1960"/>
        </w:tabs>
        <w:spacing w:before="2" w:line="364" w:lineRule="auto"/>
        <w:ind w:left="0" w:firstLine="440" w:firstLineChars="200"/>
        <w:jc w:val="both"/>
        <w:rPr>
          <w:rFonts w:hint="eastAsia" w:ascii="仿宋" w:hAnsi="仿宋" w:eastAsia="仿宋" w:cs="仿宋"/>
          <w:color w:val="auto"/>
          <w:sz w:val="24"/>
          <w:highlight w:val="none"/>
        </w:rPr>
      </w:pPr>
      <w:r>
        <w:rPr>
          <w:rFonts w:hint="eastAsia" w:ascii="仿宋" w:hAnsi="仿宋" w:eastAsia="仿宋" w:cs="仿宋"/>
          <w:color w:val="auto"/>
          <w:highlight w:val="none"/>
          <w:lang w:val="en-US"/>
        </w:rPr>
        <w:t>30</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1.1 </w:t>
      </w:r>
      <w:r>
        <w:rPr>
          <w:rFonts w:hint="eastAsia" w:ascii="仿宋" w:hAnsi="仿宋" w:eastAsia="仿宋" w:cs="仿宋"/>
          <w:color w:val="auto"/>
          <w:sz w:val="24"/>
          <w:highlight w:val="none"/>
        </w:rPr>
        <w:t>投标人对中标公告有异议的，应当在中标公告发布之日起七个工作日内，以书面形式向采购人提出质疑。采购人应当在收到投标人书面质疑后七个工作日内，对质疑内容作出答复。质疑供应商对答复不满意或者采购人未在规定时间内答复的，可以在答复期满后十五个工作日内按有关规定，向同级人民政府财政部门投诉。</w:t>
      </w:r>
    </w:p>
    <w:p w14:paraId="65897C5A">
      <w:pPr>
        <w:pStyle w:val="31"/>
        <w:tabs>
          <w:tab w:val="left" w:pos="1948"/>
        </w:tabs>
        <w:spacing w:before="3" w:line="364" w:lineRule="auto"/>
        <w:ind w:left="0" w:firstLine="440" w:firstLineChars="200"/>
        <w:jc w:val="both"/>
        <w:rPr>
          <w:rFonts w:hint="eastAsia" w:ascii="仿宋" w:hAnsi="仿宋" w:eastAsia="仿宋" w:cs="仿宋"/>
          <w:color w:val="auto"/>
          <w:sz w:val="24"/>
          <w:highlight w:val="none"/>
        </w:rPr>
      </w:pPr>
      <w:r>
        <w:rPr>
          <w:rFonts w:hint="eastAsia" w:ascii="仿宋" w:hAnsi="仿宋" w:eastAsia="仿宋" w:cs="仿宋"/>
          <w:color w:val="auto"/>
          <w:highlight w:val="none"/>
          <w:lang w:val="en-US"/>
        </w:rPr>
        <w:t>30</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1.2 </w:t>
      </w:r>
      <w:r>
        <w:rPr>
          <w:rFonts w:hint="eastAsia" w:ascii="仿宋" w:hAnsi="仿宋" w:eastAsia="仿宋" w:cs="仿宋"/>
          <w:color w:val="auto"/>
          <w:sz w:val="24"/>
          <w:highlight w:val="none"/>
        </w:rPr>
        <w:t>采购人在收到《中标人确认函》5个工作日内，如不按规定确认中标人，应在规定的5个工作日期限内，以书面方式回函提出异议，经过财政监管部门同意后，由采购人直接向中标首选供应商发出《中标通知书》。如逾期既不确认也不回函提出异议的，则视同采购人认可评标委员会推荐的中标首选结</w:t>
      </w:r>
      <w:r>
        <w:rPr>
          <w:rFonts w:hint="eastAsia" w:ascii="仿宋" w:hAnsi="仿宋" w:eastAsia="仿宋" w:cs="仿宋"/>
          <w:color w:val="auto"/>
          <w:highlight w:val="none"/>
        </w:rPr>
        <w:t>果，</w:t>
      </w:r>
      <w:r>
        <w:rPr>
          <w:rFonts w:hint="eastAsia" w:ascii="仿宋" w:hAnsi="仿宋" w:eastAsia="仿宋" w:cs="仿宋"/>
          <w:color w:val="auto"/>
          <w:sz w:val="24"/>
          <w:highlight w:val="none"/>
        </w:rPr>
        <w:t>由采购人直接向拟中标首选供应商发出《中标通知书》。一经发出即发生法律效力。</w:t>
      </w:r>
    </w:p>
    <w:p w14:paraId="25BCCF33">
      <w:pPr>
        <w:pStyle w:val="31"/>
        <w:tabs>
          <w:tab w:val="left" w:pos="1958"/>
        </w:tabs>
        <w:spacing w:line="364" w:lineRule="auto"/>
        <w:ind w:left="0" w:firstLine="440" w:firstLineChars="200"/>
        <w:rPr>
          <w:rFonts w:hint="eastAsia" w:ascii="仿宋" w:hAnsi="仿宋" w:eastAsia="仿宋" w:cs="仿宋"/>
          <w:color w:val="auto"/>
          <w:sz w:val="24"/>
          <w:highlight w:val="none"/>
        </w:rPr>
      </w:pPr>
      <w:r>
        <w:rPr>
          <w:rFonts w:hint="eastAsia" w:ascii="仿宋" w:hAnsi="仿宋" w:eastAsia="仿宋" w:cs="仿宋"/>
          <w:color w:val="auto"/>
          <w:highlight w:val="none"/>
          <w:lang w:val="en-US"/>
        </w:rPr>
        <w:t>30</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1.3 </w:t>
      </w:r>
      <w:r>
        <w:rPr>
          <w:rFonts w:hint="eastAsia" w:ascii="仿宋" w:hAnsi="仿宋" w:eastAsia="仿宋" w:cs="仿宋"/>
          <w:color w:val="auto"/>
          <w:sz w:val="24"/>
          <w:highlight w:val="none"/>
        </w:rPr>
        <w:t>中标人领取《中标通知书》</w:t>
      </w:r>
      <w:r>
        <w:rPr>
          <w:rFonts w:hint="eastAsia" w:ascii="仿宋" w:hAnsi="仿宋" w:eastAsia="仿宋" w:cs="仿宋"/>
          <w:color w:val="auto"/>
          <w:sz w:val="24"/>
          <w:highlight w:val="none"/>
          <w:lang w:val="en-US"/>
        </w:rPr>
        <w:t>后</w:t>
      </w:r>
      <w:r>
        <w:rPr>
          <w:rFonts w:hint="eastAsia" w:ascii="仿宋" w:hAnsi="仿宋" w:eastAsia="仿宋" w:cs="仿宋"/>
          <w:color w:val="auto"/>
          <w:sz w:val="24"/>
          <w:highlight w:val="none"/>
        </w:rPr>
        <w:t>，须向采购人提交合同履约保证金，拒绝提交的，视为放弃成交项目。</w:t>
      </w:r>
    </w:p>
    <w:p w14:paraId="01F9FDAD">
      <w:pPr>
        <w:pStyle w:val="31"/>
        <w:tabs>
          <w:tab w:val="left" w:pos="2200"/>
        </w:tabs>
        <w:spacing w:line="364" w:lineRule="auto"/>
        <w:ind w:left="0" w:firstLine="440" w:firstLineChars="200"/>
        <w:rPr>
          <w:rFonts w:hint="eastAsia" w:ascii="仿宋" w:hAnsi="仿宋" w:eastAsia="仿宋" w:cs="仿宋"/>
          <w:color w:val="auto"/>
          <w:sz w:val="24"/>
          <w:highlight w:val="none"/>
        </w:rPr>
      </w:pPr>
      <w:r>
        <w:rPr>
          <w:rFonts w:hint="eastAsia" w:ascii="仿宋" w:hAnsi="仿宋" w:eastAsia="仿宋" w:cs="仿宋"/>
          <w:color w:val="auto"/>
          <w:highlight w:val="none"/>
          <w:lang w:val="en-US"/>
        </w:rPr>
        <w:t>30</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1.3.1 </w:t>
      </w:r>
      <w:r>
        <w:rPr>
          <w:rFonts w:hint="eastAsia" w:ascii="仿宋" w:hAnsi="仿宋" w:eastAsia="仿宋" w:cs="仿宋"/>
          <w:color w:val="auto"/>
          <w:sz w:val="24"/>
          <w:highlight w:val="none"/>
        </w:rPr>
        <w:t>合同履约保证金与投标保证金同等额。待合同执行期满、货物验收合格及办理货款结算时，由采购人无息退还。</w:t>
      </w:r>
    </w:p>
    <w:p w14:paraId="388055BB">
      <w:pPr>
        <w:pStyle w:val="31"/>
        <w:tabs>
          <w:tab w:val="left" w:pos="2200"/>
        </w:tabs>
        <w:spacing w:line="364" w:lineRule="auto"/>
        <w:ind w:left="0" w:firstLine="440" w:firstLineChars="200"/>
        <w:rPr>
          <w:rFonts w:hint="eastAsia" w:ascii="仿宋" w:hAnsi="仿宋" w:eastAsia="仿宋" w:cs="仿宋"/>
          <w:color w:val="auto"/>
          <w:sz w:val="24"/>
          <w:highlight w:val="none"/>
        </w:rPr>
      </w:pPr>
      <w:r>
        <w:rPr>
          <w:rFonts w:hint="eastAsia" w:ascii="仿宋" w:hAnsi="仿宋" w:eastAsia="仿宋" w:cs="仿宋"/>
          <w:color w:val="auto"/>
          <w:highlight w:val="none"/>
          <w:lang w:val="en-US"/>
        </w:rPr>
        <w:t>30</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1.3.2 </w:t>
      </w:r>
      <w:r>
        <w:rPr>
          <w:rFonts w:hint="eastAsia" w:ascii="仿宋" w:hAnsi="仿宋" w:eastAsia="仿宋" w:cs="仿宋"/>
          <w:color w:val="auto"/>
          <w:sz w:val="24"/>
          <w:highlight w:val="none"/>
        </w:rPr>
        <w:t>合同履约保证金可采用银行汇票、银行保函等形式交纳，成交供应商须将履约保证金交到采购人指定帐户。指定账户与投标报价保证金同账户。</w:t>
      </w:r>
    </w:p>
    <w:p w14:paraId="6CD7D3F4">
      <w:pPr>
        <w:pStyle w:val="31"/>
        <w:tabs>
          <w:tab w:val="left" w:pos="2200"/>
        </w:tabs>
        <w:spacing w:before="2" w:line="364" w:lineRule="auto"/>
        <w:ind w:left="0" w:firstLine="440" w:firstLineChars="200"/>
        <w:rPr>
          <w:rFonts w:hint="eastAsia" w:ascii="仿宋" w:hAnsi="仿宋" w:eastAsia="仿宋" w:cs="仿宋"/>
          <w:color w:val="auto"/>
          <w:sz w:val="24"/>
          <w:highlight w:val="none"/>
        </w:rPr>
      </w:pPr>
      <w:r>
        <w:rPr>
          <w:rFonts w:hint="eastAsia" w:ascii="仿宋" w:hAnsi="仿宋" w:eastAsia="仿宋" w:cs="仿宋"/>
          <w:color w:val="auto"/>
          <w:highlight w:val="none"/>
          <w:lang w:val="en-US"/>
        </w:rPr>
        <w:t>30</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1.3.3 </w:t>
      </w:r>
      <w:r>
        <w:rPr>
          <w:rFonts w:hint="eastAsia" w:ascii="仿宋" w:hAnsi="仿宋" w:eastAsia="仿宋" w:cs="仿宋"/>
          <w:color w:val="auto"/>
          <w:sz w:val="24"/>
          <w:highlight w:val="none"/>
        </w:rPr>
        <w:t>中标人提交的合同履约保证金，其有效期限应不低于合同有效期。</w:t>
      </w:r>
    </w:p>
    <w:p w14:paraId="067E735A">
      <w:pPr>
        <w:pStyle w:val="31"/>
        <w:tabs>
          <w:tab w:val="left" w:pos="1838"/>
        </w:tabs>
        <w:spacing w:line="364" w:lineRule="auto"/>
        <w:ind w:left="0" w:firstLine="440" w:firstLineChars="200"/>
        <w:jc w:val="both"/>
        <w:rPr>
          <w:rFonts w:hint="eastAsia" w:ascii="仿宋" w:hAnsi="仿宋" w:eastAsia="仿宋" w:cs="仿宋"/>
          <w:color w:val="auto"/>
          <w:sz w:val="24"/>
          <w:highlight w:val="none"/>
        </w:rPr>
      </w:pPr>
      <w:r>
        <w:rPr>
          <w:rFonts w:hint="eastAsia" w:ascii="仿宋" w:hAnsi="仿宋" w:eastAsia="仿宋" w:cs="仿宋"/>
          <w:color w:val="auto"/>
          <w:highlight w:val="none"/>
          <w:lang w:val="en-US"/>
        </w:rPr>
        <w:t>30</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2 </w:t>
      </w:r>
      <w:r>
        <w:rPr>
          <w:rFonts w:hint="eastAsia" w:ascii="仿宋" w:hAnsi="仿宋" w:eastAsia="仿宋" w:cs="仿宋"/>
          <w:color w:val="auto"/>
          <w:sz w:val="24"/>
          <w:highlight w:val="none"/>
        </w:rPr>
        <w:t>在发布中标公告后，招标采购人应当向中标人发出中标通知书， 中标通知书对采购人和中标人具有同等法律效力。《中标通知书》发出后，采购人改变中标结果，或者中标人放弃成交，应当承担相应的法律责任。</w:t>
      </w:r>
    </w:p>
    <w:p w14:paraId="1094F56E">
      <w:pPr>
        <w:pStyle w:val="31"/>
        <w:tabs>
          <w:tab w:val="left" w:pos="1720"/>
        </w:tabs>
        <w:spacing w:before="2" w:line="364" w:lineRule="auto"/>
        <w:ind w:left="0" w:firstLine="440" w:firstLineChars="200"/>
        <w:jc w:val="both"/>
        <w:rPr>
          <w:rFonts w:hint="eastAsia" w:ascii="仿宋" w:hAnsi="仿宋" w:eastAsia="仿宋" w:cs="仿宋"/>
          <w:color w:val="auto"/>
          <w:sz w:val="24"/>
          <w:highlight w:val="none"/>
        </w:rPr>
      </w:pPr>
      <w:r>
        <w:rPr>
          <w:rFonts w:hint="eastAsia" w:ascii="仿宋" w:hAnsi="仿宋" w:eastAsia="仿宋" w:cs="仿宋"/>
          <w:color w:val="auto"/>
          <w:highlight w:val="none"/>
          <w:lang w:val="en-US"/>
        </w:rPr>
        <w:t>30</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3 </w:t>
      </w:r>
      <w:r>
        <w:rPr>
          <w:rFonts w:hint="eastAsia" w:ascii="仿宋" w:hAnsi="仿宋" w:eastAsia="仿宋" w:cs="仿宋"/>
          <w:color w:val="auto"/>
          <w:sz w:val="24"/>
          <w:highlight w:val="none"/>
        </w:rPr>
        <w:t>《中标通知书》要作为采购人、中标人签订的由采购人监章的合同的依据。</w:t>
      </w:r>
    </w:p>
    <w:p w14:paraId="1D60BB25">
      <w:pPr>
        <w:pStyle w:val="4"/>
        <w:ind w:right="0"/>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第四章 授予合同</w:t>
      </w:r>
    </w:p>
    <w:p w14:paraId="35A84CB4">
      <w:pPr>
        <w:pStyle w:val="31"/>
        <w:tabs>
          <w:tab w:val="left" w:pos="1660"/>
        </w:tabs>
        <w:spacing w:before="0"/>
        <w:ind w:left="0" w:firstLine="0"/>
        <w:rPr>
          <w:rFonts w:hint="eastAsia" w:ascii="仿宋" w:hAnsi="仿宋" w:eastAsia="仿宋" w:cs="仿宋"/>
          <w:color w:val="auto"/>
          <w:highlight w:val="none"/>
        </w:rPr>
      </w:pPr>
      <w:r>
        <w:rPr>
          <w:rFonts w:hint="eastAsia" w:ascii="仿宋" w:hAnsi="仿宋" w:eastAsia="仿宋" w:cs="仿宋"/>
          <w:color w:val="auto"/>
          <w:highlight w:val="none"/>
          <w:lang w:val="en-US"/>
        </w:rPr>
        <w:t>31.</w:t>
      </w:r>
      <w:r>
        <w:rPr>
          <w:rFonts w:hint="eastAsia" w:ascii="仿宋" w:hAnsi="仿宋" w:eastAsia="仿宋" w:cs="仿宋"/>
          <w:color w:val="auto"/>
          <w:highlight w:val="none"/>
        </w:rPr>
        <w:t>签订合同</w:t>
      </w:r>
    </w:p>
    <w:p w14:paraId="6461B168">
      <w:pPr>
        <w:pStyle w:val="31"/>
        <w:tabs>
          <w:tab w:val="left" w:pos="1713"/>
        </w:tabs>
        <w:spacing w:before="161" w:line="364" w:lineRule="auto"/>
        <w:ind w:left="0" w:firstLine="440" w:firstLineChars="200"/>
        <w:jc w:val="both"/>
        <w:rPr>
          <w:rFonts w:hint="eastAsia" w:ascii="仿宋" w:hAnsi="仿宋" w:eastAsia="仿宋" w:cs="仿宋"/>
          <w:color w:val="auto"/>
          <w:sz w:val="24"/>
          <w:highlight w:val="none"/>
        </w:rPr>
      </w:pPr>
      <w:r>
        <w:rPr>
          <w:rFonts w:hint="eastAsia" w:ascii="仿宋" w:hAnsi="仿宋" w:eastAsia="仿宋" w:cs="仿宋"/>
          <w:color w:val="auto"/>
          <w:highlight w:val="none"/>
          <w:lang w:val="en-US"/>
        </w:rPr>
        <w:t>31</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1 </w:t>
      </w:r>
      <w:r>
        <w:rPr>
          <w:rFonts w:hint="eastAsia" w:ascii="仿宋" w:hAnsi="仿宋" w:eastAsia="仿宋" w:cs="仿宋"/>
          <w:color w:val="auto"/>
          <w:sz w:val="24"/>
          <w:highlight w:val="none"/>
        </w:rPr>
        <w:t>中标人应当自《中标通知书》发出之日起30日内，按照采购文件的约定和中标方投标文件中的承诺与采购人签订书面合同，所签订的合同不得对采购文件和中标方的投标文件作实质性修改。</w:t>
      </w:r>
    </w:p>
    <w:p w14:paraId="1AD95F92">
      <w:pPr>
        <w:pStyle w:val="31"/>
        <w:tabs>
          <w:tab w:val="left" w:pos="1713"/>
        </w:tabs>
        <w:spacing w:before="2" w:line="364" w:lineRule="auto"/>
        <w:ind w:left="0" w:firstLine="440" w:firstLineChars="200"/>
        <w:jc w:val="both"/>
        <w:rPr>
          <w:rFonts w:hint="eastAsia" w:ascii="仿宋" w:hAnsi="仿宋" w:eastAsia="仿宋" w:cs="仿宋"/>
          <w:color w:val="auto"/>
          <w:sz w:val="24"/>
          <w:highlight w:val="none"/>
        </w:rPr>
      </w:pPr>
      <w:r>
        <w:rPr>
          <w:rFonts w:hint="eastAsia" w:ascii="仿宋" w:hAnsi="仿宋" w:eastAsia="仿宋" w:cs="仿宋"/>
          <w:color w:val="auto"/>
          <w:highlight w:val="none"/>
          <w:lang w:val="en-US"/>
        </w:rPr>
        <w:t>31</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2 </w:t>
      </w:r>
      <w:r>
        <w:rPr>
          <w:rFonts w:hint="eastAsia" w:ascii="仿宋" w:hAnsi="仿宋" w:eastAsia="仿宋" w:cs="仿宋"/>
          <w:color w:val="auto"/>
          <w:sz w:val="24"/>
          <w:highlight w:val="none"/>
        </w:rPr>
        <w:t>采购人不得向中标人提出任何不合理要求作为签订合同的条件， 不得与中标人私下订立背离合同实质性内容的协议。</w:t>
      </w:r>
    </w:p>
    <w:p w14:paraId="1CE98E74">
      <w:pPr>
        <w:pStyle w:val="31"/>
        <w:tabs>
          <w:tab w:val="left" w:pos="1708"/>
        </w:tabs>
        <w:ind w:left="0" w:firstLine="0"/>
        <w:jc w:val="both"/>
        <w:rPr>
          <w:rFonts w:hint="eastAsia" w:ascii="仿宋" w:hAnsi="仿宋" w:eastAsia="仿宋" w:cs="仿宋"/>
          <w:color w:val="auto"/>
          <w:sz w:val="24"/>
          <w:highlight w:val="none"/>
        </w:rPr>
      </w:pPr>
      <w:r>
        <w:rPr>
          <w:rFonts w:hint="eastAsia" w:ascii="仿宋" w:hAnsi="仿宋" w:eastAsia="仿宋" w:cs="仿宋"/>
          <w:color w:val="auto"/>
          <w:highlight w:val="none"/>
          <w:lang w:val="en-US"/>
        </w:rPr>
        <w:t>31</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3 </w:t>
      </w:r>
      <w:r>
        <w:rPr>
          <w:rFonts w:hint="eastAsia" w:ascii="仿宋" w:hAnsi="仿宋" w:eastAsia="仿宋" w:cs="仿宋"/>
          <w:color w:val="auto"/>
          <w:sz w:val="24"/>
          <w:highlight w:val="none"/>
        </w:rPr>
        <w:t>合同的双方当事人不得擅自变更、中止或者终止合同。</w:t>
      </w:r>
    </w:p>
    <w:p w14:paraId="1E8337A8">
      <w:pPr>
        <w:pStyle w:val="31"/>
        <w:tabs>
          <w:tab w:val="left" w:pos="1708"/>
        </w:tabs>
        <w:spacing w:before="160" w:line="364" w:lineRule="auto"/>
        <w:ind w:left="0" w:firstLine="440" w:firstLineChars="200"/>
        <w:rPr>
          <w:rFonts w:hint="eastAsia" w:ascii="仿宋" w:hAnsi="仿宋" w:eastAsia="仿宋" w:cs="仿宋"/>
          <w:color w:val="auto"/>
          <w:sz w:val="24"/>
          <w:highlight w:val="none"/>
          <w:lang w:val="en-US"/>
        </w:rPr>
      </w:pPr>
      <w:r>
        <w:rPr>
          <w:rFonts w:hint="eastAsia" w:ascii="仿宋" w:hAnsi="仿宋" w:eastAsia="仿宋" w:cs="仿宋"/>
          <w:color w:val="auto"/>
          <w:highlight w:val="none"/>
          <w:lang w:val="en-US"/>
        </w:rPr>
        <w:t>31</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4 </w:t>
      </w:r>
      <w:r>
        <w:rPr>
          <w:rFonts w:hint="eastAsia" w:ascii="仿宋" w:hAnsi="仿宋" w:eastAsia="仿宋" w:cs="仿宋"/>
          <w:color w:val="auto"/>
          <w:sz w:val="24"/>
          <w:highlight w:val="none"/>
        </w:rPr>
        <w:t>合同继续履行将损害国家利益和社会公共利益的，双方当事人应当变更、中止或者终止合同。有过错的一方承担赔偿责任，双方都有过错的，各自承担相应责任。</w:t>
      </w:r>
      <w:r>
        <w:rPr>
          <w:rFonts w:hint="eastAsia" w:ascii="仿宋" w:hAnsi="仿宋" w:eastAsia="仿宋" w:cs="仿宋"/>
          <w:color w:val="auto"/>
          <w:sz w:val="24"/>
          <w:highlight w:val="none"/>
          <w:lang w:val="en-US"/>
        </w:rPr>
        <w:t>合同履行中，采购人需追加与合同标的相同的货物、工程或者服务的， 在不改变其他条款的前提下，经采购人审查后，可以与供应商签订补充合同，补充合同须有采购人监章，但所有补充合同的采购金额不得超过原合同金额的10%。</w:t>
      </w:r>
    </w:p>
    <w:p w14:paraId="14AB2DB4">
      <w:pPr>
        <w:pStyle w:val="31"/>
        <w:tabs>
          <w:tab w:val="left" w:pos="1953"/>
        </w:tabs>
        <w:spacing w:before="160" w:line="364" w:lineRule="auto"/>
        <w:ind w:left="0" w:firstLine="442" w:firstLineChars="200"/>
        <w:jc w:val="both"/>
        <w:rPr>
          <w:rFonts w:hint="eastAsia" w:ascii="仿宋" w:hAnsi="仿宋" w:eastAsia="仿宋" w:cs="仿宋"/>
          <w:b/>
          <w:color w:val="auto"/>
          <w:sz w:val="24"/>
          <w:highlight w:val="none"/>
        </w:rPr>
      </w:pPr>
      <w:r>
        <w:rPr>
          <w:rFonts w:hint="eastAsia" w:ascii="仿宋" w:hAnsi="仿宋" w:eastAsia="仿宋" w:cs="仿宋"/>
          <w:b/>
          <w:color w:val="auto"/>
          <w:highlight w:val="none"/>
          <w:lang w:val="en-US"/>
        </w:rPr>
        <w:t>31</w:t>
      </w:r>
      <w:r>
        <w:rPr>
          <w:rFonts w:hint="eastAsia" w:ascii="仿宋" w:hAnsi="仿宋" w:eastAsia="仿宋" w:cs="仿宋"/>
          <w:b/>
          <w:color w:val="auto"/>
          <w:highlight w:val="none"/>
        </w:rPr>
        <w:t>.</w:t>
      </w:r>
      <w:r>
        <w:rPr>
          <w:rFonts w:hint="eastAsia" w:ascii="仿宋" w:hAnsi="仿宋" w:eastAsia="仿宋" w:cs="仿宋"/>
          <w:b/>
          <w:color w:val="auto"/>
          <w:highlight w:val="none"/>
          <w:lang w:val="en-US"/>
        </w:rPr>
        <w:t xml:space="preserve">4.1 </w:t>
      </w:r>
      <w:r>
        <w:rPr>
          <w:rFonts w:hint="eastAsia" w:ascii="仿宋" w:hAnsi="仿宋" w:eastAsia="仿宋" w:cs="仿宋"/>
          <w:b/>
          <w:color w:val="auto"/>
          <w:sz w:val="24"/>
          <w:highlight w:val="none"/>
        </w:rPr>
        <w:t>采购人在签订合同时，有权对采购文件中规定的货物和服务的数量在10%的幅度内予以增加或减少，并要在合同中增加条款进行说明。</w:t>
      </w:r>
    </w:p>
    <w:p w14:paraId="2CA057DE">
      <w:pPr>
        <w:pStyle w:val="31"/>
        <w:tabs>
          <w:tab w:val="left" w:pos="1713"/>
        </w:tabs>
        <w:spacing w:before="2" w:line="364" w:lineRule="auto"/>
        <w:ind w:left="0" w:firstLine="440" w:firstLineChars="200"/>
        <w:jc w:val="both"/>
        <w:rPr>
          <w:rFonts w:hint="eastAsia" w:ascii="仿宋" w:hAnsi="仿宋" w:eastAsia="仿宋" w:cs="仿宋"/>
          <w:color w:val="auto"/>
          <w:sz w:val="24"/>
          <w:highlight w:val="none"/>
        </w:rPr>
      </w:pPr>
      <w:r>
        <w:rPr>
          <w:rFonts w:hint="eastAsia" w:ascii="仿宋" w:hAnsi="仿宋" w:eastAsia="仿宋" w:cs="仿宋"/>
          <w:color w:val="auto"/>
          <w:highlight w:val="none"/>
          <w:lang w:val="en-US"/>
        </w:rPr>
        <w:t>31</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5 </w:t>
      </w:r>
      <w:r>
        <w:rPr>
          <w:rFonts w:hint="eastAsia" w:ascii="仿宋" w:hAnsi="仿宋" w:eastAsia="仿宋" w:cs="仿宋"/>
          <w:color w:val="auto"/>
          <w:sz w:val="24"/>
          <w:highlight w:val="none"/>
        </w:rPr>
        <w:t>如中标人拒签合同，则按违约处理。采购人将没收其合同履约保证金。</w:t>
      </w:r>
    </w:p>
    <w:p w14:paraId="1AEBB4F7">
      <w:pPr>
        <w:pStyle w:val="31"/>
        <w:tabs>
          <w:tab w:val="left" w:pos="1708"/>
        </w:tabs>
        <w:spacing w:line="364" w:lineRule="auto"/>
        <w:ind w:left="0" w:firstLine="440" w:firstLineChars="200"/>
        <w:jc w:val="both"/>
        <w:rPr>
          <w:rFonts w:hint="eastAsia" w:ascii="仿宋" w:hAnsi="仿宋" w:eastAsia="仿宋" w:cs="仿宋"/>
          <w:color w:val="auto"/>
          <w:sz w:val="24"/>
          <w:highlight w:val="none"/>
        </w:rPr>
      </w:pPr>
      <w:r>
        <w:rPr>
          <w:rFonts w:hint="eastAsia" w:ascii="仿宋" w:hAnsi="仿宋" w:eastAsia="仿宋" w:cs="仿宋"/>
          <w:color w:val="auto"/>
          <w:highlight w:val="none"/>
          <w:lang w:val="en-US"/>
        </w:rPr>
        <w:t>31</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6 </w:t>
      </w:r>
      <w:r>
        <w:rPr>
          <w:rFonts w:hint="eastAsia" w:ascii="仿宋" w:hAnsi="仿宋" w:eastAsia="仿宋" w:cs="仿宋"/>
          <w:color w:val="auto"/>
          <w:sz w:val="24"/>
          <w:highlight w:val="none"/>
        </w:rPr>
        <w:t>采购人的采购文件、中标方的投标文件及其澄清、询标（答疑）文件等， 均做为签订合同的法律依据。</w:t>
      </w:r>
    </w:p>
    <w:p w14:paraId="1CEB2BD6">
      <w:pPr>
        <w:pStyle w:val="31"/>
        <w:tabs>
          <w:tab w:val="left" w:pos="1713"/>
        </w:tabs>
        <w:spacing w:before="2" w:line="364" w:lineRule="auto"/>
        <w:ind w:left="0" w:firstLine="440" w:firstLineChars="200"/>
        <w:jc w:val="both"/>
        <w:rPr>
          <w:rFonts w:hint="eastAsia" w:ascii="仿宋" w:hAnsi="仿宋" w:eastAsia="仿宋" w:cs="仿宋"/>
          <w:color w:val="auto"/>
          <w:sz w:val="24"/>
          <w:highlight w:val="none"/>
        </w:rPr>
      </w:pPr>
      <w:r>
        <w:rPr>
          <w:rFonts w:hint="eastAsia" w:ascii="仿宋" w:hAnsi="仿宋" w:eastAsia="仿宋" w:cs="仿宋"/>
          <w:color w:val="auto"/>
          <w:highlight w:val="none"/>
          <w:lang w:val="en-US"/>
        </w:rPr>
        <w:t>31</w:t>
      </w:r>
      <w:r>
        <w:rPr>
          <w:rFonts w:hint="eastAsia" w:ascii="仿宋" w:hAnsi="仿宋" w:eastAsia="仿宋" w:cs="仿宋"/>
          <w:color w:val="auto"/>
          <w:highlight w:val="none"/>
        </w:rPr>
        <w:t>.</w:t>
      </w:r>
      <w:r>
        <w:rPr>
          <w:rFonts w:hint="eastAsia" w:ascii="仿宋" w:hAnsi="仿宋" w:eastAsia="仿宋" w:cs="仿宋"/>
          <w:color w:val="auto"/>
          <w:highlight w:val="none"/>
          <w:lang w:val="en-US"/>
        </w:rPr>
        <w:t xml:space="preserve">7 </w:t>
      </w:r>
      <w:r>
        <w:rPr>
          <w:rFonts w:hint="eastAsia" w:ascii="仿宋" w:hAnsi="仿宋" w:eastAsia="仿宋" w:cs="仿宋"/>
          <w:color w:val="auto"/>
          <w:sz w:val="24"/>
          <w:highlight w:val="none"/>
        </w:rPr>
        <w:t>在未经采购人允许的情况下，不允许中标人将成交项目分包或转交他人承担。而且，采购人也不得直接指定分包人。</w:t>
      </w:r>
    </w:p>
    <w:p w14:paraId="62D3639C">
      <w:pPr>
        <w:pStyle w:val="31"/>
        <w:tabs>
          <w:tab w:val="left" w:pos="2193"/>
        </w:tabs>
        <w:spacing w:line="364" w:lineRule="auto"/>
        <w:ind w:left="0" w:firstLineChars="200"/>
        <w:jc w:val="both"/>
        <w:rPr>
          <w:rFonts w:hint="eastAsia" w:ascii="仿宋" w:hAnsi="仿宋" w:eastAsia="仿宋" w:cs="仿宋"/>
          <w:color w:val="auto"/>
          <w:sz w:val="24"/>
          <w:highlight w:val="none"/>
          <w:lang w:val="en-US"/>
        </w:rPr>
      </w:pPr>
    </w:p>
    <w:p w14:paraId="53DE57C4">
      <w:pPr>
        <w:pStyle w:val="31"/>
        <w:tabs>
          <w:tab w:val="left" w:pos="2193"/>
        </w:tabs>
        <w:spacing w:line="364" w:lineRule="auto"/>
        <w:ind w:left="0" w:firstLineChars="200"/>
        <w:jc w:val="both"/>
        <w:rPr>
          <w:rFonts w:hint="eastAsia" w:ascii="仿宋" w:hAnsi="仿宋" w:eastAsia="仿宋" w:cs="仿宋"/>
          <w:color w:val="auto"/>
          <w:sz w:val="24"/>
          <w:highlight w:val="none"/>
          <w:lang w:val="en-US"/>
        </w:rPr>
        <w:sectPr>
          <w:pgSz w:w="11910" w:h="16840"/>
          <w:pgMar w:top="1420" w:right="1134" w:bottom="1180" w:left="1134" w:header="878" w:footer="993" w:gutter="0"/>
          <w:cols w:space="720" w:num="1"/>
        </w:sectPr>
      </w:pPr>
    </w:p>
    <w:p w14:paraId="410269C0">
      <w:pPr>
        <w:pStyle w:val="2"/>
        <w:numPr>
          <w:ilvl w:val="0"/>
          <w:numId w:val="3"/>
        </w:numPr>
        <w:spacing w:before="163"/>
        <w:ind w:left="0" w:leftChars="0" w:right="0" w:rightChars="0"/>
        <w:rPr>
          <w:rFonts w:hint="eastAsia" w:ascii="仿宋" w:hAnsi="仿宋" w:eastAsia="仿宋" w:cs="仿宋"/>
          <w:color w:val="auto"/>
          <w:highlight w:val="none"/>
        </w:rPr>
      </w:pP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lang w:val="en-US" w:eastAsia="zh-CN"/>
        </w:rPr>
        <w:t>采购</w:t>
      </w:r>
      <w:r>
        <w:rPr>
          <w:rFonts w:hint="eastAsia" w:ascii="仿宋" w:hAnsi="仿宋" w:eastAsia="仿宋" w:cs="仿宋"/>
          <w:color w:val="auto"/>
          <w:highlight w:val="none"/>
        </w:rPr>
        <w:t>需求、技术规格说明</w:t>
      </w:r>
    </w:p>
    <w:tbl>
      <w:tblPr>
        <w:tblStyle w:val="20"/>
        <w:tblW w:w="8335"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2"/>
        <w:gridCol w:w="1202"/>
        <w:gridCol w:w="5758"/>
        <w:gridCol w:w="391"/>
        <w:gridCol w:w="512"/>
      </w:tblGrid>
      <w:tr w14:paraId="18E5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0CEE">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14:ligatures w14:val="none"/>
              </w:rPr>
              <w:t>序号</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EBEA">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14:ligatures w14:val="none"/>
              </w:rPr>
              <w:t>产品/服务名称</w:t>
            </w:r>
          </w:p>
        </w:tc>
        <w:tc>
          <w:tcPr>
            <w:tcW w:w="5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F41C">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14:ligatures w14:val="none"/>
              </w:rPr>
              <w:t>功能描述</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13B6">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14:ligatures w14:val="none"/>
              </w:rPr>
              <w:t>单位</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F3C5">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14:ligatures w14:val="none"/>
              </w:rPr>
              <w:t>数量</w:t>
            </w:r>
          </w:p>
        </w:tc>
      </w:tr>
      <w:tr w14:paraId="62AE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8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D03A08">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lang w:val="en-US"/>
              </w:rPr>
            </w:pPr>
            <w:r>
              <w:rPr>
                <w:rFonts w:hint="eastAsia" w:ascii="仿宋" w:hAnsi="仿宋" w:eastAsia="仿宋" w:cs="仿宋"/>
                <w:b/>
                <w:bCs/>
                <w:i w:val="0"/>
                <w:iCs w:val="0"/>
                <w:color w:val="auto"/>
                <w:kern w:val="0"/>
                <w:sz w:val="24"/>
                <w:szCs w:val="24"/>
                <w:highlight w:val="none"/>
                <w:u w:val="none"/>
                <w:lang w:val="en-US" w:eastAsia="zh-CN" w:bidi="ar"/>
                <w14:ligatures w14:val="none"/>
              </w:rPr>
              <w:t>一、软件工具</w:t>
            </w:r>
          </w:p>
        </w:tc>
      </w:tr>
      <w:tr w14:paraId="31AD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E9A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5FC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数据开发平台</w:t>
            </w:r>
          </w:p>
        </w:tc>
        <w:tc>
          <w:tcPr>
            <w:tcW w:w="5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E0E6">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建设学校数据开发平台，实现可视化、低代码方式的工作流开发，实现统一的大数据计算存储、数据集成、数据开发以及数据清洗等全流程、一站式开发组件，基于统一的存储、集成、开发等管理界面，通过图形化操作，实现流程编排和全流程任务调度，提供离线、实时、接口、日志等多种数据开发能力和统一调度中心，实现一站式、全流程的数据集成与计算存储、数据开发等工作，解决数据 "进" 和 "出" 的问题。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60E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kern w:val="2"/>
                <w:sz w:val="24"/>
                <w:szCs w:val="24"/>
                <w:highlight w:val="none"/>
                <w:u w:val="none"/>
                <w:lang w:val="en-US" w:eastAsia="zh-CN" w:bidi="ar-SA"/>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套</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C78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kern w:val="2"/>
                <w:sz w:val="24"/>
                <w:szCs w:val="24"/>
                <w:highlight w:val="none"/>
                <w:u w:val="none"/>
                <w:lang w:val="en-US" w:eastAsia="zh-CN" w:bidi="ar-SA"/>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1</w:t>
            </w:r>
          </w:p>
        </w:tc>
      </w:tr>
      <w:tr w14:paraId="7CEC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851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8A6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14:ligatures w14:val="none"/>
              </w:rPr>
              <w:t>数据治理平台</w:t>
            </w:r>
          </w:p>
        </w:tc>
        <w:tc>
          <w:tcPr>
            <w:tcW w:w="5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741D">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建设学校数据治理平台，以 "零代码"、"模板化" 方式实现学校数据全域治理管控，并建设数据共享开放平台、数据资产管理平台、一张表（一表通）平台，将数据调研、数据探查、元数据管理、数据标准、数据模型、数据输出、数据质量管控、数据共享开放、数据资产管理等九个过程集成在统一的数据管理平台和一张表（一表通）平台上，提供元数据、数据标准、数据模型、数据质量、数据安全、数据资源门户、数据资产管理、数据资源目录、数据地图、一张表（一表通）等核心模块，实现一体化全流程数据治理、数据共享开放、数据资产管理可控，形成学校数据资源 "一张图"，全链路、自动化数据血缘分析，为学校提供一套 "看得见、用得懂、治得好" 的体系化的全流程、端到端的标准化数据治理工作台，为数据和业务部门之间建立统一、在线的沟通桥梁，落实 "一数一源"，保障数据准确、安全、可用。</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65F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套</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2B34">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1</w:t>
            </w:r>
          </w:p>
        </w:tc>
      </w:tr>
      <w:tr w14:paraId="7149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8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42FE4">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14:ligatures w14:val="none"/>
              </w:rPr>
              <w:t>二、数据治理（一期）</w:t>
            </w:r>
          </w:p>
        </w:tc>
      </w:tr>
      <w:tr w14:paraId="60E2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84D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7BA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标量数据治理</w:t>
            </w:r>
          </w:p>
        </w:tc>
        <w:tc>
          <w:tcPr>
            <w:tcW w:w="5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438C">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包括信息化调研、架构与模型管理、数据标准管理（含贴源层/标准层数据开发、定责、质量检测），实现数据从源头到治理的闭环。</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5C65">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项</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41BF">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1</w:t>
            </w:r>
          </w:p>
        </w:tc>
      </w:tr>
      <w:tr w14:paraId="370B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trPr>
        <w:tc>
          <w:tcPr>
            <w:tcW w:w="472" w:type="dxa"/>
            <w:tcBorders>
              <w:top w:val="single" w:color="000000" w:sz="4" w:space="0"/>
              <w:left w:val="single" w:color="000000" w:sz="4" w:space="0"/>
              <w:bottom w:val="single" w:color="auto" w:sz="4" w:space="0"/>
              <w:right w:val="single" w:color="000000" w:sz="4" w:space="0"/>
            </w:tcBorders>
            <w:shd w:val="clear" w:color="auto" w:fill="auto"/>
            <w:vAlign w:val="center"/>
          </w:tcPr>
          <w:p w14:paraId="2CBF742A">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4</w:t>
            </w:r>
          </w:p>
        </w:tc>
        <w:tc>
          <w:tcPr>
            <w:tcW w:w="1202" w:type="dxa"/>
            <w:tcBorders>
              <w:top w:val="single" w:color="000000" w:sz="4" w:space="0"/>
              <w:left w:val="single" w:color="000000" w:sz="4" w:space="0"/>
              <w:bottom w:val="single" w:color="auto" w:sz="4" w:space="0"/>
              <w:right w:val="single" w:color="auto" w:sz="4" w:space="0"/>
            </w:tcBorders>
            <w:shd w:val="clear" w:color="auto" w:fill="auto"/>
            <w:vAlign w:val="center"/>
          </w:tcPr>
          <w:p w14:paraId="7B7E910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数据安全服务</w:t>
            </w:r>
          </w:p>
        </w:tc>
        <w:tc>
          <w:tcPr>
            <w:tcW w:w="5758" w:type="dxa"/>
            <w:tcBorders>
              <w:top w:val="single" w:color="000000" w:sz="4" w:space="0"/>
              <w:left w:val="single" w:color="auto" w:sz="4" w:space="0"/>
              <w:bottom w:val="single" w:color="auto" w:sz="4" w:space="0"/>
              <w:right w:val="single" w:color="000000" w:sz="4" w:space="0"/>
            </w:tcBorders>
            <w:shd w:val="clear" w:color="auto" w:fill="auto"/>
            <w:vAlign w:val="center"/>
          </w:tcPr>
          <w:p w14:paraId="0C9BC61A">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基于建设后的数据管理平台，配置数据共享安全策略（加密、脱敏、频控、黑白名单）、分级审核流程，并保障数据传输与审计安全。</w:t>
            </w:r>
          </w:p>
        </w:tc>
        <w:tc>
          <w:tcPr>
            <w:tcW w:w="391" w:type="dxa"/>
            <w:tcBorders>
              <w:top w:val="single" w:color="000000" w:sz="4" w:space="0"/>
              <w:left w:val="single" w:color="000000" w:sz="4" w:space="0"/>
              <w:bottom w:val="single" w:color="auto" w:sz="4" w:space="0"/>
              <w:right w:val="single" w:color="000000" w:sz="4" w:space="0"/>
            </w:tcBorders>
            <w:shd w:val="clear" w:color="auto" w:fill="auto"/>
            <w:vAlign w:val="center"/>
          </w:tcPr>
          <w:p w14:paraId="0605060E">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项</w:t>
            </w:r>
          </w:p>
        </w:tc>
        <w:tc>
          <w:tcPr>
            <w:tcW w:w="512" w:type="dxa"/>
            <w:tcBorders>
              <w:top w:val="single" w:color="000000" w:sz="4" w:space="0"/>
              <w:left w:val="single" w:color="000000" w:sz="4" w:space="0"/>
              <w:bottom w:val="single" w:color="auto" w:sz="4" w:space="0"/>
              <w:right w:val="single" w:color="000000" w:sz="4" w:space="0"/>
            </w:tcBorders>
            <w:shd w:val="clear" w:color="auto" w:fill="auto"/>
            <w:vAlign w:val="center"/>
          </w:tcPr>
          <w:p w14:paraId="035EED64">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1</w:t>
            </w:r>
          </w:p>
        </w:tc>
      </w:tr>
      <w:tr w14:paraId="3B37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472" w:type="dxa"/>
            <w:tcBorders>
              <w:top w:val="single" w:color="auto" w:sz="4" w:space="0"/>
              <w:left w:val="single" w:color="000000" w:sz="4" w:space="0"/>
              <w:bottom w:val="single" w:color="auto" w:sz="4" w:space="0"/>
              <w:right w:val="single" w:color="auto" w:sz="4" w:space="0"/>
            </w:tcBorders>
            <w:shd w:val="clear" w:color="auto" w:fill="auto"/>
            <w:vAlign w:val="center"/>
          </w:tcPr>
          <w:p w14:paraId="4C0DA1A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5</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6F09BB8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数据迁移服务</w:t>
            </w:r>
          </w:p>
        </w:tc>
        <w:tc>
          <w:tcPr>
            <w:tcW w:w="5758" w:type="dxa"/>
            <w:tcBorders>
              <w:top w:val="single" w:color="auto" w:sz="4" w:space="0"/>
              <w:left w:val="single" w:color="auto" w:sz="4" w:space="0"/>
              <w:bottom w:val="single" w:color="auto" w:sz="4" w:space="0"/>
              <w:right w:val="single" w:color="auto" w:sz="4" w:space="0"/>
            </w:tcBorders>
            <w:shd w:val="clear" w:color="auto" w:fill="auto"/>
            <w:vAlign w:val="center"/>
          </w:tcPr>
          <w:p w14:paraId="2208E3F4">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将学校现有数据管理平台中的各类数据集成作业、数据调度、数据清洗、数据转换、大数据计算平台中的数据、数据交换、数据接口等迁移至建设后的数据管理平台，并实现所有作业及任务正常执行。提供迁移方案定制规划设计、技术咨询及数据迁移服务。</w:t>
            </w:r>
          </w:p>
        </w:tc>
        <w:tc>
          <w:tcPr>
            <w:tcW w:w="391" w:type="dxa"/>
            <w:tcBorders>
              <w:top w:val="single" w:color="auto" w:sz="4" w:space="0"/>
              <w:left w:val="single" w:color="auto" w:sz="4" w:space="0"/>
              <w:bottom w:val="single" w:color="auto" w:sz="4" w:space="0"/>
              <w:right w:val="single" w:color="auto" w:sz="4" w:space="0"/>
            </w:tcBorders>
            <w:shd w:val="clear" w:color="auto" w:fill="auto"/>
            <w:vAlign w:val="center"/>
          </w:tcPr>
          <w:p w14:paraId="1ED465A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项</w:t>
            </w:r>
          </w:p>
        </w:tc>
        <w:tc>
          <w:tcPr>
            <w:tcW w:w="512" w:type="dxa"/>
            <w:tcBorders>
              <w:top w:val="single" w:color="auto" w:sz="4" w:space="0"/>
              <w:left w:val="single" w:color="auto" w:sz="4" w:space="0"/>
              <w:bottom w:val="single" w:color="auto" w:sz="4" w:space="0"/>
              <w:right w:val="single" w:color="000000" w:sz="4" w:space="0"/>
            </w:tcBorders>
            <w:shd w:val="clear" w:color="auto" w:fill="auto"/>
            <w:vAlign w:val="center"/>
          </w:tcPr>
          <w:p w14:paraId="1CFE55C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1</w:t>
            </w:r>
          </w:p>
        </w:tc>
      </w:tr>
      <w:tr w14:paraId="4D12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1" w:hRule="atLeast"/>
        </w:trPr>
        <w:tc>
          <w:tcPr>
            <w:tcW w:w="472" w:type="dxa"/>
            <w:tcBorders>
              <w:top w:val="single" w:color="auto" w:sz="4" w:space="0"/>
              <w:left w:val="single" w:color="000000" w:sz="4" w:space="0"/>
              <w:bottom w:val="single" w:color="auto" w:sz="4" w:space="0"/>
              <w:right w:val="single" w:color="auto" w:sz="4" w:space="0"/>
            </w:tcBorders>
            <w:shd w:val="clear" w:color="auto" w:fill="auto"/>
            <w:vAlign w:val="center"/>
          </w:tcPr>
          <w:p w14:paraId="7CB7AEC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6</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5C45E6F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应用层数据开发</w:t>
            </w:r>
          </w:p>
        </w:tc>
        <w:tc>
          <w:tcPr>
            <w:tcW w:w="5758" w:type="dxa"/>
            <w:tcBorders>
              <w:top w:val="single" w:color="auto" w:sz="4" w:space="0"/>
              <w:left w:val="single" w:color="auto" w:sz="4" w:space="0"/>
              <w:bottom w:val="single" w:color="auto" w:sz="4" w:space="0"/>
              <w:right w:val="single" w:color="auto" w:sz="4" w:space="0"/>
            </w:tcBorders>
            <w:shd w:val="clear" w:color="auto" w:fill="auto"/>
            <w:vAlign w:val="center"/>
          </w:tcPr>
          <w:p w14:paraId="2FE49C2A">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基于建设后的数据管理平台，实现职教大脑上报数据集市建设，严格遵循教育部标准，构建标准化、流程化的数据上报体系，对接全国职业教育智慧大脑院校中台。</w:t>
            </w:r>
          </w:p>
        </w:tc>
        <w:tc>
          <w:tcPr>
            <w:tcW w:w="391" w:type="dxa"/>
            <w:tcBorders>
              <w:top w:val="single" w:color="auto" w:sz="4" w:space="0"/>
              <w:left w:val="single" w:color="auto" w:sz="4" w:space="0"/>
              <w:bottom w:val="single" w:color="auto" w:sz="4" w:space="0"/>
              <w:right w:val="single" w:color="auto" w:sz="4" w:space="0"/>
            </w:tcBorders>
            <w:shd w:val="clear" w:color="auto" w:fill="auto"/>
            <w:vAlign w:val="center"/>
          </w:tcPr>
          <w:p w14:paraId="1BFD3D3D">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项</w:t>
            </w:r>
          </w:p>
        </w:tc>
        <w:tc>
          <w:tcPr>
            <w:tcW w:w="512" w:type="dxa"/>
            <w:tcBorders>
              <w:top w:val="single" w:color="auto" w:sz="4" w:space="0"/>
              <w:left w:val="single" w:color="auto" w:sz="4" w:space="0"/>
              <w:bottom w:val="single" w:color="auto" w:sz="4" w:space="0"/>
              <w:right w:val="single" w:color="000000" w:sz="4" w:space="0"/>
            </w:tcBorders>
            <w:shd w:val="clear" w:color="auto" w:fill="auto"/>
            <w:vAlign w:val="center"/>
          </w:tcPr>
          <w:p w14:paraId="2EB8BA19">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1</w:t>
            </w:r>
          </w:p>
        </w:tc>
      </w:tr>
      <w:tr w14:paraId="0DAD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823" w:type="dxa"/>
            <w:gridSpan w:val="4"/>
            <w:tcBorders>
              <w:top w:val="single" w:color="auto" w:sz="4" w:space="0"/>
              <w:left w:val="single" w:color="000000" w:sz="4" w:space="0"/>
              <w:bottom w:val="single" w:color="000000" w:sz="4" w:space="0"/>
              <w:right w:val="single" w:color="auto" w:sz="4" w:space="0"/>
            </w:tcBorders>
            <w:shd w:val="clear" w:color="auto" w:fill="auto"/>
            <w:vAlign w:val="center"/>
          </w:tcPr>
          <w:p w14:paraId="57379AAF">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14:ligatures w14:val="none"/>
              </w:rPr>
              <w:t>三、数据服务</w:t>
            </w:r>
          </w:p>
        </w:tc>
        <w:tc>
          <w:tcPr>
            <w:tcW w:w="512" w:type="dxa"/>
            <w:tcBorders>
              <w:top w:val="single" w:color="auto" w:sz="4" w:space="0"/>
              <w:left w:val="single" w:color="auto" w:sz="4" w:space="0"/>
              <w:bottom w:val="single" w:color="000000" w:sz="4" w:space="0"/>
              <w:right w:val="single" w:color="000000" w:sz="4" w:space="0"/>
            </w:tcBorders>
            <w:shd w:val="clear" w:color="auto" w:fill="auto"/>
            <w:vAlign w:val="center"/>
          </w:tcPr>
          <w:p w14:paraId="6D28936D">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highlight w:val="none"/>
                <w:u w:val="none"/>
                <w:lang w:val="en-US" w:eastAsia="zh-CN" w:bidi="ar"/>
                <w14:ligatures w14:val="none"/>
              </w:rPr>
            </w:pPr>
          </w:p>
        </w:tc>
      </w:tr>
      <w:tr w14:paraId="229C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4"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579E">
            <w:pPr>
              <w:keepNext w:val="0"/>
              <w:keepLines w:val="0"/>
              <w:widowControl/>
              <w:suppressLineNumbers w:val="0"/>
              <w:ind w:left="0" w:leftChars="0" w:firstLine="0" w:firstLineChars="0"/>
              <w:jc w:val="both"/>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14:ligatures w14:val="none"/>
              </w:rPr>
              <w:t>7</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834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典型业务平台和场景数据支撑服务</w:t>
            </w:r>
          </w:p>
        </w:tc>
        <w:tc>
          <w:tcPr>
            <w:tcW w:w="5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8DAA">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基于建设后的数据管理平台和学校现有数据可视化平台，整合学生、教师、教学、科研、管理等多维数据，为数据大屏展示、平安校园、师生年度账单等需要大数据支撑的典型业务平台和场景提供综合数据可视化与决策支持。提供不少于5个可视化数据大屏制作及上线。</w:t>
            </w:r>
          </w:p>
        </w:tc>
        <w:tc>
          <w:tcPr>
            <w:tcW w:w="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B8B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kern w:val="2"/>
                <w:sz w:val="24"/>
                <w:szCs w:val="24"/>
                <w:highlight w:val="none"/>
                <w:u w:val="none"/>
                <w:lang w:val="en-US" w:eastAsia="zh-CN" w:bidi="ar-SA"/>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项</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5C7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kern w:val="2"/>
                <w:sz w:val="24"/>
                <w:szCs w:val="24"/>
                <w:highlight w:val="none"/>
                <w:u w:val="none"/>
                <w:lang w:val="en-US" w:eastAsia="zh-CN" w:bidi="ar-SA"/>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1</w:t>
            </w:r>
          </w:p>
        </w:tc>
      </w:tr>
      <w:tr w14:paraId="6FA9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83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00527C">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14:ligatures w14:val="none"/>
              </w:rPr>
              <w:t>四、运维保障</w:t>
            </w:r>
          </w:p>
        </w:tc>
      </w:tr>
      <w:tr w14:paraId="58BE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2"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8A56">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8</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A13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kern w:val="2"/>
                <w:sz w:val="24"/>
                <w:szCs w:val="24"/>
                <w:highlight w:val="none"/>
                <w:u w:val="none"/>
                <w:lang w:val="en-US" w:eastAsia="zh-CN" w:bidi="ar-SA"/>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身份认证</w:t>
            </w:r>
          </w:p>
        </w:tc>
        <w:tc>
          <w:tcPr>
            <w:tcW w:w="5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4F2C">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2"/>
                <w:sz w:val="24"/>
                <w:szCs w:val="24"/>
                <w:highlight w:val="none"/>
                <w:u w:val="none"/>
                <w:lang w:val="en-US" w:eastAsia="zh-CN" w:bidi="ar-SA"/>
                <w14:ligatures w14:val="none"/>
              </w:rPr>
            </w:pPr>
            <w:r>
              <w:rPr>
                <w:rFonts w:hint="eastAsia" w:ascii="仿宋" w:hAnsi="仿宋" w:eastAsia="仿宋" w:cs="仿宋"/>
                <w:color w:val="auto"/>
                <w:sz w:val="24"/>
                <w:szCs w:val="24"/>
                <w:highlight w:val="none"/>
                <w:lang w:val="en-US" w:eastAsia="zh-CN"/>
              </w:rPr>
              <w:t>针对本项目建设所涉及的数据管理平台、一张表（一表通）平台，完成与学校现有统一身份认证平台的对接，实现平台用户身份的集中管理、统一验证与权限管控，保障平台访问安全，避免未授权访问风险，确保数据操作的合规性与可追溯性。</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F34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kern w:val="2"/>
                <w:sz w:val="24"/>
                <w:szCs w:val="24"/>
                <w:highlight w:val="none"/>
                <w:u w:val="none"/>
                <w:lang w:val="en-US" w:eastAsia="zh-CN" w:bidi="ar-SA"/>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项</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CCD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kern w:val="2"/>
                <w:sz w:val="24"/>
                <w:szCs w:val="24"/>
                <w:highlight w:val="none"/>
                <w:u w:val="none"/>
                <w:lang w:val="en-US" w:eastAsia="zh-CN" w:bidi="ar-SA"/>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1</w:t>
            </w:r>
          </w:p>
        </w:tc>
      </w:tr>
      <w:tr w14:paraId="589E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EF2A">
            <w:pPr>
              <w:keepNext w:val="0"/>
              <w:keepLines w:val="0"/>
              <w:widowControl/>
              <w:suppressLineNumbers w:val="0"/>
              <w:ind w:firstLine="480" w:firstLineChars="20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99</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741D">
            <w:pPr>
              <w:keepNext w:val="0"/>
              <w:keepLines w:val="0"/>
              <w:widowControl/>
              <w:suppressLineNumbers w:val="0"/>
              <w:ind w:left="0" w:leftChars="0" w:firstLine="0" w:firstLineChars="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项目实施</w:t>
            </w:r>
          </w:p>
        </w:tc>
        <w:tc>
          <w:tcPr>
            <w:tcW w:w="5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7793">
            <w:pPr>
              <w:keepNext w:val="0"/>
              <w:keepLines w:val="0"/>
              <w:widowControl/>
              <w:suppressLineNumbers w:val="0"/>
              <w:ind w:left="0" w:leftChars="0"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署后项目组入场实施。负责数据管理平台、一表通平台、数据可视化等全流程落地实施，涵盖需求梳理、方案优化、系统部署、数据迁移、功能调试等全环节，确保平台按照既定标准与时间节点上线，满足实际业务需求。</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8667">
            <w:pPr>
              <w:keepNext w:val="0"/>
              <w:keepLines w:val="0"/>
              <w:widowControl/>
              <w:suppressLineNumbers w:val="0"/>
              <w:ind w:left="0" w:leftChars="0"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天</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B413">
            <w:pPr>
              <w:keepNext w:val="0"/>
              <w:keepLines w:val="0"/>
              <w:widowControl/>
              <w:suppressLineNumbers w:val="0"/>
              <w:ind w:left="0" w:leftChars="0"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60</w:t>
            </w:r>
          </w:p>
        </w:tc>
      </w:tr>
      <w:tr w14:paraId="4455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37DD">
            <w:pPr>
              <w:keepNext w:val="0"/>
              <w:keepLines w:val="0"/>
              <w:widowControl/>
              <w:suppressLineNumbers w:val="0"/>
              <w:ind w:firstLine="480" w:firstLineChars="20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C18C">
            <w:pPr>
              <w:keepNext w:val="0"/>
              <w:keepLines w:val="0"/>
              <w:widowControl/>
              <w:suppressLineNumbers w:val="0"/>
              <w:ind w:left="0" w:leftChars="0" w:firstLine="0" w:firstLineChars="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培训服务</w:t>
            </w:r>
          </w:p>
        </w:tc>
        <w:tc>
          <w:tcPr>
            <w:tcW w:w="5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F9F2">
            <w:pPr>
              <w:keepNext w:val="0"/>
              <w:keepLines w:val="0"/>
              <w:widowControl/>
              <w:suppressLineNumbers w:val="0"/>
              <w:ind w:left="0" w:leftChars="0"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人员培训。针对平台操作、功能应用、日常维护等内容开展专项培训，帮助用户快速掌握平台使用方法，提升用户操作熟练度，确保平台各项功能得到充分利用，发挥平台核心价值。</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89E8">
            <w:pPr>
              <w:keepNext w:val="0"/>
              <w:keepLines w:val="0"/>
              <w:widowControl/>
              <w:suppressLineNumbers w:val="0"/>
              <w:ind w:left="0" w:leftChars="0"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场</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0F6F">
            <w:pPr>
              <w:keepNext w:val="0"/>
              <w:keepLines w:val="0"/>
              <w:widowControl/>
              <w:suppressLineNumbers w:val="0"/>
              <w:ind w:left="0" w:leftChars="0" w:firstLine="0" w:firstLineChars="0"/>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r>
      <w:tr w14:paraId="19049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9E4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14:ligatures w14:val="none"/>
              </w:rPr>
              <w:t>11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52E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维保服务</w:t>
            </w:r>
          </w:p>
        </w:tc>
        <w:tc>
          <w:tcPr>
            <w:tcW w:w="5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14F0">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自项目验收合格后提供 3 年平台运维服务，开展日常平台巡检、故障排查与修复、系统性能优化、数据备份与恢复等工作；配备 2 台运维专用电脑，用于运维工作的开展、故障处理、数据监测等；配备 1 名项目组成员作为现场运维人员提供 1 年驻场运维服务，提供面对面服务，响应现场服务需求，快速处理平台现场突发问题，解答平台管理及使用人员的操作疑问、技术咨询，配合完成其他辅助工作。为平台长期稳定运行提供全方位支撑，涵盖日常运维、故障排查、系统优化、硬件支撑等，确保平台持续、高效、安全运行，减少系统故障对业务的影响。</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EA8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项</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0EE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14:ligatures w14:val="none"/>
              </w:rPr>
              <w:t>1</w:t>
            </w:r>
          </w:p>
        </w:tc>
      </w:tr>
    </w:tbl>
    <w:p w14:paraId="741A4815">
      <w:pPr>
        <w:bidi w:val="0"/>
        <w:rPr>
          <w:rFonts w:hint="eastAsia" w:ascii="仿宋" w:hAnsi="仿宋" w:eastAsia="仿宋" w:cs="仿宋"/>
          <w:color w:val="auto"/>
          <w:highlight w:val="none"/>
        </w:rPr>
      </w:pPr>
    </w:p>
    <w:p w14:paraId="296FCB1B">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5579FAFB">
      <w:pPr>
        <w:keepNext w:val="0"/>
        <w:keepLines w:val="0"/>
        <w:pageBreakBefore w:val="0"/>
        <w:kinsoku/>
        <w:wordWrap/>
        <w:overflowPunct/>
        <w:topLinePunct w:val="0"/>
        <w:autoSpaceDE/>
        <w:autoSpaceDN/>
        <w:bidi w:val="0"/>
        <w:adjustRightInd/>
        <w:snapToGrid/>
        <w:spacing w:line="500" w:lineRule="exact"/>
        <w:ind w:firstLine="562"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二、采购需求</w:t>
      </w:r>
    </w:p>
    <w:p w14:paraId="216D0732">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一）项目背景及基本情况</w:t>
      </w:r>
    </w:p>
    <w:p w14:paraId="40224C86">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2021年，中央全面深化改革委员会审议通过了《种业振兴行动方案》，同年，现代种业技术列入《职业教育专业目录（2021年）》。为响应种业振兴战略，2023年成立了全国现代种业技术产教融合共同体；2024年，农业农村部发文指出需重点加强种业高技能人才队伍建设，同年成立了长三角现代种业行业产教融合共同体。习近平总书记高度重视种业振兴行动，强调把种源安全提升到关系国家安全的战略高度，"实现种业科技自立自强、种源自主可控"。</w:t>
      </w:r>
    </w:p>
    <w:p w14:paraId="1A16A78F">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我校现代种业技术专业是2024年首批设置的职业本科专业之一，2025年我校现代种业技术专业群成功入选国家"双高计划"（中国特色高水平高职学校和专业建设计划）。</w:t>
      </w:r>
    </w:p>
    <w:p w14:paraId="7485145D">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2020年学校启动智慧校园数据管理平台及数据治理建设工作，建成学校数据管理平台，并与学校统一身份认证平台、一站式服务大厅门户、业务系统集成对接，构建了学校全域数据中心和数据治理体系以及基于全域数据中心的大数据智能分析应用。基于建设的全域数据中心及数据治理平台，通过汇聚学校现有部门业务系统（教务系统、人事系统、学工系统、一卡通系统、统一身份认证平台等）数据，解决了学校整体业务系统之间数据交换不稳定、数据流向难追踪等系列问题。</w:t>
      </w:r>
    </w:p>
    <w:p w14:paraId="1F433C30">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随着近几年数据治理服务的停滞，导致当前学校数据标准不统一、数据源头不清晰、数据流转不顺畅、数据应用不能满足需求，支撑数据获取不便，或无从获取，或从不同渠道获取数据不一致等一系列问题频发，给学校教学、科研、管理及服务和专业群建设等造成了诸多不便。基于我校现代种业技术专业群成功入选国家 "双高计划" 的契机，一方面为夯实我校现代种业技术专业群的数据支撑能力，另一方面充分保护学校现有数据管理平台建设成果，实现前期信息化投入保值增值，避免重复建设和资源浪费，特建设我校现代种业技术专业群数据管理平台，同时完成现有数据资产迁移、统一数据标准修订与优化、业务流程整合、数据孤岛打破、线上线下管理统筹，实现专业业务系统数据及现代种业专业数据的高度融合，建立完善的一体化智能化高安全的现代种业技术专业群数据管理平台。</w:t>
      </w:r>
    </w:p>
    <w:p w14:paraId="144BC0F1">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（二）总体要求和相关说明</w:t>
      </w:r>
    </w:p>
    <w:p w14:paraId="09FC8CF5">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 总体要求：</w:t>
      </w:r>
    </w:p>
    <w:p w14:paraId="335956E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总体架构按照顶层设计、统筹推进的建设思路，在充分继承学校现有数据管理体系建设成果的基础上，优化整体框架与架构设计，本着夯实平台基础、突出应用亮点、明确责任分工的原则，建设一体化数据管理平台，同时扩充平台功能组件，满足实时共享开发能力以及数据审批能力，循序渐进地推进学校整体数据资源的完善与高效利用，充分发挥平台价值，实现学校数智化转型以及现代种业技术专业群建设目标。项目建设以“互联互通、信息共享、业务协同”为目标，梳理学校各类数据需求、数据来源、数据格式、数据维护机制、数据更新机制、数据共享机制、数据使用机制等关键问题，完成学校各专业业务系统的数据整合工作。建立“覆盖全校、统一标准、上下联动、资源共享”的校级一体化现代种业技术专业数据资源服务体系，打破数据壁垒，实现一数一源和伴随式数据采集。建立包括组织、制度、标准、流程、安全、技术等内容的数据资产管理长效机制，为学校教学、科研、管理和现代种业技术专业群建设以及服务师生提供全面、及时、准确、可用、高质量的数据资产及服务。</w:t>
      </w:r>
    </w:p>
    <w:p w14:paraId="0C5E5B1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保护学校前期信息化建设投入，实现数据资产保值增值，避免重复建设和资源浪费，本次建设的所有平台须全面兼容学校现有数据管理体系，支持现有数据资产、业务配置、开发成果、服务接口的无损迁移与平滑过渡。迁移过程须确保业务连续性，不得影响学校正常教学、科研和管理工作。</w:t>
      </w:r>
    </w:p>
    <w:p w14:paraId="1135D0D4">
      <w:pPr>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 相关说明：</w:t>
      </w:r>
    </w:p>
    <w:p w14:paraId="60190A4E">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（1）本项目所涉“一张表/一表通/数据采集与统一填报平台”表述为功能描述，不指向任何品牌、商标、产品，所有满足功能的供应商均可参与。</w:t>
      </w:r>
    </w:p>
    <w:p w14:paraId="26B499CC">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防止虚假应标，投标方必须提供所投产品的产品彩页或技术白皮书并逐页盖章，采购方在中标结果公布后3天内可要求中标方全面演示所投产品，并出具投标文件中提供的测试报告、业绩合同、功能截图、相关证书、授权函、承诺书等证明材料原件，如投标材料与原件不符，产品功能演示与招标技术参数要求以及投标文件证明材料有较大偏离，则视为虚假应标，采购方将上报政府采购监督管理部门进行处理。</w:t>
      </w:r>
      <w:r>
        <w:rPr>
          <w:rFonts w:hint="eastAsia" w:ascii="仿宋" w:hAnsi="仿宋" w:eastAsia="仿宋" w:cs="仿宋"/>
          <w:color w:val="auto"/>
          <w:sz w:val="24"/>
          <w:szCs w:val="24"/>
          <w:highlight w:val="none"/>
          <w:lang w:val="en-US" w:eastAsia="zh-CN"/>
        </w:rPr>
        <w:t>本次建设所有资格条件和评分标准均为保障项目质量和交付能力设置，不要求使用任何特定厂商的产品，所有满足技术参数要求的产品均可响应。</w:t>
      </w:r>
    </w:p>
    <w:p w14:paraId="36D9D027">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（三）主要技术服务和技术参数要求</w:t>
      </w:r>
    </w:p>
    <w:p w14:paraId="6D690FB0">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1.数据开发平台</w:t>
      </w:r>
    </w:p>
    <w:p w14:paraId="491ADF82">
      <w:pPr>
        <w:bidi w:val="0"/>
        <w:ind w:firstLine="480" w:firstLineChars="200"/>
        <w:rPr>
          <w:rFonts w:hint="eastAsia" w:ascii="仿宋" w:hAnsi="仿宋" w:eastAsia="仿宋" w:cs="仿宋"/>
          <w:color w:val="auto"/>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14:ligatures w14:val="none"/>
        </w:rPr>
        <w:t>建设学校数据开发平台，实现可视化、低代码方式的工作流开发，实现统一的大数据计算存储、数据集成、数据集成开发以及数据清洗等全流程、一站式开发组件，基于统一的存储、集成、开发等管理界面，通过图形化操作，实现流程编排和全流程任务调度，提供离线、实时、接口、日志等多种数据开发能力和统一调度中心，实现一站式、全流程的数据集成与计算存储、数据开发等工作，解决数据“进”和“出”的问题。平台须全面兼容学校现有数据开发体系，支持现有平台所有数据资产、集成作业、调度任务、清洗规则及业务配置的无损迁移与平滑过渡，保护前期信息化投入，避免重复建设。</w:t>
      </w:r>
    </w:p>
    <w:p w14:paraId="299D1E7B">
      <w:pPr>
        <w:numPr>
          <w:ilvl w:val="0"/>
          <w:numId w:val="0"/>
        </w:numPr>
        <w:ind w:leftChars="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1.1 </w:t>
      </w:r>
      <w:r>
        <w:rPr>
          <w:rFonts w:hint="eastAsia" w:ascii="仿宋" w:hAnsi="仿宋" w:eastAsia="仿宋" w:cs="仿宋"/>
          <w:b/>
          <w:bCs/>
          <w:color w:val="auto"/>
          <w:sz w:val="24"/>
          <w:szCs w:val="24"/>
          <w:highlight w:val="none"/>
        </w:rPr>
        <w:t>大数据计算存储平台</w:t>
      </w:r>
      <w:r>
        <w:rPr>
          <w:rFonts w:hint="eastAsia" w:ascii="仿宋" w:hAnsi="仿宋" w:eastAsia="仿宋" w:cs="仿宋"/>
          <w:b/>
          <w:bCs/>
          <w:color w:val="auto"/>
          <w:sz w:val="24"/>
          <w:szCs w:val="24"/>
          <w:highlight w:val="none"/>
          <w:lang w:val="en-US" w:eastAsia="zh-CN"/>
        </w:rPr>
        <w:t>服务</w:t>
      </w:r>
    </w:p>
    <w:p w14:paraId="29EDBE3C">
      <w:pPr>
        <w:numPr>
          <w:ilvl w:val="0"/>
          <w:numId w:val="0"/>
        </w:numPr>
        <w:ind w:leftChars="0" w:firstLine="480" w:firstLineChars="200"/>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bidi="ar"/>
        </w:rPr>
        <w:t>建设大数据计算存储平台服务，提供快照管理、元数据管理、异步索引、数据重排、小文件合并等特性；支持弹性扩展；支持 Schema on Read；支持数据多版本管理；支持批量、实时读写能力。平台须兼容学校现有大数据计算存储架构，支持现有 HDFS、Hive、Yarn、Kafka等组件的数据无损迁移与服务无缝切换，确保迁移过程中业务不中断；实现增量数仓建设，将大数据数仓从T+1级提升至分钟级，提升数据鲜活度；支持数据库高可用部署架构，优化容器集群节点异常场景下业务服务自动恢复效率；支持多任务公平资源调度策略，具备文件存储服务标准接口访问能力，可通过通用网络接口及标准化接口实现分布式文件系统资源调用；配套提供数据仓库元数据管理服务及完整元数据存储管理能力。</w:t>
      </w:r>
      <w:r>
        <w:rPr>
          <w:rFonts w:hint="eastAsia" w:ascii="仿宋" w:hAnsi="仿宋" w:eastAsia="仿宋" w:cs="仿宋"/>
          <w:color w:val="auto"/>
          <w:sz w:val="24"/>
          <w:szCs w:val="24"/>
          <w:highlight w:val="none"/>
          <w:u w:val="none"/>
          <w:lang w:val="en-US" w:eastAsia="zh-CN" w:bidi="ar"/>
        </w:rPr>
        <w:t>需满足的技术参数如下：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49"/>
        <w:gridCol w:w="7839"/>
      </w:tblGrid>
      <w:tr w14:paraId="5E80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34" w:type="pct"/>
            <w:shd w:val="clear" w:color="auto" w:fill="auto"/>
            <w:vAlign w:val="center"/>
          </w:tcPr>
          <w:p w14:paraId="1D669F4B">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指标项</w:t>
            </w:r>
          </w:p>
        </w:tc>
        <w:tc>
          <w:tcPr>
            <w:tcW w:w="4265" w:type="pct"/>
            <w:shd w:val="clear" w:color="auto" w:fill="auto"/>
            <w:vAlign w:val="center"/>
          </w:tcPr>
          <w:p w14:paraId="3D1954DE">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指标要求</w:t>
            </w:r>
          </w:p>
        </w:tc>
      </w:tr>
      <w:tr w14:paraId="2440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734" w:type="pct"/>
            <w:vMerge w:val="restart"/>
            <w:shd w:val="clear" w:color="auto" w:fill="auto"/>
            <w:vAlign w:val="center"/>
          </w:tcPr>
          <w:p w14:paraId="7F641973">
            <w:pPr>
              <w:bidi w:val="0"/>
              <w:ind w:left="0" w:leftChars="0"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多存储引擎服务能力</w:t>
            </w:r>
          </w:p>
        </w:tc>
        <w:tc>
          <w:tcPr>
            <w:tcW w:w="4265" w:type="pct"/>
            <w:shd w:val="clear" w:color="auto" w:fill="auto"/>
            <w:vAlign w:val="center"/>
          </w:tcPr>
          <w:p w14:paraId="04CA7BAC">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采用分布式存储技术，能实现海量数据存储能力，可支持 PB 级的存储量。</w:t>
            </w:r>
          </w:p>
        </w:tc>
      </w:tr>
      <w:tr w14:paraId="0BE2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34" w:type="pct"/>
            <w:vMerge w:val="continue"/>
            <w:shd w:val="clear" w:color="auto" w:fill="auto"/>
            <w:vAlign w:val="center"/>
          </w:tcPr>
          <w:p w14:paraId="15843731">
            <w:pPr>
              <w:bidi w:val="0"/>
              <w:rPr>
                <w:rFonts w:hint="eastAsia" w:ascii="仿宋" w:hAnsi="仿宋" w:eastAsia="仿宋" w:cs="仿宋"/>
                <w:color w:val="auto"/>
                <w:highlight w:val="none"/>
              </w:rPr>
            </w:pPr>
          </w:p>
        </w:tc>
        <w:tc>
          <w:tcPr>
            <w:tcW w:w="4265" w:type="pct"/>
            <w:shd w:val="clear" w:color="auto" w:fill="auto"/>
            <w:vAlign w:val="center"/>
          </w:tcPr>
          <w:p w14:paraId="47AE68E7">
            <w:pPr>
              <w:bidi w:val="0"/>
              <w:ind w:left="0" w:leftChars="0" w:firstLine="0" w:firstLineChars="0"/>
              <w:rPr>
                <w:rFonts w:hint="eastAsia" w:ascii="仿宋" w:hAnsi="仿宋" w:eastAsia="仿宋" w:cs="仿宋"/>
                <w:color w:val="auto"/>
                <w:highlight w:val="none"/>
                <w:lang w:eastAsia="zh-CN"/>
              </w:rPr>
            </w:pPr>
            <w:r>
              <w:rPr>
                <w:rFonts w:hint="eastAsia" w:ascii="仿宋" w:hAnsi="仿宋" w:eastAsia="仿宋" w:cs="仿宋"/>
                <w:b w:val="0"/>
                <w:bCs w:val="0"/>
                <w:color w:val="auto"/>
                <w:sz w:val="22"/>
                <w:szCs w:val="22"/>
                <w:highlight w:val="none"/>
              </w:rPr>
              <w:t>★</w:t>
            </w:r>
            <w:r>
              <w:rPr>
                <w:rFonts w:hint="eastAsia" w:ascii="仿宋" w:hAnsi="仿宋" w:eastAsia="仿宋" w:cs="仿宋"/>
                <w:color w:val="auto"/>
                <w:highlight w:val="none"/>
                <w:lang w:val="en-US" w:eastAsia="zh-CN"/>
              </w:rPr>
              <w:t>支持分布式消息队列服务能力，可以实时发布、订阅、存储和处理数据流，支持数据消费进度可重放、读写幂等。【须提供具备CMA或CNAS资质的第三方检测机构出具的产品功能/性能测评报告或同等效力有效证明文件，报告涵盖对应同类功能技术指标范畴，并加盖投标人公章及检测机构公章；未提供或内容未达对应指标范畴视为负偏离。】</w:t>
            </w:r>
          </w:p>
        </w:tc>
      </w:tr>
      <w:tr w14:paraId="31A9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734" w:type="pct"/>
            <w:vMerge w:val="restart"/>
            <w:shd w:val="clear" w:color="auto" w:fill="auto"/>
            <w:vAlign w:val="center"/>
          </w:tcPr>
          <w:p w14:paraId="330907AE">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湖仓一体能力</w:t>
            </w:r>
          </w:p>
        </w:tc>
        <w:tc>
          <w:tcPr>
            <w:tcW w:w="4265" w:type="pct"/>
            <w:shd w:val="clear" w:color="auto" w:fill="auto"/>
            <w:vAlign w:val="center"/>
          </w:tcPr>
          <w:p w14:paraId="2CA5854F">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支持对数据表进行插入数据、更新数据、删除数据、新增列、增删分区、重命名操作。</w:t>
            </w:r>
          </w:p>
        </w:tc>
      </w:tr>
      <w:tr w14:paraId="70DD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34" w:type="pct"/>
            <w:vMerge w:val="continue"/>
            <w:shd w:val="clear" w:color="auto" w:fill="auto"/>
            <w:vAlign w:val="center"/>
          </w:tcPr>
          <w:p w14:paraId="45C6D5E3">
            <w:pPr>
              <w:bidi w:val="0"/>
              <w:rPr>
                <w:rFonts w:hint="eastAsia" w:ascii="仿宋" w:hAnsi="仿宋" w:eastAsia="仿宋" w:cs="仿宋"/>
                <w:color w:val="auto"/>
                <w:highlight w:val="none"/>
              </w:rPr>
            </w:pPr>
          </w:p>
        </w:tc>
        <w:tc>
          <w:tcPr>
            <w:tcW w:w="4265" w:type="pct"/>
            <w:shd w:val="clear" w:color="auto" w:fill="auto"/>
            <w:vAlign w:val="center"/>
          </w:tcPr>
          <w:p w14:paraId="61297D3B">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▲支持创建Principal账号功能，并且账号在湖仓平台内可访问操作的资源进行授权。【须提供对应功能相关系统界面截图和技术说明资料并加盖投标人公章，未提供有效佐证材料视为该项不满足，作负偏离认定。】</w:t>
            </w:r>
          </w:p>
        </w:tc>
      </w:tr>
      <w:tr w14:paraId="6869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pct"/>
            <w:vMerge w:val="restart"/>
            <w:shd w:val="clear" w:color="auto" w:fill="auto"/>
            <w:vAlign w:val="center"/>
          </w:tcPr>
          <w:p w14:paraId="719FCC77">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批计算能力</w:t>
            </w:r>
          </w:p>
        </w:tc>
        <w:tc>
          <w:tcPr>
            <w:tcW w:w="4265" w:type="pct"/>
            <w:shd w:val="clear" w:color="auto" w:fill="auto"/>
            <w:vAlign w:val="center"/>
          </w:tcPr>
          <w:p w14:paraId="3D0AC7ED">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支持Spark计算框架，提供SparkSQL、SparkAPP处理接口，能实现数据分布式并行计算。支持运行Java/Python/Scala编程语言脚本。</w:t>
            </w:r>
          </w:p>
        </w:tc>
      </w:tr>
      <w:tr w14:paraId="2B3B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34" w:type="pct"/>
            <w:vMerge w:val="continue"/>
            <w:shd w:val="clear" w:color="auto" w:fill="auto"/>
            <w:vAlign w:val="center"/>
          </w:tcPr>
          <w:p w14:paraId="173A7ED6">
            <w:pPr>
              <w:bidi w:val="0"/>
              <w:rPr>
                <w:rFonts w:hint="eastAsia" w:ascii="仿宋" w:hAnsi="仿宋" w:eastAsia="仿宋" w:cs="仿宋"/>
                <w:color w:val="auto"/>
                <w:highlight w:val="none"/>
              </w:rPr>
            </w:pPr>
          </w:p>
        </w:tc>
        <w:tc>
          <w:tcPr>
            <w:tcW w:w="4265" w:type="pct"/>
            <w:shd w:val="clear" w:color="auto" w:fill="auto"/>
            <w:vAlign w:val="center"/>
          </w:tcPr>
          <w:p w14:paraId="15279ADF">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支持基于SQL 的批数据处理模式，支持内置函数库，提供包括数学函数、字符串函数、日期函数和窗口函数、聚合函数的数据分析功能。</w:t>
            </w:r>
          </w:p>
        </w:tc>
      </w:tr>
      <w:tr w14:paraId="7C37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pct"/>
            <w:vMerge w:val="continue"/>
            <w:shd w:val="clear" w:color="auto" w:fill="auto"/>
            <w:vAlign w:val="center"/>
          </w:tcPr>
          <w:p w14:paraId="4F5FEBCF">
            <w:pPr>
              <w:bidi w:val="0"/>
              <w:rPr>
                <w:rFonts w:hint="eastAsia" w:ascii="仿宋" w:hAnsi="仿宋" w:eastAsia="仿宋" w:cs="仿宋"/>
                <w:color w:val="auto"/>
                <w:highlight w:val="none"/>
              </w:rPr>
            </w:pPr>
          </w:p>
        </w:tc>
        <w:tc>
          <w:tcPr>
            <w:tcW w:w="4265" w:type="pct"/>
            <w:shd w:val="clear" w:color="auto" w:fill="auto"/>
            <w:vAlign w:val="center"/>
          </w:tcPr>
          <w:p w14:paraId="2B5E6BF8">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支持用户创建自定义函数，包括UDF（用户自定义函数）、UDAF（用户自定义聚合函数）和UDTF（用户自定义表生成函数）。</w:t>
            </w:r>
          </w:p>
        </w:tc>
      </w:tr>
      <w:tr w14:paraId="5218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4" w:type="pct"/>
            <w:vMerge w:val="restart"/>
            <w:shd w:val="clear" w:color="auto" w:fill="auto"/>
            <w:vAlign w:val="center"/>
          </w:tcPr>
          <w:p w14:paraId="5ADFC3D6">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安全性</w:t>
            </w:r>
          </w:p>
        </w:tc>
        <w:tc>
          <w:tcPr>
            <w:tcW w:w="4265" w:type="pct"/>
            <w:shd w:val="clear" w:color="auto" w:fill="auto"/>
            <w:vAlign w:val="center"/>
          </w:tcPr>
          <w:p w14:paraId="4535A0A7">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支持记录数据的操作审计日志功能，为事后审计提供数据支撑。</w:t>
            </w:r>
          </w:p>
        </w:tc>
      </w:tr>
      <w:tr w14:paraId="15DD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4" w:hRule="atLeast"/>
        </w:trPr>
        <w:tc>
          <w:tcPr>
            <w:tcW w:w="734" w:type="pct"/>
            <w:vMerge w:val="continue"/>
            <w:shd w:val="clear" w:color="auto" w:fill="auto"/>
            <w:vAlign w:val="center"/>
          </w:tcPr>
          <w:p w14:paraId="2B9849CE">
            <w:pPr>
              <w:bidi w:val="0"/>
              <w:rPr>
                <w:rFonts w:hint="eastAsia" w:ascii="仿宋" w:hAnsi="仿宋" w:eastAsia="仿宋" w:cs="仿宋"/>
                <w:color w:val="auto"/>
                <w:highlight w:val="none"/>
              </w:rPr>
            </w:pPr>
          </w:p>
        </w:tc>
        <w:tc>
          <w:tcPr>
            <w:tcW w:w="4265" w:type="pct"/>
            <w:shd w:val="clear" w:color="auto" w:fill="auto"/>
            <w:vAlign w:val="center"/>
          </w:tcPr>
          <w:p w14:paraId="5554DB25">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将物理资源划分为逻辑资源池功能，防止资源抢占，提升资源使用效率，即不同的租户可以独占不同的资源池，也可以共享一个资源池。【须提供对应功能相关系统界面截图和技术说明资料并加盖投标人公章，未提供有效佐证材料视为该项不满足，作负偏离认定。】</w:t>
            </w:r>
          </w:p>
        </w:tc>
      </w:tr>
      <w:tr w14:paraId="4AD6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34" w:type="pct"/>
            <w:vMerge w:val="restart"/>
            <w:shd w:val="clear" w:color="auto" w:fill="auto"/>
            <w:vAlign w:val="center"/>
          </w:tcPr>
          <w:p w14:paraId="2CED03B7">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运维监控</w:t>
            </w:r>
          </w:p>
        </w:tc>
        <w:tc>
          <w:tcPr>
            <w:tcW w:w="4265" w:type="pct"/>
            <w:shd w:val="clear" w:color="auto" w:fill="auto"/>
            <w:vAlign w:val="center"/>
          </w:tcPr>
          <w:p w14:paraId="26E06E2C">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提供对底层分布式文件系统、资源调度系统服务监控功能。</w:t>
            </w:r>
          </w:p>
        </w:tc>
      </w:tr>
      <w:tr w14:paraId="2DBB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0" w:hRule="atLeast"/>
        </w:trPr>
        <w:tc>
          <w:tcPr>
            <w:tcW w:w="734" w:type="pct"/>
            <w:vMerge w:val="continue"/>
            <w:shd w:val="clear" w:color="auto" w:fill="auto"/>
            <w:vAlign w:val="center"/>
          </w:tcPr>
          <w:p w14:paraId="210A5AAF">
            <w:pPr>
              <w:bidi w:val="0"/>
              <w:rPr>
                <w:rFonts w:hint="eastAsia" w:ascii="仿宋" w:hAnsi="仿宋" w:eastAsia="仿宋" w:cs="仿宋"/>
                <w:color w:val="auto"/>
                <w:highlight w:val="none"/>
              </w:rPr>
            </w:pPr>
          </w:p>
        </w:tc>
        <w:tc>
          <w:tcPr>
            <w:tcW w:w="4265" w:type="pct"/>
            <w:shd w:val="clear" w:color="auto" w:fill="auto"/>
            <w:vAlign w:val="center"/>
          </w:tcPr>
          <w:p w14:paraId="1742C38B">
            <w:pPr>
              <w:bidi w:val="0"/>
              <w:ind w:left="0" w:leftChars="0" w:firstLine="0" w:firstLineChars="0"/>
              <w:rPr>
                <w:rFonts w:hint="eastAsia" w:ascii="仿宋" w:hAnsi="仿宋" w:eastAsia="仿宋" w:cs="仿宋"/>
                <w:color w:val="auto"/>
                <w:highlight w:val="none"/>
              </w:rPr>
            </w:pPr>
            <w:r>
              <w:rPr>
                <w:rFonts w:hint="eastAsia" w:ascii="仿宋" w:hAnsi="仿宋" w:eastAsia="仿宋" w:cs="仿宋"/>
                <w:b w:val="0"/>
                <w:bCs w:val="0"/>
                <w:color w:val="auto"/>
                <w:sz w:val="22"/>
                <w:szCs w:val="22"/>
                <w:highlight w:val="none"/>
              </w:rPr>
              <w:t>★</w:t>
            </w:r>
            <w:r>
              <w:rPr>
                <w:rFonts w:hint="eastAsia" w:ascii="仿宋" w:hAnsi="仿宋" w:eastAsia="仿宋" w:cs="仿宋"/>
                <w:color w:val="auto"/>
                <w:highlight w:val="none"/>
                <w:lang w:val="en-US" w:eastAsia="zh-CN"/>
              </w:rPr>
              <w:t>支持Kafka的运维管理功能，包含Kafka集群，</w:t>
            </w:r>
            <w:r>
              <w:rPr>
                <w:rFonts w:hint="eastAsia" w:ascii="仿宋" w:hAnsi="仿宋" w:eastAsia="仿宋" w:cs="仿宋"/>
                <w:color w:val="auto"/>
                <w:highlight w:val="none"/>
                <w:lang w:val="en-US"/>
              </w:rPr>
              <w:t>包括但不限于</w:t>
            </w:r>
            <w:r>
              <w:rPr>
                <w:rFonts w:hint="eastAsia" w:ascii="仿宋" w:hAnsi="仿宋" w:eastAsia="仿宋" w:cs="仿宋"/>
                <w:color w:val="auto"/>
                <w:highlight w:val="none"/>
                <w:lang w:val="en-US" w:eastAsia="zh-CN"/>
              </w:rPr>
              <w:t>Broker，Topic和Consumer多维度的监控和统计指标展示：如Broker每秒流入流出的字节数；Topic 的分区和数据分布情况，Topic的流量每秒流入的消息数，每秒流入流出的字节数；支持集群Topic、Partition等功能。【须提供具备CMA或CNAS资质的第三方检测机构出具的产品功能/性能测评报告或同等效力有效证明文件，报告涵盖对应同类功能技术指标范畴，并加盖投标人公章及检测机构公章；未提供或内容未达对应指标范畴视为负偏离。】</w:t>
            </w:r>
          </w:p>
        </w:tc>
      </w:tr>
      <w:tr w14:paraId="1BFA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34" w:type="pct"/>
            <w:shd w:val="clear" w:color="auto" w:fill="auto"/>
            <w:vAlign w:val="center"/>
          </w:tcPr>
          <w:p w14:paraId="283B4F0D">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高可用性和扩展性</w:t>
            </w:r>
          </w:p>
        </w:tc>
        <w:tc>
          <w:tcPr>
            <w:tcW w:w="4265" w:type="pct"/>
            <w:shd w:val="clear" w:color="auto" w:fill="auto"/>
            <w:vAlign w:val="center"/>
          </w:tcPr>
          <w:p w14:paraId="06A0B4B3">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一键扩容功能，实现计算能力和存储容量同步扩展；支持包括但不限于Hbase服务节点、YARN计算服务节点、Kafka服务节点、ES服务节点的独立扩容。【须提供对应功能相关系统界面截图和技术说明资料并加盖投标人公章，未提供有效佐证材料视为该项不满足，作负偏离认定。】</w:t>
            </w:r>
          </w:p>
        </w:tc>
      </w:tr>
    </w:tbl>
    <w:p w14:paraId="102FEE57">
      <w:pPr>
        <w:numPr>
          <w:ilvl w:val="0"/>
          <w:numId w:val="0"/>
        </w:numPr>
        <w:ind w:leftChars="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1.2 </w:t>
      </w:r>
      <w:r>
        <w:rPr>
          <w:rFonts w:hint="eastAsia" w:ascii="仿宋" w:hAnsi="仿宋" w:eastAsia="仿宋" w:cs="仿宋"/>
          <w:b/>
          <w:bCs/>
          <w:color w:val="auto"/>
          <w:sz w:val="24"/>
          <w:szCs w:val="24"/>
          <w:highlight w:val="none"/>
        </w:rPr>
        <w:t>数据集成平台</w:t>
      </w:r>
      <w:r>
        <w:rPr>
          <w:rFonts w:hint="eastAsia" w:ascii="仿宋" w:hAnsi="仿宋" w:eastAsia="仿宋" w:cs="仿宋"/>
          <w:b/>
          <w:bCs/>
          <w:color w:val="auto"/>
          <w:sz w:val="24"/>
          <w:szCs w:val="24"/>
          <w:highlight w:val="none"/>
          <w:lang w:val="en-US" w:eastAsia="zh-CN"/>
        </w:rPr>
        <w:t>服务</w:t>
      </w:r>
    </w:p>
    <w:p w14:paraId="6299A205">
      <w:pPr>
        <w:numPr>
          <w:ilvl w:val="0"/>
          <w:numId w:val="0"/>
        </w:numPr>
        <w:ind w:lef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建设数据集成平台服务，实现大部分主流的关系型数据库、文件服务、对象存储、物联网协议、时序数据库等多达 100 种以上的数据源的数据集成接入。平台须支持学校现有数据集成平台中所有 ETL 作业、同步任务、数据源连接配置的</w:t>
      </w:r>
      <w:r>
        <w:rPr>
          <w:rFonts w:hint="eastAsia" w:ascii="仿宋" w:hAnsi="仿宋" w:eastAsia="仿宋" w:cs="仿宋"/>
          <w:color w:val="auto"/>
          <w:sz w:val="24"/>
          <w:szCs w:val="24"/>
          <w:highlight w:val="none"/>
          <w:lang w:val="en-US" w:eastAsia="zh-CN"/>
        </w:rPr>
        <w:t>平滑</w:t>
      </w:r>
      <w:r>
        <w:rPr>
          <w:rFonts w:hint="eastAsia" w:ascii="仿宋" w:hAnsi="仿宋" w:eastAsia="仿宋" w:cs="仿宋"/>
          <w:color w:val="auto"/>
          <w:sz w:val="24"/>
          <w:szCs w:val="24"/>
          <w:highlight w:val="none"/>
        </w:rPr>
        <w:t>导入与迁移，迁移后所有任务须保持原有调度策略与执行逻辑不变，运行结果与迁移前一致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支持运行信息推送运维监控模块，自动实现数据集成、数据治理、数据开发的全链路血缘和数据连接的断点续传、自动建表、数据探查，数据源、转换和作业的引用关系管理和显示等。</w:t>
      </w:r>
      <w:r>
        <w:rPr>
          <w:rFonts w:hint="eastAsia" w:ascii="仿宋" w:hAnsi="仿宋" w:eastAsia="仿宋" w:cs="仿宋"/>
          <w:color w:val="auto"/>
          <w:sz w:val="24"/>
          <w:szCs w:val="24"/>
          <w:highlight w:val="none"/>
          <w:lang w:val="en-US" w:eastAsia="zh-CN"/>
        </w:rPr>
        <w:t>需满足的技术参数如下：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31"/>
        <w:gridCol w:w="7857"/>
      </w:tblGrid>
      <w:tr w14:paraId="6555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724" w:type="pct"/>
            <w:shd w:val="clear" w:color="auto" w:fill="auto"/>
            <w:vAlign w:val="center"/>
          </w:tcPr>
          <w:p w14:paraId="487F5B57">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指标项</w:t>
            </w:r>
          </w:p>
        </w:tc>
        <w:tc>
          <w:tcPr>
            <w:tcW w:w="4275" w:type="pct"/>
            <w:shd w:val="clear" w:color="auto" w:fill="auto"/>
            <w:vAlign w:val="center"/>
          </w:tcPr>
          <w:p w14:paraId="6C03B87D">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指标要求</w:t>
            </w:r>
          </w:p>
        </w:tc>
      </w:tr>
      <w:tr w14:paraId="1317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724" w:type="pct"/>
            <w:vMerge w:val="restart"/>
            <w:shd w:val="clear" w:color="auto" w:fill="auto"/>
            <w:vAlign w:val="center"/>
          </w:tcPr>
          <w:p w14:paraId="01C98E4F">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适配多种数据资源</w:t>
            </w:r>
          </w:p>
        </w:tc>
        <w:tc>
          <w:tcPr>
            <w:tcW w:w="4275" w:type="pct"/>
            <w:shd w:val="clear" w:color="auto" w:fill="auto"/>
            <w:vAlign w:val="center"/>
          </w:tcPr>
          <w:p w14:paraId="1EE971D9">
            <w:pPr>
              <w:bidi w:val="0"/>
              <w:ind w:left="0" w:leftChars="0" w:firstLine="0" w:firstLineChars="0"/>
              <w:rPr>
                <w:rFonts w:hint="eastAsia" w:ascii="仿宋" w:hAnsi="仿宋" w:eastAsia="仿宋" w:cs="仿宋"/>
                <w:color w:val="auto"/>
                <w:highlight w:val="none"/>
                <w:lang w:eastAsia="zh-CN"/>
              </w:rPr>
            </w:pPr>
            <w:r>
              <w:rPr>
                <w:rFonts w:hint="eastAsia" w:ascii="仿宋" w:hAnsi="仿宋" w:eastAsia="仿宋" w:cs="仿宋"/>
                <w:b w:val="0"/>
                <w:bCs w:val="0"/>
                <w:color w:val="auto"/>
                <w:sz w:val="22"/>
                <w:szCs w:val="22"/>
                <w:highlight w:val="none"/>
              </w:rPr>
              <w:t>★</w:t>
            </w:r>
            <w:r>
              <w:rPr>
                <w:rFonts w:hint="eastAsia" w:ascii="仿宋" w:hAnsi="仿宋" w:eastAsia="仿宋" w:cs="仿宋"/>
                <w:color w:val="auto"/>
                <w:highlight w:val="none"/>
                <w:lang w:val="en-US" w:eastAsia="zh-CN"/>
              </w:rPr>
              <w:t>支持适配各种关系型数据接入，包括但不限于Oracle、MySQL、SQL Server、PostgreSQL、MongoDB、Sybase、Teradata和DM、GBase、GaussDB、KingbaseES等。【须提供具备CMA或CNAS资质的第三方检测机构出具的产品功能/性能测评报告或同等效力有效证明文件，报告涵盖对应同类功能技术指标范畴，并加盖投标人公章及检测机构公章；未提供或内容未达对应指标范畴视为负偏离。】</w:t>
            </w:r>
          </w:p>
        </w:tc>
      </w:tr>
      <w:tr w14:paraId="58E4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24" w:type="pct"/>
            <w:vMerge w:val="continue"/>
            <w:shd w:val="clear" w:color="auto" w:fill="auto"/>
            <w:vAlign w:val="center"/>
          </w:tcPr>
          <w:p w14:paraId="11838202">
            <w:pPr>
              <w:bidi w:val="0"/>
              <w:rPr>
                <w:rFonts w:hint="eastAsia" w:ascii="仿宋" w:hAnsi="仿宋" w:eastAsia="仿宋" w:cs="仿宋"/>
                <w:color w:val="auto"/>
                <w:highlight w:val="none"/>
              </w:rPr>
            </w:pPr>
          </w:p>
        </w:tc>
        <w:tc>
          <w:tcPr>
            <w:tcW w:w="4275" w:type="pct"/>
            <w:shd w:val="clear" w:color="auto" w:fill="auto"/>
            <w:vAlign w:val="center"/>
          </w:tcPr>
          <w:p w14:paraId="757D2A27">
            <w:pPr>
              <w:bidi w:val="0"/>
              <w:ind w:left="0" w:leftChars="0" w:firstLine="0" w:firstLineChars="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支持文件搬移与文件解析功能；支持文件夹或目录增量同步功能；支持针对文件夹的子文件夹及文件增、删、改操作的实时增量同步功能。【须提供对应功能相关系统界面截图和技术说明资料并加盖投标人公章，未提供有效佐证材料视为该项不满足，作负偏离认定。】</w:t>
            </w:r>
          </w:p>
        </w:tc>
      </w:tr>
      <w:tr w14:paraId="6134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vMerge w:val="restart"/>
            <w:shd w:val="clear" w:color="auto" w:fill="auto"/>
            <w:vAlign w:val="center"/>
          </w:tcPr>
          <w:p w14:paraId="474E3C05">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基础功能</w:t>
            </w:r>
          </w:p>
        </w:tc>
        <w:tc>
          <w:tcPr>
            <w:tcW w:w="4275" w:type="pct"/>
            <w:shd w:val="clear" w:color="auto" w:fill="auto"/>
            <w:vAlign w:val="center"/>
          </w:tcPr>
          <w:p w14:paraId="2D9D5F5F">
            <w:pPr>
              <w:bidi w:val="0"/>
              <w:ind w:left="0" w:leftChars="0" w:firstLine="0" w:firstLineChars="0"/>
              <w:rPr>
                <w:rFonts w:hint="eastAsia" w:ascii="仿宋" w:hAnsi="仿宋" w:eastAsia="仿宋" w:cs="仿宋"/>
                <w:color w:val="auto"/>
                <w:highlight w:val="none"/>
                <w:lang w:eastAsia="zh-CN"/>
              </w:rPr>
            </w:pPr>
            <w:r>
              <w:rPr>
                <w:rFonts w:hint="eastAsia" w:ascii="仿宋" w:hAnsi="仿宋" w:eastAsia="仿宋" w:cs="仿宋"/>
                <w:b w:val="0"/>
                <w:bCs w:val="0"/>
                <w:color w:val="auto"/>
                <w:sz w:val="22"/>
                <w:szCs w:val="22"/>
                <w:highlight w:val="none"/>
              </w:rPr>
              <w:t>★</w:t>
            </w:r>
            <w:r>
              <w:rPr>
                <w:rFonts w:hint="eastAsia" w:ascii="仿宋" w:hAnsi="仿宋" w:eastAsia="仿宋" w:cs="仿宋"/>
                <w:color w:val="auto"/>
                <w:highlight w:val="none"/>
                <w:lang w:val="en-US" w:eastAsia="zh-CN"/>
              </w:rPr>
              <w:t>支持基于日志的数据库实时增量数据抽取功能，如Oracle、MySQL;</w:t>
            </w:r>
            <w:r>
              <w:rPr>
                <w:rFonts w:hint="eastAsia" w:ascii="仿宋" w:hAnsi="仿宋" w:eastAsia="仿宋" w:cs="仿宋"/>
                <w:color w:val="auto"/>
                <w:highlight w:val="none"/>
                <w:lang w:val="en-US" w:eastAsia="zh-CN"/>
              </w:rPr>
              <w:br w:type="textWrapping"/>
            </w:r>
            <w:r>
              <w:rPr>
                <w:rFonts w:hint="eastAsia" w:ascii="仿宋" w:hAnsi="仿宋" w:eastAsia="仿宋" w:cs="仿宋"/>
                <w:color w:val="auto"/>
                <w:highlight w:val="none"/>
                <w:lang w:val="en-US" w:eastAsia="zh-CN"/>
              </w:rPr>
              <w:t>支持至少一种基于日志的可插拔数据库的实时增量数据抽取功能；</w:t>
            </w:r>
            <w:r>
              <w:rPr>
                <w:rFonts w:hint="eastAsia" w:ascii="仿宋" w:hAnsi="仿宋" w:eastAsia="仿宋" w:cs="仿宋"/>
                <w:color w:val="auto"/>
                <w:highlight w:val="none"/>
                <w:lang w:val="en-US" w:eastAsia="zh-CN"/>
              </w:rPr>
              <w:br w:type="textWrapping"/>
            </w:r>
            <w:r>
              <w:rPr>
                <w:rFonts w:hint="eastAsia" w:ascii="仿宋" w:hAnsi="仿宋" w:eastAsia="仿宋" w:cs="仿宋"/>
                <w:color w:val="auto"/>
                <w:highlight w:val="none"/>
                <w:lang w:val="en-US" w:eastAsia="zh-CN"/>
              </w:rPr>
              <w:t>支持至少一种基于日志的分布式数据库增量同步功能。【须提供具备CMA或CNAS资质的第三方检测机构出具的产品功能/性能测评报告或同等效力有效证明文件，报告涵盖对应同类功能技术指标范畴，并加盖投标人公章及检测机构公章；未提供或内容未达对应指标范畴视为负偏离。】</w:t>
            </w:r>
          </w:p>
        </w:tc>
      </w:tr>
      <w:tr w14:paraId="3B76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4" w:type="pct"/>
            <w:vMerge w:val="continue"/>
            <w:shd w:val="clear" w:color="auto" w:fill="auto"/>
            <w:vAlign w:val="center"/>
          </w:tcPr>
          <w:p w14:paraId="4AC70567">
            <w:pPr>
              <w:bidi w:val="0"/>
              <w:rPr>
                <w:rFonts w:hint="eastAsia" w:ascii="仿宋" w:hAnsi="仿宋" w:eastAsia="仿宋" w:cs="仿宋"/>
                <w:color w:val="auto"/>
                <w:highlight w:val="none"/>
              </w:rPr>
            </w:pPr>
          </w:p>
        </w:tc>
        <w:tc>
          <w:tcPr>
            <w:tcW w:w="4275" w:type="pct"/>
            <w:shd w:val="clear" w:color="auto" w:fill="auto"/>
            <w:vAlign w:val="top"/>
          </w:tcPr>
          <w:p w14:paraId="5AC3F8E3">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支持基于日志的国产数据库（达梦、金仓等）实时增量数据抽取功能。</w:t>
            </w:r>
          </w:p>
        </w:tc>
      </w:tr>
      <w:tr w14:paraId="48A8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24" w:type="pct"/>
            <w:shd w:val="clear" w:color="auto" w:fill="auto"/>
            <w:vAlign w:val="center"/>
          </w:tcPr>
          <w:p w14:paraId="0D437941">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海量文件同步功能</w:t>
            </w:r>
          </w:p>
        </w:tc>
        <w:tc>
          <w:tcPr>
            <w:tcW w:w="4275" w:type="pct"/>
            <w:shd w:val="clear" w:color="auto" w:fill="auto"/>
            <w:vAlign w:val="center"/>
          </w:tcPr>
          <w:p w14:paraId="4722E58D">
            <w:pPr>
              <w:bidi w:val="0"/>
              <w:ind w:left="0" w:leftChars="0" w:firstLine="0" w:firstLineChars="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针对海量文件（10000+以上文件），支持批量操作功能，支持批量选择传输文件，自动进行文件传输的功能；支持批量过滤功能，支持根据文件名批量过滤并选择文件进行传输的功能。【须提供对应功能相关系统界面截图和技术说明资料并加盖投标人公章，未提供有效佐证材料视为该项不满足，作负偏离认定。】</w:t>
            </w:r>
          </w:p>
        </w:tc>
      </w:tr>
      <w:tr w14:paraId="6D6A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0" w:hRule="atLeast"/>
        </w:trPr>
        <w:tc>
          <w:tcPr>
            <w:tcW w:w="724" w:type="pct"/>
            <w:shd w:val="clear" w:color="auto" w:fill="auto"/>
            <w:vAlign w:val="center"/>
          </w:tcPr>
          <w:p w14:paraId="31C23B09">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安全性</w:t>
            </w:r>
          </w:p>
        </w:tc>
        <w:tc>
          <w:tcPr>
            <w:tcW w:w="4275" w:type="pct"/>
            <w:shd w:val="clear" w:color="auto" w:fill="auto"/>
            <w:vAlign w:val="center"/>
          </w:tcPr>
          <w:p w14:paraId="13670907">
            <w:pPr>
              <w:bidi w:val="0"/>
              <w:ind w:left="0" w:leftChars="0" w:firstLine="0" w:firstLineChars="0"/>
              <w:rPr>
                <w:rFonts w:hint="eastAsia" w:ascii="仿宋" w:hAnsi="仿宋" w:eastAsia="仿宋" w:cs="仿宋"/>
                <w:b w:val="0"/>
                <w:bCs w:val="0"/>
                <w:color w:val="auto"/>
                <w:highlight w:val="none"/>
                <w:lang w:val="en-US" w:eastAsia="zh-CN"/>
              </w:rPr>
            </w:pPr>
            <w:r>
              <w:rPr>
                <w:rFonts w:hint="eastAsia" w:ascii="仿宋" w:hAnsi="仿宋" w:eastAsia="仿宋" w:cs="仿宋"/>
                <w:color w:val="auto"/>
                <w:highlight w:val="none"/>
                <w:lang w:val="en-US" w:eastAsia="zh-CN"/>
              </w:rPr>
              <w:t>▲</w:t>
            </w:r>
            <w:r>
              <w:rPr>
                <w:rFonts w:hint="eastAsia" w:ascii="仿宋" w:hAnsi="仿宋" w:eastAsia="仿宋" w:cs="仿宋"/>
                <w:b w:val="0"/>
                <w:bCs w:val="0"/>
                <w:color w:val="auto"/>
                <w:highlight w:val="none"/>
                <w:lang w:val="en-US" w:eastAsia="zh-CN"/>
              </w:rPr>
              <w:t>支持加密传输功能：支持国密算法（SM2、SM4等）以及AES、3DES等常见数据加密交换功能，能够实现数据加解密；支持数据日期类型、INT类型等非字符串类型字段的数据加解密；支持数据传输通道加密功能(SSL)。</w:t>
            </w: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p>
        </w:tc>
      </w:tr>
    </w:tbl>
    <w:p w14:paraId="592063A5">
      <w:pPr>
        <w:numPr>
          <w:ilvl w:val="0"/>
          <w:numId w:val="0"/>
        </w:numPr>
        <w:ind w:leftChars="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1.3 </w:t>
      </w:r>
      <w:r>
        <w:rPr>
          <w:rFonts w:hint="eastAsia" w:ascii="仿宋" w:hAnsi="仿宋" w:eastAsia="仿宋" w:cs="仿宋"/>
          <w:b/>
          <w:bCs/>
          <w:color w:val="auto"/>
          <w:sz w:val="24"/>
          <w:szCs w:val="24"/>
          <w:highlight w:val="none"/>
        </w:rPr>
        <w:t>数据集成开发平台</w:t>
      </w:r>
      <w:r>
        <w:rPr>
          <w:rFonts w:hint="eastAsia" w:ascii="仿宋" w:hAnsi="仿宋" w:eastAsia="仿宋" w:cs="仿宋"/>
          <w:b/>
          <w:bCs/>
          <w:color w:val="auto"/>
          <w:sz w:val="24"/>
          <w:szCs w:val="24"/>
          <w:highlight w:val="none"/>
          <w:lang w:val="en-US" w:eastAsia="zh-CN"/>
        </w:rPr>
        <w:t>服务</w:t>
      </w:r>
    </w:p>
    <w:p w14:paraId="0F8DA1A3">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bidi="ar"/>
        </w:rPr>
        <w:t>建设数据集成开发平台服务，实现可视化、低代码方式的工作流开发、数据集成、数据清洗等全流程、一站式开发组件。平台须兼容学校现有数据开发规范与脚本格式，支持现有 SparkSQL、Python、Shell 等开发脚本的直接导入与运行，无需重新编写，保护前期开发成果。基于统一开发管理界面，通过图形化操作，实现流程编排和全流程任务调度。</w:t>
      </w:r>
      <w:r>
        <w:rPr>
          <w:rFonts w:hint="eastAsia" w:ascii="仿宋" w:hAnsi="仿宋" w:eastAsia="仿宋" w:cs="仿宋"/>
          <w:color w:val="auto"/>
          <w:sz w:val="24"/>
          <w:szCs w:val="24"/>
          <w:highlight w:val="none"/>
          <w:u w:val="none"/>
          <w:lang w:val="en-US" w:eastAsia="zh-CN" w:bidi="ar"/>
        </w:rPr>
        <w:t>需满足的技术参数如下：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49"/>
        <w:gridCol w:w="7839"/>
      </w:tblGrid>
      <w:tr w14:paraId="6B32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pct"/>
            <w:shd w:val="clear" w:color="auto" w:fill="auto"/>
            <w:vAlign w:val="center"/>
          </w:tcPr>
          <w:p w14:paraId="3669BAAE">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指标项</w:t>
            </w:r>
          </w:p>
        </w:tc>
        <w:tc>
          <w:tcPr>
            <w:tcW w:w="4265" w:type="pct"/>
            <w:shd w:val="clear" w:color="auto" w:fill="auto"/>
            <w:vAlign w:val="center"/>
          </w:tcPr>
          <w:p w14:paraId="15D4CACE">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指标要求</w:t>
            </w:r>
          </w:p>
        </w:tc>
      </w:tr>
      <w:tr w14:paraId="4A8D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5" w:hRule="atLeast"/>
        </w:trPr>
        <w:tc>
          <w:tcPr>
            <w:tcW w:w="734" w:type="pct"/>
            <w:vMerge w:val="restart"/>
            <w:shd w:val="clear" w:color="auto" w:fill="auto"/>
            <w:vAlign w:val="center"/>
          </w:tcPr>
          <w:p w14:paraId="08AA1074">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离线开发</w:t>
            </w:r>
          </w:p>
        </w:tc>
        <w:tc>
          <w:tcPr>
            <w:tcW w:w="4265" w:type="pct"/>
            <w:shd w:val="clear" w:color="auto" w:fill="auto"/>
            <w:vAlign w:val="center"/>
          </w:tcPr>
          <w:p w14:paraId="0D1B5A19">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支持SparkSQL、Spark、数据清洗、SubWorkflow（子工作流）等数据开发类型节点。</w:t>
            </w:r>
          </w:p>
        </w:tc>
      </w:tr>
      <w:tr w14:paraId="78AB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0" w:hRule="atLeast"/>
        </w:trPr>
        <w:tc>
          <w:tcPr>
            <w:tcW w:w="734" w:type="pct"/>
            <w:vMerge w:val="continue"/>
            <w:shd w:val="clear" w:color="auto" w:fill="auto"/>
            <w:vAlign w:val="center"/>
          </w:tcPr>
          <w:p w14:paraId="0B0F4246">
            <w:pPr>
              <w:bidi w:val="0"/>
              <w:rPr>
                <w:rFonts w:hint="eastAsia" w:ascii="仿宋" w:hAnsi="仿宋" w:eastAsia="仿宋" w:cs="仿宋"/>
                <w:color w:val="auto"/>
                <w:highlight w:val="none"/>
              </w:rPr>
            </w:pPr>
          </w:p>
        </w:tc>
        <w:tc>
          <w:tcPr>
            <w:tcW w:w="4265" w:type="pct"/>
            <w:shd w:val="clear" w:color="auto" w:fill="auto"/>
            <w:vAlign w:val="center"/>
          </w:tcPr>
          <w:p w14:paraId="26E3BC65">
            <w:pPr>
              <w:bidi w:val="0"/>
              <w:ind w:left="0" w:leftChars="0" w:firstLine="0" w:firstLineChars="0"/>
              <w:rPr>
                <w:rFonts w:hint="eastAsia" w:ascii="仿宋" w:hAnsi="仿宋" w:eastAsia="仿宋" w:cs="仿宋"/>
                <w:color w:val="auto"/>
                <w:highlight w:val="none"/>
                <w:lang w:eastAsia="zh-CN"/>
              </w:rPr>
            </w:pPr>
            <w:r>
              <w:rPr>
                <w:rFonts w:hint="eastAsia" w:ascii="仿宋" w:hAnsi="仿宋" w:eastAsia="仿宋" w:cs="仿宋"/>
                <w:b w:val="0"/>
                <w:bCs w:val="0"/>
                <w:color w:val="auto"/>
                <w:sz w:val="22"/>
                <w:szCs w:val="22"/>
                <w:highlight w:val="none"/>
              </w:rPr>
              <w:t>★</w:t>
            </w:r>
            <w:r>
              <w:rPr>
                <w:rFonts w:hint="eastAsia" w:ascii="仿宋" w:hAnsi="仿宋" w:eastAsia="仿宋" w:cs="仿宋"/>
                <w:color w:val="auto"/>
                <w:highlight w:val="none"/>
                <w:lang w:val="en-US" w:eastAsia="zh-CN"/>
              </w:rPr>
              <w:t>支持多种数据开发类型节点，包括但不限于：SparkSQL、Spark、PhoenixSQL、GaussDBSQL、数据清洗、SubWorkflow（子工作流）、达梦SQL、金仓SQL等。【须提供具备CMA或CNAS资质的第三方检测机构出具的产品功能/性能测评报告或同等效力有效证明文件，报告涵盖对应同类功能技术指标范畴，并加盖投标人公章及检测机构公章；未提供或内容未达对应指标范畴视为负偏离。】</w:t>
            </w:r>
          </w:p>
        </w:tc>
      </w:tr>
      <w:tr w14:paraId="7570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 w:hRule="atLeast"/>
        </w:trPr>
        <w:tc>
          <w:tcPr>
            <w:tcW w:w="734" w:type="pct"/>
            <w:vMerge w:val="restart"/>
            <w:shd w:val="clear" w:color="auto" w:fill="auto"/>
            <w:vAlign w:val="center"/>
          </w:tcPr>
          <w:p w14:paraId="6121D834">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湖仓一体管理</w:t>
            </w:r>
          </w:p>
        </w:tc>
        <w:tc>
          <w:tcPr>
            <w:tcW w:w="4265" w:type="pct"/>
            <w:shd w:val="clear" w:color="auto" w:fill="auto"/>
            <w:vAlign w:val="center"/>
          </w:tcPr>
          <w:p w14:paraId="5C97BADB">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针对湖仓一体使用场景，可以通过一个作业实现从传统数据库（如MySQL）全量同步，也能从流式数据库（如Kafka）增量同步到湖仓一体数据引擎的过程。</w:t>
            </w:r>
          </w:p>
        </w:tc>
      </w:tr>
      <w:tr w14:paraId="5778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34" w:type="pct"/>
            <w:vMerge w:val="continue"/>
            <w:shd w:val="clear" w:color="auto" w:fill="auto"/>
            <w:vAlign w:val="center"/>
          </w:tcPr>
          <w:p w14:paraId="37087E09">
            <w:pPr>
              <w:bidi w:val="0"/>
              <w:rPr>
                <w:rFonts w:hint="eastAsia" w:ascii="仿宋" w:hAnsi="仿宋" w:eastAsia="仿宋" w:cs="仿宋"/>
                <w:color w:val="auto"/>
                <w:highlight w:val="none"/>
              </w:rPr>
            </w:pPr>
          </w:p>
        </w:tc>
        <w:tc>
          <w:tcPr>
            <w:tcW w:w="4265" w:type="pct"/>
            <w:shd w:val="clear" w:color="auto" w:fill="auto"/>
            <w:vAlign w:val="center"/>
          </w:tcPr>
          <w:p w14:paraId="167C97B1">
            <w:pPr>
              <w:bidi w:val="0"/>
              <w:ind w:left="0" w:leftChars="0" w:firstLine="0" w:firstLineChars="0"/>
              <w:rPr>
                <w:rFonts w:hint="eastAsia" w:ascii="仿宋" w:hAnsi="仿宋" w:eastAsia="仿宋" w:cs="仿宋"/>
                <w:color w:val="auto"/>
                <w:highlight w:val="none"/>
                <w:lang w:eastAsia="zh-CN"/>
              </w:rPr>
            </w:pPr>
            <w:r>
              <w:rPr>
                <w:rFonts w:hint="eastAsia" w:ascii="仿宋" w:hAnsi="仿宋" w:eastAsia="仿宋" w:cs="仿宋"/>
                <w:b w:val="0"/>
                <w:bCs w:val="0"/>
                <w:color w:val="auto"/>
                <w:sz w:val="22"/>
                <w:szCs w:val="22"/>
                <w:highlight w:val="none"/>
              </w:rPr>
              <w:t>★</w:t>
            </w:r>
            <w:r>
              <w:rPr>
                <w:rFonts w:hint="eastAsia" w:ascii="仿宋" w:hAnsi="仿宋" w:eastAsia="仿宋" w:cs="仿宋"/>
                <w:color w:val="auto"/>
                <w:highlight w:val="none"/>
                <w:lang w:val="en-US" w:eastAsia="zh-CN"/>
              </w:rPr>
              <w:t>支持湖仓一体表管理能力，能够对湖仓一体表进行事务处理、数据增加、删除、修改、数据压缩和重排及数据快照。【须提供具备CMA或CNAS资质的第三方检测机构出具的产品功能/性能测评报告或同等效力有效证明文件，报告涵盖对应同类功能技术指标范畴，并加盖投标人公章及检测机构公章；未提供或内容未达对应指标范畴视为负偏离。】</w:t>
            </w:r>
          </w:p>
        </w:tc>
      </w:tr>
      <w:tr w14:paraId="1D7C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34" w:type="pct"/>
            <w:vMerge w:val="restart"/>
            <w:shd w:val="clear" w:color="auto" w:fill="auto"/>
            <w:vAlign w:val="center"/>
          </w:tcPr>
          <w:p w14:paraId="09CC2A82">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数据清洗</w:t>
            </w:r>
          </w:p>
        </w:tc>
        <w:tc>
          <w:tcPr>
            <w:tcW w:w="4265" w:type="pct"/>
            <w:shd w:val="clear" w:color="auto" w:fill="auto"/>
            <w:vAlign w:val="center"/>
          </w:tcPr>
          <w:p w14:paraId="3EDF97C6">
            <w:pPr>
              <w:bidi w:val="0"/>
              <w:ind w:left="0" w:leftChars="0" w:firstLine="0" w:firstLineChars="0"/>
              <w:rPr>
                <w:rFonts w:hint="eastAsia" w:ascii="仿宋" w:hAnsi="仿宋" w:eastAsia="仿宋" w:cs="仿宋"/>
                <w:color w:val="auto"/>
                <w:highlight w:val="none"/>
                <w:lang w:eastAsia="zh-CN"/>
              </w:rPr>
            </w:pPr>
            <w:r>
              <w:rPr>
                <w:rFonts w:hint="eastAsia" w:ascii="仿宋" w:hAnsi="仿宋" w:eastAsia="仿宋" w:cs="仿宋"/>
                <w:b w:val="0"/>
                <w:bCs w:val="0"/>
                <w:color w:val="auto"/>
                <w:sz w:val="22"/>
                <w:szCs w:val="22"/>
                <w:highlight w:val="none"/>
              </w:rPr>
              <w:t>★</w:t>
            </w:r>
            <w:r>
              <w:rPr>
                <w:rFonts w:hint="eastAsia" w:ascii="仿宋" w:hAnsi="仿宋" w:eastAsia="仿宋" w:cs="仿宋"/>
                <w:color w:val="auto"/>
                <w:highlight w:val="none"/>
                <w:lang w:val="en-US" w:eastAsia="zh-CN"/>
              </w:rPr>
              <w:t>支持内置的数据清洗和过滤组件。过滤组件应包括但不限于：长度过滤、正则过滤、空值过滤、比较过滤；清洗组件应包括但不限于：全角半角转换、类型转换、字典标准化、日期标准化、身份证校验转换、去除特定字符、去除空白字符、字符串截取、手机号校验、条件判断、表达式处理、数据去重；自定义组件应包括但不限于：SQL、JS自定义清洗，规则库。【须提供具备CMA或CNAS资质的第三方检测机构出具的产品功能/性能测评报告或同等效力有效证明文件，报告涵盖对应同类功能技术指标范畴，并加盖投标人公章及检测机构公章；未提供或内容未达对应指标范畴视为负偏离。】</w:t>
            </w:r>
          </w:p>
        </w:tc>
      </w:tr>
      <w:tr w14:paraId="6ADF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8" w:hRule="atLeast"/>
        </w:trPr>
        <w:tc>
          <w:tcPr>
            <w:tcW w:w="734" w:type="pct"/>
            <w:vMerge w:val="continue"/>
            <w:shd w:val="clear" w:color="auto" w:fill="auto"/>
            <w:vAlign w:val="center"/>
          </w:tcPr>
          <w:p w14:paraId="23FAA9F1">
            <w:pPr>
              <w:bidi w:val="0"/>
              <w:rPr>
                <w:rFonts w:hint="eastAsia" w:ascii="仿宋" w:hAnsi="仿宋" w:eastAsia="仿宋" w:cs="仿宋"/>
                <w:color w:val="auto"/>
                <w:highlight w:val="none"/>
              </w:rPr>
            </w:pPr>
          </w:p>
        </w:tc>
        <w:tc>
          <w:tcPr>
            <w:tcW w:w="4265" w:type="pct"/>
            <w:shd w:val="clear" w:color="auto" w:fill="auto"/>
            <w:vAlign w:val="center"/>
          </w:tcPr>
          <w:p w14:paraId="4DC65701">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智能清洗功能，能够根据规则自动生成清洗配置。支持依据数据表字段的属性、字段关联的数据元生成清洗规则，规则应包括但不限于：根据值域为字典表推荐出字典标准化，根据值域为日期推荐出日期标准化，根据命名实体为身份证推荐出身份证标准化，根据命名实体为手机号码推荐出手机号码转换。【须提供对应功能相关系统界面截图和技术说明资料并加盖投标人公章，未提供有效佐证材料视为该项不满足，作负偏离认定。】</w:t>
            </w:r>
          </w:p>
        </w:tc>
      </w:tr>
      <w:tr w14:paraId="2A42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5" w:hRule="atLeast"/>
        </w:trPr>
        <w:tc>
          <w:tcPr>
            <w:tcW w:w="734" w:type="pct"/>
            <w:vMerge w:val="restart"/>
            <w:shd w:val="clear" w:color="auto" w:fill="auto"/>
            <w:vAlign w:val="center"/>
          </w:tcPr>
          <w:p w14:paraId="54B2EDD0">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安全性</w:t>
            </w:r>
          </w:p>
        </w:tc>
        <w:tc>
          <w:tcPr>
            <w:tcW w:w="4265" w:type="pct"/>
            <w:shd w:val="clear" w:color="auto" w:fill="auto"/>
            <w:vAlign w:val="center"/>
          </w:tcPr>
          <w:p w14:paraId="560688C4">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支持用户角色权限控制功能，应包括系统管理员、租户管理员、工作空间管理员、开发人员和运维人员，不同的角色拥有不同的运维权限，用户只能查看到自己拥有权限的空间相关的运维信息。</w:t>
            </w:r>
          </w:p>
        </w:tc>
      </w:tr>
      <w:tr w14:paraId="18E4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0" w:hRule="atLeast"/>
        </w:trPr>
        <w:tc>
          <w:tcPr>
            <w:tcW w:w="734" w:type="pct"/>
            <w:vMerge w:val="continue"/>
            <w:shd w:val="clear" w:color="auto" w:fill="auto"/>
            <w:vAlign w:val="center"/>
          </w:tcPr>
          <w:p w14:paraId="22D9E4AB">
            <w:pPr>
              <w:bidi w:val="0"/>
              <w:rPr>
                <w:rFonts w:hint="eastAsia" w:ascii="仿宋" w:hAnsi="仿宋" w:eastAsia="仿宋" w:cs="仿宋"/>
                <w:color w:val="auto"/>
                <w:highlight w:val="none"/>
              </w:rPr>
            </w:pPr>
          </w:p>
        </w:tc>
        <w:tc>
          <w:tcPr>
            <w:tcW w:w="4265" w:type="pct"/>
            <w:shd w:val="clear" w:color="auto" w:fill="auto"/>
            <w:vAlign w:val="center"/>
          </w:tcPr>
          <w:p w14:paraId="450C54C4">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▲支持Spark SQL节点加密功能，能够实现代码可用不可见。【须提供对应功能相关系统界面截图和技术说明资料并加盖投标人公章，未提供有效佐证材料视为该项不满足，作负偏离认定。】</w:t>
            </w:r>
          </w:p>
        </w:tc>
      </w:tr>
      <w:tr w14:paraId="69B2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0" w:hRule="atLeast"/>
        </w:trPr>
        <w:tc>
          <w:tcPr>
            <w:tcW w:w="734" w:type="pct"/>
            <w:shd w:val="clear" w:color="auto" w:fill="auto"/>
            <w:vAlign w:val="center"/>
          </w:tcPr>
          <w:p w14:paraId="1BC32FEE">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跨数据源开发</w:t>
            </w:r>
          </w:p>
        </w:tc>
        <w:tc>
          <w:tcPr>
            <w:tcW w:w="4265" w:type="pct"/>
            <w:shd w:val="clear" w:color="auto" w:fill="auto"/>
            <w:vAlign w:val="center"/>
          </w:tcPr>
          <w:p w14:paraId="0B4B9B51">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支持跨数据源的开发任务，可在一个数据开发任务中选择多个异构数据源作为数据输入，并支持使用连接组件将多个输入数据源进行关联。</w:t>
            </w:r>
          </w:p>
        </w:tc>
      </w:tr>
    </w:tbl>
    <w:p w14:paraId="2137DBD1">
      <w:pPr>
        <w:widowControl w:val="0"/>
        <w:numPr>
          <w:ilvl w:val="0"/>
          <w:numId w:val="0"/>
        </w:numPr>
        <w:spacing w:line="360" w:lineRule="auto"/>
        <w:jc w:val="both"/>
        <w:rPr>
          <w:rFonts w:hint="eastAsia" w:ascii="仿宋" w:hAnsi="仿宋" w:eastAsia="仿宋" w:cs="仿宋"/>
          <w:color w:val="auto"/>
          <w:sz w:val="24"/>
          <w:szCs w:val="24"/>
          <w:highlight w:val="none"/>
        </w:rPr>
      </w:pPr>
    </w:p>
    <w:p w14:paraId="51BBC3FF">
      <w:pPr>
        <w:keepNext w:val="0"/>
        <w:keepLines w:val="0"/>
        <w:pageBreakBefore w:val="0"/>
        <w:widowControl w:val="0"/>
        <w:numPr>
          <w:ilvl w:val="0"/>
          <w:numId w:val="4"/>
        </w:numPr>
        <w:kinsoku/>
        <w:wordWrap/>
        <w:overflowPunct/>
        <w:topLinePunct w:val="0"/>
        <w:autoSpaceDE/>
        <w:autoSpaceDN/>
        <w:bidi w:val="0"/>
        <w:adjustRightInd/>
        <w:snapToGrid/>
        <w:ind w:left="-200" w:leftChars="0" w:firstLine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数据治理平台</w:t>
      </w:r>
    </w:p>
    <w:p w14:paraId="09883359">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eastAsia="zh-CN" w:bidi="ar"/>
        </w:rPr>
        <w:t>建设学校数据治理平台，以 "零代码"、"模板化" 方式实现学校数据全域治理管控，并建设数据共享开放平台、数据资产管理平台、数据采集与统一填报平台（一张表/一表通）。平台须与学校现有数据治理体系无缝衔接，支持现有元数据、数据标准、数据模型、质量规则、资产目录的完整迁移与复用，实现治理工作的连续性，</w:t>
      </w:r>
      <w:r>
        <w:rPr>
          <w:rFonts w:hint="eastAsia" w:ascii="仿宋" w:hAnsi="仿宋" w:eastAsia="仿宋" w:cs="仿宋"/>
          <w:color w:val="auto"/>
          <w:sz w:val="24"/>
          <w:szCs w:val="24"/>
          <w:highlight w:val="none"/>
          <w:u w:val="none"/>
          <w:lang w:val="en-US" w:bidi="ar"/>
        </w:rPr>
        <w:t>将数据调研、数据探查、元数据管理、数据标准、数据模型、数据输出、数据质量管控、数据共享开放、数据资产管理等过程集成在统一的数据管理平台和</w:t>
      </w:r>
      <w:r>
        <w:rPr>
          <w:rFonts w:hint="eastAsia" w:ascii="仿宋" w:hAnsi="仿宋" w:eastAsia="仿宋" w:cs="仿宋"/>
          <w:color w:val="auto"/>
          <w:sz w:val="24"/>
          <w:szCs w:val="24"/>
          <w:highlight w:val="none"/>
          <w:u w:val="none"/>
          <w:lang w:val="en-US" w:eastAsia="zh-CN" w:bidi="ar"/>
        </w:rPr>
        <w:t>数据采集与统一填报</w:t>
      </w:r>
      <w:r>
        <w:rPr>
          <w:rFonts w:hint="eastAsia" w:ascii="仿宋" w:hAnsi="仿宋" w:eastAsia="仿宋" w:cs="仿宋"/>
          <w:color w:val="auto"/>
          <w:sz w:val="24"/>
          <w:szCs w:val="24"/>
          <w:highlight w:val="none"/>
          <w:u w:val="none"/>
          <w:lang w:val="en-US" w:bidi="ar"/>
        </w:rPr>
        <w:t>平台</w:t>
      </w:r>
      <w:r>
        <w:rPr>
          <w:rFonts w:hint="eastAsia" w:ascii="仿宋" w:hAnsi="仿宋" w:eastAsia="仿宋" w:cs="仿宋"/>
          <w:color w:val="auto"/>
          <w:sz w:val="24"/>
          <w:szCs w:val="24"/>
          <w:highlight w:val="none"/>
          <w:u w:val="none"/>
          <w:lang w:val="en-US" w:eastAsia="zh-CN" w:bidi="ar"/>
        </w:rPr>
        <w:t>（</w:t>
      </w:r>
      <w:r>
        <w:rPr>
          <w:rFonts w:hint="eastAsia" w:ascii="仿宋" w:hAnsi="仿宋" w:eastAsia="仿宋" w:cs="仿宋"/>
          <w:color w:val="auto"/>
          <w:sz w:val="24"/>
          <w:szCs w:val="24"/>
          <w:highlight w:val="none"/>
          <w:u w:val="none"/>
          <w:lang w:val="en-US" w:bidi="ar"/>
        </w:rPr>
        <w:t>一</w:t>
      </w:r>
      <w:r>
        <w:rPr>
          <w:rFonts w:hint="eastAsia" w:ascii="仿宋" w:hAnsi="仿宋" w:eastAsia="仿宋" w:cs="仿宋"/>
          <w:color w:val="auto"/>
          <w:sz w:val="24"/>
          <w:szCs w:val="24"/>
          <w:highlight w:val="none"/>
          <w:u w:val="none"/>
          <w:lang w:val="en-US" w:eastAsia="zh-CN" w:bidi="ar"/>
        </w:rPr>
        <w:t>张表/一表通）</w:t>
      </w:r>
      <w:r>
        <w:rPr>
          <w:rFonts w:hint="eastAsia" w:ascii="仿宋" w:hAnsi="仿宋" w:eastAsia="仿宋" w:cs="仿宋"/>
          <w:color w:val="auto"/>
          <w:sz w:val="24"/>
          <w:szCs w:val="24"/>
          <w:highlight w:val="none"/>
          <w:u w:val="none"/>
          <w:lang w:val="en-US" w:bidi="ar"/>
        </w:rPr>
        <w:t>上，提供元数据、数据标准、数据模型、数据质量、数据安全、数据资源门户、数据资产管理、数据资源目录、数据地图、</w:t>
      </w:r>
      <w:r>
        <w:rPr>
          <w:rFonts w:hint="eastAsia" w:ascii="仿宋" w:hAnsi="仿宋" w:eastAsia="仿宋" w:cs="仿宋"/>
          <w:color w:val="auto"/>
          <w:sz w:val="24"/>
          <w:szCs w:val="24"/>
          <w:highlight w:val="none"/>
          <w:u w:val="none"/>
          <w:lang w:val="en-US" w:eastAsia="zh-CN" w:bidi="ar"/>
        </w:rPr>
        <w:t>数据采集与统一填报</w:t>
      </w:r>
      <w:r>
        <w:rPr>
          <w:rFonts w:hint="eastAsia" w:ascii="仿宋" w:hAnsi="仿宋" w:eastAsia="仿宋" w:cs="仿宋"/>
          <w:color w:val="auto"/>
          <w:sz w:val="24"/>
          <w:szCs w:val="24"/>
          <w:highlight w:val="none"/>
          <w:u w:val="none"/>
          <w:lang w:val="en-US" w:bidi="ar"/>
        </w:rPr>
        <w:t>平台</w:t>
      </w:r>
      <w:r>
        <w:rPr>
          <w:rFonts w:hint="eastAsia" w:ascii="仿宋" w:hAnsi="仿宋" w:eastAsia="仿宋" w:cs="仿宋"/>
          <w:color w:val="auto"/>
          <w:sz w:val="24"/>
          <w:szCs w:val="24"/>
          <w:highlight w:val="none"/>
          <w:u w:val="none"/>
          <w:lang w:val="en-US" w:eastAsia="zh-CN" w:bidi="ar"/>
        </w:rPr>
        <w:t>（</w:t>
      </w:r>
      <w:r>
        <w:rPr>
          <w:rFonts w:hint="eastAsia" w:ascii="仿宋" w:hAnsi="仿宋" w:eastAsia="仿宋" w:cs="仿宋"/>
          <w:color w:val="auto"/>
          <w:sz w:val="24"/>
          <w:szCs w:val="24"/>
          <w:highlight w:val="none"/>
          <w:u w:val="none"/>
          <w:lang w:val="en-US" w:bidi="ar"/>
        </w:rPr>
        <w:t>一</w:t>
      </w:r>
      <w:r>
        <w:rPr>
          <w:rFonts w:hint="eastAsia" w:ascii="仿宋" w:hAnsi="仿宋" w:eastAsia="仿宋" w:cs="仿宋"/>
          <w:color w:val="auto"/>
          <w:sz w:val="24"/>
          <w:szCs w:val="24"/>
          <w:highlight w:val="none"/>
          <w:u w:val="none"/>
          <w:lang w:val="en-US" w:eastAsia="zh-CN" w:bidi="ar"/>
        </w:rPr>
        <w:t>张表/一表通）</w:t>
      </w:r>
      <w:r>
        <w:rPr>
          <w:rFonts w:hint="eastAsia" w:ascii="仿宋" w:hAnsi="仿宋" w:eastAsia="仿宋" w:cs="仿宋"/>
          <w:color w:val="auto"/>
          <w:sz w:val="24"/>
          <w:szCs w:val="24"/>
          <w:highlight w:val="none"/>
          <w:u w:val="none"/>
          <w:lang w:val="en-US" w:bidi="ar"/>
        </w:rPr>
        <w:t>等核心模块，实现一体化全流程数据治理、数据共享开放、数据资产管理可控，形成学校数据资源 "一张图"，全链路、自动化数据血缘分析，为学校提供一套 "看得见、用得懂、治得好" 的体系化的全流程、端到端的标准化数据治理工作台，为数据和业务部门之间建立统一、在线的沟通桥梁，落实"一数一源"，保障数据准确、安全、可用。</w:t>
      </w:r>
    </w:p>
    <w:p w14:paraId="6C530D5A">
      <w:pPr>
        <w:numPr>
          <w:ilvl w:val="0"/>
          <w:numId w:val="0"/>
        </w:numPr>
        <w:ind w:leftChars="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2.1 元数据管理服务</w:t>
      </w:r>
    </w:p>
    <w:p w14:paraId="2EA251BE">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提供从源系统、数据湖、数据仓库、数据集成、数据目录、数据模型等环节的元数据采集，并对其进行变更后的版本管理。根据其相互之间的关系，形成有效的血缘关系分析和影响度分析，为数据管理人员和使用人员在定位及解决数据问题方面提供有力的支撑，具体功能要求如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9"/>
        <w:gridCol w:w="7839"/>
      </w:tblGrid>
      <w:tr w14:paraId="70FA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B9A4C">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指标项</w:t>
            </w:r>
          </w:p>
        </w:tc>
        <w:tc>
          <w:tcPr>
            <w:tcW w:w="4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F1B9">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指标要求</w:t>
            </w:r>
          </w:p>
        </w:tc>
      </w:tr>
      <w:tr w14:paraId="1E363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 w:hRule="atLeast"/>
        </w:trPr>
        <w:tc>
          <w:tcPr>
            <w:tcW w:w="73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8F59896">
            <w:pPr>
              <w:bidi w:val="0"/>
              <w:ind w:left="0" w:leftChars="0"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元数据采集和管理</w:t>
            </w:r>
          </w:p>
        </w:tc>
        <w:tc>
          <w:tcPr>
            <w:tcW w:w="4265" w:type="pct"/>
            <w:tcBorders>
              <w:top w:val="single" w:color="000000" w:sz="4" w:space="0"/>
              <w:left w:val="single" w:color="000000" w:sz="4" w:space="0"/>
              <w:bottom w:val="single" w:color="auto" w:sz="4" w:space="0"/>
              <w:right w:val="single" w:color="000000" w:sz="4" w:space="0"/>
            </w:tcBorders>
            <w:shd w:val="clear" w:color="auto" w:fill="auto"/>
            <w:vAlign w:val="center"/>
          </w:tcPr>
          <w:p w14:paraId="29F1D8EC">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各种主流类型的数据存储和处理平台，包括但不限于MySQL、Hive、Oracle，GaussDB、DM等，可提供元数据信息展示和动态更新【须提供对应功能相关系统界面截图和技术说明资料并加盖投标人公章，未提供有效佐证材料视为该项不满足，作负偏离认定。】</w:t>
            </w:r>
          </w:p>
        </w:tc>
      </w:tr>
      <w:tr w14:paraId="0735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4" w:type="pct"/>
            <w:vMerge w:val="restart"/>
            <w:tcBorders>
              <w:top w:val="single" w:color="auto" w:sz="4" w:space="0"/>
              <w:left w:val="single" w:color="auto" w:sz="4" w:space="0"/>
              <w:right w:val="single" w:color="000000" w:sz="4" w:space="0"/>
            </w:tcBorders>
            <w:shd w:val="clear" w:color="auto" w:fill="auto"/>
            <w:vAlign w:val="center"/>
          </w:tcPr>
          <w:p w14:paraId="564ECA7C">
            <w:pPr>
              <w:bidi w:val="0"/>
              <w:ind w:left="0" w:leftChars="0"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数据探查</w:t>
            </w:r>
          </w:p>
        </w:tc>
        <w:tc>
          <w:tcPr>
            <w:tcW w:w="4265" w:type="pct"/>
            <w:tcBorders>
              <w:top w:val="single" w:color="auto" w:sz="4" w:space="0"/>
              <w:left w:val="single" w:color="000000" w:sz="4" w:space="0"/>
              <w:bottom w:val="single" w:color="000000" w:sz="4" w:space="0"/>
              <w:right w:val="single" w:color="auto" w:sz="4" w:space="0"/>
            </w:tcBorders>
            <w:shd w:val="clear" w:color="auto" w:fill="auto"/>
            <w:vAlign w:val="center"/>
          </w:tcPr>
          <w:p w14:paraId="21FA24D2">
            <w:pPr>
              <w:bidi w:val="0"/>
              <w:ind w:left="0" w:leftChars="0" w:firstLine="0" w:firstLineChars="0"/>
              <w:rPr>
                <w:rFonts w:hint="eastAsia" w:ascii="仿宋" w:hAnsi="仿宋" w:eastAsia="仿宋" w:cs="仿宋"/>
                <w:color w:val="auto"/>
                <w:highlight w:val="none"/>
                <w:lang w:eastAsia="zh-CN"/>
              </w:rPr>
            </w:pPr>
            <w:r>
              <w:rPr>
                <w:rFonts w:hint="eastAsia" w:ascii="仿宋" w:hAnsi="仿宋" w:eastAsia="仿宋" w:cs="仿宋"/>
                <w:b w:val="0"/>
                <w:bCs w:val="0"/>
                <w:color w:val="auto"/>
                <w:sz w:val="22"/>
                <w:szCs w:val="22"/>
                <w:highlight w:val="none"/>
              </w:rPr>
              <w:t>★</w:t>
            </w:r>
            <w:r>
              <w:rPr>
                <w:rFonts w:hint="eastAsia" w:ascii="仿宋" w:hAnsi="仿宋" w:eastAsia="仿宋" w:cs="仿宋"/>
                <w:color w:val="auto"/>
                <w:highlight w:val="none"/>
                <w:lang w:val="en-US" w:eastAsia="zh-CN"/>
              </w:rPr>
              <w:t>支持智能对标功能，能够提供机器学习（或其他智能化方式）算法建立数据元和表字段的数据关联，提高探查智能化水平和效率。【须提供具备CMA或CNAS资质的第三方检测机构出具的产品功能/性能测评报告或同等效力有效证明文件，报告涵盖对应同类功能技术指标范畴，并加盖投标人公章及检测机构公章；未提供或内容未达对应指标范畴视为负偏离。】</w:t>
            </w:r>
          </w:p>
        </w:tc>
      </w:tr>
      <w:tr w14:paraId="0DEB5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4" w:type="pct"/>
            <w:vMerge w:val="continue"/>
            <w:tcBorders>
              <w:left w:val="single" w:color="auto" w:sz="4" w:space="0"/>
              <w:bottom w:val="single" w:color="auto" w:sz="4" w:space="0"/>
              <w:right w:val="single" w:color="000000" w:sz="4" w:space="0"/>
            </w:tcBorders>
            <w:shd w:val="clear" w:color="auto" w:fill="auto"/>
            <w:vAlign w:val="center"/>
          </w:tcPr>
          <w:p w14:paraId="62E97E05">
            <w:pPr>
              <w:bidi w:val="0"/>
              <w:ind w:left="0" w:leftChars="0" w:firstLine="0" w:firstLineChars="0"/>
              <w:jc w:val="center"/>
              <w:rPr>
                <w:rFonts w:hint="eastAsia" w:ascii="仿宋" w:hAnsi="仿宋" w:eastAsia="仿宋" w:cs="仿宋"/>
                <w:color w:val="auto"/>
                <w:highlight w:val="none"/>
                <w:lang w:val="en-US" w:eastAsia="zh-CN"/>
              </w:rPr>
            </w:pPr>
          </w:p>
        </w:tc>
        <w:tc>
          <w:tcPr>
            <w:tcW w:w="4265" w:type="pct"/>
            <w:tcBorders>
              <w:top w:val="nil"/>
              <w:left w:val="single" w:color="000000" w:sz="4" w:space="0"/>
              <w:bottom w:val="single" w:color="auto" w:sz="4" w:space="0"/>
              <w:right w:val="single" w:color="auto" w:sz="4" w:space="0"/>
            </w:tcBorders>
            <w:shd w:val="clear" w:color="auto" w:fill="auto"/>
            <w:vAlign w:val="center"/>
          </w:tcPr>
          <w:p w14:paraId="38FD193F">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▲支持自动生成数据对象的全链路分析图，支持字段级别数据来源和去向定位。【须提供对应功能相关系统界面截图和技术说明资料并加盖投标人公章，未提供有效佐证材料视为该项不满足，作负偏离认定。】</w:t>
            </w:r>
          </w:p>
        </w:tc>
      </w:tr>
      <w:tr w14:paraId="53BA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tcBorders>
              <w:top w:val="single" w:color="auto" w:sz="4" w:space="0"/>
              <w:left w:val="single" w:color="000000" w:sz="4" w:space="0"/>
              <w:bottom w:val="single" w:color="auto" w:sz="4" w:space="0"/>
              <w:right w:val="single" w:color="000000" w:sz="4" w:space="0"/>
            </w:tcBorders>
            <w:shd w:val="clear" w:color="auto" w:fill="auto"/>
            <w:vAlign w:val="center"/>
          </w:tcPr>
          <w:p w14:paraId="205EEDF1">
            <w:pPr>
              <w:bidi w:val="0"/>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数据血缘</w:t>
            </w:r>
          </w:p>
        </w:tc>
        <w:tc>
          <w:tcPr>
            <w:tcW w:w="4265" w:type="pct"/>
            <w:tcBorders>
              <w:top w:val="single" w:color="auto" w:sz="4" w:space="0"/>
              <w:left w:val="single" w:color="000000" w:sz="4" w:space="0"/>
              <w:bottom w:val="single" w:color="auto" w:sz="4" w:space="0"/>
              <w:right w:val="single" w:color="000000" w:sz="4" w:space="0"/>
            </w:tcBorders>
            <w:shd w:val="clear" w:color="auto" w:fill="auto"/>
            <w:vAlign w:val="center"/>
          </w:tcPr>
          <w:p w14:paraId="32C9D952">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支持全链路数据血缘的查看及分析，支持全流程数据血缘（包含采集、加工、共享分发）；能够展示细粒度的数据血缘关系，包括不限于数据表级、字段级数据血缘关系展示。【须提供对应功能相关系统界面截图和技术说明资料并加盖投标人公章，未提供有效佐证材料视为该项不满足，作负偏离认定。】</w:t>
            </w:r>
          </w:p>
        </w:tc>
      </w:tr>
      <w:tr w14:paraId="0492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4" w:type="pct"/>
            <w:tcBorders>
              <w:top w:val="single" w:color="auto" w:sz="4" w:space="0"/>
              <w:left w:val="single" w:color="000000" w:sz="4" w:space="0"/>
              <w:bottom w:val="single" w:color="auto" w:sz="4" w:space="0"/>
              <w:right w:val="single" w:color="000000" w:sz="4" w:space="0"/>
            </w:tcBorders>
            <w:shd w:val="clear" w:color="auto" w:fill="auto"/>
            <w:vAlign w:val="center"/>
          </w:tcPr>
          <w:p w14:paraId="0FDABC58">
            <w:pPr>
              <w:bidi w:val="0"/>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版本管理</w:t>
            </w:r>
          </w:p>
        </w:tc>
        <w:tc>
          <w:tcPr>
            <w:tcW w:w="4265" w:type="pct"/>
            <w:tcBorders>
              <w:top w:val="single" w:color="auto" w:sz="4" w:space="0"/>
              <w:left w:val="single" w:color="000000" w:sz="4" w:space="0"/>
              <w:bottom w:val="single" w:color="auto" w:sz="4" w:space="0"/>
              <w:right w:val="single" w:color="000000" w:sz="4" w:space="0"/>
            </w:tcBorders>
            <w:shd w:val="clear" w:color="auto" w:fill="auto"/>
            <w:vAlign w:val="center"/>
          </w:tcPr>
          <w:p w14:paraId="25713BFF">
            <w:pPr>
              <w:bidi w:val="0"/>
              <w:ind w:left="0" w:leftChars="0" w:firstLine="0" w:firstLineChars="0"/>
              <w:rPr>
                <w:rFonts w:hint="eastAsia" w:ascii="仿宋" w:hAnsi="仿宋" w:eastAsia="仿宋" w:cs="仿宋"/>
                <w:color w:val="auto"/>
                <w:kern w:val="2"/>
                <w:sz w:val="22"/>
                <w:szCs w:val="22"/>
                <w:highlight w:val="none"/>
                <w:lang w:val="en-US" w:eastAsia="zh-CN" w:bidi="ar-SA"/>
                <w14:ligatures w14:val="none"/>
              </w:rPr>
            </w:pPr>
            <w:r>
              <w:rPr>
                <w:rFonts w:hint="eastAsia" w:ascii="仿宋" w:hAnsi="仿宋" w:eastAsia="仿宋" w:cs="仿宋"/>
                <w:color w:val="auto"/>
                <w:highlight w:val="none"/>
                <w:lang w:val="en-US" w:eastAsia="zh-CN"/>
              </w:rPr>
              <w:t>支持元数据版本管理功能，记录元数据历史版本、差异比较。</w:t>
            </w:r>
          </w:p>
        </w:tc>
      </w:tr>
      <w:tr w14:paraId="2B78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4" w:type="pct"/>
            <w:tcBorders>
              <w:top w:val="single" w:color="auto" w:sz="4" w:space="0"/>
              <w:left w:val="single" w:color="000000" w:sz="4" w:space="0"/>
              <w:bottom w:val="single" w:color="auto" w:sz="4" w:space="0"/>
              <w:right w:val="single" w:color="000000" w:sz="4" w:space="0"/>
            </w:tcBorders>
            <w:shd w:val="clear" w:color="auto" w:fill="auto"/>
            <w:vAlign w:val="center"/>
          </w:tcPr>
          <w:p w14:paraId="203EB2AA">
            <w:pPr>
              <w:bidi w:val="0"/>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元数据分类</w:t>
            </w:r>
          </w:p>
        </w:tc>
        <w:tc>
          <w:tcPr>
            <w:tcW w:w="4265" w:type="pct"/>
            <w:tcBorders>
              <w:top w:val="single" w:color="auto" w:sz="4" w:space="0"/>
              <w:left w:val="single" w:color="000000" w:sz="4" w:space="0"/>
              <w:bottom w:val="single" w:color="auto" w:sz="4" w:space="0"/>
              <w:right w:val="single" w:color="000000" w:sz="4" w:space="0"/>
            </w:tcBorders>
            <w:shd w:val="clear" w:color="auto" w:fill="auto"/>
            <w:vAlign w:val="center"/>
          </w:tcPr>
          <w:p w14:paraId="1840AB09">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支持从技术元数据、业务元数据、管理元数据三个维度对元数据进行结构化描述。</w:t>
            </w:r>
          </w:p>
        </w:tc>
      </w:tr>
      <w:tr w14:paraId="59D0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tcBorders>
              <w:top w:val="single" w:color="auto" w:sz="4" w:space="0"/>
              <w:left w:val="single" w:color="000000" w:sz="4" w:space="0"/>
              <w:bottom w:val="single" w:color="auto" w:sz="4" w:space="0"/>
              <w:right w:val="single" w:color="000000" w:sz="4" w:space="0"/>
            </w:tcBorders>
            <w:shd w:val="clear" w:color="auto" w:fill="auto"/>
            <w:vAlign w:val="center"/>
          </w:tcPr>
          <w:p w14:paraId="2599DDEE">
            <w:pPr>
              <w:bidi w:val="0"/>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字段级管理</w:t>
            </w:r>
          </w:p>
        </w:tc>
        <w:tc>
          <w:tcPr>
            <w:tcW w:w="4265" w:type="pct"/>
            <w:tcBorders>
              <w:top w:val="single" w:color="auto" w:sz="4" w:space="0"/>
              <w:left w:val="single" w:color="000000" w:sz="4" w:space="0"/>
              <w:bottom w:val="single" w:color="auto" w:sz="4" w:space="0"/>
              <w:right w:val="single" w:color="000000" w:sz="4" w:space="0"/>
            </w:tcBorders>
            <w:shd w:val="clear" w:color="auto" w:fill="auto"/>
            <w:vAlign w:val="center"/>
          </w:tcPr>
          <w:p w14:paraId="53E386AB">
            <w:pPr>
              <w:bidi w:val="0"/>
              <w:ind w:left="0" w:leftChars="0" w:firstLine="0" w:firstLineChars="0"/>
              <w:rPr>
                <w:rFonts w:hint="eastAsia" w:ascii="仿宋" w:hAnsi="仿宋" w:eastAsia="仿宋" w:cs="仿宋"/>
                <w:color w:val="auto"/>
                <w:kern w:val="2"/>
                <w:sz w:val="22"/>
                <w:szCs w:val="22"/>
                <w:highlight w:val="none"/>
                <w:lang w:val="en-US" w:eastAsia="zh-CN" w:bidi="ar-SA"/>
                <w14:ligatures w14:val="none"/>
              </w:rPr>
            </w:pPr>
            <w:r>
              <w:rPr>
                <w:rFonts w:hint="eastAsia" w:ascii="仿宋" w:hAnsi="仿宋" w:eastAsia="仿宋" w:cs="仿宋"/>
                <w:color w:val="auto"/>
                <w:highlight w:val="none"/>
              </w:rPr>
              <w:t>通过按不同维度进行字段信息快速定位</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通过列表的形式展示数据库表的字段信息，并能够对用户选择的字段进行数据探查操作、数据对标操作，同时可以进行数据字段的格式转换。</w:t>
            </w:r>
          </w:p>
        </w:tc>
      </w:tr>
    </w:tbl>
    <w:p w14:paraId="19B70904">
      <w:pPr>
        <w:numPr>
          <w:ilvl w:val="0"/>
          <w:numId w:val="0"/>
        </w:numPr>
        <w:ind w:leftChars="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2.2 数据标准管理服务</w:t>
      </w:r>
    </w:p>
    <w:p w14:paraId="3F70DE26">
      <w:pPr>
        <w:widowControl w:val="0"/>
        <w:numPr>
          <w:ilvl w:val="0"/>
          <w:numId w:val="0"/>
        </w:numPr>
        <w:spacing w:line="360" w:lineRule="auto"/>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提供数据标准的制定、修订、删除等全生命周期的标准过程管理，指导学校校数据模型建设、编码规则制定和参考数据（代码表）的建设，具体功能要求如下：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9"/>
        <w:gridCol w:w="7839"/>
      </w:tblGrid>
      <w:tr w14:paraId="2DAB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tcBorders>
              <w:top w:val="single" w:color="000000" w:sz="4" w:space="0"/>
              <w:left w:val="single" w:color="000000" w:sz="4" w:space="0"/>
              <w:bottom w:val="single" w:color="auto" w:sz="4" w:space="0"/>
              <w:right w:val="single" w:color="000000" w:sz="4" w:space="0"/>
            </w:tcBorders>
            <w:shd w:val="clear" w:color="auto" w:fill="auto"/>
            <w:vAlign w:val="center"/>
          </w:tcPr>
          <w:p w14:paraId="46C44A4E">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指标项</w:t>
            </w:r>
          </w:p>
        </w:tc>
        <w:tc>
          <w:tcPr>
            <w:tcW w:w="4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BE15">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指标要求</w:t>
            </w:r>
          </w:p>
        </w:tc>
      </w:tr>
      <w:tr w14:paraId="1F31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34" w:type="pct"/>
            <w:vMerge w:val="restart"/>
            <w:tcBorders>
              <w:top w:val="single" w:color="auto" w:sz="4" w:space="0"/>
              <w:left w:val="single" w:color="auto" w:sz="4" w:space="0"/>
              <w:right w:val="single" w:color="auto" w:sz="4" w:space="0"/>
            </w:tcBorders>
            <w:shd w:val="clear" w:color="auto" w:fill="auto"/>
            <w:vAlign w:val="center"/>
          </w:tcPr>
          <w:p w14:paraId="54570FCC">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数据标准</w:t>
            </w:r>
          </w:p>
        </w:tc>
        <w:tc>
          <w:tcPr>
            <w:tcW w:w="4265" w:type="pct"/>
            <w:tcBorders>
              <w:top w:val="single" w:color="000000" w:sz="4" w:space="0"/>
              <w:left w:val="single" w:color="auto" w:sz="4" w:space="0"/>
              <w:bottom w:val="single" w:color="000000" w:sz="4" w:space="0"/>
              <w:right w:val="single" w:color="000000" w:sz="4" w:space="0"/>
            </w:tcBorders>
            <w:shd w:val="clear" w:color="auto" w:fill="auto"/>
            <w:vAlign w:val="center"/>
          </w:tcPr>
          <w:p w14:paraId="0581CCC4">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数据标准支持多租户（工作空间）实例，每租户实例可以使用独立的数据标准模板。【须提供对应功能相关系统界面截图和技术说明资料并加盖投标人公章，未提供有效佐证材料视为该项不满足，作负偏离认定。】</w:t>
            </w:r>
          </w:p>
        </w:tc>
      </w:tr>
      <w:tr w14:paraId="2701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4" w:type="pct"/>
            <w:vMerge w:val="continue"/>
            <w:tcBorders>
              <w:left w:val="single" w:color="auto" w:sz="4" w:space="0"/>
              <w:right w:val="single" w:color="auto" w:sz="4" w:space="0"/>
            </w:tcBorders>
            <w:shd w:val="clear" w:color="auto" w:fill="auto"/>
            <w:vAlign w:val="center"/>
          </w:tcPr>
          <w:p w14:paraId="712B1505">
            <w:pPr>
              <w:bidi w:val="0"/>
              <w:rPr>
                <w:rFonts w:hint="eastAsia" w:ascii="仿宋" w:hAnsi="仿宋" w:eastAsia="仿宋" w:cs="仿宋"/>
                <w:color w:val="auto"/>
                <w:highlight w:val="none"/>
              </w:rPr>
            </w:pPr>
          </w:p>
        </w:tc>
        <w:tc>
          <w:tcPr>
            <w:tcW w:w="4265" w:type="pct"/>
            <w:tcBorders>
              <w:top w:val="single" w:color="000000" w:sz="4" w:space="0"/>
              <w:left w:val="single" w:color="auto" w:sz="4" w:space="0"/>
              <w:bottom w:val="single" w:color="000000" w:sz="4" w:space="0"/>
              <w:right w:val="single" w:color="000000" w:sz="4" w:space="0"/>
            </w:tcBorders>
            <w:shd w:val="clear" w:color="auto" w:fill="auto"/>
            <w:vAlign w:val="center"/>
          </w:tcPr>
          <w:p w14:paraId="6003D20B">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支持定制多行业标准模板功能。系统支持预置行业模板，并支持用户通过自定义配置文件扩展。</w:t>
            </w:r>
          </w:p>
        </w:tc>
      </w:tr>
      <w:tr w14:paraId="6A5B8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34" w:type="pct"/>
            <w:vMerge w:val="continue"/>
            <w:tcBorders>
              <w:left w:val="single" w:color="auto" w:sz="4" w:space="0"/>
              <w:bottom w:val="single" w:color="auto" w:sz="4" w:space="0"/>
              <w:right w:val="single" w:color="auto" w:sz="4" w:space="0"/>
            </w:tcBorders>
            <w:shd w:val="clear" w:color="auto" w:fill="auto"/>
            <w:vAlign w:val="center"/>
          </w:tcPr>
          <w:p w14:paraId="3B81CE7E">
            <w:pPr>
              <w:bidi w:val="0"/>
              <w:rPr>
                <w:rFonts w:hint="eastAsia" w:ascii="仿宋" w:hAnsi="仿宋" w:eastAsia="仿宋" w:cs="仿宋"/>
                <w:color w:val="auto"/>
                <w:highlight w:val="none"/>
              </w:rPr>
            </w:pPr>
          </w:p>
        </w:tc>
        <w:tc>
          <w:tcPr>
            <w:tcW w:w="4265" w:type="pct"/>
            <w:tcBorders>
              <w:top w:val="single" w:color="000000" w:sz="4" w:space="0"/>
              <w:left w:val="single" w:color="auto" w:sz="4" w:space="0"/>
              <w:bottom w:val="single" w:color="000000" w:sz="4" w:space="0"/>
              <w:right w:val="single" w:color="000000" w:sz="4" w:space="0"/>
            </w:tcBorders>
            <w:shd w:val="clear" w:color="auto" w:fill="auto"/>
            <w:vAlign w:val="center"/>
          </w:tcPr>
          <w:p w14:paraId="3F8D1B03">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支持批量导入和导出数据标准定义功能。</w:t>
            </w:r>
          </w:p>
        </w:tc>
      </w:tr>
      <w:tr w14:paraId="17B1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01573B3D">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版本管理</w:t>
            </w:r>
          </w:p>
        </w:tc>
        <w:tc>
          <w:tcPr>
            <w:tcW w:w="4265" w:type="pct"/>
            <w:tcBorders>
              <w:top w:val="single" w:color="000000" w:sz="4" w:space="0"/>
              <w:left w:val="single" w:color="auto" w:sz="4" w:space="0"/>
              <w:bottom w:val="single" w:color="000000" w:sz="4" w:space="0"/>
              <w:right w:val="single" w:color="000000" w:sz="4" w:space="0"/>
            </w:tcBorders>
            <w:shd w:val="clear" w:color="auto" w:fill="auto"/>
            <w:vAlign w:val="center"/>
          </w:tcPr>
          <w:p w14:paraId="18C231DB">
            <w:pPr>
              <w:ind w:firstLine="0" w:firstLineChars="0"/>
              <w:rPr>
                <w:rFonts w:hint="eastAsia" w:ascii="仿宋" w:hAnsi="仿宋" w:eastAsia="仿宋" w:cs="仿宋"/>
                <w:color w:val="auto"/>
                <w:kern w:val="2"/>
                <w:sz w:val="22"/>
                <w:szCs w:val="22"/>
                <w:highlight w:val="none"/>
                <w:lang w:val="en-US" w:eastAsia="zh-CN" w:bidi="ar-SA"/>
                <w14:ligatures w14:val="none"/>
              </w:rPr>
            </w:pPr>
            <w:r>
              <w:rPr>
                <w:rFonts w:hint="eastAsia" w:ascii="仿宋" w:hAnsi="仿宋" w:eastAsia="仿宋" w:cs="仿宋"/>
                <w:color w:val="auto"/>
                <w:highlight w:val="none"/>
              </w:rPr>
              <w:t>支持对数据元集合的版本进行在线管理，支持手动备份版本，支持两个版本进行比对并查看存在差异的数据元及其基础属性，支持按照标准的发布状态进行数据元版本管理的能力</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 </w:t>
            </w:r>
          </w:p>
        </w:tc>
      </w:tr>
      <w:tr w14:paraId="5C93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171CC40B">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映射管理</w:t>
            </w:r>
          </w:p>
        </w:tc>
        <w:tc>
          <w:tcPr>
            <w:tcW w:w="4265" w:type="pct"/>
            <w:tcBorders>
              <w:top w:val="single" w:color="000000" w:sz="4" w:space="0"/>
              <w:left w:val="single" w:color="auto" w:sz="4" w:space="0"/>
              <w:bottom w:val="single" w:color="000000" w:sz="4" w:space="0"/>
              <w:right w:val="single" w:color="000000" w:sz="4" w:space="0"/>
            </w:tcBorders>
            <w:shd w:val="clear" w:color="auto" w:fill="auto"/>
            <w:vAlign w:val="center"/>
          </w:tcPr>
          <w:p w14:paraId="2BE2B0F4">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支持在线管理业务系统代码表与标准代码表的映射关系，可手动新增或导入映射关系，支持多个业务系统代码表与一个标准代码表进行映射。</w:t>
            </w:r>
          </w:p>
        </w:tc>
      </w:tr>
    </w:tbl>
    <w:p w14:paraId="2145C6DC">
      <w:pPr>
        <w:numPr>
          <w:ilvl w:val="0"/>
          <w:numId w:val="0"/>
        </w:numPr>
        <w:ind w:leftChars="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2.3 数据模型管理服务</w:t>
      </w:r>
    </w:p>
    <w:p w14:paraId="2C061387">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提供对数据模型的线上化、集中式的管理，规范物理数据表的建立过程，为系统人员和应用人员提供了便利的数据建模途径，通过引用数据标准模块，可以便利的定义和生成数据模型，具体功能要求如下：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9"/>
        <w:gridCol w:w="7839"/>
      </w:tblGrid>
      <w:tr w14:paraId="3092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675C">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指标项</w:t>
            </w:r>
          </w:p>
        </w:tc>
        <w:tc>
          <w:tcPr>
            <w:tcW w:w="4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DFE1">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指标要求</w:t>
            </w:r>
          </w:p>
        </w:tc>
      </w:tr>
      <w:tr w14:paraId="102D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57A8C">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数据模型</w:t>
            </w:r>
          </w:p>
        </w:tc>
        <w:tc>
          <w:tcPr>
            <w:tcW w:w="4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FA31">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支持在线建模功能；能够以在线的方式管理逻辑模型和物理模型，并支持对不同模型基于主题域实现分组、编目管理。</w:t>
            </w:r>
          </w:p>
        </w:tc>
      </w:tr>
      <w:tr w14:paraId="02F8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047A">
            <w:pPr>
              <w:bidi w:val="0"/>
              <w:rPr>
                <w:rFonts w:hint="eastAsia" w:ascii="仿宋" w:hAnsi="仿宋" w:eastAsia="仿宋" w:cs="仿宋"/>
                <w:color w:val="auto"/>
                <w:highlight w:val="none"/>
              </w:rPr>
            </w:pPr>
          </w:p>
        </w:tc>
        <w:tc>
          <w:tcPr>
            <w:tcW w:w="4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D227">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支持逻辑模型和物理模型的联动功能，能够实现增量更新；支持物理模型一键建表。</w:t>
            </w:r>
          </w:p>
        </w:tc>
      </w:tr>
      <w:tr w14:paraId="6C11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74ACD">
            <w:pPr>
              <w:bidi w:val="0"/>
              <w:rPr>
                <w:rFonts w:hint="eastAsia" w:ascii="仿宋" w:hAnsi="仿宋" w:eastAsia="仿宋" w:cs="仿宋"/>
                <w:color w:val="auto"/>
                <w:highlight w:val="none"/>
              </w:rPr>
            </w:pPr>
          </w:p>
        </w:tc>
        <w:tc>
          <w:tcPr>
            <w:tcW w:w="4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BACE">
            <w:pPr>
              <w:bidi w:val="0"/>
              <w:ind w:left="0" w:leftChars="0" w:firstLine="0" w:firstLineChars="0"/>
              <w:rPr>
                <w:rFonts w:hint="eastAsia" w:ascii="仿宋" w:hAnsi="仿宋" w:eastAsia="仿宋" w:cs="仿宋"/>
                <w:color w:val="auto"/>
                <w:highlight w:val="none"/>
              </w:rPr>
            </w:pPr>
            <w:r>
              <w:rPr>
                <w:rFonts w:hint="eastAsia" w:ascii="仿宋" w:hAnsi="仿宋" w:eastAsia="仿宋" w:cs="仿宋"/>
                <w:b w:val="0"/>
                <w:bCs w:val="0"/>
                <w:color w:val="auto"/>
                <w:sz w:val="22"/>
                <w:szCs w:val="22"/>
                <w:highlight w:val="none"/>
              </w:rPr>
              <w:t>★</w:t>
            </w:r>
            <w:r>
              <w:rPr>
                <w:rFonts w:hint="eastAsia" w:ascii="仿宋" w:hAnsi="仿宋" w:eastAsia="仿宋" w:cs="仿宋"/>
                <w:color w:val="auto"/>
                <w:highlight w:val="none"/>
                <w:lang w:val="en-US" w:eastAsia="zh-CN"/>
              </w:rPr>
              <w:t>支持可视化建模功能，支持数据模型管理、模型加工任务管理功能，能够自动生成数据加工任务，配置任务加工方式包括不限于多表联合、多表连接、自定义映射、多表去重。【须提供具备CMA或CNAS资质的第三方检测机构出具的产品功能/性能测评报告或同等效力有效证明文件，报告涵盖对应同类功能技术指标范畴，并加盖投标人公章及检测机构公章；未提供或内容未达对应指标范畴视为负偏离。】</w:t>
            </w:r>
          </w:p>
        </w:tc>
      </w:tr>
      <w:tr w14:paraId="14C0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DE90">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逻辑模型管理</w:t>
            </w:r>
          </w:p>
        </w:tc>
        <w:tc>
          <w:tcPr>
            <w:tcW w:w="4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8C44">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▲支持逻辑模型配置完成后，可直接线上生成物理模型。</w:t>
            </w:r>
          </w:p>
          <w:p w14:paraId="6758B014">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p>
        </w:tc>
      </w:tr>
      <w:tr w14:paraId="640B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6F24">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物理模型管理</w:t>
            </w:r>
          </w:p>
        </w:tc>
        <w:tc>
          <w:tcPr>
            <w:tcW w:w="4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3331">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支持物理模型一键批量生成物理表。</w:t>
            </w:r>
          </w:p>
        </w:tc>
      </w:tr>
    </w:tbl>
    <w:p w14:paraId="28625D51">
      <w:pPr>
        <w:numPr>
          <w:ilvl w:val="0"/>
          <w:numId w:val="0"/>
        </w:numPr>
        <w:ind w:leftChars="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2.4 数据质量管理服务</w:t>
      </w:r>
    </w:p>
    <w:p w14:paraId="20500B09">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数据模型是数据治理中的重要部分，合适、合理、合规的数据模型，能够有效提高数据的合理分布和使用。模型开发提供分层级的建模工具，可以在工作区内遵循数据仓库建设流程完成主题域、逻辑模型、物理模型建模设计，同时通过模型映射管理配置模型的加工逻辑，具体功能要求如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9"/>
        <w:gridCol w:w="7839"/>
      </w:tblGrid>
      <w:tr w14:paraId="4662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5CE2">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指标项</w:t>
            </w:r>
          </w:p>
        </w:tc>
        <w:tc>
          <w:tcPr>
            <w:tcW w:w="4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CE11">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指标要求</w:t>
            </w:r>
          </w:p>
        </w:tc>
      </w:tr>
      <w:tr w14:paraId="0CBB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734" w:type="pct"/>
            <w:tcBorders>
              <w:top w:val="single" w:color="000000" w:sz="4" w:space="0"/>
              <w:left w:val="single" w:color="000000" w:sz="4" w:space="0"/>
              <w:bottom w:val="single" w:color="auto" w:sz="4" w:space="0"/>
              <w:right w:val="single" w:color="000000" w:sz="4" w:space="0"/>
            </w:tcBorders>
            <w:shd w:val="clear" w:color="auto" w:fill="auto"/>
            <w:vAlign w:val="center"/>
          </w:tcPr>
          <w:p w14:paraId="2469A89D">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数据质量</w:t>
            </w:r>
          </w:p>
        </w:tc>
        <w:tc>
          <w:tcPr>
            <w:tcW w:w="4265" w:type="pct"/>
            <w:tcBorders>
              <w:top w:val="single" w:color="000000" w:sz="4" w:space="0"/>
              <w:left w:val="single" w:color="000000" w:sz="4" w:space="0"/>
              <w:bottom w:val="single" w:color="auto" w:sz="4" w:space="0"/>
              <w:right w:val="single" w:color="000000" w:sz="4" w:space="0"/>
            </w:tcBorders>
            <w:shd w:val="clear" w:color="auto" w:fill="auto"/>
            <w:vAlign w:val="center"/>
          </w:tcPr>
          <w:p w14:paraId="65F09934">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▲支持质量评估任务管理功能，能够批量配置评估对象和评估规则，评估规则应包含但不限于空值核验、唯一性核验、值域核验、数据格式核验、注释完整性检测等，并可对质量评估结果定期生成质量评估报告。</w:t>
            </w:r>
            <w:r>
              <w:rPr>
                <w:rFonts w:hint="eastAsia" w:ascii="仿宋" w:hAnsi="仿宋" w:eastAsia="仿宋" w:cs="仿宋"/>
                <w:color w:val="auto"/>
                <w:highlight w:val="none"/>
                <w:lang w:val="en-US"/>
              </w:rPr>
              <w:t>【投标要求】：投标人须就此项功能提供《技术指标承诺函》予以承诺，并可附上产品官方技术白皮书对应章节截图或功能界面截图作为佐证。【验收要求】：中标人应在系统部署完成后，向采购人公开演示此项功能，并接受在验收测试中进行验证。</w:t>
            </w:r>
          </w:p>
        </w:tc>
      </w:tr>
      <w:tr w14:paraId="6DAE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4" w:type="pct"/>
            <w:vMerge w:val="restart"/>
            <w:tcBorders>
              <w:top w:val="single" w:color="auto" w:sz="4" w:space="0"/>
              <w:left w:val="single" w:color="auto" w:sz="4" w:space="0"/>
              <w:right w:val="single" w:color="auto" w:sz="4" w:space="0"/>
            </w:tcBorders>
            <w:shd w:val="clear" w:color="auto" w:fill="auto"/>
            <w:vAlign w:val="center"/>
          </w:tcPr>
          <w:p w14:paraId="04C3BE14">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数据质量检测</w:t>
            </w:r>
          </w:p>
        </w:tc>
        <w:tc>
          <w:tcPr>
            <w:tcW w:w="4265" w:type="pct"/>
            <w:tcBorders>
              <w:top w:val="single" w:color="auto" w:sz="4" w:space="0"/>
              <w:left w:val="single" w:color="auto" w:sz="4" w:space="0"/>
              <w:bottom w:val="single" w:color="auto" w:sz="4" w:space="0"/>
              <w:right w:val="single" w:color="auto" w:sz="4" w:space="0"/>
            </w:tcBorders>
            <w:shd w:val="clear" w:color="auto" w:fill="auto"/>
            <w:vAlign w:val="center"/>
          </w:tcPr>
          <w:p w14:paraId="04F94CB2">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支持预置空间质量检测规则功能，包括但不限于矢量点、线、面数据位置合理性、拓扑规则合理性，经纬度属性值合理性、经度属性值合理性、纬度属性值和理性等。</w:t>
            </w:r>
          </w:p>
        </w:tc>
      </w:tr>
      <w:tr w14:paraId="2520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734" w:type="pct"/>
            <w:vMerge w:val="continue"/>
            <w:tcBorders>
              <w:left w:val="single" w:color="auto" w:sz="4" w:space="0"/>
              <w:bottom w:val="single" w:color="auto" w:sz="4" w:space="0"/>
              <w:right w:val="single" w:color="auto" w:sz="4" w:space="0"/>
            </w:tcBorders>
            <w:shd w:val="clear" w:color="auto" w:fill="auto"/>
            <w:vAlign w:val="center"/>
          </w:tcPr>
          <w:p w14:paraId="3F1B303A">
            <w:pPr>
              <w:bidi w:val="0"/>
              <w:ind w:left="0" w:leftChars="0" w:firstLine="0" w:firstLineChars="0"/>
              <w:rPr>
                <w:rFonts w:hint="eastAsia" w:ascii="仿宋" w:hAnsi="仿宋" w:eastAsia="仿宋" w:cs="仿宋"/>
                <w:color w:val="auto"/>
                <w:highlight w:val="none"/>
              </w:rPr>
            </w:pPr>
          </w:p>
        </w:tc>
        <w:tc>
          <w:tcPr>
            <w:tcW w:w="4265" w:type="pct"/>
            <w:tcBorders>
              <w:top w:val="single" w:color="auto" w:sz="4" w:space="0"/>
              <w:left w:val="single" w:color="auto" w:sz="4" w:space="0"/>
              <w:bottom w:val="single" w:color="auto" w:sz="4" w:space="0"/>
              <w:right w:val="single" w:color="auto" w:sz="4" w:space="0"/>
            </w:tcBorders>
            <w:shd w:val="clear" w:color="auto" w:fill="auto"/>
            <w:vAlign w:val="center"/>
          </w:tcPr>
          <w:p w14:paraId="4C620511">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自定义规则模板能力，可以通过SQL、JS等形式，自定义质量检测规则。支持系统预置规则和自定义规则功能。质量模块可以自动执行系统预置规则、自定义规则，并输出统一的质量检测结果。【须提供对应功能相关系统界面截图和技术说明资料并加盖投标人公章，未提供有效佐证材料视为该项不满足，作负偏离认定。】</w:t>
            </w:r>
          </w:p>
        </w:tc>
      </w:tr>
      <w:tr w14:paraId="2800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734" w:type="pct"/>
            <w:vMerge w:val="continue"/>
            <w:tcBorders>
              <w:left w:val="single" w:color="auto" w:sz="4" w:space="0"/>
              <w:bottom w:val="single" w:color="auto" w:sz="4" w:space="0"/>
              <w:right w:val="single" w:color="auto" w:sz="4" w:space="0"/>
            </w:tcBorders>
            <w:shd w:val="clear" w:color="auto" w:fill="auto"/>
            <w:vAlign w:val="center"/>
          </w:tcPr>
          <w:p w14:paraId="5B9C702C">
            <w:pPr>
              <w:bidi w:val="0"/>
              <w:ind w:left="0" w:leftChars="0" w:firstLine="0" w:firstLineChars="0"/>
              <w:rPr>
                <w:rFonts w:hint="eastAsia" w:ascii="仿宋" w:hAnsi="仿宋" w:eastAsia="仿宋" w:cs="仿宋"/>
                <w:color w:val="auto"/>
                <w:highlight w:val="none"/>
              </w:rPr>
            </w:pPr>
          </w:p>
        </w:tc>
        <w:tc>
          <w:tcPr>
            <w:tcW w:w="4265" w:type="pct"/>
            <w:tcBorders>
              <w:top w:val="single" w:color="auto" w:sz="4" w:space="0"/>
              <w:left w:val="single" w:color="auto" w:sz="4" w:space="0"/>
              <w:bottom w:val="single" w:color="auto" w:sz="4" w:space="0"/>
              <w:right w:val="single" w:color="auto" w:sz="4" w:space="0"/>
            </w:tcBorders>
            <w:shd w:val="clear" w:color="auto" w:fill="auto"/>
            <w:vAlign w:val="center"/>
          </w:tcPr>
          <w:p w14:paraId="09639CFC">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支持质量评估执行情况浏览和统计分析功能，主要展示内容包括数据质量规则作用实体对象、执行时间、测试数据条数/占比、运行结果、规则总数、问题数据条数/占比、问题字段数/占比等方面。</w:t>
            </w: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p>
        </w:tc>
      </w:tr>
      <w:tr w14:paraId="21A9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7DE61E96">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多源异构数据治理</w:t>
            </w:r>
          </w:p>
        </w:tc>
        <w:tc>
          <w:tcPr>
            <w:tcW w:w="4265" w:type="pct"/>
            <w:tcBorders>
              <w:top w:val="single" w:color="auto" w:sz="4" w:space="0"/>
              <w:left w:val="single" w:color="auto" w:sz="4" w:space="0"/>
              <w:bottom w:val="single" w:color="auto" w:sz="4" w:space="0"/>
              <w:right w:val="single" w:color="auto" w:sz="4" w:space="0"/>
            </w:tcBorders>
            <w:shd w:val="clear" w:color="auto" w:fill="auto"/>
            <w:vAlign w:val="center"/>
          </w:tcPr>
          <w:p w14:paraId="4ADD1D4A">
            <w:pPr>
              <w:bidi w:val="0"/>
              <w:ind w:left="0" w:leftChars="0" w:firstLine="0" w:firstLineChars="0"/>
              <w:rPr>
                <w:rFonts w:hint="eastAsia" w:ascii="仿宋" w:hAnsi="仿宋" w:eastAsia="仿宋" w:cs="仿宋"/>
                <w:color w:val="auto"/>
                <w:spacing w:val="19"/>
                <w:highlight w:val="none"/>
              </w:rPr>
            </w:pPr>
            <w:r>
              <w:rPr>
                <w:rFonts w:hint="eastAsia" w:ascii="仿宋" w:hAnsi="仿宋" w:eastAsia="仿宋" w:cs="仿宋"/>
                <w:color w:val="auto"/>
                <w:highlight w:val="none"/>
                <w:lang w:val="en-US" w:eastAsia="zh-CN"/>
              </w:rPr>
              <w:t>▲支持基于多种类型数据存储和处理平台执行数据治理任务的能力，包括但不限于MySQL、Oracle、GaussDB（高斯DB）、DM（达梦数据库）。【须提供对应功能相关系统界面截图和技术说明资料并加盖投标人公章，未提供有效佐证材料视为该项不满足，作负偏离认定。】</w:t>
            </w:r>
          </w:p>
        </w:tc>
      </w:tr>
      <w:tr w14:paraId="365C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49EDF2C3">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多维度评分</w:t>
            </w:r>
          </w:p>
        </w:tc>
        <w:tc>
          <w:tcPr>
            <w:tcW w:w="4265" w:type="pct"/>
            <w:tcBorders>
              <w:top w:val="single" w:color="auto" w:sz="4" w:space="0"/>
              <w:left w:val="single" w:color="auto" w:sz="4" w:space="0"/>
              <w:bottom w:val="single" w:color="auto" w:sz="4" w:space="0"/>
              <w:right w:val="single" w:color="auto" w:sz="4" w:space="0"/>
            </w:tcBorders>
            <w:shd w:val="clear" w:color="auto" w:fill="auto"/>
            <w:vAlign w:val="center"/>
          </w:tcPr>
          <w:p w14:paraId="6AD6ED47">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支持多维度展现数据质量分析结果</w:t>
            </w:r>
            <w:r>
              <w:rPr>
                <w:rFonts w:hint="eastAsia" w:ascii="仿宋" w:hAnsi="仿宋" w:eastAsia="仿宋" w:cs="仿宋"/>
                <w:color w:val="auto"/>
                <w:highlight w:val="none"/>
                <w:lang w:val="en-US" w:eastAsia="zh-CN"/>
              </w:rPr>
              <w:t>，包括</w:t>
            </w:r>
            <w:r>
              <w:rPr>
                <w:rFonts w:hint="eastAsia" w:ascii="仿宋" w:hAnsi="仿宋" w:eastAsia="仿宋" w:cs="仿宋"/>
                <w:color w:val="auto"/>
                <w:highlight w:val="none"/>
              </w:rPr>
              <w:t>完整性、一致性、唯一性、规范性、正确性、时效性等六个维度质量情况</w:t>
            </w:r>
            <w:r>
              <w:rPr>
                <w:rFonts w:hint="eastAsia" w:ascii="仿宋" w:hAnsi="仿宋" w:eastAsia="仿宋" w:cs="仿宋"/>
                <w:color w:val="auto"/>
                <w:highlight w:val="none"/>
                <w:lang w:val="en-US" w:eastAsia="zh-CN"/>
              </w:rPr>
              <w:t>。</w:t>
            </w:r>
          </w:p>
        </w:tc>
      </w:tr>
      <w:tr w14:paraId="2FB9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6ABF9D90">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规则库</w:t>
            </w:r>
          </w:p>
        </w:tc>
        <w:tc>
          <w:tcPr>
            <w:tcW w:w="4265" w:type="pct"/>
            <w:tcBorders>
              <w:top w:val="single" w:color="auto" w:sz="4" w:space="0"/>
              <w:left w:val="single" w:color="auto" w:sz="4" w:space="0"/>
              <w:bottom w:val="single" w:color="auto" w:sz="4" w:space="0"/>
              <w:right w:val="single" w:color="auto" w:sz="4" w:space="0"/>
            </w:tcBorders>
            <w:shd w:val="clear" w:color="auto" w:fill="auto"/>
            <w:vAlign w:val="center"/>
          </w:tcPr>
          <w:p w14:paraId="0667A145">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支持内置多种检测规则，如：</w:t>
            </w:r>
            <w:r>
              <w:rPr>
                <w:rFonts w:hint="eastAsia" w:ascii="仿宋" w:hAnsi="仿宋" w:eastAsia="仿宋" w:cs="仿宋"/>
                <w:color w:val="auto"/>
                <w:highlight w:val="none"/>
              </w:rPr>
              <w:t>空值校验、唯一性校验</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正则校验、长度校验、空值过滤</w:t>
            </w:r>
            <w:r>
              <w:rPr>
                <w:rFonts w:hint="eastAsia" w:ascii="仿宋" w:hAnsi="仿宋" w:eastAsia="仿宋" w:cs="仿宋"/>
                <w:color w:val="auto"/>
                <w:highlight w:val="none"/>
                <w:lang w:val="en-US" w:eastAsia="zh-CN"/>
              </w:rPr>
              <w:t>等。</w:t>
            </w:r>
          </w:p>
        </w:tc>
      </w:tr>
      <w:tr w14:paraId="4E11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46E3A057">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质量报告</w:t>
            </w:r>
          </w:p>
        </w:tc>
        <w:tc>
          <w:tcPr>
            <w:tcW w:w="4265" w:type="pct"/>
            <w:tcBorders>
              <w:top w:val="single" w:color="auto" w:sz="4" w:space="0"/>
              <w:left w:val="single" w:color="auto" w:sz="4" w:space="0"/>
              <w:bottom w:val="single" w:color="auto" w:sz="4" w:space="0"/>
              <w:right w:val="single" w:color="auto" w:sz="4" w:space="0"/>
            </w:tcBorders>
            <w:shd w:val="clear" w:color="auto" w:fill="auto"/>
            <w:vAlign w:val="center"/>
          </w:tcPr>
          <w:p w14:paraId="2E700D9E">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支持自定义</w:t>
            </w:r>
            <w:r>
              <w:rPr>
                <w:rFonts w:hint="eastAsia" w:ascii="仿宋" w:hAnsi="仿宋" w:eastAsia="仿宋" w:cs="仿宋"/>
                <w:color w:val="auto"/>
                <w:highlight w:val="none"/>
                <w:lang w:val="en-US" w:eastAsia="zh-CN"/>
              </w:rPr>
              <w:t>质量</w:t>
            </w:r>
            <w:r>
              <w:rPr>
                <w:rFonts w:hint="eastAsia" w:ascii="仿宋" w:hAnsi="仿宋" w:eastAsia="仿宋" w:cs="仿宋"/>
                <w:color w:val="auto"/>
                <w:highlight w:val="none"/>
              </w:rPr>
              <w:t>报告能力，通过指标管理和模板管理实现。指标管理，内置不少于10项基础指标，并支持自定义；模板管理，内置不少于4个通用模板同时支持创建、下载、删除；支持通过配置指标和模板参数的映射关系，实现自定义报告能力。</w:t>
            </w: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p>
        </w:tc>
      </w:tr>
      <w:tr w14:paraId="5537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1E1FAD45">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异常数据处理</w:t>
            </w:r>
          </w:p>
        </w:tc>
        <w:tc>
          <w:tcPr>
            <w:tcW w:w="4265" w:type="pct"/>
            <w:tcBorders>
              <w:top w:val="single" w:color="auto" w:sz="4" w:space="0"/>
              <w:left w:val="single" w:color="auto" w:sz="4" w:space="0"/>
              <w:bottom w:val="single" w:color="auto" w:sz="4" w:space="0"/>
              <w:right w:val="single" w:color="auto" w:sz="4" w:space="0"/>
            </w:tcBorders>
            <w:shd w:val="clear" w:color="auto" w:fill="auto"/>
            <w:vAlign w:val="center"/>
          </w:tcPr>
          <w:p w14:paraId="78C6411B">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支持质量工单数据比对功能，能够根据数据标准对问题数据进行数据比对，定位数据问题</w:t>
            </w:r>
            <w:r>
              <w:rPr>
                <w:rFonts w:hint="eastAsia" w:ascii="仿宋" w:hAnsi="仿宋" w:eastAsia="仿宋" w:cs="仿宋"/>
                <w:color w:val="auto"/>
                <w:highlight w:val="none"/>
                <w:lang w:val="en-US" w:eastAsia="zh-CN"/>
              </w:rPr>
              <w:t>。</w:t>
            </w:r>
          </w:p>
        </w:tc>
      </w:tr>
    </w:tbl>
    <w:p w14:paraId="439551A0">
      <w:pPr>
        <w:widowControl w:val="0"/>
        <w:numPr>
          <w:ilvl w:val="0"/>
          <w:numId w:val="0"/>
        </w:numPr>
        <w:spacing w:line="360" w:lineRule="auto"/>
        <w:jc w:val="both"/>
        <w:rPr>
          <w:rFonts w:hint="eastAsia" w:ascii="仿宋" w:hAnsi="仿宋" w:eastAsia="仿宋" w:cs="仿宋"/>
          <w:color w:val="auto"/>
          <w:sz w:val="24"/>
          <w:szCs w:val="24"/>
          <w:highlight w:val="none"/>
        </w:rPr>
      </w:pPr>
    </w:p>
    <w:p w14:paraId="3054882E">
      <w:pPr>
        <w:numPr>
          <w:ilvl w:val="0"/>
          <w:numId w:val="0"/>
        </w:numPr>
        <w:ind w:leftChars="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2.6 </w:t>
      </w:r>
      <w:r>
        <w:rPr>
          <w:rFonts w:hint="eastAsia" w:ascii="仿宋" w:hAnsi="仿宋" w:eastAsia="仿宋" w:cs="仿宋"/>
          <w:b/>
          <w:bCs/>
          <w:color w:val="auto"/>
          <w:sz w:val="24"/>
          <w:szCs w:val="24"/>
          <w:highlight w:val="none"/>
        </w:rPr>
        <w:t>数据共享开放平台</w:t>
      </w:r>
      <w:r>
        <w:rPr>
          <w:rFonts w:hint="eastAsia" w:ascii="仿宋" w:hAnsi="仿宋" w:eastAsia="仿宋" w:cs="仿宋"/>
          <w:b/>
          <w:bCs/>
          <w:color w:val="auto"/>
          <w:sz w:val="24"/>
          <w:szCs w:val="24"/>
          <w:highlight w:val="none"/>
          <w:lang w:val="en-US" w:eastAsia="zh-CN"/>
        </w:rPr>
        <w:t>服务</w:t>
      </w:r>
    </w:p>
    <w:p w14:paraId="4CA30531">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bidi="ar"/>
        </w:rPr>
        <w:t>建设数据共享开放平台服务，面向学校全域数据共享，解决跨系统、跨部门、跨层级的数据流通问题。平台须支持学校现有数据共享接口、服务配置、审批流程、访问权限的完整迁移，快速支撑开发和上线十几种数据服务，实现数据服务的即插即用；提供数据门户、数据资源目录、目录管理、数据审批流程、资源管理、协议转换、服务弹性伸缩、多维度监控分析、全面安全保障、多级流控等功能；提供数据接口服务开发、服务测试、服务挂接、服务申请、服务使用、服务删除等覆盖整个数据服务生命周期的管理功能。</w:t>
      </w:r>
      <w:r>
        <w:rPr>
          <w:rFonts w:hint="eastAsia" w:ascii="仿宋" w:hAnsi="仿宋" w:eastAsia="仿宋" w:cs="仿宋"/>
          <w:color w:val="auto"/>
          <w:sz w:val="24"/>
          <w:szCs w:val="24"/>
          <w:highlight w:val="none"/>
          <w:u w:val="none"/>
          <w:lang w:val="en-US" w:eastAsia="zh-CN" w:bidi="ar"/>
        </w:rPr>
        <w:t>需满足的技术参数如下：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67"/>
        <w:gridCol w:w="7821"/>
      </w:tblGrid>
      <w:tr w14:paraId="3391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4" w:type="pct"/>
            <w:shd w:val="clear" w:color="auto" w:fill="auto"/>
            <w:vAlign w:val="center"/>
          </w:tcPr>
          <w:p w14:paraId="1166538E">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指标项</w:t>
            </w:r>
          </w:p>
        </w:tc>
        <w:tc>
          <w:tcPr>
            <w:tcW w:w="4255" w:type="pct"/>
            <w:shd w:val="clear" w:color="auto" w:fill="auto"/>
            <w:vAlign w:val="center"/>
          </w:tcPr>
          <w:p w14:paraId="0F3DD6F0">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指标要求</w:t>
            </w:r>
          </w:p>
        </w:tc>
      </w:tr>
      <w:tr w14:paraId="7126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4" w:type="pct"/>
            <w:vMerge w:val="restart"/>
            <w:shd w:val="clear" w:color="auto" w:fill="auto"/>
            <w:vAlign w:val="center"/>
          </w:tcPr>
          <w:p w14:paraId="4126A78B">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资源目录管理</w:t>
            </w:r>
          </w:p>
        </w:tc>
        <w:tc>
          <w:tcPr>
            <w:tcW w:w="4255" w:type="pct"/>
            <w:shd w:val="clear" w:color="auto" w:fill="auto"/>
            <w:vAlign w:val="center"/>
          </w:tcPr>
          <w:p w14:paraId="39BFD5F7">
            <w:pPr>
              <w:bidi w:val="0"/>
              <w:ind w:left="0" w:leftChars="0" w:firstLine="0" w:firstLineChars="0"/>
              <w:rPr>
                <w:rFonts w:hint="eastAsia" w:ascii="仿宋" w:hAnsi="仿宋" w:eastAsia="仿宋" w:cs="仿宋"/>
                <w:color w:val="auto"/>
                <w:kern w:val="2"/>
                <w:sz w:val="24"/>
                <w:szCs w:val="22"/>
                <w:highlight w:val="none"/>
                <w:lang w:val="en-US" w:eastAsia="zh-CN" w:bidi="ar-SA"/>
                <w14:ligatures w14:val="none"/>
              </w:rPr>
            </w:pPr>
            <w:r>
              <w:rPr>
                <w:rFonts w:hint="eastAsia" w:ascii="仿宋" w:hAnsi="仿宋" w:eastAsia="仿宋" w:cs="仿宋"/>
                <w:color w:val="auto"/>
                <w:highlight w:val="none"/>
                <w:lang w:val="en-US" w:eastAsia="zh-CN"/>
              </w:rPr>
              <w:t>资源目录支持服务挂接功能，服务类型包括协议转换等。</w:t>
            </w:r>
          </w:p>
        </w:tc>
      </w:tr>
      <w:tr w14:paraId="487E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744" w:type="pct"/>
            <w:vMerge w:val="continue"/>
            <w:shd w:val="clear" w:color="auto" w:fill="auto"/>
            <w:vAlign w:val="center"/>
          </w:tcPr>
          <w:p w14:paraId="7A8281E5">
            <w:pPr>
              <w:bidi w:val="0"/>
              <w:rPr>
                <w:rFonts w:hint="eastAsia" w:ascii="仿宋" w:hAnsi="仿宋" w:eastAsia="仿宋" w:cs="仿宋"/>
                <w:color w:val="auto"/>
                <w:highlight w:val="none"/>
              </w:rPr>
            </w:pPr>
          </w:p>
        </w:tc>
        <w:tc>
          <w:tcPr>
            <w:tcW w:w="4255" w:type="pct"/>
            <w:shd w:val="clear" w:color="auto" w:fill="auto"/>
            <w:vAlign w:val="center"/>
          </w:tcPr>
          <w:p w14:paraId="647F27EA">
            <w:pPr>
              <w:bidi w:val="0"/>
              <w:ind w:left="0" w:leftChars="0" w:firstLine="0" w:firstLineChars="0"/>
              <w:rPr>
                <w:rFonts w:hint="eastAsia" w:ascii="仿宋" w:hAnsi="仿宋" w:eastAsia="仿宋" w:cs="仿宋"/>
                <w:color w:val="auto"/>
                <w:kern w:val="2"/>
                <w:sz w:val="24"/>
                <w:szCs w:val="22"/>
                <w:highlight w:val="none"/>
                <w:lang w:val="en-US" w:eastAsia="zh-CN" w:bidi="ar-SA"/>
                <w14:ligatures w14:val="none"/>
              </w:rPr>
            </w:pPr>
            <w:r>
              <w:rPr>
                <w:rFonts w:hint="eastAsia" w:ascii="仿宋" w:hAnsi="仿宋" w:eastAsia="仿宋" w:cs="仿宋"/>
                <w:color w:val="auto"/>
                <w:highlight w:val="none"/>
                <w:lang w:val="en-US" w:eastAsia="zh-CN"/>
              </w:rPr>
              <w:t>▲资源目录可挂接服务需要支持数据下载、数据推送、数据汇聚、实时上报等常见数据服务功能。【须提供对应功能相关系统界面截图和技术说明资料并加盖投标人公章，未提供有效佐证材料视为该项不满足，作负偏离认定。】</w:t>
            </w:r>
          </w:p>
        </w:tc>
      </w:tr>
      <w:tr w14:paraId="510E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4" w:type="pct"/>
            <w:vMerge w:val="continue"/>
            <w:shd w:val="clear" w:color="auto" w:fill="auto"/>
            <w:vAlign w:val="center"/>
          </w:tcPr>
          <w:p w14:paraId="04952547">
            <w:pPr>
              <w:bidi w:val="0"/>
              <w:rPr>
                <w:rFonts w:hint="eastAsia" w:ascii="仿宋" w:hAnsi="仿宋" w:eastAsia="仿宋" w:cs="仿宋"/>
                <w:color w:val="auto"/>
                <w:highlight w:val="none"/>
              </w:rPr>
            </w:pPr>
          </w:p>
        </w:tc>
        <w:tc>
          <w:tcPr>
            <w:tcW w:w="4255" w:type="pct"/>
            <w:shd w:val="clear" w:color="auto" w:fill="auto"/>
            <w:vAlign w:val="center"/>
          </w:tcPr>
          <w:p w14:paraId="291C43CD">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支持资源关联功能，能够实现库表、接口、文件类型的资源关联。支持库表挂接方式选择、交换方式设置、目录分类展示、目录检索、资源审核、周期设置功能。</w:t>
            </w:r>
          </w:p>
        </w:tc>
      </w:tr>
      <w:tr w14:paraId="6F89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744" w:type="pct"/>
            <w:shd w:val="clear" w:color="auto" w:fill="auto"/>
            <w:vAlign w:val="center"/>
          </w:tcPr>
          <w:p w14:paraId="3ADA86FF">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资源服务使用</w:t>
            </w:r>
          </w:p>
        </w:tc>
        <w:tc>
          <w:tcPr>
            <w:tcW w:w="4255" w:type="pct"/>
            <w:shd w:val="clear" w:color="auto" w:fill="auto"/>
            <w:vAlign w:val="center"/>
          </w:tcPr>
          <w:p w14:paraId="03C415D8">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支持资源服务订阅功能，用户订阅后可以获取针对资源的各种不同服务；支持为订阅者设置订阅期限，订阅期满后，须重新购置订阅才可继续使用服务；支持审批机制，审批后才可以使用服务。</w:t>
            </w:r>
          </w:p>
        </w:tc>
      </w:tr>
      <w:tr w14:paraId="3D30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744" w:type="pct"/>
            <w:vMerge w:val="restart"/>
            <w:shd w:val="clear" w:color="auto" w:fill="auto"/>
            <w:vAlign w:val="center"/>
          </w:tcPr>
          <w:p w14:paraId="08C25785">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数据推送</w:t>
            </w:r>
          </w:p>
        </w:tc>
        <w:tc>
          <w:tcPr>
            <w:tcW w:w="4255" w:type="pct"/>
            <w:shd w:val="clear" w:color="auto" w:fill="auto"/>
            <w:vAlign w:val="center"/>
          </w:tcPr>
          <w:p w14:paraId="7D782266">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支持数据资源发布过程审核机制的能力。</w:t>
            </w:r>
          </w:p>
        </w:tc>
      </w:tr>
      <w:tr w14:paraId="0084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4" w:type="pct"/>
            <w:vMerge w:val="continue"/>
            <w:shd w:val="clear" w:color="auto" w:fill="auto"/>
            <w:vAlign w:val="center"/>
          </w:tcPr>
          <w:p w14:paraId="72E4B8D7">
            <w:pPr>
              <w:bidi w:val="0"/>
              <w:rPr>
                <w:rFonts w:hint="eastAsia" w:ascii="仿宋" w:hAnsi="仿宋" w:eastAsia="仿宋" w:cs="仿宋"/>
                <w:color w:val="auto"/>
                <w:highlight w:val="none"/>
              </w:rPr>
            </w:pPr>
          </w:p>
        </w:tc>
        <w:tc>
          <w:tcPr>
            <w:tcW w:w="4255" w:type="pct"/>
            <w:shd w:val="clear" w:color="auto" w:fill="auto"/>
            <w:vAlign w:val="center"/>
          </w:tcPr>
          <w:p w14:paraId="4BAD4FA3">
            <w:pPr>
              <w:bidi w:val="0"/>
              <w:ind w:left="0" w:leftChars="0" w:firstLine="0" w:firstLineChars="0"/>
              <w:rPr>
                <w:rFonts w:hint="eastAsia" w:ascii="仿宋" w:hAnsi="仿宋" w:eastAsia="仿宋" w:cs="仿宋"/>
                <w:color w:val="auto"/>
                <w:highlight w:val="none"/>
              </w:rPr>
            </w:pPr>
            <w:r>
              <w:rPr>
                <w:rFonts w:hint="eastAsia" w:ascii="仿宋" w:hAnsi="仿宋" w:eastAsia="仿宋" w:cs="仿宋"/>
                <w:i w:val="0"/>
                <w:iCs w:val="0"/>
                <w:color w:val="auto"/>
                <w:kern w:val="0"/>
                <w:sz w:val="22"/>
                <w:szCs w:val="22"/>
                <w:highlight w:val="none"/>
                <w:u w:val="none"/>
                <w:lang w:val="en-US" w:eastAsia="zh-CN" w:bidi="ar"/>
                <w14:ligatures w14:val="none"/>
              </w:rPr>
              <w:t>★</w:t>
            </w:r>
            <w:r>
              <w:rPr>
                <w:rFonts w:hint="eastAsia" w:ascii="仿宋" w:hAnsi="仿宋" w:eastAsia="仿宋" w:cs="仿宋"/>
                <w:color w:val="auto"/>
                <w:highlight w:val="none"/>
                <w:lang w:val="en-US" w:eastAsia="zh-CN"/>
              </w:rPr>
              <w:t>支持数据资源使用申请功能，在数据资源申请使用过程中，支持资源申请方和提供方的双向审核。【须提供具备CMA或CNAS资质的第三方检测机构出具的产品功能/性能测评报告或同等效力有效证明文件，报告涵盖对应同类功能技术指标范畴，并加盖投标人公章及检测机构公章；未提供或内容未达对应指标范畴视为负偏离。】</w:t>
            </w:r>
          </w:p>
        </w:tc>
      </w:tr>
      <w:tr w14:paraId="027E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4" w:type="pct"/>
            <w:shd w:val="clear" w:color="auto" w:fill="auto"/>
            <w:vAlign w:val="center"/>
          </w:tcPr>
          <w:p w14:paraId="7BC968A3">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目录驱动交换</w:t>
            </w:r>
          </w:p>
        </w:tc>
        <w:tc>
          <w:tcPr>
            <w:tcW w:w="4255" w:type="pct"/>
            <w:shd w:val="clear" w:color="auto" w:fill="auto"/>
            <w:vAlign w:val="center"/>
          </w:tcPr>
          <w:p w14:paraId="4AA75E9D">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支持用户通过资源目录申请数据资源的能力。支持通过审批流程后，将资源目录下的信息资源传输至用户指定位置功能。</w:t>
            </w:r>
          </w:p>
        </w:tc>
      </w:tr>
      <w:tr w14:paraId="1E37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744" w:type="pct"/>
            <w:shd w:val="clear" w:color="auto" w:fill="auto"/>
            <w:vAlign w:val="center"/>
          </w:tcPr>
          <w:p w14:paraId="69FBA852">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目录级联</w:t>
            </w:r>
          </w:p>
        </w:tc>
        <w:tc>
          <w:tcPr>
            <w:tcW w:w="4255" w:type="pct"/>
            <w:shd w:val="clear" w:color="auto" w:fill="auto"/>
            <w:vAlign w:val="center"/>
          </w:tcPr>
          <w:p w14:paraId="50320CEB">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▲支持级联拓扑功能，支持级联目录资源调用的数据分析统计功能。【须提供对应功能相关系统界面截图和技术说明资料并加盖投标人公章，未提供有效佐证材料视为该项不满足，作负偏离认定。】</w:t>
            </w:r>
          </w:p>
        </w:tc>
      </w:tr>
      <w:tr w14:paraId="5717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744" w:type="pct"/>
            <w:vMerge w:val="restart"/>
            <w:shd w:val="clear" w:color="auto" w:fill="auto"/>
            <w:vAlign w:val="center"/>
          </w:tcPr>
          <w:p w14:paraId="0A742165">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资源目录安全</w:t>
            </w:r>
          </w:p>
        </w:tc>
        <w:tc>
          <w:tcPr>
            <w:tcW w:w="4255" w:type="pct"/>
            <w:shd w:val="clear" w:color="auto" w:fill="auto"/>
            <w:vAlign w:val="center"/>
          </w:tcPr>
          <w:p w14:paraId="550A051C">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支持目录针对特定部门可见功能；支持目录针对特定部门共享功能。</w:t>
            </w:r>
          </w:p>
        </w:tc>
      </w:tr>
      <w:tr w14:paraId="63ED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trPr>
        <w:tc>
          <w:tcPr>
            <w:tcW w:w="744" w:type="pct"/>
            <w:vMerge w:val="continue"/>
            <w:shd w:val="clear" w:color="auto" w:fill="auto"/>
            <w:vAlign w:val="center"/>
          </w:tcPr>
          <w:p w14:paraId="1DCB5D1E">
            <w:pPr>
              <w:bidi w:val="0"/>
              <w:rPr>
                <w:rFonts w:hint="eastAsia" w:ascii="仿宋" w:hAnsi="仿宋" w:eastAsia="仿宋" w:cs="仿宋"/>
                <w:color w:val="auto"/>
                <w:highlight w:val="none"/>
              </w:rPr>
            </w:pPr>
          </w:p>
        </w:tc>
        <w:tc>
          <w:tcPr>
            <w:tcW w:w="4255" w:type="pct"/>
            <w:shd w:val="clear" w:color="auto" w:fill="auto"/>
            <w:vAlign w:val="center"/>
          </w:tcPr>
          <w:p w14:paraId="4CF348E6">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库表支持挂接时字段级控制功能；库表支持申请时字段级选择；支持审批时行控制和字段控制的能力。</w:t>
            </w:r>
          </w:p>
        </w:tc>
      </w:tr>
      <w:tr w14:paraId="0041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744" w:type="pct"/>
            <w:vMerge w:val="continue"/>
            <w:shd w:val="clear" w:color="auto" w:fill="auto"/>
            <w:vAlign w:val="center"/>
          </w:tcPr>
          <w:p w14:paraId="453737E4">
            <w:pPr>
              <w:bidi w:val="0"/>
              <w:rPr>
                <w:rFonts w:hint="eastAsia" w:ascii="仿宋" w:hAnsi="仿宋" w:eastAsia="仿宋" w:cs="仿宋"/>
                <w:color w:val="auto"/>
                <w:highlight w:val="none"/>
              </w:rPr>
            </w:pPr>
          </w:p>
        </w:tc>
        <w:tc>
          <w:tcPr>
            <w:tcW w:w="4255" w:type="pct"/>
            <w:shd w:val="clear" w:color="auto" w:fill="auto"/>
            <w:vAlign w:val="center"/>
          </w:tcPr>
          <w:p w14:paraId="1BAB9BBE">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支持应用申请数据表生成RESTful服务的字段访问控制能力。</w:t>
            </w:r>
          </w:p>
        </w:tc>
      </w:tr>
      <w:tr w14:paraId="0089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4" w:type="pct"/>
            <w:vMerge w:val="continue"/>
            <w:shd w:val="clear" w:color="auto" w:fill="auto"/>
            <w:vAlign w:val="center"/>
          </w:tcPr>
          <w:p w14:paraId="4546536A">
            <w:pPr>
              <w:bidi w:val="0"/>
              <w:rPr>
                <w:rFonts w:hint="eastAsia" w:ascii="仿宋" w:hAnsi="仿宋" w:eastAsia="仿宋" w:cs="仿宋"/>
                <w:color w:val="auto"/>
                <w:highlight w:val="none"/>
              </w:rPr>
            </w:pPr>
          </w:p>
        </w:tc>
        <w:tc>
          <w:tcPr>
            <w:tcW w:w="4255" w:type="pct"/>
            <w:shd w:val="clear" w:color="auto" w:fill="auto"/>
            <w:vAlign w:val="center"/>
          </w:tcPr>
          <w:p w14:paraId="129AAA9C">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支持基于部门进行操作的能力，部门之间数据隔离。支持一个用户归属多个不同部门。支持部门内进行审批流程订制。</w:t>
            </w:r>
          </w:p>
        </w:tc>
      </w:tr>
      <w:tr w14:paraId="493E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44" w:type="pct"/>
            <w:vMerge w:val="restart"/>
            <w:shd w:val="clear" w:color="auto" w:fill="auto"/>
            <w:vAlign w:val="center"/>
          </w:tcPr>
          <w:p w14:paraId="19274183">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资源服务安全</w:t>
            </w:r>
          </w:p>
        </w:tc>
        <w:tc>
          <w:tcPr>
            <w:tcW w:w="4255" w:type="pct"/>
            <w:shd w:val="clear" w:color="auto" w:fill="auto"/>
            <w:vAlign w:val="center"/>
          </w:tcPr>
          <w:p w14:paraId="3190D2A5">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支持黑白名单功能，支持禁止指定的IP或IP段访问该服务；支持仅允许指定的IP或IP段访问该服务。【须提供对应功能相关系统界面截图和技术说明资料并加盖投标人公章，未提供有效佐证材料视为该项不满足，作负偏离认定。】</w:t>
            </w:r>
          </w:p>
        </w:tc>
      </w:tr>
      <w:tr w14:paraId="0D55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4" w:type="pct"/>
            <w:vMerge w:val="continue"/>
            <w:shd w:val="clear" w:color="auto" w:fill="auto"/>
            <w:vAlign w:val="center"/>
          </w:tcPr>
          <w:p w14:paraId="637CF7DA">
            <w:pPr>
              <w:bidi w:val="0"/>
              <w:rPr>
                <w:rFonts w:hint="eastAsia" w:ascii="仿宋" w:hAnsi="仿宋" w:eastAsia="仿宋" w:cs="仿宋"/>
                <w:color w:val="auto"/>
                <w:highlight w:val="none"/>
              </w:rPr>
            </w:pPr>
          </w:p>
        </w:tc>
        <w:tc>
          <w:tcPr>
            <w:tcW w:w="4255" w:type="pct"/>
            <w:shd w:val="clear" w:color="auto" w:fill="auto"/>
            <w:vAlign w:val="center"/>
          </w:tcPr>
          <w:p w14:paraId="220668D4">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支持服务时间控制功能，支持仅允许在调用时间范围内访问该服务。</w:t>
            </w:r>
          </w:p>
        </w:tc>
      </w:tr>
      <w:tr w14:paraId="6979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8" w:hRule="atLeast"/>
        </w:trPr>
        <w:tc>
          <w:tcPr>
            <w:tcW w:w="744" w:type="pct"/>
            <w:shd w:val="clear" w:color="auto" w:fill="auto"/>
            <w:vAlign w:val="center"/>
          </w:tcPr>
          <w:p w14:paraId="402959F4">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加密传输</w:t>
            </w:r>
          </w:p>
        </w:tc>
        <w:tc>
          <w:tcPr>
            <w:tcW w:w="4255" w:type="pct"/>
            <w:shd w:val="clear" w:color="auto" w:fill="auto"/>
            <w:vAlign w:val="center"/>
          </w:tcPr>
          <w:p w14:paraId="504BFEB2">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▲支持网络传输及数据存储加密机制功能。数据存储加密机制包括但不限于AES、SM2、SM4，支持数据加密。 网络传输加密机制支持数据传输通道加密功能（SSL）。【须提供对应功能相关系统界面截图和技术说明资料并加盖投标人公章，未提供有效佐证材料视为该项不满足，作负偏离认定。】</w:t>
            </w:r>
          </w:p>
        </w:tc>
      </w:tr>
      <w:tr w14:paraId="7934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4" w:type="pct"/>
            <w:shd w:val="clear" w:color="auto" w:fill="auto"/>
            <w:vAlign w:val="center"/>
          </w:tcPr>
          <w:p w14:paraId="484BA6D3">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目录质量探查</w:t>
            </w:r>
          </w:p>
        </w:tc>
        <w:tc>
          <w:tcPr>
            <w:tcW w:w="4255" w:type="pct"/>
            <w:shd w:val="clear" w:color="auto" w:fill="auto"/>
            <w:vAlign w:val="center"/>
          </w:tcPr>
          <w:p w14:paraId="0D758F93">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支持目录探查、数据变更感知、编目规则校验与目录质量评分功能。</w:t>
            </w:r>
          </w:p>
        </w:tc>
      </w:tr>
      <w:tr w14:paraId="7BBE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4" w:type="pct"/>
            <w:shd w:val="clear" w:color="auto" w:fill="auto"/>
            <w:vAlign w:val="center"/>
          </w:tcPr>
          <w:p w14:paraId="54A30A89">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服务响应性能</w:t>
            </w:r>
          </w:p>
        </w:tc>
        <w:tc>
          <w:tcPr>
            <w:tcW w:w="4255" w:type="pct"/>
            <w:shd w:val="clear" w:color="auto" w:fill="auto"/>
            <w:vAlign w:val="center"/>
          </w:tcPr>
          <w:p w14:paraId="333862EC">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▲用户访问应用的时效性要求，在500并发数时平均延时小于1秒。【须提供对应功能相关系统界面截图和技术说明资料并加盖投标人公章，未提供有效佐证材料视为该项不满足，作负偏离认定。】</w:t>
            </w:r>
          </w:p>
        </w:tc>
      </w:tr>
      <w:tr w14:paraId="3841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744" w:type="pct"/>
            <w:vMerge w:val="restart"/>
            <w:shd w:val="clear" w:color="auto" w:fill="auto"/>
            <w:vAlign w:val="center"/>
          </w:tcPr>
          <w:p w14:paraId="4A6358DF">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适配多种数据资源</w:t>
            </w:r>
          </w:p>
        </w:tc>
        <w:tc>
          <w:tcPr>
            <w:tcW w:w="4255" w:type="pct"/>
            <w:shd w:val="clear" w:color="auto" w:fill="auto"/>
            <w:vAlign w:val="center"/>
          </w:tcPr>
          <w:p w14:paraId="7D1A6345">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支持读取Oracle、MySQL、SQL Server、PostgreSQL、GBase、DM、Doris、KingbaseES、TiDB数据库数据并进行数据解析传输。</w:t>
            </w:r>
          </w:p>
        </w:tc>
      </w:tr>
      <w:tr w14:paraId="71E0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744" w:type="pct"/>
            <w:vMerge w:val="continue"/>
            <w:shd w:val="clear" w:color="auto" w:fill="auto"/>
            <w:vAlign w:val="center"/>
          </w:tcPr>
          <w:p w14:paraId="72E509BF">
            <w:pPr>
              <w:bidi w:val="0"/>
              <w:rPr>
                <w:rFonts w:hint="eastAsia" w:ascii="仿宋" w:hAnsi="仿宋" w:eastAsia="仿宋" w:cs="仿宋"/>
                <w:color w:val="auto"/>
                <w:highlight w:val="none"/>
              </w:rPr>
            </w:pPr>
          </w:p>
        </w:tc>
        <w:tc>
          <w:tcPr>
            <w:tcW w:w="4255" w:type="pct"/>
            <w:shd w:val="clear" w:color="auto" w:fill="auto"/>
            <w:vAlign w:val="center"/>
          </w:tcPr>
          <w:p w14:paraId="2737B7BA">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支持文件搬移与文件解析。FileServer协议支持SFTP、SMB、FTP、主流公有云厂商的云上存储等，文件解析支持诸如excel等格式。</w:t>
            </w:r>
          </w:p>
        </w:tc>
      </w:tr>
      <w:tr w14:paraId="694D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4" w:type="pct"/>
            <w:shd w:val="clear" w:color="auto" w:fill="auto"/>
            <w:vAlign w:val="center"/>
          </w:tcPr>
          <w:p w14:paraId="26F2667B">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兼容大数据平台组件</w:t>
            </w:r>
          </w:p>
        </w:tc>
        <w:tc>
          <w:tcPr>
            <w:tcW w:w="4255" w:type="pct"/>
            <w:shd w:val="clear" w:color="auto" w:fill="auto"/>
            <w:vAlign w:val="center"/>
          </w:tcPr>
          <w:p w14:paraId="4DE70641">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支持兼容通用大数据平台组件，包括华为大数据平台、开源大数据平台（Hive、Hadoop）等。</w:t>
            </w:r>
          </w:p>
        </w:tc>
      </w:tr>
    </w:tbl>
    <w:p w14:paraId="230EF64C">
      <w:pPr>
        <w:numPr>
          <w:ilvl w:val="0"/>
          <w:numId w:val="0"/>
        </w:numPr>
        <w:ind w:leftChars="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2.7 </w:t>
      </w:r>
      <w:r>
        <w:rPr>
          <w:rFonts w:hint="eastAsia" w:ascii="仿宋" w:hAnsi="仿宋" w:eastAsia="仿宋" w:cs="仿宋"/>
          <w:b/>
          <w:bCs/>
          <w:color w:val="auto"/>
          <w:sz w:val="24"/>
          <w:szCs w:val="24"/>
          <w:highlight w:val="none"/>
        </w:rPr>
        <w:t>数据资产管理平台</w:t>
      </w:r>
      <w:r>
        <w:rPr>
          <w:rFonts w:hint="eastAsia" w:ascii="仿宋" w:hAnsi="仿宋" w:eastAsia="仿宋" w:cs="仿宋"/>
          <w:b/>
          <w:bCs/>
          <w:color w:val="auto"/>
          <w:sz w:val="24"/>
          <w:szCs w:val="24"/>
          <w:highlight w:val="none"/>
          <w:lang w:val="en-US" w:eastAsia="zh-CN"/>
        </w:rPr>
        <w:t>服务</w:t>
      </w:r>
    </w:p>
    <w:p w14:paraId="51F7FD6D">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bidi="ar"/>
        </w:rPr>
        <w:t>建设数据资产管理平台服务，将大数据计算存储平台中的数仓数据分层分类统计呈现，包括原始库、资源库、主题库、专题库，以及结构化数据、非结构化数据等各种维度，实现从数据归集、数据共享、数据服务、数据链路全方位展现数据接入情况、统计情况、数据资产流动情况、数据交换情况。平台须支持学校现有数据资产目录、分类标签、权限配置、统计报表的完整迁移与复用，确保数据资产管理工作的平稳过渡。实现从数据归集、数据共享、数据服务、数据链路全方位展现数据，让管理者对数据资产轻松全盘掌握、使数据流通一目了然。支持数据资产加工处理的全链路血缘呈现，包括表级血缘、字段级血缘，使资产在数仓中的来龙去脉轻松掌控。</w:t>
      </w:r>
      <w:r>
        <w:rPr>
          <w:rFonts w:hint="eastAsia" w:ascii="仿宋" w:hAnsi="仿宋" w:eastAsia="仿宋" w:cs="仿宋"/>
          <w:color w:val="auto"/>
          <w:sz w:val="24"/>
          <w:szCs w:val="24"/>
          <w:highlight w:val="none"/>
          <w:u w:val="none"/>
          <w:lang w:val="en-US" w:eastAsia="zh-CN" w:bidi="ar"/>
        </w:rPr>
        <w:t>需满足的技术参数如下：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8"/>
        <w:gridCol w:w="7820"/>
      </w:tblGrid>
      <w:tr w14:paraId="31FF8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3A0E">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指标项</w:t>
            </w: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9A20">
            <w:pPr>
              <w:bidi w:val="0"/>
              <w:ind w:left="0" w:leftChars="0" w:firstLine="0" w:firstLineChars="0"/>
              <w:jc w:val="center"/>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指标要求</w:t>
            </w:r>
          </w:p>
        </w:tc>
      </w:tr>
      <w:tr w14:paraId="26E4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A090">
            <w:pPr>
              <w:bidi w:val="0"/>
              <w:ind w:left="0" w:leftChars="0"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总体类指标</w:t>
            </w: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39C9">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提供数据服务总体指标，包括但不限于：调用总量、业务系统数、表数量、接入数据总量、字段个数、主题/专题模型个数、服务资源个数、接口调用次数、支撑应用个数。</w:t>
            </w:r>
          </w:p>
        </w:tc>
      </w:tr>
      <w:tr w14:paraId="3A20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B0934">
            <w:pPr>
              <w:bidi w:val="0"/>
              <w:ind w:left="0" w:leftChars="0"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接入类指标</w:t>
            </w: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B4522">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提供数据接入总量类指标，包括但不限于：接入部门总数、业务系统个数、接入部门排行。</w:t>
            </w:r>
          </w:p>
        </w:tc>
      </w:tr>
      <w:tr w14:paraId="4835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9A5EB">
            <w:pPr>
              <w:bidi w:val="0"/>
              <w:jc w:val="center"/>
              <w:rPr>
                <w:rFonts w:hint="eastAsia" w:ascii="仿宋" w:hAnsi="仿宋" w:eastAsia="仿宋" w:cs="仿宋"/>
                <w:color w:val="auto"/>
                <w:highlight w:val="none"/>
              </w:rPr>
            </w:pP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E558">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提供数据接入增量指标，包括但不限于：多个维度的数据接入增量、多维度增量接入趋势，增量接入排行。</w:t>
            </w:r>
          </w:p>
        </w:tc>
      </w:tr>
      <w:tr w14:paraId="36C3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B7D0F">
            <w:pPr>
              <w:bidi w:val="0"/>
              <w:jc w:val="center"/>
              <w:rPr>
                <w:rFonts w:hint="eastAsia" w:ascii="仿宋" w:hAnsi="仿宋" w:eastAsia="仿宋" w:cs="仿宋"/>
                <w:color w:val="auto"/>
                <w:highlight w:val="none"/>
              </w:rPr>
            </w:pP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43E1">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提供实时接入类指标，包括但不限于：总体、部门、表的实时接入指标。</w:t>
            </w:r>
          </w:p>
        </w:tc>
      </w:tr>
      <w:tr w14:paraId="3D53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89B80">
            <w:pPr>
              <w:bidi w:val="0"/>
              <w:ind w:left="0" w:leftChars="0"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治理类指标</w:t>
            </w: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43A3">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提供数据治理类任务相关指标，包括但不限于：任务数量、工作流数量。</w:t>
            </w:r>
          </w:p>
        </w:tc>
      </w:tr>
      <w:tr w14:paraId="1F6F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23719">
            <w:pPr>
              <w:bidi w:val="0"/>
              <w:jc w:val="center"/>
              <w:rPr>
                <w:rFonts w:hint="eastAsia" w:ascii="仿宋" w:hAnsi="仿宋" w:eastAsia="仿宋" w:cs="仿宋"/>
                <w:color w:val="auto"/>
                <w:highlight w:val="none"/>
              </w:rPr>
            </w:pP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6DEE">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提供模型建设情况指标，包括但不限于：资源库、主题库、专题库建设情况。</w:t>
            </w:r>
          </w:p>
        </w:tc>
      </w:tr>
      <w:tr w14:paraId="3C00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EFEE0">
            <w:pPr>
              <w:bidi w:val="0"/>
              <w:jc w:val="center"/>
              <w:rPr>
                <w:rFonts w:hint="eastAsia" w:ascii="仿宋" w:hAnsi="仿宋" w:eastAsia="仿宋" w:cs="仿宋"/>
                <w:color w:val="auto"/>
                <w:highlight w:val="none"/>
              </w:rPr>
            </w:pP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0190">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▲提供血缘相关指标，能够展示表之间血缘关系。【须提供对应功能相关系统界面截图和技术说明资料并加盖投标人公章，未提供有效佐证材料视为该项不满足，作负偏离认定。】</w:t>
            </w:r>
          </w:p>
        </w:tc>
      </w:tr>
      <w:tr w14:paraId="07EE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7BEB">
            <w:pPr>
              <w:bidi w:val="0"/>
              <w:ind w:left="0" w:leftChars="0"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共享类指标</w:t>
            </w: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F7DC">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提供共享总量指标，包括但不限于：调用总次数、成功总次数、失败总次数、服务资源总量、服务资源调用排行，支撑应用调用排行、支撑应用个数、应用名称、描述、所属部门、订阅资源列表。</w:t>
            </w:r>
          </w:p>
        </w:tc>
      </w:tr>
      <w:tr w14:paraId="3757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8EBF">
            <w:pPr>
              <w:bidi w:val="0"/>
              <w:jc w:val="center"/>
              <w:rPr>
                <w:rFonts w:hint="eastAsia" w:ascii="仿宋" w:hAnsi="仿宋" w:eastAsia="仿宋" w:cs="仿宋"/>
                <w:color w:val="auto"/>
                <w:highlight w:val="none"/>
              </w:rPr>
            </w:pP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1D43">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提供共享类增量指标，包括多时间维度的资源调用情况、多时间维度应用调用情况，时间维度包括但不限于：年/月/周/天。</w:t>
            </w:r>
          </w:p>
        </w:tc>
      </w:tr>
      <w:tr w14:paraId="39C1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74FC">
            <w:pPr>
              <w:bidi w:val="0"/>
              <w:jc w:val="center"/>
              <w:rPr>
                <w:rFonts w:hint="eastAsia" w:ascii="仿宋" w:hAnsi="仿宋" w:eastAsia="仿宋" w:cs="仿宋"/>
                <w:color w:val="auto"/>
                <w:highlight w:val="none"/>
              </w:rPr>
            </w:pP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A036">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提供实时调用指标，包括但不限于：资源实时调用次数、应用实时调用次数、成功次数、失败次数。</w:t>
            </w:r>
          </w:p>
        </w:tc>
      </w:tr>
      <w:tr w14:paraId="13DF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7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F35A1">
            <w:pPr>
              <w:bidi w:val="0"/>
              <w:ind w:left="0" w:leftChars="0"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指标可视化</w:t>
            </w: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55C6">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提供可视化展示能力，内置丰富呈现形式，包括但不限于：基于地图实时展示数据接入情况、基于地图实时展示数据服务共享调用情况、通过可视化方式展示多表之间的全链路数据血缘。</w:t>
            </w:r>
          </w:p>
        </w:tc>
      </w:tr>
      <w:tr w14:paraId="1D3C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EFD5">
            <w:pPr>
              <w:bidi w:val="0"/>
              <w:jc w:val="center"/>
              <w:rPr>
                <w:rFonts w:hint="eastAsia" w:ascii="仿宋" w:hAnsi="仿宋" w:eastAsia="仿宋" w:cs="仿宋"/>
                <w:color w:val="auto"/>
                <w:highlight w:val="none"/>
              </w:rPr>
            </w:pP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F154">
            <w:pPr>
              <w:bidi w:val="0"/>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提供丰富的效果，包括但不限于：折线图、柱状图、饼状图、地图汇聚效果、3D动画效果。</w:t>
            </w:r>
          </w:p>
        </w:tc>
      </w:tr>
      <w:tr w14:paraId="67C1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7C1E">
            <w:pPr>
              <w:bidi w:val="0"/>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部门数据概况</w:t>
            </w: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50CF">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支持查看部门数据概况，包括业务系统数、业务应用数、部门表数、部门数据体量、部门确权模型数、数据质量评分、提供数据清单数、清单被调用次数。</w:t>
            </w:r>
          </w:p>
        </w:tc>
      </w:tr>
      <w:tr w14:paraId="5FD7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3735">
            <w:pPr>
              <w:bidi w:val="0"/>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三清单管理</w:t>
            </w: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7EAE">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支持查看部门三清单落实情况，三清单包括责任清单、需求清单及问题清单。</w:t>
            </w:r>
          </w:p>
        </w:tc>
      </w:tr>
      <w:tr w14:paraId="1AA2E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6DB7">
            <w:pPr>
              <w:bidi w:val="0"/>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学校数据总览</w:t>
            </w:r>
          </w:p>
        </w:tc>
        <w:tc>
          <w:tcPr>
            <w:tcW w:w="4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08F0">
            <w:pPr>
              <w:bidi w:val="0"/>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提供学校数据总览，展示学校部门数、业务系统数、业务应用数、表数、数据体量、数据质量综合评分、开放数据清单及累计调用次数。</w:t>
            </w:r>
          </w:p>
        </w:tc>
      </w:tr>
    </w:tbl>
    <w:p w14:paraId="684108B4">
      <w:pPr>
        <w:numPr>
          <w:ilvl w:val="0"/>
          <w:numId w:val="0"/>
        </w:numPr>
        <w:ind w:leftChars="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2.8 数据采集与统一填报平台（一张表/</w:t>
      </w:r>
      <w:r>
        <w:rPr>
          <w:rFonts w:hint="eastAsia" w:ascii="仿宋" w:hAnsi="仿宋" w:eastAsia="仿宋" w:cs="仿宋"/>
          <w:b/>
          <w:bCs/>
          <w:color w:val="auto"/>
          <w:sz w:val="24"/>
          <w:szCs w:val="24"/>
          <w:highlight w:val="none"/>
        </w:rPr>
        <w:t>一表通</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服务</w:t>
      </w:r>
    </w:p>
    <w:p w14:paraId="5F970735">
      <w:pPr>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建设数据采集与统一填报平台（一张表/一表通）服务，实现 "一次填报、全校共享、多方使用" 的数据采集与管理模式，解决学校数据多头填报、重复填报的问题，为师生提供便捷的数据服务。平台包含个人数据中心基础平台、数据管理定制化服务、智能数据采集填报定制化服务和全域数据展示定制化服务等模块，具体要求如下：</w:t>
      </w:r>
    </w:p>
    <w:tbl>
      <w:tblPr>
        <w:tblStyle w:val="20"/>
        <w:tblW w:w="84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7248"/>
      </w:tblGrid>
      <w:tr w14:paraId="646C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24" w:type="dxa"/>
            <w:gridSpan w:val="2"/>
            <w:tcBorders>
              <w:top w:val="single" w:color="000000" w:sz="4" w:space="0"/>
              <w:left w:val="single" w:color="000000" w:sz="4" w:space="0"/>
              <w:bottom w:val="single" w:color="000000" w:sz="4" w:space="0"/>
              <w:right w:val="single" w:color="000000" w:sz="4" w:space="0"/>
            </w:tcBorders>
            <w:shd w:val="clear" w:color="auto" w:fill="F1F1F1"/>
            <w:vAlign w:val="top"/>
          </w:tcPr>
          <w:p w14:paraId="1D4ADD23">
            <w:pPr>
              <w:keepNext w:val="0"/>
              <w:keepLines w:val="0"/>
              <w:widowControl/>
              <w:suppressLineNumbers w:val="0"/>
              <w:ind w:left="0" w:leftChars="0" w:firstLine="0" w:firstLineChars="0"/>
              <w:jc w:val="left"/>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（1）个人数据中心基础平台</w:t>
            </w:r>
          </w:p>
        </w:tc>
      </w:tr>
      <w:tr w14:paraId="15E5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auto" w:sz="4" w:space="0"/>
              <w:right w:val="single" w:color="000000" w:sz="4" w:space="0"/>
            </w:tcBorders>
            <w:shd w:val="clear" w:color="auto" w:fill="auto"/>
            <w:vAlign w:val="top"/>
          </w:tcPr>
          <w:p w14:paraId="16106F58">
            <w:pPr>
              <w:keepNext w:val="0"/>
              <w:keepLines w:val="0"/>
              <w:widowControl/>
              <w:suppressLineNumbers w:val="0"/>
              <w:ind w:left="0" w:leftChars="0" w:firstLine="0" w:firstLineChars="0"/>
              <w:jc w:val="center"/>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指标项</w:t>
            </w:r>
          </w:p>
        </w:tc>
        <w:tc>
          <w:tcPr>
            <w:tcW w:w="7248" w:type="dxa"/>
            <w:tcBorders>
              <w:top w:val="single" w:color="000000" w:sz="4" w:space="0"/>
              <w:left w:val="single" w:color="000000" w:sz="4" w:space="0"/>
              <w:bottom w:val="single" w:color="auto" w:sz="4" w:space="0"/>
              <w:right w:val="single" w:color="000000" w:sz="4" w:space="0"/>
            </w:tcBorders>
            <w:shd w:val="clear" w:color="auto" w:fill="auto"/>
            <w:vAlign w:val="top"/>
          </w:tcPr>
          <w:p w14:paraId="68698127">
            <w:pPr>
              <w:keepNext w:val="0"/>
              <w:keepLines w:val="0"/>
              <w:widowControl/>
              <w:suppressLineNumbers w:val="0"/>
              <w:jc w:val="center"/>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指标要求</w:t>
            </w:r>
          </w:p>
        </w:tc>
      </w:tr>
      <w:tr w14:paraId="046A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6C715B2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14:ligatures w14:val="none"/>
              </w:rPr>
              <w:t>填报信息门户</w:t>
            </w:r>
          </w:p>
        </w:tc>
        <w:tc>
          <w:tcPr>
            <w:tcW w:w="7248" w:type="dxa"/>
            <w:tcBorders>
              <w:top w:val="single" w:color="auto" w:sz="4" w:space="0"/>
              <w:left w:val="single" w:color="auto" w:sz="4" w:space="0"/>
              <w:bottom w:val="single" w:color="auto" w:sz="4" w:space="0"/>
              <w:right w:val="single" w:color="auto" w:sz="4" w:space="0"/>
            </w:tcBorders>
            <w:shd w:val="clear" w:color="auto" w:fill="auto"/>
            <w:vAlign w:val="center"/>
          </w:tcPr>
          <w:p w14:paraId="798F0F8A">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0"/>
                <w:sz w:val="22"/>
                <w:szCs w:val="22"/>
                <w:highlight w:val="none"/>
                <w:u w:val="none"/>
                <w:lang w:val="en-US" w:eastAsia="zh-CN" w:bidi="ar"/>
                <w14:ligatures w14:val="none"/>
              </w:rPr>
            </w:pPr>
            <w:r>
              <w:rPr>
                <w:rFonts w:hint="eastAsia" w:ascii="仿宋" w:hAnsi="仿宋" w:eastAsia="仿宋" w:cs="仿宋"/>
                <w:i w:val="0"/>
                <w:iCs w:val="0"/>
                <w:color w:val="auto"/>
                <w:kern w:val="0"/>
                <w:sz w:val="22"/>
                <w:szCs w:val="22"/>
                <w:highlight w:val="none"/>
                <w:u w:val="none"/>
                <w:lang w:val="en-US" w:eastAsia="zh-CN" w:bidi="ar"/>
                <w14:ligatures w14:val="none"/>
              </w:rPr>
              <w:t>1）支持CAS协议统一身份认证对接，支持独立账号密码登录，支持认证白名单，不保留密码且登录信息设有效期</w:t>
            </w:r>
            <w:r>
              <w:rPr>
                <w:rFonts w:hint="eastAsia" w:ascii="仿宋" w:hAnsi="仿宋" w:eastAsia="仿宋" w:cs="仿宋"/>
                <w:i w:val="0"/>
                <w:iCs w:val="0"/>
                <w:color w:val="auto"/>
                <w:kern w:val="0"/>
                <w:sz w:val="22"/>
                <w:szCs w:val="22"/>
                <w:highlight w:val="none"/>
                <w:u w:val="none"/>
                <w:lang w:val="en-US" w:eastAsia="zh-CN" w:bidi="ar"/>
                <w14:ligatures w14:val="none"/>
              </w:rPr>
              <w:br w:type="textWrapping"/>
            </w:r>
            <w:r>
              <w:rPr>
                <w:rFonts w:hint="eastAsia" w:ascii="仿宋" w:hAnsi="仿宋" w:eastAsia="仿宋" w:cs="仿宋"/>
                <w:i w:val="0"/>
                <w:iCs w:val="0"/>
                <w:color w:val="auto"/>
                <w:kern w:val="0"/>
                <w:sz w:val="22"/>
                <w:szCs w:val="22"/>
                <w:highlight w:val="none"/>
                <w:u w:val="none"/>
                <w:lang w:val="en-US" w:eastAsia="zh-CN" w:bidi="ar"/>
                <w14:ligatures w14:val="none"/>
              </w:rPr>
              <w:t>2）首页展示个人填报统计、待办/已办、快捷入口，支持角色切换、动态样式/Logo/标题配置，展示系统消息与公告</w:t>
            </w:r>
            <w:r>
              <w:rPr>
                <w:rFonts w:hint="eastAsia" w:ascii="仿宋" w:hAnsi="仿宋" w:eastAsia="仿宋" w:cs="仿宋"/>
                <w:i w:val="0"/>
                <w:iCs w:val="0"/>
                <w:color w:val="auto"/>
                <w:kern w:val="0"/>
                <w:sz w:val="22"/>
                <w:szCs w:val="22"/>
                <w:highlight w:val="none"/>
                <w:u w:val="none"/>
                <w:lang w:val="en-US" w:eastAsia="zh-CN" w:bidi="ar"/>
                <w14:ligatures w14:val="none"/>
              </w:rPr>
              <w:br w:type="textWrapping"/>
            </w:r>
            <w:r>
              <w:rPr>
                <w:rFonts w:hint="eastAsia" w:ascii="仿宋" w:hAnsi="仿宋" w:eastAsia="仿宋" w:cs="仿宋"/>
                <w:color w:val="auto"/>
                <w:highlight w:val="none"/>
                <w:lang w:val="en-US" w:eastAsia="zh-CN"/>
              </w:rPr>
              <w:t>▲</w:t>
            </w:r>
            <w:r>
              <w:rPr>
                <w:rFonts w:hint="eastAsia" w:ascii="仿宋" w:hAnsi="仿宋" w:eastAsia="仿宋" w:cs="仿宋"/>
                <w:i w:val="0"/>
                <w:iCs w:val="0"/>
                <w:color w:val="auto"/>
                <w:kern w:val="0"/>
                <w:sz w:val="22"/>
                <w:szCs w:val="22"/>
                <w:highlight w:val="none"/>
                <w:u w:val="none"/>
                <w:lang w:val="en-US" w:eastAsia="zh-CN" w:bidi="ar"/>
                <w14:ligatures w14:val="none"/>
              </w:rPr>
              <w:t>3）个人数据展示基本信息，提供分角色数据目录（可配置图标/名称/搜索），支持数据查询、填报/纠错、导入导出与权限化审批。</w:t>
            </w: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r>
              <w:rPr>
                <w:rFonts w:hint="eastAsia" w:ascii="仿宋" w:hAnsi="仿宋" w:eastAsia="仿宋" w:cs="仿宋"/>
                <w:i w:val="0"/>
                <w:iCs w:val="0"/>
                <w:color w:val="auto"/>
                <w:kern w:val="0"/>
                <w:sz w:val="22"/>
                <w:szCs w:val="22"/>
                <w:highlight w:val="none"/>
                <w:u w:val="none"/>
                <w:lang w:val="en-US" w:eastAsia="zh-CN" w:bidi="ar"/>
                <w14:ligatures w14:val="none"/>
              </w:rPr>
              <w:br w:type="textWrapping"/>
            </w:r>
            <w:r>
              <w:rPr>
                <w:rFonts w:hint="eastAsia" w:ascii="仿宋" w:hAnsi="仿宋" w:eastAsia="仿宋" w:cs="仿宋"/>
                <w:color w:val="auto"/>
                <w:highlight w:val="none"/>
                <w:lang w:val="en-US" w:eastAsia="zh-CN"/>
              </w:rPr>
              <w:t>▲</w:t>
            </w:r>
            <w:r>
              <w:rPr>
                <w:rFonts w:hint="eastAsia" w:ascii="仿宋" w:hAnsi="仿宋" w:eastAsia="仿宋" w:cs="仿宋"/>
                <w:i w:val="0"/>
                <w:iCs w:val="0"/>
                <w:color w:val="auto"/>
                <w:kern w:val="0"/>
                <w:sz w:val="22"/>
                <w:szCs w:val="22"/>
                <w:highlight w:val="none"/>
                <w:u w:val="none"/>
                <w:lang w:val="en-US" w:eastAsia="zh-CN" w:bidi="ar"/>
                <w14:ligatures w14:val="none"/>
              </w:rPr>
              <w:t>4）支持针对各个学院/部门建立数据管理中心。部门数据展示机构信息与部门级目录，支持数据查询、填报/纠错、导入导出，支持领导身份切换查看对应数据。</w:t>
            </w: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r>
              <w:rPr>
                <w:rFonts w:hint="eastAsia" w:ascii="仿宋" w:hAnsi="仿宋" w:eastAsia="仿宋" w:cs="仿宋"/>
                <w:i w:val="0"/>
                <w:iCs w:val="0"/>
                <w:color w:val="auto"/>
                <w:kern w:val="0"/>
                <w:sz w:val="22"/>
                <w:szCs w:val="22"/>
                <w:highlight w:val="none"/>
                <w:u w:val="none"/>
                <w:lang w:val="en-US" w:eastAsia="zh-CN" w:bidi="ar"/>
                <w14:ligatures w14:val="none"/>
              </w:rPr>
              <w:br w:type="textWrapping"/>
            </w:r>
            <w:r>
              <w:rPr>
                <w:rFonts w:hint="eastAsia" w:ascii="仿宋" w:hAnsi="仿宋" w:eastAsia="仿宋" w:cs="仿宋"/>
                <w:i w:val="0"/>
                <w:iCs w:val="0"/>
                <w:color w:val="auto"/>
                <w:kern w:val="0"/>
                <w:sz w:val="22"/>
                <w:szCs w:val="22"/>
                <w:highlight w:val="none"/>
                <w:u w:val="none"/>
                <w:lang w:val="en-US" w:eastAsia="zh-CN" w:bidi="ar"/>
                <w14:ligatures w14:val="none"/>
              </w:rPr>
              <w:t>5）任务中心支持申请/审批列表、模糊查询、数据变更对比、批量审批、消息提醒</w:t>
            </w:r>
            <w:r>
              <w:rPr>
                <w:rFonts w:hint="eastAsia" w:ascii="仿宋" w:hAnsi="仿宋" w:eastAsia="仿宋" w:cs="仿宋"/>
                <w:i w:val="0"/>
                <w:iCs w:val="0"/>
                <w:color w:val="auto"/>
                <w:kern w:val="0"/>
                <w:sz w:val="22"/>
                <w:szCs w:val="22"/>
                <w:highlight w:val="none"/>
                <w:u w:val="none"/>
                <w:lang w:val="en-US" w:eastAsia="zh-CN" w:bidi="ar"/>
                <w14:ligatures w14:val="none"/>
              </w:rPr>
              <w:br w:type="textWrapping"/>
            </w:r>
            <w:r>
              <w:rPr>
                <w:rFonts w:hint="eastAsia" w:ascii="仿宋" w:hAnsi="仿宋" w:eastAsia="仿宋" w:cs="仿宋"/>
                <w:i w:val="0"/>
                <w:iCs w:val="0"/>
                <w:color w:val="auto"/>
                <w:kern w:val="0"/>
                <w:sz w:val="22"/>
                <w:szCs w:val="22"/>
                <w:highlight w:val="none"/>
                <w:u w:val="none"/>
                <w:lang w:val="en-US" w:eastAsia="zh-CN" w:bidi="ar"/>
                <w14:ligatures w14:val="none"/>
              </w:rPr>
              <w:t>6）消息中心集中展示系统消息，支持批量标记/删除、短链接、多渠道通知模板配置</w:t>
            </w:r>
          </w:p>
          <w:p w14:paraId="08050A81">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kern w:val="0"/>
                <w:sz w:val="22"/>
                <w:szCs w:val="22"/>
                <w:highlight w:val="none"/>
                <w:u w:val="none"/>
                <w:lang w:val="en-US" w:eastAsia="zh-CN" w:bidi="ar"/>
                <w14:ligatures w14:val="none"/>
              </w:rPr>
            </w:pPr>
            <w:r>
              <w:rPr>
                <w:rFonts w:hint="eastAsia" w:ascii="仿宋" w:hAnsi="仿宋" w:eastAsia="仿宋" w:cs="仿宋"/>
                <w:color w:val="auto"/>
                <w:highlight w:val="none"/>
                <w:lang w:val="en-US" w:eastAsia="zh-CN"/>
              </w:rPr>
              <w:t>▲</w:t>
            </w:r>
            <w:r>
              <w:rPr>
                <w:rFonts w:hint="eastAsia" w:ascii="仿宋" w:hAnsi="仿宋" w:eastAsia="仿宋" w:cs="仿宋"/>
                <w:i w:val="0"/>
                <w:iCs w:val="0"/>
                <w:color w:val="auto"/>
                <w:kern w:val="0"/>
                <w:sz w:val="22"/>
                <w:szCs w:val="22"/>
                <w:highlight w:val="none"/>
                <w:u w:val="none"/>
                <w:lang w:val="en-US" w:eastAsia="zh-CN" w:bidi="ar"/>
                <w14:ligatures w14:val="none"/>
              </w:rPr>
              <w:t>7）针对复杂表格，要求支持复杂表头设计与预览，满足多样化表格展示需求。</w:t>
            </w: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p>
        </w:tc>
      </w:tr>
      <w:tr w14:paraId="301B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176" w:type="dxa"/>
            <w:tcBorders>
              <w:top w:val="single" w:color="auto" w:sz="4" w:space="0"/>
              <w:left w:val="single" w:color="000000" w:sz="4" w:space="0"/>
              <w:bottom w:val="single" w:color="auto" w:sz="4" w:space="0"/>
              <w:right w:val="single" w:color="000000" w:sz="4" w:space="0"/>
            </w:tcBorders>
            <w:shd w:val="clear" w:color="auto" w:fill="auto"/>
            <w:vAlign w:val="center"/>
          </w:tcPr>
          <w:p w14:paraId="76FE3AC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14:ligatures w14:val="none"/>
              </w:rPr>
              <w:t>填报数据管理</w:t>
            </w:r>
          </w:p>
        </w:tc>
        <w:tc>
          <w:tcPr>
            <w:tcW w:w="7248" w:type="dxa"/>
            <w:tcBorders>
              <w:top w:val="single" w:color="auto" w:sz="4" w:space="0"/>
              <w:left w:val="single" w:color="000000" w:sz="4" w:space="0"/>
              <w:bottom w:val="single" w:color="auto" w:sz="4" w:space="0"/>
              <w:right w:val="single" w:color="000000" w:sz="4" w:space="0"/>
            </w:tcBorders>
            <w:shd w:val="clear" w:color="auto" w:fill="auto"/>
            <w:vAlign w:val="center"/>
          </w:tcPr>
          <w:p w14:paraId="405F18BB">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14:ligatures w14:val="none"/>
              </w:rPr>
              <w:t>1）支持按身份/部门灵活配置一张表维度模板，支持模板关联多角色/多部门/子部门，提供两级维度管理与自定义排序</w:t>
            </w:r>
            <w:r>
              <w:rPr>
                <w:rFonts w:hint="eastAsia" w:ascii="仿宋" w:hAnsi="仿宋" w:eastAsia="仿宋" w:cs="仿宋"/>
                <w:i w:val="0"/>
                <w:iCs w:val="0"/>
                <w:color w:val="auto"/>
                <w:kern w:val="0"/>
                <w:sz w:val="22"/>
                <w:szCs w:val="22"/>
                <w:highlight w:val="none"/>
                <w:u w:val="none"/>
                <w:lang w:val="en-US" w:eastAsia="zh-CN" w:bidi="ar"/>
                <w14:ligatures w14:val="none"/>
              </w:rPr>
              <w:br w:type="textWrapping"/>
            </w:r>
            <w:r>
              <w:rPr>
                <w:rFonts w:hint="eastAsia" w:ascii="仿宋" w:hAnsi="仿宋" w:eastAsia="仿宋" w:cs="仿宋"/>
                <w:color w:val="auto"/>
                <w:highlight w:val="none"/>
                <w:lang w:val="en-US" w:eastAsia="zh-CN"/>
              </w:rPr>
              <w:t>▲</w:t>
            </w:r>
            <w:r>
              <w:rPr>
                <w:rFonts w:hint="eastAsia" w:ascii="仿宋" w:hAnsi="仿宋" w:eastAsia="仿宋" w:cs="仿宋"/>
                <w:i w:val="0"/>
                <w:iCs w:val="0"/>
                <w:color w:val="auto"/>
                <w:kern w:val="0"/>
                <w:sz w:val="22"/>
                <w:szCs w:val="22"/>
                <w:highlight w:val="none"/>
                <w:u w:val="none"/>
                <w:lang w:val="en-US" w:eastAsia="zh-CN" w:bidi="ar"/>
                <w14:ligatures w14:val="none"/>
              </w:rPr>
              <w:t>2）支持可视化逻辑表配置、主键设置、多数据源对接（API/数据库/数据中台），支持全量/增量同步与字段映射。</w:t>
            </w: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r>
              <w:rPr>
                <w:rFonts w:hint="eastAsia" w:ascii="仿宋" w:hAnsi="仿宋" w:eastAsia="仿宋" w:cs="仿宋"/>
                <w:i w:val="0"/>
                <w:iCs w:val="0"/>
                <w:color w:val="auto"/>
                <w:kern w:val="0"/>
                <w:sz w:val="22"/>
                <w:szCs w:val="22"/>
                <w:highlight w:val="none"/>
                <w:u w:val="none"/>
                <w:lang w:val="en-US" w:eastAsia="zh-CN" w:bidi="ar"/>
                <w14:ligatures w14:val="none"/>
              </w:rPr>
              <w:br w:type="textWrapping"/>
            </w:r>
            <w:r>
              <w:rPr>
                <w:rFonts w:hint="eastAsia" w:ascii="仿宋" w:hAnsi="仿宋" w:eastAsia="仿宋" w:cs="仿宋"/>
                <w:i w:val="0"/>
                <w:iCs w:val="0"/>
                <w:color w:val="auto"/>
                <w:kern w:val="0"/>
                <w:sz w:val="22"/>
                <w:szCs w:val="22"/>
                <w:highlight w:val="none"/>
                <w:u w:val="none"/>
                <w:lang w:val="en-US" w:eastAsia="zh-CN" w:bidi="ar"/>
                <w14:ligatures w14:val="none"/>
              </w:rPr>
              <w:t>3）支持数据纠错状态管理：待自查、暂存、审核中、已审核。</w:t>
            </w:r>
            <w:r>
              <w:rPr>
                <w:rFonts w:hint="eastAsia" w:ascii="仿宋" w:hAnsi="仿宋" w:eastAsia="仿宋" w:cs="仿宋"/>
                <w:i w:val="0"/>
                <w:iCs w:val="0"/>
                <w:color w:val="auto"/>
                <w:kern w:val="0"/>
                <w:sz w:val="22"/>
                <w:szCs w:val="22"/>
                <w:highlight w:val="none"/>
                <w:u w:val="none"/>
                <w:lang w:val="en-US" w:eastAsia="zh-CN" w:bidi="ar"/>
                <w14:ligatures w14:val="none"/>
              </w:rPr>
              <w:br w:type="textWrapping"/>
            </w:r>
            <w:r>
              <w:rPr>
                <w:rFonts w:hint="eastAsia" w:ascii="仿宋" w:hAnsi="仿宋" w:eastAsia="仿宋" w:cs="仿宋"/>
                <w:i w:val="0"/>
                <w:iCs w:val="0"/>
                <w:color w:val="auto"/>
                <w:kern w:val="0"/>
                <w:sz w:val="22"/>
                <w:szCs w:val="22"/>
                <w:highlight w:val="none"/>
                <w:u w:val="none"/>
                <w:lang w:val="en-US" w:eastAsia="zh-CN" w:bidi="ar"/>
                <w14:ligatures w14:val="none"/>
              </w:rPr>
              <w:t>4）支持角色/审批岗位配置，支持基于角色的可视化菜单与数据权限配置5.每张表独立配置权限、审批流、同步策略，支持启用/停用。</w:t>
            </w:r>
          </w:p>
        </w:tc>
      </w:tr>
      <w:tr w14:paraId="16AB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6294668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14:ligatures w14:val="none"/>
              </w:rPr>
              <w:t>填报中心服务</w:t>
            </w:r>
          </w:p>
        </w:tc>
        <w:tc>
          <w:tcPr>
            <w:tcW w:w="7248" w:type="dxa"/>
            <w:tcBorders>
              <w:top w:val="single" w:color="auto" w:sz="4" w:space="0"/>
              <w:left w:val="single" w:color="auto" w:sz="4" w:space="0"/>
              <w:bottom w:val="single" w:color="auto" w:sz="4" w:space="0"/>
              <w:right w:val="single" w:color="auto" w:sz="4" w:space="0"/>
            </w:tcBorders>
            <w:shd w:val="clear" w:color="auto" w:fill="auto"/>
            <w:vAlign w:val="center"/>
          </w:tcPr>
          <w:p w14:paraId="1B344ED3">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14:ligatures w14:val="none"/>
              </w:rPr>
              <w:t>1）支持个人数据完善与纠错，支持增删改，改动数据永久留痕可追溯</w:t>
            </w:r>
            <w:r>
              <w:rPr>
                <w:rFonts w:hint="eastAsia" w:ascii="仿宋" w:hAnsi="仿宋" w:eastAsia="仿宋" w:cs="仿宋"/>
                <w:i w:val="0"/>
                <w:iCs w:val="0"/>
                <w:color w:val="auto"/>
                <w:kern w:val="0"/>
                <w:sz w:val="22"/>
                <w:szCs w:val="22"/>
                <w:highlight w:val="none"/>
                <w:u w:val="none"/>
                <w:lang w:val="en-US" w:eastAsia="zh-CN" w:bidi="ar"/>
                <w14:ligatures w14:val="none"/>
              </w:rPr>
              <w:br w:type="textWrapping"/>
            </w:r>
            <w:r>
              <w:rPr>
                <w:rFonts w:hint="eastAsia" w:ascii="仿宋" w:hAnsi="仿宋" w:eastAsia="仿宋" w:cs="仿宋"/>
                <w:i w:val="0"/>
                <w:iCs w:val="0"/>
                <w:color w:val="auto"/>
                <w:kern w:val="0"/>
                <w:sz w:val="22"/>
                <w:szCs w:val="22"/>
                <w:highlight w:val="none"/>
                <w:u w:val="none"/>
                <w:lang w:val="en-US" w:eastAsia="zh-CN" w:bidi="ar"/>
                <w14:ligatures w14:val="none"/>
              </w:rPr>
              <w:t>2）基于BPMN2.0标准提供可视化审批流程，支持按逻辑表独立配置审批节点、角色、岗位</w:t>
            </w:r>
            <w:r>
              <w:rPr>
                <w:rFonts w:hint="eastAsia" w:ascii="仿宋" w:hAnsi="仿宋" w:eastAsia="仿宋" w:cs="仿宋"/>
                <w:i w:val="0"/>
                <w:iCs w:val="0"/>
                <w:color w:val="auto"/>
                <w:kern w:val="0"/>
                <w:sz w:val="22"/>
                <w:szCs w:val="22"/>
                <w:highlight w:val="none"/>
                <w:u w:val="none"/>
                <w:lang w:val="en-US" w:eastAsia="zh-CN" w:bidi="ar"/>
                <w14:ligatures w14:val="none"/>
              </w:rPr>
              <w:br w:type="textWrapping"/>
            </w:r>
            <w:r>
              <w:rPr>
                <w:rFonts w:hint="eastAsia" w:ascii="仿宋" w:hAnsi="仿宋" w:eastAsia="仿宋" w:cs="仿宋"/>
                <w:i w:val="0"/>
                <w:iCs w:val="0"/>
                <w:color w:val="auto"/>
                <w:kern w:val="0"/>
                <w:sz w:val="22"/>
                <w:szCs w:val="22"/>
                <w:highlight w:val="none"/>
                <w:u w:val="none"/>
                <w:lang w:val="en-US" w:eastAsia="zh-CN" w:bidi="ar"/>
                <w14:ligatures w14:val="none"/>
              </w:rPr>
              <w:t>3）支持审批消息、通过/驳回通知、进度跟踪与流程闭环；</w:t>
            </w:r>
            <w:r>
              <w:rPr>
                <w:rFonts w:hint="eastAsia" w:ascii="仿宋" w:hAnsi="仿宋" w:eastAsia="仿宋" w:cs="仿宋"/>
                <w:i w:val="0"/>
                <w:iCs w:val="0"/>
                <w:color w:val="auto"/>
                <w:kern w:val="0"/>
                <w:sz w:val="22"/>
                <w:szCs w:val="22"/>
                <w:highlight w:val="none"/>
                <w:u w:val="none"/>
                <w:lang w:val="en-US" w:eastAsia="zh-CN" w:bidi="ar"/>
                <w14:ligatures w14:val="none"/>
              </w:rPr>
              <w:br w:type="textWrapping"/>
            </w:r>
            <w:r>
              <w:rPr>
                <w:rFonts w:hint="eastAsia" w:ascii="仿宋" w:hAnsi="仿宋" w:eastAsia="仿宋" w:cs="仿宋"/>
                <w:color w:val="auto"/>
                <w:highlight w:val="none"/>
                <w:lang w:val="en-US" w:eastAsia="zh-CN"/>
              </w:rPr>
              <w:t>▲</w:t>
            </w:r>
            <w:r>
              <w:rPr>
                <w:rFonts w:hint="eastAsia" w:ascii="仿宋" w:hAnsi="仿宋" w:eastAsia="仿宋" w:cs="仿宋"/>
                <w:i w:val="0"/>
                <w:iCs w:val="0"/>
                <w:color w:val="auto"/>
                <w:kern w:val="0"/>
                <w:sz w:val="22"/>
                <w:szCs w:val="22"/>
                <w:highlight w:val="none"/>
                <w:u w:val="none"/>
                <w:lang w:val="en-US" w:eastAsia="zh-CN" w:bidi="ar"/>
                <w14:ligatures w14:val="none"/>
              </w:rPr>
              <w:t>4）支持发起公开填报，定向填报，限时填报等任务，适应不用业务场景。</w:t>
            </w: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r>
              <w:rPr>
                <w:rFonts w:hint="eastAsia" w:ascii="仿宋" w:hAnsi="仿宋" w:eastAsia="仿宋" w:cs="仿宋"/>
                <w:i w:val="0"/>
                <w:iCs w:val="0"/>
                <w:color w:val="auto"/>
                <w:kern w:val="0"/>
                <w:sz w:val="22"/>
                <w:szCs w:val="22"/>
                <w:highlight w:val="none"/>
                <w:u w:val="none"/>
                <w:lang w:val="en-US" w:eastAsia="zh-CN" w:bidi="ar"/>
                <w14:ligatures w14:val="none"/>
              </w:rPr>
              <w:br w:type="textWrapping"/>
            </w:r>
            <w:r>
              <w:rPr>
                <w:rFonts w:hint="eastAsia" w:ascii="仿宋" w:hAnsi="仿宋" w:eastAsia="仿宋" w:cs="仿宋"/>
                <w:color w:val="auto"/>
                <w:highlight w:val="none"/>
                <w:lang w:val="en-US" w:eastAsia="zh-CN"/>
              </w:rPr>
              <w:t>▲</w:t>
            </w:r>
            <w:r>
              <w:rPr>
                <w:rFonts w:hint="eastAsia" w:ascii="仿宋" w:hAnsi="仿宋" w:eastAsia="仿宋" w:cs="仿宋"/>
                <w:i w:val="0"/>
                <w:iCs w:val="0"/>
                <w:color w:val="auto"/>
                <w:kern w:val="0"/>
                <w:sz w:val="22"/>
                <w:szCs w:val="22"/>
                <w:highlight w:val="none"/>
                <w:u w:val="none"/>
                <w:lang w:val="en-US" w:eastAsia="zh-CN" w:bidi="ar"/>
                <w14:ligatures w14:val="none"/>
              </w:rPr>
              <w:t>5)针对用户已经填报过的数据，其他表单可以实时模糊查询匹配，在填报新表单时能够实现数据的智能填充。</w:t>
            </w: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p>
        </w:tc>
      </w:tr>
      <w:tr w14:paraId="79D9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1176" w:type="dxa"/>
            <w:tcBorders>
              <w:top w:val="single" w:color="auto" w:sz="4" w:space="0"/>
              <w:left w:val="single" w:color="000000" w:sz="4" w:space="0"/>
              <w:bottom w:val="single" w:color="000000" w:sz="4" w:space="0"/>
              <w:right w:val="single" w:color="000000" w:sz="4" w:space="0"/>
            </w:tcBorders>
            <w:shd w:val="clear" w:color="auto" w:fill="auto"/>
            <w:vAlign w:val="center"/>
          </w:tcPr>
          <w:p w14:paraId="08C7F7B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14:ligatures w14:val="none"/>
              </w:rPr>
              <w:t>系统部署和运维</w:t>
            </w:r>
          </w:p>
        </w:tc>
        <w:tc>
          <w:tcPr>
            <w:tcW w:w="7248" w:type="dxa"/>
            <w:tcBorders>
              <w:top w:val="single" w:color="auto" w:sz="4" w:space="0"/>
              <w:left w:val="single" w:color="000000" w:sz="4" w:space="0"/>
              <w:bottom w:val="single" w:color="000000" w:sz="4" w:space="0"/>
              <w:right w:val="single" w:color="000000" w:sz="4" w:space="0"/>
            </w:tcBorders>
            <w:shd w:val="clear" w:color="auto" w:fill="auto"/>
            <w:vAlign w:val="top"/>
          </w:tcPr>
          <w:p w14:paraId="70765974">
            <w:pPr>
              <w:keepNext w:val="0"/>
              <w:keepLines w:val="0"/>
              <w:widowControl/>
              <w:suppressLineNumbers w:val="0"/>
              <w:ind w:left="0" w:leftChars="0" w:firstLine="0" w:firstLineChars="0"/>
              <w:jc w:val="left"/>
              <w:textAlignment w:val="top"/>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14:ligatures w14:val="none"/>
              </w:rPr>
              <w:t>1)国产化适配：支持鲲鹏/海光CPU、麒麟/openEuler系统、达梦/人大金仓数据库</w:t>
            </w:r>
            <w:r>
              <w:rPr>
                <w:rFonts w:hint="eastAsia" w:ascii="仿宋" w:hAnsi="仿宋" w:eastAsia="仿宋" w:cs="仿宋"/>
                <w:i w:val="0"/>
                <w:iCs w:val="0"/>
                <w:color w:val="auto"/>
                <w:kern w:val="0"/>
                <w:sz w:val="22"/>
                <w:szCs w:val="22"/>
                <w:highlight w:val="none"/>
                <w:u w:val="none"/>
                <w:lang w:val="en-US" w:eastAsia="zh-CN" w:bidi="ar"/>
                <w14:ligatures w14:val="none"/>
              </w:rPr>
              <w:br w:type="textWrapping"/>
            </w:r>
            <w:r>
              <w:rPr>
                <w:rFonts w:hint="eastAsia" w:ascii="仿宋" w:hAnsi="仿宋" w:eastAsia="仿宋" w:cs="仿宋"/>
                <w:i w:val="0"/>
                <w:iCs w:val="0"/>
                <w:color w:val="auto"/>
                <w:kern w:val="0"/>
                <w:sz w:val="22"/>
                <w:szCs w:val="22"/>
                <w:highlight w:val="none"/>
                <w:u w:val="none"/>
                <w:lang w:val="en-US" w:eastAsia="zh-CN" w:bidi="ar"/>
                <w14:ligatures w14:val="none"/>
              </w:rPr>
              <w:t>2)容器管理：基于K8s，支持多集群管理、服务分层、工作负载管控、命令交互、操作审计3.技术架构：微服务架构，提供完整源代码并支持二次开发</w:t>
            </w:r>
            <w:r>
              <w:rPr>
                <w:rFonts w:hint="eastAsia" w:ascii="仿宋" w:hAnsi="仿宋" w:eastAsia="仿宋" w:cs="仿宋"/>
                <w:i w:val="0"/>
                <w:iCs w:val="0"/>
                <w:color w:val="auto"/>
                <w:kern w:val="0"/>
                <w:sz w:val="22"/>
                <w:szCs w:val="22"/>
                <w:highlight w:val="none"/>
                <w:u w:val="none"/>
                <w:lang w:val="en-US" w:eastAsia="zh-CN" w:bidi="ar"/>
                <w14:ligatures w14:val="none"/>
              </w:rPr>
              <w:br w:type="textWrapping"/>
            </w:r>
            <w:r>
              <w:rPr>
                <w:rFonts w:hint="eastAsia" w:ascii="仿宋" w:hAnsi="仿宋" w:eastAsia="仿宋" w:cs="仿宋"/>
                <w:color w:val="auto"/>
                <w:highlight w:val="none"/>
                <w:lang w:val="en-US" w:eastAsia="zh-CN"/>
              </w:rPr>
              <w:t>▲</w:t>
            </w:r>
            <w:r>
              <w:rPr>
                <w:rFonts w:hint="eastAsia" w:ascii="仿宋" w:hAnsi="仿宋" w:eastAsia="仿宋" w:cs="仿宋"/>
                <w:i w:val="0"/>
                <w:iCs w:val="0"/>
                <w:color w:val="auto"/>
                <w:kern w:val="0"/>
                <w:sz w:val="22"/>
                <w:szCs w:val="22"/>
                <w:highlight w:val="none"/>
                <w:u w:val="none"/>
                <w:lang w:val="en-US" w:eastAsia="zh-CN" w:bidi="ar"/>
                <w14:ligatures w14:val="none"/>
              </w:rPr>
              <w:t>4)数据能力：可视化表单设计、数据预填/复用/校验、任务管理、电子签章、批量导出。</w:t>
            </w: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r>
              <w:rPr>
                <w:rFonts w:hint="eastAsia" w:ascii="仿宋" w:hAnsi="仿宋" w:eastAsia="仿宋" w:cs="仿宋"/>
                <w:i w:val="0"/>
                <w:iCs w:val="0"/>
                <w:color w:val="auto"/>
                <w:kern w:val="0"/>
                <w:sz w:val="22"/>
                <w:szCs w:val="22"/>
                <w:highlight w:val="none"/>
                <w:u w:val="none"/>
                <w:lang w:val="en-US" w:eastAsia="zh-CN" w:bidi="ar"/>
                <w14:ligatures w14:val="none"/>
              </w:rPr>
              <w:br w:type="textWrapping"/>
            </w:r>
            <w:r>
              <w:rPr>
                <w:rFonts w:hint="eastAsia" w:ascii="仿宋" w:hAnsi="仿宋" w:eastAsia="仿宋" w:cs="仿宋"/>
                <w:i w:val="0"/>
                <w:iCs w:val="0"/>
                <w:color w:val="auto"/>
                <w:kern w:val="0"/>
                <w:sz w:val="22"/>
                <w:szCs w:val="22"/>
                <w:highlight w:val="none"/>
                <w:u w:val="none"/>
                <w:lang w:val="en-US" w:eastAsia="zh-CN" w:bidi="ar"/>
                <w14:ligatures w14:val="none"/>
              </w:rPr>
              <w:t>5)数据库兼容：支持Oracle、SQLServer、MySQL、PostgreSQL、达梦、金仓等</w:t>
            </w:r>
          </w:p>
        </w:tc>
      </w:tr>
      <w:tr w14:paraId="4C84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60F4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技术栈和源代码</w:t>
            </w:r>
          </w:p>
        </w:tc>
        <w:tc>
          <w:tcPr>
            <w:tcW w:w="724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8309824">
            <w:pPr>
              <w:keepNext w:val="0"/>
              <w:keepLines w:val="0"/>
              <w:widowControl/>
              <w:suppressLineNumbers w:val="0"/>
              <w:ind w:left="0" w:leftChars="0" w:firstLine="0" w:firstLineChars="0"/>
              <w:jc w:val="left"/>
              <w:textAlignment w:val="top"/>
              <w:rPr>
                <w:rFonts w:hint="eastAsia" w:ascii="仿宋" w:hAnsi="仿宋" w:eastAsia="仿宋" w:cs="仿宋"/>
                <w:i w:val="0"/>
                <w:iCs w:val="0"/>
                <w:color w:val="auto"/>
                <w:sz w:val="23"/>
                <w:szCs w:val="23"/>
                <w:highlight w:val="none"/>
                <w:u w:val="none"/>
              </w:rPr>
            </w:pPr>
            <w:r>
              <w:rPr>
                <w:rFonts w:hint="eastAsia" w:ascii="仿宋" w:hAnsi="仿宋" w:eastAsia="仿宋" w:cs="仿宋"/>
                <w:color w:val="auto"/>
                <w:highlight w:val="none"/>
                <w:lang w:val="en-US" w:eastAsia="zh-CN"/>
              </w:rPr>
              <w:t>▲</w:t>
            </w:r>
            <w:r>
              <w:rPr>
                <w:rFonts w:hint="eastAsia" w:ascii="仿宋" w:hAnsi="仿宋" w:eastAsia="仿宋" w:cs="仿宋"/>
                <w:i w:val="0"/>
                <w:iCs w:val="0"/>
                <w:color w:val="auto"/>
                <w:kern w:val="0"/>
                <w:sz w:val="23"/>
                <w:szCs w:val="23"/>
                <w:highlight w:val="none"/>
                <w:u w:val="none"/>
                <w:lang w:val="en-US" w:eastAsia="zh-CN" w:bidi="ar"/>
                <w14:ligatures w14:val="none"/>
              </w:rPr>
              <w:t>需基于行业主流微服务架构进行设计和提供定制化服务，验收后需提供平台完整源代码；系统知识产权归招标方所有，招标方能够自行进行修改，投标方需提供技术支持。</w:t>
            </w: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p>
        </w:tc>
      </w:tr>
      <w:tr w14:paraId="0016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9C050">
            <w:pPr>
              <w:jc w:val="center"/>
              <w:rPr>
                <w:rFonts w:hint="eastAsia" w:ascii="仿宋" w:hAnsi="仿宋" w:eastAsia="仿宋" w:cs="仿宋"/>
                <w:i w:val="0"/>
                <w:iCs w:val="0"/>
                <w:color w:val="auto"/>
                <w:sz w:val="23"/>
                <w:szCs w:val="23"/>
                <w:highlight w:val="none"/>
                <w:u w:val="none"/>
              </w:rPr>
            </w:pPr>
          </w:p>
        </w:tc>
        <w:tc>
          <w:tcPr>
            <w:tcW w:w="724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ED81DB">
            <w:pPr>
              <w:jc w:val="left"/>
              <w:rPr>
                <w:rFonts w:hint="eastAsia" w:ascii="仿宋" w:hAnsi="仿宋" w:eastAsia="仿宋" w:cs="仿宋"/>
                <w:i w:val="0"/>
                <w:iCs w:val="0"/>
                <w:color w:val="auto"/>
                <w:sz w:val="23"/>
                <w:szCs w:val="23"/>
                <w:highlight w:val="none"/>
                <w:u w:val="none"/>
              </w:rPr>
            </w:pPr>
          </w:p>
        </w:tc>
      </w:tr>
      <w:tr w14:paraId="36CF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1CBAA">
            <w:pPr>
              <w:jc w:val="center"/>
              <w:rPr>
                <w:rFonts w:hint="eastAsia" w:ascii="仿宋" w:hAnsi="仿宋" w:eastAsia="仿宋" w:cs="仿宋"/>
                <w:i w:val="0"/>
                <w:iCs w:val="0"/>
                <w:color w:val="auto"/>
                <w:sz w:val="23"/>
                <w:szCs w:val="23"/>
                <w:highlight w:val="none"/>
                <w:u w:val="none"/>
              </w:rPr>
            </w:pPr>
          </w:p>
        </w:tc>
        <w:tc>
          <w:tcPr>
            <w:tcW w:w="724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102B21">
            <w:pPr>
              <w:jc w:val="left"/>
              <w:rPr>
                <w:rFonts w:hint="eastAsia" w:ascii="仿宋" w:hAnsi="仿宋" w:eastAsia="仿宋" w:cs="仿宋"/>
                <w:i w:val="0"/>
                <w:iCs w:val="0"/>
                <w:color w:val="auto"/>
                <w:sz w:val="23"/>
                <w:szCs w:val="23"/>
                <w:highlight w:val="none"/>
                <w:u w:val="none"/>
              </w:rPr>
            </w:pPr>
          </w:p>
        </w:tc>
      </w:tr>
      <w:tr w14:paraId="7A2A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24" w:type="dxa"/>
            <w:gridSpan w:val="2"/>
            <w:tcBorders>
              <w:top w:val="single" w:color="000000" w:sz="4" w:space="0"/>
              <w:left w:val="single" w:color="000000" w:sz="4" w:space="0"/>
              <w:bottom w:val="single" w:color="000000" w:sz="4" w:space="0"/>
              <w:right w:val="single" w:color="000000" w:sz="4" w:space="0"/>
            </w:tcBorders>
            <w:shd w:val="clear" w:color="auto" w:fill="F1F1F1"/>
            <w:vAlign w:val="top"/>
          </w:tcPr>
          <w:p w14:paraId="60442123">
            <w:pPr>
              <w:keepNext w:val="0"/>
              <w:keepLines w:val="0"/>
              <w:widowControl/>
              <w:suppressLineNumbers w:val="0"/>
              <w:ind w:left="0" w:leftChars="0" w:firstLine="0" w:firstLineChars="0"/>
              <w:jc w:val="left"/>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（2）数据采集与统一填报平台（一张表/一表通）数据管理定制化服务</w:t>
            </w:r>
          </w:p>
        </w:tc>
      </w:tr>
      <w:tr w14:paraId="2BD8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2CD80657">
            <w:pPr>
              <w:keepNext w:val="0"/>
              <w:keepLines w:val="0"/>
              <w:widowControl/>
              <w:suppressLineNumbers w:val="0"/>
              <w:ind w:left="0" w:leftChars="0" w:firstLine="0" w:firstLineChars="0"/>
              <w:jc w:val="center"/>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指标项</w:t>
            </w:r>
          </w:p>
        </w:tc>
        <w:tc>
          <w:tcPr>
            <w:tcW w:w="7248" w:type="dxa"/>
            <w:tcBorders>
              <w:top w:val="single" w:color="000000" w:sz="4" w:space="0"/>
              <w:left w:val="single" w:color="000000" w:sz="4" w:space="0"/>
              <w:bottom w:val="single" w:color="000000" w:sz="4" w:space="0"/>
              <w:right w:val="single" w:color="000000" w:sz="4" w:space="0"/>
            </w:tcBorders>
            <w:shd w:val="clear" w:color="auto" w:fill="auto"/>
            <w:vAlign w:val="top"/>
          </w:tcPr>
          <w:p w14:paraId="3873B078">
            <w:pPr>
              <w:keepNext w:val="0"/>
              <w:keepLines w:val="0"/>
              <w:widowControl/>
              <w:suppressLineNumbers w:val="0"/>
              <w:jc w:val="center"/>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指标要求</w:t>
            </w:r>
          </w:p>
        </w:tc>
      </w:tr>
      <w:tr w14:paraId="39212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3E5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维度模板管理</w:t>
            </w:r>
          </w:p>
        </w:tc>
        <w:tc>
          <w:tcPr>
            <w:tcW w:w="7248" w:type="dxa"/>
            <w:tcBorders>
              <w:top w:val="single" w:color="000000" w:sz="4" w:space="0"/>
              <w:left w:val="single" w:color="000000" w:sz="4" w:space="0"/>
              <w:bottom w:val="single" w:color="000000" w:sz="4" w:space="0"/>
              <w:right w:val="single" w:color="000000" w:sz="4" w:space="0"/>
            </w:tcBorders>
            <w:shd w:val="clear" w:color="auto" w:fill="auto"/>
            <w:vAlign w:val="top"/>
          </w:tcPr>
          <w:p w14:paraId="50F2C0CE">
            <w:pPr>
              <w:keepNext w:val="0"/>
              <w:keepLines w:val="0"/>
              <w:widowControl/>
              <w:suppressLineNumbers w:val="0"/>
              <w:ind w:left="0" w:leftChars="0" w:firstLine="0" w:firstLineChars="0"/>
              <w:jc w:val="left"/>
              <w:textAlignment w:val="top"/>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1)具备针对不同用户身份，不同所属部门纬度的模板配置功能，实现灵活的模板配置。同部门不同身份、不同部门同身份、不同部门不同身份的用户可以配置不一样的维度数据。</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2)维度模板应可关联多个角色，多个部门；同一个纬度模板可对部门及其下属子部门都生效。</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3)具备模板分类管理功能，提供两级数据维度管理方式，一级维度可配置名称、描述、图标等；二级维度可配置名称、描述；一级和二级维度均应支持自定义排序。</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4)二级维度下可引用一张或者多张已经定义存在的数据表。</w:t>
            </w:r>
          </w:p>
        </w:tc>
      </w:tr>
      <w:tr w14:paraId="6423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AE8B">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填报平台数据维护</w:t>
            </w:r>
          </w:p>
        </w:tc>
        <w:tc>
          <w:tcPr>
            <w:tcW w:w="7248" w:type="dxa"/>
            <w:tcBorders>
              <w:top w:val="single" w:color="000000" w:sz="4" w:space="0"/>
              <w:left w:val="single" w:color="000000" w:sz="4" w:space="0"/>
              <w:bottom w:val="nil"/>
              <w:right w:val="single" w:color="000000" w:sz="4" w:space="0"/>
            </w:tcBorders>
            <w:shd w:val="clear" w:color="auto" w:fill="auto"/>
            <w:vAlign w:val="top"/>
          </w:tcPr>
          <w:p w14:paraId="4FA6D8BD">
            <w:pPr>
              <w:keepNext w:val="0"/>
              <w:keepLines w:val="0"/>
              <w:widowControl/>
              <w:suppressLineNumbers w:val="0"/>
              <w:ind w:left="0" w:leftChars="0" w:firstLine="0" w:firstLineChars="0"/>
              <w:jc w:val="left"/>
              <w:textAlignment w:val="top"/>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1)实现可视化的表单设计功能，支持主流数据库。表单控件可进行托拉拽式设计生成，所见即所得。设计完成后的表单，可配置表名、编码、权限、表展示形式等参数。</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2)具备自定义配置表主键的功能，可根据业务情况自动生成唯一主键，或者选择部分字段进行主键的设定，来提供优异的查询性能。</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3)实现API接口数据、数据库数据、数据治理平台治理后数据的集成对接。后台可按需设置数据同步的方式，包括增量、全量、定时同步、字段映射等功能。</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color w:val="auto"/>
                <w:highlight w:val="none"/>
                <w:lang w:val="en-US" w:eastAsia="zh-CN"/>
              </w:rPr>
              <w:t>▲</w:t>
            </w:r>
            <w:r>
              <w:rPr>
                <w:rFonts w:hint="eastAsia" w:ascii="仿宋" w:hAnsi="仿宋" w:eastAsia="仿宋" w:cs="仿宋"/>
                <w:i w:val="0"/>
                <w:iCs w:val="0"/>
                <w:color w:val="auto"/>
                <w:kern w:val="0"/>
                <w:sz w:val="23"/>
                <w:szCs w:val="23"/>
                <w:highlight w:val="none"/>
                <w:u w:val="none"/>
                <w:lang w:val="en-US" w:eastAsia="zh-CN" w:bidi="ar"/>
                <w14:ligatures w14:val="none"/>
              </w:rPr>
              <w:t>4)数据表同步后提供填报纠错配置，纠错流程应具有标准的待自查、暂存、审核中、已审核四种状态。</w:t>
            </w: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5)数据表具有独立的权限配置、审批流程配置、数据同步配置选项，同时提供启用/停用功能。</w:t>
            </w:r>
          </w:p>
        </w:tc>
      </w:tr>
      <w:tr w14:paraId="6A1E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6C8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角色/岗位管理</w:t>
            </w:r>
          </w:p>
        </w:tc>
        <w:tc>
          <w:tcPr>
            <w:tcW w:w="7248" w:type="dxa"/>
            <w:tcBorders>
              <w:top w:val="single" w:color="000000" w:sz="4" w:space="0"/>
              <w:left w:val="single" w:color="000000" w:sz="4" w:space="0"/>
              <w:bottom w:val="nil"/>
              <w:right w:val="single" w:color="000000" w:sz="4" w:space="0"/>
            </w:tcBorders>
            <w:shd w:val="clear" w:color="auto" w:fill="auto"/>
            <w:vAlign w:val="top"/>
          </w:tcPr>
          <w:p w14:paraId="63685B8E">
            <w:pPr>
              <w:keepNext w:val="0"/>
              <w:keepLines w:val="0"/>
              <w:widowControl/>
              <w:suppressLineNumbers w:val="0"/>
              <w:ind w:left="0" w:leftChars="0" w:firstLine="0" w:firstLineChars="0"/>
              <w:jc w:val="left"/>
              <w:textAlignment w:val="top"/>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1)根据学校不同的岗位角色，各自都赋予个性化的职责分工。实现通用的角色配置功能，该角色配置可应用于智能填报平台模板中，角色可按需添加用户、批量删除用户。</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2)实现审批岗位配置功能，进行审批岗位配置后，该岗位信息对所有部门可见，用户根据实际情况在部门中添加该岗位人员。</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3)系统菜单、数据权限应基于角色体系构建，能够快速进行菜单、页面、功能的可视化权限配置。</w:t>
            </w:r>
          </w:p>
        </w:tc>
      </w:tr>
      <w:tr w14:paraId="56E7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3BC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数据纠错功能</w:t>
            </w:r>
          </w:p>
        </w:tc>
        <w:tc>
          <w:tcPr>
            <w:tcW w:w="7248" w:type="dxa"/>
            <w:tcBorders>
              <w:top w:val="single" w:color="000000" w:sz="4" w:space="0"/>
              <w:left w:val="single" w:color="000000" w:sz="4" w:space="0"/>
              <w:bottom w:val="single" w:color="000000" w:sz="4" w:space="0"/>
              <w:right w:val="single" w:color="000000" w:sz="4" w:space="0"/>
            </w:tcBorders>
            <w:shd w:val="clear" w:color="auto" w:fill="auto"/>
            <w:vAlign w:val="top"/>
          </w:tcPr>
          <w:p w14:paraId="5F3297BC">
            <w:pPr>
              <w:keepNext w:val="0"/>
              <w:keepLines w:val="0"/>
              <w:widowControl/>
              <w:suppressLineNumbers w:val="0"/>
              <w:ind w:left="0" w:leftChars="0" w:firstLine="0" w:firstLineChars="0"/>
              <w:jc w:val="left"/>
              <w:textAlignment w:val="top"/>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对于已经完成填报的数据、治理后的数据，用户在使用平台时发现数据不正确的，可通过平台提供的数据纠错功能进行上报，上报后确认异常的由管理员进行业务处理。</w:t>
            </w:r>
          </w:p>
        </w:tc>
      </w:tr>
      <w:tr w14:paraId="6380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24" w:type="dxa"/>
            <w:gridSpan w:val="2"/>
            <w:tcBorders>
              <w:top w:val="single" w:color="000000" w:sz="4" w:space="0"/>
              <w:left w:val="single" w:color="000000" w:sz="4" w:space="0"/>
              <w:bottom w:val="single" w:color="000000" w:sz="4" w:space="0"/>
              <w:right w:val="single" w:color="000000" w:sz="4" w:space="0"/>
            </w:tcBorders>
            <w:shd w:val="clear" w:color="auto" w:fill="F1F1F1"/>
            <w:vAlign w:val="top"/>
          </w:tcPr>
          <w:p w14:paraId="0B16B327">
            <w:pPr>
              <w:keepNext w:val="0"/>
              <w:keepLines w:val="0"/>
              <w:widowControl/>
              <w:suppressLineNumbers w:val="0"/>
              <w:ind w:left="0" w:leftChars="0" w:firstLine="0" w:firstLineChars="0"/>
              <w:jc w:val="left"/>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（3）智能数据采集填报定制化服务</w:t>
            </w:r>
          </w:p>
        </w:tc>
      </w:tr>
      <w:tr w14:paraId="3401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79DA1E80">
            <w:pPr>
              <w:keepNext w:val="0"/>
              <w:keepLines w:val="0"/>
              <w:widowControl/>
              <w:suppressLineNumbers w:val="0"/>
              <w:ind w:left="0" w:leftChars="0" w:firstLine="0" w:firstLineChars="0"/>
              <w:jc w:val="center"/>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指标项</w:t>
            </w:r>
          </w:p>
        </w:tc>
        <w:tc>
          <w:tcPr>
            <w:tcW w:w="7248" w:type="dxa"/>
            <w:tcBorders>
              <w:top w:val="single" w:color="000000" w:sz="4" w:space="0"/>
              <w:left w:val="single" w:color="000000" w:sz="4" w:space="0"/>
              <w:bottom w:val="single" w:color="000000" w:sz="4" w:space="0"/>
              <w:right w:val="single" w:color="000000" w:sz="4" w:space="0"/>
            </w:tcBorders>
            <w:shd w:val="clear" w:color="auto" w:fill="auto"/>
            <w:vAlign w:val="top"/>
          </w:tcPr>
          <w:p w14:paraId="7BA6D247">
            <w:pPr>
              <w:keepNext w:val="0"/>
              <w:keepLines w:val="0"/>
              <w:widowControl/>
              <w:suppressLineNumbers w:val="0"/>
              <w:jc w:val="center"/>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指标要求</w:t>
            </w:r>
          </w:p>
        </w:tc>
      </w:tr>
      <w:tr w14:paraId="1944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4F1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数据采集功能管理</w:t>
            </w:r>
          </w:p>
        </w:tc>
        <w:tc>
          <w:tcPr>
            <w:tcW w:w="7248" w:type="dxa"/>
            <w:tcBorders>
              <w:top w:val="single" w:color="000000" w:sz="4" w:space="0"/>
              <w:left w:val="single" w:color="000000" w:sz="4" w:space="0"/>
              <w:bottom w:val="nil"/>
              <w:right w:val="single" w:color="000000" w:sz="4" w:space="0"/>
            </w:tcBorders>
            <w:shd w:val="clear" w:color="auto" w:fill="auto"/>
            <w:vAlign w:val="top"/>
          </w:tcPr>
          <w:p w14:paraId="6D3B8719">
            <w:pPr>
              <w:keepNext w:val="0"/>
              <w:keepLines w:val="0"/>
              <w:widowControl/>
              <w:suppressLineNumbers w:val="0"/>
              <w:ind w:left="0" w:leftChars="0" w:firstLine="0" w:firstLineChars="0"/>
              <w:jc w:val="left"/>
              <w:textAlignment w:val="top"/>
              <w:rPr>
                <w:rFonts w:hint="eastAsia" w:ascii="仿宋" w:hAnsi="仿宋" w:eastAsia="仿宋" w:cs="仿宋"/>
                <w:i w:val="0"/>
                <w:iCs w:val="0"/>
                <w:color w:val="auto"/>
                <w:sz w:val="23"/>
                <w:szCs w:val="23"/>
                <w:highlight w:val="none"/>
                <w:u w:val="none"/>
              </w:rPr>
            </w:pPr>
            <w:r>
              <w:rPr>
                <w:rFonts w:hint="eastAsia" w:ascii="仿宋" w:hAnsi="仿宋" w:eastAsia="仿宋" w:cs="仿宋"/>
                <w:color w:val="auto"/>
                <w:highlight w:val="none"/>
                <w:lang w:val="en-US" w:eastAsia="zh-CN"/>
              </w:rPr>
              <w:t>▲</w:t>
            </w:r>
            <w:r>
              <w:rPr>
                <w:rFonts w:hint="eastAsia" w:ascii="仿宋" w:hAnsi="仿宋" w:eastAsia="仿宋" w:cs="仿宋"/>
                <w:i w:val="0"/>
                <w:iCs w:val="0"/>
                <w:color w:val="auto"/>
                <w:kern w:val="0"/>
                <w:sz w:val="23"/>
                <w:szCs w:val="23"/>
                <w:highlight w:val="none"/>
                <w:u w:val="none"/>
                <w:lang w:val="en-US" w:eastAsia="zh-CN" w:bidi="ar"/>
                <w14:ligatures w14:val="none"/>
              </w:rPr>
              <w:t>1)可视化的填报表单设计工具。</w:t>
            </w: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2)具备数据填报任务的发起、管理、统计。</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3)实现基于公共数据设置复杂计算规则的填报业务功能。</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4)数据填报功能应具备包括不限于：增加、删除、修改等场景。改动数据的操作日志及流程审批记录需永久存储，支持后续追溯。</w:t>
            </w:r>
          </w:p>
        </w:tc>
      </w:tr>
      <w:tr w14:paraId="2401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E54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填报流程管理</w:t>
            </w:r>
          </w:p>
        </w:tc>
        <w:tc>
          <w:tcPr>
            <w:tcW w:w="7248" w:type="dxa"/>
            <w:tcBorders>
              <w:top w:val="single" w:color="000000" w:sz="4" w:space="0"/>
              <w:left w:val="single" w:color="000000" w:sz="4" w:space="0"/>
              <w:bottom w:val="nil"/>
              <w:right w:val="single" w:color="000000" w:sz="4" w:space="0"/>
            </w:tcBorders>
            <w:shd w:val="clear" w:color="auto" w:fill="auto"/>
            <w:vAlign w:val="top"/>
          </w:tcPr>
          <w:p w14:paraId="45BBAF97">
            <w:pPr>
              <w:keepNext w:val="0"/>
              <w:keepLines w:val="0"/>
              <w:widowControl/>
              <w:suppressLineNumbers w:val="0"/>
              <w:ind w:left="0" w:leftChars="0" w:firstLine="0" w:firstLineChars="0"/>
              <w:jc w:val="left"/>
              <w:textAlignment w:val="top"/>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1)提供标准化的填报流程功能，基于BPMN2.0国际标准，解决复杂数据填报业务的流程审批工具，梳理填报审批流程，搭建运维规范。</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2)平台待办任务和业务消息集成至学校的待办中心和消息中心。</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3)持基于逻辑表配置填报审批流程，审批流程可按需配置。</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4)支审批流程应提供任务消息，审批通过和驳回消息。</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color w:val="auto"/>
                <w:highlight w:val="none"/>
                <w:lang w:val="en-US" w:eastAsia="zh-CN"/>
              </w:rPr>
              <w:t>▲</w:t>
            </w:r>
            <w:r>
              <w:rPr>
                <w:rFonts w:hint="eastAsia" w:ascii="仿宋" w:hAnsi="仿宋" w:eastAsia="仿宋" w:cs="仿宋"/>
                <w:i w:val="0"/>
                <w:iCs w:val="0"/>
                <w:color w:val="auto"/>
                <w:kern w:val="0"/>
                <w:sz w:val="23"/>
                <w:szCs w:val="23"/>
                <w:highlight w:val="none"/>
                <w:u w:val="none"/>
                <w:lang w:val="en-US" w:eastAsia="zh-CN" w:bidi="ar"/>
                <w14:ligatures w14:val="none"/>
              </w:rPr>
              <w:t>5)平台流程配置需提供可视化配置功能，支持岗位、角色、组织机构、账号维度的审批人员选择功能。</w:t>
            </w: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p>
        </w:tc>
      </w:tr>
      <w:tr w14:paraId="0334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E00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数据填报</w:t>
            </w:r>
          </w:p>
        </w:tc>
        <w:tc>
          <w:tcPr>
            <w:tcW w:w="7248" w:type="dxa"/>
            <w:tcBorders>
              <w:top w:val="single" w:color="000000" w:sz="4" w:space="0"/>
              <w:left w:val="single" w:color="000000" w:sz="4" w:space="0"/>
              <w:bottom w:val="nil"/>
              <w:right w:val="single" w:color="000000" w:sz="4" w:space="0"/>
            </w:tcBorders>
            <w:shd w:val="clear" w:color="auto" w:fill="auto"/>
            <w:vAlign w:val="top"/>
          </w:tcPr>
          <w:p w14:paraId="4383C96E">
            <w:pPr>
              <w:keepNext w:val="0"/>
              <w:keepLines w:val="0"/>
              <w:widowControl/>
              <w:suppressLineNumbers w:val="0"/>
              <w:ind w:left="0" w:leftChars="0" w:firstLine="0" w:firstLineChars="0"/>
              <w:jc w:val="left"/>
              <w:textAlignment w:val="top"/>
              <w:rPr>
                <w:rFonts w:hint="eastAsia" w:ascii="仿宋" w:hAnsi="仿宋" w:eastAsia="仿宋" w:cs="仿宋"/>
                <w:i w:val="0"/>
                <w:iCs w:val="0"/>
                <w:color w:val="auto"/>
                <w:sz w:val="23"/>
                <w:szCs w:val="23"/>
                <w:highlight w:val="none"/>
                <w:u w:val="none"/>
              </w:rPr>
            </w:pPr>
            <w:r>
              <w:rPr>
                <w:rFonts w:hint="eastAsia" w:ascii="仿宋" w:hAnsi="仿宋" w:eastAsia="仿宋" w:cs="仿宋"/>
                <w:color w:val="auto"/>
                <w:highlight w:val="none"/>
                <w:lang w:val="en-US" w:eastAsia="zh-CN"/>
              </w:rPr>
              <w:t>▲</w:t>
            </w:r>
            <w:r>
              <w:rPr>
                <w:rFonts w:hint="eastAsia" w:ascii="仿宋" w:hAnsi="仿宋" w:eastAsia="仿宋" w:cs="仿宋"/>
                <w:i w:val="0"/>
                <w:iCs w:val="0"/>
                <w:color w:val="auto"/>
                <w:kern w:val="0"/>
                <w:sz w:val="23"/>
                <w:szCs w:val="23"/>
                <w:highlight w:val="none"/>
                <w:u w:val="none"/>
                <w:lang w:val="en-US" w:eastAsia="zh-CN" w:bidi="ar"/>
                <w14:ligatures w14:val="none"/>
              </w:rPr>
              <w:t>实现学校基于业务规则的数据填报，例如：学校的绩效考核、年度考核等。填报业务应包括填报方案说明、填报项的设置、填报项权限管理等。实现的业务填报应具备活动配置、规则配置、结果数据统计，同时实现填报结果可后续利用。</w:t>
            </w:r>
            <w:r>
              <w:rPr>
                <w:rFonts w:hint="eastAsia" w:ascii="仿宋" w:hAnsi="仿宋" w:eastAsia="仿宋" w:cs="仿宋"/>
                <w:color w:val="auto"/>
                <w:highlight w:val="none"/>
                <w:lang w:val="en-US" w:eastAsia="zh-CN"/>
              </w:rPr>
              <w:t>【须提供对应功能相关系统界面截图和技术说明资料并加盖投标人公章，未提供有效佐证材料视为该项不满足，作负偏离认定。】</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1)具备在后台设置业务的开始时间和结束时间，通过组织和角色结合的方式，确认业务范围。</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2)具备规则设置，对于不同角色或不同组织机构，可设置不同的规则，该规则为一组计算公式，可由智能填报平台数据根据常规运算而来。</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3)具备业务数据统计查看、导出等基础功能。</w:t>
            </w:r>
          </w:p>
        </w:tc>
      </w:tr>
      <w:tr w14:paraId="440D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24" w:type="dxa"/>
            <w:gridSpan w:val="2"/>
            <w:tcBorders>
              <w:top w:val="single" w:color="000000" w:sz="4" w:space="0"/>
              <w:left w:val="single" w:color="000000" w:sz="4" w:space="0"/>
              <w:bottom w:val="single" w:color="000000" w:sz="4" w:space="0"/>
              <w:right w:val="single" w:color="000000" w:sz="4" w:space="0"/>
            </w:tcBorders>
            <w:shd w:val="clear" w:color="auto" w:fill="F1F1F1"/>
            <w:vAlign w:val="top"/>
          </w:tcPr>
          <w:p w14:paraId="16F76B4C">
            <w:pPr>
              <w:keepNext w:val="0"/>
              <w:keepLines w:val="0"/>
              <w:widowControl/>
              <w:suppressLineNumbers w:val="0"/>
              <w:ind w:left="0" w:leftChars="0" w:firstLine="0" w:firstLineChars="0"/>
              <w:jc w:val="left"/>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（4）学校全域数据展示定制化服务</w:t>
            </w:r>
          </w:p>
        </w:tc>
      </w:tr>
      <w:tr w14:paraId="3377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2159ABF4">
            <w:pPr>
              <w:keepNext w:val="0"/>
              <w:keepLines w:val="0"/>
              <w:widowControl/>
              <w:suppressLineNumbers w:val="0"/>
              <w:ind w:left="0" w:leftChars="0" w:firstLine="0" w:firstLineChars="0"/>
              <w:jc w:val="center"/>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指标项</w:t>
            </w:r>
          </w:p>
        </w:tc>
        <w:tc>
          <w:tcPr>
            <w:tcW w:w="7248" w:type="dxa"/>
            <w:tcBorders>
              <w:top w:val="single" w:color="000000" w:sz="4" w:space="0"/>
              <w:left w:val="single" w:color="000000" w:sz="4" w:space="0"/>
              <w:bottom w:val="single" w:color="000000" w:sz="4" w:space="0"/>
              <w:right w:val="single" w:color="000000" w:sz="4" w:space="0"/>
            </w:tcBorders>
            <w:shd w:val="clear" w:color="auto" w:fill="auto"/>
            <w:vAlign w:val="top"/>
          </w:tcPr>
          <w:p w14:paraId="3F5B9875">
            <w:pPr>
              <w:keepNext w:val="0"/>
              <w:keepLines w:val="0"/>
              <w:widowControl/>
              <w:suppressLineNumbers w:val="0"/>
              <w:jc w:val="center"/>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指标要求</w:t>
            </w:r>
          </w:p>
        </w:tc>
      </w:tr>
      <w:tr w14:paraId="5804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37C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定制化服务</w:t>
            </w:r>
          </w:p>
        </w:tc>
        <w:tc>
          <w:tcPr>
            <w:tcW w:w="7248" w:type="dxa"/>
            <w:tcBorders>
              <w:top w:val="single" w:color="000000" w:sz="4" w:space="0"/>
              <w:left w:val="single" w:color="000000" w:sz="4" w:space="0"/>
              <w:bottom w:val="single" w:color="000000" w:sz="4" w:space="0"/>
              <w:right w:val="single" w:color="000000" w:sz="4" w:space="0"/>
            </w:tcBorders>
            <w:shd w:val="clear" w:color="auto" w:fill="auto"/>
            <w:vAlign w:val="top"/>
          </w:tcPr>
          <w:p w14:paraId="64CE7BAA">
            <w:pPr>
              <w:keepNext w:val="0"/>
              <w:keepLines w:val="0"/>
              <w:widowControl/>
              <w:suppressLineNumbers w:val="0"/>
              <w:ind w:left="0" w:leftChars="0" w:firstLine="0" w:firstLineChars="0"/>
              <w:jc w:val="left"/>
              <w:textAlignment w:val="top"/>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构建学校业务主题模型，支撑学校教学、科研、财务、资产等业务的即时查询、综合报表等功能，为学校各级用户提供数据服务，为校领导提供统计分析及决策支持。</w:t>
            </w:r>
          </w:p>
        </w:tc>
      </w:tr>
      <w:tr w14:paraId="0A58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984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学校全域数据展示</w:t>
            </w:r>
          </w:p>
        </w:tc>
        <w:tc>
          <w:tcPr>
            <w:tcW w:w="7248" w:type="dxa"/>
            <w:tcBorders>
              <w:top w:val="single" w:color="000000" w:sz="4" w:space="0"/>
              <w:left w:val="single" w:color="000000" w:sz="4" w:space="0"/>
              <w:bottom w:val="single" w:color="000000" w:sz="4" w:space="0"/>
              <w:right w:val="single" w:color="000000" w:sz="4" w:space="0"/>
            </w:tcBorders>
            <w:shd w:val="clear" w:color="auto" w:fill="auto"/>
            <w:vAlign w:val="top"/>
          </w:tcPr>
          <w:p w14:paraId="2D765074">
            <w:pPr>
              <w:keepNext w:val="0"/>
              <w:keepLines w:val="0"/>
              <w:widowControl/>
              <w:suppressLineNumbers w:val="0"/>
              <w:ind w:left="0" w:leftChars="0" w:firstLine="0" w:firstLineChars="0"/>
              <w:jc w:val="left"/>
              <w:textAlignment w:val="top"/>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提供不少于五个一级维度建设，包括不限于学校教学、科研、财务、人事、活动等，二级维度示例如下：</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1)学校人事：学校基本信息，人事信息，人事变动，师资情况，公派出国情况等。</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2)学校资产：固定资产，教学资源、师资清单、设备数据，公共项目建设情况，软硬件设施建设清单。</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3)活动科研：科研服务活动，培训讲座信息，国家或省级科研奖项，科研成果，论文，专利，实践成果。</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4)教学：教师教学情况，授课，竞赛，学科奖项，竞赛奖项等信息，学科建设，评优获奖情况，师资力量清单，学科科研情况等。</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5)信息：上课考勤情况，日常请销假情况，食堂就餐，图书馆利用，宿舍进出留宿情况。学科考试成绩，学科竞赛奖项，毕业生去向。</w:t>
            </w:r>
          </w:p>
        </w:tc>
      </w:tr>
      <w:tr w14:paraId="2EFA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24" w:type="dxa"/>
            <w:gridSpan w:val="2"/>
            <w:tcBorders>
              <w:top w:val="single" w:color="000000" w:sz="4" w:space="0"/>
              <w:left w:val="single" w:color="000000" w:sz="4" w:space="0"/>
              <w:bottom w:val="single" w:color="000000" w:sz="4" w:space="0"/>
              <w:right w:val="single" w:color="000000" w:sz="4" w:space="0"/>
            </w:tcBorders>
            <w:shd w:val="clear" w:color="auto" w:fill="F1F1F1"/>
            <w:vAlign w:val="top"/>
          </w:tcPr>
          <w:p w14:paraId="0A864351">
            <w:pPr>
              <w:keepNext w:val="0"/>
              <w:keepLines w:val="0"/>
              <w:widowControl/>
              <w:suppressLineNumbers w:val="0"/>
              <w:ind w:left="0" w:leftChars="0" w:firstLine="0" w:firstLineChars="0"/>
              <w:jc w:val="left"/>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（5）教职工全域数据展示定制化服务</w:t>
            </w:r>
          </w:p>
        </w:tc>
      </w:tr>
      <w:tr w14:paraId="715A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2640C49D">
            <w:pPr>
              <w:keepNext w:val="0"/>
              <w:keepLines w:val="0"/>
              <w:widowControl/>
              <w:suppressLineNumbers w:val="0"/>
              <w:ind w:left="0" w:leftChars="0" w:firstLine="0" w:firstLineChars="0"/>
              <w:jc w:val="center"/>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指标项</w:t>
            </w:r>
          </w:p>
        </w:tc>
        <w:tc>
          <w:tcPr>
            <w:tcW w:w="7248" w:type="dxa"/>
            <w:tcBorders>
              <w:top w:val="single" w:color="000000" w:sz="4" w:space="0"/>
              <w:left w:val="single" w:color="000000" w:sz="4" w:space="0"/>
              <w:bottom w:val="single" w:color="000000" w:sz="4" w:space="0"/>
              <w:right w:val="single" w:color="000000" w:sz="4" w:space="0"/>
            </w:tcBorders>
            <w:shd w:val="clear" w:color="auto" w:fill="auto"/>
            <w:vAlign w:val="top"/>
          </w:tcPr>
          <w:p w14:paraId="75E92701">
            <w:pPr>
              <w:keepNext w:val="0"/>
              <w:keepLines w:val="0"/>
              <w:widowControl/>
              <w:suppressLineNumbers w:val="0"/>
              <w:jc w:val="center"/>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指标要求</w:t>
            </w:r>
          </w:p>
        </w:tc>
      </w:tr>
      <w:tr w14:paraId="03D5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7EE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定制化服务</w:t>
            </w:r>
          </w:p>
        </w:tc>
        <w:tc>
          <w:tcPr>
            <w:tcW w:w="7248" w:type="dxa"/>
            <w:tcBorders>
              <w:top w:val="single" w:color="000000" w:sz="4" w:space="0"/>
              <w:left w:val="single" w:color="000000" w:sz="4" w:space="0"/>
              <w:bottom w:val="single" w:color="000000" w:sz="4" w:space="0"/>
              <w:right w:val="single" w:color="000000" w:sz="4" w:space="0"/>
            </w:tcBorders>
            <w:shd w:val="clear" w:color="auto" w:fill="auto"/>
            <w:vAlign w:val="top"/>
          </w:tcPr>
          <w:p w14:paraId="4C49E6F7">
            <w:pPr>
              <w:keepNext w:val="0"/>
              <w:keepLines w:val="0"/>
              <w:widowControl/>
              <w:suppressLineNumbers w:val="0"/>
              <w:ind w:left="0" w:leftChars="0" w:firstLine="0" w:firstLineChars="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构建教职工业务主题模型，支撑教职工教学、科研、财务、资产等业务的即时查询、综合报表等功能，完成学校教职工数据填报及定制化服务。</w:t>
            </w:r>
          </w:p>
        </w:tc>
      </w:tr>
      <w:tr w14:paraId="4B03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F45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教职工全域数据展示定制化服务</w:t>
            </w:r>
          </w:p>
        </w:tc>
        <w:tc>
          <w:tcPr>
            <w:tcW w:w="7248" w:type="dxa"/>
            <w:tcBorders>
              <w:top w:val="single" w:color="000000" w:sz="4" w:space="0"/>
              <w:left w:val="single" w:color="000000" w:sz="4" w:space="0"/>
              <w:bottom w:val="single" w:color="000000" w:sz="4" w:space="0"/>
              <w:right w:val="single" w:color="000000" w:sz="4" w:space="0"/>
            </w:tcBorders>
            <w:shd w:val="clear" w:color="auto" w:fill="auto"/>
            <w:vAlign w:val="top"/>
          </w:tcPr>
          <w:p w14:paraId="04956094">
            <w:pPr>
              <w:keepNext w:val="0"/>
              <w:keepLines w:val="0"/>
              <w:widowControl/>
              <w:suppressLineNumbers w:val="0"/>
              <w:ind w:left="0" w:leftChars="0" w:firstLine="0" w:firstLineChars="0"/>
              <w:jc w:val="left"/>
              <w:textAlignment w:val="top"/>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1)填报业务所需要的数据通过集成的方式汇聚展示，已有权威源的人事，科研，教学等基础数据，通过学校公共基础数据实现共享互通。</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2)学校的公共基础数据中没有的“无源数据”可实现自行填报，并由相应的管理人员审核，审核后数据可同步到所有涉及的平台，供以后需要时使用，即“一次填报、院系审核、重复使用”。</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3)实现填报业务所需要的数据通过集成的方式统一入口，具备自动计算、纠错报错功能，完成数据同步，实现数据的录入、审核、共享流程一体化。</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提供不少于五个一级维度数据建设，包括不限于基本信息、个人发展、教学情况、科研情况、国际交流等。二级维度数据建设示例如下：</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1)基本信息：基本信息，政治面貌，职称情况，人才称号，获得荣誉称号情况，人才培养服务，干部任职，缴费注册。</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2)个人发展：学习经历，工作经历，国内培训进修经历，海外访学经历，特聘岗位情况，管理岗位情况，年度考核情况。</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3)教学情况：本科生、研究生教学，承担的本研教学项目情况，教学成果获奖情况，指导本科生竞赛获奖情况，指导本科生创新创业项目情况。</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4)科研情况：发表科研论文情况，承担科研项目情况，党建与思政项目，指导博士研究生创新基金情况，出版著作情况。</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5)国际交流：国际机构高被引学者评选，国际学术会议特邀报告，因公出国出境经历，因公出入境证件。</w:t>
            </w:r>
          </w:p>
        </w:tc>
      </w:tr>
      <w:tr w14:paraId="7672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24" w:type="dxa"/>
            <w:gridSpan w:val="2"/>
            <w:tcBorders>
              <w:top w:val="single" w:color="000000" w:sz="4" w:space="0"/>
              <w:left w:val="single" w:color="000000" w:sz="4" w:space="0"/>
              <w:bottom w:val="single" w:color="000000" w:sz="4" w:space="0"/>
              <w:right w:val="single" w:color="000000" w:sz="4" w:space="0"/>
            </w:tcBorders>
            <w:shd w:val="clear" w:color="auto" w:fill="F1F1F1"/>
            <w:vAlign w:val="top"/>
          </w:tcPr>
          <w:p w14:paraId="007D08AA">
            <w:pPr>
              <w:keepNext w:val="0"/>
              <w:keepLines w:val="0"/>
              <w:widowControl/>
              <w:suppressLineNumbers w:val="0"/>
              <w:ind w:left="0" w:leftChars="0" w:firstLine="0" w:firstLineChars="0"/>
              <w:jc w:val="left"/>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（6）学生全域数据展示定制化服务</w:t>
            </w:r>
          </w:p>
        </w:tc>
      </w:tr>
      <w:tr w14:paraId="7FD3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top"/>
          </w:tcPr>
          <w:p w14:paraId="567A804B">
            <w:pPr>
              <w:keepNext w:val="0"/>
              <w:keepLines w:val="0"/>
              <w:widowControl/>
              <w:suppressLineNumbers w:val="0"/>
              <w:ind w:left="0" w:leftChars="0" w:firstLine="0" w:firstLineChars="0"/>
              <w:jc w:val="center"/>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指标项</w:t>
            </w:r>
          </w:p>
        </w:tc>
        <w:tc>
          <w:tcPr>
            <w:tcW w:w="7248" w:type="dxa"/>
            <w:tcBorders>
              <w:top w:val="single" w:color="000000" w:sz="4" w:space="0"/>
              <w:left w:val="single" w:color="000000" w:sz="4" w:space="0"/>
              <w:bottom w:val="single" w:color="000000" w:sz="4" w:space="0"/>
              <w:right w:val="single" w:color="000000" w:sz="4" w:space="0"/>
            </w:tcBorders>
            <w:shd w:val="clear" w:color="auto" w:fill="auto"/>
            <w:vAlign w:val="top"/>
          </w:tcPr>
          <w:p w14:paraId="6BDE10F5">
            <w:pPr>
              <w:keepNext w:val="0"/>
              <w:keepLines w:val="0"/>
              <w:widowControl/>
              <w:suppressLineNumbers w:val="0"/>
              <w:jc w:val="center"/>
              <w:textAlignment w:val="top"/>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14:ligatures w14:val="none"/>
              </w:rPr>
              <w:t>指标要求</w:t>
            </w:r>
          </w:p>
        </w:tc>
      </w:tr>
      <w:tr w14:paraId="6651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A72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定制化服务</w:t>
            </w:r>
          </w:p>
        </w:tc>
        <w:tc>
          <w:tcPr>
            <w:tcW w:w="7248" w:type="dxa"/>
            <w:tcBorders>
              <w:top w:val="single" w:color="000000" w:sz="4" w:space="0"/>
              <w:left w:val="single" w:color="000000" w:sz="4" w:space="0"/>
              <w:bottom w:val="single" w:color="000000" w:sz="4" w:space="0"/>
              <w:right w:val="single" w:color="000000" w:sz="4" w:space="0"/>
            </w:tcBorders>
            <w:shd w:val="clear" w:color="auto" w:fill="auto"/>
            <w:vAlign w:val="top"/>
          </w:tcPr>
          <w:p w14:paraId="051E95F4">
            <w:pPr>
              <w:keepNext w:val="0"/>
              <w:keepLines w:val="0"/>
              <w:widowControl/>
              <w:suppressLineNumbers w:val="0"/>
              <w:ind w:left="0" w:leftChars="0" w:firstLine="0" w:firstLineChars="0"/>
              <w:jc w:val="left"/>
              <w:textAlignment w:val="top"/>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构建学生业务主题模型，支撑学生个人基本信息、学习、生活等业务的即时查询、综合报表等功能，为学生提供统计分析及决策支持。</w:t>
            </w:r>
          </w:p>
        </w:tc>
      </w:tr>
      <w:tr w14:paraId="7CF6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EB6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学生全域数据展示定制化服务</w:t>
            </w:r>
          </w:p>
        </w:tc>
        <w:tc>
          <w:tcPr>
            <w:tcW w:w="7248" w:type="dxa"/>
            <w:tcBorders>
              <w:top w:val="single" w:color="000000" w:sz="4" w:space="0"/>
              <w:left w:val="single" w:color="000000" w:sz="4" w:space="0"/>
              <w:bottom w:val="single" w:color="000000" w:sz="4" w:space="0"/>
              <w:right w:val="single" w:color="000000" w:sz="4" w:space="0"/>
            </w:tcBorders>
            <w:shd w:val="clear" w:color="auto" w:fill="auto"/>
            <w:vAlign w:val="top"/>
          </w:tcPr>
          <w:p w14:paraId="2E1AFFBB">
            <w:pPr>
              <w:keepNext w:val="0"/>
              <w:keepLines w:val="0"/>
              <w:widowControl/>
              <w:suppressLineNumbers w:val="0"/>
              <w:ind w:left="0" w:leftChars="0" w:firstLine="0" w:firstLineChars="0"/>
              <w:jc w:val="left"/>
              <w:textAlignment w:val="top"/>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14:ligatures w14:val="none"/>
              </w:rPr>
              <w:t>提供不少于五个一级维度数据建设，包括不限于基本信息、综合成长、奖惩情况、校园生活、学习情况等。二级维度数据建设示例如下：</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1)基础信息：基本信息，政治面貌，户籍信息，通讯信息，缴费信息，招生信息，入学考试成绩信息。</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2)教育经历：已获学分情况，选课信息，考试成绩，体测成绩，辅修专业，创新创业，论文情况，毕业设计。</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3)奖惩情况：综合素质评价，获得奖助学金，荣誉称号，违纪处分，科研获奖，学科竞赛获奖，研究生其他竞赛获奖信息。</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4)校园生活：图书借阅，一卡通消费，运动情况，上网情况，学校公派出国项目，国家公派研究生联合培养，学院/导师派出出国交流，国内会议参加情况。</w:t>
            </w:r>
            <w:r>
              <w:rPr>
                <w:rFonts w:hint="eastAsia" w:ascii="仿宋" w:hAnsi="仿宋" w:eastAsia="仿宋" w:cs="仿宋"/>
                <w:i w:val="0"/>
                <w:iCs w:val="0"/>
                <w:color w:val="auto"/>
                <w:kern w:val="0"/>
                <w:sz w:val="23"/>
                <w:szCs w:val="23"/>
                <w:highlight w:val="none"/>
                <w:u w:val="none"/>
                <w:lang w:val="en-US" w:eastAsia="zh-CN" w:bidi="ar"/>
                <w14:ligatures w14:val="none"/>
              </w:rPr>
              <w:br w:type="textWrapping"/>
            </w:r>
            <w:r>
              <w:rPr>
                <w:rFonts w:hint="eastAsia" w:ascii="仿宋" w:hAnsi="仿宋" w:eastAsia="仿宋" w:cs="仿宋"/>
                <w:i w:val="0"/>
                <w:iCs w:val="0"/>
                <w:color w:val="auto"/>
                <w:kern w:val="0"/>
                <w:sz w:val="23"/>
                <w:szCs w:val="23"/>
                <w:highlight w:val="none"/>
                <w:u w:val="none"/>
                <w:lang w:val="en-US" w:eastAsia="zh-CN" w:bidi="ar"/>
                <w14:ligatures w14:val="none"/>
              </w:rPr>
              <w:t>5)学习情况：学位论文信息，发表科研论文，参加科研项目，出版著作情况，课程成绩信息，论文开题信息，论文中期信息，学位论文信息，创新创业项目情况，专业实践情况，毕业去向信息，发表科研论文情况，参与科研项目信息，发明专利信息，就业信息，出版著作情况等。</w:t>
            </w:r>
          </w:p>
        </w:tc>
      </w:tr>
    </w:tbl>
    <w:p w14:paraId="47C6ACD1">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color w:val="auto"/>
          <w:highlight w:val="none"/>
          <w:lang w:val="en-US" w:eastAsia="zh-CN"/>
        </w:rPr>
      </w:pPr>
    </w:p>
    <w:p w14:paraId="74563BA9">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 标量数据治理技术服务</w:t>
      </w:r>
    </w:p>
    <w:p w14:paraId="797B43B1">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基于本次建设的数据管理平台，开展</w:t>
      </w:r>
      <w:r>
        <w:rPr>
          <w:rFonts w:hint="eastAsia" w:ascii="仿宋" w:hAnsi="仿宋" w:eastAsia="仿宋" w:cs="仿宋"/>
          <w:color w:val="auto"/>
          <w:sz w:val="24"/>
          <w:szCs w:val="24"/>
          <w:highlight w:val="none"/>
          <w:u w:val="none"/>
          <w:lang w:val="en-US" w:eastAsia="zh-CN" w:bidi="ar"/>
        </w:rPr>
        <w:t>标量</w:t>
      </w:r>
      <w:r>
        <w:rPr>
          <w:rFonts w:hint="eastAsia" w:ascii="仿宋" w:hAnsi="仿宋" w:eastAsia="仿宋" w:cs="仿宋"/>
          <w:color w:val="auto"/>
          <w:sz w:val="24"/>
          <w:szCs w:val="24"/>
          <w:highlight w:val="none"/>
          <w:u w:val="none"/>
          <w:lang w:val="en-US" w:bidi="ar"/>
        </w:rPr>
        <w:t>数据治理技术服务</w:t>
      </w:r>
      <w:r>
        <w:rPr>
          <w:rFonts w:hint="eastAsia" w:ascii="仿宋" w:hAnsi="仿宋" w:eastAsia="仿宋" w:cs="仿宋"/>
          <w:color w:val="auto"/>
          <w:sz w:val="24"/>
          <w:szCs w:val="24"/>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14:ligatures w14:val="none"/>
        </w:rPr>
        <w:t>包括信息化数据调研、架构与模型管理、数据标准管理（含贴源层/标准层数据开发、定责、质量检测），实现数据从源头到治理的闭环。具体要求如下</w:t>
      </w:r>
      <w:r>
        <w:rPr>
          <w:rFonts w:hint="eastAsia" w:ascii="仿宋" w:hAnsi="仿宋" w:eastAsia="仿宋" w:cs="仿宋"/>
          <w:color w:val="auto"/>
          <w:sz w:val="24"/>
          <w:szCs w:val="24"/>
          <w:highlight w:val="none"/>
          <w:u w:val="none"/>
          <w:lang w:val="en-US" w:bidi="ar"/>
        </w:rPr>
        <w:t>：</w:t>
      </w:r>
    </w:p>
    <w:p w14:paraId="6AA1016D">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eastAsia="zh-CN" w:bidi="ar"/>
        </w:rPr>
        <w:t>（1）信息化数据</w:t>
      </w:r>
      <w:r>
        <w:rPr>
          <w:rFonts w:hint="eastAsia" w:ascii="仿宋" w:hAnsi="仿宋" w:eastAsia="仿宋" w:cs="仿宋"/>
          <w:color w:val="auto"/>
          <w:sz w:val="24"/>
          <w:szCs w:val="24"/>
          <w:highlight w:val="none"/>
          <w:u w:val="none"/>
          <w:lang w:val="en-US" w:bidi="ar"/>
        </w:rPr>
        <w:t>调研服务：根据学校本期数据应用具体需求，对已接入</w:t>
      </w:r>
      <w:r>
        <w:rPr>
          <w:rFonts w:hint="eastAsia" w:ascii="仿宋" w:hAnsi="仿宋" w:eastAsia="仿宋" w:cs="仿宋"/>
          <w:color w:val="auto"/>
          <w:sz w:val="24"/>
          <w:szCs w:val="24"/>
          <w:highlight w:val="none"/>
          <w:u w:val="none"/>
          <w:lang w:val="en-US" w:eastAsia="zh-CN" w:bidi="ar"/>
        </w:rPr>
        <w:t>数据管理平</w:t>
      </w:r>
      <w:r>
        <w:rPr>
          <w:rFonts w:hint="eastAsia" w:ascii="仿宋" w:hAnsi="仿宋" w:eastAsia="仿宋" w:cs="仿宋"/>
          <w:color w:val="auto"/>
          <w:sz w:val="24"/>
          <w:szCs w:val="24"/>
          <w:highlight w:val="none"/>
          <w:u w:val="none"/>
          <w:lang w:val="en-US" w:bidi="ar"/>
        </w:rPr>
        <w:t>台的20套业务系统进行细致的数据调研和整理，包括原始数据表信息，数据表的业务关系等，整理加工相应数据表以满足数据应用服务需求，为数据集成接入、数据标准化、数据治理开发、数据编目等奠定基础。</w:t>
      </w:r>
    </w:p>
    <w:p w14:paraId="72E10800">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eastAsia="zh-CN" w:bidi="ar"/>
        </w:rPr>
        <w:t>（2）</w:t>
      </w:r>
      <w:r>
        <w:rPr>
          <w:rFonts w:hint="eastAsia" w:ascii="仿宋" w:hAnsi="仿宋" w:eastAsia="仿宋" w:cs="仿宋"/>
          <w:color w:val="auto"/>
          <w:sz w:val="24"/>
          <w:szCs w:val="24"/>
          <w:highlight w:val="none"/>
          <w:u w:val="none"/>
          <w:lang w:val="en-US" w:bidi="ar"/>
        </w:rPr>
        <w:t>数据标准等制度制定服务：基于学校现状以及本期数据和业务应用等情况，协助学校制定相关数据标准规范，如：数据标准规范、数据管理办法、运行维护规范等；协助完成师生编码、单位编码、组织架构、人员基本信息等核心基础数据的统一规范，为数据编目、数据治理开发、数据共享交换奠定基础。</w:t>
      </w:r>
    </w:p>
    <w:p w14:paraId="5109EA02">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eastAsia="zh-CN" w:bidi="ar"/>
        </w:rPr>
        <w:t>（3）</w:t>
      </w:r>
      <w:r>
        <w:rPr>
          <w:rFonts w:hint="eastAsia" w:ascii="仿宋" w:hAnsi="仿宋" w:eastAsia="仿宋" w:cs="仿宋"/>
          <w:color w:val="auto"/>
          <w:sz w:val="24"/>
          <w:szCs w:val="24"/>
          <w:highlight w:val="none"/>
          <w:u w:val="none"/>
          <w:lang w:val="en-US" w:bidi="ar"/>
        </w:rPr>
        <w:t>数据集成接入及数据治理服务：根据已调研的结果，完成相应数据的集成接入，包括数据字典、数据项信息梳理完善以及数据集成接入入库以及相应的数据转换、数据标准化、数据清洗、数据开发、数据建模、任务调度、周期优化调整等工作；</w:t>
      </w:r>
    </w:p>
    <w:p w14:paraId="7632B539">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eastAsia="zh-CN" w:bidi="ar"/>
        </w:rPr>
        <w:t>（4）</w:t>
      </w:r>
      <w:r>
        <w:rPr>
          <w:rFonts w:hint="eastAsia" w:ascii="仿宋" w:hAnsi="仿宋" w:eastAsia="仿宋" w:cs="仿宋"/>
          <w:color w:val="auto"/>
          <w:sz w:val="24"/>
          <w:szCs w:val="24"/>
          <w:highlight w:val="none"/>
          <w:u w:val="none"/>
          <w:lang w:val="en-US" w:bidi="ar"/>
        </w:rPr>
        <w:t>数据资产目录梳理服务：针对已完成治理和清洗的数据，结合学校当前业务应用场景，编制学校信息数据资源目录，并按照业务访问需求和数据应用需求进行数据资源目录的挂接，建设数据资源门户，为数据共享和数据交换等奠定基础。</w:t>
      </w:r>
    </w:p>
    <w:p w14:paraId="7B8C5E6A">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eastAsia="zh-CN" w:bidi="ar"/>
        </w:rPr>
        <w:t>（5）</w:t>
      </w:r>
      <w:r>
        <w:rPr>
          <w:rFonts w:hint="eastAsia" w:ascii="仿宋" w:hAnsi="仿宋" w:eastAsia="仿宋" w:cs="仿宋"/>
          <w:color w:val="auto"/>
          <w:sz w:val="24"/>
          <w:szCs w:val="24"/>
          <w:highlight w:val="none"/>
          <w:u w:val="none"/>
          <w:lang w:val="en-US" w:bidi="ar"/>
        </w:rPr>
        <w:t>数据接口开发服务：针对学校当前的业务应用场景和数据共享需求，依托数据中台定制开发相关数据接口，包括并不限于库表交换、目录交换、API接口交换等，以满足学校本期业务应用的数据流通和数据共享交换需求，确保数据中台支撑的各类业务应用整体可用。</w:t>
      </w:r>
    </w:p>
    <w:p w14:paraId="21CEEB39">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从贴源层、标准层、主题层、专题层实现数据从源头到标准化、治理开发、共享开放的全流程数据治理闭环。</w:t>
      </w:r>
    </w:p>
    <w:p w14:paraId="44867143">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 数据安全服务</w:t>
      </w:r>
    </w:p>
    <w:p w14:paraId="21DA51D0">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基于本次建设的数据管理平台，实现数据共享安全策略（加密、脱敏、频控、黑白名单）、数据申请分级审核流程，并保障数据传输与审计安全等功能配置，且数据加密必须支持国产加密算法。具体要求如下：</w:t>
      </w:r>
    </w:p>
    <w:p w14:paraId="2D4C53A9">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1）数据分类分级服务：参照教育部《教育系统数据分类分级工作指南》以及《数据安全技术数据分类分级规则》（GBT43697-2024），在学校数据标准编制规范文件中设置适合采购人的分类分级规则，并对不少于10个数据源的采集数据进行多级别的分类分级并确定权责部门和个人。</w:t>
      </w:r>
    </w:p>
    <w:p w14:paraId="14260375">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2）安全策略配置服务：基于数据安全分类分级，对数据交换共享的安全策略进行配置。根据数据资源交换共享时的安全性要求，通过数据安全管理服务从数据资源的安全等级、共享访问策略和网络传输上进行设计，在数据管理工具中进行配置。提出至少3类数据安全级别数据安全策略，包括数据存储策略、数据使用策略、数据加密策略。</w:t>
      </w:r>
    </w:p>
    <w:p w14:paraId="7FB53E14">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 数据迁移服务</w:t>
      </w:r>
    </w:p>
    <w:p w14:paraId="221085E8">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bidi="ar"/>
        </w:rPr>
        <w:t>将学校</w:t>
      </w:r>
      <w:r>
        <w:rPr>
          <w:rFonts w:hint="eastAsia" w:ascii="仿宋" w:hAnsi="仿宋" w:eastAsia="仿宋" w:cs="仿宋"/>
          <w:color w:val="auto"/>
          <w:sz w:val="24"/>
          <w:szCs w:val="24"/>
          <w:highlight w:val="none"/>
          <w:u w:val="none"/>
          <w:lang w:val="en-US" w:eastAsia="zh-CN" w:bidi="ar"/>
        </w:rPr>
        <w:t>现有</w:t>
      </w:r>
      <w:r>
        <w:rPr>
          <w:rFonts w:hint="eastAsia" w:ascii="仿宋" w:hAnsi="仿宋" w:eastAsia="仿宋" w:cs="仿宋"/>
          <w:color w:val="auto"/>
          <w:sz w:val="24"/>
          <w:szCs w:val="24"/>
          <w:highlight w:val="none"/>
          <w:u w:val="none"/>
          <w:lang w:val="en-US" w:bidi="ar"/>
        </w:rPr>
        <w:t>数据管理平台中的各类数据集成作业、数据调度、数据清洗、数据转换和大数据计算</w:t>
      </w:r>
      <w:r>
        <w:rPr>
          <w:rFonts w:hint="eastAsia" w:ascii="仿宋" w:hAnsi="仿宋" w:eastAsia="仿宋" w:cs="仿宋"/>
          <w:color w:val="auto"/>
          <w:sz w:val="24"/>
          <w:szCs w:val="24"/>
          <w:highlight w:val="none"/>
          <w:u w:val="none"/>
          <w:lang w:val="en-US" w:eastAsia="zh-CN" w:bidi="ar"/>
        </w:rPr>
        <w:t>存储</w:t>
      </w:r>
      <w:r>
        <w:rPr>
          <w:rFonts w:hint="eastAsia" w:ascii="仿宋" w:hAnsi="仿宋" w:eastAsia="仿宋" w:cs="仿宋"/>
          <w:color w:val="auto"/>
          <w:sz w:val="24"/>
          <w:szCs w:val="24"/>
          <w:highlight w:val="none"/>
          <w:u w:val="none"/>
          <w:lang w:val="en-US" w:bidi="ar"/>
        </w:rPr>
        <w:t>平台中的数据、数据交换、数据接口等迁移至</w:t>
      </w:r>
      <w:r>
        <w:rPr>
          <w:rFonts w:hint="eastAsia" w:ascii="仿宋" w:hAnsi="仿宋" w:eastAsia="仿宋" w:cs="仿宋"/>
          <w:color w:val="auto"/>
          <w:sz w:val="24"/>
          <w:szCs w:val="24"/>
          <w:highlight w:val="none"/>
          <w:u w:val="none"/>
          <w:lang w:val="en-US" w:eastAsia="zh-CN" w:bidi="ar"/>
        </w:rPr>
        <w:t>本次建设</w:t>
      </w:r>
      <w:r>
        <w:rPr>
          <w:rFonts w:hint="eastAsia" w:ascii="仿宋" w:hAnsi="仿宋" w:eastAsia="仿宋" w:cs="仿宋"/>
          <w:color w:val="auto"/>
          <w:sz w:val="24"/>
          <w:szCs w:val="24"/>
          <w:highlight w:val="none"/>
          <w:u w:val="none"/>
          <w:lang w:val="en-US" w:bidi="ar"/>
        </w:rPr>
        <w:t>的数据管理平台，并实现所有作业及任务正常执行。提供迁移方案定制规划设计、技术咨询及数据迁移服务。具体要求如下：</w:t>
      </w:r>
    </w:p>
    <w:p w14:paraId="6AA61BB2">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eastAsia="zh-CN" w:bidi="ar"/>
        </w:rPr>
        <w:t>（1）</w:t>
      </w:r>
      <w:r>
        <w:rPr>
          <w:rFonts w:hint="eastAsia" w:ascii="仿宋" w:hAnsi="仿宋" w:eastAsia="仿宋" w:cs="仿宋"/>
          <w:color w:val="auto"/>
          <w:sz w:val="24"/>
          <w:szCs w:val="24"/>
          <w:highlight w:val="none"/>
          <w:u w:val="none"/>
          <w:lang w:val="en-US" w:bidi="ar"/>
        </w:rPr>
        <w:t>实时数据开发服务：针对实时业务场景的数据时效性需求，针对不少于1个目标表创建实时数据同步任务，打通校内关键业务系统数据通道，实现迎新、认证账号</w:t>
      </w:r>
      <w:r>
        <w:rPr>
          <w:rFonts w:hint="eastAsia" w:ascii="仿宋" w:hAnsi="仿宋" w:eastAsia="仿宋" w:cs="仿宋"/>
          <w:color w:val="auto"/>
          <w:sz w:val="24"/>
          <w:szCs w:val="24"/>
          <w:highlight w:val="none"/>
          <w:u w:val="none"/>
          <w:lang w:val="en-US" w:eastAsia="zh-CN" w:bidi="ar"/>
        </w:rPr>
        <w:t>等</w:t>
      </w:r>
      <w:r>
        <w:rPr>
          <w:rFonts w:hint="eastAsia" w:ascii="仿宋" w:hAnsi="仿宋" w:eastAsia="仿宋" w:cs="仿宋"/>
          <w:color w:val="auto"/>
          <w:sz w:val="24"/>
          <w:szCs w:val="24"/>
          <w:highlight w:val="none"/>
          <w:u w:val="none"/>
          <w:lang w:val="en-US" w:bidi="ar"/>
        </w:rPr>
        <w:t>同步等场景的秒级数据同步，支撑跨系统实时业务联动。</w:t>
      </w:r>
    </w:p>
    <w:p w14:paraId="2417F534">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bidi="ar"/>
        </w:rPr>
      </w:pPr>
      <w:r>
        <w:rPr>
          <w:rFonts w:hint="eastAsia" w:ascii="仿宋" w:hAnsi="仿宋" w:eastAsia="仿宋" w:cs="仿宋"/>
          <w:color w:val="auto"/>
          <w:sz w:val="24"/>
          <w:szCs w:val="24"/>
          <w:highlight w:val="none"/>
          <w:u w:val="none"/>
          <w:lang w:val="en-US" w:eastAsia="zh-CN" w:bidi="ar"/>
        </w:rPr>
        <w:t>（2）</w:t>
      </w:r>
      <w:r>
        <w:rPr>
          <w:rFonts w:hint="eastAsia" w:ascii="仿宋" w:hAnsi="仿宋" w:eastAsia="仿宋" w:cs="仿宋"/>
          <w:color w:val="auto"/>
          <w:sz w:val="24"/>
          <w:szCs w:val="24"/>
          <w:highlight w:val="none"/>
          <w:u w:val="none"/>
          <w:lang w:val="en-US" w:bidi="ar"/>
        </w:rPr>
        <w:t>下行接口迁移服务：将学校现有数据交换平台中的不少于</w:t>
      </w:r>
      <w:r>
        <w:rPr>
          <w:rFonts w:hint="eastAsia" w:ascii="仿宋" w:hAnsi="仿宋" w:eastAsia="仿宋" w:cs="仿宋"/>
          <w:color w:val="auto"/>
          <w:sz w:val="24"/>
          <w:szCs w:val="24"/>
          <w:highlight w:val="none"/>
          <w:u w:val="none"/>
          <w:lang w:val="en-US" w:eastAsia="zh-CN" w:bidi="ar"/>
        </w:rPr>
        <w:t>50</w:t>
      </w:r>
      <w:r>
        <w:rPr>
          <w:rFonts w:hint="eastAsia" w:ascii="仿宋" w:hAnsi="仿宋" w:eastAsia="仿宋" w:cs="仿宋"/>
          <w:color w:val="auto"/>
          <w:sz w:val="24"/>
          <w:szCs w:val="24"/>
          <w:highlight w:val="none"/>
          <w:u w:val="none"/>
          <w:lang w:val="en-US" w:bidi="ar"/>
        </w:rPr>
        <w:t>个下行接口迁移到本项目建设的数据管理工具，迁移后满足学校相关的数据交换共享需求，以及数据管理监控要求。在不影响学校现有业务运行的基础上采用风险更低、成本更低、效率更高的成熟技术手段完成迁移。迁移完成后，保证迁移前后数据的一致性，并验证 ETL 接口能正常运行。</w:t>
      </w:r>
    </w:p>
    <w:p w14:paraId="35495370">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 应用层数据开发服务</w:t>
      </w:r>
    </w:p>
    <w:p w14:paraId="4AB3E14C">
      <w:pPr>
        <w:widowControl/>
        <w:numPr>
          <w:ilvl w:val="-1"/>
          <w:numId w:val="0"/>
        </w:numPr>
        <w:spacing w:line="240" w:lineRule="auto"/>
        <w:ind w:firstLine="480" w:firstLineChars="200"/>
        <w:jc w:val="left"/>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基于本次建设的数据管理平台，实现职教大脑上报数据集市建设，严格遵循教育部标准，构建标准化、流程化的数据上报体系，对接全国职业教育智慧大脑院校中台。具体要求如下：</w:t>
      </w:r>
    </w:p>
    <w:p w14:paraId="056DECD0">
      <w:pPr>
        <w:widowControl/>
        <w:numPr>
          <w:ilvl w:val="-1"/>
          <w:numId w:val="0"/>
        </w:numPr>
        <w:spacing w:line="240" w:lineRule="auto"/>
        <w:ind w:firstLine="480" w:firstLineChars="200"/>
        <w:jc w:val="left"/>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根据教育部上报的98张表建设数据集市（未来可根据教育部最新要求同步调整），并充分与学校当前的数据平台进行对接，针对数据平台已有的数据，进行自动带出，针对数据平台没有的数据，需进行采集数据表、审核流程的设计，并进行发布，由归口部门进行数据采集，并支持将数据回流到数据平台。模型包含如下范围：学校概况数据子集、教学管理数据子集、教职工管理数据子集、学生管理数据子集、党建思政数据子集、资产与设备管理数据子集、科研管理数据子集、信息服务数据子集、校企合作数据子集、国际交流数据子集。</w:t>
      </w:r>
    </w:p>
    <w:p w14:paraId="24299186">
      <w:pPr>
        <w:widowControl/>
        <w:numPr>
          <w:ilvl w:val="-1"/>
          <w:numId w:val="0"/>
        </w:numPr>
        <w:spacing w:line="240" w:lineRule="auto"/>
        <w:ind w:firstLine="480" w:firstLineChars="200"/>
        <w:jc w:val="left"/>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基于数据完整性、准确性等核心维度，生成符合教育部标准的标准化数据质量报告，涵盖数据概况、质量评分、异常明细等核心内容。同时，结合规范要求多维度分析数据问题，明确合规性、核心质量等各类问题的根源、影响范围及整改建议；建立精准推送机制，根据问题所属模块匹配责任部门负责人，通过多渠道推送报告及问题明细，同步跟踪整改进度、发送提醒，形成闭环管理。</w:t>
      </w:r>
    </w:p>
    <w:p w14:paraId="00E7D5D0">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7. 典型业务平台和场景数据支撑服务</w:t>
      </w:r>
    </w:p>
    <w:p w14:paraId="29CE6AD6">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基于本次建设的数据管理平台和学校现有数据可视化平台，搭建学校数据决策分析平台，整合学生、教师、教学、科研、管理等多维数据，为数据大屏展示、平安校园、师生年度报告（H5）等需要大数据支撑的典型业务场景提供综合数据可视化与决策支持。通过数据采集与统一填报平台（一张表/一表通）的个性化数据定制服务提供不少于5个可视化数据大屏制作和师生年度数据报告（H5）上线。具体要求如下：</w:t>
      </w:r>
    </w:p>
    <w:p w14:paraId="6C1581E6">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（1）数据展示大屏：按采购方要求提供不少于5个数据展示大屏，具体从以下主题中（或校方指定的其他场景主题）根据数据治理情况由校方选取：</w:t>
      </w:r>
    </w:p>
    <w:p w14:paraId="757FF891">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校情主题：将学校综合情况的数据以驾驶舱的形式展示，内容包括各学院学生分布、硕博教师分布、教师学历分布、教师职称分布、部门项目经费排行榜、部门项目数排行榜、项目类型分布、资产基本概况以及各部门资产分布。</w:t>
      </w:r>
    </w:p>
    <w:p w14:paraId="452D9705">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人事主题：围绕 "教职工结构 - 人员配置 - 科研成果 - 人才培养效益" 主线，全面、精准呈现大学人事关键信息。</w:t>
      </w:r>
    </w:p>
    <w:p w14:paraId="13493BA4">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教务主题：提供教育教学分析主题服务，分析内容包括本科生教学分析、宣传教务成果分析。</w:t>
      </w:r>
    </w:p>
    <w:p w14:paraId="55631027">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学工主题：展示学生概况、学生奖助贷分析等内容。</w:t>
      </w:r>
    </w:p>
    <w:p w14:paraId="6ED69530">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科研主题：围绕 "教职工结构 - 人员配置 - 科研成果 - 人才培养效益" 主线，全面、精准呈现大学科研关键信息。</w:t>
      </w:r>
    </w:p>
    <w:p w14:paraId="29CF4C8C">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种业专业群主题：专门展示现代种业技术专业群的建设情况、师资力量、学生培养、科研成果、校企合作等内容。</w:t>
      </w:r>
    </w:p>
    <w:p w14:paraId="5E17897D">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（2）学生年度账单：在学校每年年底为学校在校学生提供以移动端 H5 界面形式的学生年度报告，展示在校学生本年度在校的学习、获奖、科研、上网、消费、门禁等信息。</w:t>
      </w:r>
    </w:p>
    <w:p w14:paraId="6FCA26AE">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（3）教师年度账单：在学校每年年底为学校在校教职工提供以移动端 H5 界面形式的教师年度报告，展示教职工本年度在校的工作、教学、科研、消费、上网、年度考核等信息。</w:t>
      </w:r>
    </w:p>
    <w:p w14:paraId="033387FB">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以上应用场景需进行实际需求调研，根据实际调研结果进行调整，包括数据指标、呈现形式等内容。</w:t>
      </w:r>
    </w:p>
    <w:p w14:paraId="059E45DD">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8. 身份认证</w:t>
      </w:r>
    </w:p>
    <w:p w14:paraId="22F79031">
      <w:pPr>
        <w:widowControl/>
        <w:numPr>
          <w:ilvl w:val="-1"/>
          <w:numId w:val="0"/>
        </w:numPr>
        <w:spacing w:line="240" w:lineRule="auto"/>
        <w:ind w:firstLine="480" w:firstLineChars="200"/>
        <w:jc w:val="left"/>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针对本项目建设所涉及的数据管理平台、数据采集与统一填报平台（一张表/一表通），完成与学校统一身份认证平台的对接，实现平台用户身份的集中管理、统一验证与权限管控，保障平台访问安全，避免未授权访问风险，确保数据操作的合规性与可追溯性。</w:t>
      </w:r>
    </w:p>
    <w:p w14:paraId="6D1D4F21">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9. 项目实施</w:t>
      </w:r>
    </w:p>
    <w:p w14:paraId="50B3583B">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合同签订后，项目组入场实施，30日历天内完成平台部署调试，具备上线试运行条件；合同签订后6个月内完成全部数据治理服务内容并通过最终验收。项目组团队负责数据管理平台、数据采集与统一填报平台（一张表/一表通）、数据决策分析平台的全流程落地实施，涵盖需求梳理、迁移方案设计及优化、系统部署、数据迁移、功能调试、数据治理、数据开发、系统对接、可视化开发等全环节，确保平台按照既定标准与时间节点上线，满足学校实际业务需求。</w:t>
      </w:r>
    </w:p>
    <w:p w14:paraId="73FF726F">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投标人须组建专职项目团队，全权负责本项目的实施。自项目启动之日起至初验合格期间，投标人必须根据采购人实际需求，提供项目经理及实施工程师的驻场服务。驻场人员需严格遵守采购人的考勤与管理制度，未经采购人书面同意，不得擅自离岗。</w:t>
      </w:r>
    </w:p>
    <w:p w14:paraId="0CEE4EC7">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投标人承诺的项目经理及核心技术人员为本项目的锁定资源，原则上不得随意调整。确因特殊原因需更换项目经理的，投标人必须提前向采购人提交书面申请，经采购人审查同意后方可更换，且更换人员的资质不得低于原标准。除不可抗力外，投标人不得以任何理由单方面撤回关键人员。</w:t>
      </w:r>
    </w:p>
    <w:p w14:paraId="6F0C5097">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本项目实行"总价包干"原则，项目经理及驻场人员的工资、差旅、食宿等一切人工成本及管理费用均由投标人自行承担，采购人不另行支付任何费用。投标人必须无条件接受采购人及其委托的监理单位对项目人员到位情况、工作进度及质量的全过程监督检查。因投标人人员配置不足、到位不及时或能力不达标导致的质量缺陷、进度滞后等后果，由投标人承担全部违约责任及由此产生的一切损失。</w:t>
      </w:r>
    </w:p>
    <w:p w14:paraId="7DF4BA09">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10. 培训服务</w:t>
      </w:r>
    </w:p>
    <w:p w14:paraId="71D3D440">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针对平台操作、功能应用、日常维护等内容开展不少于2场专项培训，帮助用户快速掌握平台使用方法，提升用户操作熟练度，确保平台各项功能得到充分利用，发挥平台核心价值。</w:t>
      </w:r>
    </w:p>
    <w:p w14:paraId="1CE3CF7A">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投标人必须提供相应的应用软件技术、系统操作等方面的培训。有关应用软件的操作培训课程，培训应该在系统运作前完成。投标人须在响应文件中提出全面、详细的培训课程以及时间表交给采购人，并在合同签定后征得采购人同意后实施。</w:t>
      </w:r>
    </w:p>
    <w:p w14:paraId="39A75A08">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投标人在实施过程中提供全面的培训，包括面向系统管理员和业务人员的相应的培训、基于系统平台接口规范标准的开发培训、开发平台和开发工具培训、配置管理和系统维护培训、数据定义和管理培训、客户端操作培训。投标人将详细的培训课程以及时间表交给采购人，最后以采购人认可为准。由此产生的一切费用均由投标人承担。</w:t>
      </w:r>
    </w:p>
    <w:p w14:paraId="554D3929">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对于所有培训，投标人必须派出具有相应专业资格或实际工作经验的辅导人员进行培训，培训所使用的语言必须是中文。</w:t>
      </w:r>
    </w:p>
    <w:p w14:paraId="5E9B18A3">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培训项目结束之时，根据学校需求安排学员进行培训测试，以检验学员对系统的基本操作能力和掌握水平；同时学员也可对于整个培训项目作出评价，当学员普遍反映对培训课程不满意时，采购人可要求投标人重新安排培训，并承担全部费用。</w:t>
      </w:r>
    </w:p>
    <w:p w14:paraId="6782BCFA">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投标人须提供详细的培训计划：对采购人的人员培训方式分两类，一类为业务人员培训，培训采用集中授课、现场演示和辅助操作三种培训方式；另一类为技术人员培训，培训采用理论培训和实际操作相结合的方式。</w:t>
      </w:r>
    </w:p>
    <w:p w14:paraId="7F1BCA37">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培训主要面向的对象如下：</w:t>
      </w:r>
    </w:p>
    <w:p w14:paraId="58B1D315">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（1）开发管理培训：主要面向技术人员，使技术人员能够充分了解系统各个功能模块的核心场景及作用，包括：数据对接、数据加工、图表开发、界面设计等。</w:t>
      </w:r>
    </w:p>
    <w:p w14:paraId="332200EF">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（2）运行管理培训：主要面向业务管理人员，使业务管理人员能达到独立进行管理、故障处理、日常测试和维护等工作的目的。</w:t>
      </w:r>
    </w:p>
    <w:p w14:paraId="549FE78D">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none"/>
          <w:lang w:val="en-US" w:eastAsia="zh-CN" w:bidi="ar"/>
        </w:rPr>
      </w:pPr>
      <w:r>
        <w:rPr>
          <w:rFonts w:hint="eastAsia" w:ascii="仿宋" w:hAnsi="仿宋" w:eastAsia="仿宋" w:cs="仿宋"/>
          <w:color w:val="auto"/>
          <w:sz w:val="24"/>
          <w:szCs w:val="24"/>
          <w:highlight w:val="none"/>
          <w:u w:val="none"/>
          <w:lang w:val="en-US" w:eastAsia="zh-CN" w:bidi="ar"/>
        </w:rPr>
        <w:t>（3）使用培训：主要面向学校的相关人员进行应用系统使用培训，掌握平台的使用。</w:t>
      </w:r>
    </w:p>
    <w:p w14:paraId="527228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11. 维保服务</w:t>
      </w:r>
    </w:p>
    <w:p w14:paraId="2FA51703">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u w:val="none"/>
          <w:lang w:val="en-US" w:bidi="ar"/>
        </w:rPr>
      </w:pPr>
      <w:r>
        <w:rPr>
          <w:rFonts w:hint="eastAsia" w:ascii="仿宋" w:hAnsi="仿宋" w:eastAsia="仿宋" w:cs="仿宋"/>
          <w:i w:val="0"/>
          <w:iCs w:val="0"/>
          <w:color w:val="auto"/>
          <w:kern w:val="0"/>
          <w:sz w:val="24"/>
          <w:szCs w:val="24"/>
          <w:highlight w:val="none"/>
          <w:u w:val="none"/>
          <w:lang w:val="en-US" w:eastAsia="zh-CN" w:bidi="ar"/>
          <w14:ligatures w14:val="none"/>
        </w:rPr>
        <w:t>自项目最终验收合格后提供3年平台运维服务，开展日常平台巡检、故障排查与修复、系统性能优化、数据备份与恢复等工作；配备2台满足项目实施要求的运维专用电脑，用于运维工作的开展、故障处理、数据监测等；配备1名项目组成员作为现场运维人员提供1年驻场运维服务，提供面对面服务，响应现场服务需求，快速处理平台现场突发问题，解答平台管理及使用人员的操作疑问、技术咨询，配合完成其他辅助工作。为平台长期稳定运行提供全方位支撑，涵盖日常运维、故障排查、系统优化、硬件支撑等，确保平台持续、高效、安全运行，减少系统故障对业务的影响。</w:t>
      </w:r>
    </w:p>
    <w:p w14:paraId="416D815A">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i w:val="0"/>
          <w:iCs w:val="0"/>
          <w:color w:val="auto"/>
          <w:kern w:val="0"/>
          <w:sz w:val="24"/>
          <w:szCs w:val="24"/>
          <w:highlight w:val="none"/>
          <w:u w:val="none"/>
          <w:lang w:val="en-US" w:eastAsia="zh-CN" w:bidi="ar"/>
          <w14:ligatures w14:val="none"/>
        </w:rPr>
      </w:pPr>
      <w:r>
        <w:rPr>
          <w:rFonts w:hint="eastAsia" w:ascii="仿宋" w:hAnsi="仿宋" w:eastAsia="仿宋" w:cs="仿宋"/>
          <w:i w:val="0"/>
          <w:iCs w:val="0"/>
          <w:color w:val="auto"/>
          <w:kern w:val="0"/>
          <w:sz w:val="24"/>
          <w:szCs w:val="24"/>
          <w:highlight w:val="none"/>
          <w:u w:val="none"/>
          <w:lang w:val="en-US" w:eastAsia="zh-CN" w:bidi="ar"/>
          <w14:ligatures w14:val="none"/>
        </w:rPr>
        <w:t>中标人需提供涵盖数据管理平台、</w:t>
      </w:r>
      <w:r>
        <w:rPr>
          <w:rFonts w:hint="eastAsia" w:ascii="仿宋" w:hAnsi="仿宋" w:eastAsia="仿宋" w:cs="仿宋"/>
          <w:color w:val="auto"/>
          <w:sz w:val="24"/>
          <w:szCs w:val="24"/>
          <w:highlight w:val="none"/>
          <w:u w:val="none"/>
          <w:lang w:val="en-US" w:eastAsia="zh-CN" w:bidi="ar"/>
        </w:rPr>
        <w:t>数据采集与统一填报平台（一张表/一表通）</w:t>
      </w:r>
      <w:r>
        <w:rPr>
          <w:rFonts w:hint="eastAsia" w:ascii="仿宋" w:hAnsi="仿宋" w:eastAsia="仿宋" w:cs="仿宋"/>
          <w:i w:val="0"/>
          <w:iCs w:val="0"/>
          <w:color w:val="auto"/>
          <w:kern w:val="0"/>
          <w:sz w:val="24"/>
          <w:szCs w:val="24"/>
          <w:highlight w:val="none"/>
          <w:u w:val="none"/>
          <w:lang w:val="en-US" w:eastAsia="zh-CN" w:bidi="ar"/>
          <w14:ligatures w14:val="none"/>
        </w:rPr>
        <w:t>产品原厂服务的维保服务承诺函、投标人承诺函证明材料。</w:t>
      </w:r>
    </w:p>
    <w:p w14:paraId="1A9B7E01">
      <w:pPr>
        <w:rPr>
          <w:rFonts w:hint="eastAsia"/>
          <w:color w:val="auto"/>
          <w:sz w:val="24"/>
          <w:szCs w:val="24"/>
          <w:highlight w:val="none"/>
        </w:rPr>
      </w:pPr>
      <w:r>
        <w:rPr>
          <w:rFonts w:hint="eastAsia"/>
          <w:color w:val="auto"/>
          <w:sz w:val="24"/>
          <w:szCs w:val="24"/>
          <w:highlight w:val="none"/>
        </w:rPr>
        <w:br w:type="page"/>
      </w:r>
    </w:p>
    <w:p w14:paraId="1E3CC689">
      <w:pPr>
        <w:bidi w:val="0"/>
        <w:jc w:val="both"/>
        <w:rPr>
          <w:rFonts w:hint="eastAsia"/>
          <w:color w:val="auto"/>
          <w:highlight w:val="none"/>
        </w:rPr>
      </w:pPr>
    </w:p>
    <w:p w14:paraId="22A08CBB">
      <w:pPr>
        <w:pStyle w:val="2"/>
        <w:spacing w:before="0"/>
        <w:ind w:left="0" w:leftChars="0" w:right="0" w:rightChars="0"/>
        <w:rPr>
          <w:rFonts w:hint="eastAsia" w:ascii="仿宋" w:hAnsi="仿宋" w:eastAsia="仿宋" w:cs="仿宋"/>
          <w:color w:val="auto"/>
          <w:highlight w:val="none"/>
        </w:rPr>
      </w:pPr>
      <w:r>
        <w:rPr>
          <w:rFonts w:hint="eastAsia" w:ascii="仿宋" w:hAnsi="仿宋" w:eastAsia="仿宋" w:cs="仿宋"/>
          <w:color w:val="auto"/>
          <w:highlight w:val="none"/>
        </w:rPr>
        <w:t>第七部分 商务</w:t>
      </w:r>
      <w:r>
        <w:rPr>
          <w:rFonts w:hint="eastAsia" w:ascii="仿宋" w:hAnsi="仿宋" w:eastAsia="仿宋" w:cs="仿宋"/>
          <w:color w:val="auto"/>
          <w:highlight w:val="none"/>
          <w:lang w:val="en-US"/>
        </w:rPr>
        <w:t>合同</w:t>
      </w:r>
      <w:r>
        <w:rPr>
          <w:rFonts w:hint="eastAsia" w:ascii="仿宋" w:hAnsi="仿宋" w:eastAsia="仿宋" w:cs="仿宋"/>
          <w:color w:val="auto"/>
          <w:highlight w:val="none"/>
        </w:rPr>
        <w:t>部分</w:t>
      </w:r>
    </w:p>
    <w:p w14:paraId="5D93674B">
      <w:pPr>
        <w:ind w:firstLine="482"/>
        <w:jc w:val="center"/>
        <w:rPr>
          <w:rFonts w:hint="eastAsia" w:ascii="仿宋" w:hAnsi="仿宋" w:eastAsia="仿宋" w:cs="仿宋"/>
          <w:b/>
          <w:bCs/>
          <w:color w:val="auto"/>
          <w:highlight w:val="none"/>
        </w:rPr>
      </w:pPr>
    </w:p>
    <w:p w14:paraId="3583C425">
      <w:pPr>
        <w:ind w:firstLine="482"/>
        <w:jc w:val="center"/>
        <w:rPr>
          <w:rFonts w:hint="eastAsia" w:ascii="仿宋" w:hAnsi="仿宋" w:eastAsia="仿宋" w:cs="仿宋"/>
          <w:b/>
          <w:bCs/>
          <w:color w:val="auto"/>
          <w:highlight w:val="none"/>
        </w:rPr>
      </w:pPr>
    </w:p>
    <w:p w14:paraId="00B852E3">
      <w:pPr>
        <w:rPr>
          <w:rFonts w:hint="eastAsia" w:ascii="仿宋" w:hAnsi="仿宋" w:eastAsia="仿宋" w:cs="仿宋"/>
          <w:color w:val="auto"/>
          <w:highlight w:val="none"/>
        </w:rPr>
      </w:pPr>
    </w:p>
    <w:p w14:paraId="04D11582">
      <w:pPr>
        <w:pStyle w:val="11"/>
        <w:adjustRightInd w:val="0"/>
        <w:snapToGrid w:val="0"/>
        <w:spacing w:before="120" w:after="120" w:line="276" w:lineRule="auto"/>
        <w:rPr>
          <w:rFonts w:hint="eastAsia" w:ascii="宋体" w:hAnsi="宋体" w:eastAsia="宋体" w:cs="宋体"/>
          <w:snapToGrid w:val="0"/>
          <w:color w:val="auto"/>
          <w:kern w:val="0"/>
          <w:sz w:val="32"/>
          <w:szCs w:val="32"/>
          <w:highlight w:val="none"/>
        </w:rPr>
      </w:pPr>
    </w:p>
    <w:p w14:paraId="6432C9B5">
      <w:pPr>
        <w:pStyle w:val="11"/>
        <w:adjustRightInd w:val="0"/>
        <w:snapToGrid w:val="0"/>
        <w:spacing w:before="120" w:after="120" w:line="480" w:lineRule="auto"/>
        <w:jc w:val="center"/>
        <w:rPr>
          <w:rFonts w:hint="eastAsia" w:ascii="宋体" w:hAnsi="宋体" w:eastAsia="宋体" w:cs="宋体"/>
          <w:b/>
          <w:bCs/>
          <w:snapToGrid w:val="0"/>
          <w:color w:val="auto"/>
          <w:kern w:val="0"/>
          <w:sz w:val="48"/>
          <w:szCs w:val="48"/>
          <w:highlight w:val="none"/>
        </w:rPr>
      </w:pPr>
      <w:r>
        <w:rPr>
          <w:rFonts w:hint="eastAsia" w:ascii="宋体" w:hAnsi="宋体" w:eastAsia="宋体" w:cs="宋体"/>
          <w:b/>
          <w:bCs/>
          <w:snapToGrid w:val="0"/>
          <w:color w:val="auto"/>
          <w:kern w:val="0"/>
          <w:sz w:val="48"/>
          <w:szCs w:val="48"/>
          <w:highlight w:val="none"/>
        </w:rPr>
        <w:t>合 同 格 式</w:t>
      </w:r>
    </w:p>
    <w:p w14:paraId="0B710869">
      <w:pPr>
        <w:pStyle w:val="11"/>
        <w:adjustRightInd w:val="0"/>
        <w:snapToGrid w:val="0"/>
        <w:spacing w:before="120" w:after="120" w:line="48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40"/>
          <w:szCs w:val="40"/>
          <w:highlight w:val="none"/>
        </w:rPr>
        <w:t>（</w:t>
      </w:r>
      <w:r>
        <w:rPr>
          <w:rFonts w:hint="eastAsia" w:ascii="宋体" w:hAnsi="宋体" w:eastAsia="宋体" w:cs="宋体"/>
          <w:b/>
          <w:bCs/>
          <w:snapToGrid w:val="0"/>
          <w:color w:val="auto"/>
          <w:kern w:val="0"/>
          <w:sz w:val="40"/>
          <w:szCs w:val="40"/>
          <w:highlight w:val="none"/>
          <w:lang w:val="en-US" w:eastAsia="zh-CN"/>
        </w:rPr>
        <w:t>本合同</w:t>
      </w:r>
      <w:r>
        <w:rPr>
          <w:rFonts w:hint="eastAsia" w:ascii="宋体" w:hAnsi="宋体" w:eastAsia="宋体" w:cs="宋体"/>
          <w:b/>
          <w:bCs/>
          <w:snapToGrid w:val="0"/>
          <w:color w:val="auto"/>
          <w:kern w:val="0"/>
          <w:sz w:val="40"/>
          <w:szCs w:val="40"/>
          <w:highlight w:val="none"/>
        </w:rPr>
        <w:t>仅供参考，具体以签订合同为准）</w:t>
      </w:r>
    </w:p>
    <w:p w14:paraId="0A5C6DF4">
      <w:pPr>
        <w:pStyle w:val="11"/>
        <w:adjustRightInd w:val="0"/>
        <w:snapToGrid w:val="0"/>
        <w:spacing w:before="120" w:after="120" w:line="276" w:lineRule="auto"/>
        <w:ind w:firstLine="480" w:firstLineChars="200"/>
        <w:rPr>
          <w:rFonts w:hint="eastAsia" w:ascii="宋体" w:hAnsi="宋体" w:eastAsia="宋体" w:cs="宋体"/>
          <w:snapToGrid w:val="0"/>
          <w:color w:val="auto"/>
          <w:kern w:val="0"/>
          <w:sz w:val="24"/>
          <w:szCs w:val="24"/>
          <w:highlight w:val="none"/>
        </w:rPr>
      </w:pPr>
    </w:p>
    <w:p w14:paraId="16F2D9E6">
      <w:pPr>
        <w:pStyle w:val="11"/>
        <w:adjustRightInd w:val="0"/>
        <w:snapToGrid w:val="0"/>
        <w:spacing w:before="120" w:after="120" w:line="276" w:lineRule="auto"/>
        <w:ind w:firstLine="480" w:firstLineChars="200"/>
        <w:rPr>
          <w:rFonts w:hint="eastAsia" w:ascii="宋体" w:hAnsi="宋体" w:eastAsia="宋体" w:cs="宋体"/>
          <w:snapToGrid w:val="0"/>
          <w:color w:val="auto"/>
          <w:kern w:val="0"/>
          <w:sz w:val="24"/>
          <w:szCs w:val="24"/>
          <w:highlight w:val="none"/>
        </w:rPr>
      </w:pPr>
    </w:p>
    <w:p w14:paraId="7D9DFF21">
      <w:pPr>
        <w:pStyle w:val="11"/>
        <w:adjustRightInd w:val="0"/>
        <w:snapToGrid w:val="0"/>
        <w:spacing w:before="120" w:after="120" w:line="276" w:lineRule="auto"/>
        <w:ind w:firstLine="480" w:firstLineChars="200"/>
        <w:rPr>
          <w:rFonts w:hint="eastAsia" w:ascii="宋体" w:hAnsi="宋体" w:eastAsia="宋体" w:cs="宋体"/>
          <w:snapToGrid w:val="0"/>
          <w:color w:val="auto"/>
          <w:kern w:val="0"/>
          <w:sz w:val="24"/>
          <w:szCs w:val="24"/>
          <w:highlight w:val="none"/>
        </w:rPr>
      </w:pPr>
    </w:p>
    <w:p w14:paraId="31518622">
      <w:pPr>
        <w:pStyle w:val="11"/>
        <w:adjustRightInd w:val="0"/>
        <w:snapToGrid w:val="0"/>
        <w:spacing w:before="120" w:after="120" w:line="276" w:lineRule="auto"/>
        <w:ind w:firstLine="480" w:firstLineChars="200"/>
        <w:rPr>
          <w:rFonts w:hint="eastAsia" w:ascii="宋体" w:hAnsi="宋体" w:eastAsia="宋体" w:cs="宋体"/>
          <w:snapToGrid w:val="0"/>
          <w:color w:val="auto"/>
          <w:kern w:val="0"/>
          <w:sz w:val="24"/>
          <w:szCs w:val="24"/>
          <w:highlight w:val="none"/>
        </w:rPr>
      </w:pPr>
    </w:p>
    <w:p w14:paraId="1F93849F">
      <w:pPr>
        <w:pStyle w:val="11"/>
        <w:adjustRightInd w:val="0"/>
        <w:snapToGrid w:val="0"/>
        <w:spacing w:before="120" w:after="120" w:line="480" w:lineRule="auto"/>
        <w:ind w:firstLine="480" w:firstLineChars="20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项目名称：</w:t>
      </w:r>
      <w:r>
        <w:rPr>
          <w:rFonts w:hint="eastAsia" w:ascii="宋体" w:hAnsi="宋体" w:eastAsia="宋体" w:cs="宋体"/>
          <w:snapToGrid w:val="0"/>
          <w:color w:val="auto"/>
          <w:kern w:val="0"/>
          <w:sz w:val="24"/>
          <w:szCs w:val="24"/>
          <w:highlight w:val="none"/>
          <w:u w:val="single"/>
        </w:rPr>
        <w:t xml:space="preserve">                                    </w:t>
      </w:r>
    </w:p>
    <w:p w14:paraId="79537910">
      <w:pPr>
        <w:pStyle w:val="11"/>
        <w:adjustRightInd w:val="0"/>
        <w:snapToGrid w:val="0"/>
        <w:spacing w:before="120" w:after="120" w:line="48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甲方合同编号：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p>
    <w:p w14:paraId="12584896">
      <w:pPr>
        <w:pStyle w:val="11"/>
        <w:adjustRightInd w:val="0"/>
        <w:snapToGrid w:val="0"/>
        <w:spacing w:before="120" w:after="120" w:line="48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甲 方：</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w:t>
      </w:r>
    </w:p>
    <w:p w14:paraId="5FE55A03">
      <w:pPr>
        <w:pStyle w:val="11"/>
        <w:adjustRightInd w:val="0"/>
        <w:snapToGrid w:val="0"/>
        <w:spacing w:before="120" w:after="120" w:line="48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乙 方：</w:t>
      </w:r>
      <w:r>
        <w:rPr>
          <w:rFonts w:hint="eastAsia" w:ascii="宋体" w:hAnsi="宋体" w:eastAsia="宋体" w:cs="宋体"/>
          <w:snapToGrid w:val="0"/>
          <w:color w:val="auto"/>
          <w:kern w:val="0"/>
          <w:sz w:val="24"/>
          <w:szCs w:val="24"/>
          <w:highlight w:val="none"/>
          <w:u w:val="single"/>
        </w:rPr>
        <w:t xml:space="preserve">                                       </w:t>
      </w:r>
    </w:p>
    <w:p w14:paraId="7CBB15C7">
      <w:pPr>
        <w:pStyle w:val="11"/>
        <w:adjustRightInd w:val="0"/>
        <w:snapToGrid w:val="0"/>
        <w:spacing w:before="120" w:after="120" w:line="276" w:lineRule="auto"/>
        <w:ind w:firstLine="480" w:firstLineChars="200"/>
        <w:rPr>
          <w:rFonts w:hint="eastAsia" w:ascii="宋体" w:hAnsi="宋体" w:eastAsia="宋体" w:cs="宋体"/>
          <w:snapToGrid w:val="0"/>
          <w:color w:val="auto"/>
          <w:kern w:val="0"/>
          <w:sz w:val="24"/>
          <w:szCs w:val="24"/>
          <w:highlight w:val="none"/>
        </w:rPr>
      </w:pPr>
    </w:p>
    <w:p w14:paraId="303F7AB1">
      <w:pPr>
        <w:pStyle w:val="11"/>
        <w:adjustRightInd w:val="0"/>
        <w:snapToGrid w:val="0"/>
        <w:spacing w:before="120" w:after="120" w:line="276" w:lineRule="auto"/>
        <w:rPr>
          <w:rFonts w:hint="eastAsia" w:ascii="宋体" w:hAnsi="宋体" w:eastAsia="宋体" w:cs="宋体"/>
          <w:snapToGrid w:val="0"/>
          <w:color w:val="auto"/>
          <w:kern w:val="0"/>
          <w:sz w:val="24"/>
          <w:szCs w:val="24"/>
          <w:highlight w:val="none"/>
        </w:rPr>
      </w:pPr>
    </w:p>
    <w:p w14:paraId="0E529479">
      <w:pPr>
        <w:pStyle w:val="11"/>
        <w:adjustRightInd w:val="0"/>
        <w:snapToGrid w:val="0"/>
        <w:spacing w:before="120" w:after="120" w:line="276" w:lineRule="auto"/>
        <w:jc w:val="center"/>
        <w:rPr>
          <w:rFonts w:hint="eastAsia" w:ascii="宋体" w:hAnsi="宋体" w:eastAsia="宋体" w:cs="宋体"/>
          <w:snapToGrid w:val="0"/>
          <w:color w:val="auto"/>
          <w:kern w:val="0"/>
          <w:sz w:val="24"/>
          <w:szCs w:val="24"/>
          <w:highlight w:val="none"/>
        </w:rPr>
      </w:pPr>
    </w:p>
    <w:p w14:paraId="111693F7">
      <w:pPr>
        <w:pStyle w:val="11"/>
        <w:adjustRightInd w:val="0"/>
        <w:snapToGrid w:val="0"/>
        <w:spacing w:before="120" w:after="120" w:line="276"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签订时间：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 xml:space="preserve"> 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2A373270">
      <w:pPr>
        <w:pStyle w:val="11"/>
        <w:adjustRightInd w:val="0"/>
        <w:snapToGrid w:val="0"/>
        <w:spacing w:before="120" w:after="120" w:line="276" w:lineRule="auto"/>
        <w:ind w:firstLine="480" w:firstLineChars="200"/>
        <w:rPr>
          <w:rFonts w:hint="eastAsia" w:ascii="宋体" w:hAnsi="宋体" w:eastAsia="宋体" w:cs="宋体"/>
          <w:snapToGrid w:val="0"/>
          <w:color w:val="auto"/>
          <w:kern w:val="0"/>
          <w:sz w:val="24"/>
          <w:szCs w:val="24"/>
          <w:highlight w:val="none"/>
        </w:rPr>
      </w:pPr>
    </w:p>
    <w:p w14:paraId="2296C603">
      <w:pPr>
        <w:pStyle w:val="11"/>
        <w:adjustRightInd w:val="0"/>
        <w:snapToGrid w:val="0"/>
        <w:spacing w:before="120" w:after="120" w:line="276" w:lineRule="auto"/>
        <w:ind w:firstLine="480" w:firstLineChars="200"/>
        <w:rPr>
          <w:rFonts w:hint="eastAsia" w:ascii="宋体" w:hAnsi="宋体" w:eastAsia="宋体" w:cs="宋体"/>
          <w:snapToGrid w:val="0"/>
          <w:color w:val="auto"/>
          <w:kern w:val="0"/>
          <w:sz w:val="24"/>
          <w:szCs w:val="24"/>
          <w:highlight w:val="none"/>
          <w:u w:val="single"/>
        </w:rPr>
      </w:pPr>
    </w:p>
    <w:p w14:paraId="0D3713F8">
      <w:pPr>
        <w:pStyle w:val="11"/>
        <w:adjustRightInd w:val="0"/>
        <w:snapToGrid w:val="0"/>
        <w:spacing w:before="120" w:after="120" w:line="276" w:lineRule="auto"/>
        <w:ind w:firstLine="480" w:firstLineChars="200"/>
        <w:rPr>
          <w:rFonts w:hint="eastAsia" w:ascii="宋体" w:hAnsi="宋体" w:eastAsia="宋体" w:cs="宋体"/>
          <w:snapToGrid w:val="0"/>
          <w:color w:val="auto"/>
          <w:kern w:val="0"/>
          <w:sz w:val="24"/>
          <w:szCs w:val="24"/>
          <w:highlight w:val="none"/>
          <w:u w:val="single"/>
        </w:rPr>
      </w:pPr>
    </w:p>
    <w:p w14:paraId="1505D163">
      <w:pPr>
        <w:pStyle w:val="11"/>
        <w:adjustRightInd w:val="0"/>
        <w:snapToGrid w:val="0"/>
        <w:spacing w:before="120" w:after="120" w:line="276" w:lineRule="auto"/>
        <w:ind w:firstLine="480" w:firstLineChars="200"/>
        <w:rPr>
          <w:rFonts w:hint="eastAsia" w:ascii="宋体" w:hAnsi="宋体" w:eastAsia="宋体" w:cs="宋体"/>
          <w:snapToGrid w:val="0"/>
          <w:color w:val="auto"/>
          <w:kern w:val="0"/>
          <w:sz w:val="24"/>
          <w:szCs w:val="24"/>
          <w:highlight w:val="none"/>
          <w:u w:val="single"/>
        </w:rPr>
      </w:pPr>
    </w:p>
    <w:p w14:paraId="1B3E7099">
      <w:pPr>
        <w:pStyle w:val="11"/>
        <w:adjustRightInd w:val="0"/>
        <w:snapToGrid w:val="0"/>
        <w:spacing w:before="120" w:after="120" w:line="276" w:lineRule="auto"/>
        <w:ind w:firstLine="480" w:firstLineChars="200"/>
        <w:rPr>
          <w:rFonts w:hint="eastAsia" w:ascii="宋体" w:hAnsi="宋体" w:eastAsia="宋体" w:cs="宋体"/>
          <w:snapToGrid w:val="0"/>
          <w:color w:val="auto"/>
          <w:kern w:val="0"/>
          <w:sz w:val="24"/>
          <w:szCs w:val="24"/>
          <w:highlight w:val="none"/>
          <w:u w:val="single"/>
        </w:rPr>
      </w:pPr>
    </w:p>
    <w:p w14:paraId="457268CF">
      <w:pPr>
        <w:spacing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br w:type="page"/>
      </w:r>
    </w:p>
    <w:p w14:paraId="6269D37E">
      <w:pPr>
        <w:spacing w:line="560" w:lineRule="exact"/>
        <w:jc w:val="center"/>
        <w:outlineLvl w:val="1"/>
        <w:rPr>
          <w:rFonts w:hint="eastAsia" w:ascii="宋体" w:hAnsi="宋体" w:eastAsia="宋体" w:cs="宋体"/>
          <w:b/>
          <w:bCs/>
          <w:i w:val="0"/>
          <w:iCs w:val="0"/>
          <w:caps w:val="0"/>
          <w:color w:val="auto"/>
          <w:spacing w:val="0"/>
          <w:sz w:val="28"/>
          <w:szCs w:val="28"/>
          <w:highlight w:val="none"/>
          <w:lang w:val="en-US" w:eastAsia="zh-CN"/>
        </w:rPr>
      </w:pPr>
      <w:bookmarkStart w:id="0" w:name="_Toc29968"/>
      <w:bookmarkStart w:id="1" w:name="_Toc9321"/>
      <w:bookmarkStart w:id="2" w:name="_Toc28211"/>
      <w:bookmarkStart w:id="3" w:name="_Toc20277"/>
      <w:bookmarkStart w:id="4" w:name="_Toc27802"/>
      <w:bookmarkStart w:id="5" w:name="_Toc19788"/>
      <w:r>
        <w:rPr>
          <w:rFonts w:hint="eastAsia" w:ascii="宋体" w:hAnsi="宋体" w:eastAsia="宋体" w:cs="宋体"/>
          <w:b/>
          <w:bCs/>
          <w:i w:val="0"/>
          <w:iCs w:val="0"/>
          <w:caps w:val="0"/>
          <w:color w:val="auto"/>
          <w:spacing w:val="0"/>
          <w:sz w:val="28"/>
          <w:szCs w:val="28"/>
          <w:highlight w:val="none"/>
          <w:lang w:val="en-US" w:eastAsia="zh-CN"/>
        </w:rPr>
        <w:t>第一部分 合同书</w:t>
      </w:r>
      <w:bookmarkEnd w:id="0"/>
      <w:bookmarkEnd w:id="1"/>
      <w:bookmarkEnd w:id="2"/>
      <w:bookmarkEnd w:id="3"/>
      <w:bookmarkEnd w:id="4"/>
      <w:bookmarkEnd w:id="5"/>
    </w:p>
    <w:p w14:paraId="19D29570">
      <w:pPr>
        <w:keepNext w:val="0"/>
        <w:keepLines w:val="0"/>
        <w:pageBreakBefore w:val="0"/>
        <w:wordWrap/>
        <w:overflowPunct/>
        <w:topLinePunct w:val="0"/>
        <w:bidi w:val="0"/>
        <w:adjustRightInd w:val="0"/>
        <w:snapToGrid w:val="0"/>
        <w:spacing w:line="360" w:lineRule="auto"/>
        <w:ind w:left="0" w:leftChars="0"/>
        <w:rPr>
          <w:rFonts w:hint="default" w:ascii="宋体" w:hAnsi="宋体" w:eastAsia="宋体" w:cs="宋体"/>
          <w:color w:val="auto"/>
          <w:spacing w:val="0"/>
          <w:kern w:val="0"/>
          <w:position w:val="0"/>
          <w:sz w:val="24"/>
          <w:szCs w:val="24"/>
          <w:highlight w:val="none"/>
          <w:u w:val="single"/>
          <w:lang w:val="en-US" w:eastAsia="zh-CN"/>
        </w:rPr>
      </w:pPr>
      <w:r>
        <w:rPr>
          <w:rFonts w:ascii="宋体" w:hAnsi="宋体" w:eastAsia="宋体" w:cs="宋体"/>
          <w:color w:val="auto"/>
          <w:spacing w:val="0"/>
          <w:kern w:val="0"/>
          <w:position w:val="0"/>
          <w:sz w:val="24"/>
          <w:szCs w:val="24"/>
          <w:highlight w:val="none"/>
        </w:rPr>
        <w:t>甲方（委托方）：</w:t>
      </w:r>
      <w:r>
        <w:rPr>
          <w:rFonts w:hint="eastAsia" w:ascii="宋体" w:hAnsi="宋体" w:eastAsia="宋体" w:cs="宋体"/>
          <w:color w:val="auto"/>
          <w:spacing w:val="0"/>
          <w:kern w:val="0"/>
          <w:position w:val="0"/>
          <w:sz w:val="24"/>
          <w:szCs w:val="24"/>
          <w:highlight w:val="none"/>
          <w:u w:val="single"/>
          <w:lang w:val="en-US" w:eastAsia="zh-CN"/>
        </w:rPr>
        <w:t xml:space="preserve">             </w:t>
      </w:r>
    </w:p>
    <w:p w14:paraId="3E986223">
      <w:pPr>
        <w:pStyle w:val="10"/>
        <w:keepNext w:val="0"/>
        <w:keepLines w:val="0"/>
        <w:pageBreakBefore w:val="0"/>
        <w:wordWrap/>
        <w:overflowPunct/>
        <w:topLinePunct w:val="0"/>
        <w:bidi w:val="0"/>
        <w:adjustRightInd w:val="0"/>
        <w:snapToGrid w:val="0"/>
        <w:spacing w:after="0" w:line="360" w:lineRule="auto"/>
        <w:ind w:left="0" w:leftChars="0"/>
        <w:rPr>
          <w:color w:val="auto"/>
          <w:spacing w:val="0"/>
          <w:kern w:val="0"/>
          <w:position w:val="0"/>
          <w:sz w:val="24"/>
          <w:szCs w:val="24"/>
          <w:highlight w:val="none"/>
        </w:rPr>
      </w:pPr>
    </w:p>
    <w:p w14:paraId="55E034AA">
      <w:pPr>
        <w:keepNext w:val="0"/>
        <w:keepLines w:val="0"/>
        <w:pageBreakBefore w:val="0"/>
        <w:wordWrap/>
        <w:overflowPunct/>
        <w:topLinePunct w:val="0"/>
        <w:bidi w:val="0"/>
        <w:adjustRightInd w:val="0"/>
        <w:snapToGrid w:val="0"/>
        <w:spacing w:line="360" w:lineRule="auto"/>
        <w:ind w:left="0" w:leftChars="0"/>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乙方（受托方）：</w:t>
      </w:r>
      <w:r>
        <w:rPr>
          <w:rFonts w:hint="eastAsia" w:ascii="宋体" w:hAnsi="宋体" w:eastAsia="宋体" w:cs="宋体"/>
          <w:color w:val="auto"/>
          <w:spacing w:val="0"/>
          <w:kern w:val="0"/>
          <w:position w:val="0"/>
          <w:sz w:val="24"/>
          <w:szCs w:val="24"/>
          <w:highlight w:val="none"/>
          <w:u w:val="single"/>
          <w:lang w:val="en-US" w:eastAsia="zh-CN"/>
        </w:rPr>
        <w:t xml:space="preserve">             </w:t>
      </w:r>
    </w:p>
    <w:p w14:paraId="6E6F0B5D">
      <w:pPr>
        <w:pStyle w:val="10"/>
        <w:keepNext w:val="0"/>
        <w:keepLines w:val="0"/>
        <w:pageBreakBefore w:val="0"/>
        <w:wordWrap/>
        <w:overflowPunct/>
        <w:topLinePunct w:val="0"/>
        <w:bidi w:val="0"/>
        <w:adjustRightInd w:val="0"/>
        <w:snapToGrid w:val="0"/>
        <w:spacing w:after="0" w:line="360" w:lineRule="auto"/>
        <w:ind w:left="0" w:leftChars="0"/>
        <w:rPr>
          <w:color w:val="auto"/>
          <w:spacing w:val="0"/>
          <w:kern w:val="0"/>
          <w:position w:val="0"/>
          <w:highlight w:val="none"/>
        </w:rPr>
      </w:pPr>
    </w:p>
    <w:p w14:paraId="0D4FB628">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甲乙双方经过平等协商，在真实、充分地表达各自意愿的基础上，根据《中华人民共和国民法典》等相关法律法规和咨询行业有关规定，达成如下协议，并由双方共同恪守。</w:t>
      </w:r>
    </w:p>
    <w:p w14:paraId="2A3BE90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根据甲方的委托要求，乙方应根据国家、地区及行业的有关政策、法规及规范要求，按时向甲方提交咨询成果。</w:t>
      </w:r>
    </w:p>
    <w:p w14:paraId="621BA0B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2"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b/>
          <w:bCs/>
          <w:color w:val="auto"/>
          <w:spacing w:val="0"/>
          <w:kern w:val="0"/>
          <w:position w:val="0"/>
          <w:sz w:val="24"/>
          <w:szCs w:val="24"/>
          <w:highlight w:val="none"/>
        </w:rPr>
        <w:t>第一条</w:t>
      </w:r>
      <w:r>
        <w:rPr>
          <w:rFonts w:ascii="宋体" w:hAnsi="宋体" w:eastAsia="宋体" w:cs="宋体"/>
          <w:color w:val="auto"/>
          <w:spacing w:val="0"/>
          <w:kern w:val="0"/>
          <w:position w:val="0"/>
          <w:sz w:val="24"/>
          <w:szCs w:val="24"/>
          <w:highlight w:val="none"/>
        </w:rPr>
        <w:t xml:space="preserve">  </w:t>
      </w:r>
      <w:r>
        <w:rPr>
          <w:rFonts w:ascii="宋体" w:hAnsi="宋体" w:eastAsia="宋体" w:cs="宋体"/>
          <w:b/>
          <w:bCs/>
          <w:color w:val="auto"/>
          <w:spacing w:val="0"/>
          <w:kern w:val="0"/>
          <w:position w:val="0"/>
          <w:sz w:val="24"/>
          <w:szCs w:val="24"/>
          <w:highlight w:val="none"/>
        </w:rPr>
        <w:t>委托项目名称及内容</w:t>
      </w:r>
    </w:p>
    <w:p w14:paraId="5169681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default" w:ascii="宋体" w:hAnsi="宋体" w:eastAsia="宋体" w:cs="宋体"/>
          <w:color w:val="auto"/>
          <w:spacing w:val="0"/>
          <w:kern w:val="0"/>
          <w:position w:val="0"/>
          <w:sz w:val="24"/>
          <w:szCs w:val="24"/>
          <w:highlight w:val="none"/>
          <w:lang w:val="en-US" w:eastAsia="zh-CN"/>
        </w:rPr>
      </w:pPr>
      <w:r>
        <w:rPr>
          <w:rFonts w:ascii="宋体" w:hAnsi="宋体" w:eastAsia="宋体" w:cs="宋体"/>
          <w:color w:val="auto"/>
          <w:spacing w:val="0"/>
          <w:kern w:val="0"/>
          <w:position w:val="0"/>
          <w:sz w:val="24"/>
          <w:szCs w:val="24"/>
          <w:highlight w:val="none"/>
        </w:rPr>
        <w:t>（一）项目名称：</w:t>
      </w:r>
      <w:r>
        <w:rPr>
          <w:rFonts w:hint="eastAsia" w:ascii="宋体" w:hAnsi="宋体" w:eastAsia="宋体" w:cs="宋体"/>
          <w:color w:val="auto"/>
          <w:spacing w:val="0"/>
          <w:kern w:val="0"/>
          <w:position w:val="0"/>
          <w:sz w:val="24"/>
          <w:szCs w:val="24"/>
          <w:highlight w:val="none"/>
          <w:u w:val="single"/>
          <w:lang w:val="en-US" w:eastAsia="zh-CN"/>
        </w:rPr>
        <w:t xml:space="preserve">                              </w:t>
      </w:r>
    </w:p>
    <w:p w14:paraId="64A3037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（二）项目内容：</w:t>
      </w:r>
      <w:r>
        <w:rPr>
          <w:rFonts w:hint="eastAsia" w:ascii="宋体" w:hAnsi="宋体" w:eastAsia="宋体" w:cs="宋体"/>
          <w:color w:val="auto"/>
          <w:spacing w:val="0"/>
          <w:kern w:val="0"/>
          <w:position w:val="0"/>
          <w:sz w:val="24"/>
          <w:szCs w:val="24"/>
          <w:highlight w:val="none"/>
          <w:u w:val="single"/>
          <w:lang w:val="en-US" w:eastAsia="zh-CN"/>
        </w:rPr>
        <w:t xml:space="preserve">                             </w:t>
      </w:r>
    </w:p>
    <w:p w14:paraId="7C7FA584">
      <w:pPr>
        <w:keepNext w:val="0"/>
        <w:keepLines w:val="0"/>
        <w:pageBreakBefore w:val="0"/>
        <w:widowControl/>
        <w:kinsoku/>
        <w:wordWrap/>
        <w:overflowPunct/>
        <w:topLinePunct w:val="0"/>
        <w:autoSpaceDE w:val="0"/>
        <w:autoSpaceDN w:val="0"/>
        <w:bidi w:val="0"/>
        <w:adjustRightInd w:val="0"/>
        <w:snapToGrid w:val="0"/>
        <w:spacing w:line="360" w:lineRule="auto"/>
        <w:ind w:left="986" w:leftChars="229" w:right="0" w:hanging="482" w:hangingChars="200"/>
        <w:jc w:val="left"/>
        <w:textAlignment w:val="baseline"/>
        <w:rPr>
          <w:rFonts w:ascii="宋体" w:hAnsi="宋体" w:eastAsia="宋体" w:cs="宋体"/>
          <w:color w:val="auto"/>
          <w:spacing w:val="0"/>
          <w:kern w:val="0"/>
          <w:position w:val="0"/>
          <w:sz w:val="24"/>
          <w:szCs w:val="24"/>
          <w:highlight w:val="none"/>
        </w:rPr>
      </w:pPr>
      <w:r>
        <w:rPr>
          <w:rFonts w:ascii="宋体" w:hAnsi="宋体" w:eastAsia="宋体" w:cs="宋体"/>
          <w:b/>
          <w:bCs/>
          <w:color w:val="auto"/>
          <w:spacing w:val="0"/>
          <w:kern w:val="0"/>
          <w:position w:val="0"/>
          <w:sz w:val="24"/>
          <w:szCs w:val="24"/>
          <w:highlight w:val="none"/>
        </w:rPr>
        <w:t>第二条</w:t>
      </w:r>
      <w:r>
        <w:rPr>
          <w:rFonts w:ascii="宋体" w:hAnsi="宋体" w:eastAsia="宋体" w:cs="宋体"/>
          <w:color w:val="auto"/>
          <w:spacing w:val="0"/>
          <w:kern w:val="0"/>
          <w:position w:val="0"/>
          <w:sz w:val="24"/>
          <w:szCs w:val="24"/>
          <w:highlight w:val="none"/>
        </w:rPr>
        <w:t xml:space="preserve">  </w:t>
      </w:r>
      <w:r>
        <w:rPr>
          <w:rFonts w:ascii="宋体" w:hAnsi="宋体" w:eastAsia="宋体" w:cs="宋体"/>
          <w:b/>
          <w:bCs/>
          <w:color w:val="auto"/>
          <w:spacing w:val="0"/>
          <w:kern w:val="0"/>
          <w:position w:val="0"/>
          <w:sz w:val="24"/>
          <w:szCs w:val="24"/>
          <w:highlight w:val="none"/>
        </w:rPr>
        <w:t>合同履约期限：</w:t>
      </w:r>
      <w:r>
        <w:rPr>
          <w:rFonts w:ascii="宋体" w:hAnsi="宋体" w:eastAsia="宋体" w:cs="宋体"/>
          <w:color w:val="auto"/>
          <w:spacing w:val="0"/>
          <w:kern w:val="0"/>
          <w:position w:val="0"/>
          <w:sz w:val="24"/>
          <w:szCs w:val="24"/>
          <w:highlight w:val="none"/>
        </w:rPr>
        <w:t>自</w:t>
      </w:r>
      <w:r>
        <w:rPr>
          <w:rFonts w:hint="eastAsia" w:ascii="宋体" w:hAnsi="宋体" w:eastAsia="宋体" w:cs="宋体"/>
          <w:color w:val="auto"/>
          <w:spacing w:val="0"/>
          <w:kern w:val="0"/>
          <w:position w:val="0"/>
          <w:sz w:val="24"/>
          <w:szCs w:val="24"/>
          <w:highlight w:val="none"/>
          <w:lang w:val="en-US" w:eastAsia="zh-CN"/>
        </w:rPr>
        <w:t xml:space="preserve"> </w:t>
      </w:r>
      <w:r>
        <w:rPr>
          <w:rFonts w:ascii="宋体" w:hAnsi="宋体" w:eastAsia="宋体" w:cs="宋体"/>
          <w:color w:val="auto"/>
          <w:spacing w:val="0"/>
          <w:kern w:val="0"/>
          <w:position w:val="0"/>
          <w:sz w:val="24"/>
          <w:szCs w:val="24"/>
          <w:highlight w:val="none"/>
          <w:u w:val="single"/>
        </w:rPr>
        <w:t>202</w:t>
      </w:r>
      <w:r>
        <w:rPr>
          <w:rFonts w:hint="eastAsia" w:cs="宋体"/>
          <w:color w:val="auto"/>
          <w:spacing w:val="0"/>
          <w:kern w:val="0"/>
          <w:position w:val="0"/>
          <w:sz w:val="24"/>
          <w:szCs w:val="24"/>
          <w:highlight w:val="none"/>
          <w:u w:val="single"/>
          <w:lang w:val="en-US" w:eastAsia="zh-CN"/>
        </w:rPr>
        <w:t>6</w:t>
      </w:r>
      <w:r>
        <w:rPr>
          <w:rFonts w:hint="eastAsia" w:ascii="宋体" w:hAnsi="宋体" w:eastAsia="宋体" w:cs="宋体"/>
          <w:color w:val="auto"/>
          <w:spacing w:val="0"/>
          <w:kern w:val="0"/>
          <w:position w:val="0"/>
          <w:sz w:val="24"/>
          <w:szCs w:val="24"/>
          <w:highlight w:val="none"/>
          <w:u w:val="single"/>
          <w:lang w:val="en-US" w:eastAsia="zh-CN"/>
        </w:rPr>
        <w:t xml:space="preserve"> </w:t>
      </w:r>
      <w:r>
        <w:rPr>
          <w:rFonts w:ascii="宋体" w:hAnsi="宋体" w:eastAsia="宋体" w:cs="宋体"/>
          <w:color w:val="auto"/>
          <w:spacing w:val="0"/>
          <w:kern w:val="0"/>
          <w:position w:val="0"/>
          <w:sz w:val="24"/>
          <w:szCs w:val="24"/>
          <w:highlight w:val="none"/>
        </w:rPr>
        <w:t>年</w:t>
      </w:r>
      <w:r>
        <w:rPr>
          <w:rFonts w:ascii="宋体" w:hAnsi="宋体" w:eastAsia="宋体" w:cs="宋体"/>
          <w:color w:val="auto"/>
          <w:spacing w:val="0"/>
          <w:kern w:val="0"/>
          <w:position w:val="0"/>
          <w:sz w:val="24"/>
          <w:szCs w:val="24"/>
          <w:highlight w:val="none"/>
          <w:u w:val="single"/>
        </w:rPr>
        <w:t xml:space="preserve"> </w:t>
      </w:r>
      <w:r>
        <w:rPr>
          <w:rFonts w:hint="eastAsia" w:ascii="宋体" w:hAnsi="宋体" w:eastAsia="宋体" w:cs="宋体"/>
          <w:color w:val="auto"/>
          <w:spacing w:val="0"/>
          <w:kern w:val="0"/>
          <w:position w:val="0"/>
          <w:sz w:val="24"/>
          <w:szCs w:val="24"/>
          <w:highlight w:val="none"/>
          <w:u w:val="single"/>
          <w:lang w:val="en-US" w:eastAsia="zh-CN"/>
        </w:rPr>
        <w:t xml:space="preserve">  </w:t>
      </w:r>
      <w:r>
        <w:rPr>
          <w:rFonts w:ascii="宋体" w:hAnsi="宋体" w:eastAsia="宋体" w:cs="宋体"/>
          <w:color w:val="auto"/>
          <w:spacing w:val="0"/>
          <w:kern w:val="0"/>
          <w:position w:val="0"/>
          <w:sz w:val="24"/>
          <w:szCs w:val="24"/>
          <w:highlight w:val="none"/>
          <w:u w:val="single"/>
        </w:rPr>
        <w:t xml:space="preserve"> </w:t>
      </w:r>
      <w:r>
        <w:rPr>
          <w:rFonts w:ascii="宋体" w:hAnsi="宋体" w:eastAsia="宋体" w:cs="宋体"/>
          <w:color w:val="auto"/>
          <w:spacing w:val="0"/>
          <w:kern w:val="0"/>
          <w:position w:val="0"/>
          <w:sz w:val="24"/>
          <w:szCs w:val="24"/>
          <w:highlight w:val="none"/>
        </w:rPr>
        <w:t>月</w:t>
      </w:r>
      <w:r>
        <w:rPr>
          <w:rFonts w:ascii="宋体" w:hAnsi="宋体" w:eastAsia="宋体" w:cs="宋体"/>
          <w:color w:val="auto"/>
          <w:spacing w:val="0"/>
          <w:kern w:val="0"/>
          <w:position w:val="0"/>
          <w:sz w:val="24"/>
          <w:szCs w:val="24"/>
          <w:highlight w:val="none"/>
          <w:u w:val="single"/>
        </w:rPr>
        <w:t xml:space="preserve"> </w:t>
      </w:r>
      <w:r>
        <w:rPr>
          <w:rFonts w:hint="eastAsia" w:ascii="宋体" w:hAnsi="宋体" w:eastAsia="宋体" w:cs="宋体"/>
          <w:color w:val="auto"/>
          <w:spacing w:val="0"/>
          <w:kern w:val="0"/>
          <w:position w:val="0"/>
          <w:sz w:val="24"/>
          <w:szCs w:val="24"/>
          <w:highlight w:val="none"/>
          <w:u w:val="single"/>
          <w:lang w:val="en-US" w:eastAsia="zh-CN"/>
        </w:rPr>
        <w:t xml:space="preserve">  </w:t>
      </w:r>
      <w:r>
        <w:rPr>
          <w:rFonts w:ascii="宋体" w:hAnsi="宋体" w:eastAsia="宋体" w:cs="宋体"/>
          <w:color w:val="auto"/>
          <w:spacing w:val="0"/>
          <w:kern w:val="0"/>
          <w:position w:val="0"/>
          <w:sz w:val="24"/>
          <w:szCs w:val="24"/>
          <w:highlight w:val="none"/>
          <w:u w:val="single"/>
        </w:rPr>
        <w:t xml:space="preserve"> </w:t>
      </w:r>
      <w:r>
        <w:rPr>
          <w:rFonts w:ascii="宋体" w:hAnsi="宋体" w:eastAsia="宋体" w:cs="宋体"/>
          <w:color w:val="auto"/>
          <w:spacing w:val="0"/>
          <w:kern w:val="0"/>
          <w:position w:val="0"/>
          <w:sz w:val="24"/>
          <w:szCs w:val="24"/>
          <w:highlight w:val="none"/>
        </w:rPr>
        <w:t>日始至</w:t>
      </w:r>
      <w:r>
        <w:rPr>
          <w:rFonts w:ascii="宋体" w:hAnsi="宋体" w:eastAsia="宋体" w:cs="宋体"/>
          <w:color w:val="auto"/>
          <w:spacing w:val="0"/>
          <w:kern w:val="0"/>
          <w:position w:val="0"/>
          <w:sz w:val="24"/>
          <w:szCs w:val="24"/>
          <w:highlight w:val="none"/>
          <w:u w:val="single"/>
        </w:rPr>
        <w:t xml:space="preserve">  </w:t>
      </w:r>
      <w:r>
        <w:rPr>
          <w:rFonts w:hint="eastAsia" w:ascii="宋体" w:hAnsi="宋体" w:eastAsia="宋体" w:cs="宋体"/>
          <w:color w:val="auto"/>
          <w:spacing w:val="0"/>
          <w:kern w:val="0"/>
          <w:position w:val="0"/>
          <w:sz w:val="24"/>
          <w:szCs w:val="24"/>
          <w:highlight w:val="none"/>
          <w:u w:val="single"/>
          <w:lang w:val="en-US" w:eastAsia="zh-CN"/>
        </w:rPr>
        <w:t xml:space="preserve">   </w:t>
      </w:r>
      <w:r>
        <w:rPr>
          <w:rFonts w:ascii="宋体" w:hAnsi="宋体" w:eastAsia="宋体" w:cs="宋体"/>
          <w:color w:val="auto"/>
          <w:spacing w:val="0"/>
          <w:kern w:val="0"/>
          <w:position w:val="0"/>
          <w:sz w:val="24"/>
          <w:szCs w:val="24"/>
          <w:highlight w:val="none"/>
        </w:rPr>
        <w:t>年</w:t>
      </w:r>
      <w:r>
        <w:rPr>
          <w:rFonts w:ascii="宋体" w:hAnsi="宋体" w:eastAsia="宋体" w:cs="宋体"/>
          <w:color w:val="auto"/>
          <w:spacing w:val="0"/>
          <w:kern w:val="0"/>
          <w:position w:val="0"/>
          <w:sz w:val="24"/>
          <w:szCs w:val="24"/>
          <w:highlight w:val="none"/>
          <w:u w:val="single"/>
        </w:rPr>
        <w:t xml:space="preserve"> </w:t>
      </w:r>
      <w:r>
        <w:rPr>
          <w:rFonts w:hint="eastAsia" w:ascii="宋体" w:hAnsi="宋体" w:eastAsia="宋体" w:cs="宋体"/>
          <w:color w:val="auto"/>
          <w:spacing w:val="0"/>
          <w:kern w:val="0"/>
          <w:position w:val="0"/>
          <w:sz w:val="24"/>
          <w:szCs w:val="24"/>
          <w:highlight w:val="none"/>
          <w:u w:val="single"/>
          <w:lang w:val="en-US" w:eastAsia="zh-CN"/>
        </w:rPr>
        <w:t xml:space="preserve">  </w:t>
      </w:r>
      <w:r>
        <w:rPr>
          <w:rFonts w:ascii="宋体" w:hAnsi="宋体" w:eastAsia="宋体" w:cs="宋体"/>
          <w:color w:val="auto"/>
          <w:spacing w:val="0"/>
          <w:kern w:val="0"/>
          <w:position w:val="0"/>
          <w:sz w:val="24"/>
          <w:szCs w:val="24"/>
          <w:highlight w:val="none"/>
          <w:u w:val="single"/>
        </w:rPr>
        <w:t xml:space="preserve"> </w:t>
      </w:r>
      <w:r>
        <w:rPr>
          <w:rFonts w:hint="eastAsia" w:ascii="宋体" w:hAnsi="宋体" w:eastAsia="宋体" w:cs="宋体"/>
          <w:color w:val="auto"/>
          <w:spacing w:val="0"/>
          <w:kern w:val="0"/>
          <w:position w:val="0"/>
          <w:sz w:val="24"/>
          <w:szCs w:val="24"/>
          <w:highlight w:val="none"/>
          <w:lang w:val="en-US" w:eastAsia="zh-CN"/>
        </w:rPr>
        <w:t>月</w:t>
      </w:r>
      <w:r>
        <w:rPr>
          <w:rFonts w:hint="eastAsia" w:ascii="宋体" w:hAnsi="宋体" w:eastAsia="宋体" w:cs="宋体"/>
          <w:color w:val="auto"/>
          <w:spacing w:val="0"/>
          <w:kern w:val="0"/>
          <w:position w:val="0"/>
          <w:sz w:val="24"/>
          <w:szCs w:val="24"/>
          <w:highlight w:val="none"/>
          <w:u w:val="single"/>
          <w:lang w:val="en-US" w:eastAsia="zh-CN"/>
        </w:rPr>
        <w:t xml:space="preserve">    </w:t>
      </w:r>
      <w:r>
        <w:rPr>
          <w:rFonts w:ascii="宋体" w:hAnsi="宋体" w:eastAsia="宋体" w:cs="宋体"/>
          <w:color w:val="auto"/>
          <w:spacing w:val="0"/>
          <w:kern w:val="0"/>
          <w:position w:val="0"/>
          <w:sz w:val="24"/>
          <w:szCs w:val="24"/>
          <w:highlight w:val="none"/>
        </w:rPr>
        <w:t>日止。</w:t>
      </w:r>
    </w:p>
    <w:p w14:paraId="2ABA7FC7">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2"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b/>
          <w:bCs/>
          <w:color w:val="auto"/>
          <w:spacing w:val="0"/>
          <w:kern w:val="0"/>
          <w:position w:val="0"/>
          <w:sz w:val="24"/>
          <w:szCs w:val="24"/>
          <w:highlight w:val="none"/>
        </w:rPr>
        <w:t>第三条</w:t>
      </w:r>
      <w:r>
        <w:rPr>
          <w:rFonts w:ascii="宋体" w:hAnsi="宋体" w:eastAsia="宋体" w:cs="宋体"/>
          <w:color w:val="auto"/>
          <w:spacing w:val="0"/>
          <w:kern w:val="0"/>
          <w:position w:val="0"/>
          <w:sz w:val="24"/>
          <w:szCs w:val="24"/>
          <w:highlight w:val="none"/>
        </w:rPr>
        <w:t xml:space="preserve">  </w:t>
      </w:r>
      <w:r>
        <w:rPr>
          <w:rFonts w:ascii="宋体" w:hAnsi="宋体" w:eastAsia="宋体" w:cs="宋体"/>
          <w:b/>
          <w:bCs/>
          <w:color w:val="auto"/>
          <w:spacing w:val="0"/>
          <w:kern w:val="0"/>
          <w:position w:val="0"/>
          <w:sz w:val="24"/>
          <w:szCs w:val="24"/>
          <w:highlight w:val="none"/>
        </w:rPr>
        <w:t>甲方的权利和义务</w:t>
      </w:r>
    </w:p>
    <w:p w14:paraId="7907A92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一）甲方应在合同约定的时间内提供本项目所需要的本单位相关数据、资料和文件，并协助乙方收集其他有关资料。甲方应对其所提供资料的合法性、真实性、准确性负责，并尽量保证完整性。乙方应对甲方提供资料的使用承担合理审查和甄别义务，因乙方未尽合理审查义务导致的损失由乙方承担。</w:t>
      </w:r>
    </w:p>
    <w:p w14:paraId="0A6FC3ED">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（二）甲方有权参与方案讨论，提出意见，督促乙方按照计划推进工作。</w:t>
      </w:r>
    </w:p>
    <w:p w14:paraId="48CE5AAD">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（三）甲方应为乙方开展工作提供便利和支持。</w:t>
      </w:r>
    </w:p>
    <w:p w14:paraId="6F1DF6A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（四）甲方应按期支付服务费用。</w:t>
      </w:r>
    </w:p>
    <w:p w14:paraId="6377060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（五）甲方在合同期内项目发生变化时应及时通知乙方。</w:t>
      </w:r>
    </w:p>
    <w:p w14:paraId="354AC4B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2"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b/>
          <w:bCs/>
          <w:color w:val="auto"/>
          <w:spacing w:val="0"/>
          <w:kern w:val="0"/>
          <w:position w:val="0"/>
          <w:sz w:val="24"/>
          <w:szCs w:val="24"/>
          <w:highlight w:val="none"/>
        </w:rPr>
        <w:t>第四条</w:t>
      </w:r>
      <w:r>
        <w:rPr>
          <w:rFonts w:ascii="宋体" w:hAnsi="宋体" w:eastAsia="宋体" w:cs="宋体"/>
          <w:color w:val="auto"/>
          <w:spacing w:val="0"/>
          <w:kern w:val="0"/>
          <w:position w:val="0"/>
          <w:sz w:val="24"/>
          <w:szCs w:val="24"/>
          <w:highlight w:val="none"/>
        </w:rPr>
        <w:t xml:space="preserve">  </w:t>
      </w:r>
      <w:r>
        <w:rPr>
          <w:rFonts w:ascii="宋体" w:hAnsi="宋体" w:eastAsia="宋体" w:cs="宋体"/>
          <w:b/>
          <w:bCs/>
          <w:color w:val="auto"/>
          <w:spacing w:val="0"/>
          <w:kern w:val="0"/>
          <w:position w:val="0"/>
          <w:sz w:val="24"/>
          <w:szCs w:val="24"/>
          <w:highlight w:val="none"/>
        </w:rPr>
        <w:t>乙方的权利和义务</w:t>
      </w:r>
    </w:p>
    <w:p w14:paraId="61A0950D">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（一）乙方应在合同约定的时间内完成服务内容，达到合同规定的要求。</w:t>
      </w:r>
    </w:p>
    <w:p w14:paraId="252F4B3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（二）与甲方共同制定相应的工作计划与步骤。</w:t>
      </w:r>
    </w:p>
    <w:p w14:paraId="1B2C3BC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（三）根据项目开展的需要，不定期派驻团队成员到甲方单位进行调研、方案讨论、听取甲方意见等工作。</w:t>
      </w:r>
    </w:p>
    <w:p w14:paraId="6B2B76E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（四）按时交付成果，保证服务质量，并把乙方与本项目相关的知识传授给甲方管理小组。</w:t>
      </w:r>
    </w:p>
    <w:p w14:paraId="25D0DA1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（五）乙方在项目实施过程中，如果甲方的需求（项目内容或项目运作时间顺序）发生重要调整，乙方在不影响项目整体进度计划前提下，与甲方共同确定新的项目执行计划。</w:t>
      </w:r>
    </w:p>
    <w:p w14:paraId="0A8938E8">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（六）乙方应每周定时向甲方汇报阶段工作进度，按期完成相关工作，并征求甲方对阶段工作的意见，解答甲方询问和提出的修改意见。</w:t>
      </w:r>
    </w:p>
    <w:p w14:paraId="066710F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（七）乙方需按照甲方要求的时间和内容向甲方的决策层讲解工作成果相关内容，解答相关疑问，并按照甲方的要求就工作成果为甲方指定员工提供专题培训，以顺利实现成果知识转移。</w:t>
      </w:r>
    </w:p>
    <w:p w14:paraId="2BA5A39F">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（八）乙方在甲方工作期间应尽量保证联系人员的稳定性，如有变更应征得甲方同意。在服务过程中，甲方发现乙方工作人员有明显不合要求的，在甲方提出申请后，乙方及时给予调换。</w:t>
      </w:r>
    </w:p>
    <w:p w14:paraId="2D1A72B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（九）乙方提供的咨询成果达不到合同规定要求的，乙方应无条件完善、修改，且每次修改周期不得超过5个工作日。</w:t>
      </w:r>
    </w:p>
    <w:p w14:paraId="6E176B1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（十）乙方应对甲方提供的所有资料、数据、信息及在履行合同过程中知悉的甲方商业秘密承担严格的保密义务。</w:t>
      </w:r>
    </w:p>
    <w:p w14:paraId="2539D39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（十一）未经甲方同意，乙方不得擅自将咨询成果提供给第三方使用</w:t>
      </w:r>
      <w:r>
        <w:rPr>
          <w:rFonts w:hint="eastAsia" w:ascii="宋体" w:hAnsi="宋体" w:eastAsia="宋体" w:cs="宋体"/>
          <w:color w:val="auto"/>
          <w:spacing w:val="0"/>
          <w:kern w:val="0"/>
          <w:position w:val="0"/>
          <w:sz w:val="24"/>
          <w:szCs w:val="24"/>
          <w:highlight w:val="none"/>
          <w:lang w:eastAsia="zh-CN"/>
        </w:rPr>
        <w:t>，</w:t>
      </w:r>
      <w:r>
        <w:rPr>
          <w:rFonts w:ascii="宋体" w:hAnsi="宋体" w:eastAsia="宋体" w:cs="宋体"/>
          <w:color w:val="auto"/>
          <w:spacing w:val="0"/>
          <w:kern w:val="0"/>
          <w:position w:val="0"/>
          <w:sz w:val="24"/>
          <w:szCs w:val="24"/>
          <w:highlight w:val="none"/>
        </w:rPr>
        <w:t>否则，由此发生的损失和法律责任由乙方承担。</w:t>
      </w:r>
    </w:p>
    <w:p w14:paraId="7137D452">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（十二）乙方应按合同约定向甲方提供全部服务成果。由此产生的文印工本费由乙方承担。</w:t>
      </w:r>
    </w:p>
    <w:p w14:paraId="770006D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2"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b/>
          <w:bCs/>
          <w:color w:val="auto"/>
          <w:spacing w:val="0"/>
          <w:kern w:val="0"/>
          <w:position w:val="0"/>
          <w:sz w:val="24"/>
          <w:szCs w:val="24"/>
          <w:highlight w:val="none"/>
        </w:rPr>
        <w:t>第五条</w:t>
      </w:r>
      <w:r>
        <w:rPr>
          <w:rFonts w:ascii="宋体" w:hAnsi="宋体" w:eastAsia="宋体" w:cs="宋体"/>
          <w:color w:val="auto"/>
          <w:spacing w:val="0"/>
          <w:kern w:val="0"/>
          <w:position w:val="0"/>
          <w:sz w:val="24"/>
          <w:szCs w:val="24"/>
          <w:highlight w:val="none"/>
        </w:rPr>
        <w:t xml:space="preserve">  </w:t>
      </w:r>
      <w:r>
        <w:rPr>
          <w:rFonts w:ascii="宋体" w:hAnsi="宋体" w:eastAsia="宋体" w:cs="宋体"/>
          <w:b/>
          <w:bCs/>
          <w:color w:val="auto"/>
          <w:spacing w:val="0"/>
          <w:kern w:val="0"/>
          <w:position w:val="0"/>
          <w:sz w:val="24"/>
          <w:szCs w:val="24"/>
          <w:highlight w:val="none"/>
        </w:rPr>
        <w:t>合同金额与付款方式</w:t>
      </w:r>
    </w:p>
    <w:p w14:paraId="7B230D4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（一）本合同经费人民币（大写）</w:t>
      </w:r>
      <w:r>
        <w:rPr>
          <w:rFonts w:ascii="宋体" w:hAnsi="宋体" w:eastAsia="宋体" w:cs="宋体"/>
          <w:color w:val="auto"/>
          <w:spacing w:val="0"/>
          <w:kern w:val="0"/>
          <w:position w:val="0"/>
          <w:sz w:val="24"/>
          <w:szCs w:val="24"/>
          <w:highlight w:val="none"/>
          <w:u w:val="single" w:color="auto"/>
        </w:rPr>
        <w:t xml:space="preserve">   </w:t>
      </w:r>
      <w:r>
        <w:rPr>
          <w:rFonts w:hint="eastAsia" w:ascii="宋体" w:hAnsi="宋体" w:eastAsia="宋体" w:cs="宋体"/>
          <w:color w:val="auto"/>
          <w:spacing w:val="0"/>
          <w:kern w:val="0"/>
          <w:position w:val="0"/>
          <w:sz w:val="24"/>
          <w:szCs w:val="24"/>
          <w:highlight w:val="none"/>
          <w:u w:val="single" w:color="auto"/>
          <w:lang w:val="en-US" w:eastAsia="zh-CN"/>
        </w:rPr>
        <w:t xml:space="preserve">   </w:t>
      </w:r>
      <w:r>
        <w:rPr>
          <w:rFonts w:ascii="宋体" w:hAnsi="宋体" w:eastAsia="宋体" w:cs="宋体"/>
          <w:color w:val="auto"/>
          <w:spacing w:val="0"/>
          <w:kern w:val="0"/>
          <w:position w:val="0"/>
          <w:sz w:val="24"/>
          <w:szCs w:val="24"/>
          <w:highlight w:val="none"/>
          <w:u w:val="single" w:color="auto"/>
        </w:rPr>
        <w:t xml:space="preserve"> </w:t>
      </w:r>
      <w:r>
        <w:rPr>
          <w:rFonts w:ascii="宋体" w:hAnsi="宋体" w:eastAsia="宋体" w:cs="宋体"/>
          <w:color w:val="auto"/>
          <w:spacing w:val="0"/>
          <w:kern w:val="0"/>
          <w:position w:val="0"/>
          <w:sz w:val="24"/>
          <w:szCs w:val="24"/>
          <w:highlight w:val="none"/>
        </w:rPr>
        <w:t xml:space="preserve"> 元整 (￥ </w:t>
      </w:r>
      <w:r>
        <w:rPr>
          <w:rFonts w:ascii="宋体" w:hAnsi="宋体" w:eastAsia="宋体" w:cs="宋体"/>
          <w:color w:val="auto"/>
          <w:spacing w:val="0"/>
          <w:kern w:val="0"/>
          <w:position w:val="0"/>
          <w:sz w:val="24"/>
          <w:szCs w:val="24"/>
          <w:highlight w:val="none"/>
          <w:u w:val="single" w:color="auto"/>
        </w:rPr>
        <w:t xml:space="preserve">      </w:t>
      </w:r>
      <w:r>
        <w:rPr>
          <w:rFonts w:ascii="宋体" w:hAnsi="宋体" w:eastAsia="宋体" w:cs="宋体"/>
          <w:color w:val="auto"/>
          <w:spacing w:val="0"/>
          <w:kern w:val="0"/>
          <w:position w:val="0"/>
          <w:sz w:val="24"/>
          <w:szCs w:val="24"/>
          <w:highlight w:val="none"/>
        </w:rPr>
        <w:t xml:space="preserve"> )。</w:t>
      </w:r>
    </w:p>
    <w:p w14:paraId="68ED3E8D">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本合同采用的合同价格方式为固定合同总价，包括服务及与合同有关的所有费用（含差旅费、知识产权使用费等）。</w:t>
      </w:r>
    </w:p>
    <w:p w14:paraId="0D76475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本合同价格为含税价，乙方提供的服务等所有税费已全部包含在合同价格内，由乙方承担。</w:t>
      </w:r>
    </w:p>
    <w:p w14:paraId="78C8BBB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合同价格在合同执行期内不得变动。乙方为履行本合同而发生的所有费用均应包含在合同价中，甲方不再另行支付其它任何费用。</w:t>
      </w:r>
    </w:p>
    <w:p w14:paraId="63440AB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如因在合同履行过程中有变更，存在减少有关服务情况，经甲方、乙方双方现场确认，按乙方成交时的固定单价对总价进行调减，并按有关规定签订补充合同。</w:t>
      </w:r>
    </w:p>
    <w:p w14:paraId="6329EF7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如因在合同履行过程中，需追加与本合同标的相关的服务的，在不改变合同条款的前提下，经甲方、乙方双方现场确认，按乙方成交时的固定单价对总价进行调增，并按有关规定签订补充合同。</w:t>
      </w:r>
    </w:p>
    <w:p w14:paraId="2AFD899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（二）付款方式</w:t>
      </w:r>
    </w:p>
    <w:p w14:paraId="3FA9F084">
      <w:pPr>
        <w:keepNext w:val="0"/>
        <w:keepLines w:val="0"/>
        <w:pageBreakBefore w:val="0"/>
        <w:widowControl/>
        <w:tabs>
          <w:tab w:val="left" w:pos="125"/>
        </w:tabs>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0"/>
          <w:kern w:val="0"/>
          <w:position w:val="0"/>
          <w:sz w:val="24"/>
          <w:szCs w:val="24"/>
          <w:highlight w:val="none"/>
          <w:lang w:val="en-US" w:eastAsia="zh-CN"/>
        </w:rPr>
        <w:t>1.</w:t>
      </w:r>
      <w:r>
        <w:rPr>
          <w:rFonts w:hint="eastAsia" w:ascii="宋体" w:hAnsi="宋体" w:eastAsia="宋体" w:cs="宋体"/>
          <w:color w:val="auto"/>
          <w:spacing w:val="0"/>
          <w:kern w:val="0"/>
          <w:position w:val="0"/>
          <w:sz w:val="24"/>
          <w:szCs w:val="24"/>
          <w:highlight w:val="none"/>
        </w:rPr>
        <w:t>合同签订后</w:t>
      </w:r>
      <w:r>
        <w:rPr>
          <w:rFonts w:hint="eastAsia" w:cs="宋体"/>
          <w:color w:val="auto"/>
          <w:spacing w:val="0"/>
          <w:kern w:val="0"/>
          <w:position w:val="0"/>
          <w:sz w:val="24"/>
          <w:szCs w:val="24"/>
          <w:highlight w:val="none"/>
          <w:u w:val="single"/>
          <w:lang w:val="en-US" w:eastAsia="zh-CN"/>
        </w:rPr>
        <w:t xml:space="preserve">  </w:t>
      </w:r>
      <w:r>
        <w:rPr>
          <w:rFonts w:hint="eastAsia" w:ascii="宋体" w:hAnsi="宋体" w:eastAsia="宋体" w:cs="宋体"/>
          <w:color w:val="auto"/>
          <w:spacing w:val="0"/>
          <w:kern w:val="0"/>
          <w:position w:val="0"/>
          <w:sz w:val="24"/>
          <w:szCs w:val="24"/>
          <w:highlight w:val="none"/>
        </w:rPr>
        <w:t>日内，</w:t>
      </w:r>
      <w:r>
        <w:rPr>
          <w:rFonts w:hint="eastAsia" w:ascii="宋体" w:hAnsi="宋体" w:eastAsia="宋体" w:cs="宋体"/>
          <w:color w:val="auto"/>
          <w:spacing w:val="0"/>
          <w:kern w:val="0"/>
          <w:position w:val="0"/>
          <w:sz w:val="24"/>
          <w:szCs w:val="24"/>
          <w:highlight w:val="none"/>
          <w:lang w:val="en-US" w:eastAsia="zh-CN"/>
        </w:rPr>
        <w:t>甲方</w:t>
      </w:r>
      <w:r>
        <w:rPr>
          <w:rFonts w:hint="eastAsia" w:ascii="宋体" w:hAnsi="宋体" w:eastAsia="宋体" w:cs="宋体"/>
          <w:color w:val="auto"/>
          <w:spacing w:val="0"/>
          <w:kern w:val="0"/>
          <w:position w:val="0"/>
          <w:sz w:val="24"/>
          <w:szCs w:val="24"/>
          <w:highlight w:val="none"/>
        </w:rPr>
        <w:t>支付合同总金额的</w:t>
      </w:r>
      <w:r>
        <w:rPr>
          <w:rFonts w:hint="eastAsia"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w:t>
      </w:r>
      <w:r>
        <w:rPr>
          <w:rFonts w:hint="eastAsia" w:ascii="宋体" w:hAnsi="宋体" w:eastAsia="宋体" w:cs="宋体"/>
          <w:color w:val="auto"/>
          <w:spacing w:val="0"/>
          <w:kern w:val="0"/>
          <w:position w:val="0"/>
          <w:sz w:val="24"/>
          <w:szCs w:val="24"/>
          <w:highlight w:val="none"/>
          <w:lang w:val="en-US" w:eastAsia="zh-CN"/>
        </w:rPr>
        <w:t>作为预付款</w:t>
      </w:r>
      <w:r>
        <w:rPr>
          <w:rFonts w:hint="eastAsia" w:ascii="宋体" w:hAnsi="宋体" w:eastAsia="宋体" w:cs="宋体"/>
          <w:color w:val="auto"/>
          <w:spacing w:val="0"/>
          <w:kern w:val="0"/>
          <w:position w:val="0"/>
          <w:sz w:val="24"/>
          <w:szCs w:val="24"/>
          <w:highlight w:val="none"/>
        </w:rPr>
        <w:t>，</w:t>
      </w:r>
      <w:r>
        <w:rPr>
          <w:rFonts w:ascii="宋体" w:hAnsi="宋体" w:eastAsia="宋体" w:cs="宋体"/>
          <w:color w:val="auto"/>
          <w:spacing w:val="0"/>
          <w:kern w:val="0"/>
          <w:position w:val="0"/>
          <w:sz w:val="24"/>
          <w:szCs w:val="24"/>
          <w:highlight w:val="none"/>
        </w:rPr>
        <w:t xml:space="preserve">即人民币 </w:t>
      </w:r>
      <w:r>
        <w:rPr>
          <w:rFonts w:ascii="宋体" w:hAnsi="宋体" w:eastAsia="宋体" w:cs="宋体"/>
          <w:color w:val="auto"/>
          <w:spacing w:val="0"/>
          <w:kern w:val="0"/>
          <w:position w:val="0"/>
          <w:sz w:val="24"/>
          <w:szCs w:val="24"/>
          <w:highlight w:val="none"/>
          <w:u w:val="single" w:color="auto"/>
        </w:rPr>
        <w:t xml:space="preserve">    </w:t>
      </w:r>
      <w:r>
        <w:rPr>
          <w:rFonts w:ascii="宋体" w:hAnsi="宋体" w:eastAsia="宋体" w:cs="宋体"/>
          <w:color w:val="auto"/>
          <w:spacing w:val="0"/>
          <w:kern w:val="0"/>
          <w:position w:val="0"/>
          <w:sz w:val="24"/>
          <w:szCs w:val="24"/>
          <w:highlight w:val="none"/>
        </w:rPr>
        <w:t xml:space="preserve"> 元整(￥ </w:t>
      </w:r>
      <w:r>
        <w:rPr>
          <w:rFonts w:ascii="宋体" w:hAnsi="宋体" w:eastAsia="宋体" w:cs="宋体"/>
          <w:color w:val="auto"/>
          <w:spacing w:val="0"/>
          <w:kern w:val="0"/>
          <w:position w:val="0"/>
          <w:sz w:val="24"/>
          <w:szCs w:val="24"/>
          <w:highlight w:val="none"/>
          <w:u w:val="single" w:color="auto"/>
        </w:rPr>
        <w:t xml:space="preserve">      </w:t>
      </w:r>
      <w:r>
        <w:rPr>
          <w:rFonts w:ascii="宋体" w:hAnsi="宋体" w:eastAsia="宋体" w:cs="宋体"/>
          <w:color w:val="auto"/>
          <w:spacing w:val="0"/>
          <w:kern w:val="0"/>
          <w:position w:val="0"/>
          <w:sz w:val="24"/>
          <w:szCs w:val="24"/>
          <w:highlight w:val="none"/>
        </w:rPr>
        <w:t xml:space="preserve"> )</w:t>
      </w:r>
      <w:r>
        <w:rPr>
          <w:rFonts w:hint="eastAsia" w:ascii="宋体" w:hAnsi="宋体" w:eastAsia="宋体" w:cs="宋体"/>
          <w:color w:val="auto"/>
          <w:spacing w:val="0"/>
          <w:kern w:val="0"/>
          <w:position w:val="0"/>
          <w:sz w:val="24"/>
          <w:szCs w:val="24"/>
          <w:highlight w:val="none"/>
          <w:lang w:eastAsia="zh-CN"/>
        </w:rPr>
        <w:t>，</w:t>
      </w:r>
      <w:r>
        <w:rPr>
          <w:rFonts w:hint="eastAsia" w:ascii="宋体" w:hAnsi="宋体" w:eastAsia="宋体" w:cs="宋体"/>
          <w:color w:val="auto"/>
          <w:spacing w:val="0"/>
          <w:kern w:val="0"/>
          <w:position w:val="0"/>
          <w:sz w:val="24"/>
          <w:szCs w:val="24"/>
          <w:highlight w:val="none"/>
        </w:rPr>
        <w:t>同时</w:t>
      </w:r>
      <w:r>
        <w:rPr>
          <w:rFonts w:ascii="宋体" w:hAnsi="宋体" w:eastAsia="宋体" w:cs="宋体"/>
          <w:color w:val="auto"/>
          <w:spacing w:val="0"/>
          <w:kern w:val="0"/>
          <w:position w:val="0"/>
          <w:sz w:val="24"/>
          <w:szCs w:val="24"/>
          <w:highlight w:val="none"/>
        </w:rPr>
        <w:t>乙方</w:t>
      </w:r>
      <w:r>
        <w:rPr>
          <w:rFonts w:hint="eastAsia" w:ascii="宋体" w:hAnsi="宋体" w:eastAsia="宋体" w:cs="宋体"/>
          <w:color w:val="auto"/>
          <w:spacing w:val="0"/>
          <w:kern w:val="0"/>
          <w:position w:val="0"/>
          <w:sz w:val="24"/>
          <w:szCs w:val="24"/>
          <w:highlight w:val="none"/>
        </w:rPr>
        <w:t>需向</w:t>
      </w:r>
      <w:r>
        <w:rPr>
          <w:rFonts w:hint="eastAsia" w:ascii="宋体" w:hAnsi="宋体" w:eastAsia="宋体" w:cs="宋体"/>
          <w:color w:val="auto"/>
          <w:spacing w:val="0"/>
          <w:kern w:val="0"/>
          <w:position w:val="0"/>
          <w:sz w:val="24"/>
          <w:szCs w:val="24"/>
          <w:highlight w:val="none"/>
          <w:lang w:val="en-US" w:eastAsia="zh-CN"/>
        </w:rPr>
        <w:t>甲方</w:t>
      </w:r>
      <w:r>
        <w:rPr>
          <w:rFonts w:hint="eastAsia" w:ascii="宋体" w:hAnsi="宋体" w:eastAsia="宋体" w:cs="宋体"/>
          <w:color w:val="auto"/>
          <w:spacing w:val="0"/>
          <w:kern w:val="0"/>
          <w:position w:val="0"/>
          <w:sz w:val="24"/>
          <w:szCs w:val="24"/>
          <w:highlight w:val="none"/>
        </w:rPr>
        <w:t>提供</w:t>
      </w:r>
      <w:r>
        <w:rPr>
          <w:rFonts w:hint="eastAsia" w:ascii="宋体" w:hAnsi="宋体" w:eastAsia="宋体" w:cs="宋体"/>
          <w:color w:val="auto"/>
          <w:spacing w:val="0"/>
          <w:kern w:val="0"/>
          <w:position w:val="0"/>
          <w:sz w:val="24"/>
          <w:szCs w:val="24"/>
          <w:highlight w:val="none"/>
          <w:lang w:val="en-US" w:eastAsia="zh-CN"/>
        </w:rPr>
        <w:t>符合要求的</w:t>
      </w:r>
      <w:r>
        <w:rPr>
          <w:rFonts w:hint="eastAsia" w:ascii="宋体" w:hAnsi="宋体" w:eastAsia="宋体" w:cs="宋体"/>
          <w:color w:val="auto"/>
          <w:spacing w:val="0"/>
          <w:kern w:val="0"/>
          <w:position w:val="0"/>
          <w:sz w:val="24"/>
          <w:szCs w:val="24"/>
          <w:highlight w:val="none"/>
        </w:rPr>
        <w:t>发票并且</w:t>
      </w:r>
      <w:r>
        <w:rPr>
          <w:rFonts w:hint="eastAsia" w:ascii="宋体" w:hAnsi="宋体" w:eastAsia="宋体" w:cs="宋体"/>
          <w:color w:val="auto"/>
          <w:spacing w:val="0"/>
          <w:kern w:val="0"/>
          <w:position w:val="0"/>
          <w:sz w:val="24"/>
          <w:szCs w:val="24"/>
          <w:highlight w:val="none"/>
          <w:lang w:val="en-US" w:eastAsia="zh-CN"/>
        </w:rPr>
        <w:t>按合同总价的</w:t>
      </w:r>
      <w:r>
        <w:rPr>
          <w:rFonts w:hint="eastAsia" w:ascii="宋体" w:hAnsi="宋体" w:eastAsia="宋体" w:cs="宋体"/>
          <w:color w:val="auto"/>
          <w:spacing w:val="0"/>
          <w:kern w:val="0"/>
          <w:position w:val="0"/>
          <w:sz w:val="24"/>
          <w:szCs w:val="24"/>
          <w:highlight w:val="none"/>
          <w:u w:val="single"/>
          <w:lang w:val="en-US" w:eastAsia="zh-CN"/>
        </w:rPr>
        <w:t xml:space="preserve"> </w:t>
      </w:r>
      <w:r>
        <w:rPr>
          <w:rFonts w:hint="eastAsia" w:cs="宋体"/>
          <w:color w:val="auto"/>
          <w:spacing w:val="0"/>
          <w:kern w:val="0"/>
          <w:position w:val="0"/>
          <w:sz w:val="24"/>
          <w:szCs w:val="24"/>
          <w:highlight w:val="none"/>
          <w:u w:val="single"/>
          <w:lang w:val="en-US" w:eastAsia="zh-CN"/>
        </w:rPr>
        <w:t xml:space="preserve">  </w:t>
      </w:r>
      <w:r>
        <w:rPr>
          <w:rFonts w:hint="eastAsia" w:ascii="宋体" w:hAnsi="宋体" w:eastAsia="宋体" w:cs="宋体"/>
          <w:color w:val="auto"/>
          <w:spacing w:val="0"/>
          <w:kern w:val="0"/>
          <w:position w:val="0"/>
          <w:sz w:val="24"/>
          <w:szCs w:val="24"/>
          <w:highlight w:val="none"/>
          <w:u w:val="single"/>
          <w:lang w:val="en-US" w:eastAsia="zh-CN"/>
        </w:rPr>
        <w:t xml:space="preserve">% </w:t>
      </w:r>
      <w:r>
        <w:rPr>
          <w:rFonts w:hint="eastAsia" w:ascii="宋体" w:hAnsi="宋体" w:eastAsia="宋体" w:cs="宋体"/>
          <w:color w:val="auto"/>
          <w:spacing w:val="0"/>
          <w:kern w:val="0"/>
          <w:position w:val="0"/>
          <w:sz w:val="24"/>
          <w:szCs w:val="24"/>
          <w:highlight w:val="none"/>
        </w:rPr>
        <w:t>提供银行履约保函（一年期）</w:t>
      </w:r>
      <w:r>
        <w:rPr>
          <w:rFonts w:hint="eastAsia" w:ascii="宋体" w:hAnsi="宋体" w:eastAsia="宋体" w:cs="宋体"/>
          <w:color w:val="auto"/>
          <w:spacing w:val="0"/>
          <w:kern w:val="0"/>
          <w:position w:val="0"/>
          <w:sz w:val="24"/>
          <w:szCs w:val="24"/>
          <w:highlight w:val="none"/>
          <w:lang w:eastAsia="zh-CN"/>
        </w:rPr>
        <w:t>，</w:t>
      </w:r>
      <w:r>
        <w:rPr>
          <w:rFonts w:hint="eastAsia" w:ascii="宋体" w:hAnsi="宋体" w:eastAsia="宋体" w:cs="宋体"/>
          <w:color w:val="auto"/>
          <w:spacing w:val="0"/>
          <w:kern w:val="0"/>
          <w:position w:val="0"/>
          <w:sz w:val="24"/>
          <w:szCs w:val="24"/>
          <w:highlight w:val="none"/>
          <w:lang w:val="en-US" w:eastAsia="zh-CN"/>
        </w:rPr>
        <w:t>履约保证金的形式包括：电子保函或现金、支票形式。</w:t>
      </w:r>
    </w:p>
    <w:p w14:paraId="30EECD1F">
      <w:pPr>
        <w:keepNext w:val="0"/>
        <w:keepLines w:val="0"/>
        <w:pageBreakBefore w:val="0"/>
        <w:widowControl/>
        <w:tabs>
          <w:tab w:val="left" w:pos="125"/>
        </w:tabs>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rPr>
        <w:t>2.</w:t>
      </w:r>
      <w:r>
        <w:rPr>
          <w:rFonts w:ascii="宋体" w:hAnsi="宋体" w:eastAsia="宋体" w:cs="宋体"/>
          <w:color w:val="auto"/>
          <w:spacing w:val="0"/>
          <w:kern w:val="0"/>
          <w:position w:val="0"/>
          <w:sz w:val="24"/>
          <w:szCs w:val="24"/>
          <w:highlight w:val="none"/>
        </w:rPr>
        <w:t>乙方</w:t>
      </w:r>
      <w:r>
        <w:rPr>
          <w:rFonts w:hint="eastAsia" w:ascii="宋体" w:hAnsi="宋体" w:eastAsia="宋体" w:cs="宋体"/>
          <w:color w:val="auto"/>
          <w:spacing w:val="0"/>
          <w:kern w:val="0"/>
          <w:position w:val="0"/>
          <w:sz w:val="24"/>
          <w:szCs w:val="24"/>
          <w:highlight w:val="none"/>
          <w:lang w:val="en-US" w:eastAsia="zh-CN"/>
        </w:rPr>
        <w:t>提交咨询论证成果</w:t>
      </w:r>
      <w:r>
        <w:rPr>
          <w:rFonts w:ascii="宋体" w:hAnsi="宋体" w:eastAsia="宋体" w:cs="宋体"/>
          <w:color w:val="auto"/>
          <w:spacing w:val="0"/>
          <w:kern w:val="0"/>
          <w:position w:val="0"/>
          <w:sz w:val="24"/>
          <w:szCs w:val="24"/>
          <w:highlight w:val="none"/>
        </w:rPr>
        <w:t>并经甲方确认后，乙方开具符合甲方要求的增值税专用发票，甲方在收到发票后</w:t>
      </w:r>
      <w:r>
        <w:rPr>
          <w:rFonts w:ascii="宋体" w:hAnsi="宋体" w:eastAsia="宋体" w:cs="宋体"/>
          <w:color w:val="auto"/>
          <w:spacing w:val="0"/>
          <w:kern w:val="0"/>
          <w:position w:val="0"/>
          <w:sz w:val="24"/>
          <w:szCs w:val="24"/>
          <w:highlight w:val="none"/>
          <w:u w:val="none"/>
        </w:rPr>
        <w:t>10</w:t>
      </w:r>
      <w:r>
        <w:rPr>
          <w:rFonts w:hint="eastAsia" w:ascii="宋体" w:hAnsi="宋体" w:eastAsia="宋体" w:cs="宋体"/>
          <w:color w:val="auto"/>
          <w:spacing w:val="0"/>
          <w:kern w:val="0"/>
          <w:position w:val="0"/>
          <w:sz w:val="24"/>
          <w:szCs w:val="24"/>
          <w:highlight w:val="none"/>
          <w:lang w:val="en-US" w:eastAsia="zh-CN"/>
        </w:rPr>
        <w:t>个工</w:t>
      </w:r>
      <w:r>
        <w:rPr>
          <w:rFonts w:ascii="宋体" w:hAnsi="宋体" w:eastAsia="宋体" w:cs="宋体"/>
          <w:color w:val="auto"/>
          <w:spacing w:val="0"/>
          <w:kern w:val="0"/>
          <w:position w:val="0"/>
          <w:sz w:val="24"/>
          <w:szCs w:val="24"/>
          <w:highlight w:val="none"/>
        </w:rPr>
        <w:t>作日内支付</w:t>
      </w:r>
      <w:r>
        <w:rPr>
          <w:rFonts w:hint="eastAsia" w:ascii="宋体" w:hAnsi="宋体" w:eastAsia="宋体" w:cs="宋体"/>
          <w:color w:val="auto"/>
          <w:spacing w:val="0"/>
          <w:kern w:val="0"/>
          <w:position w:val="0"/>
          <w:sz w:val="24"/>
          <w:szCs w:val="24"/>
          <w:highlight w:val="none"/>
          <w:lang w:val="en-US" w:eastAsia="zh-CN"/>
        </w:rPr>
        <w:t>至</w:t>
      </w:r>
      <w:r>
        <w:rPr>
          <w:rFonts w:ascii="宋体" w:hAnsi="宋体" w:eastAsia="宋体" w:cs="宋体"/>
          <w:color w:val="auto"/>
          <w:spacing w:val="0"/>
          <w:kern w:val="0"/>
          <w:position w:val="0"/>
          <w:sz w:val="24"/>
          <w:szCs w:val="24"/>
          <w:highlight w:val="none"/>
        </w:rPr>
        <w:t>合同总</w:t>
      </w:r>
      <w:r>
        <w:rPr>
          <w:rFonts w:hint="eastAsia" w:ascii="宋体" w:hAnsi="宋体" w:eastAsia="宋体" w:cs="宋体"/>
          <w:color w:val="auto"/>
          <w:spacing w:val="0"/>
          <w:kern w:val="0"/>
          <w:position w:val="0"/>
          <w:sz w:val="24"/>
          <w:szCs w:val="24"/>
          <w:highlight w:val="none"/>
          <w:lang w:val="en-US" w:eastAsia="zh-CN"/>
        </w:rPr>
        <w:t>额的</w:t>
      </w:r>
      <w:r>
        <w:rPr>
          <w:rFonts w:hint="eastAsia" w:ascii="宋体" w:hAnsi="宋体" w:eastAsia="宋体" w:cs="宋体"/>
          <w:color w:val="auto"/>
          <w:spacing w:val="0"/>
          <w:kern w:val="0"/>
          <w:position w:val="0"/>
          <w:sz w:val="24"/>
          <w:szCs w:val="24"/>
          <w:highlight w:val="none"/>
          <w:u w:val="single"/>
          <w:lang w:val="en-US" w:eastAsia="zh-CN"/>
        </w:rPr>
        <w:t xml:space="preserve"> 10</w:t>
      </w:r>
      <w:r>
        <w:rPr>
          <w:rFonts w:ascii="宋体" w:hAnsi="宋体" w:eastAsia="宋体" w:cs="宋体"/>
          <w:color w:val="auto"/>
          <w:spacing w:val="0"/>
          <w:kern w:val="0"/>
          <w:position w:val="0"/>
          <w:sz w:val="24"/>
          <w:szCs w:val="24"/>
          <w:highlight w:val="none"/>
          <w:u w:val="single"/>
        </w:rPr>
        <w:t>0%</w:t>
      </w:r>
      <w:r>
        <w:rPr>
          <w:rFonts w:hint="eastAsia" w:ascii="宋体" w:hAnsi="宋体" w:eastAsia="宋体" w:cs="宋体"/>
          <w:color w:val="auto"/>
          <w:spacing w:val="0"/>
          <w:kern w:val="0"/>
          <w:position w:val="0"/>
          <w:sz w:val="24"/>
          <w:szCs w:val="24"/>
          <w:highlight w:val="none"/>
          <w:u w:val="single"/>
          <w:lang w:val="en-US" w:eastAsia="zh-CN"/>
        </w:rPr>
        <w:t xml:space="preserve"> </w:t>
      </w:r>
      <w:r>
        <w:rPr>
          <w:rFonts w:ascii="宋体" w:hAnsi="宋体" w:eastAsia="宋体" w:cs="宋体"/>
          <w:color w:val="auto"/>
          <w:spacing w:val="0"/>
          <w:kern w:val="0"/>
          <w:position w:val="0"/>
          <w:sz w:val="24"/>
          <w:szCs w:val="24"/>
          <w:highlight w:val="none"/>
        </w:rPr>
        <w:t xml:space="preserve">，即人民币 </w:t>
      </w:r>
      <w:r>
        <w:rPr>
          <w:rFonts w:ascii="宋体" w:hAnsi="宋体" w:eastAsia="宋体" w:cs="宋体"/>
          <w:color w:val="auto"/>
          <w:spacing w:val="0"/>
          <w:kern w:val="0"/>
          <w:position w:val="0"/>
          <w:sz w:val="24"/>
          <w:szCs w:val="24"/>
          <w:highlight w:val="none"/>
          <w:u w:val="single" w:color="auto"/>
        </w:rPr>
        <w:t xml:space="preserve">    </w:t>
      </w:r>
      <w:r>
        <w:rPr>
          <w:rFonts w:ascii="宋体" w:hAnsi="宋体" w:eastAsia="宋体" w:cs="宋体"/>
          <w:color w:val="auto"/>
          <w:spacing w:val="0"/>
          <w:kern w:val="0"/>
          <w:position w:val="0"/>
          <w:sz w:val="24"/>
          <w:szCs w:val="24"/>
          <w:highlight w:val="none"/>
        </w:rPr>
        <w:t xml:space="preserve"> 元整(￥ </w:t>
      </w:r>
      <w:r>
        <w:rPr>
          <w:rFonts w:ascii="宋体" w:hAnsi="宋体" w:eastAsia="宋体" w:cs="宋体"/>
          <w:color w:val="auto"/>
          <w:spacing w:val="0"/>
          <w:kern w:val="0"/>
          <w:position w:val="0"/>
          <w:sz w:val="24"/>
          <w:szCs w:val="24"/>
          <w:highlight w:val="none"/>
          <w:u w:val="single" w:color="auto"/>
        </w:rPr>
        <w:t xml:space="preserve">      </w:t>
      </w:r>
      <w:r>
        <w:rPr>
          <w:rFonts w:ascii="宋体" w:hAnsi="宋体" w:eastAsia="宋体" w:cs="宋体"/>
          <w:color w:val="auto"/>
          <w:spacing w:val="0"/>
          <w:kern w:val="0"/>
          <w:position w:val="0"/>
          <w:sz w:val="24"/>
          <w:szCs w:val="24"/>
          <w:highlight w:val="none"/>
        </w:rPr>
        <w:t xml:space="preserve"> )。</w:t>
      </w:r>
    </w:p>
    <w:p w14:paraId="510200A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rPr>
        <w:t>3.</w:t>
      </w:r>
      <w:r>
        <w:rPr>
          <w:rFonts w:ascii="宋体" w:hAnsi="宋体" w:eastAsia="宋体" w:cs="宋体"/>
          <w:color w:val="auto"/>
          <w:spacing w:val="0"/>
          <w:kern w:val="0"/>
          <w:position w:val="0"/>
          <w:sz w:val="24"/>
          <w:szCs w:val="24"/>
          <w:highlight w:val="none"/>
        </w:rPr>
        <w:t>在合同有效期内，如甲方不认可乙方阶段性交付成果，或乙方提供的有关报告、数据、资料等文件出现错误或遗漏，甲方有权提出修改意见，乙方应负责返工、修改直至甲方认可，但返工、修改次数累计不得超过三次，每次返工、修改应在甲方提出意见后五个工作日内完成。如超过次数或时限仍未达到甲方认可，甲方有权解除合同并要求乙方退还已支付费用及赔偿全部损失。如果经乙方【</w:t>
      </w:r>
      <w:r>
        <w:rPr>
          <w:rFonts w:hint="eastAsia" w:ascii="宋体" w:hAnsi="宋体" w:eastAsia="宋体" w:cs="宋体"/>
          <w:color w:val="auto"/>
          <w:spacing w:val="0"/>
          <w:kern w:val="0"/>
          <w:position w:val="0"/>
          <w:sz w:val="24"/>
          <w:szCs w:val="24"/>
          <w:highlight w:val="none"/>
          <w:lang w:val="en-US" w:eastAsia="zh-CN"/>
        </w:rPr>
        <w:t>3</w:t>
      </w:r>
      <w:r>
        <w:rPr>
          <w:rFonts w:ascii="宋体" w:hAnsi="宋体" w:eastAsia="宋体" w:cs="宋体"/>
          <w:color w:val="auto"/>
          <w:spacing w:val="0"/>
          <w:kern w:val="0"/>
          <w:position w:val="0"/>
          <w:sz w:val="24"/>
          <w:szCs w:val="24"/>
          <w:highlight w:val="none"/>
        </w:rPr>
        <w:t>】次修改后的方案仍不能达到甲方满意，甲方有权中止合同或解除合同，并要求乙方退还已支付的费用、赔偿因此造 成的全部损失，同时停止支付本阶段及以后阶段款项。</w:t>
      </w:r>
    </w:p>
    <w:p w14:paraId="7DF65A1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2"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b/>
          <w:bCs/>
          <w:color w:val="auto"/>
          <w:spacing w:val="0"/>
          <w:kern w:val="0"/>
          <w:position w:val="0"/>
          <w:sz w:val="24"/>
          <w:szCs w:val="24"/>
          <w:highlight w:val="none"/>
        </w:rPr>
        <w:t>第六条</w:t>
      </w:r>
      <w:r>
        <w:rPr>
          <w:rFonts w:ascii="宋体" w:hAnsi="宋体" w:eastAsia="宋体" w:cs="宋体"/>
          <w:color w:val="auto"/>
          <w:spacing w:val="0"/>
          <w:kern w:val="0"/>
          <w:position w:val="0"/>
          <w:sz w:val="24"/>
          <w:szCs w:val="24"/>
          <w:highlight w:val="none"/>
        </w:rPr>
        <w:t xml:space="preserve">  </w:t>
      </w:r>
      <w:r>
        <w:rPr>
          <w:rFonts w:ascii="宋体" w:hAnsi="宋体" w:eastAsia="宋体" w:cs="宋体"/>
          <w:b/>
          <w:bCs/>
          <w:color w:val="auto"/>
          <w:spacing w:val="0"/>
          <w:kern w:val="0"/>
          <w:position w:val="0"/>
          <w:sz w:val="24"/>
          <w:szCs w:val="24"/>
          <w:highlight w:val="none"/>
        </w:rPr>
        <w:t>交付与验收</w:t>
      </w:r>
    </w:p>
    <w:p w14:paraId="58AC3A7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双方确定，按以下标准和方式对乙方提交的咨询成果进行验收：</w:t>
      </w:r>
    </w:p>
    <w:p w14:paraId="7ACA2149">
      <w:pPr>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交付内容</w:t>
      </w:r>
    </w:p>
    <w:p w14:paraId="20696FA0">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200" w:right="0" w:rightChars="0"/>
        <w:textAlignment w:val="baseline"/>
        <w:rPr>
          <w:rFonts w:hint="default" w:ascii="宋体" w:hAnsi="宋体" w:eastAsia="宋体" w:cs="宋体"/>
          <w:color w:val="auto"/>
          <w:spacing w:val="0"/>
          <w:kern w:val="0"/>
          <w:position w:val="0"/>
          <w:sz w:val="24"/>
          <w:szCs w:val="24"/>
          <w:highlight w:val="none"/>
          <w:u w:val="single"/>
          <w:lang w:val="en-US" w:eastAsia="zh-CN"/>
        </w:rPr>
      </w:pPr>
      <w:r>
        <w:rPr>
          <w:rFonts w:hint="eastAsia" w:ascii="宋体" w:hAnsi="宋体" w:eastAsia="宋体" w:cs="宋体"/>
          <w:color w:val="auto"/>
          <w:spacing w:val="0"/>
          <w:kern w:val="0"/>
          <w:position w:val="0"/>
          <w:sz w:val="24"/>
          <w:szCs w:val="24"/>
          <w:highlight w:val="none"/>
          <w:u w:val="single"/>
          <w:lang w:val="en-US" w:eastAsia="zh-CN"/>
        </w:rPr>
        <w:t xml:space="preserve">                            </w:t>
      </w:r>
    </w:p>
    <w:p w14:paraId="3607B2BD">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（二）交付的形式、数量、时间及地点</w:t>
      </w:r>
    </w:p>
    <w:p w14:paraId="00B3378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default" w:ascii="宋体" w:hAnsi="宋体" w:eastAsia="宋体" w:cs="宋体"/>
          <w:color w:val="auto"/>
          <w:spacing w:val="0"/>
          <w:kern w:val="0"/>
          <w:position w:val="0"/>
          <w:sz w:val="24"/>
          <w:szCs w:val="24"/>
          <w:highlight w:val="none"/>
          <w:u w:val="single"/>
          <w:lang w:val="en-US" w:eastAsia="zh-CN"/>
        </w:rPr>
      </w:pPr>
      <w:r>
        <w:rPr>
          <w:rFonts w:hint="eastAsia" w:ascii="宋体" w:hAnsi="宋体" w:eastAsia="宋体" w:cs="宋体"/>
          <w:color w:val="auto"/>
          <w:spacing w:val="0"/>
          <w:kern w:val="0"/>
          <w:position w:val="0"/>
          <w:sz w:val="24"/>
          <w:szCs w:val="24"/>
          <w:highlight w:val="none"/>
          <w:u w:val="single"/>
          <w:lang w:val="en-US" w:eastAsia="zh-CN"/>
        </w:rPr>
        <w:t xml:space="preserve">                            </w:t>
      </w:r>
    </w:p>
    <w:p w14:paraId="61CA50D8">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（三）成果验收</w:t>
      </w:r>
    </w:p>
    <w:p w14:paraId="66D733DE">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color w:val="auto"/>
          <w:highlight w:val="none"/>
        </w:rPr>
      </w:pPr>
      <w:r>
        <w:rPr>
          <w:rFonts w:ascii="宋体" w:hAnsi="宋体" w:eastAsia="宋体" w:cs="宋体"/>
          <w:color w:val="auto"/>
          <w:spacing w:val="0"/>
          <w:kern w:val="0"/>
          <w:position w:val="0"/>
          <w:szCs w:val="24"/>
          <w:highlight w:val="none"/>
        </w:rPr>
        <w:t>甲方按评审方式对乙方完成的咨询成果进行验收，验收合格的，出具书面的咨询</w:t>
      </w:r>
      <w:r>
        <w:rPr>
          <w:color w:val="auto"/>
          <w:highlight w:val="none"/>
        </w:rPr>
        <w:t>成果完成证明。项目验收标准应至少包含以下要素：成果文件符合国家及地方相关政策法规</w:t>
      </w:r>
      <w:r>
        <w:rPr>
          <w:rFonts w:hint="eastAsia"/>
          <w:color w:val="auto"/>
          <w:highlight w:val="none"/>
          <w:lang w:eastAsia="zh-CN"/>
        </w:rPr>
        <w:t>、</w:t>
      </w:r>
      <w:r>
        <w:rPr>
          <w:color w:val="auto"/>
          <w:highlight w:val="none"/>
        </w:rPr>
        <w:t>项目谋划方案具备可实施性</w:t>
      </w:r>
      <w:r>
        <w:rPr>
          <w:rFonts w:hint="eastAsia"/>
          <w:color w:val="auto"/>
          <w:highlight w:val="none"/>
          <w:lang w:eastAsia="zh-CN"/>
        </w:rPr>
        <w:t>、</w:t>
      </w:r>
      <w:r>
        <w:rPr>
          <w:color w:val="auto"/>
          <w:highlight w:val="none"/>
        </w:rPr>
        <w:t>资源评估数据误差率不超过3%</w:t>
      </w:r>
      <w:r>
        <w:rPr>
          <w:rFonts w:hint="eastAsia"/>
          <w:color w:val="auto"/>
          <w:highlight w:val="none"/>
          <w:lang w:eastAsia="zh-CN"/>
        </w:rPr>
        <w:t>、</w:t>
      </w:r>
      <w:r>
        <w:rPr>
          <w:color w:val="auto"/>
          <w:highlight w:val="none"/>
        </w:rPr>
        <w:t>申报对接服务覆盖全部重点项目。</w:t>
      </w:r>
    </w:p>
    <w:p w14:paraId="1929F6A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ascii="宋体" w:hAnsi="宋体" w:eastAsia="宋体" w:cs="宋体"/>
          <w:color w:val="auto"/>
          <w:spacing w:val="0"/>
          <w:kern w:val="0"/>
          <w:position w:val="0"/>
          <w:szCs w:val="24"/>
          <w:highlight w:val="none"/>
        </w:rPr>
      </w:pPr>
      <w:r>
        <w:rPr>
          <w:color w:val="auto"/>
          <w:highlight w:val="none"/>
        </w:rPr>
        <w:t>甲方按评审方式对乙方完成的咨询成果进行验收，验收合格的，出具书面的咨询成果完成证明。验收标准包括但不限于：政策契合度不低于90%、项目可行性论证完整</w:t>
      </w:r>
      <w:r>
        <w:rPr>
          <w:rFonts w:ascii="宋体" w:hAnsi="宋体" w:eastAsia="宋体" w:cs="宋体"/>
          <w:color w:val="auto"/>
          <w:spacing w:val="0"/>
          <w:kern w:val="0"/>
          <w:position w:val="0"/>
          <w:szCs w:val="24"/>
          <w:highlight w:val="none"/>
        </w:rPr>
        <w:t>度100%、申报材料形式审查通过率指标。</w:t>
      </w:r>
    </w:p>
    <w:p w14:paraId="1719128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在合同约定的验收期内因乙方原因不具备验收条件的或验收不合格的，经甲方同意可以给予乙方</w:t>
      </w:r>
      <w:r>
        <w:rPr>
          <w:rFonts w:hint="eastAsia" w:ascii="宋体" w:hAnsi="宋体" w:eastAsia="宋体" w:cs="宋体"/>
          <w:color w:val="auto"/>
          <w:spacing w:val="0"/>
          <w:kern w:val="0"/>
          <w:position w:val="0"/>
          <w:sz w:val="24"/>
          <w:szCs w:val="24"/>
          <w:highlight w:val="none"/>
          <w:u w:val="single"/>
          <w:lang w:val="en-US" w:eastAsia="zh-CN"/>
        </w:rPr>
        <w:t xml:space="preserve"> </w:t>
      </w:r>
      <w:r>
        <w:rPr>
          <w:rFonts w:hint="eastAsia" w:ascii="宋体" w:hAnsi="宋体" w:eastAsia="宋体" w:cs="宋体"/>
          <w:color w:val="auto"/>
          <w:spacing w:val="0"/>
          <w:kern w:val="0"/>
          <w:position w:val="0"/>
          <w:sz w:val="24"/>
          <w:szCs w:val="24"/>
          <w:highlight w:val="none"/>
          <w:u w:val="single" w:color="auto"/>
          <w:lang w:val="en-US" w:eastAsia="zh-CN"/>
        </w:rPr>
        <w:t xml:space="preserve">90 </w:t>
      </w:r>
      <w:r>
        <w:rPr>
          <w:rFonts w:ascii="宋体" w:hAnsi="宋体" w:eastAsia="宋体" w:cs="宋体"/>
          <w:color w:val="auto"/>
          <w:spacing w:val="0"/>
          <w:kern w:val="0"/>
          <w:position w:val="0"/>
          <w:sz w:val="24"/>
          <w:szCs w:val="24"/>
          <w:highlight w:val="none"/>
        </w:rPr>
        <w:t>天的宽限期进行完善和修正。乙方逾期交付成果的，每逾期一日，按合同总价的千分之五向甲方支付违约金，并赔偿甲方因此遭受的全部损失。在宽限期内验收合格的，不视为违约；宽限期满仍不具备验收条件或验收不合格的，按第九条“违约责任”处理。因甲方工作推进问题造成的项目延期，由甲方承担延期责任。</w:t>
      </w:r>
    </w:p>
    <w:p w14:paraId="43C59EDF">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2"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b/>
          <w:bCs/>
          <w:color w:val="auto"/>
          <w:spacing w:val="0"/>
          <w:kern w:val="0"/>
          <w:position w:val="0"/>
          <w:sz w:val="24"/>
          <w:szCs w:val="24"/>
          <w:highlight w:val="none"/>
        </w:rPr>
        <w:t>第七条</w:t>
      </w:r>
      <w:r>
        <w:rPr>
          <w:rFonts w:ascii="宋体" w:hAnsi="宋体" w:eastAsia="宋体" w:cs="宋体"/>
          <w:color w:val="auto"/>
          <w:spacing w:val="0"/>
          <w:kern w:val="0"/>
          <w:position w:val="0"/>
          <w:sz w:val="24"/>
          <w:szCs w:val="24"/>
          <w:highlight w:val="none"/>
        </w:rPr>
        <w:t xml:space="preserve">  </w:t>
      </w:r>
      <w:r>
        <w:rPr>
          <w:rFonts w:ascii="宋体" w:hAnsi="宋体" w:eastAsia="宋体" w:cs="宋体"/>
          <w:b/>
          <w:bCs/>
          <w:color w:val="auto"/>
          <w:spacing w:val="0"/>
          <w:kern w:val="0"/>
          <w:position w:val="0"/>
          <w:sz w:val="24"/>
          <w:szCs w:val="24"/>
          <w:highlight w:val="none"/>
        </w:rPr>
        <w:t>知识产权使用及归属</w:t>
      </w:r>
    </w:p>
    <w:p w14:paraId="5FBC900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乙方应保证在本项目使用的任何产品和服务（包括部分使用）时，不会产生因第三方提出侵犯其专利权、商标权或其它知识产权而引起的法律和经济纠纷，如因专利权、商标权或其它知识产权而引起法律和经济纠纷，由乙方承担所有相关责任。</w:t>
      </w:r>
    </w:p>
    <w:p w14:paraId="3BA1840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本合同所约定实现的阶段性成果及最终成果及由上述成果产生的知识产权，包括但不限于著作权、专利权、商标权、技术秘密等，在甲方支付相应报酬后，均归甲方独家所有，乙方仅享有署名权和保护作品完整权，不得以任何形式主张其他权利。乙方不得在同类业务中直接使用或变相使用本项目成果的核心框架与数据模型。乙方发表学术论文或行业报告涉及本项目成果的，须提前</w:t>
      </w:r>
      <w:r>
        <w:rPr>
          <w:rFonts w:ascii="宋体" w:hAnsi="宋体" w:eastAsia="宋体" w:cs="宋体"/>
          <w:color w:val="auto"/>
          <w:spacing w:val="0"/>
          <w:kern w:val="0"/>
          <w:position w:val="0"/>
          <w:sz w:val="24"/>
          <w:szCs w:val="24"/>
          <w:highlight w:val="none"/>
          <w:u w:val="single"/>
        </w:rPr>
        <w:t xml:space="preserve"> 30 </w:t>
      </w:r>
      <w:r>
        <w:rPr>
          <w:rFonts w:ascii="宋体" w:hAnsi="宋体" w:eastAsia="宋体" w:cs="宋体"/>
          <w:color w:val="auto"/>
          <w:spacing w:val="0"/>
          <w:kern w:val="0"/>
          <w:position w:val="0"/>
          <w:sz w:val="24"/>
          <w:szCs w:val="24"/>
          <w:highlight w:val="none"/>
        </w:rPr>
        <w:t>日提交甲方书面审核。未经甲方书面同意，乙方不得转让或许可第三方使用。</w:t>
      </w:r>
    </w:p>
    <w:p w14:paraId="0048C069">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乙方为履行本合同所使用的文字、美术、设计、图形、模型、软件等作品及商业标识，其著作权和商标权属于乙方或原权利人。甲方可以为实现合同目的及后续相关项目、衍生用途而复制、使用、传播、扩散或许可他人使用该等作品和标识，且在不违反国家法律法规的前提下，甲方有权合理利用相关成果，无需乙方另行授权。未经乙方事先书面同意，甲方不得将乙方原有独立知识产权用于与本合同无关的商业用途，乙方不得以任何理由限制甲方对成果的合理利用。</w:t>
      </w:r>
    </w:p>
    <w:p w14:paraId="0C9C059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因使用知识产权产生的费用包含在合同总价中，由乙方承担。</w:t>
      </w:r>
    </w:p>
    <w:p w14:paraId="576A279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2"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b/>
          <w:bCs/>
          <w:color w:val="auto"/>
          <w:spacing w:val="0"/>
          <w:kern w:val="0"/>
          <w:position w:val="0"/>
          <w:sz w:val="24"/>
          <w:szCs w:val="24"/>
          <w:highlight w:val="none"/>
        </w:rPr>
        <w:t>第八条</w:t>
      </w:r>
      <w:r>
        <w:rPr>
          <w:rFonts w:ascii="宋体" w:hAnsi="宋体" w:eastAsia="宋体" w:cs="宋体"/>
          <w:color w:val="auto"/>
          <w:spacing w:val="0"/>
          <w:kern w:val="0"/>
          <w:position w:val="0"/>
          <w:sz w:val="24"/>
          <w:szCs w:val="24"/>
          <w:highlight w:val="none"/>
        </w:rPr>
        <w:t xml:space="preserve"> </w:t>
      </w:r>
      <w:r>
        <w:rPr>
          <w:rFonts w:hint="eastAsia" w:ascii="宋体" w:hAnsi="宋体" w:eastAsia="宋体" w:cs="宋体"/>
          <w:color w:val="auto"/>
          <w:spacing w:val="0"/>
          <w:kern w:val="0"/>
          <w:position w:val="0"/>
          <w:sz w:val="24"/>
          <w:szCs w:val="24"/>
          <w:highlight w:val="none"/>
          <w:lang w:val="en-US" w:eastAsia="zh-CN"/>
        </w:rPr>
        <w:t xml:space="preserve"> </w:t>
      </w:r>
      <w:r>
        <w:rPr>
          <w:rFonts w:ascii="宋体" w:hAnsi="宋体" w:eastAsia="宋体" w:cs="宋体"/>
          <w:b/>
          <w:bCs/>
          <w:color w:val="auto"/>
          <w:spacing w:val="0"/>
          <w:kern w:val="0"/>
          <w:position w:val="0"/>
          <w:sz w:val="24"/>
          <w:szCs w:val="24"/>
          <w:highlight w:val="none"/>
        </w:rPr>
        <w:t>保密要求</w:t>
      </w:r>
    </w:p>
    <w:p w14:paraId="14C42BC2">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本项目密级为</w:t>
      </w:r>
      <w:r>
        <w:rPr>
          <w:rFonts w:ascii="宋体" w:hAnsi="宋体" w:eastAsia="宋体" w:cs="宋体"/>
          <w:color w:val="auto"/>
          <w:spacing w:val="0"/>
          <w:kern w:val="0"/>
          <w:position w:val="0"/>
          <w:sz w:val="24"/>
          <w:szCs w:val="24"/>
          <w:highlight w:val="none"/>
          <w:u w:val="single" w:color="auto"/>
        </w:rPr>
        <w:t xml:space="preserve"> 商密 </w:t>
      </w:r>
      <w:r>
        <w:rPr>
          <w:rFonts w:ascii="宋体" w:hAnsi="宋体" w:eastAsia="宋体" w:cs="宋体"/>
          <w:color w:val="auto"/>
          <w:spacing w:val="0"/>
          <w:kern w:val="0"/>
          <w:position w:val="0"/>
          <w:sz w:val="24"/>
          <w:szCs w:val="24"/>
          <w:highlight w:val="none"/>
        </w:rPr>
        <w:t>级，甲乙双方均应采取以下措施对知悉或可能知悉的国家秘密予以严密保守：</w:t>
      </w:r>
    </w:p>
    <w:p w14:paraId="49CEFA17">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（一）甲乙双方关于本项目的相关信息，根据国家相关保密规定，属于商业机密，除非该信息属于以下情况并以此为限：相关法律法规或司法机关、行政机关要求披露的信息</w:t>
      </w:r>
      <w:r>
        <w:rPr>
          <w:rFonts w:hint="eastAsia" w:ascii="宋体" w:hAnsi="宋体" w:eastAsia="宋体" w:cs="宋体"/>
          <w:color w:val="auto"/>
          <w:spacing w:val="0"/>
          <w:kern w:val="0"/>
          <w:position w:val="0"/>
          <w:sz w:val="24"/>
          <w:szCs w:val="24"/>
          <w:highlight w:val="none"/>
          <w:lang w:eastAsia="zh-CN"/>
        </w:rPr>
        <w:t>、</w:t>
      </w:r>
      <w:r>
        <w:rPr>
          <w:rFonts w:ascii="宋体" w:hAnsi="宋体" w:eastAsia="宋体" w:cs="宋体"/>
          <w:color w:val="auto"/>
          <w:spacing w:val="0"/>
          <w:kern w:val="0"/>
          <w:position w:val="0"/>
          <w:sz w:val="24"/>
          <w:szCs w:val="24"/>
          <w:highlight w:val="none"/>
        </w:rPr>
        <w:t>非因违反本合同而为公众所知的信息</w:t>
      </w:r>
      <w:r>
        <w:rPr>
          <w:rFonts w:hint="eastAsia" w:ascii="宋体" w:hAnsi="宋体" w:eastAsia="宋体" w:cs="宋体"/>
          <w:color w:val="auto"/>
          <w:spacing w:val="0"/>
          <w:kern w:val="0"/>
          <w:position w:val="0"/>
          <w:sz w:val="24"/>
          <w:szCs w:val="24"/>
          <w:highlight w:val="none"/>
          <w:lang w:eastAsia="zh-CN"/>
        </w:rPr>
        <w:t>、</w:t>
      </w:r>
      <w:r>
        <w:rPr>
          <w:rFonts w:ascii="宋体" w:hAnsi="宋体" w:eastAsia="宋体" w:cs="宋体"/>
          <w:color w:val="auto"/>
          <w:spacing w:val="0"/>
          <w:kern w:val="0"/>
          <w:position w:val="0"/>
          <w:sz w:val="24"/>
          <w:szCs w:val="24"/>
          <w:highlight w:val="none"/>
        </w:rPr>
        <w:t>协商本合同之前已知晓或从对该等信息没有保密义务的第三方获取的信息。</w:t>
      </w:r>
    </w:p>
    <w:p w14:paraId="6F5A349D">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（二）保密要求</w:t>
      </w:r>
    </w:p>
    <w:p w14:paraId="52A95C3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rPr>
        <w:t>1.</w:t>
      </w:r>
      <w:r>
        <w:rPr>
          <w:rFonts w:ascii="宋体" w:hAnsi="宋体" w:eastAsia="宋体" w:cs="宋体"/>
          <w:color w:val="auto"/>
          <w:spacing w:val="0"/>
          <w:kern w:val="0"/>
          <w:position w:val="0"/>
          <w:sz w:val="24"/>
          <w:szCs w:val="24"/>
          <w:highlight w:val="none"/>
        </w:rPr>
        <w:t>本合同相关资料按商业机密材料管理。</w:t>
      </w:r>
    </w:p>
    <w:p w14:paraId="52BA488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rPr>
        <w:t>2.</w:t>
      </w:r>
      <w:r>
        <w:rPr>
          <w:rFonts w:ascii="宋体" w:hAnsi="宋体" w:eastAsia="宋体" w:cs="宋体"/>
          <w:color w:val="auto"/>
          <w:spacing w:val="0"/>
          <w:kern w:val="0"/>
          <w:position w:val="0"/>
          <w:sz w:val="24"/>
          <w:szCs w:val="24"/>
          <w:highlight w:val="none"/>
        </w:rPr>
        <w:t>乙方应当采取相应的保护措施来防止丢失、泄露、被第三方窃取，应对甲方所有提供的与项目有关数据、文件和资料等信息，严加保密。未经甲方授权代表书面许可，乙方不得向与合同无关的其他方泄露任何信息或与合同有关的数据，也不允许为本合同所述项目以外的目的使用本合同信息。</w:t>
      </w:r>
    </w:p>
    <w:p w14:paraId="7A77201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rPr>
        <w:t>3.</w:t>
      </w:r>
      <w:r>
        <w:rPr>
          <w:rFonts w:ascii="宋体" w:hAnsi="宋体" w:eastAsia="宋体" w:cs="宋体"/>
          <w:color w:val="auto"/>
          <w:spacing w:val="0"/>
          <w:kern w:val="0"/>
          <w:position w:val="0"/>
          <w:sz w:val="24"/>
          <w:szCs w:val="24"/>
          <w:highlight w:val="none"/>
        </w:rPr>
        <w:t>乙方进入甲方(包括由甲方外延到全国相关上下级机构）从事合同执行相关活动，需经甲方同意或陪同。</w:t>
      </w:r>
    </w:p>
    <w:p w14:paraId="10E91E6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rPr>
        <w:t>4.</w:t>
      </w:r>
      <w:r>
        <w:rPr>
          <w:rFonts w:ascii="宋体" w:hAnsi="宋体" w:eastAsia="宋体" w:cs="宋体"/>
          <w:color w:val="auto"/>
          <w:spacing w:val="0"/>
          <w:kern w:val="0"/>
          <w:position w:val="0"/>
          <w:sz w:val="24"/>
          <w:szCs w:val="24"/>
          <w:highlight w:val="none"/>
        </w:rPr>
        <w:t>乙方只能向乙方确有必要知道信息的雇员披露项目相关信息和资料。乙方应确保乙方知悉信息的所有雇员遵守本合同的保密规定。</w:t>
      </w:r>
    </w:p>
    <w:p w14:paraId="46E7996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rPr>
        <w:t>5.</w:t>
      </w:r>
      <w:r>
        <w:rPr>
          <w:rFonts w:ascii="宋体" w:hAnsi="宋体" w:eastAsia="宋体" w:cs="宋体"/>
          <w:color w:val="auto"/>
          <w:spacing w:val="0"/>
          <w:kern w:val="0"/>
          <w:position w:val="0"/>
          <w:sz w:val="24"/>
          <w:szCs w:val="24"/>
          <w:highlight w:val="none"/>
        </w:rPr>
        <w:t>未经甲方书面许可，乙方不得向乙方下属公司、控股公司、分支机构、承包商、分包商、代理商、合伙人、客户及其他第三方披露任何本项目的信息。</w:t>
      </w:r>
    </w:p>
    <w:p w14:paraId="4DDB0158">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rPr>
        <w:t>6.</w:t>
      </w:r>
      <w:r>
        <w:rPr>
          <w:rFonts w:ascii="宋体" w:hAnsi="宋体" w:eastAsia="宋体" w:cs="宋体"/>
          <w:color w:val="auto"/>
          <w:spacing w:val="0"/>
          <w:kern w:val="0"/>
          <w:position w:val="0"/>
          <w:sz w:val="24"/>
          <w:szCs w:val="24"/>
          <w:highlight w:val="none"/>
        </w:rPr>
        <w:t>任何一方违反本保密条款的约定，应承担违约责任，并赔偿另一方的损失。本合同另有规定或双方另行约定的除外。</w:t>
      </w:r>
    </w:p>
    <w:p w14:paraId="0AB59A89">
      <w:pPr>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rPr>
        <w:t>7.</w:t>
      </w:r>
      <w:r>
        <w:rPr>
          <w:rFonts w:ascii="宋体" w:hAnsi="宋体" w:eastAsia="宋体" w:cs="宋体"/>
          <w:color w:val="auto"/>
          <w:spacing w:val="0"/>
          <w:kern w:val="0"/>
          <w:position w:val="0"/>
          <w:sz w:val="24"/>
          <w:szCs w:val="24"/>
          <w:highlight w:val="none"/>
        </w:rPr>
        <w:t>如果乙方违反本合同的保密规定则应当赔偿对甲方造成的所有损失并按照《中华人民共和国刑法》、《中华人民共和国保守国家秘密法》的规定对责任人进行刑事处罚和行政处罚。</w:t>
      </w:r>
    </w:p>
    <w:p w14:paraId="2390911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rPr>
        <w:t>8.</w:t>
      </w:r>
      <w:r>
        <w:rPr>
          <w:rFonts w:ascii="宋体" w:hAnsi="宋体" w:eastAsia="宋体" w:cs="宋体"/>
          <w:color w:val="auto"/>
          <w:spacing w:val="0"/>
          <w:kern w:val="0"/>
          <w:position w:val="0"/>
          <w:sz w:val="24"/>
          <w:szCs w:val="24"/>
          <w:highlight w:val="none"/>
        </w:rPr>
        <w:t>上述保密条款不受合同有效期限制，保密期限为长期。</w:t>
      </w:r>
    </w:p>
    <w:p w14:paraId="6DFE771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2"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b/>
          <w:bCs/>
          <w:color w:val="auto"/>
          <w:spacing w:val="0"/>
          <w:kern w:val="0"/>
          <w:position w:val="0"/>
          <w:sz w:val="24"/>
          <w:szCs w:val="24"/>
          <w:highlight w:val="none"/>
        </w:rPr>
        <w:t>第九条</w:t>
      </w:r>
      <w:r>
        <w:rPr>
          <w:rFonts w:ascii="宋体" w:hAnsi="宋体" w:eastAsia="宋体" w:cs="宋体"/>
          <w:color w:val="auto"/>
          <w:spacing w:val="0"/>
          <w:kern w:val="0"/>
          <w:position w:val="0"/>
          <w:sz w:val="24"/>
          <w:szCs w:val="24"/>
          <w:highlight w:val="none"/>
        </w:rPr>
        <w:t xml:space="preserve">  </w:t>
      </w:r>
      <w:r>
        <w:rPr>
          <w:rFonts w:ascii="宋体" w:hAnsi="宋体" w:eastAsia="宋体" w:cs="宋体"/>
          <w:b/>
          <w:bCs/>
          <w:color w:val="auto"/>
          <w:spacing w:val="0"/>
          <w:kern w:val="0"/>
          <w:position w:val="0"/>
          <w:sz w:val="24"/>
          <w:szCs w:val="24"/>
          <w:highlight w:val="none"/>
        </w:rPr>
        <w:t>违约责任</w:t>
      </w:r>
    </w:p>
    <w:p w14:paraId="6DBABF2F">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（一）由于一方违约，造成本合同不能履行或不能完全履行时，违约方应当承担继 续履行、采取补救措施或者赔偿损失等违约责任。如有赔偿责任，赔偿范围应当包括对实现权利的费用（仲裁费、诉讼费、律师费及合理开支等）。</w:t>
      </w:r>
    </w:p>
    <w:p w14:paraId="445B16A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（二）甲方未按期支付服务费用，是甲方违约。如甲方在收到乙方发出的违约通知后</w:t>
      </w:r>
      <w:r>
        <w:rPr>
          <w:rFonts w:ascii="宋体" w:hAnsi="宋体" w:eastAsia="宋体" w:cs="宋体"/>
          <w:color w:val="auto"/>
          <w:spacing w:val="0"/>
          <w:kern w:val="0"/>
          <w:position w:val="0"/>
          <w:sz w:val="24"/>
          <w:szCs w:val="24"/>
          <w:highlight w:val="none"/>
          <w:u w:val="single" w:color="auto"/>
        </w:rPr>
        <w:t xml:space="preserve"> 10 </w:t>
      </w:r>
      <w:r>
        <w:rPr>
          <w:rFonts w:ascii="宋体" w:hAnsi="宋体" w:eastAsia="宋体" w:cs="宋体"/>
          <w:color w:val="auto"/>
          <w:spacing w:val="0"/>
          <w:kern w:val="0"/>
          <w:position w:val="0"/>
          <w:sz w:val="24"/>
          <w:szCs w:val="24"/>
          <w:highlight w:val="none"/>
        </w:rPr>
        <w:t>天内仍未能支付，应按合同金额的</w:t>
      </w:r>
      <w:r>
        <w:rPr>
          <w:rFonts w:ascii="宋体" w:hAnsi="宋体" w:eastAsia="宋体" w:cs="宋体"/>
          <w:color w:val="auto"/>
          <w:spacing w:val="0"/>
          <w:kern w:val="0"/>
          <w:position w:val="0"/>
          <w:sz w:val="24"/>
          <w:szCs w:val="24"/>
          <w:highlight w:val="none"/>
          <w:u w:val="single" w:color="auto"/>
        </w:rPr>
        <w:t xml:space="preserve"> 5 </w:t>
      </w:r>
      <w:r>
        <w:rPr>
          <w:rFonts w:ascii="宋体" w:hAnsi="宋体" w:eastAsia="宋体" w:cs="宋体"/>
          <w:color w:val="auto"/>
          <w:spacing w:val="0"/>
          <w:kern w:val="0"/>
          <w:position w:val="0"/>
          <w:sz w:val="24"/>
          <w:szCs w:val="24"/>
          <w:highlight w:val="none"/>
        </w:rPr>
        <w:t>％向乙方支付违约金。在逾期期间，乙方可以中止提供服务或迟延交付服务成果。</w:t>
      </w:r>
    </w:p>
    <w:p w14:paraId="06B48C6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（三）如果乙方没有按照规定的时间完成服务，或没有达到响应文件中任一条款的承诺都是乙方违约。甲方有权书面催告乙方按本合同履行，乙方在收到甲方发出的违约通知后</w:t>
      </w:r>
      <w:r>
        <w:rPr>
          <w:rFonts w:ascii="宋体" w:hAnsi="宋体" w:eastAsia="宋体" w:cs="宋体"/>
          <w:color w:val="auto"/>
          <w:spacing w:val="0"/>
          <w:kern w:val="0"/>
          <w:position w:val="0"/>
          <w:sz w:val="24"/>
          <w:szCs w:val="24"/>
          <w:highlight w:val="none"/>
          <w:u w:val="single" w:color="auto"/>
        </w:rPr>
        <w:t xml:space="preserve"> 10 </w:t>
      </w:r>
      <w:r>
        <w:rPr>
          <w:rFonts w:ascii="宋体" w:hAnsi="宋体" w:eastAsia="宋体" w:cs="宋体"/>
          <w:color w:val="auto"/>
          <w:spacing w:val="0"/>
          <w:kern w:val="0"/>
          <w:position w:val="0"/>
          <w:sz w:val="24"/>
          <w:szCs w:val="24"/>
          <w:highlight w:val="none"/>
        </w:rPr>
        <w:t>天内，或经甲方书面认可延长的时间内未能矫正其过失，甲方可解除合同并 拒付合同余款，同时乙方应向甲方支付合同金额</w:t>
      </w:r>
      <w:r>
        <w:rPr>
          <w:rFonts w:ascii="宋体" w:hAnsi="宋体" w:eastAsia="宋体" w:cs="宋体"/>
          <w:color w:val="auto"/>
          <w:spacing w:val="0"/>
          <w:kern w:val="0"/>
          <w:position w:val="0"/>
          <w:sz w:val="24"/>
          <w:szCs w:val="24"/>
          <w:highlight w:val="none"/>
          <w:u w:val="single" w:color="auto"/>
        </w:rPr>
        <w:t xml:space="preserve"> 5 </w:t>
      </w:r>
      <w:r>
        <w:rPr>
          <w:rFonts w:ascii="宋体" w:hAnsi="宋体" w:eastAsia="宋体" w:cs="宋体"/>
          <w:color w:val="auto"/>
          <w:spacing w:val="0"/>
          <w:kern w:val="0"/>
          <w:position w:val="0"/>
          <w:sz w:val="24"/>
          <w:szCs w:val="24"/>
          <w:highlight w:val="none"/>
        </w:rPr>
        <w:t>%的违约金。</w:t>
      </w:r>
    </w:p>
    <w:p w14:paraId="345BF11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（四）乙方提供错误或不合格信息而导致甲方损失的，乙方有责任采取补救措施，并按实际情况赔偿甲方因此而造成的直接损失，（包括但不限于第三方索赔、行政机关处罚等），同时，向甲方赔偿该合同金额的</w:t>
      </w:r>
      <w:r>
        <w:rPr>
          <w:rFonts w:ascii="宋体" w:hAnsi="宋体" w:eastAsia="宋体" w:cs="宋体"/>
          <w:color w:val="auto"/>
          <w:spacing w:val="0"/>
          <w:kern w:val="0"/>
          <w:position w:val="0"/>
          <w:sz w:val="24"/>
          <w:szCs w:val="24"/>
          <w:highlight w:val="none"/>
          <w:u w:val="single" w:color="auto"/>
        </w:rPr>
        <w:t>_5_</w:t>
      </w:r>
      <w:r>
        <w:rPr>
          <w:rFonts w:ascii="宋体" w:hAnsi="宋体" w:eastAsia="宋体" w:cs="宋体"/>
          <w:color w:val="auto"/>
          <w:spacing w:val="0"/>
          <w:kern w:val="0"/>
          <w:position w:val="0"/>
          <w:sz w:val="24"/>
          <w:szCs w:val="24"/>
          <w:highlight w:val="none"/>
        </w:rPr>
        <w:t>%，作为违约金。</w:t>
      </w:r>
    </w:p>
    <w:p w14:paraId="3C6EC9A2">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五）乙方应向甲方提供真实、合法、有效的工商登记、项目成员背景等材料供甲方考察。乙方应保证其提供的服务项目成果与其资质条件相符合。乙方若提供任何虚假材料或未能确保其提供的服务成果与其资质条件相符的，甲方有权立即解除本合同，并要求乙方支付合同总金额的20%作为违约金，同时乙方应赔偿甲方因此遭受的所有损失。</w:t>
      </w:r>
    </w:p>
    <w:p w14:paraId="3A2989C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六）甲方不得向乙方指定银行账户以外的其他账户或乙方以外的第三方支付本合同项下的咨询费，否则将被视为对合同的根本违约。发生该等情形的，甲方除应按合同约定继续履行支付义务外，还须向乙方支付等额于该违约支付金额的违约金。</w:t>
      </w:r>
    </w:p>
    <w:p w14:paraId="44C4418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七）在本合同有效期内及随后两年内，未经乙方事先书面同意，甲方及其关联方不得雇佣或招揽咨询人员和乙方员工。否则，甲方须向乙方支付等额于该被雇佣或招揽的人员最近两年薪资的违约金，以补偿乙方的人才选育成本。</w:t>
      </w:r>
    </w:p>
    <w:p w14:paraId="19453B9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2"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b/>
          <w:bCs/>
          <w:color w:val="auto"/>
          <w:spacing w:val="0"/>
          <w:kern w:val="0"/>
          <w:position w:val="0"/>
          <w:sz w:val="24"/>
          <w:szCs w:val="24"/>
          <w:highlight w:val="none"/>
        </w:rPr>
        <w:t>第十条</w:t>
      </w:r>
      <w:r>
        <w:rPr>
          <w:rFonts w:ascii="宋体" w:hAnsi="宋体" w:eastAsia="宋体" w:cs="宋体"/>
          <w:color w:val="auto"/>
          <w:spacing w:val="0"/>
          <w:kern w:val="0"/>
          <w:position w:val="0"/>
          <w:sz w:val="24"/>
          <w:szCs w:val="24"/>
          <w:highlight w:val="none"/>
        </w:rPr>
        <w:t xml:space="preserve">  </w:t>
      </w:r>
      <w:r>
        <w:rPr>
          <w:rFonts w:ascii="宋体" w:hAnsi="宋体" w:eastAsia="宋体" w:cs="宋体"/>
          <w:b/>
          <w:bCs/>
          <w:color w:val="auto"/>
          <w:spacing w:val="0"/>
          <w:kern w:val="0"/>
          <w:position w:val="0"/>
          <w:sz w:val="24"/>
          <w:szCs w:val="24"/>
          <w:highlight w:val="none"/>
        </w:rPr>
        <w:t>通知与送达</w:t>
      </w:r>
    </w:p>
    <w:p w14:paraId="6E051EE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所有通知和通信都应是书面的（可用电子邮件预送达），并亲自送达或以传真、挂号邮寄、特快专递等方式至本合同所示的项目联系人。</w:t>
      </w:r>
    </w:p>
    <w:p w14:paraId="6D5E1B7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亲自送达或挂号邮寄、特快专递的通知送达时生效，传真发送后在收到对方确认函时生效。任何一方变更本合同所示的项目联系人及联系方式，应提前</w:t>
      </w:r>
      <w:r>
        <w:rPr>
          <w:rFonts w:ascii="宋体" w:hAnsi="宋体" w:eastAsia="宋体" w:cs="宋体"/>
          <w:color w:val="auto"/>
          <w:spacing w:val="0"/>
          <w:kern w:val="0"/>
          <w:position w:val="0"/>
          <w:sz w:val="24"/>
          <w:szCs w:val="24"/>
          <w:highlight w:val="none"/>
          <w:u w:val="single" w:color="auto"/>
        </w:rPr>
        <w:t xml:space="preserve"> 5 </w:t>
      </w:r>
      <w:r>
        <w:rPr>
          <w:rFonts w:ascii="宋体" w:hAnsi="宋体" w:eastAsia="宋体" w:cs="宋体"/>
          <w:color w:val="auto"/>
          <w:spacing w:val="0"/>
          <w:kern w:val="0"/>
          <w:position w:val="0"/>
          <w:sz w:val="24"/>
          <w:szCs w:val="24"/>
          <w:highlight w:val="none"/>
        </w:rPr>
        <w:t>日书面通知对方。</w:t>
      </w:r>
    </w:p>
    <w:p w14:paraId="6B890BF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2"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b/>
          <w:bCs/>
          <w:color w:val="auto"/>
          <w:spacing w:val="0"/>
          <w:kern w:val="0"/>
          <w:position w:val="0"/>
          <w:sz w:val="24"/>
          <w:szCs w:val="24"/>
          <w:highlight w:val="none"/>
        </w:rPr>
        <w:t>第十一条</w:t>
      </w:r>
      <w:r>
        <w:rPr>
          <w:rFonts w:ascii="宋体" w:hAnsi="宋体" w:eastAsia="宋体" w:cs="宋体"/>
          <w:color w:val="auto"/>
          <w:spacing w:val="0"/>
          <w:kern w:val="0"/>
          <w:position w:val="0"/>
          <w:sz w:val="24"/>
          <w:szCs w:val="24"/>
          <w:highlight w:val="none"/>
        </w:rPr>
        <w:t xml:space="preserve">  </w:t>
      </w:r>
      <w:r>
        <w:rPr>
          <w:rFonts w:ascii="宋体" w:hAnsi="宋体" w:eastAsia="宋体" w:cs="宋体"/>
          <w:b/>
          <w:bCs/>
          <w:color w:val="auto"/>
          <w:spacing w:val="0"/>
          <w:kern w:val="0"/>
          <w:position w:val="0"/>
          <w:sz w:val="24"/>
          <w:szCs w:val="24"/>
          <w:highlight w:val="none"/>
        </w:rPr>
        <w:t>不可抗力</w:t>
      </w:r>
    </w:p>
    <w:p w14:paraId="633CBCD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77CCC9A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提出受不可抗力影响的一方应及时书面通知对方，并且在随后的</w:t>
      </w:r>
      <w:r>
        <w:rPr>
          <w:rFonts w:ascii="宋体" w:hAnsi="宋体" w:eastAsia="宋体" w:cs="宋体"/>
          <w:color w:val="auto"/>
          <w:spacing w:val="0"/>
          <w:kern w:val="0"/>
          <w:position w:val="0"/>
          <w:sz w:val="24"/>
          <w:szCs w:val="24"/>
          <w:highlight w:val="none"/>
          <w:u w:val="single" w:color="auto"/>
        </w:rPr>
        <w:t xml:space="preserve"> 15 </w:t>
      </w:r>
      <w:r>
        <w:rPr>
          <w:rFonts w:ascii="宋体" w:hAnsi="宋体" w:eastAsia="宋体" w:cs="宋体"/>
          <w:color w:val="auto"/>
          <w:spacing w:val="0"/>
          <w:kern w:val="0"/>
          <w:position w:val="0"/>
          <w:sz w:val="24"/>
          <w:szCs w:val="24"/>
          <w:highlight w:val="none"/>
        </w:rPr>
        <w:t>日内向对方提供不可抗力发生和持续期间的充分证据。提出受不可抗力影响的一方，还应尽一切合理努力排除不可抗力对履行合同造成的影响。</w:t>
      </w:r>
    </w:p>
    <w:p w14:paraId="06EB81E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发生不可抗力的，双方应立即进行磋商，寻求合理的解决方案，并且要尽一切合理努力将不可抗力造成的损失降低到最小程度。</w:t>
      </w:r>
    </w:p>
    <w:p w14:paraId="1427B09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2"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b/>
          <w:bCs/>
          <w:color w:val="auto"/>
          <w:spacing w:val="0"/>
          <w:kern w:val="0"/>
          <w:position w:val="0"/>
          <w:sz w:val="24"/>
          <w:szCs w:val="24"/>
          <w:highlight w:val="none"/>
        </w:rPr>
        <w:t>第十二条</w:t>
      </w:r>
      <w:r>
        <w:rPr>
          <w:rFonts w:ascii="宋体" w:hAnsi="宋体" w:eastAsia="宋体" w:cs="宋体"/>
          <w:color w:val="auto"/>
          <w:spacing w:val="0"/>
          <w:kern w:val="0"/>
          <w:position w:val="0"/>
          <w:sz w:val="24"/>
          <w:szCs w:val="24"/>
          <w:highlight w:val="none"/>
        </w:rPr>
        <w:t xml:space="preserve">  </w:t>
      </w:r>
      <w:r>
        <w:rPr>
          <w:rFonts w:ascii="宋体" w:hAnsi="宋体" w:eastAsia="宋体" w:cs="宋体"/>
          <w:b/>
          <w:bCs/>
          <w:color w:val="auto"/>
          <w:spacing w:val="0"/>
          <w:kern w:val="0"/>
          <w:position w:val="0"/>
          <w:sz w:val="24"/>
          <w:szCs w:val="24"/>
          <w:highlight w:val="none"/>
        </w:rPr>
        <w:t>争议的解决</w:t>
      </w:r>
    </w:p>
    <w:p w14:paraId="74D89B1F">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双方因履行本合同而发生的争议，应协商、调解解决。协商、调解不成的，向甲方所在地有管辖权的人民法院起诉。</w:t>
      </w:r>
    </w:p>
    <w:p w14:paraId="0EEA18D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法院判决对双方均有约束力。</w:t>
      </w:r>
    </w:p>
    <w:p w14:paraId="25D8A64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由上述过程发生的费用除法院判决另有规定外，应由败诉方负担。</w:t>
      </w:r>
    </w:p>
    <w:p w14:paraId="760ED3F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在法院审理期间，除正在进行法院审理的部分外，本合同其他部分应继续执行。</w:t>
      </w:r>
    </w:p>
    <w:p w14:paraId="765F24C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2"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b/>
          <w:bCs/>
          <w:color w:val="auto"/>
          <w:spacing w:val="0"/>
          <w:kern w:val="0"/>
          <w:position w:val="0"/>
          <w:sz w:val="24"/>
          <w:szCs w:val="24"/>
          <w:highlight w:val="none"/>
        </w:rPr>
        <w:t>第十三条</w:t>
      </w:r>
      <w:r>
        <w:rPr>
          <w:rFonts w:ascii="宋体" w:hAnsi="宋体" w:eastAsia="宋体" w:cs="宋体"/>
          <w:color w:val="auto"/>
          <w:spacing w:val="0"/>
          <w:kern w:val="0"/>
          <w:position w:val="0"/>
          <w:sz w:val="24"/>
          <w:szCs w:val="24"/>
          <w:highlight w:val="none"/>
        </w:rPr>
        <w:t xml:space="preserve">  </w:t>
      </w:r>
      <w:r>
        <w:rPr>
          <w:rFonts w:ascii="宋体" w:hAnsi="宋体" w:eastAsia="宋体" w:cs="宋体"/>
          <w:b/>
          <w:bCs/>
          <w:color w:val="auto"/>
          <w:spacing w:val="0"/>
          <w:kern w:val="0"/>
          <w:position w:val="0"/>
          <w:sz w:val="24"/>
          <w:szCs w:val="24"/>
          <w:highlight w:val="none"/>
        </w:rPr>
        <w:t>违约终止合同</w:t>
      </w:r>
    </w:p>
    <w:p w14:paraId="13B377BD">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left"/>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一方因对方发生以下违约行为，可以向对方发出终止部分或全部合同的书面通知书：</w:t>
      </w:r>
    </w:p>
    <w:p w14:paraId="04D61FD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rPr>
        <w:t>（一）</w:t>
      </w:r>
      <w:r>
        <w:rPr>
          <w:rFonts w:ascii="宋体" w:hAnsi="宋体" w:eastAsia="宋体" w:cs="宋体"/>
          <w:color w:val="auto"/>
          <w:spacing w:val="0"/>
          <w:kern w:val="0"/>
          <w:position w:val="0"/>
          <w:sz w:val="24"/>
          <w:szCs w:val="24"/>
          <w:highlight w:val="none"/>
        </w:rPr>
        <w:t>如果乙方未能按合同规定的期限或甲方同意延长的限期内提供部分或者全部服务，乙方在收到甲方发出的违约通知后</w:t>
      </w:r>
      <w:r>
        <w:rPr>
          <w:rFonts w:ascii="宋体" w:hAnsi="宋体" w:eastAsia="宋体" w:cs="宋体"/>
          <w:color w:val="auto"/>
          <w:spacing w:val="0"/>
          <w:kern w:val="0"/>
          <w:position w:val="0"/>
          <w:sz w:val="24"/>
          <w:szCs w:val="24"/>
          <w:highlight w:val="none"/>
          <w:u w:val="single" w:color="auto"/>
        </w:rPr>
        <w:t xml:space="preserve"> 10 </w:t>
      </w:r>
      <w:r>
        <w:rPr>
          <w:rFonts w:ascii="宋体" w:hAnsi="宋体" w:eastAsia="宋体" w:cs="宋体"/>
          <w:color w:val="auto"/>
          <w:spacing w:val="0"/>
          <w:kern w:val="0"/>
          <w:position w:val="0"/>
          <w:sz w:val="24"/>
          <w:szCs w:val="24"/>
          <w:highlight w:val="none"/>
        </w:rPr>
        <w:t>天内，或经甲方书面认可延长的时间内未能矫正其行为的。</w:t>
      </w:r>
    </w:p>
    <w:p w14:paraId="4100D7F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eastAsia="zh-CN"/>
        </w:rPr>
        <w:t>（</w:t>
      </w:r>
      <w:r>
        <w:rPr>
          <w:rFonts w:hint="eastAsia" w:ascii="宋体" w:hAnsi="宋体" w:eastAsia="宋体" w:cs="宋体"/>
          <w:color w:val="auto"/>
          <w:spacing w:val="0"/>
          <w:kern w:val="0"/>
          <w:position w:val="0"/>
          <w:sz w:val="24"/>
          <w:szCs w:val="24"/>
          <w:highlight w:val="none"/>
          <w:lang w:val="en-US" w:eastAsia="zh-CN"/>
        </w:rPr>
        <w:t>二</w:t>
      </w:r>
      <w:r>
        <w:rPr>
          <w:rFonts w:hint="eastAsia" w:ascii="宋体" w:hAnsi="宋体" w:eastAsia="宋体" w:cs="宋体"/>
          <w:color w:val="auto"/>
          <w:spacing w:val="0"/>
          <w:kern w:val="0"/>
          <w:position w:val="0"/>
          <w:sz w:val="24"/>
          <w:szCs w:val="24"/>
          <w:highlight w:val="none"/>
          <w:lang w:eastAsia="zh-CN"/>
        </w:rPr>
        <w:t>）</w:t>
      </w:r>
      <w:r>
        <w:rPr>
          <w:rFonts w:ascii="宋体" w:hAnsi="宋体" w:eastAsia="宋体" w:cs="宋体"/>
          <w:color w:val="auto"/>
          <w:spacing w:val="0"/>
          <w:kern w:val="0"/>
          <w:position w:val="0"/>
          <w:sz w:val="24"/>
          <w:szCs w:val="24"/>
          <w:highlight w:val="none"/>
        </w:rPr>
        <w:t>乙方违反保密义务的。</w:t>
      </w:r>
    </w:p>
    <w:p w14:paraId="15E49047">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eastAsia="zh-CN"/>
        </w:rPr>
        <w:t>（</w:t>
      </w:r>
      <w:r>
        <w:rPr>
          <w:rFonts w:hint="eastAsia" w:ascii="宋体" w:hAnsi="宋体" w:eastAsia="宋体" w:cs="宋体"/>
          <w:color w:val="auto"/>
          <w:spacing w:val="0"/>
          <w:kern w:val="0"/>
          <w:position w:val="0"/>
          <w:sz w:val="24"/>
          <w:szCs w:val="24"/>
          <w:highlight w:val="none"/>
          <w:lang w:val="en-US" w:eastAsia="zh-CN"/>
        </w:rPr>
        <w:t>三</w:t>
      </w:r>
      <w:r>
        <w:rPr>
          <w:rFonts w:hint="eastAsia" w:ascii="宋体" w:hAnsi="宋体" w:eastAsia="宋体" w:cs="宋体"/>
          <w:color w:val="auto"/>
          <w:spacing w:val="0"/>
          <w:kern w:val="0"/>
          <w:position w:val="0"/>
          <w:sz w:val="24"/>
          <w:szCs w:val="24"/>
          <w:highlight w:val="none"/>
          <w:lang w:eastAsia="zh-CN"/>
        </w:rPr>
        <w:t>）</w:t>
      </w:r>
      <w:r>
        <w:rPr>
          <w:rFonts w:ascii="宋体" w:hAnsi="宋体" w:eastAsia="宋体" w:cs="宋体"/>
          <w:color w:val="auto"/>
          <w:spacing w:val="0"/>
          <w:kern w:val="0"/>
          <w:position w:val="0"/>
          <w:sz w:val="24"/>
          <w:szCs w:val="24"/>
          <w:highlight w:val="none"/>
        </w:rPr>
        <w:t>甲方未按期支付咨询费和服务费用，经乙方催告后</w:t>
      </w:r>
      <w:r>
        <w:rPr>
          <w:rFonts w:ascii="宋体" w:hAnsi="宋体" w:eastAsia="宋体" w:cs="宋体"/>
          <w:color w:val="auto"/>
          <w:spacing w:val="0"/>
          <w:kern w:val="0"/>
          <w:position w:val="0"/>
          <w:sz w:val="24"/>
          <w:szCs w:val="24"/>
          <w:highlight w:val="none"/>
          <w:u w:val="single" w:color="auto"/>
        </w:rPr>
        <w:t xml:space="preserve"> 10 </w:t>
      </w:r>
      <w:r>
        <w:rPr>
          <w:rFonts w:ascii="宋体" w:hAnsi="宋体" w:eastAsia="宋体" w:cs="宋体"/>
          <w:color w:val="auto"/>
          <w:spacing w:val="0"/>
          <w:kern w:val="0"/>
          <w:position w:val="0"/>
          <w:sz w:val="24"/>
          <w:szCs w:val="24"/>
          <w:highlight w:val="none"/>
        </w:rPr>
        <w:t>天内仍未支付的。</w:t>
      </w:r>
    </w:p>
    <w:p w14:paraId="3532837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eastAsia="zh-CN"/>
        </w:rPr>
        <w:t>（</w:t>
      </w:r>
      <w:r>
        <w:rPr>
          <w:rFonts w:hint="eastAsia" w:ascii="宋体" w:hAnsi="宋体" w:eastAsia="宋体" w:cs="宋体"/>
          <w:color w:val="auto"/>
          <w:spacing w:val="0"/>
          <w:kern w:val="0"/>
          <w:position w:val="0"/>
          <w:sz w:val="24"/>
          <w:szCs w:val="24"/>
          <w:highlight w:val="none"/>
          <w:lang w:val="en-US" w:eastAsia="zh-CN"/>
        </w:rPr>
        <w:t>三</w:t>
      </w:r>
      <w:r>
        <w:rPr>
          <w:rFonts w:hint="eastAsia" w:ascii="宋体" w:hAnsi="宋体" w:eastAsia="宋体" w:cs="宋体"/>
          <w:color w:val="auto"/>
          <w:spacing w:val="0"/>
          <w:kern w:val="0"/>
          <w:position w:val="0"/>
          <w:sz w:val="24"/>
          <w:szCs w:val="24"/>
          <w:highlight w:val="none"/>
          <w:lang w:eastAsia="zh-CN"/>
        </w:rPr>
        <w:t>）</w:t>
      </w:r>
      <w:r>
        <w:rPr>
          <w:rFonts w:ascii="宋体" w:hAnsi="宋体" w:eastAsia="宋体" w:cs="宋体"/>
          <w:color w:val="auto"/>
          <w:spacing w:val="0"/>
          <w:kern w:val="0"/>
          <w:position w:val="0"/>
          <w:sz w:val="24"/>
          <w:szCs w:val="24"/>
          <w:highlight w:val="none"/>
        </w:rPr>
        <w:t>如果一方未能履行合同规定的其他任何义务，致使合同不能实际履行或实际履行已无必要的。</w:t>
      </w:r>
    </w:p>
    <w:p w14:paraId="643ACB5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2"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b/>
          <w:bCs/>
          <w:color w:val="auto"/>
          <w:spacing w:val="0"/>
          <w:kern w:val="0"/>
          <w:position w:val="0"/>
          <w:sz w:val="24"/>
          <w:szCs w:val="24"/>
          <w:highlight w:val="none"/>
        </w:rPr>
        <w:t>第十四条</w:t>
      </w:r>
      <w:r>
        <w:rPr>
          <w:rFonts w:ascii="宋体" w:hAnsi="宋体" w:eastAsia="宋体" w:cs="宋体"/>
          <w:color w:val="auto"/>
          <w:spacing w:val="0"/>
          <w:kern w:val="0"/>
          <w:position w:val="0"/>
          <w:sz w:val="24"/>
          <w:szCs w:val="24"/>
          <w:highlight w:val="none"/>
        </w:rPr>
        <w:t xml:space="preserve">  </w:t>
      </w:r>
      <w:r>
        <w:rPr>
          <w:rFonts w:ascii="宋体" w:hAnsi="宋体" w:eastAsia="宋体" w:cs="宋体"/>
          <w:b/>
          <w:bCs/>
          <w:color w:val="auto"/>
          <w:spacing w:val="0"/>
          <w:kern w:val="0"/>
          <w:position w:val="0"/>
          <w:sz w:val="24"/>
          <w:szCs w:val="24"/>
          <w:highlight w:val="none"/>
        </w:rPr>
        <w:t>转让和分包</w:t>
      </w:r>
    </w:p>
    <w:p w14:paraId="19795FF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除甲方事先书面同意外，乙方不得部分转让或全部转让其应履行的合同义务。</w:t>
      </w:r>
    </w:p>
    <w:p w14:paraId="16B7DD4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乙方对部分或全部转让其应履行的义务而确定的分包合同负全部责任，甲方不承担任何责任和义务。乙方分包前须提交分包方资质、分包内容及分包合同供甲方审核，甲方有权否决不合格分包方或分包内容。乙方应确保分包方具备相应资质和能力，并对分包方的行为承担连带责任。分包方违约时，乙方应承担连带责任。</w:t>
      </w:r>
    </w:p>
    <w:p w14:paraId="19FFB58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2"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b/>
          <w:bCs/>
          <w:color w:val="auto"/>
          <w:spacing w:val="0"/>
          <w:kern w:val="0"/>
          <w:position w:val="0"/>
          <w:sz w:val="24"/>
          <w:szCs w:val="24"/>
          <w:highlight w:val="none"/>
        </w:rPr>
        <w:t>第十五条</w:t>
      </w:r>
      <w:r>
        <w:rPr>
          <w:rFonts w:ascii="宋体" w:hAnsi="宋体" w:eastAsia="宋体" w:cs="宋体"/>
          <w:color w:val="auto"/>
          <w:spacing w:val="0"/>
          <w:kern w:val="0"/>
          <w:position w:val="0"/>
          <w:sz w:val="24"/>
          <w:szCs w:val="24"/>
          <w:highlight w:val="none"/>
        </w:rPr>
        <w:t xml:space="preserve">  </w:t>
      </w:r>
      <w:r>
        <w:rPr>
          <w:rFonts w:ascii="宋体" w:hAnsi="宋体" w:eastAsia="宋体" w:cs="宋体"/>
          <w:b/>
          <w:bCs/>
          <w:color w:val="auto"/>
          <w:spacing w:val="0"/>
          <w:kern w:val="0"/>
          <w:position w:val="0"/>
          <w:sz w:val="24"/>
          <w:szCs w:val="24"/>
          <w:highlight w:val="none"/>
        </w:rPr>
        <w:t>其他</w:t>
      </w:r>
    </w:p>
    <w:p w14:paraId="7139D59A">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（一）本合同一式</w:t>
      </w:r>
      <w:r>
        <w:rPr>
          <w:rFonts w:ascii="宋体" w:hAnsi="宋体" w:eastAsia="宋体" w:cs="宋体"/>
          <w:color w:val="auto"/>
          <w:spacing w:val="0"/>
          <w:kern w:val="0"/>
          <w:position w:val="0"/>
          <w:sz w:val="24"/>
          <w:szCs w:val="24"/>
          <w:highlight w:val="none"/>
          <w:u w:val="single" w:color="auto"/>
        </w:rPr>
        <w:t>肆</w:t>
      </w:r>
      <w:r>
        <w:rPr>
          <w:rFonts w:ascii="宋体" w:hAnsi="宋体" w:eastAsia="宋体" w:cs="宋体"/>
          <w:color w:val="auto"/>
          <w:spacing w:val="0"/>
          <w:kern w:val="0"/>
          <w:position w:val="0"/>
          <w:sz w:val="24"/>
          <w:szCs w:val="24"/>
          <w:highlight w:val="none"/>
        </w:rPr>
        <w:t>份，具有同等法律效力，甲方和乙方各执</w:t>
      </w:r>
      <w:r>
        <w:rPr>
          <w:rFonts w:ascii="宋体" w:hAnsi="宋体" w:eastAsia="宋体" w:cs="宋体"/>
          <w:color w:val="auto"/>
          <w:spacing w:val="0"/>
          <w:kern w:val="0"/>
          <w:position w:val="0"/>
          <w:sz w:val="24"/>
          <w:szCs w:val="24"/>
          <w:highlight w:val="none"/>
          <w:u w:val="single" w:color="auto"/>
        </w:rPr>
        <w:t>贰</w:t>
      </w:r>
      <w:r>
        <w:rPr>
          <w:rFonts w:ascii="宋体" w:hAnsi="宋体" w:eastAsia="宋体" w:cs="宋体"/>
          <w:color w:val="auto"/>
          <w:spacing w:val="0"/>
          <w:kern w:val="0"/>
          <w:position w:val="0"/>
          <w:sz w:val="24"/>
          <w:szCs w:val="24"/>
          <w:highlight w:val="none"/>
        </w:rPr>
        <w:t>份。</w:t>
      </w:r>
    </w:p>
    <w:p w14:paraId="2A6EEFD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（二）本合同自双方法人代表或其授权代表签字、盖章之日起生效，自双方履行完合同约定的义务后自动终止。</w:t>
      </w:r>
    </w:p>
    <w:p w14:paraId="04CA133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（三）本合同未尽事宜，由甲方和乙方双方协商并签订补充协议，与本合同具有同等法律效力。</w:t>
      </w:r>
    </w:p>
    <w:p w14:paraId="557EA8E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（四）合同附件是本合同不可分割的一部分，与合同具有同等法律效力。合同附件与合同正文冲突时，以合同正文条款为准。本合同附件：</w:t>
      </w:r>
    </w:p>
    <w:p w14:paraId="796F86F8">
      <w:pPr>
        <w:keepNext w:val="0"/>
        <w:keepLines w:val="0"/>
        <w:pageBreakBefore w:val="0"/>
        <w:wordWrap/>
        <w:overflowPunct/>
        <w:topLinePunct w:val="0"/>
        <w:bidi w:val="0"/>
        <w:adjustRightInd w:val="0"/>
        <w:snapToGrid w:val="0"/>
        <w:spacing w:line="360" w:lineRule="auto"/>
        <w:ind w:left="0" w:leftChars="0" w:firstLine="480" w:firstLineChars="200"/>
        <w:rPr>
          <w:rFonts w:ascii="宋体" w:hAnsi="宋体" w:eastAsia="宋体" w:cs="宋体"/>
          <w:color w:val="auto"/>
          <w:spacing w:val="0"/>
          <w:kern w:val="0"/>
          <w:position w:val="0"/>
          <w:sz w:val="24"/>
          <w:szCs w:val="24"/>
          <w:highlight w:val="none"/>
        </w:rPr>
      </w:pPr>
    </w:p>
    <w:p w14:paraId="31AC0676">
      <w:pPr>
        <w:keepNext w:val="0"/>
        <w:keepLines w:val="0"/>
        <w:pageBreakBefore w:val="0"/>
        <w:wordWrap/>
        <w:overflowPunct/>
        <w:topLinePunct w:val="0"/>
        <w:bidi w:val="0"/>
        <w:adjustRightInd w:val="0"/>
        <w:snapToGrid w:val="0"/>
        <w:spacing w:line="360" w:lineRule="auto"/>
        <w:ind w:left="0" w:leftChars="0" w:firstLine="480" w:firstLineChars="200"/>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甲方：（盖章）                      乙方：（盖章）</w:t>
      </w:r>
    </w:p>
    <w:p w14:paraId="782EAC67">
      <w:pPr>
        <w:keepNext w:val="0"/>
        <w:keepLines w:val="0"/>
        <w:pageBreakBefore w:val="0"/>
        <w:wordWrap/>
        <w:overflowPunct/>
        <w:topLinePunct w:val="0"/>
        <w:bidi w:val="0"/>
        <w:adjustRightInd w:val="0"/>
        <w:snapToGrid w:val="0"/>
        <w:spacing w:line="360" w:lineRule="auto"/>
        <w:ind w:left="0" w:leftChars="0" w:firstLine="480" w:firstLineChars="200"/>
        <w:rPr>
          <w:rFonts w:ascii="宋体" w:hAnsi="宋体" w:eastAsia="宋体" w:cs="宋体"/>
          <w:color w:val="auto"/>
          <w:spacing w:val="0"/>
          <w:kern w:val="0"/>
          <w:position w:val="0"/>
          <w:sz w:val="24"/>
          <w:szCs w:val="24"/>
          <w:highlight w:val="none"/>
        </w:rPr>
      </w:pPr>
    </w:p>
    <w:p w14:paraId="22E398C2">
      <w:pPr>
        <w:keepNext w:val="0"/>
        <w:keepLines w:val="0"/>
        <w:pageBreakBefore w:val="0"/>
        <w:wordWrap/>
        <w:overflowPunct/>
        <w:topLinePunct w:val="0"/>
        <w:bidi w:val="0"/>
        <w:adjustRightInd w:val="0"/>
        <w:snapToGrid w:val="0"/>
        <w:spacing w:line="360" w:lineRule="auto"/>
        <w:ind w:left="0" w:leftChars="0" w:firstLine="480" w:firstLineChars="200"/>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法定代表人或授权委托人（签章）：     法定代表人或授权委托人（签章）：</w:t>
      </w:r>
    </w:p>
    <w:p w14:paraId="021507F2">
      <w:pPr>
        <w:pStyle w:val="10"/>
        <w:keepNext w:val="0"/>
        <w:keepLines w:val="0"/>
        <w:pageBreakBefore w:val="0"/>
        <w:wordWrap/>
        <w:overflowPunct/>
        <w:topLinePunct w:val="0"/>
        <w:bidi w:val="0"/>
        <w:adjustRightInd w:val="0"/>
        <w:snapToGrid w:val="0"/>
        <w:spacing w:after="0" w:line="360" w:lineRule="auto"/>
        <w:ind w:left="0" w:leftChars="0"/>
        <w:rPr>
          <w:color w:val="auto"/>
          <w:spacing w:val="0"/>
          <w:kern w:val="0"/>
          <w:position w:val="0"/>
          <w:highlight w:val="none"/>
        </w:rPr>
      </w:pPr>
    </w:p>
    <w:p w14:paraId="0860A462">
      <w:pPr>
        <w:keepNext w:val="0"/>
        <w:keepLines w:val="0"/>
        <w:pageBreakBefore w:val="0"/>
        <w:wordWrap/>
        <w:overflowPunct/>
        <w:topLinePunct w:val="0"/>
        <w:bidi w:val="0"/>
        <w:adjustRightInd w:val="0"/>
        <w:snapToGrid w:val="0"/>
        <w:spacing w:line="360" w:lineRule="auto"/>
        <w:ind w:left="0" w:leftChars="0" w:firstLine="480" w:firstLineChars="200"/>
        <w:rPr>
          <w:rFonts w:ascii="宋体" w:hAnsi="宋体" w:eastAsia="宋体" w:cs="宋体"/>
          <w:color w:val="auto"/>
          <w:spacing w:val="0"/>
          <w:kern w:val="0"/>
          <w:position w:val="0"/>
          <w:sz w:val="24"/>
          <w:szCs w:val="24"/>
          <w:highlight w:val="none"/>
        </w:rPr>
      </w:pPr>
      <w:r>
        <w:rPr>
          <w:rFonts w:ascii="宋体" w:hAnsi="宋体" w:eastAsia="宋体" w:cs="宋体"/>
          <w:color w:val="auto"/>
          <w:spacing w:val="0"/>
          <w:kern w:val="0"/>
          <w:position w:val="0"/>
          <w:sz w:val="24"/>
          <w:szCs w:val="24"/>
          <w:highlight w:val="none"/>
        </w:rPr>
        <w:t>合同签订日期：____年____月____日     合同签订日期：____年____月____日</w:t>
      </w:r>
    </w:p>
    <w:p w14:paraId="15678C3E">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12D0C2A">
      <w:pPr>
        <w:pStyle w:val="2"/>
        <w:spacing w:before="0"/>
        <w:ind w:left="0" w:leftChars="0" w:right="0" w:rightChars="0"/>
        <w:rPr>
          <w:rFonts w:hint="eastAsia" w:ascii="仿宋" w:hAnsi="仿宋" w:eastAsia="仿宋" w:cs="仿宋"/>
          <w:color w:val="auto"/>
          <w:highlight w:val="none"/>
        </w:rPr>
      </w:pPr>
      <w:r>
        <w:rPr>
          <w:rFonts w:hint="eastAsia" w:ascii="仿宋" w:hAnsi="仿宋" w:eastAsia="仿宋" w:cs="仿宋"/>
          <w:color w:val="auto"/>
          <w:highlight w:val="none"/>
        </w:rPr>
        <w:t>第八部分 投标文件的编制装订</w:t>
      </w:r>
    </w:p>
    <w:p w14:paraId="2E5CC776">
      <w:pPr>
        <w:rPr>
          <w:rFonts w:hint="eastAsia" w:ascii="仿宋" w:hAnsi="仿宋" w:eastAsia="仿宋" w:cs="仿宋"/>
          <w:color w:val="auto"/>
          <w:sz w:val="24"/>
          <w:szCs w:val="24"/>
          <w:highlight w:val="none"/>
        </w:rPr>
      </w:pPr>
    </w:p>
    <w:p w14:paraId="628010F9">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r>
        <w:rPr>
          <w:rFonts w:hint="eastAsia" w:ascii="仿宋" w:hAnsi="仿宋" w:eastAsia="仿宋" w:cs="仿宋"/>
          <w:b/>
          <w:bCs/>
          <w:color w:val="auto"/>
          <w:sz w:val="24"/>
          <w:szCs w:val="24"/>
          <w:highlight w:val="none"/>
          <w:lang w:val="zh-CN"/>
        </w:rPr>
        <w:t>应包含以下内容</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zh-CN"/>
        </w:rPr>
        <w:t>包含但不限于</w:t>
      </w:r>
      <w:r>
        <w:rPr>
          <w:rFonts w:hint="eastAsia" w:ascii="仿宋" w:hAnsi="仿宋" w:eastAsia="仿宋" w:cs="仿宋"/>
          <w:b/>
          <w:bCs/>
          <w:color w:val="auto"/>
          <w:sz w:val="24"/>
          <w:szCs w:val="24"/>
          <w:highlight w:val="none"/>
        </w:rPr>
        <w:t>）</w:t>
      </w:r>
    </w:p>
    <w:p w14:paraId="1DD509F3">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1、投标函</w:t>
      </w:r>
    </w:p>
    <w:p w14:paraId="0583C2EF">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2、法定代表人资格证明书或法定代表人授权委托书</w:t>
      </w:r>
    </w:p>
    <w:p w14:paraId="7B71167C">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3、开标一览表</w:t>
      </w:r>
    </w:p>
    <w:p w14:paraId="18B49F33">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4、报价明细表；</w:t>
      </w:r>
    </w:p>
    <w:p w14:paraId="17F1790A">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5、核心设备规格型号一览表（格式附后）</w:t>
      </w:r>
    </w:p>
    <w:p w14:paraId="7DD628EB">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6、投标人资质证明文件，包括：（但不限于）</w:t>
      </w:r>
    </w:p>
    <w:p w14:paraId="3DC0D3C3">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（1）关于资格的声明函</w:t>
      </w:r>
    </w:p>
    <w:p w14:paraId="56B622AB">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（2）法人营业执照或其他资格证明</w:t>
      </w:r>
    </w:p>
    <w:p w14:paraId="54FF1E52">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（3）法定代表人授权书</w:t>
      </w:r>
    </w:p>
    <w:p w14:paraId="2BD159BC">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（4）供应商财务状况报告（提供上年度财务审计报告）</w:t>
      </w:r>
    </w:p>
    <w:p w14:paraId="4751E2A6">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（5）社会保障资金缴纳记录（提供近半年社保缴纳凭证）</w:t>
      </w:r>
    </w:p>
    <w:p w14:paraId="1136D686">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（6）依法缴纳税收的证明材料（提供近半年完税证明）</w:t>
      </w:r>
    </w:p>
    <w:p w14:paraId="31136AF0">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（7）具备履行合同所必需的设备和专业技术能力的书面声明</w:t>
      </w:r>
    </w:p>
    <w:p w14:paraId="6DA5EC54">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（8）参加本次采购活动前三年内，在经营活动中没有重大违法记录的书面声明</w:t>
      </w:r>
    </w:p>
    <w:p w14:paraId="2F2B07F0">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9）未参与本项目整体设计、规范编制或者项目管理、监理、检测等服务、与参与本次政府采购活动的其他供应商不存在法人(单位负责人)为同一人或者直接控股、管理关系的，与采购人不存在利害关系可能影响采购公正性的（提供承诺书）</w:t>
      </w:r>
    </w:p>
    <w:p w14:paraId="30879593">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（10）投标保证金（提供汇款凭证）</w:t>
      </w:r>
    </w:p>
    <w:p w14:paraId="2E8B114A">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11）信用信息查询截图（包含不限于信用中国网站（重大税收违法失信主体查询）、中国政府采购网（政府采购严重违法失信名单查询）、中国执行信息公开网（失信被执行人名单查询）、国家企业信用信息公示系统（行政处罚信息、列入经营异常名录信息、列入严重违法失信名单（黑名单）信息）、裁判文书网（行贿犯罪记录查询））；</w:t>
      </w:r>
    </w:p>
    <w:p w14:paraId="291CB921">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（12）投标单位（供应商）《反商业贿赂承诺书》；</w:t>
      </w:r>
    </w:p>
    <w:p w14:paraId="72417ADC">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（13）未组成联合体进行投标的声明。</w:t>
      </w:r>
    </w:p>
    <w:p w14:paraId="262ADE0D">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（14）其它补充资料</w:t>
      </w:r>
    </w:p>
    <w:p w14:paraId="116F76CC">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7、技术及商务响应（偏离）表；</w:t>
      </w:r>
    </w:p>
    <w:p w14:paraId="1F59BE27">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8、产品配置及性能指标；</w:t>
      </w:r>
    </w:p>
    <w:p w14:paraId="3E60E587">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9、质量保证措施；</w:t>
      </w:r>
    </w:p>
    <w:p w14:paraId="246DD647">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10、实施方案；</w:t>
      </w:r>
    </w:p>
    <w:p w14:paraId="11C91D2A">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11、售后服务；</w:t>
      </w:r>
    </w:p>
    <w:p w14:paraId="76EEC0B3">
      <w:pPr>
        <w:pStyle w:val="10"/>
        <w:spacing w:before="2" w:line="360" w:lineRule="auto"/>
        <w:ind w:left="0" w:firstLine="597"/>
        <w:rPr>
          <w:rFonts w:hint="eastAsia" w:ascii="仿宋" w:hAnsi="仿宋" w:eastAsia="仿宋" w:cs="仿宋"/>
          <w:color w:val="auto"/>
          <w:highlight w:val="none"/>
        </w:rPr>
      </w:pPr>
      <w:r>
        <w:rPr>
          <w:rFonts w:hint="eastAsia" w:ascii="仿宋" w:hAnsi="仿宋" w:eastAsia="仿宋" w:cs="仿宋"/>
          <w:color w:val="auto"/>
          <w:highlight w:val="none"/>
        </w:rPr>
        <w:t>12、项目的业绩；</w:t>
      </w:r>
    </w:p>
    <w:p w14:paraId="5065AD8E">
      <w:pPr>
        <w:pStyle w:val="10"/>
        <w:spacing w:before="2" w:line="360" w:lineRule="auto"/>
        <w:ind w:left="0" w:firstLine="597"/>
        <w:rPr>
          <w:rFonts w:hint="eastAsia" w:ascii="仿宋" w:hAnsi="仿宋" w:eastAsia="仿宋" w:cs="仿宋"/>
          <w:color w:val="auto"/>
          <w:highlight w:val="none"/>
          <w:lang w:val="en-US"/>
        </w:rPr>
      </w:pPr>
      <w:r>
        <w:rPr>
          <w:rFonts w:hint="eastAsia" w:ascii="仿宋" w:hAnsi="仿宋" w:eastAsia="仿宋" w:cs="仿宋"/>
          <w:color w:val="auto"/>
          <w:highlight w:val="none"/>
        </w:rPr>
        <w:t>13、提供其它有利于投标的资料；</w:t>
      </w:r>
    </w:p>
    <w:p w14:paraId="5BEB10B3">
      <w:pPr>
        <w:spacing w:before="161" w:line="364"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投标文件顺序及格式范本</w:t>
      </w:r>
    </w:p>
    <w:p w14:paraId="3998F246">
      <w:pPr>
        <w:pStyle w:val="10"/>
        <w:spacing w:line="364" w:lineRule="auto"/>
        <w:ind w:left="0" w:firstLine="600"/>
        <w:rPr>
          <w:rFonts w:hint="eastAsia" w:ascii="仿宋" w:hAnsi="仿宋" w:eastAsia="仿宋" w:cs="仿宋"/>
          <w:color w:val="auto"/>
          <w:highlight w:val="none"/>
        </w:rPr>
      </w:pPr>
      <w:r>
        <w:rPr>
          <w:rFonts w:hint="eastAsia" w:ascii="仿宋" w:hAnsi="仿宋" w:eastAsia="仿宋" w:cs="仿宋"/>
          <w:color w:val="auto"/>
          <w:highlight w:val="none"/>
          <w:lang w:val="en-US"/>
        </w:rPr>
        <w:t>1</w:t>
      </w:r>
      <w:r>
        <w:rPr>
          <w:rFonts w:hint="eastAsia" w:ascii="仿宋" w:hAnsi="仿宋" w:eastAsia="仿宋" w:cs="仿宋"/>
          <w:color w:val="auto"/>
          <w:highlight w:val="none"/>
        </w:rPr>
        <w:t>、凡须要签字盖章的，必须有符合采购文件规定要求的人员签字，公章必须是单位印章。</w:t>
      </w:r>
    </w:p>
    <w:p w14:paraId="07F19C1D">
      <w:pPr>
        <w:pStyle w:val="10"/>
        <w:spacing w:line="364" w:lineRule="auto"/>
        <w:ind w:left="0" w:firstLine="600"/>
        <w:rPr>
          <w:rFonts w:hint="eastAsia" w:ascii="仿宋" w:hAnsi="仿宋" w:eastAsia="仿宋" w:cs="仿宋"/>
          <w:color w:val="auto"/>
          <w:highlight w:val="none"/>
        </w:rPr>
      </w:pPr>
      <w:r>
        <w:rPr>
          <w:rFonts w:hint="eastAsia" w:ascii="仿宋" w:hAnsi="仿宋" w:eastAsia="仿宋" w:cs="仿宋"/>
          <w:color w:val="auto"/>
          <w:highlight w:val="none"/>
          <w:lang w:val="en-US"/>
        </w:rPr>
        <w:t>2</w:t>
      </w:r>
      <w:r>
        <w:rPr>
          <w:rFonts w:hint="eastAsia" w:ascii="仿宋" w:hAnsi="仿宋" w:eastAsia="仿宋" w:cs="仿宋"/>
          <w:color w:val="auto"/>
          <w:highlight w:val="none"/>
        </w:rPr>
        <w:t>、凡有备注说明的，必须符合说明的要求。</w:t>
      </w:r>
    </w:p>
    <w:p w14:paraId="394BA415">
      <w:pPr>
        <w:pStyle w:val="10"/>
        <w:spacing w:line="364" w:lineRule="auto"/>
        <w:ind w:left="0" w:firstLine="600"/>
        <w:rPr>
          <w:rFonts w:hint="eastAsia" w:ascii="仿宋" w:hAnsi="仿宋" w:eastAsia="仿宋" w:cs="仿宋"/>
          <w:color w:val="auto"/>
          <w:highlight w:val="none"/>
        </w:rPr>
      </w:pPr>
      <w:r>
        <w:rPr>
          <w:rFonts w:hint="eastAsia" w:ascii="仿宋" w:hAnsi="仿宋" w:eastAsia="仿宋" w:cs="仿宋"/>
          <w:color w:val="auto"/>
          <w:highlight w:val="none"/>
          <w:lang w:val="en-US"/>
        </w:rPr>
        <w:t>3</w:t>
      </w:r>
      <w:r>
        <w:rPr>
          <w:rFonts w:hint="eastAsia" w:ascii="仿宋" w:hAnsi="仿宋" w:eastAsia="仿宋" w:cs="仿宋"/>
          <w:color w:val="auto"/>
          <w:highlight w:val="none"/>
        </w:rPr>
        <w:t>、凡采购文件要求提供的，必须提供。否则，将视为不响应采购文件的实质性要求，可能投标文件将会被拒绝。</w:t>
      </w:r>
    </w:p>
    <w:p w14:paraId="29FF351B">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91213C4">
      <w:pPr>
        <w:widowControl/>
        <w:rPr>
          <w:rFonts w:hint="eastAsia" w:ascii="仿宋" w:hAnsi="仿宋" w:eastAsia="仿宋" w:cs="仿宋"/>
          <w:b/>
          <w:bCs/>
          <w:color w:val="auto"/>
          <w:sz w:val="24"/>
          <w:highlight w:val="none"/>
          <w:lang w:bidi="ar"/>
        </w:rPr>
      </w:pPr>
    </w:p>
    <w:p w14:paraId="23A07F2C">
      <w:pPr>
        <w:widowControl/>
        <w:outlineLvl w:val="9"/>
        <w:rPr>
          <w:rFonts w:hint="eastAsia" w:ascii="仿宋" w:hAnsi="仿宋" w:eastAsia="仿宋" w:cs="仿宋"/>
          <w:b/>
          <w:bCs/>
          <w:color w:val="auto"/>
          <w:sz w:val="24"/>
          <w:highlight w:val="none"/>
          <w:lang w:bidi="ar"/>
        </w:rPr>
      </w:pPr>
      <w:bookmarkStart w:id="6" w:name="_Toc155630094"/>
      <w:bookmarkStart w:id="7" w:name="_Toc10196"/>
      <w:r>
        <w:rPr>
          <w:rFonts w:hint="eastAsia" w:ascii="仿宋" w:hAnsi="仿宋" w:eastAsia="仿宋" w:cs="仿宋"/>
          <w:b/>
          <w:bCs/>
          <w:color w:val="auto"/>
          <w:sz w:val="24"/>
          <w:highlight w:val="none"/>
          <w:lang w:val="en-US" w:bidi="ar"/>
        </w:rPr>
        <w:t>投标</w:t>
      </w:r>
      <w:r>
        <w:rPr>
          <w:rFonts w:hint="eastAsia" w:ascii="仿宋" w:hAnsi="仿宋" w:eastAsia="仿宋" w:cs="仿宋"/>
          <w:b/>
          <w:bCs/>
          <w:color w:val="auto"/>
          <w:sz w:val="24"/>
          <w:highlight w:val="none"/>
          <w:lang w:bidi="ar"/>
        </w:rPr>
        <w:t>文件封面（参考格式）</w:t>
      </w:r>
      <w:bookmarkEnd w:id="6"/>
      <w:bookmarkEnd w:id="7"/>
    </w:p>
    <w:p w14:paraId="6AAA575F">
      <w:pPr>
        <w:widowControl/>
        <w:rPr>
          <w:rFonts w:hint="eastAsia" w:ascii="仿宋" w:hAnsi="仿宋" w:eastAsia="仿宋" w:cs="仿宋"/>
          <w:b/>
          <w:bCs/>
          <w:color w:val="auto"/>
          <w:sz w:val="84"/>
          <w:szCs w:val="84"/>
          <w:highlight w:val="none"/>
          <w:lang w:bidi="ar"/>
        </w:rPr>
      </w:pPr>
    </w:p>
    <w:p w14:paraId="2488EC54">
      <w:pPr>
        <w:widowControl/>
        <w:rPr>
          <w:rFonts w:hint="eastAsia" w:ascii="仿宋" w:hAnsi="仿宋" w:eastAsia="仿宋" w:cs="仿宋"/>
          <w:b/>
          <w:bCs/>
          <w:color w:val="auto"/>
          <w:sz w:val="84"/>
          <w:szCs w:val="84"/>
          <w:highlight w:val="none"/>
          <w:lang w:bidi="ar"/>
        </w:rPr>
      </w:pPr>
    </w:p>
    <w:p w14:paraId="74B59BC4">
      <w:pPr>
        <w:widowControl/>
        <w:jc w:val="center"/>
        <w:rPr>
          <w:rFonts w:hint="eastAsia" w:ascii="仿宋" w:hAnsi="仿宋" w:eastAsia="仿宋" w:cs="仿宋"/>
          <w:color w:val="auto"/>
          <w:highlight w:val="none"/>
        </w:rPr>
      </w:pPr>
      <w:r>
        <w:rPr>
          <w:rFonts w:hint="eastAsia" w:ascii="仿宋" w:hAnsi="仿宋" w:eastAsia="仿宋" w:cs="仿宋"/>
          <w:b/>
          <w:bCs/>
          <w:color w:val="auto"/>
          <w:sz w:val="84"/>
          <w:szCs w:val="84"/>
          <w:highlight w:val="none"/>
          <w:lang w:val="en-US" w:bidi="ar"/>
        </w:rPr>
        <w:t>投标</w:t>
      </w:r>
      <w:r>
        <w:rPr>
          <w:rFonts w:hint="eastAsia" w:ascii="仿宋" w:hAnsi="仿宋" w:eastAsia="仿宋" w:cs="仿宋"/>
          <w:b/>
          <w:bCs/>
          <w:color w:val="auto"/>
          <w:sz w:val="84"/>
          <w:szCs w:val="84"/>
          <w:highlight w:val="none"/>
          <w:lang w:bidi="ar"/>
        </w:rPr>
        <w:t>文件</w:t>
      </w:r>
    </w:p>
    <w:p w14:paraId="4688AE35">
      <w:pPr>
        <w:widowControl/>
        <w:rPr>
          <w:rFonts w:hint="eastAsia" w:ascii="仿宋" w:hAnsi="仿宋" w:eastAsia="仿宋" w:cs="仿宋"/>
          <w:b/>
          <w:bCs/>
          <w:color w:val="auto"/>
          <w:sz w:val="52"/>
          <w:szCs w:val="52"/>
          <w:highlight w:val="none"/>
          <w:lang w:bidi="ar"/>
        </w:rPr>
      </w:pPr>
    </w:p>
    <w:p w14:paraId="39F61095">
      <w:pPr>
        <w:widowControl/>
        <w:rPr>
          <w:rFonts w:hint="eastAsia" w:ascii="仿宋" w:hAnsi="仿宋" w:eastAsia="仿宋" w:cs="仿宋"/>
          <w:b/>
          <w:bCs/>
          <w:color w:val="auto"/>
          <w:sz w:val="52"/>
          <w:szCs w:val="52"/>
          <w:highlight w:val="none"/>
          <w:lang w:bidi="ar"/>
        </w:rPr>
      </w:pPr>
    </w:p>
    <w:p w14:paraId="4B763A6E">
      <w:pPr>
        <w:widowControl/>
        <w:rPr>
          <w:rFonts w:hint="eastAsia" w:ascii="仿宋" w:hAnsi="仿宋" w:eastAsia="仿宋" w:cs="仿宋"/>
          <w:color w:val="auto"/>
          <w:highlight w:val="none"/>
        </w:rPr>
      </w:pPr>
      <w:r>
        <w:rPr>
          <w:rFonts w:hint="eastAsia" w:ascii="仿宋" w:hAnsi="仿宋" w:eastAsia="仿宋" w:cs="仿宋"/>
          <w:b/>
          <w:bCs/>
          <w:color w:val="auto"/>
          <w:sz w:val="52"/>
          <w:szCs w:val="52"/>
          <w:highlight w:val="none"/>
          <w:lang w:bidi="ar"/>
        </w:rPr>
        <w:t xml:space="preserve"> </w:t>
      </w:r>
    </w:p>
    <w:p w14:paraId="007FCC91">
      <w:pPr>
        <w:widowControl/>
        <w:rPr>
          <w:rFonts w:hint="eastAsia" w:ascii="仿宋" w:hAnsi="仿宋" w:eastAsia="仿宋" w:cs="仿宋"/>
          <w:b/>
          <w:bCs/>
          <w:color w:val="auto"/>
          <w:sz w:val="31"/>
          <w:szCs w:val="31"/>
          <w:highlight w:val="none"/>
          <w:lang w:bidi="ar"/>
        </w:rPr>
      </w:pPr>
    </w:p>
    <w:p w14:paraId="3F0186D3">
      <w:pPr>
        <w:widowControl/>
        <w:rPr>
          <w:rFonts w:hint="eastAsia" w:ascii="仿宋" w:hAnsi="仿宋" w:eastAsia="仿宋" w:cs="仿宋"/>
          <w:b/>
          <w:bCs/>
          <w:color w:val="auto"/>
          <w:sz w:val="31"/>
          <w:szCs w:val="31"/>
          <w:highlight w:val="none"/>
          <w:lang w:bidi="ar"/>
        </w:rPr>
      </w:pPr>
    </w:p>
    <w:p w14:paraId="25B3572D">
      <w:pPr>
        <w:widowControl/>
        <w:rPr>
          <w:rFonts w:hint="eastAsia" w:ascii="仿宋" w:hAnsi="仿宋" w:eastAsia="仿宋" w:cs="仿宋"/>
          <w:b/>
          <w:bCs/>
          <w:color w:val="auto"/>
          <w:sz w:val="31"/>
          <w:szCs w:val="31"/>
          <w:highlight w:val="none"/>
          <w:lang w:bidi="ar"/>
        </w:rPr>
      </w:pPr>
    </w:p>
    <w:p w14:paraId="79DBB5B2">
      <w:pPr>
        <w:widowControl/>
        <w:rPr>
          <w:rFonts w:hint="eastAsia" w:ascii="仿宋" w:hAnsi="仿宋" w:eastAsia="仿宋" w:cs="仿宋"/>
          <w:color w:val="auto"/>
          <w:highlight w:val="none"/>
        </w:rPr>
      </w:pPr>
      <w:r>
        <w:rPr>
          <w:rFonts w:hint="eastAsia" w:ascii="仿宋" w:hAnsi="仿宋" w:eastAsia="仿宋" w:cs="仿宋"/>
          <w:b/>
          <w:bCs/>
          <w:color w:val="auto"/>
          <w:sz w:val="31"/>
          <w:szCs w:val="31"/>
          <w:highlight w:val="none"/>
          <w:lang w:bidi="ar"/>
        </w:rPr>
        <w:t xml:space="preserve">项目名称: </w:t>
      </w:r>
    </w:p>
    <w:p w14:paraId="5A2F97D3">
      <w:pPr>
        <w:widowControl/>
        <w:rPr>
          <w:rFonts w:hint="eastAsia" w:ascii="仿宋" w:hAnsi="仿宋" w:eastAsia="仿宋" w:cs="仿宋"/>
          <w:color w:val="auto"/>
          <w:highlight w:val="none"/>
        </w:rPr>
      </w:pPr>
      <w:r>
        <w:rPr>
          <w:rFonts w:hint="eastAsia" w:ascii="仿宋" w:hAnsi="仿宋" w:eastAsia="仿宋" w:cs="仿宋"/>
          <w:b/>
          <w:bCs/>
          <w:color w:val="auto"/>
          <w:sz w:val="31"/>
          <w:szCs w:val="31"/>
          <w:highlight w:val="none"/>
          <w:lang w:bidi="ar"/>
        </w:rPr>
        <w:t xml:space="preserve">项目编号： </w:t>
      </w:r>
    </w:p>
    <w:p w14:paraId="1362E423">
      <w:pPr>
        <w:widowControl/>
        <w:rPr>
          <w:rFonts w:hint="eastAsia" w:ascii="仿宋" w:hAnsi="仿宋" w:eastAsia="仿宋" w:cs="仿宋"/>
          <w:b/>
          <w:bCs/>
          <w:color w:val="auto"/>
          <w:sz w:val="31"/>
          <w:szCs w:val="31"/>
          <w:highlight w:val="none"/>
          <w:lang w:bidi="ar"/>
        </w:rPr>
      </w:pPr>
    </w:p>
    <w:p w14:paraId="78375C38">
      <w:pPr>
        <w:widowControl/>
        <w:rPr>
          <w:rFonts w:hint="eastAsia" w:ascii="仿宋" w:hAnsi="仿宋" w:eastAsia="仿宋" w:cs="仿宋"/>
          <w:b/>
          <w:bCs/>
          <w:color w:val="auto"/>
          <w:sz w:val="31"/>
          <w:szCs w:val="31"/>
          <w:highlight w:val="none"/>
          <w:lang w:bidi="ar"/>
        </w:rPr>
      </w:pPr>
    </w:p>
    <w:p w14:paraId="6E34ED9E">
      <w:pPr>
        <w:widowControl/>
        <w:rPr>
          <w:rFonts w:hint="eastAsia" w:ascii="仿宋" w:hAnsi="仿宋" w:eastAsia="仿宋" w:cs="仿宋"/>
          <w:b/>
          <w:bCs/>
          <w:color w:val="auto"/>
          <w:sz w:val="31"/>
          <w:szCs w:val="31"/>
          <w:highlight w:val="none"/>
          <w:lang w:bidi="ar"/>
        </w:rPr>
      </w:pPr>
      <w:r>
        <w:rPr>
          <w:rFonts w:hint="eastAsia" w:ascii="仿宋" w:hAnsi="仿宋" w:eastAsia="仿宋" w:cs="仿宋"/>
          <w:b/>
          <w:bCs/>
          <w:color w:val="auto"/>
          <w:sz w:val="31"/>
          <w:szCs w:val="31"/>
          <w:highlight w:val="none"/>
          <w:lang w:bidi="ar"/>
        </w:rPr>
        <w:t>供应商名称（盖公章）：</w:t>
      </w:r>
    </w:p>
    <w:p w14:paraId="39B0DD5C">
      <w:pPr>
        <w:widowControl/>
        <w:rPr>
          <w:rFonts w:hint="eastAsia" w:ascii="仿宋" w:hAnsi="仿宋" w:eastAsia="仿宋" w:cs="仿宋"/>
          <w:b/>
          <w:bCs/>
          <w:color w:val="auto"/>
          <w:sz w:val="31"/>
          <w:szCs w:val="31"/>
          <w:highlight w:val="none"/>
          <w:lang w:bidi="ar"/>
        </w:rPr>
      </w:pPr>
      <w:r>
        <w:rPr>
          <w:rFonts w:hint="eastAsia" w:ascii="仿宋" w:hAnsi="仿宋" w:eastAsia="仿宋" w:cs="仿宋"/>
          <w:b/>
          <w:bCs/>
          <w:color w:val="auto"/>
          <w:sz w:val="31"/>
          <w:szCs w:val="31"/>
          <w:highlight w:val="none"/>
          <w:lang w:bidi="ar"/>
        </w:rPr>
        <w:t>法定代表人或其授权代表（签字或印鉴）：</w:t>
      </w:r>
    </w:p>
    <w:p w14:paraId="0635F687">
      <w:pPr>
        <w:widowControl/>
        <w:rPr>
          <w:rFonts w:hint="eastAsia" w:ascii="仿宋" w:hAnsi="仿宋" w:eastAsia="仿宋" w:cs="仿宋"/>
          <w:b/>
          <w:bCs/>
          <w:color w:val="auto"/>
          <w:sz w:val="31"/>
          <w:szCs w:val="31"/>
          <w:highlight w:val="none"/>
          <w:lang w:bidi="ar"/>
        </w:rPr>
      </w:pPr>
    </w:p>
    <w:p w14:paraId="0D7FE7AB">
      <w:pPr>
        <w:widowControl/>
        <w:rPr>
          <w:rFonts w:hint="eastAsia" w:ascii="仿宋" w:hAnsi="仿宋" w:eastAsia="仿宋" w:cs="仿宋"/>
          <w:b/>
          <w:bCs/>
          <w:color w:val="auto"/>
          <w:sz w:val="31"/>
          <w:szCs w:val="31"/>
          <w:highlight w:val="none"/>
          <w:lang w:bidi="ar"/>
        </w:rPr>
      </w:pPr>
    </w:p>
    <w:p w14:paraId="262185E8">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379F3A5B">
      <w:pPr>
        <w:jc w:val="center"/>
        <w:rPr>
          <w:rFonts w:hint="eastAsia" w:ascii="仿宋" w:hAnsi="仿宋" w:eastAsia="仿宋" w:cs="仿宋"/>
          <w:b/>
          <w:bCs/>
          <w:color w:val="auto"/>
          <w:sz w:val="24"/>
          <w:szCs w:val="24"/>
          <w:highlight w:val="none"/>
        </w:rPr>
      </w:pPr>
    </w:p>
    <w:p w14:paraId="54C759B4">
      <w:pPr>
        <w:rPr>
          <w:rFonts w:hint="eastAsia" w:ascii="仿宋" w:hAnsi="仿宋" w:eastAsia="仿宋" w:cs="仿宋"/>
          <w:color w:val="auto"/>
          <w:highlight w:val="none"/>
        </w:rPr>
      </w:pPr>
    </w:p>
    <w:p w14:paraId="19D3B1A0">
      <w:pPr>
        <w:spacing w:before="58"/>
        <w:jc w:val="center"/>
        <w:rPr>
          <w:rFonts w:hint="eastAsia" w:ascii="仿宋" w:hAnsi="仿宋" w:eastAsia="仿宋" w:cs="仿宋"/>
          <w:b/>
          <w:color w:val="auto"/>
          <w:sz w:val="30"/>
          <w:highlight w:val="none"/>
        </w:rPr>
      </w:pPr>
      <w:r>
        <w:rPr>
          <w:rFonts w:hint="eastAsia" w:ascii="仿宋" w:hAnsi="仿宋" w:eastAsia="仿宋" w:cs="仿宋"/>
          <w:b/>
          <w:color w:val="auto"/>
          <w:sz w:val="30"/>
          <w:highlight w:val="none"/>
          <w:lang w:val="en-US"/>
        </w:rPr>
        <w:t xml:space="preserve">  </w:t>
      </w:r>
      <w:r>
        <w:rPr>
          <w:rFonts w:hint="eastAsia" w:ascii="仿宋" w:hAnsi="仿宋" w:eastAsia="仿宋" w:cs="仿宋"/>
          <w:b/>
          <w:color w:val="auto"/>
          <w:sz w:val="30"/>
          <w:highlight w:val="none"/>
        </w:rPr>
        <w:t>投标函</w:t>
      </w:r>
    </w:p>
    <w:p w14:paraId="5B12A87C">
      <w:pPr>
        <w:pStyle w:val="10"/>
        <w:spacing w:before="0"/>
        <w:ind w:left="0" w:firstLine="48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rPr>
        <w:t>致：</w:t>
      </w:r>
      <w:r>
        <w:rPr>
          <w:rFonts w:hint="eastAsia" w:ascii="仿宋" w:hAnsi="仿宋" w:eastAsia="仿宋" w:cs="仿宋"/>
          <w:color w:val="auto"/>
          <w:highlight w:val="none"/>
          <w:lang w:val="en-US"/>
        </w:rPr>
        <w:t>招标人</w:t>
      </w:r>
    </w:p>
    <w:p w14:paraId="1401588B">
      <w:pPr>
        <w:pStyle w:val="10"/>
        <w:tabs>
          <w:tab w:val="left" w:pos="3116"/>
        </w:tabs>
        <w:spacing w:before="0" w:line="364" w:lineRule="auto"/>
        <w:ind w:left="0" w:firstLine="482" w:firstLineChars="200"/>
        <w:jc w:val="both"/>
        <w:rPr>
          <w:rFonts w:hint="eastAsia" w:ascii="仿宋" w:hAnsi="仿宋" w:eastAsia="仿宋" w:cs="仿宋"/>
          <w:b/>
          <w:color w:val="auto"/>
          <w:highlight w:val="none"/>
        </w:rPr>
      </w:pPr>
      <w:r>
        <w:rPr>
          <w:rFonts w:hint="eastAsia" w:ascii="仿宋" w:hAnsi="仿宋" w:eastAsia="仿宋" w:cs="仿宋"/>
          <w:b/>
          <w:color w:val="auto"/>
          <w:highlight w:val="none"/>
        </w:rPr>
        <w:t>根据贵方为</w:t>
      </w:r>
      <w:r>
        <w:rPr>
          <w:rFonts w:hint="eastAsia" w:ascii="仿宋" w:hAnsi="仿宋" w:eastAsia="仿宋" w:cs="仿宋"/>
          <w:b/>
          <w:color w:val="auto"/>
          <w:highlight w:val="none"/>
          <w:u w:val="single"/>
        </w:rPr>
        <w:t xml:space="preserve"> （项目名称）   </w:t>
      </w:r>
      <w:r>
        <w:rPr>
          <w:rFonts w:hint="eastAsia" w:ascii="仿宋" w:hAnsi="仿宋" w:eastAsia="仿宋" w:cs="仿宋"/>
          <w:b/>
          <w:color w:val="auto"/>
          <w:highlight w:val="none"/>
        </w:rPr>
        <w:t>项目招标采购货物的投标邀请</w:t>
      </w:r>
      <w:r>
        <w:rPr>
          <w:rFonts w:hint="eastAsia" w:ascii="仿宋" w:hAnsi="仿宋" w:eastAsia="仿宋" w:cs="仿宋"/>
          <w:b/>
          <w:color w:val="auto"/>
          <w:highlight w:val="none"/>
          <w:u w:val="single"/>
        </w:rPr>
        <w:t>（项目编号</w:t>
      </w:r>
      <w:r>
        <w:rPr>
          <w:rFonts w:hint="eastAsia" w:ascii="仿宋" w:hAnsi="仿宋" w:eastAsia="仿宋" w:cs="仿宋"/>
          <w:b/>
          <w:color w:val="auto"/>
          <w:highlight w:val="none"/>
          <w:u w:val="single"/>
          <w:shd w:val="clear" w:color="auto" w:fill="auto"/>
          <w:lang w:eastAsia="zh-CN"/>
        </w:rPr>
        <w:t>、</w:t>
      </w:r>
      <w:r>
        <w:rPr>
          <w:rFonts w:hint="eastAsia" w:ascii="仿宋" w:hAnsi="仿宋" w:eastAsia="仿宋" w:cs="仿宋"/>
          <w:b/>
          <w:color w:val="auto"/>
          <w:highlight w:val="none"/>
          <w:u w:val="single"/>
          <w:shd w:val="clear" w:color="auto" w:fill="auto"/>
          <w:lang w:val="en-US" w:eastAsia="zh-CN"/>
        </w:rPr>
        <w:t>标包</w:t>
      </w:r>
      <w:r>
        <w:rPr>
          <w:rFonts w:hint="eastAsia" w:ascii="仿宋" w:hAnsi="仿宋" w:eastAsia="仿宋" w:cs="仿宋"/>
          <w:b/>
          <w:color w:val="auto"/>
          <w:highlight w:val="none"/>
          <w:u w:val="single"/>
        </w:rPr>
        <w:t xml:space="preserve">） </w:t>
      </w:r>
      <w:r>
        <w:rPr>
          <w:rFonts w:hint="eastAsia" w:ascii="仿宋" w:hAnsi="仿宋" w:eastAsia="仿宋" w:cs="仿宋"/>
          <w:b/>
          <w:color w:val="auto"/>
          <w:highlight w:val="none"/>
        </w:rPr>
        <w:t>，签字代表</w:t>
      </w:r>
      <w:r>
        <w:rPr>
          <w:rFonts w:hint="eastAsia" w:ascii="仿宋" w:hAnsi="仿宋" w:eastAsia="仿宋" w:cs="仿宋"/>
          <w:b/>
          <w:color w:val="auto"/>
          <w:highlight w:val="none"/>
          <w:u w:val="single"/>
        </w:rPr>
        <w:t>（姓名、职务）</w:t>
      </w:r>
      <w:r>
        <w:rPr>
          <w:rFonts w:hint="eastAsia" w:ascii="仿宋" w:hAnsi="仿宋" w:eastAsia="仿宋" w:cs="仿宋"/>
          <w:b/>
          <w:color w:val="auto"/>
          <w:highlight w:val="none"/>
        </w:rPr>
        <w:t>经正式授权并代表投标人</w:t>
      </w:r>
      <w:r>
        <w:rPr>
          <w:rFonts w:hint="eastAsia" w:ascii="仿宋" w:hAnsi="仿宋" w:eastAsia="仿宋" w:cs="仿宋"/>
          <w:b/>
          <w:color w:val="auto"/>
          <w:highlight w:val="none"/>
          <w:u w:val="single"/>
        </w:rPr>
        <w:t>（投标人名称、地址）</w:t>
      </w:r>
      <w:r>
        <w:rPr>
          <w:rFonts w:hint="eastAsia" w:ascii="仿宋" w:hAnsi="仿宋" w:eastAsia="仿宋" w:cs="仿宋"/>
          <w:b/>
          <w:color w:val="auto"/>
          <w:highlight w:val="none"/>
        </w:rPr>
        <w:t>提交下述文件。</w:t>
      </w:r>
    </w:p>
    <w:p w14:paraId="0D597EAA">
      <w:pPr>
        <w:pStyle w:val="10"/>
        <w:tabs>
          <w:tab w:val="left" w:pos="3116"/>
        </w:tabs>
        <w:spacing w:before="0" w:line="364" w:lineRule="auto"/>
        <w:ind w:left="0" w:firstLine="482" w:firstLineChars="200"/>
        <w:jc w:val="both"/>
        <w:rPr>
          <w:rFonts w:hint="eastAsia" w:ascii="仿宋" w:hAnsi="仿宋" w:eastAsia="仿宋" w:cs="仿宋"/>
          <w:b/>
          <w:color w:val="auto"/>
          <w:highlight w:val="none"/>
        </w:rPr>
      </w:pPr>
      <w:r>
        <w:rPr>
          <w:rFonts w:hint="eastAsia" w:ascii="仿宋" w:hAnsi="仿宋" w:eastAsia="仿宋" w:cs="仿宋"/>
          <w:b/>
          <w:color w:val="auto"/>
          <w:highlight w:val="none"/>
        </w:rPr>
        <w:t>据此函，签字代表宣布并同意如下：</w:t>
      </w:r>
    </w:p>
    <w:p w14:paraId="3527C304">
      <w:pPr>
        <w:pStyle w:val="31"/>
        <w:numPr>
          <w:ilvl w:val="0"/>
          <w:numId w:val="6"/>
        </w:numPr>
        <w:tabs>
          <w:tab w:val="left" w:pos="1881"/>
        </w:tabs>
        <w:spacing w:before="0" w:line="360" w:lineRule="auto"/>
        <w:ind w:left="-40" w:firstLine="48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开标一览表</w:t>
      </w:r>
    </w:p>
    <w:p w14:paraId="75928D3F">
      <w:pPr>
        <w:pStyle w:val="31"/>
        <w:numPr>
          <w:ilvl w:val="0"/>
          <w:numId w:val="6"/>
        </w:numPr>
        <w:tabs>
          <w:tab w:val="left" w:pos="1881"/>
        </w:tabs>
        <w:spacing w:before="0" w:line="360" w:lineRule="auto"/>
        <w:ind w:left="-40" w:firstLine="48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报价明细</w:t>
      </w:r>
      <w:r>
        <w:rPr>
          <w:rFonts w:hint="eastAsia" w:ascii="仿宋" w:hAnsi="仿宋" w:eastAsia="仿宋" w:cs="仿宋"/>
          <w:color w:val="auto"/>
          <w:sz w:val="24"/>
          <w:highlight w:val="none"/>
        </w:rPr>
        <w:t>表</w:t>
      </w:r>
    </w:p>
    <w:p w14:paraId="2D0DBC40">
      <w:pPr>
        <w:pStyle w:val="31"/>
        <w:numPr>
          <w:ilvl w:val="0"/>
          <w:numId w:val="6"/>
        </w:numPr>
        <w:tabs>
          <w:tab w:val="left" w:pos="1881"/>
        </w:tabs>
        <w:spacing w:before="0" w:line="360" w:lineRule="auto"/>
        <w:ind w:left="-4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技术、商务</w:t>
      </w:r>
      <w:r>
        <w:rPr>
          <w:rFonts w:hint="eastAsia" w:ascii="仿宋" w:hAnsi="仿宋" w:eastAsia="仿宋" w:cs="仿宋"/>
          <w:color w:val="auto"/>
          <w:sz w:val="24"/>
          <w:highlight w:val="none"/>
        </w:rPr>
        <w:t>偏离表</w:t>
      </w:r>
    </w:p>
    <w:p w14:paraId="09285D59">
      <w:pPr>
        <w:pStyle w:val="31"/>
        <w:numPr>
          <w:ilvl w:val="0"/>
          <w:numId w:val="6"/>
        </w:numPr>
        <w:tabs>
          <w:tab w:val="left" w:pos="1881"/>
        </w:tabs>
        <w:spacing w:before="0" w:line="360" w:lineRule="auto"/>
        <w:ind w:left="-4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资格证明文件</w:t>
      </w:r>
    </w:p>
    <w:p w14:paraId="1A080740">
      <w:pPr>
        <w:pStyle w:val="31"/>
        <w:numPr>
          <w:ilvl w:val="0"/>
          <w:numId w:val="6"/>
        </w:numPr>
        <w:tabs>
          <w:tab w:val="left" w:pos="1881"/>
        </w:tabs>
        <w:spacing w:before="0" w:line="360" w:lineRule="auto"/>
        <w:ind w:left="-4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实施</w:t>
      </w:r>
      <w:r>
        <w:rPr>
          <w:rFonts w:hint="eastAsia" w:ascii="仿宋" w:hAnsi="仿宋" w:eastAsia="仿宋" w:cs="仿宋"/>
          <w:color w:val="auto"/>
          <w:sz w:val="24"/>
          <w:highlight w:val="none"/>
          <w:lang w:val="en-US"/>
        </w:rPr>
        <w:t>方案</w:t>
      </w:r>
    </w:p>
    <w:p w14:paraId="1E074F35">
      <w:pPr>
        <w:pStyle w:val="31"/>
        <w:numPr>
          <w:ilvl w:val="0"/>
          <w:numId w:val="6"/>
        </w:numPr>
        <w:tabs>
          <w:tab w:val="left" w:pos="1881"/>
        </w:tabs>
        <w:spacing w:before="0" w:line="360" w:lineRule="auto"/>
        <w:ind w:left="-4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按采购文件要求提供有关文件</w:t>
      </w:r>
    </w:p>
    <w:p w14:paraId="7AC55910">
      <w:pPr>
        <w:pStyle w:val="31"/>
        <w:numPr>
          <w:ilvl w:val="0"/>
          <w:numId w:val="6"/>
        </w:numPr>
        <w:tabs>
          <w:tab w:val="left" w:pos="1881"/>
          <w:tab w:val="left" w:pos="6680"/>
        </w:tabs>
        <w:spacing w:before="0" w:line="360" w:lineRule="auto"/>
        <w:ind w:left="-4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投标保证金，金额为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4FB63009">
      <w:pPr>
        <w:pStyle w:val="10"/>
        <w:numPr>
          <w:ilvl w:val="0"/>
          <w:numId w:val="7"/>
        </w:numPr>
        <w:tabs>
          <w:tab w:val="left" w:pos="-220"/>
        </w:tabs>
        <w:spacing w:before="0" w:line="364" w:lineRule="auto"/>
        <w:ind w:lef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所附投标报价表中规定的应提交和交付的货物和服务投标总价为</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u w:val="single"/>
        </w:rPr>
        <w:t>（注明币种</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u w:val="single"/>
        </w:rPr>
        <w:t>，</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并用文字和数字表示的投标总价）。</w:t>
      </w:r>
    </w:p>
    <w:p w14:paraId="555190DE">
      <w:pPr>
        <w:pStyle w:val="10"/>
        <w:spacing w:before="0"/>
        <w:ind w:left="0"/>
        <w:rPr>
          <w:rFonts w:hint="eastAsia" w:ascii="仿宋" w:hAnsi="仿宋" w:eastAsia="仿宋" w:cs="仿宋"/>
          <w:color w:val="auto"/>
          <w:highlight w:val="none"/>
        </w:rPr>
      </w:pP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rPr>
        <w:t>2、投标人将按采购文件的规定履行合同责任和义务；</w:t>
      </w:r>
    </w:p>
    <w:p w14:paraId="797FFDB5">
      <w:pPr>
        <w:pStyle w:val="10"/>
        <w:spacing w:before="0" w:line="364" w:lineRule="auto"/>
        <w:ind w:lef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3、投标人已详细阅读并理解了采购文件的全部，包括修改文件。我们完全理解并同意放弃对这方面有不明及误解的权利。</w:t>
      </w:r>
    </w:p>
    <w:p w14:paraId="22989EF0">
      <w:pPr>
        <w:pStyle w:val="10"/>
        <w:tabs>
          <w:tab w:val="left" w:pos="5151"/>
        </w:tabs>
        <w:spacing w:before="0"/>
        <w:ind w:lef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4、本投标有效期自开标之日起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rPr>
        <w:t>个日历日。</w:t>
      </w:r>
    </w:p>
    <w:p w14:paraId="4DECF80E">
      <w:pPr>
        <w:pStyle w:val="10"/>
        <w:spacing w:before="0" w:line="364" w:lineRule="auto"/>
        <w:ind w:lef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5、在规定的开标时间后，如果在投标有效期内撤回投标，同意投标保证金将被贵方没收。</w:t>
      </w:r>
    </w:p>
    <w:p w14:paraId="5FB55C14">
      <w:pPr>
        <w:pStyle w:val="10"/>
        <w:spacing w:before="0" w:line="364" w:lineRule="auto"/>
        <w:ind w:lef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6、投标人同意提供按照贵方可能要求的与其投标有关的一切数据或资料，完全理解贵方不一定接受最低价的投标或收到的任何投标的约定。</w:t>
      </w:r>
    </w:p>
    <w:p w14:paraId="1BE4E8CA">
      <w:pPr>
        <w:pStyle w:val="10"/>
        <w:spacing w:before="0"/>
        <w:ind w:lef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7、与本投标有关的一切正式往来信函请寄：</w:t>
      </w:r>
    </w:p>
    <w:p w14:paraId="27EC0975">
      <w:pPr>
        <w:pStyle w:val="10"/>
        <w:spacing w:before="0"/>
        <w:ind w:left="0" w:firstLine="480" w:firstLineChars="200"/>
        <w:rPr>
          <w:rFonts w:hint="eastAsia" w:ascii="仿宋" w:hAnsi="仿宋" w:eastAsia="仿宋" w:cs="仿宋"/>
          <w:color w:val="auto"/>
          <w:highlight w:val="none"/>
        </w:rPr>
      </w:pPr>
    </w:p>
    <w:p w14:paraId="51ABCA29">
      <w:pPr>
        <w:pStyle w:val="10"/>
        <w:spacing w:before="0" w:line="364" w:lineRule="auto"/>
        <w:ind w:lef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投标人名称（盖章）：</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rPr>
        <w:t xml:space="preserve"> </w:t>
      </w:r>
    </w:p>
    <w:p w14:paraId="6958DC93">
      <w:pPr>
        <w:pStyle w:val="10"/>
        <w:spacing w:before="0" w:line="364" w:lineRule="auto"/>
        <w:ind w:left="0" w:firstLine="48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rPr>
        <w:t>法定代表人或委托代理人签字（或盖章）：</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rPr>
        <w:t xml:space="preserve">                          </w:t>
      </w:r>
    </w:p>
    <w:p w14:paraId="5EF4C2CB">
      <w:pPr>
        <w:pStyle w:val="10"/>
        <w:spacing w:before="0" w:line="364" w:lineRule="auto"/>
        <w:ind w:left="0" w:firstLine="48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rPr>
        <w:t>地</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rPr>
        <w:t>址：</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rPr>
        <w:tab/>
      </w:r>
      <w:r>
        <w:rPr>
          <w:rFonts w:hint="eastAsia" w:ascii="仿宋" w:hAnsi="仿宋" w:eastAsia="仿宋" w:cs="仿宋"/>
          <w:color w:val="auto"/>
          <w:highlight w:val="none"/>
          <w:lang w:val="en-US"/>
        </w:rPr>
        <w:t xml:space="preserve">      </w:t>
      </w:r>
    </w:p>
    <w:p w14:paraId="70F7A155">
      <w:pPr>
        <w:pStyle w:val="10"/>
        <w:spacing w:before="0" w:line="364" w:lineRule="auto"/>
        <w:ind w:left="0"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电话：</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lang w:val="en-US"/>
        </w:rPr>
        <w:t xml:space="preserve"> </w:t>
      </w:r>
      <w:r>
        <w:rPr>
          <w:rFonts w:hint="eastAsia" w:ascii="仿宋" w:hAnsi="仿宋" w:eastAsia="仿宋" w:cs="仿宋"/>
          <w:b/>
          <w:bCs/>
          <w:color w:val="auto"/>
          <w:highlight w:val="none"/>
          <w:lang w:val="en-US"/>
        </w:rPr>
        <w:t xml:space="preserve">        </w:t>
      </w:r>
      <w:r>
        <w:rPr>
          <w:rFonts w:hint="eastAsia" w:ascii="仿宋" w:hAnsi="仿宋" w:eastAsia="仿宋" w:cs="仿宋"/>
          <w:b/>
          <w:bCs/>
          <w:color w:val="auto"/>
          <w:highlight w:val="none"/>
        </w:rPr>
        <w:t xml:space="preserve"> </w:t>
      </w:r>
      <w:r>
        <w:rPr>
          <w:rFonts w:hint="eastAsia" w:ascii="仿宋" w:hAnsi="仿宋" w:eastAsia="仿宋" w:cs="仿宋"/>
          <w:b/>
          <w:bCs/>
          <w:color w:val="auto"/>
          <w:highlight w:val="none"/>
        </w:rPr>
        <w:tab/>
      </w:r>
    </w:p>
    <w:p w14:paraId="2259051E">
      <w:pPr>
        <w:pStyle w:val="10"/>
        <w:tabs>
          <w:tab w:val="left" w:pos="2917"/>
          <w:tab w:val="left" w:pos="5496"/>
        </w:tabs>
        <w:spacing w:before="0"/>
        <w:ind w:left="0" w:firstLine="480" w:firstLineChars="200"/>
        <w:jc w:val="center"/>
        <w:rPr>
          <w:rFonts w:hint="eastAsia" w:ascii="仿宋" w:hAnsi="仿宋" w:eastAsia="仿宋" w:cs="仿宋"/>
          <w:color w:val="auto"/>
          <w:highlight w:val="none"/>
          <w:u w:val="single"/>
        </w:rPr>
      </w:pP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日</w:t>
      </w:r>
    </w:p>
    <w:p w14:paraId="75F22947">
      <w:pPr>
        <w:rPr>
          <w:rFonts w:hint="eastAsia" w:ascii="仿宋" w:hAnsi="仿宋" w:eastAsia="仿宋" w:cs="仿宋"/>
          <w:color w:val="auto"/>
          <w:highlight w:val="none"/>
        </w:rPr>
      </w:pPr>
    </w:p>
    <w:p w14:paraId="1732790D">
      <w:pPr>
        <w:spacing w:before="67"/>
        <w:jc w:val="center"/>
        <w:rPr>
          <w:rFonts w:hint="eastAsia" w:ascii="仿宋" w:hAnsi="仿宋" w:eastAsia="仿宋" w:cs="仿宋"/>
          <w:b/>
          <w:bCs/>
          <w:color w:val="auto"/>
          <w:sz w:val="28"/>
          <w:szCs w:val="28"/>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28"/>
          <w:szCs w:val="28"/>
          <w:highlight w:val="none"/>
        </w:rPr>
        <w:t>法定代表人资格证明书或法定代表人授权委托书格式</w:t>
      </w:r>
    </w:p>
    <w:p w14:paraId="2BEAEF8E">
      <w:pPr>
        <w:pStyle w:val="10"/>
        <w:spacing w:before="0"/>
        <w:ind w:left="0"/>
        <w:rPr>
          <w:rFonts w:hint="eastAsia" w:ascii="仿宋" w:hAnsi="仿宋" w:eastAsia="仿宋" w:cs="仿宋"/>
          <w:b/>
          <w:color w:val="auto"/>
          <w:highlight w:val="none"/>
        </w:rPr>
      </w:pPr>
    </w:p>
    <w:p w14:paraId="62DFC5AA">
      <w:pPr>
        <w:pStyle w:val="35"/>
        <w:adjustRightInd w:val="0"/>
        <w:snapToGrid w:val="0"/>
        <w:spacing w:line="400" w:lineRule="exact"/>
        <w:jc w:val="center"/>
        <w:rPr>
          <w:rFonts w:hint="eastAsia" w:ascii="仿宋" w:hAnsi="仿宋" w:eastAsia="仿宋" w:cs="仿宋"/>
          <w:b/>
          <w:bCs/>
          <w:color w:val="auto"/>
          <w:sz w:val="24"/>
          <w:szCs w:val="24"/>
          <w:highlight w:val="none"/>
        </w:rPr>
      </w:pPr>
    </w:p>
    <w:p w14:paraId="1C734FDF">
      <w:pPr>
        <w:pStyle w:val="35"/>
        <w:adjustRightInd w:val="0"/>
        <w:snapToGrid w:val="0"/>
        <w:spacing w:line="400" w:lineRule="exact"/>
        <w:jc w:val="cente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法定代表人资格证明书</w:t>
      </w:r>
    </w:p>
    <w:p w14:paraId="30F32552">
      <w:pPr>
        <w:pStyle w:val="35"/>
        <w:adjustRightInd w:val="0"/>
        <w:snapToGrid w:val="0"/>
        <w:spacing w:line="400" w:lineRule="exact"/>
        <w:jc w:val="center"/>
        <w:rPr>
          <w:rFonts w:hint="eastAsia" w:ascii="仿宋" w:hAnsi="仿宋" w:eastAsia="仿宋" w:cs="仿宋"/>
          <w:b/>
          <w:bCs/>
          <w:color w:val="auto"/>
          <w:szCs w:val="28"/>
          <w:highlight w:val="none"/>
        </w:rPr>
      </w:pPr>
    </w:p>
    <w:p w14:paraId="41D1542A">
      <w:pPr>
        <w:pStyle w:val="35"/>
        <w:adjustRightInd w:val="0"/>
        <w:snapToGrid w:val="0"/>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（采购人名称）                </w:t>
      </w:r>
      <w:r>
        <w:rPr>
          <w:rFonts w:hint="eastAsia" w:ascii="仿宋" w:hAnsi="仿宋" w:eastAsia="仿宋" w:cs="仿宋"/>
          <w:color w:val="auto"/>
          <w:sz w:val="24"/>
          <w:szCs w:val="24"/>
          <w:highlight w:val="none"/>
        </w:rPr>
        <w:t>：</w:t>
      </w:r>
    </w:p>
    <w:p w14:paraId="546F8279">
      <w:pPr>
        <w:pStyle w:val="35"/>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公司法定代表人，代表我公司办理一切社会公务事宜，具有法律效力。 </w:t>
      </w:r>
    </w:p>
    <w:p w14:paraId="365C86D1">
      <w:pPr>
        <w:pStyle w:val="35"/>
        <w:adjustRightInd w:val="0"/>
        <w:snapToGrid w:val="0"/>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附法定代表人基本情况： </w:t>
      </w:r>
    </w:p>
    <w:p w14:paraId="2D78D6CF">
      <w:pPr>
        <w:pStyle w:val="35"/>
        <w:adjustRightInd w:val="0"/>
        <w:snapToGrid w:val="0"/>
        <w:spacing w:line="360" w:lineRule="auto"/>
        <w:ind w:firstLine="1200" w:firstLineChars="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p>
    <w:p w14:paraId="7D38D215">
      <w:pPr>
        <w:pStyle w:val="35"/>
        <w:adjustRightInd w:val="0"/>
        <w:snapToGrid w:val="0"/>
        <w:spacing w:line="360" w:lineRule="auto"/>
        <w:ind w:firstLine="1200" w:firstLineChars="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u w:val="single"/>
        </w:rPr>
        <w:t xml:space="preserve">                     </w:t>
      </w:r>
    </w:p>
    <w:p w14:paraId="701B81D7">
      <w:pPr>
        <w:pStyle w:val="35"/>
        <w:adjustRightInd w:val="0"/>
        <w:snapToGrid w:val="0"/>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1E1EC0CB">
      <w:pPr>
        <w:pStyle w:val="35"/>
        <w:adjustRightInd w:val="0"/>
        <w:snapToGrid w:val="0"/>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w:t>
      </w:r>
    </w:p>
    <w:p w14:paraId="46B206FD">
      <w:pPr>
        <w:pStyle w:val="35"/>
        <w:adjustRightInd w:val="0"/>
        <w:snapToGrid w:val="0"/>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3B48D073">
      <w:pPr>
        <w:pStyle w:val="35"/>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bl>
      <w:tblPr>
        <w:tblStyle w:val="20"/>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7B2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33F15A7">
            <w:pPr>
              <w:pStyle w:val="35"/>
              <w:adjustRightInd w:val="0"/>
              <w:snapToGrid w:val="0"/>
              <w:spacing w:line="400" w:lineRule="exact"/>
              <w:jc w:val="center"/>
              <w:rPr>
                <w:rFonts w:hint="eastAsia" w:ascii="仿宋" w:hAnsi="仿宋" w:eastAsia="仿宋" w:cs="仿宋"/>
                <w:color w:val="auto"/>
                <w:sz w:val="24"/>
                <w:szCs w:val="24"/>
                <w:highlight w:val="none"/>
              </w:rPr>
            </w:pPr>
          </w:p>
          <w:p w14:paraId="0CF8237E">
            <w:pPr>
              <w:pStyle w:val="35"/>
              <w:adjustRightInd w:val="0"/>
              <w:snapToGrid w:val="0"/>
              <w:spacing w:line="400" w:lineRule="exact"/>
              <w:jc w:val="center"/>
              <w:rPr>
                <w:rFonts w:hint="eastAsia" w:ascii="仿宋" w:hAnsi="仿宋" w:eastAsia="仿宋" w:cs="仿宋"/>
                <w:color w:val="auto"/>
                <w:sz w:val="24"/>
                <w:szCs w:val="24"/>
                <w:highlight w:val="none"/>
              </w:rPr>
            </w:pPr>
          </w:p>
          <w:p w14:paraId="110CEF79">
            <w:pPr>
              <w:pStyle w:val="35"/>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法定代表人《居民身份证》扫描件</w:t>
            </w:r>
          </w:p>
        </w:tc>
      </w:tr>
    </w:tbl>
    <w:p w14:paraId="10BBD20A">
      <w:pPr>
        <w:pStyle w:val="35"/>
        <w:adjustRightInd w:val="0"/>
        <w:snapToGrid w:val="0"/>
        <w:spacing w:line="400" w:lineRule="exact"/>
        <w:rPr>
          <w:rFonts w:hint="eastAsia" w:ascii="仿宋" w:hAnsi="仿宋" w:eastAsia="仿宋" w:cs="仿宋"/>
          <w:color w:val="auto"/>
          <w:sz w:val="24"/>
          <w:szCs w:val="24"/>
          <w:highlight w:val="none"/>
        </w:rPr>
      </w:pPr>
    </w:p>
    <w:p w14:paraId="2AEDF6E2">
      <w:pPr>
        <w:pStyle w:val="35"/>
        <w:tabs>
          <w:tab w:val="left" w:pos="750"/>
        </w:tabs>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投标人名称（盖章）：</w:t>
      </w:r>
      <w:r>
        <w:rPr>
          <w:rFonts w:hint="eastAsia" w:ascii="仿宋" w:hAnsi="仿宋" w:eastAsia="仿宋" w:cs="仿宋"/>
          <w:color w:val="auto"/>
          <w:sz w:val="24"/>
          <w:szCs w:val="24"/>
          <w:highlight w:val="none"/>
          <w:u w:val="single"/>
        </w:rPr>
        <w:t xml:space="preserve">                        </w:t>
      </w:r>
    </w:p>
    <w:p w14:paraId="1D5AE265">
      <w:pPr>
        <w:pStyle w:val="26"/>
        <w:spacing w:line="400" w:lineRule="exact"/>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 xml:space="preserve">  </w:t>
      </w:r>
    </w:p>
    <w:p w14:paraId="4DB445BE">
      <w:pPr>
        <w:pStyle w:val="35"/>
        <w:tabs>
          <w:tab w:val="left" w:pos="750"/>
        </w:tabs>
        <w:adjustRightInd w:val="0"/>
        <w:snapToGrid w:val="0"/>
        <w:spacing w:line="4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法人代表人（签字或盖章）：</w:t>
      </w:r>
      <w:r>
        <w:rPr>
          <w:rFonts w:hint="eastAsia" w:ascii="仿宋" w:hAnsi="仿宋" w:eastAsia="仿宋" w:cs="仿宋"/>
          <w:color w:val="auto"/>
          <w:sz w:val="24"/>
          <w:szCs w:val="24"/>
          <w:highlight w:val="none"/>
          <w:u w:val="single"/>
        </w:rPr>
        <w:t xml:space="preserve">                       </w:t>
      </w:r>
    </w:p>
    <w:p w14:paraId="53860FBA">
      <w:pPr>
        <w:pStyle w:val="26"/>
        <w:spacing w:line="400" w:lineRule="exact"/>
        <w:rPr>
          <w:rFonts w:hint="eastAsia" w:ascii="仿宋" w:hAnsi="仿宋" w:eastAsia="仿宋" w:cs="仿宋"/>
          <w:color w:val="auto"/>
          <w:kern w:val="2"/>
          <w:highlight w:val="none"/>
        </w:rPr>
      </w:pPr>
    </w:p>
    <w:p w14:paraId="275CB6F9">
      <w:pPr>
        <w:pStyle w:val="35"/>
        <w:tabs>
          <w:tab w:val="left" w:pos="750"/>
        </w:tabs>
        <w:adjustRightInd w:val="0"/>
        <w:snapToGrid w:val="0"/>
        <w:spacing w:line="4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C3B582C">
      <w:pPr>
        <w:pStyle w:val="35"/>
        <w:tabs>
          <w:tab w:val="left" w:pos="750"/>
        </w:tabs>
        <w:adjustRightInd w:val="0"/>
        <w:snapToGrid w:val="0"/>
        <w:spacing w:line="400" w:lineRule="exact"/>
        <w:ind w:firstLine="720" w:firstLineChars="300"/>
        <w:rPr>
          <w:rFonts w:hint="eastAsia" w:ascii="仿宋" w:hAnsi="仿宋" w:eastAsia="仿宋" w:cs="仿宋"/>
          <w:color w:val="auto"/>
          <w:sz w:val="24"/>
          <w:szCs w:val="24"/>
          <w:highlight w:val="none"/>
        </w:rPr>
      </w:pPr>
    </w:p>
    <w:p w14:paraId="57F3727D">
      <w:pPr>
        <w:pStyle w:val="35"/>
        <w:adjustRightInd w:val="0"/>
        <w:snapToGrid w:val="0"/>
        <w:spacing w:line="400" w:lineRule="exact"/>
        <w:rPr>
          <w:rFonts w:hint="eastAsia" w:ascii="仿宋" w:hAnsi="仿宋" w:eastAsia="仿宋" w:cs="仿宋"/>
          <w:color w:val="auto"/>
          <w:sz w:val="24"/>
          <w:szCs w:val="24"/>
          <w:highlight w:val="none"/>
        </w:rPr>
      </w:pPr>
    </w:p>
    <w:p w14:paraId="173B6B2B">
      <w:pPr>
        <w:pStyle w:val="35"/>
        <w:adjustRightInd w:val="0"/>
        <w:snapToGrid w:val="0"/>
        <w:spacing w:line="400" w:lineRule="exact"/>
        <w:jc w:val="center"/>
        <w:rPr>
          <w:rFonts w:hint="eastAsia" w:ascii="仿宋" w:hAnsi="仿宋" w:eastAsia="仿宋" w:cs="仿宋"/>
          <w:b/>
          <w:bCs/>
          <w:color w:val="auto"/>
          <w:szCs w:val="28"/>
          <w:highlight w:val="none"/>
        </w:rPr>
      </w:pPr>
    </w:p>
    <w:p w14:paraId="3E403BFD">
      <w:pPr>
        <w:pStyle w:val="35"/>
        <w:adjustRightInd w:val="0"/>
        <w:snapToGrid w:val="0"/>
        <w:spacing w:line="400" w:lineRule="exact"/>
        <w:rPr>
          <w:rFonts w:hint="eastAsia" w:ascii="仿宋" w:hAnsi="仿宋" w:eastAsia="仿宋" w:cs="仿宋"/>
          <w:b/>
          <w:bCs/>
          <w:color w:val="auto"/>
          <w:szCs w:val="28"/>
          <w:highlight w:val="none"/>
        </w:rPr>
      </w:pPr>
    </w:p>
    <w:p w14:paraId="3EB42042">
      <w:pPr>
        <w:pStyle w:val="35"/>
        <w:adjustRightInd w:val="0"/>
        <w:snapToGrid w:val="0"/>
        <w:spacing w:line="400" w:lineRule="exact"/>
        <w:jc w:val="center"/>
        <w:rPr>
          <w:rFonts w:hint="eastAsia" w:ascii="仿宋" w:hAnsi="仿宋" w:eastAsia="仿宋" w:cs="仿宋"/>
          <w:b/>
          <w:bCs/>
          <w:color w:val="auto"/>
          <w:szCs w:val="28"/>
          <w:highlight w:val="none"/>
        </w:rPr>
      </w:pPr>
    </w:p>
    <w:p w14:paraId="150C9DD4">
      <w:pPr>
        <w:pStyle w:val="35"/>
        <w:adjustRightInd w:val="0"/>
        <w:snapToGrid w:val="0"/>
        <w:spacing w:line="400" w:lineRule="exact"/>
        <w:jc w:val="cente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br w:type="page"/>
      </w:r>
      <w:r>
        <w:rPr>
          <w:rFonts w:hint="eastAsia" w:ascii="仿宋" w:hAnsi="仿宋" w:eastAsia="仿宋" w:cs="仿宋"/>
          <w:b/>
          <w:bCs/>
          <w:color w:val="auto"/>
          <w:szCs w:val="28"/>
          <w:highlight w:val="none"/>
        </w:rPr>
        <w:t>法定代表人授权委托书</w:t>
      </w:r>
    </w:p>
    <w:p w14:paraId="6A4E55A2">
      <w:pPr>
        <w:pStyle w:val="35"/>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BFC0C71">
      <w:pPr>
        <w:pStyle w:val="35"/>
        <w:adjustRightInd w:val="0"/>
        <w:snapToGrid w:val="0"/>
        <w:spacing w:line="360" w:lineRule="auto"/>
        <w:ind w:firstLine="518" w:firstLineChars="21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本授权委托书声明：我系</w:t>
      </w:r>
      <w:r>
        <w:rPr>
          <w:rFonts w:hint="eastAsia" w:ascii="仿宋" w:hAnsi="仿宋" w:eastAsia="仿宋" w:cs="仿宋"/>
          <w:color w:val="auto"/>
          <w:sz w:val="24"/>
          <w:szCs w:val="24"/>
          <w:highlight w:val="none"/>
          <w:u w:val="single"/>
        </w:rPr>
        <w:t xml:space="preserve">（供应商名称）                   </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的为我的代理人，以</w:t>
      </w:r>
      <w:r>
        <w:rPr>
          <w:rFonts w:hint="eastAsia" w:ascii="仿宋" w:hAnsi="仿宋" w:eastAsia="仿宋" w:cs="仿宋"/>
          <w:color w:val="auto"/>
          <w:sz w:val="24"/>
          <w:szCs w:val="24"/>
          <w:highlight w:val="none"/>
          <w:u w:val="single"/>
        </w:rPr>
        <w:t xml:space="preserve"> （供应商名称）                    </w:t>
      </w:r>
      <w:r>
        <w:rPr>
          <w:rFonts w:hint="eastAsia" w:ascii="仿宋" w:hAnsi="仿宋" w:eastAsia="仿宋" w:cs="仿宋"/>
          <w:color w:val="auto"/>
          <w:sz w:val="24"/>
          <w:szCs w:val="24"/>
          <w:highlight w:val="none"/>
        </w:rPr>
        <w:t>的名义参加</w:t>
      </w:r>
      <w:r>
        <w:rPr>
          <w:rFonts w:hint="eastAsia" w:ascii="仿宋" w:hAnsi="仿宋" w:eastAsia="仿宋" w:cs="仿宋"/>
          <w:color w:val="auto"/>
          <w:sz w:val="24"/>
          <w:szCs w:val="24"/>
          <w:highlight w:val="none"/>
          <w:u w:val="single"/>
        </w:rPr>
        <w:t xml:space="preserve">（项目名称和项目编号）               </w:t>
      </w:r>
      <w:r>
        <w:rPr>
          <w:rFonts w:hint="eastAsia" w:ascii="仿宋" w:hAnsi="仿宋" w:eastAsia="仿宋" w:cs="仿宋"/>
          <w:color w:val="auto"/>
          <w:sz w:val="24"/>
          <w:szCs w:val="24"/>
          <w:highlight w:val="none"/>
        </w:rPr>
        <w:t xml:space="preserve"> 招标项目的投标活动。代理人在参加整个招标投标活动所签署的一切文件和处理与之相关的一切事物，我均予承认。</w:t>
      </w:r>
    </w:p>
    <w:p w14:paraId="5E2C1D8A">
      <w:pPr>
        <w:pStyle w:val="35"/>
        <w:adjustRightInd w:val="0"/>
        <w:snapToGrid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                 性别：                年龄：</w:t>
      </w:r>
    </w:p>
    <w:p w14:paraId="01750B78">
      <w:pPr>
        <w:pStyle w:val="35"/>
        <w:adjustRightInd w:val="0"/>
        <w:snapToGrid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部  门：                 职务：</w:t>
      </w:r>
    </w:p>
    <w:p w14:paraId="792D0685">
      <w:pPr>
        <w:pStyle w:val="35"/>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0795" b="508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2E33292">
                            <w:pPr>
                              <w:rPr>
                                <w:rFonts w:hint="eastAsia"/>
                              </w:rPr>
                            </w:pPr>
                          </w:p>
                          <w:p w14:paraId="16921918">
                            <w:pPr>
                              <w:rPr>
                                <w:rFonts w:hint="eastAsia"/>
                              </w:rPr>
                            </w:pPr>
                          </w:p>
                          <w:p w14:paraId="5C1A3AF6">
                            <w:pPr>
                              <w:rPr>
                                <w:rFonts w:hint="eastAsia"/>
                              </w:rPr>
                            </w:pPr>
                          </w:p>
                          <w:p w14:paraId="04AA58F1">
                            <w:pPr>
                              <w:rPr>
                                <w:rFonts w:hint="eastAsia"/>
                              </w:rPr>
                            </w:pPr>
                          </w:p>
                          <w:p w14:paraId="61573806">
                            <w:pPr>
                              <w:jc w:val="center"/>
                              <w:rPr>
                                <w:rFonts w:hint="eastAsia" w:ascii="仿宋" w:hAnsi="仿宋" w:eastAsia="仿宋"/>
                                <w:sz w:val="36"/>
                                <w:szCs w:val="36"/>
                              </w:rPr>
                            </w:pPr>
                            <w:r>
                              <w:rPr>
                                <w:rFonts w:hint="eastAsia" w:ascii="仿宋" w:hAnsi="仿宋" w:eastAsia="仿宋"/>
                                <w:sz w:val="36"/>
                                <w:szCs w:val="36"/>
                              </w:rPr>
                              <w:t>代理人身份证复印件</w:t>
                            </w:r>
                          </w:p>
                          <w:p w14:paraId="38AA085D">
                            <w:pPr>
                              <w:jc w:val="center"/>
                              <w:rPr>
                                <w:rFonts w:hint="eastAsia" w:ascii="仿宋" w:hAnsi="仿宋" w:eastAsia="仿宋"/>
                                <w:sz w:val="36"/>
                                <w:szCs w:val="36"/>
                              </w:rPr>
                            </w:pPr>
                            <w:r>
                              <w:rPr>
                                <w:rFonts w:hint="eastAsia" w:ascii="仿宋" w:hAnsi="仿宋" w:eastAsia="仿宋"/>
                                <w:sz w:val="36"/>
                                <w:szCs w:val="36"/>
                              </w:rPr>
                              <w:t>（正面）</w:t>
                            </w:r>
                          </w:p>
                          <w:p w14:paraId="3B0E9E23">
                            <w:pPr>
                              <w:rPr>
                                <w:rFonts w:hint="eastAsia"/>
                              </w:rPr>
                            </w:pPr>
                          </w:p>
                          <w:p w14:paraId="08CA205C">
                            <w:pPr>
                              <w:rPr>
                                <w:rFonts w:hint="eastAsia"/>
                              </w:rPr>
                            </w:pPr>
                          </w:p>
                          <w:p w14:paraId="71F133ED">
                            <w:pPr>
                              <w:rPr>
                                <w:rFonts w:hint="eastAsia"/>
                              </w:rPr>
                            </w:pPr>
                          </w:p>
                          <w:p w14:paraId="3D86DB99">
                            <w:pPr>
                              <w:rPr>
                                <w:rFonts w:hint="eastAsia"/>
                              </w:rPr>
                            </w:pPr>
                          </w:p>
                          <w:p w14:paraId="7F0F320E">
                            <w:pPr>
                              <w:rPr>
                                <w:rFonts w:hint="eastAsia"/>
                              </w:rPr>
                            </w:pPr>
                          </w:p>
                          <w:p w14:paraId="1AC79F27">
                            <w:pPr>
                              <w:rPr>
                                <w:rFonts w:hint="eastAsia"/>
                              </w:rPr>
                            </w:pPr>
                          </w:p>
                          <w:p w14:paraId="4F9DF552">
                            <w:pPr>
                              <w:rPr>
                                <w:rFonts w:hint="eastAsia"/>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ZzwTWEc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ajczHbAAAACgEAAA8AAAAAAAAA&#10;AQAgAAAAIgAAAGRycy9kb3ducmV2LnhtbFBLAQIUABQAAAAIAIdO4kBnPBNYRwIAAJYEAAAOAAAA&#10;AAAAAAEAIAAAACoBAABkcnMvZTJvRG9jLnhtbFBLBQYAAAAABgAGAFkBAADjBQAAAAA=&#10;">
                <v:fill on="t" focussize="0,0"/>
                <v:stroke color="#000000" miterlimit="2" joinstyle="miter"/>
                <v:imagedata o:title=""/>
                <o:lock v:ext="edit" aspectratio="f"/>
                <v:textbox>
                  <w:txbxContent>
                    <w:p w14:paraId="32E33292">
                      <w:pPr>
                        <w:rPr>
                          <w:rFonts w:hint="eastAsia"/>
                        </w:rPr>
                      </w:pPr>
                    </w:p>
                    <w:p w14:paraId="16921918">
                      <w:pPr>
                        <w:rPr>
                          <w:rFonts w:hint="eastAsia"/>
                        </w:rPr>
                      </w:pPr>
                    </w:p>
                    <w:p w14:paraId="5C1A3AF6">
                      <w:pPr>
                        <w:rPr>
                          <w:rFonts w:hint="eastAsia"/>
                        </w:rPr>
                      </w:pPr>
                    </w:p>
                    <w:p w14:paraId="04AA58F1">
                      <w:pPr>
                        <w:rPr>
                          <w:rFonts w:hint="eastAsia"/>
                        </w:rPr>
                      </w:pPr>
                    </w:p>
                    <w:p w14:paraId="61573806">
                      <w:pPr>
                        <w:jc w:val="center"/>
                        <w:rPr>
                          <w:rFonts w:hint="eastAsia" w:ascii="仿宋" w:hAnsi="仿宋" w:eastAsia="仿宋"/>
                          <w:sz w:val="36"/>
                          <w:szCs w:val="36"/>
                        </w:rPr>
                      </w:pPr>
                      <w:r>
                        <w:rPr>
                          <w:rFonts w:hint="eastAsia" w:ascii="仿宋" w:hAnsi="仿宋" w:eastAsia="仿宋"/>
                          <w:sz w:val="36"/>
                          <w:szCs w:val="36"/>
                        </w:rPr>
                        <w:t>代理人身份证复印件</w:t>
                      </w:r>
                    </w:p>
                    <w:p w14:paraId="38AA085D">
                      <w:pPr>
                        <w:jc w:val="center"/>
                        <w:rPr>
                          <w:rFonts w:hint="eastAsia" w:ascii="仿宋" w:hAnsi="仿宋" w:eastAsia="仿宋"/>
                          <w:sz w:val="36"/>
                          <w:szCs w:val="36"/>
                        </w:rPr>
                      </w:pPr>
                      <w:r>
                        <w:rPr>
                          <w:rFonts w:hint="eastAsia" w:ascii="仿宋" w:hAnsi="仿宋" w:eastAsia="仿宋"/>
                          <w:sz w:val="36"/>
                          <w:szCs w:val="36"/>
                        </w:rPr>
                        <w:t>（正面）</w:t>
                      </w:r>
                    </w:p>
                    <w:p w14:paraId="3B0E9E23">
                      <w:pPr>
                        <w:rPr>
                          <w:rFonts w:hint="eastAsia"/>
                        </w:rPr>
                      </w:pPr>
                    </w:p>
                    <w:p w14:paraId="08CA205C">
                      <w:pPr>
                        <w:rPr>
                          <w:rFonts w:hint="eastAsia"/>
                        </w:rPr>
                      </w:pPr>
                    </w:p>
                    <w:p w14:paraId="71F133ED">
                      <w:pPr>
                        <w:rPr>
                          <w:rFonts w:hint="eastAsia"/>
                        </w:rPr>
                      </w:pPr>
                    </w:p>
                    <w:p w14:paraId="3D86DB99">
                      <w:pPr>
                        <w:rPr>
                          <w:rFonts w:hint="eastAsia"/>
                        </w:rPr>
                      </w:pPr>
                    </w:p>
                    <w:p w14:paraId="7F0F320E">
                      <w:pPr>
                        <w:rPr>
                          <w:rFonts w:hint="eastAsia"/>
                        </w:rPr>
                      </w:pPr>
                    </w:p>
                    <w:p w14:paraId="1AC79F27">
                      <w:pPr>
                        <w:rPr>
                          <w:rFonts w:hint="eastAsia"/>
                        </w:rPr>
                      </w:pPr>
                    </w:p>
                    <w:p w14:paraId="4F9DF552">
                      <w:pPr>
                        <w:rPr>
                          <w:rFonts w:hint="eastAsia"/>
                          <w:sz w:val="32"/>
                          <w:szCs w:val="32"/>
                        </w:rPr>
                      </w:pP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0795" b="508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00506212">
                            <w:pPr>
                              <w:rPr>
                                <w:rFonts w:hint="eastAsia"/>
                              </w:rPr>
                            </w:pPr>
                          </w:p>
                          <w:p w14:paraId="3892747C">
                            <w:pPr>
                              <w:rPr>
                                <w:rFonts w:hint="eastAsia"/>
                              </w:rPr>
                            </w:pPr>
                          </w:p>
                          <w:p w14:paraId="46AED442">
                            <w:pPr>
                              <w:rPr>
                                <w:rFonts w:hint="eastAsia"/>
                              </w:rPr>
                            </w:pPr>
                          </w:p>
                          <w:p w14:paraId="2F378CBE">
                            <w:pPr>
                              <w:rPr>
                                <w:rFonts w:hint="eastAsia"/>
                              </w:rPr>
                            </w:pPr>
                          </w:p>
                          <w:p w14:paraId="614DC553">
                            <w:pPr>
                              <w:jc w:val="center"/>
                              <w:rPr>
                                <w:rFonts w:hint="eastAsia" w:ascii="仿宋" w:hAnsi="仿宋" w:eastAsia="仿宋"/>
                                <w:sz w:val="36"/>
                                <w:szCs w:val="36"/>
                              </w:rPr>
                            </w:pPr>
                            <w:r>
                              <w:rPr>
                                <w:rFonts w:hint="eastAsia" w:ascii="仿宋" w:hAnsi="仿宋" w:eastAsia="仿宋"/>
                                <w:sz w:val="36"/>
                                <w:szCs w:val="36"/>
                              </w:rPr>
                              <w:t>代理人身份证复印件</w:t>
                            </w:r>
                          </w:p>
                          <w:p w14:paraId="75DABCA9">
                            <w:pPr>
                              <w:jc w:val="center"/>
                              <w:rPr>
                                <w:rFonts w:hint="eastAsia" w:ascii="仿宋" w:hAnsi="仿宋" w:eastAsia="仿宋"/>
                                <w:sz w:val="36"/>
                                <w:szCs w:val="36"/>
                              </w:rPr>
                            </w:pPr>
                            <w:r>
                              <w:rPr>
                                <w:rFonts w:hint="eastAsia" w:ascii="仿宋" w:hAnsi="仿宋" w:eastAsia="仿宋"/>
                                <w:sz w:val="36"/>
                                <w:szCs w:val="36"/>
                              </w:rPr>
                              <w:t>（背面）</w:t>
                            </w:r>
                          </w:p>
                          <w:p w14:paraId="48A40084">
                            <w:pPr>
                              <w:rPr>
                                <w:rFonts w:hint="eastAsia"/>
                              </w:rPr>
                            </w:pPr>
                          </w:p>
                          <w:p w14:paraId="77EE3CD8">
                            <w:pPr>
                              <w:rPr>
                                <w:rFonts w:hint="eastAsia"/>
                              </w:rPr>
                            </w:pPr>
                          </w:p>
                          <w:p w14:paraId="2D725AD3">
                            <w:pPr>
                              <w:rPr>
                                <w:rFonts w:hint="eastAsia"/>
                              </w:rPr>
                            </w:pPr>
                          </w:p>
                          <w:p w14:paraId="640DA8F3">
                            <w:pPr>
                              <w:rPr>
                                <w:rFonts w:hint="eastAsia"/>
                              </w:rPr>
                            </w:pPr>
                          </w:p>
                          <w:p w14:paraId="71CC5BAC">
                            <w:pPr>
                              <w:rPr>
                                <w:rFonts w:hint="eastAsia"/>
                              </w:rPr>
                            </w:pPr>
                          </w:p>
                          <w:p w14:paraId="6BC92289">
                            <w:pPr>
                              <w:rPr>
                                <w:rFonts w:hint="eastAsia"/>
                              </w:rPr>
                            </w:pPr>
                          </w:p>
                          <w:p w14:paraId="593380F8">
                            <w:pPr>
                              <w:rPr>
                                <w:rFonts w:hint="eastAsia"/>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TM17OUgCAACYBAAADgAA&#10;AAAAAAABACAAAAAqAQAAZHJzL2Uyb0RvYy54bWxQSwUGAAAAAAYABgBZAQAA5AUAAAAA&#10;">
                <v:fill on="t" focussize="0,0"/>
                <v:stroke color="#000000" miterlimit="2" joinstyle="miter"/>
                <v:imagedata o:title=""/>
                <o:lock v:ext="edit" aspectratio="f"/>
                <v:textbox>
                  <w:txbxContent>
                    <w:p w14:paraId="00506212">
                      <w:pPr>
                        <w:rPr>
                          <w:rFonts w:hint="eastAsia"/>
                        </w:rPr>
                      </w:pPr>
                    </w:p>
                    <w:p w14:paraId="3892747C">
                      <w:pPr>
                        <w:rPr>
                          <w:rFonts w:hint="eastAsia"/>
                        </w:rPr>
                      </w:pPr>
                    </w:p>
                    <w:p w14:paraId="46AED442">
                      <w:pPr>
                        <w:rPr>
                          <w:rFonts w:hint="eastAsia"/>
                        </w:rPr>
                      </w:pPr>
                    </w:p>
                    <w:p w14:paraId="2F378CBE">
                      <w:pPr>
                        <w:rPr>
                          <w:rFonts w:hint="eastAsia"/>
                        </w:rPr>
                      </w:pPr>
                    </w:p>
                    <w:p w14:paraId="614DC553">
                      <w:pPr>
                        <w:jc w:val="center"/>
                        <w:rPr>
                          <w:rFonts w:hint="eastAsia" w:ascii="仿宋" w:hAnsi="仿宋" w:eastAsia="仿宋"/>
                          <w:sz w:val="36"/>
                          <w:szCs w:val="36"/>
                        </w:rPr>
                      </w:pPr>
                      <w:r>
                        <w:rPr>
                          <w:rFonts w:hint="eastAsia" w:ascii="仿宋" w:hAnsi="仿宋" w:eastAsia="仿宋"/>
                          <w:sz w:val="36"/>
                          <w:szCs w:val="36"/>
                        </w:rPr>
                        <w:t>代理人身份证复印件</w:t>
                      </w:r>
                    </w:p>
                    <w:p w14:paraId="75DABCA9">
                      <w:pPr>
                        <w:jc w:val="center"/>
                        <w:rPr>
                          <w:rFonts w:hint="eastAsia" w:ascii="仿宋" w:hAnsi="仿宋" w:eastAsia="仿宋"/>
                          <w:sz w:val="36"/>
                          <w:szCs w:val="36"/>
                        </w:rPr>
                      </w:pPr>
                      <w:r>
                        <w:rPr>
                          <w:rFonts w:hint="eastAsia" w:ascii="仿宋" w:hAnsi="仿宋" w:eastAsia="仿宋"/>
                          <w:sz w:val="36"/>
                          <w:szCs w:val="36"/>
                        </w:rPr>
                        <w:t>（背面）</w:t>
                      </w:r>
                    </w:p>
                    <w:p w14:paraId="48A40084">
                      <w:pPr>
                        <w:rPr>
                          <w:rFonts w:hint="eastAsia"/>
                        </w:rPr>
                      </w:pPr>
                    </w:p>
                    <w:p w14:paraId="77EE3CD8">
                      <w:pPr>
                        <w:rPr>
                          <w:rFonts w:hint="eastAsia"/>
                        </w:rPr>
                      </w:pPr>
                    </w:p>
                    <w:p w14:paraId="2D725AD3">
                      <w:pPr>
                        <w:rPr>
                          <w:rFonts w:hint="eastAsia"/>
                        </w:rPr>
                      </w:pPr>
                    </w:p>
                    <w:p w14:paraId="640DA8F3">
                      <w:pPr>
                        <w:rPr>
                          <w:rFonts w:hint="eastAsia"/>
                        </w:rPr>
                      </w:pPr>
                    </w:p>
                    <w:p w14:paraId="71CC5BAC">
                      <w:pPr>
                        <w:rPr>
                          <w:rFonts w:hint="eastAsia"/>
                        </w:rPr>
                      </w:pPr>
                    </w:p>
                    <w:p w14:paraId="6BC92289">
                      <w:pPr>
                        <w:rPr>
                          <w:rFonts w:hint="eastAsia"/>
                        </w:rPr>
                      </w:pPr>
                    </w:p>
                    <w:p w14:paraId="593380F8">
                      <w:pPr>
                        <w:rPr>
                          <w:rFonts w:hint="eastAsia"/>
                          <w:sz w:val="32"/>
                          <w:szCs w:val="32"/>
                        </w:rPr>
                      </w:pPr>
                    </w:p>
                  </w:txbxContent>
                </v:textbox>
              </v:shape>
            </w:pict>
          </mc:Fallback>
        </mc:AlternateContent>
      </w:r>
    </w:p>
    <w:p w14:paraId="54CDA7A8">
      <w:pPr>
        <w:pStyle w:val="35"/>
        <w:adjustRightInd w:val="0"/>
        <w:snapToGrid w:val="0"/>
        <w:spacing w:line="400" w:lineRule="exact"/>
        <w:jc w:val="center"/>
        <w:rPr>
          <w:rFonts w:hint="eastAsia" w:ascii="仿宋" w:hAnsi="仿宋" w:eastAsia="仿宋" w:cs="仿宋"/>
          <w:color w:val="auto"/>
          <w:sz w:val="24"/>
          <w:szCs w:val="24"/>
          <w:highlight w:val="none"/>
        </w:rPr>
      </w:pPr>
    </w:p>
    <w:p w14:paraId="0EC60BBB">
      <w:pPr>
        <w:pStyle w:val="35"/>
        <w:adjustRightInd w:val="0"/>
        <w:snapToGrid w:val="0"/>
        <w:spacing w:line="400" w:lineRule="exact"/>
        <w:jc w:val="center"/>
        <w:rPr>
          <w:rFonts w:hint="eastAsia" w:ascii="仿宋" w:hAnsi="仿宋" w:eastAsia="仿宋" w:cs="仿宋"/>
          <w:color w:val="auto"/>
          <w:sz w:val="24"/>
          <w:szCs w:val="24"/>
          <w:highlight w:val="none"/>
        </w:rPr>
      </w:pPr>
    </w:p>
    <w:p w14:paraId="69620D5E">
      <w:pPr>
        <w:pStyle w:val="35"/>
        <w:adjustRightInd w:val="0"/>
        <w:snapToGrid w:val="0"/>
        <w:spacing w:line="400" w:lineRule="exact"/>
        <w:jc w:val="center"/>
        <w:rPr>
          <w:rFonts w:hint="eastAsia" w:ascii="仿宋" w:hAnsi="仿宋" w:eastAsia="仿宋" w:cs="仿宋"/>
          <w:color w:val="auto"/>
          <w:sz w:val="24"/>
          <w:szCs w:val="24"/>
          <w:highlight w:val="none"/>
        </w:rPr>
      </w:pPr>
    </w:p>
    <w:p w14:paraId="3F0D7AB3">
      <w:pPr>
        <w:pStyle w:val="35"/>
        <w:adjustRightInd w:val="0"/>
        <w:snapToGrid w:val="0"/>
        <w:spacing w:line="400" w:lineRule="exact"/>
        <w:jc w:val="center"/>
        <w:rPr>
          <w:rFonts w:hint="eastAsia" w:ascii="仿宋" w:hAnsi="仿宋" w:eastAsia="仿宋" w:cs="仿宋"/>
          <w:color w:val="auto"/>
          <w:sz w:val="24"/>
          <w:szCs w:val="24"/>
          <w:highlight w:val="none"/>
        </w:rPr>
      </w:pPr>
    </w:p>
    <w:p w14:paraId="23F39918">
      <w:pPr>
        <w:pStyle w:val="35"/>
        <w:adjustRightInd w:val="0"/>
        <w:snapToGrid w:val="0"/>
        <w:spacing w:line="400" w:lineRule="exact"/>
        <w:jc w:val="center"/>
        <w:rPr>
          <w:rFonts w:hint="eastAsia" w:ascii="仿宋" w:hAnsi="仿宋" w:eastAsia="仿宋" w:cs="仿宋"/>
          <w:color w:val="auto"/>
          <w:sz w:val="24"/>
          <w:szCs w:val="24"/>
          <w:highlight w:val="none"/>
        </w:rPr>
      </w:pPr>
    </w:p>
    <w:p w14:paraId="0C4F0C0B">
      <w:pPr>
        <w:pStyle w:val="35"/>
        <w:adjustRightInd w:val="0"/>
        <w:snapToGrid w:val="0"/>
        <w:spacing w:line="400" w:lineRule="exact"/>
        <w:jc w:val="center"/>
        <w:rPr>
          <w:rFonts w:hint="eastAsia" w:ascii="仿宋" w:hAnsi="仿宋" w:eastAsia="仿宋" w:cs="仿宋"/>
          <w:color w:val="auto"/>
          <w:sz w:val="24"/>
          <w:szCs w:val="24"/>
          <w:highlight w:val="none"/>
        </w:rPr>
      </w:pPr>
    </w:p>
    <w:p w14:paraId="2CA598F2">
      <w:pPr>
        <w:pStyle w:val="35"/>
        <w:adjustRightInd w:val="0"/>
        <w:snapToGrid w:val="0"/>
        <w:spacing w:line="400" w:lineRule="exact"/>
        <w:jc w:val="center"/>
        <w:rPr>
          <w:rFonts w:hint="eastAsia" w:ascii="仿宋" w:hAnsi="仿宋" w:eastAsia="仿宋" w:cs="仿宋"/>
          <w:color w:val="auto"/>
          <w:sz w:val="24"/>
          <w:szCs w:val="24"/>
          <w:highlight w:val="none"/>
        </w:rPr>
      </w:pPr>
    </w:p>
    <w:p w14:paraId="39DACAF1">
      <w:pPr>
        <w:pStyle w:val="35"/>
        <w:tabs>
          <w:tab w:val="left" w:pos="750"/>
        </w:tabs>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投标人名称（盖章）：</w:t>
      </w:r>
      <w:r>
        <w:rPr>
          <w:rFonts w:hint="eastAsia" w:ascii="仿宋" w:hAnsi="仿宋" w:eastAsia="仿宋" w:cs="仿宋"/>
          <w:color w:val="auto"/>
          <w:sz w:val="24"/>
          <w:szCs w:val="24"/>
          <w:highlight w:val="none"/>
          <w:u w:val="single"/>
        </w:rPr>
        <w:t xml:space="preserve">                        </w:t>
      </w:r>
    </w:p>
    <w:p w14:paraId="233881F4">
      <w:pPr>
        <w:pStyle w:val="26"/>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 xml:space="preserve">  </w:t>
      </w:r>
    </w:p>
    <w:p w14:paraId="43724B2D">
      <w:pPr>
        <w:pStyle w:val="35"/>
        <w:tabs>
          <w:tab w:val="left" w:pos="750"/>
        </w:tabs>
        <w:adjustRightInd w:val="0"/>
        <w:snapToGrid w:val="0"/>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法人代表人（盖章）：</w:t>
      </w:r>
      <w:r>
        <w:rPr>
          <w:rFonts w:hint="eastAsia" w:ascii="仿宋" w:hAnsi="仿宋" w:eastAsia="仿宋" w:cs="仿宋"/>
          <w:color w:val="auto"/>
          <w:sz w:val="24"/>
          <w:szCs w:val="24"/>
          <w:highlight w:val="none"/>
          <w:u w:val="single"/>
        </w:rPr>
        <w:t xml:space="preserve">                        </w:t>
      </w:r>
    </w:p>
    <w:p w14:paraId="2A46EE2B">
      <w:pPr>
        <w:pStyle w:val="35"/>
        <w:tabs>
          <w:tab w:val="left" w:pos="750"/>
        </w:tabs>
        <w:adjustRightInd w:val="0"/>
        <w:snapToGrid w:val="0"/>
        <w:ind w:firstLine="720" w:firstLineChars="300"/>
        <w:rPr>
          <w:rFonts w:hint="eastAsia" w:ascii="仿宋" w:hAnsi="仿宋" w:eastAsia="仿宋" w:cs="仿宋"/>
          <w:color w:val="auto"/>
          <w:sz w:val="24"/>
          <w:szCs w:val="24"/>
          <w:highlight w:val="none"/>
          <w:u w:val="single"/>
        </w:rPr>
      </w:pPr>
    </w:p>
    <w:p w14:paraId="0E4A869A">
      <w:pPr>
        <w:pStyle w:val="35"/>
        <w:tabs>
          <w:tab w:val="left" w:pos="750"/>
        </w:tabs>
        <w:adjustRightInd w:val="0"/>
        <w:snapToGrid w:val="0"/>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5A253172">
      <w:pPr>
        <w:pStyle w:val="35"/>
        <w:tabs>
          <w:tab w:val="left" w:pos="750"/>
        </w:tabs>
        <w:adjustRightInd w:val="0"/>
        <w:snapToGrid w:val="0"/>
        <w:rPr>
          <w:rFonts w:hint="eastAsia" w:ascii="仿宋" w:hAnsi="仿宋" w:eastAsia="仿宋" w:cs="仿宋"/>
          <w:color w:val="auto"/>
          <w:sz w:val="24"/>
          <w:szCs w:val="24"/>
          <w:highlight w:val="none"/>
        </w:rPr>
      </w:pPr>
    </w:p>
    <w:p w14:paraId="08F055F0">
      <w:pPr>
        <w:pStyle w:val="35"/>
        <w:tabs>
          <w:tab w:val="left" w:pos="750"/>
        </w:tabs>
        <w:adjustRightInd w:val="0"/>
        <w:snapToGrid w:val="0"/>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委托代理人（签字）：</w:t>
      </w:r>
      <w:r>
        <w:rPr>
          <w:rFonts w:hint="eastAsia" w:ascii="仿宋" w:hAnsi="仿宋" w:eastAsia="仿宋" w:cs="仿宋"/>
          <w:color w:val="auto"/>
          <w:sz w:val="24"/>
          <w:szCs w:val="24"/>
          <w:highlight w:val="none"/>
          <w:u w:val="single"/>
        </w:rPr>
        <w:t xml:space="preserve">                        </w:t>
      </w:r>
    </w:p>
    <w:p w14:paraId="27075DB6">
      <w:pPr>
        <w:pStyle w:val="35"/>
        <w:tabs>
          <w:tab w:val="left" w:pos="750"/>
        </w:tabs>
        <w:adjustRightInd w:val="0"/>
        <w:snapToGrid w:val="0"/>
        <w:ind w:firstLine="720" w:firstLineChars="300"/>
        <w:rPr>
          <w:rFonts w:hint="eastAsia" w:ascii="仿宋" w:hAnsi="仿宋" w:eastAsia="仿宋" w:cs="仿宋"/>
          <w:color w:val="auto"/>
          <w:sz w:val="24"/>
          <w:szCs w:val="24"/>
          <w:highlight w:val="none"/>
          <w:u w:val="single"/>
        </w:rPr>
      </w:pPr>
    </w:p>
    <w:p w14:paraId="1494423F">
      <w:pPr>
        <w:pStyle w:val="35"/>
        <w:tabs>
          <w:tab w:val="left" w:pos="750"/>
        </w:tabs>
        <w:adjustRightInd w:val="0"/>
        <w:snapToGrid w:val="0"/>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29DCF75A">
      <w:pPr>
        <w:pStyle w:val="26"/>
        <w:ind w:firstLine="480" w:firstLineChars="200"/>
        <w:rPr>
          <w:rFonts w:hint="eastAsia" w:ascii="仿宋" w:hAnsi="仿宋" w:eastAsia="仿宋" w:cs="仿宋"/>
          <w:color w:val="auto"/>
          <w:kern w:val="2"/>
          <w:highlight w:val="none"/>
        </w:rPr>
      </w:pPr>
    </w:p>
    <w:p w14:paraId="5089E7A8">
      <w:pPr>
        <w:pStyle w:val="26"/>
        <w:ind w:firstLine="1440" w:firstLineChars="600"/>
        <w:rPr>
          <w:rFonts w:hint="eastAsia" w:ascii="仿宋" w:hAnsi="仿宋" w:eastAsia="仿宋" w:cs="仿宋"/>
          <w:color w:val="auto"/>
          <w:kern w:val="2"/>
          <w:highlight w:val="none"/>
        </w:rPr>
      </w:pPr>
    </w:p>
    <w:p w14:paraId="2B8810A7">
      <w:pPr>
        <w:pStyle w:val="35"/>
        <w:tabs>
          <w:tab w:val="left" w:pos="750"/>
        </w:tabs>
        <w:adjustRightInd w:val="0"/>
        <w:snapToGrid w:val="0"/>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64CCD16">
      <w:pPr>
        <w:pStyle w:val="35"/>
        <w:tabs>
          <w:tab w:val="left" w:pos="750"/>
        </w:tabs>
        <w:adjustRightInd w:val="0"/>
        <w:snapToGrid w:val="0"/>
        <w:spacing w:line="400" w:lineRule="exact"/>
        <w:ind w:firstLine="720" w:firstLineChars="300"/>
        <w:rPr>
          <w:rFonts w:hint="eastAsia" w:ascii="仿宋" w:hAnsi="仿宋" w:eastAsia="仿宋" w:cs="仿宋"/>
          <w:color w:val="auto"/>
          <w:sz w:val="24"/>
          <w:szCs w:val="24"/>
          <w:highlight w:val="none"/>
        </w:rPr>
      </w:pPr>
    </w:p>
    <w:p w14:paraId="278E133D">
      <w:pPr>
        <w:pStyle w:val="35"/>
        <w:adjustRightInd w:val="0"/>
        <w:snapToGrid w:val="0"/>
        <w:spacing w:line="400" w:lineRule="exact"/>
        <w:ind w:firstLine="720" w:firstLineChars="300"/>
        <w:jc w:val="left"/>
        <w:rPr>
          <w:rFonts w:hint="eastAsia" w:ascii="仿宋" w:hAnsi="仿宋" w:eastAsia="仿宋" w:cs="仿宋"/>
          <w:b/>
          <w:color w:val="auto"/>
          <w:szCs w:val="24"/>
          <w:highlight w:val="none"/>
        </w:rPr>
      </w:pPr>
      <w:r>
        <w:rPr>
          <w:rFonts w:hint="eastAsia" w:ascii="仿宋" w:hAnsi="仿宋" w:eastAsia="仿宋" w:cs="仿宋"/>
          <w:color w:val="auto"/>
          <w:sz w:val="24"/>
          <w:szCs w:val="24"/>
          <w:highlight w:val="none"/>
        </w:rPr>
        <w:t>注：法人代表本人参加现场投标的，投标人可以不提供此项证明文件。</w:t>
      </w:r>
    </w:p>
    <w:p w14:paraId="0E57D314">
      <w:pPr>
        <w:pStyle w:val="6"/>
        <w:spacing w:line="400" w:lineRule="exact"/>
        <w:ind w:firstLine="0"/>
        <w:rPr>
          <w:rFonts w:hint="eastAsia" w:ascii="仿宋" w:hAnsi="仿宋" w:eastAsia="仿宋" w:cs="仿宋"/>
          <w:b/>
          <w:color w:val="auto"/>
          <w:sz w:val="28"/>
          <w:szCs w:val="24"/>
          <w:highlight w:val="none"/>
        </w:rPr>
      </w:pPr>
    </w:p>
    <w:p w14:paraId="4FEF3FAF">
      <w:pPr>
        <w:pStyle w:val="10"/>
        <w:spacing w:before="3"/>
        <w:ind w:left="0"/>
        <w:rPr>
          <w:rFonts w:hint="eastAsia" w:ascii="仿宋" w:hAnsi="仿宋" w:eastAsia="仿宋" w:cs="仿宋"/>
          <w:b/>
          <w:color w:val="auto"/>
          <w:sz w:val="28"/>
          <w:highlight w:val="none"/>
        </w:rPr>
      </w:pPr>
    </w:p>
    <w:p w14:paraId="23906EBE">
      <w:pPr>
        <w:pStyle w:val="10"/>
        <w:spacing w:before="3"/>
        <w:ind w:left="0"/>
        <w:rPr>
          <w:rFonts w:hint="eastAsia" w:ascii="仿宋" w:hAnsi="仿宋" w:eastAsia="仿宋" w:cs="仿宋"/>
          <w:b/>
          <w:color w:val="auto"/>
          <w:sz w:val="28"/>
          <w:highlight w:val="none"/>
        </w:rPr>
      </w:pPr>
    </w:p>
    <w:p w14:paraId="300E4408">
      <w:pPr>
        <w:pStyle w:val="10"/>
        <w:spacing w:before="3"/>
        <w:ind w:left="0"/>
        <w:rPr>
          <w:rFonts w:hint="eastAsia" w:ascii="仿宋" w:hAnsi="仿宋" w:eastAsia="仿宋" w:cs="仿宋"/>
          <w:b/>
          <w:color w:val="auto"/>
          <w:sz w:val="28"/>
          <w:highlight w:val="none"/>
        </w:rPr>
      </w:pPr>
    </w:p>
    <w:p w14:paraId="7A576986">
      <w:pPr>
        <w:rPr>
          <w:rFonts w:hint="eastAsia" w:ascii="仿宋" w:hAnsi="仿宋" w:eastAsia="仿宋" w:cs="仿宋"/>
          <w:color w:val="auto"/>
          <w:sz w:val="28"/>
          <w:highlight w:val="none"/>
        </w:rPr>
        <w:sectPr>
          <w:headerReference r:id="rId8" w:type="default"/>
          <w:footerReference r:id="rId9" w:type="default"/>
          <w:pgSz w:w="11910" w:h="16840"/>
          <w:pgMar w:top="1134" w:right="1134" w:bottom="1134" w:left="1800" w:header="878" w:footer="993" w:gutter="0"/>
          <w:cols w:space="720" w:num="1"/>
        </w:sectPr>
      </w:pPr>
    </w:p>
    <w:p w14:paraId="62BDCA97">
      <w:pPr>
        <w:ind w:firstLine="3313" w:firstLineChars="1100"/>
        <w:jc w:val="both"/>
        <w:rPr>
          <w:rFonts w:hint="eastAsia" w:ascii="仿宋" w:hAnsi="仿宋" w:eastAsia="仿宋" w:cs="仿宋"/>
          <w:b/>
          <w:color w:val="auto"/>
          <w:sz w:val="30"/>
          <w:highlight w:val="none"/>
        </w:rPr>
      </w:pPr>
    </w:p>
    <w:p w14:paraId="52F1DBDC">
      <w:pPr>
        <w:ind w:firstLine="4216" w:firstLineChars="1400"/>
        <w:jc w:val="both"/>
        <w:rPr>
          <w:rFonts w:hint="eastAsia" w:ascii="仿宋" w:hAnsi="仿宋" w:eastAsia="仿宋" w:cs="仿宋"/>
          <w:b/>
          <w:color w:val="auto"/>
          <w:sz w:val="30"/>
          <w:highlight w:val="none"/>
        </w:rPr>
      </w:pPr>
      <w:r>
        <w:rPr>
          <w:rFonts w:hint="eastAsia" w:ascii="仿宋" w:hAnsi="仿宋" w:eastAsia="仿宋" w:cs="仿宋"/>
          <w:b/>
          <w:color w:val="auto"/>
          <w:sz w:val="30"/>
          <w:highlight w:val="none"/>
        </w:rPr>
        <w:t>开标一览表</w:t>
      </w:r>
    </w:p>
    <w:p w14:paraId="14CF8CED">
      <w:pPr>
        <w:pStyle w:val="10"/>
        <w:spacing w:before="5"/>
        <w:ind w:left="0"/>
        <w:rPr>
          <w:rFonts w:hint="eastAsia" w:ascii="仿宋" w:hAnsi="仿宋" w:eastAsia="仿宋" w:cs="仿宋"/>
          <w:b/>
          <w:color w:val="auto"/>
          <w:sz w:val="10"/>
          <w:highlight w:val="none"/>
        </w:rPr>
      </w:pPr>
    </w:p>
    <w:p w14:paraId="2B0F1855">
      <w:pPr>
        <w:spacing w:before="90" w:line="364"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项目编号：</w:t>
      </w:r>
    </w:p>
    <w:p w14:paraId="22F101C1">
      <w:pPr>
        <w:spacing w:before="90" w:line="364"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项目名称：</w:t>
      </w:r>
    </w:p>
    <w:p w14:paraId="6684A3AB">
      <w:pPr>
        <w:spacing w:before="90" w:line="364" w:lineRule="auto"/>
        <w:rPr>
          <w:rFonts w:hint="eastAsia" w:ascii="仿宋" w:hAnsi="仿宋" w:eastAsia="仿宋" w:cs="仿宋"/>
          <w:b/>
          <w:color w:val="auto"/>
          <w:highlight w:val="none"/>
        </w:rPr>
      </w:pPr>
      <w:r>
        <w:rPr>
          <w:rFonts w:hint="eastAsia" w:ascii="仿宋" w:hAnsi="仿宋" w:eastAsia="仿宋" w:cs="仿宋"/>
          <w:b/>
          <w:color w:val="auto"/>
          <w:sz w:val="24"/>
          <w:highlight w:val="none"/>
        </w:rPr>
        <w:t>包号：</w:t>
      </w:r>
      <w:r>
        <w:rPr>
          <w:rFonts w:hint="eastAsia" w:ascii="仿宋" w:hAnsi="仿宋" w:eastAsia="仿宋" w:cs="仿宋"/>
          <w:b/>
          <w:color w:val="auto"/>
          <w:sz w:val="24"/>
          <w:highlight w:val="none"/>
          <w:lang w:val="en-US"/>
        </w:rPr>
        <w:t xml:space="preserve">                                                   </w:t>
      </w:r>
    </w:p>
    <w:tbl>
      <w:tblPr>
        <w:tblStyle w:val="20"/>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0"/>
        <w:gridCol w:w="2770"/>
        <w:gridCol w:w="1710"/>
        <w:gridCol w:w="1203"/>
        <w:gridCol w:w="1337"/>
        <w:gridCol w:w="1337"/>
      </w:tblGrid>
      <w:tr w14:paraId="52F1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680" w:type="dxa"/>
            <w:vAlign w:val="center"/>
          </w:tcPr>
          <w:p w14:paraId="680604C4">
            <w:pPr>
              <w:tabs>
                <w:tab w:val="left" w:pos="5580"/>
              </w:tabs>
              <w:spacing w:line="360" w:lineRule="auto"/>
              <w:ind w:right="-199"/>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rPr>
              <w:t>项目</w:t>
            </w:r>
            <w:r>
              <w:rPr>
                <w:rFonts w:hint="eastAsia" w:ascii="仿宋" w:hAnsi="仿宋" w:eastAsia="仿宋" w:cs="仿宋"/>
                <w:color w:val="auto"/>
                <w:sz w:val="24"/>
                <w:highlight w:val="none"/>
              </w:rPr>
              <w:t>名称</w:t>
            </w:r>
          </w:p>
        </w:tc>
        <w:tc>
          <w:tcPr>
            <w:tcW w:w="2770" w:type="dxa"/>
            <w:vAlign w:val="center"/>
          </w:tcPr>
          <w:p w14:paraId="3D225DB3">
            <w:pPr>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w:t>
            </w:r>
          </w:p>
        </w:tc>
        <w:tc>
          <w:tcPr>
            <w:tcW w:w="1710" w:type="dxa"/>
            <w:vAlign w:val="center"/>
          </w:tcPr>
          <w:p w14:paraId="2791B17F">
            <w:pPr>
              <w:tabs>
                <w:tab w:val="left" w:pos="5580"/>
              </w:tabs>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合同履约期限</w:t>
            </w:r>
          </w:p>
        </w:tc>
        <w:tc>
          <w:tcPr>
            <w:tcW w:w="1203" w:type="dxa"/>
            <w:vAlign w:val="center"/>
          </w:tcPr>
          <w:p w14:paraId="4386319B">
            <w:pPr>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bookmarkStart w:id="11" w:name="_GoBack"/>
            <w:bookmarkEnd w:id="11"/>
            <w:r>
              <w:rPr>
                <w:rFonts w:hint="eastAsia" w:ascii="仿宋" w:hAnsi="仿宋" w:eastAsia="仿宋" w:cs="仿宋"/>
                <w:color w:val="auto"/>
                <w:sz w:val="24"/>
                <w:highlight w:val="none"/>
              </w:rPr>
              <w:t>地点</w:t>
            </w:r>
          </w:p>
        </w:tc>
        <w:tc>
          <w:tcPr>
            <w:tcW w:w="1337" w:type="dxa"/>
            <w:vAlign w:val="center"/>
          </w:tcPr>
          <w:p w14:paraId="027AA38B">
            <w:pPr>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维保</w:t>
            </w:r>
            <w:r>
              <w:rPr>
                <w:rFonts w:hint="eastAsia" w:ascii="仿宋" w:hAnsi="仿宋" w:eastAsia="仿宋" w:cs="仿宋"/>
                <w:color w:val="auto"/>
                <w:sz w:val="24"/>
                <w:highlight w:val="none"/>
              </w:rPr>
              <w:t>期</w:t>
            </w:r>
          </w:p>
        </w:tc>
        <w:tc>
          <w:tcPr>
            <w:tcW w:w="1337" w:type="dxa"/>
            <w:vAlign w:val="center"/>
          </w:tcPr>
          <w:p w14:paraId="40FD6B77">
            <w:pPr>
              <w:tabs>
                <w:tab w:val="left" w:pos="5580"/>
              </w:tabs>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4461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28" w:hRule="atLeast"/>
        </w:trPr>
        <w:tc>
          <w:tcPr>
            <w:tcW w:w="1680" w:type="dxa"/>
            <w:vAlign w:val="center"/>
          </w:tcPr>
          <w:p w14:paraId="1E92885A">
            <w:pPr>
              <w:tabs>
                <w:tab w:val="left" w:pos="5580"/>
              </w:tabs>
              <w:spacing w:line="360" w:lineRule="auto"/>
              <w:ind w:left="1105" w:leftChars="257" w:hanging="540"/>
              <w:jc w:val="center"/>
              <w:rPr>
                <w:rFonts w:hint="eastAsia" w:ascii="仿宋" w:hAnsi="仿宋" w:eastAsia="仿宋" w:cs="仿宋"/>
                <w:color w:val="auto"/>
                <w:sz w:val="24"/>
                <w:highlight w:val="none"/>
              </w:rPr>
            </w:pPr>
          </w:p>
        </w:tc>
        <w:tc>
          <w:tcPr>
            <w:tcW w:w="2770" w:type="dxa"/>
            <w:vAlign w:val="center"/>
          </w:tcPr>
          <w:p w14:paraId="0533477C">
            <w:pPr>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14:paraId="7B000882">
            <w:pPr>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1710" w:type="dxa"/>
            <w:vAlign w:val="center"/>
          </w:tcPr>
          <w:p w14:paraId="18675B65">
            <w:pPr>
              <w:tabs>
                <w:tab w:val="left" w:pos="5580"/>
              </w:tabs>
              <w:spacing w:line="360" w:lineRule="auto"/>
              <w:ind w:left="1105" w:leftChars="257" w:hanging="540"/>
              <w:jc w:val="both"/>
              <w:rPr>
                <w:rFonts w:hint="eastAsia" w:ascii="仿宋" w:hAnsi="仿宋" w:eastAsia="仿宋" w:cs="仿宋"/>
                <w:color w:val="auto"/>
                <w:sz w:val="24"/>
                <w:highlight w:val="none"/>
              </w:rPr>
            </w:pPr>
          </w:p>
        </w:tc>
        <w:tc>
          <w:tcPr>
            <w:tcW w:w="1203" w:type="dxa"/>
            <w:vAlign w:val="center"/>
          </w:tcPr>
          <w:p w14:paraId="17ACB31A">
            <w:pPr>
              <w:tabs>
                <w:tab w:val="left" w:pos="5580"/>
              </w:tabs>
              <w:spacing w:line="360" w:lineRule="auto"/>
              <w:ind w:left="1105" w:leftChars="257" w:hanging="540"/>
              <w:jc w:val="center"/>
              <w:rPr>
                <w:rFonts w:hint="eastAsia" w:ascii="仿宋" w:hAnsi="仿宋" w:eastAsia="仿宋" w:cs="仿宋"/>
                <w:color w:val="auto"/>
                <w:sz w:val="24"/>
                <w:highlight w:val="none"/>
              </w:rPr>
            </w:pPr>
          </w:p>
        </w:tc>
        <w:tc>
          <w:tcPr>
            <w:tcW w:w="1337" w:type="dxa"/>
            <w:vAlign w:val="center"/>
          </w:tcPr>
          <w:p w14:paraId="51CFF209">
            <w:pPr>
              <w:tabs>
                <w:tab w:val="left" w:pos="5580"/>
              </w:tabs>
              <w:spacing w:line="360" w:lineRule="auto"/>
              <w:ind w:left="1105" w:leftChars="257" w:hanging="540"/>
              <w:jc w:val="center"/>
              <w:rPr>
                <w:rFonts w:hint="eastAsia" w:ascii="仿宋" w:hAnsi="仿宋" w:eastAsia="仿宋" w:cs="仿宋"/>
                <w:color w:val="auto"/>
                <w:sz w:val="24"/>
                <w:highlight w:val="none"/>
              </w:rPr>
            </w:pPr>
          </w:p>
        </w:tc>
        <w:tc>
          <w:tcPr>
            <w:tcW w:w="1337" w:type="dxa"/>
            <w:vAlign w:val="center"/>
          </w:tcPr>
          <w:p w14:paraId="3E15BF9A">
            <w:pPr>
              <w:tabs>
                <w:tab w:val="left" w:pos="5580"/>
              </w:tabs>
              <w:spacing w:line="360" w:lineRule="auto"/>
              <w:ind w:left="1105" w:leftChars="257" w:hanging="540"/>
              <w:jc w:val="center"/>
              <w:rPr>
                <w:rFonts w:hint="eastAsia" w:ascii="仿宋" w:hAnsi="仿宋" w:eastAsia="仿宋" w:cs="仿宋"/>
                <w:color w:val="auto"/>
                <w:sz w:val="24"/>
                <w:highlight w:val="none"/>
              </w:rPr>
            </w:pPr>
          </w:p>
        </w:tc>
      </w:tr>
    </w:tbl>
    <w:p w14:paraId="20484A21">
      <w:pPr>
        <w:pStyle w:val="10"/>
        <w:spacing w:before="0"/>
        <w:ind w:left="0"/>
        <w:rPr>
          <w:rFonts w:hint="eastAsia" w:ascii="仿宋" w:hAnsi="仿宋" w:eastAsia="仿宋" w:cs="仿宋"/>
          <w:b/>
          <w:color w:val="auto"/>
          <w:highlight w:val="none"/>
        </w:rPr>
      </w:pPr>
    </w:p>
    <w:p w14:paraId="75A2386A">
      <w:pPr>
        <w:pStyle w:val="35"/>
        <w:tabs>
          <w:tab w:val="left" w:pos="750"/>
        </w:tabs>
        <w:adjustRightInd w:val="0"/>
        <w:snapToGrid w:val="0"/>
        <w:spacing w:line="480" w:lineRule="auto"/>
        <w:ind w:firstLine="723" w:firstLineChars="3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备注：</w:t>
      </w:r>
    </w:p>
    <w:p w14:paraId="2A86CB33">
      <w:pPr>
        <w:pStyle w:val="35"/>
        <w:tabs>
          <w:tab w:val="left" w:pos="750"/>
        </w:tabs>
        <w:adjustRightInd w:val="0"/>
        <w:snapToGrid w:val="0"/>
        <w:spacing w:line="480" w:lineRule="auto"/>
        <w:ind w:firstLine="723" w:firstLineChars="3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bidi="zh-CN"/>
        </w:rPr>
        <w:t>1、</w:t>
      </w:r>
      <w:r>
        <w:rPr>
          <w:rFonts w:hint="eastAsia" w:ascii="仿宋" w:hAnsi="仿宋" w:eastAsia="仿宋" w:cs="仿宋"/>
          <w:b/>
          <w:color w:val="auto"/>
          <w:kern w:val="0"/>
          <w:sz w:val="24"/>
          <w:highlight w:val="none"/>
          <w:lang w:val="zh-CN" w:bidi="zh-CN"/>
        </w:rPr>
        <w:t>总价中包括但不限于税费、运输费、保险费、培训、安装、调试等所有相关费用。</w:t>
      </w:r>
    </w:p>
    <w:p w14:paraId="3A46D328">
      <w:pPr>
        <w:pStyle w:val="35"/>
        <w:tabs>
          <w:tab w:val="left" w:pos="750"/>
        </w:tabs>
        <w:adjustRightInd w:val="0"/>
        <w:snapToGrid w:val="0"/>
        <w:spacing w:line="480" w:lineRule="auto"/>
        <w:ind w:firstLine="723" w:firstLineChars="300"/>
        <w:rPr>
          <w:rFonts w:hint="eastAsia" w:ascii="仿宋" w:hAnsi="仿宋" w:eastAsia="仿宋" w:cs="仿宋"/>
          <w:b/>
          <w:color w:val="auto"/>
          <w:kern w:val="0"/>
          <w:sz w:val="24"/>
          <w:highlight w:val="none"/>
          <w:lang w:val="zh-CN" w:bidi="zh-CN"/>
        </w:rPr>
      </w:pPr>
    </w:p>
    <w:p w14:paraId="2E66B531">
      <w:pPr>
        <w:pStyle w:val="35"/>
        <w:tabs>
          <w:tab w:val="left" w:pos="750"/>
        </w:tabs>
        <w:adjustRightInd w:val="0"/>
        <w:snapToGrid w:val="0"/>
        <w:spacing w:line="480" w:lineRule="auto"/>
        <w:ind w:firstLine="723" w:firstLineChars="3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投标人名称（盖章）：</w:t>
      </w:r>
      <w:r>
        <w:rPr>
          <w:rFonts w:hint="eastAsia" w:ascii="仿宋" w:hAnsi="仿宋" w:eastAsia="仿宋" w:cs="仿宋"/>
          <w:b/>
          <w:color w:val="auto"/>
          <w:kern w:val="0"/>
          <w:sz w:val="24"/>
          <w:highlight w:val="none"/>
          <w:u w:val="single"/>
          <w:lang w:bidi="zh-CN"/>
        </w:rPr>
        <w:t xml:space="preserve">                 </w:t>
      </w:r>
      <w:r>
        <w:rPr>
          <w:rFonts w:hint="eastAsia" w:ascii="仿宋" w:hAnsi="仿宋" w:eastAsia="仿宋" w:cs="仿宋"/>
          <w:b/>
          <w:color w:val="auto"/>
          <w:kern w:val="0"/>
          <w:sz w:val="24"/>
          <w:highlight w:val="none"/>
          <w:lang w:val="zh-CN" w:bidi="zh-CN"/>
        </w:rPr>
        <w:t xml:space="preserve">                        </w:t>
      </w:r>
    </w:p>
    <w:p w14:paraId="33E97380">
      <w:pPr>
        <w:pStyle w:val="35"/>
        <w:tabs>
          <w:tab w:val="left" w:pos="750"/>
        </w:tabs>
        <w:adjustRightInd w:val="0"/>
        <w:snapToGrid w:val="0"/>
        <w:spacing w:line="480" w:lineRule="auto"/>
        <w:ind w:firstLine="723" w:firstLineChars="3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法定代表人或委托代理人签字（或盖章）：</w:t>
      </w:r>
      <w:r>
        <w:rPr>
          <w:rFonts w:hint="eastAsia" w:ascii="仿宋" w:hAnsi="仿宋" w:eastAsia="仿宋" w:cs="仿宋"/>
          <w:b/>
          <w:color w:val="auto"/>
          <w:kern w:val="0"/>
          <w:sz w:val="24"/>
          <w:highlight w:val="none"/>
          <w:u w:val="single"/>
          <w:lang w:bidi="zh-CN"/>
        </w:rPr>
        <w:t xml:space="preserve">                 </w:t>
      </w:r>
      <w:r>
        <w:rPr>
          <w:rFonts w:hint="eastAsia" w:ascii="仿宋" w:hAnsi="仿宋" w:eastAsia="仿宋" w:cs="仿宋"/>
          <w:b/>
          <w:color w:val="auto"/>
          <w:kern w:val="0"/>
          <w:sz w:val="24"/>
          <w:highlight w:val="none"/>
          <w:lang w:val="zh-CN" w:bidi="zh-CN"/>
        </w:rPr>
        <w:t xml:space="preserve">                        </w:t>
      </w:r>
    </w:p>
    <w:p w14:paraId="78844A7E">
      <w:pPr>
        <w:pStyle w:val="35"/>
        <w:tabs>
          <w:tab w:val="left" w:pos="750"/>
        </w:tabs>
        <w:adjustRightInd w:val="0"/>
        <w:snapToGrid w:val="0"/>
        <w:spacing w:line="480" w:lineRule="auto"/>
        <w:ind w:firstLine="5783" w:firstLineChars="24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 xml:space="preserve">日期： </w:t>
      </w:r>
      <w:r>
        <w:rPr>
          <w:rFonts w:hint="eastAsia" w:ascii="仿宋" w:hAnsi="仿宋" w:eastAsia="仿宋" w:cs="仿宋"/>
          <w:b/>
          <w:color w:val="auto"/>
          <w:kern w:val="0"/>
          <w:sz w:val="24"/>
          <w:highlight w:val="none"/>
          <w:u w:val="single"/>
          <w:lang w:val="zh-CN" w:bidi="zh-CN"/>
        </w:rPr>
        <w:t xml:space="preserve">    </w:t>
      </w:r>
      <w:r>
        <w:rPr>
          <w:rFonts w:hint="eastAsia" w:ascii="仿宋" w:hAnsi="仿宋" w:eastAsia="仿宋" w:cs="仿宋"/>
          <w:b/>
          <w:color w:val="auto"/>
          <w:kern w:val="0"/>
          <w:sz w:val="24"/>
          <w:highlight w:val="none"/>
          <w:lang w:val="zh-CN" w:bidi="zh-CN"/>
        </w:rPr>
        <w:t xml:space="preserve"> 年</w:t>
      </w:r>
      <w:r>
        <w:rPr>
          <w:rFonts w:hint="eastAsia" w:ascii="仿宋" w:hAnsi="仿宋" w:eastAsia="仿宋" w:cs="仿宋"/>
          <w:b/>
          <w:color w:val="auto"/>
          <w:kern w:val="0"/>
          <w:sz w:val="24"/>
          <w:highlight w:val="none"/>
          <w:u w:val="single"/>
          <w:lang w:val="zh-CN" w:bidi="zh-CN"/>
        </w:rPr>
        <w:t xml:space="preserve">    </w:t>
      </w:r>
      <w:r>
        <w:rPr>
          <w:rFonts w:hint="eastAsia" w:ascii="仿宋" w:hAnsi="仿宋" w:eastAsia="仿宋" w:cs="仿宋"/>
          <w:b/>
          <w:color w:val="auto"/>
          <w:kern w:val="0"/>
          <w:sz w:val="24"/>
          <w:highlight w:val="none"/>
          <w:lang w:val="zh-CN" w:bidi="zh-CN"/>
        </w:rPr>
        <w:t>月</w:t>
      </w:r>
      <w:r>
        <w:rPr>
          <w:rFonts w:hint="eastAsia" w:ascii="仿宋" w:hAnsi="仿宋" w:eastAsia="仿宋" w:cs="仿宋"/>
          <w:b/>
          <w:color w:val="auto"/>
          <w:kern w:val="0"/>
          <w:sz w:val="24"/>
          <w:highlight w:val="none"/>
          <w:u w:val="single"/>
          <w:lang w:val="zh-CN" w:bidi="zh-CN"/>
        </w:rPr>
        <w:t xml:space="preserve">     </w:t>
      </w:r>
      <w:r>
        <w:rPr>
          <w:rFonts w:hint="eastAsia" w:ascii="仿宋" w:hAnsi="仿宋" w:eastAsia="仿宋" w:cs="仿宋"/>
          <w:b/>
          <w:color w:val="auto"/>
          <w:kern w:val="0"/>
          <w:sz w:val="24"/>
          <w:highlight w:val="none"/>
          <w:lang w:val="zh-CN" w:bidi="zh-CN"/>
        </w:rPr>
        <w:t>日</w:t>
      </w:r>
    </w:p>
    <w:p w14:paraId="7241EFCF">
      <w:pPr>
        <w:spacing w:line="400" w:lineRule="exact"/>
        <w:ind w:firstLine="562" w:firstLineChars="200"/>
        <w:jc w:val="center"/>
        <w:rPr>
          <w:rFonts w:hint="eastAsia" w:ascii="仿宋" w:hAnsi="仿宋" w:eastAsia="仿宋" w:cs="仿宋"/>
          <w:b/>
          <w:color w:val="auto"/>
          <w:sz w:val="28"/>
          <w:szCs w:val="24"/>
          <w:highlight w:val="none"/>
        </w:rPr>
      </w:pPr>
    </w:p>
    <w:p w14:paraId="5AF93F25">
      <w:pPr>
        <w:rPr>
          <w:rFonts w:hint="eastAsia" w:ascii="仿宋" w:hAnsi="仿宋" w:eastAsia="仿宋" w:cs="仿宋"/>
          <w:b/>
          <w:color w:val="auto"/>
          <w:sz w:val="24"/>
          <w:highlight w:val="none"/>
        </w:rPr>
      </w:pPr>
    </w:p>
    <w:p w14:paraId="0D3B044C">
      <w:pPr>
        <w:pStyle w:val="10"/>
        <w:spacing w:line="364" w:lineRule="auto"/>
        <w:ind w:left="0"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lang w:val="en-US"/>
        </w:rPr>
        <w:t xml:space="preserve">    </w:t>
      </w:r>
      <w:r>
        <w:rPr>
          <w:rFonts w:hint="eastAsia" w:ascii="仿宋" w:hAnsi="仿宋" w:eastAsia="仿宋" w:cs="仿宋"/>
          <w:b/>
          <w:bCs/>
          <w:color w:val="auto"/>
          <w:highlight w:val="none"/>
        </w:rPr>
        <w:t xml:space="preserve"> </w:t>
      </w:r>
      <w:r>
        <w:rPr>
          <w:rFonts w:hint="eastAsia" w:ascii="仿宋" w:hAnsi="仿宋" w:eastAsia="仿宋" w:cs="仿宋"/>
          <w:b/>
          <w:bCs/>
          <w:color w:val="auto"/>
          <w:highlight w:val="none"/>
        </w:rPr>
        <w:tab/>
      </w:r>
    </w:p>
    <w:p w14:paraId="0F790C1E">
      <w:pPr>
        <w:pStyle w:val="10"/>
        <w:tabs>
          <w:tab w:val="left" w:pos="2917"/>
          <w:tab w:val="left" w:pos="5496"/>
        </w:tabs>
        <w:spacing w:before="161"/>
        <w:ind w:left="0"/>
        <w:jc w:val="center"/>
        <w:rPr>
          <w:rFonts w:hint="eastAsia" w:ascii="仿宋" w:hAnsi="仿宋" w:eastAsia="仿宋" w:cs="仿宋"/>
          <w:color w:val="auto"/>
          <w:highlight w:val="none"/>
          <w:u w:val="single"/>
        </w:rPr>
      </w:pPr>
      <w:r>
        <w:rPr>
          <w:rFonts w:hint="eastAsia" w:ascii="仿宋" w:hAnsi="仿宋" w:eastAsia="仿宋" w:cs="仿宋"/>
          <w:color w:val="auto"/>
          <w:highlight w:val="none"/>
          <w:lang w:val="en-US"/>
        </w:rPr>
        <w:t xml:space="preserve">         </w:t>
      </w:r>
    </w:p>
    <w:p w14:paraId="580DE456">
      <w:pPr>
        <w:rPr>
          <w:rFonts w:hint="eastAsia" w:ascii="仿宋" w:hAnsi="仿宋" w:eastAsia="仿宋" w:cs="仿宋"/>
          <w:b/>
          <w:color w:val="auto"/>
          <w:sz w:val="24"/>
          <w:highlight w:val="none"/>
        </w:rPr>
      </w:pPr>
    </w:p>
    <w:p w14:paraId="532D636F">
      <w:pPr>
        <w:rPr>
          <w:rFonts w:hint="eastAsia" w:ascii="仿宋" w:hAnsi="仿宋" w:eastAsia="仿宋" w:cs="仿宋"/>
          <w:b/>
          <w:color w:val="auto"/>
          <w:sz w:val="24"/>
          <w:highlight w:val="none"/>
        </w:rPr>
      </w:pPr>
    </w:p>
    <w:p w14:paraId="09209BE6">
      <w:pPr>
        <w:spacing w:before="201"/>
        <w:jc w:val="center"/>
        <w:rPr>
          <w:rFonts w:hint="eastAsia" w:ascii="仿宋" w:hAnsi="仿宋" w:eastAsia="仿宋" w:cs="仿宋"/>
          <w:color w:val="auto"/>
          <w:highlight w:val="none"/>
        </w:rPr>
      </w:pPr>
      <w:r>
        <w:rPr>
          <w:rFonts w:hint="eastAsia" w:ascii="仿宋" w:hAnsi="仿宋" w:eastAsia="仿宋" w:cs="仿宋"/>
          <w:b/>
          <w:color w:val="auto"/>
          <w:sz w:val="30"/>
          <w:highlight w:val="none"/>
        </w:rPr>
        <w:br w:type="page"/>
      </w:r>
      <w:r>
        <w:rPr>
          <w:rFonts w:hint="eastAsia" w:ascii="仿宋" w:hAnsi="仿宋" w:eastAsia="仿宋" w:cs="仿宋"/>
          <w:b/>
          <w:color w:val="auto"/>
          <w:sz w:val="30"/>
          <w:highlight w:val="none"/>
        </w:rPr>
        <w:t>报价明细表</w:t>
      </w:r>
    </w:p>
    <w:p w14:paraId="6382F18A">
      <w:pPr>
        <w:tabs>
          <w:tab w:val="left" w:pos="5860"/>
          <w:tab w:val="left" w:pos="8378"/>
        </w:tabs>
        <w:spacing w:before="161"/>
        <w:ind w:firstLine="632" w:firstLineChars="300"/>
        <w:jc w:val="both"/>
        <w:rPr>
          <w:rFonts w:hint="eastAsia" w:ascii="仿宋" w:hAnsi="仿宋" w:eastAsia="仿宋" w:cs="仿宋"/>
          <w:b/>
          <w:color w:val="auto"/>
          <w:sz w:val="21"/>
          <w:highlight w:val="none"/>
        </w:rPr>
      </w:pPr>
      <w:r>
        <w:rPr>
          <w:rFonts w:hint="eastAsia" w:ascii="仿宋" w:hAnsi="仿宋" w:eastAsia="仿宋" w:cs="仿宋"/>
          <w:b/>
          <w:color w:val="auto"/>
          <w:sz w:val="21"/>
          <w:highlight w:val="none"/>
        </w:rPr>
        <w:t>项目名称：</w:t>
      </w:r>
      <w:r>
        <w:rPr>
          <w:rFonts w:hint="eastAsia" w:ascii="仿宋" w:hAnsi="仿宋" w:eastAsia="仿宋" w:cs="仿宋"/>
          <w:b/>
          <w:color w:val="auto"/>
          <w:sz w:val="21"/>
          <w:highlight w:val="none"/>
        </w:rPr>
        <w:tab/>
      </w:r>
    </w:p>
    <w:p w14:paraId="404BAC0C">
      <w:pPr>
        <w:tabs>
          <w:tab w:val="left" w:pos="5860"/>
          <w:tab w:val="left" w:pos="8378"/>
        </w:tabs>
        <w:spacing w:before="161"/>
        <w:ind w:firstLine="632" w:firstLineChars="300"/>
        <w:jc w:val="both"/>
        <w:rPr>
          <w:rFonts w:hint="eastAsia" w:ascii="仿宋" w:hAnsi="仿宋" w:eastAsia="仿宋" w:cs="仿宋"/>
          <w:b/>
          <w:color w:val="auto"/>
          <w:sz w:val="21"/>
          <w:highlight w:val="none"/>
        </w:rPr>
      </w:pPr>
      <w:r>
        <w:rPr>
          <w:rFonts w:hint="eastAsia" w:ascii="仿宋" w:hAnsi="仿宋" w:eastAsia="仿宋" w:cs="仿宋"/>
          <w:b/>
          <w:color w:val="auto"/>
          <w:sz w:val="21"/>
          <w:highlight w:val="none"/>
        </w:rPr>
        <w:t>项目编号：</w:t>
      </w:r>
    </w:p>
    <w:p w14:paraId="0482C8BB">
      <w:pPr>
        <w:tabs>
          <w:tab w:val="left" w:pos="5860"/>
          <w:tab w:val="left" w:pos="8378"/>
        </w:tabs>
        <w:spacing w:before="161"/>
        <w:ind w:firstLine="632" w:firstLineChars="300"/>
        <w:jc w:val="both"/>
        <w:rPr>
          <w:rFonts w:hint="eastAsia" w:ascii="仿宋" w:hAnsi="仿宋" w:eastAsia="仿宋" w:cs="仿宋"/>
          <w:b/>
          <w:color w:val="auto"/>
          <w:sz w:val="24"/>
          <w:highlight w:val="none"/>
        </w:rPr>
      </w:pPr>
      <w:r>
        <w:rPr>
          <w:rFonts w:hint="eastAsia" w:ascii="仿宋" w:hAnsi="仿宋" w:eastAsia="仿宋" w:cs="仿宋"/>
          <w:b/>
          <w:color w:val="auto"/>
          <w:sz w:val="21"/>
          <w:highlight w:val="none"/>
        </w:rPr>
        <w:t>包号：</w:t>
      </w:r>
      <w:r>
        <w:rPr>
          <w:rFonts w:hint="eastAsia" w:ascii="仿宋" w:hAnsi="仿宋" w:eastAsia="仿宋" w:cs="仿宋"/>
          <w:b/>
          <w:color w:val="auto"/>
          <w:sz w:val="24"/>
          <w:highlight w:val="none"/>
        </w:rPr>
        <w:tab/>
      </w:r>
    </w:p>
    <w:p w14:paraId="03C29B70">
      <w:pPr>
        <w:pStyle w:val="10"/>
        <w:spacing w:before="3"/>
        <w:ind w:left="0"/>
        <w:rPr>
          <w:rFonts w:hint="eastAsia" w:ascii="仿宋" w:hAnsi="仿宋" w:eastAsia="仿宋" w:cs="仿宋"/>
          <w:b/>
          <w:color w:val="auto"/>
          <w:sz w:val="6"/>
          <w:highlight w:val="none"/>
        </w:rPr>
      </w:pP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712"/>
        <w:gridCol w:w="701"/>
        <w:gridCol w:w="1370"/>
        <w:gridCol w:w="1685"/>
        <w:gridCol w:w="956"/>
        <w:gridCol w:w="956"/>
        <w:gridCol w:w="956"/>
        <w:gridCol w:w="959"/>
      </w:tblGrid>
      <w:tr w14:paraId="66A8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1" w:type="pct"/>
            <w:tcBorders>
              <w:top w:val="single" w:color="auto" w:sz="4" w:space="0"/>
              <w:left w:val="single" w:color="auto" w:sz="4" w:space="0"/>
              <w:bottom w:val="single" w:color="auto" w:sz="4" w:space="0"/>
              <w:right w:val="single" w:color="auto" w:sz="4" w:space="0"/>
            </w:tcBorders>
            <w:vAlign w:val="center"/>
          </w:tcPr>
          <w:p w14:paraId="32D90813">
            <w:pPr>
              <w:pStyle w:val="32"/>
              <w:snapToGrid w:val="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870" w:type="pct"/>
            <w:tcBorders>
              <w:top w:val="single" w:color="auto" w:sz="4" w:space="0"/>
              <w:left w:val="single" w:color="auto" w:sz="4" w:space="0"/>
              <w:bottom w:val="single" w:color="auto" w:sz="4" w:space="0"/>
              <w:right w:val="single" w:color="auto" w:sz="4" w:space="0"/>
            </w:tcBorders>
            <w:vAlign w:val="center"/>
          </w:tcPr>
          <w:p w14:paraId="05ABB7B8">
            <w:pPr>
              <w:pStyle w:val="32"/>
              <w:snapToGrid w:val="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名称</w:t>
            </w:r>
          </w:p>
        </w:tc>
        <w:tc>
          <w:tcPr>
            <w:tcW w:w="356" w:type="pct"/>
            <w:tcBorders>
              <w:top w:val="single" w:color="auto" w:sz="4" w:space="0"/>
              <w:left w:val="single" w:color="auto" w:sz="4" w:space="0"/>
              <w:bottom w:val="single" w:color="auto" w:sz="4" w:space="0"/>
              <w:right w:val="single" w:color="auto" w:sz="4" w:space="0"/>
            </w:tcBorders>
            <w:vAlign w:val="center"/>
          </w:tcPr>
          <w:p w14:paraId="77EC6AB0">
            <w:pPr>
              <w:pStyle w:val="32"/>
              <w:snapToGrid w:val="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数量</w:t>
            </w:r>
          </w:p>
        </w:tc>
        <w:tc>
          <w:tcPr>
            <w:tcW w:w="696" w:type="pct"/>
            <w:tcBorders>
              <w:top w:val="single" w:color="auto" w:sz="4" w:space="0"/>
              <w:left w:val="single" w:color="auto" w:sz="4" w:space="0"/>
              <w:bottom w:val="single" w:color="auto" w:sz="4" w:space="0"/>
              <w:right w:val="single" w:color="auto" w:sz="4" w:space="0"/>
            </w:tcBorders>
            <w:vAlign w:val="center"/>
          </w:tcPr>
          <w:p w14:paraId="479A3C72">
            <w:pPr>
              <w:pStyle w:val="32"/>
              <w:snapToGrid w:val="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维保</w:t>
            </w:r>
            <w:r>
              <w:rPr>
                <w:rFonts w:hint="eastAsia" w:ascii="仿宋" w:hAnsi="仿宋" w:eastAsia="仿宋" w:cs="仿宋"/>
                <w:b/>
                <w:color w:val="auto"/>
                <w:sz w:val="21"/>
                <w:szCs w:val="21"/>
                <w:highlight w:val="none"/>
              </w:rPr>
              <w:t>期限</w:t>
            </w:r>
          </w:p>
        </w:tc>
        <w:tc>
          <w:tcPr>
            <w:tcW w:w="856" w:type="pct"/>
            <w:tcBorders>
              <w:top w:val="single" w:color="auto" w:sz="4" w:space="0"/>
              <w:left w:val="single" w:color="auto" w:sz="4" w:space="0"/>
              <w:bottom w:val="single" w:color="auto" w:sz="4" w:space="0"/>
              <w:right w:val="single" w:color="auto" w:sz="4" w:space="0"/>
            </w:tcBorders>
            <w:vAlign w:val="center"/>
          </w:tcPr>
          <w:p w14:paraId="36EEC730">
            <w:pPr>
              <w:pStyle w:val="32"/>
              <w:snapToGrid w:val="0"/>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合同履约期限</w:t>
            </w:r>
          </w:p>
        </w:tc>
        <w:tc>
          <w:tcPr>
            <w:tcW w:w="486" w:type="pct"/>
            <w:tcBorders>
              <w:top w:val="single" w:color="auto" w:sz="4" w:space="0"/>
              <w:left w:val="single" w:color="auto" w:sz="4" w:space="0"/>
              <w:bottom w:val="single" w:color="auto" w:sz="4" w:space="0"/>
              <w:right w:val="single" w:color="auto" w:sz="4" w:space="0"/>
            </w:tcBorders>
            <w:vAlign w:val="center"/>
          </w:tcPr>
          <w:p w14:paraId="21C20A3B">
            <w:pPr>
              <w:pStyle w:val="32"/>
              <w:snapToGrid w:val="0"/>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品牌</w:t>
            </w:r>
          </w:p>
        </w:tc>
        <w:tc>
          <w:tcPr>
            <w:tcW w:w="486" w:type="pct"/>
            <w:tcBorders>
              <w:top w:val="single" w:color="auto" w:sz="4" w:space="0"/>
              <w:left w:val="single" w:color="auto" w:sz="4" w:space="0"/>
              <w:bottom w:val="single" w:color="auto" w:sz="4" w:space="0"/>
              <w:right w:val="single" w:color="auto" w:sz="4" w:space="0"/>
            </w:tcBorders>
            <w:vAlign w:val="center"/>
          </w:tcPr>
          <w:p w14:paraId="2B3D43AE">
            <w:pPr>
              <w:pStyle w:val="32"/>
              <w:snapToGrid w:val="0"/>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单价</w:t>
            </w:r>
          </w:p>
        </w:tc>
        <w:tc>
          <w:tcPr>
            <w:tcW w:w="486" w:type="pct"/>
            <w:tcBorders>
              <w:top w:val="single" w:color="auto" w:sz="4" w:space="0"/>
              <w:left w:val="single" w:color="auto" w:sz="4" w:space="0"/>
              <w:bottom w:val="single" w:color="auto" w:sz="4" w:space="0"/>
              <w:right w:val="single" w:color="auto" w:sz="4" w:space="0"/>
            </w:tcBorders>
            <w:vAlign w:val="center"/>
          </w:tcPr>
          <w:p w14:paraId="7AE1B24C">
            <w:pPr>
              <w:pStyle w:val="32"/>
              <w:snapToGrid w:val="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总价</w:t>
            </w:r>
          </w:p>
          <w:p w14:paraId="326FEF65">
            <w:pPr>
              <w:pStyle w:val="32"/>
              <w:snapToGrid w:val="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(万元)</w:t>
            </w:r>
          </w:p>
        </w:tc>
        <w:tc>
          <w:tcPr>
            <w:tcW w:w="487" w:type="pct"/>
            <w:tcBorders>
              <w:top w:val="single" w:color="auto" w:sz="4" w:space="0"/>
              <w:left w:val="single" w:color="auto" w:sz="4" w:space="0"/>
              <w:bottom w:val="single" w:color="auto" w:sz="4" w:space="0"/>
              <w:right w:val="single" w:color="auto" w:sz="4" w:space="0"/>
            </w:tcBorders>
            <w:vAlign w:val="center"/>
          </w:tcPr>
          <w:p w14:paraId="34C0057D">
            <w:pPr>
              <w:pStyle w:val="32"/>
              <w:snapToGrid w:val="0"/>
              <w:jc w:val="center"/>
              <w:rPr>
                <w:rFonts w:hint="eastAsia" w:ascii="仿宋" w:hAnsi="仿宋" w:eastAsia="仿宋" w:cs="仿宋"/>
                <w:b/>
                <w:color w:val="auto"/>
                <w:sz w:val="21"/>
                <w:szCs w:val="21"/>
                <w:highlight w:val="none"/>
                <w:lang w:val="en-US" w:eastAsia="zh-CN"/>
              </w:rPr>
            </w:pPr>
            <w:r>
              <w:rPr>
                <w:rFonts w:hint="eastAsia" w:ascii="仿宋" w:hAnsi="仿宋" w:eastAsia="仿宋" w:cs="仿宋"/>
                <w:b/>
                <w:color w:val="auto"/>
                <w:sz w:val="21"/>
                <w:szCs w:val="21"/>
                <w:highlight w:val="none"/>
                <w:lang w:val="en-US" w:eastAsia="zh-CN"/>
              </w:rPr>
              <w:t>备注</w:t>
            </w:r>
          </w:p>
        </w:tc>
      </w:tr>
      <w:tr w14:paraId="3F79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tcBorders>
              <w:top w:val="single" w:color="auto" w:sz="4" w:space="0"/>
              <w:left w:val="single" w:color="auto" w:sz="4" w:space="0"/>
              <w:bottom w:val="single" w:color="auto" w:sz="4" w:space="0"/>
              <w:right w:val="single" w:color="auto" w:sz="4" w:space="0"/>
            </w:tcBorders>
            <w:vAlign w:val="center"/>
          </w:tcPr>
          <w:p w14:paraId="3F2B67B4">
            <w:pPr>
              <w:snapToGrid w:val="0"/>
              <w:jc w:val="center"/>
              <w:rPr>
                <w:rFonts w:hint="eastAsia" w:ascii="仿宋" w:hAnsi="仿宋" w:eastAsia="仿宋" w:cs="仿宋"/>
                <w:color w:val="auto"/>
                <w:sz w:val="21"/>
                <w:szCs w:val="21"/>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05963BAD">
            <w:pPr>
              <w:snapToGrid w:val="0"/>
              <w:jc w:val="center"/>
              <w:rPr>
                <w:rFonts w:hint="eastAsia" w:ascii="仿宋" w:hAnsi="仿宋" w:eastAsia="仿宋" w:cs="仿宋"/>
                <w:color w:val="auto"/>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03498090">
            <w:pPr>
              <w:snapToGrid w:val="0"/>
              <w:jc w:val="center"/>
              <w:rPr>
                <w:rFonts w:hint="eastAsia" w:ascii="仿宋" w:hAnsi="仿宋" w:eastAsia="仿宋" w:cs="仿宋"/>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0BC1100">
            <w:pPr>
              <w:snapToGrid w:val="0"/>
              <w:jc w:val="center"/>
              <w:rPr>
                <w:rFonts w:hint="eastAsia" w:ascii="仿宋" w:hAnsi="仿宋" w:eastAsia="仿宋" w:cs="仿宋"/>
                <w:color w:val="auto"/>
                <w:sz w:val="21"/>
                <w:szCs w:val="21"/>
                <w:highlight w:val="none"/>
              </w:rPr>
            </w:pPr>
          </w:p>
        </w:tc>
        <w:tc>
          <w:tcPr>
            <w:tcW w:w="856" w:type="pct"/>
            <w:tcBorders>
              <w:top w:val="single" w:color="auto" w:sz="4" w:space="0"/>
              <w:left w:val="single" w:color="auto" w:sz="4" w:space="0"/>
              <w:bottom w:val="single" w:color="auto" w:sz="4" w:space="0"/>
              <w:right w:val="single" w:color="auto" w:sz="4" w:space="0"/>
            </w:tcBorders>
            <w:vAlign w:val="center"/>
          </w:tcPr>
          <w:p w14:paraId="4BBCAA23">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3DD3052C">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C7500EC">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D5F20C2">
            <w:pPr>
              <w:pStyle w:val="33"/>
              <w:snapToGrid w:val="0"/>
              <w:jc w:val="right"/>
              <w:rPr>
                <w:rFonts w:hint="eastAsia" w:ascii="仿宋" w:hAnsi="仿宋" w:eastAsia="仿宋" w:cs="仿宋"/>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112ACD2A">
            <w:pPr>
              <w:pStyle w:val="33"/>
              <w:snapToGrid w:val="0"/>
              <w:jc w:val="right"/>
              <w:rPr>
                <w:rFonts w:hint="eastAsia" w:ascii="仿宋" w:hAnsi="仿宋" w:eastAsia="仿宋" w:cs="仿宋"/>
                <w:color w:val="auto"/>
                <w:kern w:val="2"/>
                <w:sz w:val="21"/>
                <w:szCs w:val="21"/>
                <w:highlight w:val="none"/>
              </w:rPr>
            </w:pPr>
          </w:p>
        </w:tc>
      </w:tr>
      <w:tr w14:paraId="23BF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tcBorders>
              <w:top w:val="single" w:color="auto" w:sz="4" w:space="0"/>
              <w:left w:val="single" w:color="auto" w:sz="4" w:space="0"/>
              <w:bottom w:val="single" w:color="auto" w:sz="4" w:space="0"/>
              <w:right w:val="single" w:color="auto" w:sz="4" w:space="0"/>
            </w:tcBorders>
            <w:vAlign w:val="center"/>
          </w:tcPr>
          <w:p w14:paraId="3A3E3EB9">
            <w:pPr>
              <w:snapToGrid w:val="0"/>
              <w:jc w:val="center"/>
              <w:rPr>
                <w:rFonts w:hint="eastAsia" w:ascii="仿宋" w:hAnsi="仿宋" w:eastAsia="仿宋" w:cs="仿宋"/>
                <w:color w:val="auto"/>
                <w:sz w:val="21"/>
                <w:szCs w:val="21"/>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65A7C13B">
            <w:pPr>
              <w:snapToGrid w:val="0"/>
              <w:jc w:val="center"/>
              <w:rPr>
                <w:rFonts w:hint="eastAsia" w:ascii="仿宋" w:hAnsi="仿宋" w:eastAsia="仿宋" w:cs="仿宋"/>
                <w:color w:val="auto"/>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5D2AFC58">
            <w:pPr>
              <w:snapToGrid w:val="0"/>
              <w:jc w:val="center"/>
              <w:rPr>
                <w:rFonts w:hint="eastAsia" w:ascii="仿宋" w:hAnsi="仿宋" w:eastAsia="仿宋" w:cs="仿宋"/>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CD6B508">
            <w:pPr>
              <w:snapToGrid w:val="0"/>
              <w:jc w:val="center"/>
              <w:rPr>
                <w:rFonts w:hint="eastAsia" w:ascii="仿宋" w:hAnsi="仿宋" w:eastAsia="仿宋" w:cs="仿宋"/>
                <w:color w:val="auto"/>
                <w:sz w:val="21"/>
                <w:szCs w:val="21"/>
                <w:highlight w:val="none"/>
              </w:rPr>
            </w:pPr>
          </w:p>
        </w:tc>
        <w:tc>
          <w:tcPr>
            <w:tcW w:w="856" w:type="pct"/>
            <w:tcBorders>
              <w:top w:val="single" w:color="auto" w:sz="4" w:space="0"/>
              <w:left w:val="single" w:color="auto" w:sz="4" w:space="0"/>
              <w:bottom w:val="single" w:color="auto" w:sz="4" w:space="0"/>
              <w:right w:val="single" w:color="auto" w:sz="4" w:space="0"/>
            </w:tcBorders>
            <w:vAlign w:val="center"/>
          </w:tcPr>
          <w:p w14:paraId="670F4133">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0D665930">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E43FC66">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6CED125">
            <w:pPr>
              <w:pStyle w:val="33"/>
              <w:snapToGrid w:val="0"/>
              <w:jc w:val="right"/>
              <w:rPr>
                <w:rFonts w:hint="eastAsia" w:ascii="仿宋" w:hAnsi="仿宋" w:eastAsia="仿宋" w:cs="仿宋"/>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73A0D9DA">
            <w:pPr>
              <w:pStyle w:val="33"/>
              <w:snapToGrid w:val="0"/>
              <w:jc w:val="right"/>
              <w:rPr>
                <w:rFonts w:hint="eastAsia" w:ascii="仿宋" w:hAnsi="仿宋" w:eastAsia="仿宋" w:cs="仿宋"/>
                <w:color w:val="auto"/>
                <w:kern w:val="2"/>
                <w:sz w:val="21"/>
                <w:szCs w:val="21"/>
                <w:highlight w:val="none"/>
              </w:rPr>
            </w:pPr>
          </w:p>
        </w:tc>
      </w:tr>
      <w:tr w14:paraId="4779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tcBorders>
              <w:top w:val="single" w:color="auto" w:sz="4" w:space="0"/>
              <w:left w:val="single" w:color="auto" w:sz="4" w:space="0"/>
              <w:bottom w:val="single" w:color="auto" w:sz="4" w:space="0"/>
              <w:right w:val="single" w:color="auto" w:sz="4" w:space="0"/>
            </w:tcBorders>
            <w:vAlign w:val="center"/>
          </w:tcPr>
          <w:p w14:paraId="7430408A">
            <w:pPr>
              <w:snapToGrid w:val="0"/>
              <w:jc w:val="center"/>
              <w:rPr>
                <w:rFonts w:hint="eastAsia" w:ascii="仿宋" w:hAnsi="仿宋" w:eastAsia="仿宋" w:cs="仿宋"/>
                <w:color w:val="auto"/>
                <w:sz w:val="21"/>
                <w:szCs w:val="21"/>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1BE893C3">
            <w:pPr>
              <w:snapToGrid w:val="0"/>
              <w:jc w:val="center"/>
              <w:rPr>
                <w:rFonts w:hint="eastAsia" w:ascii="仿宋" w:hAnsi="仿宋" w:eastAsia="仿宋" w:cs="仿宋"/>
                <w:color w:val="auto"/>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2BF74E08">
            <w:pPr>
              <w:snapToGrid w:val="0"/>
              <w:jc w:val="center"/>
              <w:rPr>
                <w:rFonts w:hint="eastAsia" w:ascii="仿宋" w:hAnsi="仿宋" w:eastAsia="仿宋" w:cs="仿宋"/>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52A4ABFF">
            <w:pPr>
              <w:snapToGrid w:val="0"/>
              <w:jc w:val="center"/>
              <w:rPr>
                <w:rFonts w:hint="eastAsia" w:ascii="仿宋" w:hAnsi="仿宋" w:eastAsia="仿宋" w:cs="仿宋"/>
                <w:color w:val="auto"/>
                <w:sz w:val="21"/>
                <w:szCs w:val="21"/>
                <w:highlight w:val="none"/>
              </w:rPr>
            </w:pPr>
          </w:p>
        </w:tc>
        <w:tc>
          <w:tcPr>
            <w:tcW w:w="856" w:type="pct"/>
            <w:tcBorders>
              <w:top w:val="single" w:color="auto" w:sz="4" w:space="0"/>
              <w:left w:val="single" w:color="auto" w:sz="4" w:space="0"/>
              <w:bottom w:val="single" w:color="auto" w:sz="4" w:space="0"/>
              <w:right w:val="single" w:color="auto" w:sz="4" w:space="0"/>
            </w:tcBorders>
            <w:vAlign w:val="center"/>
          </w:tcPr>
          <w:p w14:paraId="49E5B643">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2CC2EA1E">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F4B655E">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7C395421">
            <w:pPr>
              <w:pStyle w:val="33"/>
              <w:snapToGrid w:val="0"/>
              <w:jc w:val="right"/>
              <w:rPr>
                <w:rFonts w:hint="eastAsia" w:ascii="仿宋" w:hAnsi="仿宋" w:eastAsia="仿宋" w:cs="仿宋"/>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20347BA4">
            <w:pPr>
              <w:pStyle w:val="33"/>
              <w:snapToGrid w:val="0"/>
              <w:jc w:val="right"/>
              <w:rPr>
                <w:rFonts w:hint="eastAsia" w:ascii="仿宋" w:hAnsi="仿宋" w:eastAsia="仿宋" w:cs="仿宋"/>
                <w:color w:val="auto"/>
                <w:kern w:val="2"/>
                <w:sz w:val="21"/>
                <w:szCs w:val="21"/>
                <w:highlight w:val="none"/>
              </w:rPr>
            </w:pPr>
          </w:p>
        </w:tc>
      </w:tr>
      <w:tr w14:paraId="7229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tcBorders>
              <w:top w:val="single" w:color="auto" w:sz="4" w:space="0"/>
              <w:left w:val="single" w:color="auto" w:sz="4" w:space="0"/>
              <w:bottom w:val="single" w:color="auto" w:sz="4" w:space="0"/>
              <w:right w:val="single" w:color="auto" w:sz="4" w:space="0"/>
            </w:tcBorders>
            <w:vAlign w:val="center"/>
          </w:tcPr>
          <w:p w14:paraId="15ABC574">
            <w:pPr>
              <w:snapToGrid w:val="0"/>
              <w:jc w:val="center"/>
              <w:rPr>
                <w:rFonts w:hint="eastAsia" w:ascii="仿宋" w:hAnsi="仿宋" w:eastAsia="仿宋" w:cs="仿宋"/>
                <w:color w:val="auto"/>
                <w:sz w:val="21"/>
                <w:szCs w:val="21"/>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05590CB9">
            <w:pPr>
              <w:snapToGrid w:val="0"/>
              <w:jc w:val="center"/>
              <w:rPr>
                <w:rFonts w:hint="eastAsia" w:ascii="仿宋" w:hAnsi="仿宋" w:eastAsia="仿宋" w:cs="仿宋"/>
                <w:color w:val="auto"/>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16D2601A">
            <w:pPr>
              <w:snapToGrid w:val="0"/>
              <w:jc w:val="center"/>
              <w:rPr>
                <w:rFonts w:hint="eastAsia" w:ascii="仿宋" w:hAnsi="仿宋" w:eastAsia="仿宋" w:cs="仿宋"/>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1467794">
            <w:pPr>
              <w:snapToGrid w:val="0"/>
              <w:jc w:val="center"/>
              <w:rPr>
                <w:rFonts w:hint="eastAsia" w:ascii="仿宋" w:hAnsi="仿宋" w:eastAsia="仿宋" w:cs="仿宋"/>
                <w:color w:val="auto"/>
                <w:sz w:val="21"/>
                <w:szCs w:val="21"/>
                <w:highlight w:val="none"/>
              </w:rPr>
            </w:pPr>
          </w:p>
        </w:tc>
        <w:tc>
          <w:tcPr>
            <w:tcW w:w="856" w:type="pct"/>
            <w:tcBorders>
              <w:top w:val="single" w:color="auto" w:sz="4" w:space="0"/>
              <w:left w:val="single" w:color="auto" w:sz="4" w:space="0"/>
              <w:bottom w:val="single" w:color="auto" w:sz="4" w:space="0"/>
              <w:right w:val="single" w:color="auto" w:sz="4" w:space="0"/>
            </w:tcBorders>
            <w:vAlign w:val="center"/>
          </w:tcPr>
          <w:p w14:paraId="3ECB1988">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7A54358C">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50AE9C6">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16627CA8">
            <w:pPr>
              <w:pStyle w:val="33"/>
              <w:snapToGrid w:val="0"/>
              <w:jc w:val="right"/>
              <w:rPr>
                <w:rFonts w:hint="eastAsia" w:ascii="仿宋" w:hAnsi="仿宋" w:eastAsia="仿宋" w:cs="仿宋"/>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6D6C2B41">
            <w:pPr>
              <w:pStyle w:val="33"/>
              <w:snapToGrid w:val="0"/>
              <w:jc w:val="right"/>
              <w:rPr>
                <w:rFonts w:hint="eastAsia" w:ascii="仿宋" w:hAnsi="仿宋" w:eastAsia="仿宋" w:cs="仿宋"/>
                <w:color w:val="auto"/>
                <w:kern w:val="2"/>
                <w:sz w:val="21"/>
                <w:szCs w:val="21"/>
                <w:highlight w:val="none"/>
              </w:rPr>
            </w:pPr>
          </w:p>
        </w:tc>
      </w:tr>
      <w:tr w14:paraId="3161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tcBorders>
              <w:top w:val="single" w:color="auto" w:sz="4" w:space="0"/>
              <w:left w:val="single" w:color="auto" w:sz="4" w:space="0"/>
              <w:bottom w:val="single" w:color="auto" w:sz="4" w:space="0"/>
              <w:right w:val="single" w:color="auto" w:sz="4" w:space="0"/>
            </w:tcBorders>
            <w:vAlign w:val="center"/>
          </w:tcPr>
          <w:p w14:paraId="3E5DEBE9">
            <w:pPr>
              <w:snapToGrid w:val="0"/>
              <w:jc w:val="center"/>
              <w:rPr>
                <w:rFonts w:hint="eastAsia" w:ascii="仿宋" w:hAnsi="仿宋" w:eastAsia="仿宋" w:cs="仿宋"/>
                <w:color w:val="auto"/>
                <w:sz w:val="21"/>
                <w:szCs w:val="21"/>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4EDDBB27">
            <w:pPr>
              <w:snapToGrid w:val="0"/>
              <w:jc w:val="center"/>
              <w:rPr>
                <w:rFonts w:hint="eastAsia" w:ascii="仿宋" w:hAnsi="仿宋" w:eastAsia="仿宋" w:cs="仿宋"/>
                <w:color w:val="auto"/>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3A0B15C1">
            <w:pPr>
              <w:snapToGrid w:val="0"/>
              <w:jc w:val="center"/>
              <w:rPr>
                <w:rFonts w:hint="eastAsia" w:ascii="仿宋" w:hAnsi="仿宋" w:eastAsia="仿宋" w:cs="仿宋"/>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3A9CF49F">
            <w:pPr>
              <w:snapToGrid w:val="0"/>
              <w:jc w:val="center"/>
              <w:rPr>
                <w:rFonts w:hint="eastAsia" w:ascii="仿宋" w:hAnsi="仿宋" w:eastAsia="仿宋" w:cs="仿宋"/>
                <w:color w:val="auto"/>
                <w:sz w:val="21"/>
                <w:szCs w:val="21"/>
                <w:highlight w:val="none"/>
              </w:rPr>
            </w:pPr>
          </w:p>
        </w:tc>
        <w:tc>
          <w:tcPr>
            <w:tcW w:w="856" w:type="pct"/>
            <w:tcBorders>
              <w:top w:val="single" w:color="auto" w:sz="4" w:space="0"/>
              <w:left w:val="single" w:color="auto" w:sz="4" w:space="0"/>
              <w:bottom w:val="single" w:color="auto" w:sz="4" w:space="0"/>
              <w:right w:val="single" w:color="auto" w:sz="4" w:space="0"/>
            </w:tcBorders>
            <w:vAlign w:val="center"/>
          </w:tcPr>
          <w:p w14:paraId="2AB3738C">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64E7EAA">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0CA96684">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3B561793">
            <w:pPr>
              <w:pStyle w:val="33"/>
              <w:snapToGrid w:val="0"/>
              <w:jc w:val="right"/>
              <w:rPr>
                <w:rFonts w:hint="eastAsia" w:ascii="仿宋" w:hAnsi="仿宋" w:eastAsia="仿宋" w:cs="仿宋"/>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40DACFCC">
            <w:pPr>
              <w:pStyle w:val="33"/>
              <w:snapToGrid w:val="0"/>
              <w:jc w:val="right"/>
              <w:rPr>
                <w:rFonts w:hint="eastAsia" w:ascii="仿宋" w:hAnsi="仿宋" w:eastAsia="仿宋" w:cs="仿宋"/>
                <w:color w:val="auto"/>
                <w:kern w:val="2"/>
                <w:sz w:val="21"/>
                <w:szCs w:val="21"/>
                <w:highlight w:val="none"/>
              </w:rPr>
            </w:pPr>
          </w:p>
        </w:tc>
      </w:tr>
      <w:tr w14:paraId="1BF4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tcBorders>
              <w:top w:val="single" w:color="auto" w:sz="4" w:space="0"/>
              <w:left w:val="single" w:color="auto" w:sz="4" w:space="0"/>
              <w:bottom w:val="single" w:color="auto" w:sz="4" w:space="0"/>
              <w:right w:val="single" w:color="auto" w:sz="4" w:space="0"/>
            </w:tcBorders>
            <w:vAlign w:val="center"/>
          </w:tcPr>
          <w:p w14:paraId="1DED7814">
            <w:pPr>
              <w:snapToGrid w:val="0"/>
              <w:jc w:val="center"/>
              <w:rPr>
                <w:rFonts w:hint="eastAsia" w:ascii="仿宋" w:hAnsi="仿宋" w:eastAsia="仿宋" w:cs="仿宋"/>
                <w:color w:val="auto"/>
                <w:sz w:val="21"/>
                <w:szCs w:val="21"/>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39F00AFE">
            <w:pPr>
              <w:snapToGrid w:val="0"/>
              <w:jc w:val="center"/>
              <w:rPr>
                <w:rFonts w:hint="eastAsia" w:ascii="仿宋" w:hAnsi="仿宋" w:eastAsia="仿宋" w:cs="仿宋"/>
                <w:color w:val="auto"/>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710532DF">
            <w:pPr>
              <w:snapToGrid w:val="0"/>
              <w:jc w:val="center"/>
              <w:rPr>
                <w:rFonts w:hint="eastAsia" w:ascii="仿宋" w:hAnsi="仿宋" w:eastAsia="仿宋" w:cs="仿宋"/>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630770CC">
            <w:pPr>
              <w:snapToGrid w:val="0"/>
              <w:jc w:val="center"/>
              <w:rPr>
                <w:rFonts w:hint="eastAsia" w:ascii="仿宋" w:hAnsi="仿宋" w:eastAsia="仿宋" w:cs="仿宋"/>
                <w:color w:val="auto"/>
                <w:sz w:val="21"/>
                <w:szCs w:val="21"/>
                <w:highlight w:val="none"/>
              </w:rPr>
            </w:pPr>
          </w:p>
        </w:tc>
        <w:tc>
          <w:tcPr>
            <w:tcW w:w="856" w:type="pct"/>
            <w:tcBorders>
              <w:top w:val="single" w:color="auto" w:sz="4" w:space="0"/>
              <w:left w:val="single" w:color="auto" w:sz="4" w:space="0"/>
              <w:bottom w:val="single" w:color="auto" w:sz="4" w:space="0"/>
              <w:right w:val="single" w:color="auto" w:sz="4" w:space="0"/>
            </w:tcBorders>
            <w:vAlign w:val="center"/>
          </w:tcPr>
          <w:p w14:paraId="09350484">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0726D1F8">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2A128903">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0F6010EC">
            <w:pPr>
              <w:pStyle w:val="33"/>
              <w:snapToGrid w:val="0"/>
              <w:jc w:val="right"/>
              <w:rPr>
                <w:rFonts w:hint="eastAsia" w:ascii="仿宋" w:hAnsi="仿宋" w:eastAsia="仿宋" w:cs="仿宋"/>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31B512EA">
            <w:pPr>
              <w:pStyle w:val="33"/>
              <w:snapToGrid w:val="0"/>
              <w:jc w:val="right"/>
              <w:rPr>
                <w:rFonts w:hint="eastAsia" w:ascii="仿宋" w:hAnsi="仿宋" w:eastAsia="仿宋" w:cs="仿宋"/>
                <w:color w:val="auto"/>
                <w:kern w:val="2"/>
                <w:sz w:val="21"/>
                <w:szCs w:val="21"/>
                <w:highlight w:val="none"/>
              </w:rPr>
            </w:pPr>
          </w:p>
        </w:tc>
      </w:tr>
      <w:tr w14:paraId="7B33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tcBorders>
              <w:top w:val="single" w:color="auto" w:sz="4" w:space="0"/>
              <w:left w:val="single" w:color="auto" w:sz="4" w:space="0"/>
              <w:bottom w:val="single" w:color="auto" w:sz="4" w:space="0"/>
              <w:right w:val="single" w:color="auto" w:sz="4" w:space="0"/>
            </w:tcBorders>
            <w:vAlign w:val="center"/>
          </w:tcPr>
          <w:p w14:paraId="222C4B09">
            <w:pPr>
              <w:snapToGrid w:val="0"/>
              <w:jc w:val="center"/>
              <w:rPr>
                <w:rFonts w:hint="eastAsia" w:ascii="仿宋" w:hAnsi="仿宋" w:eastAsia="仿宋" w:cs="仿宋"/>
                <w:color w:val="auto"/>
                <w:sz w:val="21"/>
                <w:szCs w:val="21"/>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24874B41">
            <w:pPr>
              <w:snapToGrid w:val="0"/>
              <w:jc w:val="center"/>
              <w:rPr>
                <w:rFonts w:hint="eastAsia" w:ascii="仿宋" w:hAnsi="仿宋" w:eastAsia="仿宋" w:cs="仿宋"/>
                <w:color w:val="auto"/>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6652C04B">
            <w:pPr>
              <w:snapToGrid w:val="0"/>
              <w:jc w:val="center"/>
              <w:rPr>
                <w:rFonts w:hint="eastAsia" w:ascii="仿宋" w:hAnsi="仿宋" w:eastAsia="仿宋" w:cs="仿宋"/>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7DF7AA7">
            <w:pPr>
              <w:snapToGrid w:val="0"/>
              <w:jc w:val="center"/>
              <w:rPr>
                <w:rFonts w:hint="eastAsia" w:ascii="仿宋" w:hAnsi="仿宋" w:eastAsia="仿宋" w:cs="仿宋"/>
                <w:color w:val="auto"/>
                <w:sz w:val="21"/>
                <w:szCs w:val="21"/>
                <w:highlight w:val="none"/>
              </w:rPr>
            </w:pPr>
          </w:p>
        </w:tc>
        <w:tc>
          <w:tcPr>
            <w:tcW w:w="856" w:type="pct"/>
            <w:tcBorders>
              <w:top w:val="single" w:color="auto" w:sz="4" w:space="0"/>
              <w:left w:val="single" w:color="auto" w:sz="4" w:space="0"/>
              <w:bottom w:val="single" w:color="auto" w:sz="4" w:space="0"/>
              <w:right w:val="single" w:color="auto" w:sz="4" w:space="0"/>
            </w:tcBorders>
            <w:vAlign w:val="center"/>
          </w:tcPr>
          <w:p w14:paraId="232FA271">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9A40DDE">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4449FAE9">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5553CD45">
            <w:pPr>
              <w:pStyle w:val="33"/>
              <w:snapToGrid w:val="0"/>
              <w:jc w:val="right"/>
              <w:rPr>
                <w:rFonts w:hint="eastAsia" w:ascii="仿宋" w:hAnsi="仿宋" w:eastAsia="仿宋" w:cs="仿宋"/>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414B2B5E">
            <w:pPr>
              <w:pStyle w:val="33"/>
              <w:snapToGrid w:val="0"/>
              <w:jc w:val="right"/>
              <w:rPr>
                <w:rFonts w:hint="eastAsia" w:ascii="仿宋" w:hAnsi="仿宋" w:eastAsia="仿宋" w:cs="仿宋"/>
                <w:color w:val="auto"/>
                <w:kern w:val="2"/>
                <w:sz w:val="21"/>
                <w:szCs w:val="21"/>
                <w:highlight w:val="none"/>
              </w:rPr>
            </w:pPr>
          </w:p>
        </w:tc>
      </w:tr>
      <w:tr w14:paraId="3F0A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tcBorders>
              <w:top w:val="single" w:color="auto" w:sz="4" w:space="0"/>
              <w:left w:val="single" w:color="auto" w:sz="4" w:space="0"/>
              <w:bottom w:val="single" w:color="auto" w:sz="4" w:space="0"/>
              <w:right w:val="single" w:color="auto" w:sz="4" w:space="0"/>
            </w:tcBorders>
            <w:vAlign w:val="center"/>
          </w:tcPr>
          <w:p w14:paraId="2FCF43B7">
            <w:pPr>
              <w:snapToGrid w:val="0"/>
              <w:jc w:val="center"/>
              <w:rPr>
                <w:rFonts w:hint="eastAsia" w:ascii="仿宋" w:hAnsi="仿宋" w:eastAsia="仿宋" w:cs="仿宋"/>
                <w:color w:val="auto"/>
                <w:sz w:val="21"/>
                <w:szCs w:val="21"/>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0C21A1EC">
            <w:pPr>
              <w:snapToGrid w:val="0"/>
              <w:jc w:val="center"/>
              <w:rPr>
                <w:rFonts w:hint="eastAsia" w:ascii="仿宋" w:hAnsi="仿宋" w:eastAsia="仿宋" w:cs="仿宋"/>
                <w:color w:val="auto"/>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188CAC0D">
            <w:pPr>
              <w:snapToGrid w:val="0"/>
              <w:jc w:val="center"/>
              <w:rPr>
                <w:rFonts w:hint="eastAsia" w:ascii="仿宋" w:hAnsi="仿宋" w:eastAsia="仿宋" w:cs="仿宋"/>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02B4EC5C">
            <w:pPr>
              <w:snapToGrid w:val="0"/>
              <w:jc w:val="center"/>
              <w:rPr>
                <w:rFonts w:hint="eastAsia" w:ascii="仿宋" w:hAnsi="仿宋" w:eastAsia="仿宋" w:cs="仿宋"/>
                <w:color w:val="auto"/>
                <w:sz w:val="21"/>
                <w:szCs w:val="21"/>
                <w:highlight w:val="none"/>
              </w:rPr>
            </w:pPr>
          </w:p>
        </w:tc>
        <w:tc>
          <w:tcPr>
            <w:tcW w:w="856" w:type="pct"/>
            <w:tcBorders>
              <w:top w:val="single" w:color="auto" w:sz="4" w:space="0"/>
              <w:left w:val="single" w:color="auto" w:sz="4" w:space="0"/>
              <w:bottom w:val="single" w:color="auto" w:sz="4" w:space="0"/>
              <w:right w:val="single" w:color="auto" w:sz="4" w:space="0"/>
            </w:tcBorders>
            <w:vAlign w:val="center"/>
          </w:tcPr>
          <w:p w14:paraId="570A5663">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5200AC5D">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5E4AB927">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081328A8">
            <w:pPr>
              <w:pStyle w:val="33"/>
              <w:snapToGrid w:val="0"/>
              <w:jc w:val="right"/>
              <w:rPr>
                <w:rFonts w:hint="eastAsia" w:ascii="仿宋" w:hAnsi="仿宋" w:eastAsia="仿宋" w:cs="仿宋"/>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5801DC7F">
            <w:pPr>
              <w:pStyle w:val="33"/>
              <w:snapToGrid w:val="0"/>
              <w:jc w:val="right"/>
              <w:rPr>
                <w:rFonts w:hint="eastAsia" w:ascii="仿宋" w:hAnsi="仿宋" w:eastAsia="仿宋" w:cs="仿宋"/>
                <w:color w:val="auto"/>
                <w:kern w:val="2"/>
                <w:sz w:val="21"/>
                <w:szCs w:val="21"/>
                <w:highlight w:val="none"/>
              </w:rPr>
            </w:pPr>
          </w:p>
        </w:tc>
      </w:tr>
      <w:tr w14:paraId="10D4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tcBorders>
              <w:top w:val="single" w:color="auto" w:sz="4" w:space="0"/>
              <w:left w:val="single" w:color="auto" w:sz="4" w:space="0"/>
              <w:bottom w:val="single" w:color="auto" w:sz="4" w:space="0"/>
              <w:right w:val="single" w:color="auto" w:sz="4" w:space="0"/>
            </w:tcBorders>
            <w:vAlign w:val="center"/>
          </w:tcPr>
          <w:p w14:paraId="59B5586E">
            <w:pPr>
              <w:snapToGrid w:val="0"/>
              <w:jc w:val="center"/>
              <w:rPr>
                <w:rFonts w:hint="eastAsia" w:ascii="仿宋" w:hAnsi="仿宋" w:eastAsia="仿宋" w:cs="仿宋"/>
                <w:color w:val="auto"/>
                <w:sz w:val="21"/>
                <w:szCs w:val="21"/>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327113DB">
            <w:pPr>
              <w:snapToGrid w:val="0"/>
              <w:jc w:val="center"/>
              <w:rPr>
                <w:rFonts w:hint="eastAsia" w:ascii="仿宋" w:hAnsi="仿宋" w:eastAsia="仿宋" w:cs="仿宋"/>
                <w:color w:val="auto"/>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0F32FC2D">
            <w:pPr>
              <w:snapToGrid w:val="0"/>
              <w:jc w:val="center"/>
              <w:rPr>
                <w:rFonts w:hint="eastAsia" w:ascii="仿宋" w:hAnsi="仿宋" w:eastAsia="仿宋" w:cs="仿宋"/>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746A22A8">
            <w:pPr>
              <w:snapToGrid w:val="0"/>
              <w:jc w:val="center"/>
              <w:rPr>
                <w:rFonts w:hint="eastAsia" w:ascii="仿宋" w:hAnsi="仿宋" w:eastAsia="仿宋" w:cs="仿宋"/>
                <w:color w:val="auto"/>
                <w:sz w:val="21"/>
                <w:szCs w:val="21"/>
                <w:highlight w:val="none"/>
              </w:rPr>
            </w:pPr>
          </w:p>
        </w:tc>
        <w:tc>
          <w:tcPr>
            <w:tcW w:w="856" w:type="pct"/>
            <w:tcBorders>
              <w:top w:val="single" w:color="auto" w:sz="4" w:space="0"/>
              <w:left w:val="single" w:color="auto" w:sz="4" w:space="0"/>
              <w:bottom w:val="single" w:color="auto" w:sz="4" w:space="0"/>
              <w:right w:val="single" w:color="auto" w:sz="4" w:space="0"/>
            </w:tcBorders>
            <w:vAlign w:val="center"/>
          </w:tcPr>
          <w:p w14:paraId="172BBA84">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0D546075">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015DB534">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0D67BC44">
            <w:pPr>
              <w:pStyle w:val="33"/>
              <w:snapToGrid w:val="0"/>
              <w:jc w:val="right"/>
              <w:rPr>
                <w:rFonts w:hint="eastAsia" w:ascii="仿宋" w:hAnsi="仿宋" w:eastAsia="仿宋" w:cs="仿宋"/>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08534830">
            <w:pPr>
              <w:pStyle w:val="33"/>
              <w:snapToGrid w:val="0"/>
              <w:jc w:val="right"/>
              <w:rPr>
                <w:rFonts w:hint="eastAsia" w:ascii="仿宋" w:hAnsi="仿宋" w:eastAsia="仿宋" w:cs="仿宋"/>
                <w:color w:val="auto"/>
                <w:kern w:val="2"/>
                <w:sz w:val="21"/>
                <w:szCs w:val="21"/>
                <w:highlight w:val="none"/>
              </w:rPr>
            </w:pPr>
          </w:p>
        </w:tc>
      </w:tr>
      <w:tr w14:paraId="4B3C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tcBorders>
              <w:top w:val="single" w:color="auto" w:sz="4" w:space="0"/>
              <w:left w:val="single" w:color="auto" w:sz="4" w:space="0"/>
              <w:bottom w:val="single" w:color="auto" w:sz="4" w:space="0"/>
              <w:right w:val="single" w:color="auto" w:sz="4" w:space="0"/>
            </w:tcBorders>
            <w:vAlign w:val="center"/>
          </w:tcPr>
          <w:p w14:paraId="1E352DCA">
            <w:pPr>
              <w:snapToGrid w:val="0"/>
              <w:jc w:val="center"/>
              <w:rPr>
                <w:rFonts w:hint="eastAsia" w:ascii="仿宋" w:hAnsi="仿宋" w:eastAsia="仿宋" w:cs="仿宋"/>
                <w:color w:val="auto"/>
                <w:sz w:val="21"/>
                <w:szCs w:val="21"/>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5975321D">
            <w:pPr>
              <w:snapToGrid w:val="0"/>
              <w:jc w:val="center"/>
              <w:rPr>
                <w:rFonts w:hint="eastAsia" w:ascii="仿宋" w:hAnsi="仿宋" w:eastAsia="仿宋" w:cs="仿宋"/>
                <w:color w:val="auto"/>
                <w:sz w:val="21"/>
                <w:szCs w:val="21"/>
                <w:highlight w:val="none"/>
              </w:rPr>
            </w:pPr>
          </w:p>
        </w:tc>
        <w:tc>
          <w:tcPr>
            <w:tcW w:w="356" w:type="pct"/>
            <w:tcBorders>
              <w:top w:val="single" w:color="auto" w:sz="4" w:space="0"/>
              <w:left w:val="single" w:color="auto" w:sz="4" w:space="0"/>
              <w:bottom w:val="single" w:color="auto" w:sz="4" w:space="0"/>
              <w:right w:val="single" w:color="auto" w:sz="4" w:space="0"/>
            </w:tcBorders>
            <w:vAlign w:val="center"/>
          </w:tcPr>
          <w:p w14:paraId="2B31659C">
            <w:pPr>
              <w:snapToGrid w:val="0"/>
              <w:jc w:val="center"/>
              <w:rPr>
                <w:rFonts w:hint="eastAsia" w:ascii="仿宋" w:hAnsi="仿宋" w:eastAsia="仿宋" w:cs="仿宋"/>
                <w:color w:val="auto"/>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098511A3">
            <w:pPr>
              <w:snapToGrid w:val="0"/>
              <w:jc w:val="center"/>
              <w:rPr>
                <w:rFonts w:hint="eastAsia" w:ascii="仿宋" w:hAnsi="仿宋" w:eastAsia="仿宋" w:cs="仿宋"/>
                <w:color w:val="auto"/>
                <w:sz w:val="21"/>
                <w:szCs w:val="21"/>
                <w:highlight w:val="none"/>
              </w:rPr>
            </w:pPr>
          </w:p>
        </w:tc>
        <w:tc>
          <w:tcPr>
            <w:tcW w:w="856" w:type="pct"/>
            <w:tcBorders>
              <w:top w:val="single" w:color="auto" w:sz="4" w:space="0"/>
              <w:left w:val="single" w:color="auto" w:sz="4" w:space="0"/>
              <w:bottom w:val="single" w:color="auto" w:sz="4" w:space="0"/>
              <w:right w:val="single" w:color="auto" w:sz="4" w:space="0"/>
            </w:tcBorders>
            <w:vAlign w:val="center"/>
          </w:tcPr>
          <w:p w14:paraId="464AD9E2">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AAC1757">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5987662">
            <w:pPr>
              <w:snapToGrid w:val="0"/>
              <w:jc w:val="center"/>
              <w:rPr>
                <w:rFonts w:hint="eastAsia" w:ascii="仿宋" w:hAnsi="仿宋" w:eastAsia="仿宋" w:cs="仿宋"/>
                <w:color w:val="auto"/>
                <w:sz w:val="21"/>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7FF81F52">
            <w:pPr>
              <w:pStyle w:val="33"/>
              <w:snapToGrid w:val="0"/>
              <w:jc w:val="right"/>
              <w:rPr>
                <w:rFonts w:hint="eastAsia" w:ascii="仿宋" w:hAnsi="仿宋" w:eastAsia="仿宋" w:cs="仿宋"/>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530B8BE6">
            <w:pPr>
              <w:pStyle w:val="33"/>
              <w:snapToGrid w:val="0"/>
              <w:jc w:val="right"/>
              <w:rPr>
                <w:rFonts w:hint="eastAsia" w:ascii="仿宋" w:hAnsi="仿宋" w:eastAsia="仿宋" w:cs="仿宋"/>
                <w:color w:val="auto"/>
                <w:kern w:val="2"/>
                <w:sz w:val="21"/>
                <w:szCs w:val="21"/>
                <w:highlight w:val="none"/>
              </w:rPr>
            </w:pPr>
          </w:p>
        </w:tc>
      </w:tr>
    </w:tbl>
    <w:p w14:paraId="73572BB1">
      <w:pPr>
        <w:spacing w:before="80"/>
        <w:ind w:firstLine="240" w:firstLineChars="100"/>
        <w:rPr>
          <w:rFonts w:hint="eastAsia" w:ascii="仿宋" w:hAnsi="仿宋" w:eastAsia="仿宋" w:cs="仿宋"/>
          <w:color w:val="auto"/>
          <w:kern w:val="2"/>
          <w:sz w:val="24"/>
          <w:highlight w:val="none"/>
          <w:lang w:val="en-US" w:bidi="ar-SA"/>
        </w:rPr>
      </w:pPr>
      <w:r>
        <w:rPr>
          <w:rFonts w:hint="eastAsia" w:ascii="仿宋" w:hAnsi="仿宋" w:eastAsia="仿宋" w:cs="仿宋"/>
          <w:color w:val="auto"/>
          <w:kern w:val="2"/>
          <w:sz w:val="24"/>
          <w:highlight w:val="none"/>
          <w:lang w:val="en-US" w:bidi="ar-SA"/>
        </w:rPr>
        <w:t>注：此表需详列投标的每种产品，此表可按投标人实际情况修改填写。</w:t>
      </w:r>
    </w:p>
    <w:p w14:paraId="276247C8">
      <w:pPr>
        <w:pStyle w:val="35"/>
        <w:tabs>
          <w:tab w:val="left" w:pos="750"/>
        </w:tabs>
        <w:adjustRightInd w:val="0"/>
        <w:snapToGrid w:val="0"/>
        <w:spacing w:line="400" w:lineRule="exact"/>
        <w:ind w:firstLine="660" w:firstLineChars="300"/>
        <w:rPr>
          <w:rFonts w:hint="eastAsia" w:ascii="仿宋" w:hAnsi="仿宋" w:eastAsia="仿宋" w:cs="仿宋"/>
          <w:color w:val="auto"/>
          <w:kern w:val="0"/>
          <w:sz w:val="22"/>
          <w:szCs w:val="18"/>
          <w:highlight w:val="none"/>
          <w:lang w:val="zh-CN"/>
        </w:rPr>
      </w:pPr>
      <w:r>
        <w:rPr>
          <w:rFonts w:hint="eastAsia" w:ascii="仿宋" w:hAnsi="仿宋" w:eastAsia="仿宋" w:cs="仿宋"/>
          <w:color w:val="auto"/>
          <w:kern w:val="0"/>
          <w:sz w:val="22"/>
          <w:szCs w:val="18"/>
          <w:highlight w:val="none"/>
          <w:lang w:val="zh-CN"/>
        </w:rPr>
        <w:t>表后所附资料</w:t>
      </w:r>
      <w:r>
        <w:rPr>
          <w:rFonts w:hint="eastAsia" w:ascii="仿宋" w:hAnsi="仿宋" w:eastAsia="仿宋" w:cs="仿宋"/>
          <w:color w:val="auto"/>
          <w:sz w:val="24"/>
          <w:highlight w:val="none"/>
        </w:rPr>
        <w:t>可以是文字资料、图纸和数据，并提供：</w:t>
      </w:r>
    </w:p>
    <w:p w14:paraId="476B4991">
      <w:pPr>
        <w:topLinePunct/>
        <w:spacing w:line="400" w:lineRule="exact"/>
        <w:ind w:firstLine="660" w:firstLineChars="300"/>
        <w:rPr>
          <w:rFonts w:hint="eastAsia" w:ascii="仿宋" w:hAnsi="仿宋" w:eastAsia="仿宋" w:cs="仿宋"/>
          <w:color w:val="auto"/>
          <w:szCs w:val="18"/>
          <w:highlight w:val="none"/>
        </w:rPr>
      </w:pPr>
      <w:r>
        <w:rPr>
          <w:rFonts w:hint="eastAsia" w:ascii="仿宋" w:hAnsi="仿宋" w:eastAsia="仿宋" w:cs="仿宋"/>
          <w:color w:val="auto"/>
          <w:szCs w:val="18"/>
          <w:highlight w:val="none"/>
        </w:rPr>
        <w:t>（1）</w:t>
      </w:r>
      <w:r>
        <w:rPr>
          <w:rFonts w:hint="eastAsia" w:ascii="仿宋" w:hAnsi="仿宋" w:eastAsia="仿宋" w:cs="仿宋"/>
          <w:color w:val="auto"/>
          <w:szCs w:val="18"/>
          <w:highlight w:val="none"/>
          <w:lang w:val="en-US" w:eastAsia="zh-CN"/>
        </w:rPr>
        <w:t>产品</w:t>
      </w:r>
      <w:r>
        <w:rPr>
          <w:rFonts w:hint="eastAsia" w:ascii="仿宋" w:hAnsi="仿宋" w:eastAsia="仿宋" w:cs="仿宋"/>
          <w:color w:val="auto"/>
          <w:szCs w:val="18"/>
          <w:highlight w:val="none"/>
        </w:rPr>
        <w:t>主要技术及性能特点的详细描述；</w:t>
      </w:r>
    </w:p>
    <w:p w14:paraId="6DF6484D">
      <w:pPr>
        <w:topLinePunct/>
        <w:spacing w:line="400" w:lineRule="exact"/>
        <w:ind w:firstLine="660" w:firstLineChars="300"/>
        <w:rPr>
          <w:rFonts w:hint="eastAsia" w:ascii="仿宋" w:hAnsi="仿宋" w:eastAsia="仿宋" w:cs="仿宋"/>
          <w:color w:val="auto"/>
          <w:szCs w:val="18"/>
          <w:highlight w:val="none"/>
        </w:rPr>
      </w:pPr>
      <w:r>
        <w:rPr>
          <w:rFonts w:hint="eastAsia" w:ascii="仿宋" w:hAnsi="仿宋" w:eastAsia="仿宋" w:cs="仿宋"/>
          <w:color w:val="auto"/>
          <w:szCs w:val="18"/>
          <w:highlight w:val="none"/>
        </w:rPr>
        <w:t>（2）</w:t>
      </w:r>
      <w:r>
        <w:rPr>
          <w:rFonts w:hint="eastAsia" w:ascii="仿宋" w:hAnsi="仿宋" w:eastAsia="仿宋" w:cs="仿宋"/>
          <w:color w:val="auto"/>
          <w:szCs w:val="18"/>
          <w:highlight w:val="none"/>
          <w:lang w:val="en-US" w:eastAsia="zh-CN"/>
        </w:rPr>
        <w:t>产品的</w:t>
      </w:r>
      <w:r>
        <w:rPr>
          <w:rFonts w:hint="eastAsia" w:ascii="仿宋" w:hAnsi="仿宋" w:eastAsia="仿宋" w:cs="仿宋"/>
          <w:color w:val="auto"/>
          <w:szCs w:val="18"/>
          <w:highlight w:val="none"/>
        </w:rPr>
        <w:t>详细资料，包括检验报告等；</w:t>
      </w:r>
    </w:p>
    <w:p w14:paraId="6AF91FE8">
      <w:pPr>
        <w:pStyle w:val="10"/>
        <w:ind w:left="0"/>
        <w:rPr>
          <w:rFonts w:hint="eastAsia" w:ascii="仿宋" w:hAnsi="仿宋" w:eastAsia="仿宋" w:cs="仿宋"/>
          <w:b/>
          <w:color w:val="auto"/>
          <w:sz w:val="25"/>
          <w:highlight w:val="none"/>
        </w:rPr>
      </w:pPr>
    </w:p>
    <w:p w14:paraId="6DDBA58E">
      <w:pPr>
        <w:pStyle w:val="10"/>
        <w:ind w:left="0"/>
        <w:rPr>
          <w:rFonts w:hint="eastAsia" w:ascii="仿宋" w:hAnsi="仿宋" w:eastAsia="仿宋" w:cs="仿宋"/>
          <w:b/>
          <w:color w:val="auto"/>
          <w:sz w:val="25"/>
          <w:highlight w:val="none"/>
        </w:rPr>
      </w:pPr>
    </w:p>
    <w:p w14:paraId="307A3818">
      <w:pPr>
        <w:pStyle w:val="35"/>
        <w:tabs>
          <w:tab w:val="left" w:pos="750"/>
        </w:tabs>
        <w:adjustRightInd w:val="0"/>
        <w:snapToGrid w:val="0"/>
        <w:spacing w:line="480" w:lineRule="auto"/>
        <w:ind w:firstLine="723" w:firstLineChars="3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投标人名称（盖章）：</w:t>
      </w:r>
      <w:r>
        <w:rPr>
          <w:rFonts w:hint="eastAsia" w:ascii="仿宋" w:hAnsi="仿宋" w:eastAsia="仿宋" w:cs="仿宋"/>
          <w:b/>
          <w:color w:val="auto"/>
          <w:kern w:val="0"/>
          <w:sz w:val="24"/>
          <w:highlight w:val="none"/>
          <w:u w:val="single"/>
          <w:lang w:bidi="zh-CN"/>
        </w:rPr>
        <w:t xml:space="preserve">                 </w:t>
      </w:r>
      <w:r>
        <w:rPr>
          <w:rFonts w:hint="eastAsia" w:ascii="仿宋" w:hAnsi="仿宋" w:eastAsia="仿宋" w:cs="仿宋"/>
          <w:b/>
          <w:color w:val="auto"/>
          <w:kern w:val="0"/>
          <w:sz w:val="24"/>
          <w:highlight w:val="none"/>
          <w:lang w:val="zh-CN" w:bidi="zh-CN"/>
        </w:rPr>
        <w:t xml:space="preserve">                        </w:t>
      </w:r>
    </w:p>
    <w:p w14:paraId="3F85E4DA">
      <w:pPr>
        <w:pStyle w:val="35"/>
        <w:tabs>
          <w:tab w:val="left" w:pos="750"/>
        </w:tabs>
        <w:adjustRightInd w:val="0"/>
        <w:snapToGrid w:val="0"/>
        <w:spacing w:line="480" w:lineRule="auto"/>
        <w:ind w:firstLine="723" w:firstLineChars="3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法定代表人或委托代理人签字（或盖章）：</w:t>
      </w:r>
      <w:r>
        <w:rPr>
          <w:rFonts w:hint="eastAsia" w:ascii="仿宋" w:hAnsi="仿宋" w:eastAsia="仿宋" w:cs="仿宋"/>
          <w:b/>
          <w:color w:val="auto"/>
          <w:kern w:val="0"/>
          <w:sz w:val="24"/>
          <w:highlight w:val="none"/>
          <w:u w:val="single"/>
          <w:lang w:bidi="zh-CN"/>
        </w:rPr>
        <w:t xml:space="preserve">                 </w:t>
      </w:r>
      <w:r>
        <w:rPr>
          <w:rFonts w:hint="eastAsia" w:ascii="仿宋" w:hAnsi="仿宋" w:eastAsia="仿宋" w:cs="仿宋"/>
          <w:b/>
          <w:color w:val="auto"/>
          <w:kern w:val="0"/>
          <w:sz w:val="24"/>
          <w:highlight w:val="none"/>
          <w:lang w:val="zh-CN" w:bidi="zh-CN"/>
        </w:rPr>
        <w:t xml:space="preserve">                        </w:t>
      </w:r>
    </w:p>
    <w:p w14:paraId="47A95E37">
      <w:pPr>
        <w:pStyle w:val="35"/>
        <w:tabs>
          <w:tab w:val="left" w:pos="750"/>
        </w:tabs>
        <w:adjustRightInd w:val="0"/>
        <w:snapToGrid w:val="0"/>
        <w:spacing w:line="480" w:lineRule="auto"/>
        <w:ind w:firstLine="5783" w:firstLineChars="24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 xml:space="preserve">日期： </w:t>
      </w:r>
      <w:r>
        <w:rPr>
          <w:rFonts w:hint="eastAsia" w:ascii="仿宋" w:hAnsi="仿宋" w:eastAsia="仿宋" w:cs="仿宋"/>
          <w:b/>
          <w:color w:val="auto"/>
          <w:kern w:val="0"/>
          <w:sz w:val="24"/>
          <w:highlight w:val="none"/>
          <w:u w:val="single"/>
          <w:lang w:val="zh-CN" w:bidi="zh-CN"/>
        </w:rPr>
        <w:t xml:space="preserve">    </w:t>
      </w:r>
      <w:r>
        <w:rPr>
          <w:rFonts w:hint="eastAsia" w:ascii="仿宋" w:hAnsi="仿宋" w:eastAsia="仿宋" w:cs="仿宋"/>
          <w:b/>
          <w:color w:val="auto"/>
          <w:kern w:val="0"/>
          <w:sz w:val="24"/>
          <w:highlight w:val="none"/>
          <w:lang w:val="zh-CN" w:bidi="zh-CN"/>
        </w:rPr>
        <w:t xml:space="preserve"> 年</w:t>
      </w:r>
      <w:r>
        <w:rPr>
          <w:rFonts w:hint="eastAsia" w:ascii="仿宋" w:hAnsi="仿宋" w:eastAsia="仿宋" w:cs="仿宋"/>
          <w:b/>
          <w:color w:val="auto"/>
          <w:kern w:val="0"/>
          <w:sz w:val="24"/>
          <w:highlight w:val="none"/>
          <w:u w:val="single"/>
          <w:lang w:val="zh-CN" w:bidi="zh-CN"/>
        </w:rPr>
        <w:t xml:space="preserve">    </w:t>
      </w:r>
      <w:r>
        <w:rPr>
          <w:rFonts w:hint="eastAsia" w:ascii="仿宋" w:hAnsi="仿宋" w:eastAsia="仿宋" w:cs="仿宋"/>
          <w:b/>
          <w:color w:val="auto"/>
          <w:kern w:val="0"/>
          <w:sz w:val="24"/>
          <w:highlight w:val="none"/>
          <w:lang w:val="zh-CN" w:bidi="zh-CN"/>
        </w:rPr>
        <w:t>月</w:t>
      </w:r>
      <w:r>
        <w:rPr>
          <w:rFonts w:hint="eastAsia" w:ascii="仿宋" w:hAnsi="仿宋" w:eastAsia="仿宋" w:cs="仿宋"/>
          <w:b/>
          <w:color w:val="auto"/>
          <w:kern w:val="0"/>
          <w:sz w:val="24"/>
          <w:highlight w:val="none"/>
          <w:u w:val="single"/>
          <w:lang w:val="zh-CN" w:bidi="zh-CN"/>
        </w:rPr>
        <w:t xml:space="preserve">     </w:t>
      </w:r>
      <w:r>
        <w:rPr>
          <w:rFonts w:hint="eastAsia" w:ascii="仿宋" w:hAnsi="仿宋" w:eastAsia="仿宋" w:cs="仿宋"/>
          <w:b/>
          <w:color w:val="auto"/>
          <w:kern w:val="0"/>
          <w:sz w:val="24"/>
          <w:highlight w:val="none"/>
          <w:lang w:val="zh-CN" w:bidi="zh-CN"/>
        </w:rPr>
        <w:t>日</w:t>
      </w:r>
    </w:p>
    <w:p w14:paraId="496E8547">
      <w:pPr>
        <w:pStyle w:val="35"/>
        <w:tabs>
          <w:tab w:val="left" w:pos="750"/>
        </w:tabs>
        <w:adjustRightInd w:val="0"/>
        <w:snapToGrid w:val="0"/>
        <w:spacing w:line="480" w:lineRule="auto"/>
        <w:ind w:firstLine="5783" w:firstLineChars="2400"/>
        <w:rPr>
          <w:rFonts w:hint="eastAsia" w:ascii="仿宋" w:hAnsi="仿宋" w:eastAsia="仿宋" w:cs="仿宋"/>
          <w:b/>
          <w:color w:val="auto"/>
          <w:kern w:val="0"/>
          <w:sz w:val="24"/>
          <w:highlight w:val="none"/>
          <w:lang w:val="zh-CN" w:bidi="zh-CN"/>
        </w:rPr>
      </w:pPr>
    </w:p>
    <w:p w14:paraId="34272C68">
      <w:pPr>
        <w:pStyle w:val="36"/>
        <w:widowControl w:val="0"/>
        <w:spacing w:line="360" w:lineRule="exact"/>
        <w:rPr>
          <w:rFonts w:hint="eastAsia" w:ascii="仿宋" w:hAnsi="仿宋" w:eastAsia="仿宋" w:cs="仿宋"/>
          <w:color w:val="auto"/>
          <w:szCs w:val="24"/>
          <w:highlight w:val="none"/>
        </w:rPr>
      </w:pPr>
      <w:r>
        <w:rPr>
          <w:rFonts w:hint="eastAsia" w:ascii="仿宋" w:hAnsi="仿宋" w:eastAsia="仿宋" w:cs="仿宋"/>
          <w:b/>
          <w:color w:val="auto"/>
          <w:sz w:val="24"/>
          <w:highlight w:val="none"/>
        </w:rPr>
        <w:br w:type="page"/>
      </w:r>
    </w:p>
    <w:p w14:paraId="2608EABC">
      <w:pPr>
        <w:spacing w:before="58"/>
        <w:jc w:val="center"/>
        <w:rPr>
          <w:rFonts w:hint="eastAsia"/>
          <w:b/>
          <w:color w:val="auto"/>
          <w:sz w:val="30"/>
        </w:rPr>
      </w:pPr>
    </w:p>
    <w:p w14:paraId="3DF6E58C">
      <w:pPr>
        <w:spacing w:before="58"/>
        <w:jc w:val="center"/>
        <w:rPr>
          <w:rFonts w:hint="eastAsia"/>
          <w:color w:val="auto"/>
          <w:sz w:val="24"/>
          <w:u w:val="single"/>
          <w:lang w:val="en-US"/>
        </w:rPr>
      </w:pPr>
      <w:r>
        <w:rPr>
          <w:rFonts w:hint="eastAsia"/>
          <w:b/>
          <w:color w:val="auto"/>
          <w:sz w:val="30"/>
        </w:rPr>
        <w:t>核心</w:t>
      </w:r>
      <w:r>
        <w:rPr>
          <w:rFonts w:hint="eastAsia"/>
          <w:b/>
          <w:color w:val="auto"/>
          <w:sz w:val="30"/>
          <w:lang w:val="en-US"/>
        </w:rPr>
        <w:t>产品品牌型号一览表</w:t>
      </w:r>
    </w:p>
    <w:p w14:paraId="39DCA11A">
      <w:pPr>
        <w:rPr>
          <w:rFonts w:hint="eastAsia"/>
          <w:bCs/>
          <w:color w:val="auto"/>
          <w:sz w:val="24"/>
        </w:rPr>
      </w:pPr>
      <w:r>
        <w:rPr>
          <w:rFonts w:hint="eastAsia"/>
          <w:bCs/>
          <w:color w:val="auto"/>
          <w:sz w:val="24"/>
        </w:rPr>
        <w:t xml:space="preserve">投标人名称：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363"/>
        <w:gridCol w:w="1663"/>
        <w:gridCol w:w="1533"/>
        <w:gridCol w:w="1696"/>
        <w:gridCol w:w="1618"/>
      </w:tblGrid>
      <w:tr w14:paraId="1E14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51" w:type="dxa"/>
            <w:vAlign w:val="center"/>
          </w:tcPr>
          <w:p w14:paraId="5060A53B">
            <w:pPr>
              <w:jc w:val="center"/>
              <w:rPr>
                <w:rFonts w:hint="eastAsia"/>
                <w:color w:val="auto"/>
                <w:sz w:val="24"/>
              </w:rPr>
            </w:pPr>
            <w:r>
              <w:rPr>
                <w:rFonts w:hint="eastAsia"/>
                <w:color w:val="auto"/>
                <w:sz w:val="24"/>
              </w:rPr>
              <w:t>序号</w:t>
            </w:r>
          </w:p>
        </w:tc>
        <w:tc>
          <w:tcPr>
            <w:tcW w:w="2363" w:type="dxa"/>
            <w:vAlign w:val="center"/>
          </w:tcPr>
          <w:p w14:paraId="701387C7">
            <w:pPr>
              <w:jc w:val="center"/>
              <w:rPr>
                <w:rFonts w:hint="eastAsia"/>
                <w:color w:val="auto"/>
                <w:sz w:val="24"/>
              </w:rPr>
            </w:pPr>
            <w:r>
              <w:rPr>
                <w:rFonts w:hint="eastAsia"/>
                <w:color w:val="auto"/>
                <w:sz w:val="24"/>
              </w:rPr>
              <w:t>产品名称</w:t>
            </w:r>
          </w:p>
        </w:tc>
        <w:tc>
          <w:tcPr>
            <w:tcW w:w="1663" w:type="dxa"/>
            <w:vAlign w:val="center"/>
          </w:tcPr>
          <w:p w14:paraId="169C53EC">
            <w:pPr>
              <w:jc w:val="center"/>
              <w:rPr>
                <w:rFonts w:hint="eastAsia"/>
                <w:color w:val="auto"/>
                <w:sz w:val="24"/>
              </w:rPr>
            </w:pPr>
            <w:r>
              <w:rPr>
                <w:rFonts w:hint="eastAsia"/>
                <w:color w:val="auto"/>
                <w:sz w:val="24"/>
              </w:rPr>
              <w:t>品牌</w:t>
            </w:r>
          </w:p>
        </w:tc>
        <w:tc>
          <w:tcPr>
            <w:tcW w:w="1533" w:type="dxa"/>
            <w:vAlign w:val="center"/>
          </w:tcPr>
          <w:p w14:paraId="2074AD7F">
            <w:pPr>
              <w:jc w:val="center"/>
              <w:rPr>
                <w:rFonts w:hint="eastAsia" w:eastAsia="宋体"/>
                <w:color w:val="auto"/>
                <w:sz w:val="24"/>
                <w:lang w:eastAsia="zh-CN"/>
              </w:rPr>
            </w:pPr>
            <w:r>
              <w:rPr>
                <w:rFonts w:hint="eastAsia"/>
                <w:color w:val="auto"/>
                <w:sz w:val="24"/>
                <w:lang w:val="en-US" w:eastAsia="zh-CN"/>
              </w:rPr>
              <w:t>维保期</w:t>
            </w:r>
          </w:p>
        </w:tc>
        <w:tc>
          <w:tcPr>
            <w:tcW w:w="1696" w:type="dxa"/>
            <w:vAlign w:val="center"/>
          </w:tcPr>
          <w:p w14:paraId="27BF5D34">
            <w:pPr>
              <w:jc w:val="center"/>
              <w:rPr>
                <w:rFonts w:hint="eastAsia"/>
                <w:color w:val="auto"/>
                <w:sz w:val="24"/>
              </w:rPr>
            </w:pPr>
            <w:r>
              <w:rPr>
                <w:rFonts w:hint="eastAsia"/>
                <w:color w:val="auto"/>
                <w:sz w:val="24"/>
              </w:rPr>
              <w:t>制造商</w:t>
            </w:r>
          </w:p>
        </w:tc>
        <w:tc>
          <w:tcPr>
            <w:tcW w:w="1618" w:type="dxa"/>
            <w:vAlign w:val="center"/>
          </w:tcPr>
          <w:p w14:paraId="6843435A">
            <w:pPr>
              <w:jc w:val="center"/>
              <w:rPr>
                <w:rFonts w:hint="eastAsia"/>
                <w:color w:val="auto"/>
                <w:sz w:val="24"/>
              </w:rPr>
            </w:pPr>
            <w:r>
              <w:rPr>
                <w:rFonts w:hint="eastAsia"/>
                <w:color w:val="auto"/>
                <w:sz w:val="24"/>
              </w:rPr>
              <w:t>产地</w:t>
            </w:r>
          </w:p>
        </w:tc>
      </w:tr>
      <w:tr w14:paraId="3522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51" w:type="dxa"/>
            <w:vAlign w:val="center"/>
          </w:tcPr>
          <w:p w14:paraId="39CC757F">
            <w:pPr>
              <w:jc w:val="center"/>
              <w:rPr>
                <w:rFonts w:hint="eastAsia"/>
                <w:color w:val="auto"/>
                <w:sz w:val="24"/>
              </w:rPr>
            </w:pPr>
            <w:r>
              <w:rPr>
                <w:color w:val="auto"/>
                <w:sz w:val="24"/>
              </w:rPr>
              <w:t>1</w:t>
            </w:r>
          </w:p>
        </w:tc>
        <w:tc>
          <w:tcPr>
            <w:tcW w:w="2363" w:type="dxa"/>
            <w:vAlign w:val="center"/>
          </w:tcPr>
          <w:p w14:paraId="001B5121">
            <w:pPr>
              <w:jc w:val="center"/>
              <w:rPr>
                <w:rFonts w:hint="eastAsia"/>
                <w:color w:val="auto"/>
                <w:sz w:val="24"/>
                <w:szCs w:val="24"/>
              </w:rPr>
            </w:pPr>
          </w:p>
        </w:tc>
        <w:tc>
          <w:tcPr>
            <w:tcW w:w="1663" w:type="dxa"/>
            <w:vAlign w:val="center"/>
          </w:tcPr>
          <w:p w14:paraId="161A17C6">
            <w:pPr>
              <w:jc w:val="center"/>
              <w:rPr>
                <w:rFonts w:hint="eastAsia"/>
                <w:bCs/>
                <w:color w:val="auto"/>
                <w:sz w:val="24"/>
              </w:rPr>
            </w:pPr>
          </w:p>
        </w:tc>
        <w:tc>
          <w:tcPr>
            <w:tcW w:w="1533" w:type="dxa"/>
            <w:vAlign w:val="center"/>
          </w:tcPr>
          <w:p w14:paraId="511AF9E9">
            <w:pPr>
              <w:jc w:val="center"/>
              <w:rPr>
                <w:rFonts w:hint="eastAsia"/>
                <w:color w:val="auto"/>
                <w:sz w:val="24"/>
              </w:rPr>
            </w:pPr>
          </w:p>
        </w:tc>
        <w:tc>
          <w:tcPr>
            <w:tcW w:w="1696" w:type="dxa"/>
            <w:vAlign w:val="center"/>
          </w:tcPr>
          <w:p w14:paraId="149CC700">
            <w:pPr>
              <w:jc w:val="center"/>
              <w:rPr>
                <w:rFonts w:hint="eastAsia"/>
                <w:color w:val="auto"/>
                <w:sz w:val="24"/>
              </w:rPr>
            </w:pPr>
          </w:p>
        </w:tc>
        <w:tc>
          <w:tcPr>
            <w:tcW w:w="1618" w:type="dxa"/>
            <w:vAlign w:val="center"/>
          </w:tcPr>
          <w:p w14:paraId="5DE5008E">
            <w:pPr>
              <w:jc w:val="center"/>
              <w:rPr>
                <w:rFonts w:hint="eastAsia"/>
                <w:color w:val="auto"/>
                <w:sz w:val="24"/>
              </w:rPr>
            </w:pPr>
          </w:p>
        </w:tc>
      </w:tr>
    </w:tbl>
    <w:p w14:paraId="7ED237C0">
      <w:pPr>
        <w:pStyle w:val="12"/>
        <w:pBdr>
          <w:bottom w:val="none" w:color="auto" w:sz="0" w:space="0"/>
        </w:pBdr>
        <w:tabs>
          <w:tab w:val="left" w:pos="420"/>
        </w:tabs>
        <w:snapToGrid/>
        <w:spacing w:line="400" w:lineRule="exact"/>
        <w:jc w:val="both"/>
        <w:rPr>
          <w:rFonts w:hint="eastAsia" w:ascii="宋体" w:hAnsi="宋体"/>
          <w:color w:val="auto"/>
          <w:sz w:val="21"/>
          <w:szCs w:val="21"/>
        </w:rPr>
      </w:pPr>
    </w:p>
    <w:p w14:paraId="54F0011A">
      <w:pPr>
        <w:pStyle w:val="12"/>
        <w:pBdr>
          <w:bottom w:val="none" w:color="auto" w:sz="0" w:space="0"/>
        </w:pBdr>
        <w:tabs>
          <w:tab w:val="left" w:pos="420"/>
        </w:tabs>
        <w:snapToGrid/>
        <w:spacing w:line="400" w:lineRule="exact"/>
        <w:ind w:left="630" w:hanging="630" w:hangingChars="300"/>
        <w:jc w:val="both"/>
        <w:rPr>
          <w:rFonts w:hint="eastAsia" w:ascii="宋体" w:hAnsi="宋体"/>
          <w:color w:val="auto"/>
          <w:sz w:val="24"/>
          <w:u w:val="single"/>
        </w:rPr>
      </w:pPr>
      <w:r>
        <w:rPr>
          <w:rFonts w:hint="eastAsia" w:ascii="宋体" w:hAnsi="宋体"/>
          <w:color w:val="auto"/>
          <w:sz w:val="21"/>
          <w:szCs w:val="21"/>
        </w:rPr>
        <w:t xml:space="preserve">注：1. </w:t>
      </w:r>
      <w:r>
        <w:rPr>
          <w:rFonts w:hint="eastAsia" w:ascii="宋体" w:hAnsi="宋体"/>
          <w:bCs/>
          <w:color w:val="auto"/>
          <w:sz w:val="21"/>
          <w:szCs w:val="21"/>
        </w:rPr>
        <w:t>此表中的信息应</w:t>
      </w:r>
      <w:r>
        <w:rPr>
          <w:rFonts w:hint="eastAsia" w:ascii="宋体" w:hAnsi="宋体"/>
          <w:bCs/>
          <w:color w:val="auto"/>
          <w:sz w:val="21"/>
          <w:szCs w:val="21"/>
          <w:lang w:val="en-US" w:eastAsia="zh-CN"/>
        </w:rPr>
        <w:t>与</w:t>
      </w:r>
      <w:r>
        <w:rPr>
          <w:rFonts w:hint="eastAsia" w:ascii="宋体" w:hAnsi="宋体"/>
          <w:bCs/>
          <w:color w:val="auto"/>
          <w:sz w:val="21"/>
          <w:szCs w:val="21"/>
        </w:rPr>
        <w:t>报价明细表中的信息一致，否则按废标处理。</w:t>
      </w:r>
    </w:p>
    <w:p w14:paraId="238AA562">
      <w:pPr>
        <w:spacing w:line="360" w:lineRule="exact"/>
        <w:rPr>
          <w:rFonts w:hint="eastAsia"/>
          <w:color w:val="auto"/>
          <w:sz w:val="24"/>
        </w:rPr>
      </w:pPr>
      <w:r>
        <w:rPr>
          <w:rFonts w:hint="eastAsia"/>
          <w:color w:val="auto"/>
          <w:sz w:val="24"/>
        </w:rPr>
        <w:t xml:space="preserve">                                   </w:t>
      </w:r>
    </w:p>
    <w:p w14:paraId="1AE91D31">
      <w:pPr>
        <w:spacing w:line="360" w:lineRule="exact"/>
        <w:rPr>
          <w:rFonts w:hint="eastAsia"/>
          <w:color w:val="auto"/>
          <w:sz w:val="24"/>
        </w:rPr>
      </w:pPr>
      <w:r>
        <w:rPr>
          <w:rFonts w:hint="eastAsia"/>
          <w:color w:val="auto"/>
          <w:sz w:val="24"/>
        </w:rPr>
        <w:t xml:space="preserve">                                    投标单位：（盖章）</w:t>
      </w:r>
    </w:p>
    <w:p w14:paraId="4A4AF8F3">
      <w:pPr>
        <w:pStyle w:val="36"/>
        <w:widowControl w:val="0"/>
        <w:spacing w:line="360" w:lineRule="exact"/>
        <w:rPr>
          <w:rFonts w:hint="eastAsia"/>
          <w:color w:val="auto"/>
          <w:szCs w:val="24"/>
        </w:rPr>
      </w:pPr>
    </w:p>
    <w:p w14:paraId="015E29DE">
      <w:pPr>
        <w:pStyle w:val="36"/>
        <w:widowControl w:val="0"/>
        <w:spacing w:line="360" w:lineRule="exact"/>
        <w:rPr>
          <w:rFonts w:hint="eastAsia"/>
          <w:color w:val="auto"/>
          <w:szCs w:val="24"/>
        </w:rPr>
      </w:pPr>
      <w:r>
        <w:rPr>
          <w:rFonts w:hint="eastAsia"/>
          <w:color w:val="auto"/>
          <w:szCs w:val="24"/>
        </w:rPr>
        <w:t xml:space="preserve">                                    法定代表人或授权代理人：（签字或盖章）    </w:t>
      </w:r>
    </w:p>
    <w:p w14:paraId="01FCC25D">
      <w:pPr>
        <w:pStyle w:val="36"/>
        <w:widowControl w:val="0"/>
        <w:spacing w:line="360" w:lineRule="exact"/>
        <w:rPr>
          <w:rFonts w:hint="eastAsia"/>
          <w:color w:val="auto"/>
          <w:szCs w:val="24"/>
        </w:rPr>
      </w:pPr>
    </w:p>
    <w:p w14:paraId="587C4F89">
      <w:pPr>
        <w:pStyle w:val="36"/>
        <w:widowControl w:val="0"/>
        <w:spacing w:line="360" w:lineRule="exact"/>
        <w:rPr>
          <w:rFonts w:hint="eastAsia"/>
          <w:color w:val="auto"/>
          <w:szCs w:val="24"/>
        </w:rPr>
      </w:pPr>
      <w:r>
        <w:rPr>
          <w:rFonts w:hint="eastAsia"/>
          <w:color w:val="auto"/>
          <w:szCs w:val="24"/>
        </w:rPr>
        <w:t xml:space="preserve">                                             年    月   日</w:t>
      </w:r>
    </w:p>
    <w:p w14:paraId="51A682FF">
      <w:pPr>
        <w:pStyle w:val="36"/>
        <w:widowControl w:val="0"/>
        <w:spacing w:line="360" w:lineRule="exact"/>
        <w:rPr>
          <w:rFonts w:hint="eastAsia" w:ascii="仿宋" w:hAnsi="仿宋" w:eastAsia="仿宋" w:cs="仿宋"/>
          <w:color w:val="auto"/>
          <w:szCs w:val="24"/>
          <w:highlight w:val="none"/>
        </w:rPr>
      </w:pPr>
    </w:p>
    <w:p w14:paraId="66C8DD9E">
      <w:pPr>
        <w:spacing w:before="58"/>
        <w:jc w:val="center"/>
        <w:rPr>
          <w:rFonts w:hint="eastAsia" w:ascii="仿宋" w:hAnsi="仿宋" w:eastAsia="仿宋" w:cs="仿宋"/>
          <w:b/>
          <w:color w:val="auto"/>
          <w:sz w:val="30"/>
          <w:highlight w:val="none"/>
          <w:lang w:val="en-US"/>
        </w:rPr>
      </w:pPr>
      <w:r>
        <w:rPr>
          <w:rFonts w:hint="eastAsia" w:ascii="仿宋" w:hAnsi="仿宋" w:eastAsia="仿宋" w:cs="仿宋"/>
          <w:b/>
          <w:color w:val="auto"/>
          <w:sz w:val="30"/>
          <w:highlight w:val="none"/>
          <w:lang w:val="en-US"/>
        </w:rPr>
        <w:t>技术及商务响应（偏离）表</w:t>
      </w:r>
    </w:p>
    <w:p w14:paraId="390D50E0">
      <w:pPr>
        <w:pStyle w:val="6"/>
        <w:rPr>
          <w:rFonts w:hint="eastAsia" w:ascii="仿宋" w:hAnsi="仿宋" w:eastAsia="仿宋" w:cs="仿宋"/>
          <w:color w:val="auto"/>
          <w:highlight w:val="none"/>
          <w:lang w:val="en-US"/>
        </w:rPr>
      </w:pPr>
    </w:p>
    <w:p w14:paraId="20F5A10E">
      <w:pPr>
        <w:pStyle w:val="37"/>
        <w:adjustRightInd w:val="0"/>
        <w:snapToGrid w:val="0"/>
        <w:spacing w:line="400" w:lineRule="exact"/>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 xml:space="preserve">项目编号：                                 </w:t>
      </w:r>
    </w:p>
    <w:p w14:paraId="23AE5D25">
      <w:pPr>
        <w:pStyle w:val="37"/>
        <w:adjustRightInd w:val="0"/>
        <w:snapToGrid w:val="0"/>
        <w:spacing w:line="400" w:lineRule="exact"/>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 xml:space="preserve">项目名称：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84"/>
        <w:gridCol w:w="2989"/>
        <w:gridCol w:w="1461"/>
        <w:gridCol w:w="1846"/>
      </w:tblGrid>
      <w:tr w14:paraId="1F93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846" w:type="dxa"/>
            <w:tcBorders>
              <w:top w:val="single" w:color="auto" w:sz="4" w:space="0"/>
              <w:left w:val="single" w:color="auto" w:sz="4" w:space="0"/>
              <w:bottom w:val="single" w:color="auto" w:sz="4" w:space="0"/>
              <w:right w:val="single" w:color="auto" w:sz="4" w:space="0"/>
            </w:tcBorders>
            <w:vAlign w:val="center"/>
          </w:tcPr>
          <w:p w14:paraId="01A4A040">
            <w:pPr>
              <w:pStyle w:val="37"/>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684" w:type="dxa"/>
            <w:tcBorders>
              <w:top w:val="single" w:color="auto" w:sz="4" w:space="0"/>
              <w:left w:val="single" w:color="auto" w:sz="4" w:space="0"/>
              <w:bottom w:val="single" w:color="auto" w:sz="4" w:space="0"/>
              <w:right w:val="single" w:color="auto" w:sz="4" w:space="0"/>
            </w:tcBorders>
            <w:vAlign w:val="center"/>
          </w:tcPr>
          <w:p w14:paraId="3AE3F2AE">
            <w:pPr>
              <w:pStyle w:val="37"/>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招标文件要求部分</w:t>
            </w:r>
          </w:p>
        </w:tc>
        <w:tc>
          <w:tcPr>
            <w:tcW w:w="2989" w:type="dxa"/>
            <w:tcBorders>
              <w:top w:val="single" w:color="auto" w:sz="4" w:space="0"/>
              <w:left w:val="single" w:color="auto" w:sz="4" w:space="0"/>
              <w:bottom w:val="single" w:color="auto" w:sz="4" w:space="0"/>
              <w:right w:val="single" w:color="auto" w:sz="4" w:space="0"/>
            </w:tcBorders>
            <w:vAlign w:val="center"/>
          </w:tcPr>
          <w:p w14:paraId="030EE8B4">
            <w:pPr>
              <w:pStyle w:val="37"/>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投标文件响应部分</w:t>
            </w:r>
          </w:p>
        </w:tc>
        <w:tc>
          <w:tcPr>
            <w:tcW w:w="1461" w:type="dxa"/>
            <w:tcBorders>
              <w:top w:val="single" w:color="auto" w:sz="4" w:space="0"/>
              <w:left w:val="single" w:color="auto" w:sz="4" w:space="0"/>
              <w:bottom w:val="single" w:color="auto" w:sz="4" w:space="0"/>
              <w:right w:val="single" w:color="auto" w:sz="4" w:space="0"/>
            </w:tcBorders>
            <w:vAlign w:val="center"/>
          </w:tcPr>
          <w:p w14:paraId="76E596D5">
            <w:pPr>
              <w:pStyle w:val="37"/>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w:t>
            </w:r>
          </w:p>
        </w:tc>
        <w:tc>
          <w:tcPr>
            <w:tcW w:w="1846" w:type="dxa"/>
            <w:tcBorders>
              <w:top w:val="single" w:color="auto" w:sz="4" w:space="0"/>
              <w:left w:val="single" w:color="auto" w:sz="4" w:space="0"/>
              <w:bottom w:val="single" w:color="auto" w:sz="4" w:space="0"/>
              <w:right w:val="single" w:color="auto" w:sz="4" w:space="0"/>
            </w:tcBorders>
            <w:vAlign w:val="center"/>
          </w:tcPr>
          <w:p w14:paraId="7663DAAE">
            <w:pPr>
              <w:pStyle w:val="37"/>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w:t>
            </w:r>
          </w:p>
          <w:p w14:paraId="355DED53">
            <w:pPr>
              <w:pStyle w:val="37"/>
              <w:spacing w:line="4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（证明材料）</w:t>
            </w:r>
          </w:p>
        </w:tc>
      </w:tr>
      <w:tr w14:paraId="4E45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46" w:type="dxa"/>
            <w:tcBorders>
              <w:top w:val="single" w:color="auto" w:sz="4" w:space="0"/>
              <w:left w:val="single" w:color="auto" w:sz="4" w:space="0"/>
              <w:bottom w:val="single" w:color="auto" w:sz="4" w:space="0"/>
              <w:right w:val="single" w:color="auto" w:sz="4" w:space="0"/>
            </w:tcBorders>
            <w:vAlign w:val="center"/>
          </w:tcPr>
          <w:p w14:paraId="546EDE86">
            <w:pPr>
              <w:pStyle w:val="37"/>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684" w:type="dxa"/>
            <w:tcBorders>
              <w:top w:val="single" w:color="auto" w:sz="4" w:space="0"/>
              <w:left w:val="single" w:color="auto" w:sz="4" w:space="0"/>
              <w:bottom w:val="single" w:color="auto" w:sz="4" w:space="0"/>
              <w:right w:val="single" w:color="auto" w:sz="4" w:space="0"/>
            </w:tcBorders>
            <w:vAlign w:val="center"/>
          </w:tcPr>
          <w:p w14:paraId="3B70EAA0">
            <w:pPr>
              <w:pStyle w:val="37"/>
              <w:spacing w:line="400" w:lineRule="exact"/>
              <w:rPr>
                <w:rFonts w:hint="eastAsia" w:ascii="仿宋" w:hAnsi="仿宋" w:eastAsia="仿宋" w:cs="仿宋"/>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vAlign w:val="center"/>
          </w:tcPr>
          <w:p w14:paraId="0B8E1725">
            <w:pPr>
              <w:pStyle w:val="37"/>
              <w:spacing w:line="400" w:lineRule="exact"/>
              <w:rPr>
                <w:rFonts w:hint="eastAsia" w:ascii="仿宋" w:hAnsi="仿宋" w:eastAsia="仿宋" w:cs="仿宋"/>
                <w:color w:val="auto"/>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010C6C84">
            <w:pPr>
              <w:pStyle w:val="37"/>
              <w:spacing w:line="400" w:lineRule="exact"/>
              <w:rPr>
                <w:rFonts w:hint="eastAsia" w:ascii="仿宋" w:hAnsi="仿宋" w:eastAsia="仿宋" w:cs="仿宋"/>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vAlign w:val="center"/>
          </w:tcPr>
          <w:p w14:paraId="4903E1DE">
            <w:pPr>
              <w:pStyle w:val="37"/>
              <w:spacing w:line="400" w:lineRule="exact"/>
              <w:rPr>
                <w:rFonts w:hint="eastAsia" w:ascii="仿宋" w:hAnsi="仿宋" w:eastAsia="仿宋" w:cs="仿宋"/>
                <w:color w:val="auto"/>
                <w:sz w:val="24"/>
                <w:szCs w:val="24"/>
                <w:highlight w:val="none"/>
              </w:rPr>
            </w:pPr>
          </w:p>
        </w:tc>
      </w:tr>
      <w:tr w14:paraId="5118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46" w:type="dxa"/>
            <w:tcBorders>
              <w:top w:val="single" w:color="auto" w:sz="4" w:space="0"/>
              <w:left w:val="single" w:color="auto" w:sz="4" w:space="0"/>
              <w:bottom w:val="single" w:color="auto" w:sz="4" w:space="0"/>
              <w:right w:val="single" w:color="auto" w:sz="4" w:space="0"/>
            </w:tcBorders>
            <w:vAlign w:val="center"/>
          </w:tcPr>
          <w:p w14:paraId="1D567517">
            <w:pPr>
              <w:pStyle w:val="37"/>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684" w:type="dxa"/>
            <w:tcBorders>
              <w:top w:val="single" w:color="auto" w:sz="4" w:space="0"/>
              <w:left w:val="single" w:color="auto" w:sz="4" w:space="0"/>
              <w:bottom w:val="single" w:color="auto" w:sz="4" w:space="0"/>
              <w:right w:val="single" w:color="auto" w:sz="4" w:space="0"/>
            </w:tcBorders>
            <w:vAlign w:val="center"/>
          </w:tcPr>
          <w:p w14:paraId="09E40564">
            <w:pPr>
              <w:pStyle w:val="37"/>
              <w:spacing w:line="400" w:lineRule="exact"/>
              <w:rPr>
                <w:rFonts w:hint="eastAsia" w:ascii="仿宋" w:hAnsi="仿宋" w:eastAsia="仿宋" w:cs="仿宋"/>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vAlign w:val="center"/>
          </w:tcPr>
          <w:p w14:paraId="6D50402A">
            <w:pPr>
              <w:pStyle w:val="37"/>
              <w:spacing w:line="400" w:lineRule="exact"/>
              <w:rPr>
                <w:rFonts w:hint="eastAsia" w:ascii="仿宋" w:hAnsi="仿宋" w:eastAsia="仿宋" w:cs="仿宋"/>
                <w:color w:val="auto"/>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66239EE7">
            <w:pPr>
              <w:pStyle w:val="37"/>
              <w:spacing w:line="400" w:lineRule="exact"/>
              <w:rPr>
                <w:rFonts w:hint="eastAsia" w:ascii="仿宋" w:hAnsi="仿宋" w:eastAsia="仿宋" w:cs="仿宋"/>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vAlign w:val="center"/>
          </w:tcPr>
          <w:p w14:paraId="7AB02E8B">
            <w:pPr>
              <w:pStyle w:val="37"/>
              <w:spacing w:line="400" w:lineRule="exact"/>
              <w:rPr>
                <w:rFonts w:hint="eastAsia" w:ascii="仿宋" w:hAnsi="仿宋" w:eastAsia="仿宋" w:cs="仿宋"/>
                <w:color w:val="auto"/>
                <w:sz w:val="24"/>
                <w:szCs w:val="24"/>
                <w:highlight w:val="none"/>
              </w:rPr>
            </w:pPr>
          </w:p>
        </w:tc>
      </w:tr>
      <w:tr w14:paraId="3B08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46" w:type="dxa"/>
            <w:tcBorders>
              <w:top w:val="single" w:color="auto" w:sz="4" w:space="0"/>
              <w:left w:val="single" w:color="auto" w:sz="4" w:space="0"/>
              <w:bottom w:val="single" w:color="auto" w:sz="4" w:space="0"/>
              <w:right w:val="single" w:color="auto" w:sz="4" w:space="0"/>
            </w:tcBorders>
            <w:vAlign w:val="center"/>
          </w:tcPr>
          <w:p w14:paraId="62A84F84">
            <w:pPr>
              <w:pStyle w:val="37"/>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684" w:type="dxa"/>
            <w:tcBorders>
              <w:top w:val="single" w:color="auto" w:sz="4" w:space="0"/>
              <w:left w:val="single" w:color="auto" w:sz="4" w:space="0"/>
              <w:bottom w:val="single" w:color="auto" w:sz="4" w:space="0"/>
              <w:right w:val="single" w:color="auto" w:sz="4" w:space="0"/>
            </w:tcBorders>
            <w:vAlign w:val="center"/>
          </w:tcPr>
          <w:p w14:paraId="4588174A">
            <w:pPr>
              <w:pStyle w:val="37"/>
              <w:spacing w:line="400" w:lineRule="exact"/>
              <w:rPr>
                <w:rFonts w:hint="eastAsia" w:ascii="仿宋" w:hAnsi="仿宋" w:eastAsia="仿宋" w:cs="仿宋"/>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vAlign w:val="center"/>
          </w:tcPr>
          <w:p w14:paraId="2974D62E">
            <w:pPr>
              <w:pStyle w:val="37"/>
              <w:spacing w:line="400" w:lineRule="exact"/>
              <w:rPr>
                <w:rFonts w:hint="eastAsia" w:ascii="仿宋" w:hAnsi="仿宋" w:eastAsia="仿宋" w:cs="仿宋"/>
                <w:color w:val="auto"/>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0FC0F2C6">
            <w:pPr>
              <w:pStyle w:val="37"/>
              <w:spacing w:line="400" w:lineRule="exact"/>
              <w:rPr>
                <w:rFonts w:hint="eastAsia" w:ascii="仿宋" w:hAnsi="仿宋" w:eastAsia="仿宋" w:cs="仿宋"/>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vAlign w:val="center"/>
          </w:tcPr>
          <w:p w14:paraId="464F7963">
            <w:pPr>
              <w:pStyle w:val="37"/>
              <w:spacing w:line="400" w:lineRule="exact"/>
              <w:rPr>
                <w:rFonts w:hint="eastAsia" w:ascii="仿宋" w:hAnsi="仿宋" w:eastAsia="仿宋" w:cs="仿宋"/>
                <w:color w:val="auto"/>
                <w:sz w:val="24"/>
                <w:szCs w:val="24"/>
                <w:highlight w:val="none"/>
              </w:rPr>
            </w:pPr>
          </w:p>
        </w:tc>
      </w:tr>
    </w:tbl>
    <w:p w14:paraId="486B2839">
      <w:pPr>
        <w:pStyle w:val="35"/>
        <w:numPr>
          <w:ilvl w:val="0"/>
          <w:numId w:val="0"/>
        </w:numPr>
        <w:tabs>
          <w:tab w:val="left" w:pos="750"/>
        </w:tabs>
        <w:adjustRightInd w:val="0"/>
        <w:snapToGrid w:val="0"/>
        <w:spacing w:line="400" w:lineRule="exact"/>
        <w:ind w:left="-200" w:leftChars="0"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投标人须逐条对照招标文件'技术/服务参数规格要求'填写《技术及商务响应（偏离）表》，明确注明'无偏离''正偏离'或'负偏离'，并对偏离内容作出具体说明。若仅简单复制、粘贴招标参数内容而未明确标注偏离性质及作说明的，视为未按招标文件要求填写偏离表，评标时不予认可（或按无效投标处理／由评标委员会判定其有效性），后果由投标人承担。</w:t>
      </w:r>
    </w:p>
    <w:p w14:paraId="21130630">
      <w:pPr>
        <w:pStyle w:val="35"/>
        <w:tabs>
          <w:tab w:val="left" w:pos="750"/>
        </w:tabs>
        <w:adjustRightInd w:val="0"/>
        <w:snapToGrid w:val="0"/>
        <w:spacing w:line="480" w:lineRule="auto"/>
        <w:ind w:firstLine="723" w:firstLineChars="300"/>
        <w:rPr>
          <w:rFonts w:hint="eastAsia" w:ascii="仿宋" w:hAnsi="仿宋" w:eastAsia="仿宋" w:cs="仿宋"/>
          <w:b/>
          <w:color w:val="auto"/>
          <w:kern w:val="0"/>
          <w:sz w:val="24"/>
          <w:highlight w:val="none"/>
          <w:lang w:val="zh-CN" w:bidi="zh-CN"/>
        </w:rPr>
      </w:pPr>
    </w:p>
    <w:p w14:paraId="574612BC">
      <w:pPr>
        <w:pStyle w:val="35"/>
        <w:tabs>
          <w:tab w:val="left" w:pos="750"/>
        </w:tabs>
        <w:adjustRightInd w:val="0"/>
        <w:snapToGrid w:val="0"/>
        <w:spacing w:line="480" w:lineRule="auto"/>
        <w:ind w:firstLine="723" w:firstLineChars="3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投标人名称（盖章）：</w:t>
      </w:r>
      <w:r>
        <w:rPr>
          <w:rFonts w:hint="eastAsia" w:ascii="仿宋" w:hAnsi="仿宋" w:eastAsia="仿宋" w:cs="仿宋"/>
          <w:b/>
          <w:color w:val="auto"/>
          <w:kern w:val="0"/>
          <w:sz w:val="24"/>
          <w:highlight w:val="none"/>
          <w:u w:val="single"/>
          <w:lang w:bidi="zh-CN"/>
        </w:rPr>
        <w:t xml:space="preserve">   </w:t>
      </w:r>
      <w:r>
        <w:rPr>
          <w:rFonts w:hint="eastAsia" w:ascii="仿宋" w:hAnsi="仿宋" w:eastAsia="仿宋" w:cs="仿宋"/>
          <w:b/>
          <w:color w:val="auto"/>
          <w:kern w:val="0"/>
          <w:sz w:val="24"/>
          <w:highlight w:val="none"/>
          <w:lang w:val="zh-CN" w:bidi="zh-CN"/>
        </w:rPr>
        <w:t xml:space="preserve">                      </w:t>
      </w:r>
    </w:p>
    <w:p w14:paraId="63610F3C">
      <w:pPr>
        <w:pStyle w:val="35"/>
        <w:tabs>
          <w:tab w:val="left" w:pos="750"/>
        </w:tabs>
        <w:adjustRightInd w:val="0"/>
        <w:snapToGrid w:val="0"/>
        <w:spacing w:line="480" w:lineRule="auto"/>
        <w:ind w:firstLine="723" w:firstLineChars="3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 xml:space="preserve">法定代表人或委托代理人签字（或盖章）：                     </w:t>
      </w:r>
    </w:p>
    <w:p w14:paraId="1936DE2D">
      <w:pPr>
        <w:pStyle w:val="35"/>
        <w:tabs>
          <w:tab w:val="left" w:pos="750"/>
        </w:tabs>
        <w:adjustRightInd w:val="0"/>
        <w:snapToGrid w:val="0"/>
        <w:spacing w:line="480" w:lineRule="auto"/>
        <w:ind w:firstLine="5783" w:firstLineChars="24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 xml:space="preserve">日期： </w:t>
      </w:r>
      <w:r>
        <w:rPr>
          <w:rFonts w:hint="eastAsia" w:ascii="仿宋" w:hAnsi="仿宋" w:eastAsia="仿宋" w:cs="仿宋"/>
          <w:b/>
          <w:color w:val="auto"/>
          <w:kern w:val="0"/>
          <w:sz w:val="24"/>
          <w:highlight w:val="none"/>
          <w:u w:val="single"/>
          <w:lang w:val="zh-CN" w:bidi="zh-CN"/>
        </w:rPr>
        <w:t xml:space="preserve">    </w:t>
      </w:r>
      <w:r>
        <w:rPr>
          <w:rFonts w:hint="eastAsia" w:ascii="仿宋" w:hAnsi="仿宋" w:eastAsia="仿宋" w:cs="仿宋"/>
          <w:b/>
          <w:color w:val="auto"/>
          <w:kern w:val="0"/>
          <w:sz w:val="24"/>
          <w:highlight w:val="none"/>
          <w:u w:val="single"/>
          <w:lang w:bidi="zh-CN"/>
        </w:rPr>
        <w:t xml:space="preserve"> </w:t>
      </w:r>
      <w:r>
        <w:rPr>
          <w:rFonts w:hint="eastAsia" w:ascii="仿宋" w:hAnsi="仿宋" w:eastAsia="仿宋" w:cs="仿宋"/>
          <w:b/>
          <w:color w:val="auto"/>
          <w:kern w:val="0"/>
          <w:sz w:val="24"/>
          <w:highlight w:val="none"/>
          <w:lang w:val="zh-CN" w:bidi="zh-CN"/>
        </w:rPr>
        <w:t>年</w:t>
      </w:r>
      <w:r>
        <w:rPr>
          <w:rFonts w:hint="eastAsia" w:ascii="仿宋" w:hAnsi="仿宋" w:eastAsia="仿宋" w:cs="仿宋"/>
          <w:b/>
          <w:color w:val="auto"/>
          <w:kern w:val="0"/>
          <w:sz w:val="24"/>
          <w:highlight w:val="none"/>
          <w:u w:val="single"/>
          <w:lang w:val="zh-CN" w:bidi="zh-CN"/>
        </w:rPr>
        <w:t xml:space="preserve">    </w:t>
      </w:r>
      <w:r>
        <w:rPr>
          <w:rFonts w:hint="eastAsia" w:ascii="仿宋" w:hAnsi="仿宋" w:eastAsia="仿宋" w:cs="仿宋"/>
          <w:b/>
          <w:color w:val="auto"/>
          <w:kern w:val="0"/>
          <w:sz w:val="24"/>
          <w:highlight w:val="none"/>
          <w:lang w:val="zh-CN" w:bidi="zh-CN"/>
        </w:rPr>
        <w:t>月</w:t>
      </w:r>
      <w:r>
        <w:rPr>
          <w:rFonts w:hint="eastAsia" w:ascii="仿宋" w:hAnsi="仿宋" w:eastAsia="仿宋" w:cs="仿宋"/>
          <w:b/>
          <w:color w:val="auto"/>
          <w:kern w:val="0"/>
          <w:sz w:val="24"/>
          <w:highlight w:val="none"/>
          <w:u w:val="single"/>
          <w:lang w:val="zh-CN" w:bidi="zh-CN"/>
        </w:rPr>
        <w:t xml:space="preserve">     </w:t>
      </w:r>
      <w:r>
        <w:rPr>
          <w:rFonts w:hint="eastAsia" w:ascii="仿宋" w:hAnsi="仿宋" w:eastAsia="仿宋" w:cs="仿宋"/>
          <w:b/>
          <w:color w:val="auto"/>
          <w:kern w:val="0"/>
          <w:sz w:val="24"/>
          <w:highlight w:val="none"/>
          <w:lang w:val="zh-CN" w:bidi="zh-CN"/>
        </w:rPr>
        <w:t>日</w:t>
      </w:r>
    </w:p>
    <w:p w14:paraId="067F38C8">
      <w:pPr>
        <w:spacing w:before="199"/>
        <w:jc w:val="center"/>
        <w:rPr>
          <w:rFonts w:hint="eastAsia" w:ascii="仿宋" w:hAnsi="仿宋" w:eastAsia="仿宋" w:cs="仿宋"/>
          <w:b/>
          <w:color w:val="auto"/>
          <w:sz w:val="30"/>
          <w:highlight w:val="none"/>
        </w:rPr>
      </w:pPr>
      <w:r>
        <w:rPr>
          <w:rFonts w:hint="eastAsia" w:ascii="仿宋" w:hAnsi="仿宋" w:eastAsia="仿宋" w:cs="仿宋"/>
          <w:b/>
          <w:color w:val="auto"/>
          <w:sz w:val="30"/>
          <w:highlight w:val="none"/>
        </w:rPr>
        <w:t>投标人（供应商）反商业贿赂承诺书</w:t>
      </w:r>
    </w:p>
    <w:p w14:paraId="359F4939">
      <w:pPr>
        <w:pStyle w:val="10"/>
        <w:spacing w:before="201" w:line="364" w:lineRule="auto"/>
        <w:ind w:left="0" w:firstLine="480"/>
        <w:jc w:val="both"/>
        <w:rPr>
          <w:rFonts w:hint="eastAsia" w:ascii="仿宋" w:hAnsi="仿宋" w:eastAsia="仿宋" w:cs="仿宋"/>
          <w:color w:val="auto"/>
          <w:highlight w:val="none"/>
        </w:rPr>
      </w:pPr>
      <w:r>
        <w:rPr>
          <w:rFonts w:hint="eastAsia" w:ascii="仿宋" w:hAnsi="仿宋" w:eastAsia="仿宋" w:cs="仿宋"/>
          <w:color w:val="auto"/>
          <w:highlight w:val="none"/>
        </w:rPr>
        <w:t>我公司承诺在</w:t>
      </w:r>
      <w:r>
        <w:rPr>
          <w:rFonts w:hint="eastAsia" w:ascii="仿宋" w:hAnsi="仿宋" w:eastAsia="仿宋" w:cs="仿宋"/>
          <w:color w:val="auto"/>
          <w:highlight w:val="none"/>
          <w:u w:val="single"/>
        </w:rPr>
        <w:t>（项目编号、项目名称）</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1F067804">
      <w:pPr>
        <w:pStyle w:val="10"/>
        <w:spacing w:line="364" w:lineRule="auto"/>
        <w:ind w:lef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投标人名称（盖章）：</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rPr>
        <w:tab/>
      </w:r>
      <w:r>
        <w:rPr>
          <w:rFonts w:hint="eastAsia" w:ascii="仿宋" w:hAnsi="仿宋" w:eastAsia="仿宋" w:cs="仿宋"/>
          <w:color w:val="auto"/>
          <w:highlight w:val="none"/>
        </w:rPr>
        <w:t xml:space="preserve">                      </w:t>
      </w:r>
    </w:p>
    <w:p w14:paraId="75144651">
      <w:pPr>
        <w:pStyle w:val="10"/>
        <w:spacing w:line="364" w:lineRule="auto"/>
        <w:ind w:left="0" w:firstLine="48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rPr>
        <w:t>法定代表人或委托代理人签字（或盖章）：</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rPr>
        <w:t xml:space="preserve">                          </w:t>
      </w:r>
    </w:p>
    <w:p w14:paraId="55097B75">
      <w:pPr>
        <w:pStyle w:val="10"/>
        <w:spacing w:line="364" w:lineRule="auto"/>
        <w:ind w:left="0" w:firstLine="480" w:firstLineChars="200"/>
        <w:rPr>
          <w:rFonts w:hint="eastAsia" w:ascii="仿宋" w:hAnsi="仿宋" w:eastAsia="仿宋" w:cs="仿宋"/>
          <w:color w:val="auto"/>
          <w:sz w:val="22"/>
          <w:highlight w:val="none"/>
        </w:rPr>
      </w:pPr>
      <w:r>
        <w:rPr>
          <w:rFonts w:hint="eastAsia" w:ascii="仿宋" w:hAnsi="仿宋" w:eastAsia="仿宋" w:cs="仿宋"/>
          <w:color w:val="auto"/>
          <w:highlight w:val="none"/>
          <w:lang w:val="en-US"/>
        </w:rPr>
        <w:t xml:space="preserve"> </w:t>
      </w:r>
      <w:r>
        <w:rPr>
          <w:rFonts w:hint="eastAsia" w:ascii="仿宋" w:hAnsi="仿宋" w:eastAsia="仿宋" w:cs="仿宋"/>
          <w:b/>
          <w:bCs/>
          <w:color w:val="auto"/>
          <w:highlight w:val="none"/>
          <w:lang w:val="en-US"/>
        </w:rPr>
        <w:t xml:space="preserve">   </w:t>
      </w:r>
      <w:r>
        <w:rPr>
          <w:rFonts w:hint="eastAsia" w:ascii="仿宋" w:hAnsi="仿宋" w:eastAsia="仿宋" w:cs="仿宋"/>
          <w:color w:val="auto"/>
          <w:highlight w:val="none"/>
          <w:lang w:val="en-US"/>
        </w:rPr>
        <w:t xml:space="preserve">    </w:t>
      </w:r>
    </w:p>
    <w:p w14:paraId="247A76AB">
      <w:pPr>
        <w:tabs>
          <w:tab w:val="left" w:pos="5859"/>
          <w:tab w:val="left" w:pos="6459"/>
          <w:tab w:val="left" w:pos="7179"/>
        </w:tabs>
        <w:rPr>
          <w:rFonts w:hint="eastAsia" w:ascii="仿宋" w:hAnsi="仿宋" w:eastAsia="仿宋" w:cs="仿宋"/>
          <w:color w:val="auto"/>
          <w:sz w:val="24"/>
          <w:highlight w:val="none"/>
        </w:rPr>
      </w:pPr>
      <w:r>
        <w:rPr>
          <w:rFonts w:hint="eastAsia" w:ascii="仿宋" w:hAnsi="仿宋" w:eastAsia="仿宋" w:cs="仿宋"/>
          <w:b/>
          <w:color w:val="auto"/>
          <w:sz w:val="24"/>
          <w:highlight w:val="none"/>
        </w:rPr>
        <w:t>承诺日期：</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日</w:t>
      </w:r>
    </w:p>
    <w:p w14:paraId="79E1E5B4">
      <w:pPr>
        <w:rPr>
          <w:rFonts w:hint="eastAsia" w:ascii="仿宋" w:hAnsi="仿宋" w:eastAsia="仿宋" w:cs="仿宋"/>
          <w:color w:val="auto"/>
          <w:highlight w:val="none"/>
        </w:rPr>
      </w:pPr>
    </w:p>
    <w:p w14:paraId="3FAE282E">
      <w:pPr>
        <w:rPr>
          <w:rFonts w:hint="eastAsia" w:ascii="仿宋" w:hAnsi="仿宋" w:eastAsia="仿宋" w:cs="仿宋"/>
          <w:b/>
          <w:color w:val="auto"/>
          <w:sz w:val="24"/>
          <w:highlight w:val="none"/>
        </w:rPr>
      </w:pPr>
    </w:p>
    <w:p w14:paraId="751BD622">
      <w:pPr>
        <w:pStyle w:val="6"/>
        <w:rPr>
          <w:rFonts w:hint="eastAsia" w:ascii="仿宋" w:hAnsi="仿宋" w:eastAsia="仿宋" w:cs="仿宋"/>
          <w:color w:val="auto"/>
          <w:highlight w:val="none"/>
        </w:rPr>
      </w:pPr>
    </w:p>
    <w:p w14:paraId="5091B7EC">
      <w:pPr>
        <w:spacing w:before="201"/>
        <w:jc w:val="center"/>
        <w:rPr>
          <w:rFonts w:hint="eastAsia" w:ascii="仿宋" w:hAnsi="仿宋" w:eastAsia="仿宋" w:cs="仿宋"/>
          <w:b/>
          <w:color w:val="auto"/>
          <w:sz w:val="30"/>
          <w:highlight w:val="none"/>
        </w:rPr>
      </w:pPr>
      <w:r>
        <w:rPr>
          <w:rFonts w:hint="eastAsia" w:ascii="仿宋" w:hAnsi="仿宋" w:eastAsia="仿宋" w:cs="仿宋"/>
          <w:b/>
          <w:color w:val="auto"/>
          <w:sz w:val="30"/>
          <w:highlight w:val="none"/>
        </w:rPr>
        <w:t>关于资格的声明函</w:t>
      </w:r>
    </w:p>
    <w:p w14:paraId="2FFD0B94">
      <w:pPr>
        <w:spacing w:before="19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致：新疆华域建设工程项目管理咨询有限公司：</w:t>
      </w:r>
    </w:p>
    <w:p w14:paraId="42D3C228">
      <w:pPr>
        <w:pStyle w:val="10"/>
        <w:tabs>
          <w:tab w:val="left" w:pos="2797"/>
        </w:tabs>
        <w:spacing w:before="160" w:line="364" w:lineRule="auto"/>
        <w:ind w:left="0" w:firstLine="480"/>
        <w:jc w:val="both"/>
        <w:rPr>
          <w:rFonts w:hint="eastAsia" w:ascii="仿宋" w:hAnsi="仿宋" w:eastAsia="仿宋" w:cs="仿宋"/>
          <w:color w:val="auto"/>
          <w:highlight w:val="none"/>
        </w:rPr>
      </w:pPr>
      <w:r>
        <w:rPr>
          <w:rFonts w:hint="eastAsia" w:ascii="仿宋" w:hAnsi="仿宋" w:eastAsia="仿宋" w:cs="仿宋"/>
          <w:color w:val="auto"/>
          <w:highlight w:val="none"/>
        </w:rPr>
        <w:t>关 于 贵 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 第 （ 招 标 编 号 ） 招 标 公 告 关 于</w:t>
      </w:r>
      <w:r>
        <w:rPr>
          <w:rFonts w:hint="eastAsia" w:ascii="仿宋" w:hAnsi="仿宋" w:eastAsia="仿宋" w:cs="仿宋"/>
          <w:color w:val="auto"/>
          <w:highlight w:val="none"/>
          <w:u w:val="single"/>
        </w:rPr>
        <w:t>“</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w:t>
      </w:r>
      <w:r>
        <w:rPr>
          <w:rFonts w:hint="eastAsia" w:ascii="仿宋" w:hAnsi="仿宋" w:eastAsia="仿宋" w:cs="仿宋"/>
          <w:color w:val="auto"/>
          <w:highlight w:val="none"/>
        </w:rPr>
        <w:t>的招标项目，本签字人愿意参加投标，并有能力提供</w:t>
      </w:r>
      <w:r>
        <w:rPr>
          <w:rFonts w:hint="eastAsia" w:ascii="仿宋" w:hAnsi="仿宋" w:eastAsia="仿宋" w:cs="仿宋"/>
          <w:color w:val="auto"/>
          <w:highlight w:val="none"/>
          <w:u w:val="single"/>
        </w:rPr>
        <w:t xml:space="preserve"> （项目名称）    </w:t>
      </w:r>
      <w:r>
        <w:rPr>
          <w:rFonts w:hint="eastAsia" w:ascii="仿宋" w:hAnsi="仿宋" w:eastAsia="仿宋" w:cs="仿宋"/>
          <w:color w:val="auto"/>
          <w:highlight w:val="none"/>
        </w:rPr>
        <w:t>项目中的（</w:t>
      </w:r>
      <w:r>
        <w:rPr>
          <w:rFonts w:hint="eastAsia" w:ascii="仿宋" w:hAnsi="仿宋" w:eastAsia="仿宋" w:cs="仿宋"/>
          <w:color w:val="auto"/>
          <w:highlight w:val="none"/>
          <w:u w:val="single"/>
        </w:rPr>
        <w:t>包号及货物名称）</w:t>
      </w:r>
      <w:r>
        <w:rPr>
          <w:rFonts w:hint="eastAsia" w:ascii="仿宋" w:hAnsi="仿宋" w:eastAsia="仿宋" w:cs="仿宋"/>
          <w:color w:val="auto"/>
          <w:highlight w:val="none"/>
        </w:rPr>
        <w:t>招标货物及相关服务，并保证所提交的所有文件和说明是真实和准确的。</w:t>
      </w:r>
    </w:p>
    <w:p w14:paraId="09AD3C76">
      <w:pPr>
        <w:pStyle w:val="10"/>
        <w:tabs>
          <w:tab w:val="left" w:pos="8376"/>
        </w:tabs>
        <w:spacing w:before="3"/>
        <w:ind w:left="0"/>
        <w:jc w:val="both"/>
        <w:rPr>
          <w:rFonts w:hint="eastAsia" w:ascii="仿宋" w:hAnsi="仿宋" w:eastAsia="仿宋" w:cs="仿宋"/>
          <w:color w:val="auto"/>
          <w:highlight w:val="none"/>
        </w:rPr>
      </w:pPr>
      <w:r>
        <w:rPr>
          <w:rFonts w:hint="eastAsia" w:ascii="仿宋" w:hAnsi="仿宋" w:eastAsia="仿宋" w:cs="仿宋"/>
          <w:color w:val="auto"/>
          <w:highlight w:val="none"/>
        </w:rPr>
        <w:t>投标人（盖章）：</w:t>
      </w:r>
      <w:r>
        <w:rPr>
          <w:rFonts w:hint="eastAsia" w:ascii="仿宋" w:hAnsi="仿宋" w:eastAsia="仿宋" w:cs="仿宋"/>
          <w:color w:val="auto"/>
          <w:highlight w:val="none"/>
          <w:u w:val="single"/>
        </w:rPr>
        <w:t xml:space="preserve"> 投标人名称</w:t>
      </w:r>
      <w:r>
        <w:rPr>
          <w:rFonts w:hint="eastAsia" w:ascii="仿宋" w:hAnsi="仿宋" w:eastAsia="仿宋" w:cs="仿宋"/>
          <w:color w:val="auto"/>
          <w:highlight w:val="none"/>
          <w:u w:val="single"/>
        </w:rPr>
        <w:tab/>
      </w:r>
    </w:p>
    <w:p w14:paraId="2C9594D3">
      <w:pPr>
        <w:pStyle w:val="10"/>
        <w:spacing w:before="9"/>
        <w:ind w:left="0"/>
        <w:rPr>
          <w:rFonts w:hint="eastAsia" w:ascii="仿宋" w:hAnsi="仿宋" w:eastAsia="仿宋" w:cs="仿宋"/>
          <w:color w:val="auto"/>
          <w:sz w:val="16"/>
          <w:highlight w:val="none"/>
        </w:rPr>
      </w:pPr>
    </w:p>
    <w:p w14:paraId="62B35F64">
      <w:pPr>
        <w:pStyle w:val="10"/>
        <w:spacing w:before="67"/>
        <w:ind w:left="0"/>
        <w:rPr>
          <w:rFonts w:hint="eastAsia" w:ascii="仿宋" w:hAnsi="仿宋" w:eastAsia="仿宋" w:cs="仿宋"/>
          <w:color w:val="auto"/>
          <w:highlight w:val="none"/>
        </w:rPr>
      </w:pPr>
      <w:r>
        <w:rPr>
          <w:rFonts w:hint="eastAsia" w:ascii="仿宋" w:hAnsi="仿宋" w:eastAsia="仿宋" w:cs="仿宋"/>
          <w:color w:val="auto"/>
          <w:highlight w:val="none"/>
        </w:rPr>
        <w:t>授权签署本资格文件人（签字）：</w:t>
      </w:r>
      <w:r>
        <w:rPr>
          <w:rFonts w:hint="eastAsia" w:ascii="仿宋" w:hAnsi="仿宋" w:eastAsia="仿宋" w:cs="仿宋"/>
          <w:color w:val="auto"/>
          <w:highlight w:val="none"/>
          <w:u w:val="single"/>
        </w:rPr>
        <w:t>授权人姓名、职务</w:t>
      </w:r>
    </w:p>
    <w:p w14:paraId="3814A089">
      <w:pPr>
        <w:pStyle w:val="10"/>
        <w:spacing w:before="9"/>
        <w:ind w:left="0"/>
        <w:rPr>
          <w:rFonts w:hint="eastAsia" w:ascii="仿宋" w:hAnsi="仿宋" w:eastAsia="仿宋" w:cs="仿宋"/>
          <w:color w:val="auto"/>
          <w:sz w:val="16"/>
          <w:highlight w:val="none"/>
        </w:rPr>
      </w:pPr>
    </w:p>
    <w:p w14:paraId="79C6E27A">
      <w:pPr>
        <w:pStyle w:val="10"/>
        <w:spacing w:before="67"/>
        <w:ind w:left="0"/>
        <w:rPr>
          <w:rFonts w:hint="eastAsia" w:ascii="仿宋" w:hAnsi="仿宋" w:eastAsia="仿宋" w:cs="仿宋"/>
          <w:color w:val="auto"/>
          <w:highlight w:val="none"/>
        </w:rPr>
      </w:pPr>
      <w:r>
        <w:rPr>
          <w:rFonts w:hint="eastAsia" w:ascii="仿宋" w:hAnsi="仿宋" w:eastAsia="仿宋" w:cs="仿宋"/>
          <w:color w:val="auto"/>
          <w:highlight w:val="none"/>
        </w:rPr>
        <w:t>签字人姓名、职务：</w:t>
      </w:r>
      <w:r>
        <w:rPr>
          <w:rFonts w:hint="eastAsia" w:ascii="仿宋" w:hAnsi="仿宋" w:eastAsia="仿宋" w:cs="仿宋"/>
          <w:color w:val="auto"/>
          <w:highlight w:val="none"/>
          <w:u w:val="single"/>
        </w:rPr>
        <w:t>被授权人姓名、职务</w:t>
      </w:r>
    </w:p>
    <w:p w14:paraId="0972DD81">
      <w:pPr>
        <w:pStyle w:val="10"/>
        <w:spacing w:before="9"/>
        <w:ind w:left="0"/>
        <w:rPr>
          <w:rFonts w:hint="eastAsia" w:ascii="仿宋" w:hAnsi="仿宋" w:eastAsia="仿宋" w:cs="仿宋"/>
          <w:color w:val="auto"/>
          <w:sz w:val="16"/>
          <w:highlight w:val="none"/>
        </w:rPr>
      </w:pPr>
    </w:p>
    <w:p w14:paraId="74CBAC62">
      <w:pPr>
        <w:pStyle w:val="10"/>
        <w:tabs>
          <w:tab w:val="left" w:pos="6479"/>
        </w:tabs>
        <w:spacing w:before="66"/>
        <w:ind w:left="0"/>
        <w:jc w:val="center"/>
        <w:rPr>
          <w:rFonts w:hint="eastAsia" w:ascii="仿宋" w:hAnsi="仿宋" w:eastAsia="仿宋" w:cs="仿宋"/>
          <w:color w:val="auto"/>
          <w:highlight w:val="none"/>
        </w:rPr>
      </w:pPr>
      <w:r>
        <w:rPr>
          <w:rFonts w:hint="eastAsia" w:ascii="仿宋" w:hAnsi="仿宋" w:eastAsia="仿宋" w:cs="仿宋"/>
          <w:color w:val="auto"/>
          <w:highlight w:val="none"/>
        </w:rPr>
        <w:t>地址：</w:t>
      </w:r>
      <w:r>
        <w:rPr>
          <w:rFonts w:hint="eastAsia" w:ascii="仿宋" w:hAnsi="仿宋" w:eastAsia="仿宋" w:cs="仿宋"/>
          <w:color w:val="auto"/>
          <w:highlight w:val="none"/>
          <w:u w:val="single"/>
        </w:rPr>
        <w:t>投标人地址</w:t>
      </w:r>
      <w:r>
        <w:rPr>
          <w:rFonts w:hint="eastAsia" w:ascii="仿宋" w:hAnsi="仿宋" w:eastAsia="仿宋" w:cs="仿宋"/>
          <w:color w:val="auto"/>
          <w:highlight w:val="none"/>
          <w:u w:val="single"/>
        </w:rPr>
        <w:tab/>
      </w:r>
    </w:p>
    <w:p w14:paraId="40222AE9">
      <w:pPr>
        <w:pStyle w:val="10"/>
        <w:spacing w:before="2"/>
        <w:ind w:left="0"/>
        <w:rPr>
          <w:rFonts w:hint="eastAsia" w:ascii="仿宋" w:hAnsi="仿宋" w:eastAsia="仿宋" w:cs="仿宋"/>
          <w:color w:val="auto"/>
          <w:sz w:val="16"/>
          <w:highlight w:val="none"/>
        </w:rPr>
      </w:pPr>
    </w:p>
    <w:p w14:paraId="13643707">
      <w:pPr>
        <w:pStyle w:val="10"/>
        <w:tabs>
          <w:tab w:val="left" w:pos="1979"/>
          <w:tab w:val="left" w:pos="4379"/>
          <w:tab w:val="left" w:pos="4679"/>
          <w:tab w:val="left" w:pos="6539"/>
        </w:tabs>
        <w:spacing w:before="74"/>
        <w:ind w:left="0"/>
        <w:jc w:val="center"/>
        <w:rPr>
          <w:rFonts w:hint="eastAsia" w:ascii="仿宋" w:hAnsi="仿宋" w:eastAsia="仿宋" w:cs="仿宋"/>
          <w:color w:val="auto"/>
          <w:highlight w:val="none"/>
        </w:rPr>
      </w:pPr>
      <w:r>
        <w:rPr>
          <w:rFonts w:hint="eastAsia" w:ascii="仿宋" w:hAnsi="仿宋" w:eastAsia="仿宋" w:cs="仿宋"/>
          <w:color w:val="auto"/>
          <w:highlight w:val="none"/>
        </w:rPr>
        <w:t>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rPr>
        <w:t>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邮编：</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p>
    <w:p w14:paraId="103078FC">
      <w:pPr>
        <w:pStyle w:val="10"/>
        <w:spacing w:before="0"/>
        <w:ind w:left="0"/>
        <w:rPr>
          <w:rFonts w:hint="eastAsia" w:ascii="仿宋" w:hAnsi="仿宋" w:eastAsia="仿宋" w:cs="仿宋"/>
          <w:color w:val="auto"/>
          <w:sz w:val="20"/>
          <w:highlight w:val="none"/>
        </w:rPr>
      </w:pPr>
    </w:p>
    <w:p w14:paraId="35F3D889">
      <w:pPr>
        <w:pStyle w:val="10"/>
        <w:spacing w:before="0"/>
        <w:ind w:left="0"/>
        <w:rPr>
          <w:rFonts w:hint="eastAsia" w:ascii="仿宋" w:hAnsi="仿宋" w:eastAsia="仿宋" w:cs="仿宋"/>
          <w:color w:val="auto"/>
          <w:sz w:val="20"/>
          <w:highlight w:val="none"/>
        </w:rPr>
      </w:pPr>
    </w:p>
    <w:p w14:paraId="7A9602FC">
      <w:pPr>
        <w:pStyle w:val="10"/>
        <w:ind w:left="0"/>
        <w:rPr>
          <w:rFonts w:hint="eastAsia" w:ascii="仿宋" w:hAnsi="仿宋" w:eastAsia="仿宋" w:cs="仿宋"/>
          <w:color w:val="auto"/>
          <w:sz w:val="29"/>
          <w:highlight w:val="none"/>
        </w:rPr>
      </w:pPr>
    </w:p>
    <w:p w14:paraId="5A3AEC74">
      <w:pPr>
        <w:tabs>
          <w:tab w:val="left" w:pos="7232"/>
        </w:tabs>
        <w:spacing w:before="74"/>
        <w:rPr>
          <w:rFonts w:hint="eastAsia" w:ascii="仿宋" w:hAnsi="仿宋" w:eastAsia="仿宋" w:cs="仿宋"/>
          <w:color w:val="auto"/>
          <w:sz w:val="26"/>
          <w:highlight w:val="none"/>
        </w:rPr>
      </w:pPr>
      <w:r>
        <w:rPr>
          <w:rFonts w:hint="eastAsia" w:ascii="仿宋" w:hAnsi="仿宋" w:eastAsia="仿宋" w:cs="仿宋"/>
          <w:b/>
          <w:color w:val="auto"/>
          <w:sz w:val="24"/>
          <w:highlight w:val="none"/>
        </w:rPr>
        <w:t>声明日期：</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u w:val="single"/>
          <w:lang w:val="en-US"/>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rPr>
        <w:t xml:space="preserve"> </w:t>
      </w:r>
      <w:r>
        <w:rPr>
          <w:rFonts w:hint="eastAsia" w:ascii="仿宋" w:hAnsi="仿宋" w:eastAsia="仿宋" w:cs="仿宋"/>
          <w:color w:val="auto"/>
          <w:sz w:val="24"/>
          <w:highlight w:val="none"/>
        </w:rPr>
        <w:t>日</w:t>
      </w:r>
    </w:p>
    <w:p w14:paraId="0713E09D">
      <w:pPr>
        <w:pStyle w:val="10"/>
        <w:spacing w:before="0"/>
        <w:ind w:left="0"/>
        <w:rPr>
          <w:rFonts w:hint="eastAsia" w:ascii="仿宋" w:hAnsi="仿宋" w:eastAsia="仿宋" w:cs="仿宋"/>
          <w:color w:val="auto"/>
          <w:sz w:val="23"/>
          <w:highlight w:val="none"/>
        </w:rPr>
      </w:pPr>
    </w:p>
    <w:p w14:paraId="06287AB1">
      <w:pPr>
        <w:rPr>
          <w:rFonts w:hint="eastAsia" w:ascii="仿宋" w:hAnsi="仿宋" w:eastAsia="仿宋" w:cs="仿宋"/>
          <w:color w:val="auto"/>
          <w:sz w:val="23"/>
          <w:highlight w:val="none"/>
        </w:rPr>
      </w:pPr>
    </w:p>
    <w:p w14:paraId="33FE8AF5">
      <w:pPr>
        <w:keepNext/>
        <w:keepLines/>
        <w:spacing w:line="360" w:lineRule="auto"/>
        <w:jc w:val="center"/>
        <w:rPr>
          <w:rFonts w:hint="eastAsia" w:ascii="仿宋" w:hAnsi="仿宋" w:eastAsia="仿宋" w:cs="仿宋"/>
          <w:color w:val="auto"/>
          <w:sz w:val="28"/>
          <w:highlight w:val="none"/>
          <w:lang w:val="en-US"/>
        </w:rPr>
      </w:pPr>
      <w:r>
        <w:rPr>
          <w:rFonts w:hint="eastAsia" w:ascii="仿宋" w:hAnsi="仿宋" w:eastAsia="仿宋" w:cs="仿宋"/>
          <w:color w:val="auto"/>
          <w:highlight w:val="none"/>
        </w:rPr>
        <w:br w:type="page"/>
      </w:r>
      <w:r>
        <w:rPr>
          <w:rFonts w:hint="eastAsia" w:ascii="仿宋" w:hAnsi="仿宋" w:eastAsia="仿宋" w:cs="仿宋"/>
          <w:b/>
          <w:color w:val="auto"/>
          <w:sz w:val="30"/>
          <w:highlight w:val="none"/>
        </w:rPr>
        <w:t>具备履行合同所必需的设备和专业技术能力的书面声明</w:t>
      </w:r>
    </w:p>
    <w:p w14:paraId="78B8514A">
      <w:pPr>
        <w:spacing w:before="156" w:after="156" w:line="300" w:lineRule="atLeast"/>
        <w:ind w:firstLine="492"/>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致：招标人</w:t>
      </w:r>
    </w:p>
    <w:p w14:paraId="5586D805">
      <w:pPr>
        <w:spacing w:before="156" w:after="156" w:line="300" w:lineRule="atLeast"/>
        <w:ind w:firstLine="4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我单位郑重声明：我单位具备履行本项采购合同所必需的设备和专业技术能力，为履行本项采购合同我公司具备如下主要设备和主要专业技术能力：</w:t>
      </w:r>
    </w:p>
    <w:p w14:paraId="4D45EF20">
      <w:pPr>
        <w:spacing w:before="156" w:after="156" w:line="300" w:lineRule="atLeast"/>
        <w:ind w:firstLine="4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主要设备有：</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FE68A21">
      <w:pPr>
        <w:spacing w:before="156" w:after="156" w:line="300" w:lineRule="atLeast"/>
        <w:ind w:firstLine="4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主要专业技术能力有：</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3A7E930">
      <w:pPr>
        <w:spacing w:before="156" w:after="156" w:line="300" w:lineRule="atLeast"/>
        <w:ind w:left="5760" w:hanging="72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投标人名称（盖章）： </w:t>
      </w:r>
    </w:p>
    <w:p w14:paraId="461CEC71">
      <w:pPr>
        <w:spacing w:before="156" w:after="156" w:line="300" w:lineRule="atLeast"/>
        <w:ind w:firstLine="5775"/>
        <w:jc w:val="both"/>
        <w:rPr>
          <w:rFonts w:hint="eastAsia" w:ascii="仿宋" w:hAnsi="仿宋" w:eastAsia="仿宋" w:cs="仿宋"/>
          <w:color w:val="auto"/>
          <w:sz w:val="24"/>
          <w:highlight w:val="none"/>
        </w:rPr>
      </w:pPr>
      <w:r>
        <w:rPr>
          <w:rFonts w:hint="eastAsia" w:ascii="仿宋" w:hAnsi="仿宋" w:eastAsia="仿宋" w:cs="仿宋"/>
          <w:color w:val="auto"/>
          <w:sz w:val="21"/>
          <w:highlight w:val="none"/>
        </w:rPr>
        <w:t>______年____月____日</w:t>
      </w:r>
    </w:p>
    <w:p w14:paraId="786D9CE9">
      <w:pPr>
        <w:spacing w:before="156" w:after="156" w:line="300" w:lineRule="atLeast"/>
        <w:jc w:val="both"/>
        <w:rPr>
          <w:rFonts w:hint="eastAsia" w:ascii="仿宋" w:hAnsi="仿宋" w:eastAsia="仿宋" w:cs="仿宋"/>
          <w:color w:val="auto"/>
          <w:sz w:val="24"/>
          <w:highlight w:val="none"/>
        </w:rPr>
      </w:pPr>
    </w:p>
    <w:p w14:paraId="31B913ED">
      <w:pPr>
        <w:rPr>
          <w:rFonts w:hint="eastAsia" w:ascii="仿宋" w:hAnsi="仿宋" w:eastAsia="仿宋" w:cs="仿宋"/>
          <w:color w:val="auto"/>
          <w:sz w:val="30"/>
          <w:highlight w:val="none"/>
        </w:rPr>
      </w:pPr>
    </w:p>
    <w:p w14:paraId="1C7CF9D3">
      <w:pPr>
        <w:spacing w:before="156" w:after="156" w:line="300" w:lineRule="atLeast"/>
        <w:jc w:val="both"/>
        <w:rPr>
          <w:rFonts w:hint="eastAsia" w:ascii="仿宋" w:hAnsi="仿宋" w:eastAsia="仿宋" w:cs="仿宋"/>
          <w:color w:val="auto"/>
          <w:sz w:val="24"/>
          <w:highlight w:val="none"/>
        </w:rPr>
      </w:pPr>
    </w:p>
    <w:p w14:paraId="745AA200">
      <w:pPr>
        <w:keepNext/>
        <w:keepLines/>
        <w:spacing w:line="360" w:lineRule="auto"/>
        <w:jc w:val="center"/>
        <w:rPr>
          <w:rFonts w:hint="eastAsia" w:ascii="仿宋" w:hAnsi="仿宋" w:eastAsia="仿宋" w:cs="仿宋"/>
          <w:b/>
          <w:color w:val="auto"/>
          <w:sz w:val="30"/>
          <w:highlight w:val="none"/>
          <w:lang w:val="en-US"/>
        </w:rPr>
      </w:pPr>
      <w:r>
        <w:rPr>
          <w:rFonts w:hint="eastAsia" w:ascii="仿宋" w:hAnsi="仿宋" w:eastAsia="仿宋" w:cs="仿宋"/>
          <w:b/>
          <w:color w:val="auto"/>
          <w:sz w:val="30"/>
          <w:highlight w:val="none"/>
        </w:rPr>
        <w:t>参加政府采购活动前</w:t>
      </w:r>
      <w:r>
        <w:rPr>
          <w:rFonts w:hint="eastAsia" w:ascii="仿宋" w:hAnsi="仿宋" w:eastAsia="仿宋" w:cs="仿宋"/>
          <w:b/>
          <w:color w:val="auto"/>
          <w:sz w:val="30"/>
          <w:highlight w:val="none"/>
          <w:lang w:val="en-US"/>
        </w:rPr>
        <w:t xml:space="preserve"> 3 </w:t>
      </w:r>
      <w:r>
        <w:rPr>
          <w:rFonts w:hint="eastAsia" w:ascii="仿宋" w:hAnsi="仿宋" w:eastAsia="仿宋" w:cs="仿宋"/>
          <w:b/>
          <w:color w:val="auto"/>
          <w:sz w:val="30"/>
          <w:highlight w:val="none"/>
        </w:rPr>
        <w:t>年内在经营活动中没有重大违法记录的</w:t>
      </w:r>
    </w:p>
    <w:p w14:paraId="3709B0B3">
      <w:pPr>
        <w:keepNext/>
        <w:keepLines/>
        <w:spacing w:line="360" w:lineRule="auto"/>
        <w:jc w:val="center"/>
        <w:rPr>
          <w:rFonts w:hint="eastAsia" w:ascii="仿宋" w:hAnsi="仿宋" w:eastAsia="仿宋" w:cs="仿宋"/>
          <w:b/>
          <w:color w:val="auto"/>
          <w:sz w:val="30"/>
          <w:highlight w:val="none"/>
          <w:lang w:val="en-US"/>
        </w:rPr>
      </w:pPr>
      <w:r>
        <w:rPr>
          <w:rFonts w:hint="eastAsia" w:ascii="仿宋" w:hAnsi="仿宋" w:eastAsia="仿宋" w:cs="仿宋"/>
          <w:b/>
          <w:color w:val="auto"/>
          <w:sz w:val="30"/>
          <w:highlight w:val="none"/>
        </w:rPr>
        <w:t>书面声明</w:t>
      </w:r>
    </w:p>
    <w:p w14:paraId="4D72659F">
      <w:pPr>
        <w:jc w:val="both"/>
        <w:rPr>
          <w:rFonts w:hint="eastAsia" w:ascii="仿宋" w:hAnsi="仿宋" w:eastAsia="仿宋" w:cs="仿宋"/>
          <w:color w:val="auto"/>
          <w:sz w:val="28"/>
          <w:highlight w:val="none"/>
          <w:lang w:val="en-US"/>
        </w:rPr>
      </w:pPr>
    </w:p>
    <w:p w14:paraId="2EE6C08A">
      <w:pPr>
        <w:spacing w:before="156" w:after="156" w:line="300" w:lineRule="atLeast"/>
        <w:jc w:val="both"/>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14:paraId="27982A99">
      <w:pPr>
        <w:spacing w:before="156" w:after="156" w:line="300" w:lineRule="atLeast"/>
        <w:jc w:val="both"/>
        <w:rPr>
          <w:rFonts w:hint="eastAsia" w:ascii="仿宋" w:hAnsi="仿宋" w:eastAsia="仿宋" w:cs="仿宋"/>
          <w:color w:val="auto"/>
          <w:sz w:val="24"/>
          <w:highlight w:val="none"/>
        </w:rPr>
      </w:pPr>
    </w:p>
    <w:p w14:paraId="716BCB89">
      <w:pPr>
        <w:spacing w:before="156" w:after="156" w:line="300" w:lineRule="atLeast"/>
        <w:ind w:left="420" w:firstLine="52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投标人名称（盖章）： </w:t>
      </w:r>
    </w:p>
    <w:p w14:paraId="211763AB">
      <w:pPr>
        <w:spacing w:before="156" w:after="156" w:line="300" w:lineRule="atLeast"/>
        <w:ind w:firstLine="5775"/>
        <w:jc w:val="both"/>
        <w:rPr>
          <w:rFonts w:hint="eastAsia" w:ascii="仿宋" w:hAnsi="仿宋" w:eastAsia="仿宋" w:cs="仿宋"/>
          <w:color w:val="auto"/>
          <w:sz w:val="24"/>
          <w:highlight w:val="none"/>
        </w:rPr>
      </w:pPr>
      <w:r>
        <w:rPr>
          <w:rFonts w:hint="eastAsia" w:ascii="仿宋" w:hAnsi="仿宋" w:eastAsia="仿宋" w:cs="仿宋"/>
          <w:color w:val="auto"/>
          <w:sz w:val="21"/>
          <w:highlight w:val="none"/>
        </w:rPr>
        <w:t>______年____月____日</w:t>
      </w:r>
    </w:p>
    <w:p w14:paraId="6EB4DDEC">
      <w:pPr>
        <w:pStyle w:val="10"/>
        <w:spacing w:before="0"/>
        <w:ind w:left="0"/>
        <w:rPr>
          <w:rFonts w:hint="eastAsia" w:ascii="仿宋" w:hAnsi="仿宋" w:eastAsia="仿宋" w:cs="仿宋"/>
          <w:color w:val="auto"/>
          <w:sz w:val="23"/>
          <w:highlight w:val="none"/>
        </w:rPr>
      </w:pPr>
    </w:p>
    <w:p w14:paraId="4CFBE469">
      <w:pPr>
        <w:rPr>
          <w:rFonts w:hint="eastAsia" w:ascii="仿宋" w:hAnsi="仿宋" w:eastAsia="仿宋" w:cs="仿宋"/>
          <w:color w:val="auto"/>
          <w:sz w:val="23"/>
          <w:highlight w:val="none"/>
        </w:rPr>
      </w:pPr>
    </w:p>
    <w:p w14:paraId="04C6D807">
      <w:pPr>
        <w:rPr>
          <w:rFonts w:hint="eastAsia" w:ascii="仿宋" w:hAnsi="仿宋" w:eastAsia="仿宋" w:cs="仿宋"/>
          <w:color w:val="auto"/>
          <w:highlight w:val="none"/>
        </w:rPr>
      </w:pPr>
    </w:p>
    <w:p w14:paraId="5F336DD4">
      <w:pPr>
        <w:rPr>
          <w:rFonts w:hint="eastAsia" w:ascii="仿宋" w:hAnsi="仿宋" w:eastAsia="仿宋" w:cs="仿宋"/>
          <w:color w:val="auto"/>
          <w:sz w:val="23"/>
          <w:highlight w:val="none"/>
        </w:rPr>
      </w:pPr>
    </w:p>
    <w:p w14:paraId="5CA09A6D">
      <w:pPr>
        <w:rPr>
          <w:rFonts w:hint="eastAsia" w:ascii="仿宋" w:hAnsi="仿宋" w:eastAsia="仿宋" w:cs="仿宋"/>
          <w:color w:val="auto"/>
          <w:highlight w:val="none"/>
        </w:rPr>
        <w:sectPr>
          <w:pgSz w:w="11910" w:h="16840"/>
          <w:pgMar w:top="1420" w:right="1134" w:bottom="1180" w:left="1160" w:header="878" w:footer="993" w:gutter="0"/>
          <w:cols w:space="720" w:num="1"/>
        </w:sectPr>
      </w:pPr>
    </w:p>
    <w:p w14:paraId="69DD0D44">
      <w:pPr>
        <w:spacing w:before="199"/>
        <w:jc w:val="center"/>
        <w:rPr>
          <w:rFonts w:hint="eastAsia" w:ascii="仿宋" w:hAnsi="仿宋" w:eastAsia="仿宋" w:cs="仿宋"/>
          <w:b/>
          <w:color w:val="auto"/>
          <w:sz w:val="30"/>
          <w:highlight w:val="none"/>
        </w:rPr>
      </w:pPr>
      <w:r>
        <w:rPr>
          <w:rFonts w:hint="eastAsia" w:ascii="仿宋" w:hAnsi="仿宋" w:eastAsia="仿宋" w:cs="仿宋"/>
          <w:b/>
          <w:color w:val="auto"/>
          <w:sz w:val="30"/>
          <w:highlight w:val="none"/>
          <w:lang w:val="en-US"/>
        </w:rPr>
        <w:t>类似</w:t>
      </w:r>
      <w:r>
        <w:rPr>
          <w:rFonts w:hint="eastAsia" w:ascii="仿宋" w:hAnsi="仿宋" w:eastAsia="仿宋" w:cs="仿宋"/>
          <w:b/>
          <w:color w:val="auto"/>
          <w:sz w:val="30"/>
          <w:highlight w:val="none"/>
        </w:rPr>
        <w:t>项目业绩表</w:t>
      </w:r>
    </w:p>
    <w:p w14:paraId="1260E5FB">
      <w:pPr>
        <w:tabs>
          <w:tab w:val="left" w:pos="6529"/>
          <w:tab w:val="left" w:pos="9015"/>
        </w:tabs>
        <w:spacing w:before="20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投标人名称  ：</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t>项目编号：</w:t>
      </w:r>
      <w:r>
        <w:rPr>
          <w:rFonts w:hint="eastAsia" w:ascii="仿宋" w:hAnsi="仿宋" w:eastAsia="仿宋" w:cs="仿宋"/>
          <w:b/>
          <w:color w:val="auto"/>
          <w:sz w:val="24"/>
          <w:highlight w:val="none"/>
        </w:rPr>
        <w:tab/>
      </w:r>
    </w:p>
    <w:p w14:paraId="73A60B1A">
      <w:pPr>
        <w:pStyle w:val="10"/>
        <w:spacing w:before="3"/>
        <w:ind w:left="0"/>
        <w:rPr>
          <w:rFonts w:hint="eastAsia" w:ascii="仿宋" w:hAnsi="仿宋" w:eastAsia="仿宋" w:cs="仿宋"/>
          <w:b/>
          <w:color w:val="auto"/>
          <w:sz w:val="6"/>
          <w:highlight w:val="none"/>
        </w:rPr>
      </w:pPr>
    </w:p>
    <w:tbl>
      <w:tblPr>
        <w:tblStyle w:val="20"/>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9"/>
        <w:gridCol w:w="1513"/>
        <w:gridCol w:w="1164"/>
        <w:gridCol w:w="1311"/>
        <w:gridCol w:w="1229"/>
        <w:gridCol w:w="1245"/>
        <w:gridCol w:w="1245"/>
        <w:gridCol w:w="1262"/>
      </w:tblGrid>
      <w:tr w14:paraId="7EEF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18" w:type="pct"/>
            <w:vAlign w:val="center"/>
          </w:tcPr>
          <w:p w14:paraId="540CB547">
            <w:pPr>
              <w:pStyle w:val="6"/>
              <w:ind w:firstLine="0"/>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772" w:type="pct"/>
            <w:vAlign w:val="center"/>
          </w:tcPr>
          <w:p w14:paraId="0C98B2D2">
            <w:pPr>
              <w:pStyle w:val="6"/>
              <w:ind w:firstLine="0"/>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594" w:type="pct"/>
            <w:vAlign w:val="center"/>
          </w:tcPr>
          <w:p w14:paraId="71072538">
            <w:pPr>
              <w:pStyle w:val="6"/>
              <w:ind w:firstLine="0"/>
              <w:jc w:val="center"/>
              <w:rPr>
                <w:rFonts w:hint="eastAsia" w:ascii="仿宋" w:hAnsi="仿宋" w:eastAsia="仿宋" w:cs="仿宋"/>
                <w:color w:val="auto"/>
                <w:highlight w:val="none"/>
              </w:rPr>
            </w:pPr>
            <w:r>
              <w:rPr>
                <w:rFonts w:hint="eastAsia" w:ascii="仿宋" w:hAnsi="仿宋" w:eastAsia="仿宋" w:cs="仿宋"/>
                <w:color w:val="auto"/>
                <w:highlight w:val="none"/>
              </w:rPr>
              <w:t>招标单位</w:t>
            </w:r>
          </w:p>
        </w:tc>
        <w:tc>
          <w:tcPr>
            <w:tcW w:w="669" w:type="pct"/>
            <w:vAlign w:val="center"/>
          </w:tcPr>
          <w:p w14:paraId="5A966071">
            <w:pPr>
              <w:pStyle w:val="6"/>
              <w:ind w:firstLine="0"/>
              <w:jc w:val="center"/>
              <w:rPr>
                <w:rFonts w:hint="eastAsia" w:ascii="仿宋" w:hAnsi="仿宋" w:eastAsia="仿宋" w:cs="仿宋"/>
                <w:color w:val="auto"/>
                <w:highlight w:val="none"/>
              </w:rPr>
            </w:pPr>
            <w:r>
              <w:rPr>
                <w:rFonts w:hint="eastAsia" w:ascii="仿宋" w:hAnsi="仿宋" w:eastAsia="仿宋" w:cs="仿宋"/>
                <w:color w:val="auto"/>
                <w:highlight w:val="none"/>
              </w:rPr>
              <w:t>时间</w:t>
            </w:r>
          </w:p>
        </w:tc>
        <w:tc>
          <w:tcPr>
            <w:tcW w:w="627" w:type="pct"/>
            <w:vAlign w:val="center"/>
          </w:tcPr>
          <w:p w14:paraId="078E658B">
            <w:pPr>
              <w:pStyle w:val="6"/>
              <w:ind w:firstLine="0"/>
              <w:jc w:val="center"/>
              <w:rPr>
                <w:rFonts w:hint="eastAsia" w:ascii="仿宋" w:hAnsi="仿宋" w:eastAsia="仿宋" w:cs="仿宋"/>
                <w:color w:val="auto"/>
                <w:highlight w:val="none"/>
              </w:rPr>
            </w:pPr>
            <w:r>
              <w:rPr>
                <w:rFonts w:hint="eastAsia" w:ascii="仿宋" w:hAnsi="仿宋" w:eastAsia="仿宋" w:cs="仿宋"/>
                <w:color w:val="auto"/>
                <w:highlight w:val="none"/>
              </w:rPr>
              <w:t>金额</w:t>
            </w:r>
          </w:p>
        </w:tc>
        <w:tc>
          <w:tcPr>
            <w:tcW w:w="635" w:type="pct"/>
            <w:vAlign w:val="center"/>
          </w:tcPr>
          <w:p w14:paraId="529BE178">
            <w:pPr>
              <w:pStyle w:val="6"/>
              <w:ind w:firstLine="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建设内容</w:t>
            </w:r>
          </w:p>
        </w:tc>
        <w:tc>
          <w:tcPr>
            <w:tcW w:w="635" w:type="pct"/>
            <w:vAlign w:val="center"/>
          </w:tcPr>
          <w:p w14:paraId="21C5F288">
            <w:pPr>
              <w:pStyle w:val="6"/>
              <w:ind w:firstLine="0"/>
              <w:jc w:val="center"/>
              <w:rPr>
                <w:rFonts w:hint="eastAsia" w:ascii="仿宋" w:hAnsi="仿宋" w:eastAsia="仿宋" w:cs="仿宋"/>
                <w:color w:val="auto"/>
                <w:highlight w:val="none"/>
              </w:rPr>
            </w:pPr>
            <w:r>
              <w:rPr>
                <w:rFonts w:hint="eastAsia" w:ascii="仿宋" w:hAnsi="仿宋" w:eastAsia="仿宋" w:cs="仿宋"/>
                <w:color w:val="auto"/>
                <w:highlight w:val="none"/>
                <w:lang w:val="en-US"/>
              </w:rPr>
              <w:t>招标方</w:t>
            </w:r>
            <w:r>
              <w:rPr>
                <w:rFonts w:hint="eastAsia" w:ascii="仿宋" w:hAnsi="仿宋" w:eastAsia="仿宋" w:cs="仿宋"/>
                <w:color w:val="auto"/>
                <w:highlight w:val="none"/>
              </w:rPr>
              <w:t>负责人</w:t>
            </w:r>
            <w:r>
              <w:rPr>
                <w:rFonts w:hint="eastAsia" w:ascii="仿宋" w:hAnsi="仿宋" w:eastAsia="仿宋" w:cs="仿宋"/>
                <w:color w:val="auto"/>
                <w:highlight w:val="none"/>
                <w:lang w:val="en-US"/>
              </w:rPr>
              <w:t>及</w:t>
            </w:r>
            <w:r>
              <w:rPr>
                <w:rFonts w:hint="eastAsia" w:ascii="仿宋" w:hAnsi="仿宋" w:eastAsia="仿宋" w:cs="仿宋"/>
                <w:color w:val="auto"/>
                <w:highlight w:val="none"/>
              </w:rPr>
              <w:t>联系电话</w:t>
            </w:r>
          </w:p>
        </w:tc>
        <w:tc>
          <w:tcPr>
            <w:tcW w:w="644" w:type="pct"/>
            <w:vAlign w:val="center"/>
          </w:tcPr>
          <w:p w14:paraId="1E814767">
            <w:pPr>
              <w:pStyle w:val="6"/>
              <w:ind w:firstLine="0"/>
              <w:jc w:val="center"/>
              <w:rPr>
                <w:rFonts w:hint="eastAsia" w:ascii="仿宋" w:hAnsi="仿宋" w:eastAsia="仿宋" w:cs="仿宋"/>
                <w:color w:val="auto"/>
                <w:highlight w:val="none"/>
              </w:rPr>
            </w:pPr>
            <w:r>
              <w:rPr>
                <w:rFonts w:hint="eastAsia" w:ascii="仿宋" w:hAnsi="仿宋" w:eastAsia="仿宋" w:cs="仿宋"/>
                <w:color w:val="auto"/>
                <w:highlight w:val="none"/>
                <w:lang w:val="en-US"/>
              </w:rPr>
              <w:t>供货方</w:t>
            </w:r>
            <w:r>
              <w:rPr>
                <w:rFonts w:hint="eastAsia" w:ascii="仿宋" w:hAnsi="仿宋" w:eastAsia="仿宋" w:cs="仿宋"/>
                <w:color w:val="auto"/>
                <w:highlight w:val="none"/>
              </w:rPr>
              <w:t>负责人</w:t>
            </w:r>
            <w:r>
              <w:rPr>
                <w:rFonts w:hint="eastAsia" w:ascii="仿宋" w:hAnsi="仿宋" w:eastAsia="仿宋" w:cs="仿宋"/>
                <w:color w:val="auto"/>
                <w:highlight w:val="none"/>
                <w:lang w:val="en-US"/>
              </w:rPr>
              <w:t>及</w:t>
            </w:r>
            <w:r>
              <w:rPr>
                <w:rFonts w:hint="eastAsia" w:ascii="仿宋" w:hAnsi="仿宋" w:eastAsia="仿宋" w:cs="仿宋"/>
                <w:color w:val="auto"/>
                <w:highlight w:val="none"/>
              </w:rPr>
              <w:t>联系电话</w:t>
            </w:r>
          </w:p>
        </w:tc>
      </w:tr>
      <w:tr w14:paraId="77F7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5E9311FB">
            <w:pPr>
              <w:pStyle w:val="6"/>
              <w:rPr>
                <w:rFonts w:hint="eastAsia" w:ascii="仿宋" w:hAnsi="仿宋" w:eastAsia="仿宋" w:cs="仿宋"/>
                <w:color w:val="auto"/>
                <w:highlight w:val="none"/>
              </w:rPr>
            </w:pPr>
          </w:p>
        </w:tc>
        <w:tc>
          <w:tcPr>
            <w:tcW w:w="772" w:type="pct"/>
            <w:vAlign w:val="center"/>
          </w:tcPr>
          <w:p w14:paraId="5722E6CF">
            <w:pPr>
              <w:pStyle w:val="6"/>
              <w:rPr>
                <w:rFonts w:hint="eastAsia" w:ascii="仿宋" w:hAnsi="仿宋" w:eastAsia="仿宋" w:cs="仿宋"/>
                <w:color w:val="auto"/>
                <w:highlight w:val="none"/>
              </w:rPr>
            </w:pPr>
          </w:p>
        </w:tc>
        <w:tc>
          <w:tcPr>
            <w:tcW w:w="594" w:type="pct"/>
          </w:tcPr>
          <w:p w14:paraId="5E1DF328">
            <w:pPr>
              <w:pStyle w:val="6"/>
              <w:rPr>
                <w:rFonts w:hint="eastAsia" w:ascii="仿宋" w:hAnsi="仿宋" w:eastAsia="仿宋" w:cs="仿宋"/>
                <w:color w:val="auto"/>
                <w:highlight w:val="none"/>
              </w:rPr>
            </w:pPr>
          </w:p>
        </w:tc>
        <w:tc>
          <w:tcPr>
            <w:tcW w:w="669" w:type="pct"/>
            <w:vAlign w:val="center"/>
          </w:tcPr>
          <w:p w14:paraId="000E61ED">
            <w:pPr>
              <w:pStyle w:val="6"/>
              <w:rPr>
                <w:rFonts w:hint="eastAsia" w:ascii="仿宋" w:hAnsi="仿宋" w:eastAsia="仿宋" w:cs="仿宋"/>
                <w:color w:val="auto"/>
                <w:highlight w:val="none"/>
              </w:rPr>
            </w:pPr>
          </w:p>
        </w:tc>
        <w:tc>
          <w:tcPr>
            <w:tcW w:w="627" w:type="pct"/>
            <w:vAlign w:val="center"/>
          </w:tcPr>
          <w:p w14:paraId="624109B0">
            <w:pPr>
              <w:pStyle w:val="6"/>
              <w:rPr>
                <w:rFonts w:hint="eastAsia" w:ascii="仿宋" w:hAnsi="仿宋" w:eastAsia="仿宋" w:cs="仿宋"/>
                <w:color w:val="auto"/>
                <w:highlight w:val="none"/>
              </w:rPr>
            </w:pPr>
          </w:p>
        </w:tc>
        <w:tc>
          <w:tcPr>
            <w:tcW w:w="635" w:type="pct"/>
            <w:vAlign w:val="center"/>
          </w:tcPr>
          <w:p w14:paraId="09735032">
            <w:pPr>
              <w:pStyle w:val="6"/>
              <w:rPr>
                <w:rFonts w:hint="eastAsia" w:ascii="仿宋" w:hAnsi="仿宋" w:eastAsia="仿宋" w:cs="仿宋"/>
                <w:color w:val="auto"/>
                <w:highlight w:val="none"/>
              </w:rPr>
            </w:pPr>
          </w:p>
        </w:tc>
        <w:tc>
          <w:tcPr>
            <w:tcW w:w="635" w:type="pct"/>
            <w:vAlign w:val="center"/>
          </w:tcPr>
          <w:p w14:paraId="57C7A5BA">
            <w:pPr>
              <w:pStyle w:val="6"/>
              <w:rPr>
                <w:rFonts w:hint="eastAsia" w:ascii="仿宋" w:hAnsi="仿宋" w:eastAsia="仿宋" w:cs="仿宋"/>
                <w:color w:val="auto"/>
                <w:highlight w:val="none"/>
              </w:rPr>
            </w:pPr>
          </w:p>
        </w:tc>
        <w:tc>
          <w:tcPr>
            <w:tcW w:w="644" w:type="pct"/>
            <w:vAlign w:val="center"/>
          </w:tcPr>
          <w:p w14:paraId="3101BD0D">
            <w:pPr>
              <w:pStyle w:val="6"/>
              <w:rPr>
                <w:rFonts w:hint="eastAsia" w:ascii="仿宋" w:hAnsi="仿宋" w:eastAsia="仿宋" w:cs="仿宋"/>
                <w:color w:val="auto"/>
                <w:highlight w:val="none"/>
              </w:rPr>
            </w:pPr>
          </w:p>
        </w:tc>
      </w:tr>
      <w:tr w14:paraId="2E81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3EA31496">
            <w:pPr>
              <w:pStyle w:val="6"/>
              <w:rPr>
                <w:rFonts w:hint="eastAsia" w:ascii="仿宋" w:hAnsi="仿宋" w:eastAsia="仿宋" w:cs="仿宋"/>
                <w:color w:val="auto"/>
                <w:highlight w:val="none"/>
              </w:rPr>
            </w:pPr>
          </w:p>
        </w:tc>
        <w:tc>
          <w:tcPr>
            <w:tcW w:w="772" w:type="pct"/>
            <w:vAlign w:val="center"/>
          </w:tcPr>
          <w:p w14:paraId="2835D9C9">
            <w:pPr>
              <w:pStyle w:val="6"/>
              <w:rPr>
                <w:rFonts w:hint="eastAsia" w:ascii="仿宋" w:hAnsi="仿宋" w:eastAsia="仿宋" w:cs="仿宋"/>
                <w:color w:val="auto"/>
                <w:highlight w:val="none"/>
              </w:rPr>
            </w:pPr>
          </w:p>
        </w:tc>
        <w:tc>
          <w:tcPr>
            <w:tcW w:w="594" w:type="pct"/>
          </w:tcPr>
          <w:p w14:paraId="5065BC0D">
            <w:pPr>
              <w:pStyle w:val="6"/>
              <w:rPr>
                <w:rFonts w:hint="eastAsia" w:ascii="仿宋" w:hAnsi="仿宋" w:eastAsia="仿宋" w:cs="仿宋"/>
                <w:color w:val="auto"/>
                <w:highlight w:val="none"/>
              </w:rPr>
            </w:pPr>
          </w:p>
        </w:tc>
        <w:tc>
          <w:tcPr>
            <w:tcW w:w="669" w:type="pct"/>
            <w:vAlign w:val="center"/>
          </w:tcPr>
          <w:p w14:paraId="7B1E0612">
            <w:pPr>
              <w:pStyle w:val="6"/>
              <w:rPr>
                <w:rFonts w:hint="eastAsia" w:ascii="仿宋" w:hAnsi="仿宋" w:eastAsia="仿宋" w:cs="仿宋"/>
                <w:color w:val="auto"/>
                <w:highlight w:val="none"/>
              </w:rPr>
            </w:pPr>
          </w:p>
        </w:tc>
        <w:tc>
          <w:tcPr>
            <w:tcW w:w="627" w:type="pct"/>
            <w:vAlign w:val="center"/>
          </w:tcPr>
          <w:p w14:paraId="61E32B75">
            <w:pPr>
              <w:pStyle w:val="6"/>
              <w:rPr>
                <w:rFonts w:hint="eastAsia" w:ascii="仿宋" w:hAnsi="仿宋" w:eastAsia="仿宋" w:cs="仿宋"/>
                <w:color w:val="auto"/>
                <w:highlight w:val="none"/>
              </w:rPr>
            </w:pPr>
          </w:p>
        </w:tc>
        <w:tc>
          <w:tcPr>
            <w:tcW w:w="635" w:type="pct"/>
            <w:vAlign w:val="center"/>
          </w:tcPr>
          <w:p w14:paraId="34857649">
            <w:pPr>
              <w:pStyle w:val="6"/>
              <w:rPr>
                <w:rFonts w:hint="eastAsia" w:ascii="仿宋" w:hAnsi="仿宋" w:eastAsia="仿宋" w:cs="仿宋"/>
                <w:color w:val="auto"/>
                <w:highlight w:val="none"/>
              </w:rPr>
            </w:pPr>
          </w:p>
        </w:tc>
        <w:tc>
          <w:tcPr>
            <w:tcW w:w="635" w:type="pct"/>
            <w:vAlign w:val="center"/>
          </w:tcPr>
          <w:p w14:paraId="002D23D5">
            <w:pPr>
              <w:pStyle w:val="6"/>
              <w:rPr>
                <w:rFonts w:hint="eastAsia" w:ascii="仿宋" w:hAnsi="仿宋" w:eastAsia="仿宋" w:cs="仿宋"/>
                <w:color w:val="auto"/>
                <w:highlight w:val="none"/>
              </w:rPr>
            </w:pPr>
          </w:p>
        </w:tc>
        <w:tc>
          <w:tcPr>
            <w:tcW w:w="644" w:type="pct"/>
            <w:vAlign w:val="center"/>
          </w:tcPr>
          <w:p w14:paraId="701A575F">
            <w:pPr>
              <w:pStyle w:val="6"/>
              <w:rPr>
                <w:rFonts w:hint="eastAsia" w:ascii="仿宋" w:hAnsi="仿宋" w:eastAsia="仿宋" w:cs="仿宋"/>
                <w:color w:val="auto"/>
                <w:highlight w:val="none"/>
              </w:rPr>
            </w:pPr>
          </w:p>
        </w:tc>
      </w:tr>
      <w:tr w14:paraId="24D0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4EED1DA8">
            <w:pPr>
              <w:pStyle w:val="6"/>
              <w:rPr>
                <w:rFonts w:hint="eastAsia" w:ascii="仿宋" w:hAnsi="仿宋" w:eastAsia="仿宋" w:cs="仿宋"/>
                <w:color w:val="auto"/>
                <w:highlight w:val="none"/>
              </w:rPr>
            </w:pPr>
          </w:p>
        </w:tc>
        <w:tc>
          <w:tcPr>
            <w:tcW w:w="772" w:type="pct"/>
            <w:vAlign w:val="center"/>
          </w:tcPr>
          <w:p w14:paraId="49E7801B">
            <w:pPr>
              <w:pStyle w:val="6"/>
              <w:rPr>
                <w:rFonts w:hint="eastAsia" w:ascii="仿宋" w:hAnsi="仿宋" w:eastAsia="仿宋" w:cs="仿宋"/>
                <w:color w:val="auto"/>
                <w:highlight w:val="none"/>
              </w:rPr>
            </w:pPr>
          </w:p>
        </w:tc>
        <w:tc>
          <w:tcPr>
            <w:tcW w:w="594" w:type="pct"/>
          </w:tcPr>
          <w:p w14:paraId="75A674F7">
            <w:pPr>
              <w:pStyle w:val="6"/>
              <w:rPr>
                <w:rFonts w:hint="eastAsia" w:ascii="仿宋" w:hAnsi="仿宋" w:eastAsia="仿宋" w:cs="仿宋"/>
                <w:color w:val="auto"/>
                <w:highlight w:val="none"/>
              </w:rPr>
            </w:pPr>
          </w:p>
        </w:tc>
        <w:tc>
          <w:tcPr>
            <w:tcW w:w="669" w:type="pct"/>
            <w:vAlign w:val="center"/>
          </w:tcPr>
          <w:p w14:paraId="670D61F3">
            <w:pPr>
              <w:pStyle w:val="6"/>
              <w:rPr>
                <w:rFonts w:hint="eastAsia" w:ascii="仿宋" w:hAnsi="仿宋" w:eastAsia="仿宋" w:cs="仿宋"/>
                <w:color w:val="auto"/>
                <w:highlight w:val="none"/>
              </w:rPr>
            </w:pPr>
          </w:p>
        </w:tc>
        <w:tc>
          <w:tcPr>
            <w:tcW w:w="627" w:type="pct"/>
            <w:vAlign w:val="center"/>
          </w:tcPr>
          <w:p w14:paraId="67D6F7EB">
            <w:pPr>
              <w:pStyle w:val="6"/>
              <w:rPr>
                <w:rFonts w:hint="eastAsia" w:ascii="仿宋" w:hAnsi="仿宋" w:eastAsia="仿宋" w:cs="仿宋"/>
                <w:color w:val="auto"/>
                <w:highlight w:val="none"/>
              </w:rPr>
            </w:pPr>
          </w:p>
        </w:tc>
        <w:tc>
          <w:tcPr>
            <w:tcW w:w="635" w:type="pct"/>
            <w:vAlign w:val="center"/>
          </w:tcPr>
          <w:p w14:paraId="6777683B">
            <w:pPr>
              <w:pStyle w:val="6"/>
              <w:rPr>
                <w:rFonts w:hint="eastAsia" w:ascii="仿宋" w:hAnsi="仿宋" w:eastAsia="仿宋" w:cs="仿宋"/>
                <w:color w:val="auto"/>
                <w:highlight w:val="none"/>
              </w:rPr>
            </w:pPr>
          </w:p>
        </w:tc>
        <w:tc>
          <w:tcPr>
            <w:tcW w:w="635" w:type="pct"/>
            <w:vAlign w:val="center"/>
          </w:tcPr>
          <w:p w14:paraId="53C3DB56">
            <w:pPr>
              <w:pStyle w:val="6"/>
              <w:rPr>
                <w:rFonts w:hint="eastAsia" w:ascii="仿宋" w:hAnsi="仿宋" w:eastAsia="仿宋" w:cs="仿宋"/>
                <w:color w:val="auto"/>
                <w:highlight w:val="none"/>
              </w:rPr>
            </w:pPr>
          </w:p>
        </w:tc>
        <w:tc>
          <w:tcPr>
            <w:tcW w:w="644" w:type="pct"/>
            <w:vAlign w:val="center"/>
          </w:tcPr>
          <w:p w14:paraId="302025FD">
            <w:pPr>
              <w:pStyle w:val="6"/>
              <w:rPr>
                <w:rFonts w:hint="eastAsia" w:ascii="仿宋" w:hAnsi="仿宋" w:eastAsia="仿宋" w:cs="仿宋"/>
                <w:color w:val="auto"/>
                <w:highlight w:val="none"/>
              </w:rPr>
            </w:pPr>
          </w:p>
        </w:tc>
      </w:tr>
      <w:tr w14:paraId="004F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418" w:type="pct"/>
          </w:tcPr>
          <w:p w14:paraId="65BF887F">
            <w:pPr>
              <w:pStyle w:val="6"/>
              <w:rPr>
                <w:rFonts w:hint="eastAsia" w:ascii="仿宋" w:hAnsi="仿宋" w:eastAsia="仿宋" w:cs="仿宋"/>
                <w:color w:val="auto"/>
                <w:highlight w:val="none"/>
              </w:rPr>
            </w:pPr>
          </w:p>
        </w:tc>
        <w:tc>
          <w:tcPr>
            <w:tcW w:w="772" w:type="pct"/>
            <w:vAlign w:val="center"/>
          </w:tcPr>
          <w:p w14:paraId="7621D4F0">
            <w:pPr>
              <w:pStyle w:val="6"/>
              <w:rPr>
                <w:rFonts w:hint="eastAsia" w:ascii="仿宋" w:hAnsi="仿宋" w:eastAsia="仿宋" w:cs="仿宋"/>
                <w:color w:val="auto"/>
                <w:highlight w:val="none"/>
              </w:rPr>
            </w:pPr>
          </w:p>
        </w:tc>
        <w:tc>
          <w:tcPr>
            <w:tcW w:w="594" w:type="pct"/>
          </w:tcPr>
          <w:p w14:paraId="00FDBD2F">
            <w:pPr>
              <w:pStyle w:val="6"/>
              <w:rPr>
                <w:rFonts w:hint="eastAsia" w:ascii="仿宋" w:hAnsi="仿宋" w:eastAsia="仿宋" w:cs="仿宋"/>
                <w:color w:val="auto"/>
                <w:highlight w:val="none"/>
              </w:rPr>
            </w:pPr>
          </w:p>
        </w:tc>
        <w:tc>
          <w:tcPr>
            <w:tcW w:w="669" w:type="pct"/>
            <w:vAlign w:val="center"/>
          </w:tcPr>
          <w:p w14:paraId="6D58B933">
            <w:pPr>
              <w:pStyle w:val="6"/>
              <w:rPr>
                <w:rFonts w:hint="eastAsia" w:ascii="仿宋" w:hAnsi="仿宋" w:eastAsia="仿宋" w:cs="仿宋"/>
                <w:color w:val="auto"/>
                <w:highlight w:val="none"/>
              </w:rPr>
            </w:pPr>
          </w:p>
        </w:tc>
        <w:tc>
          <w:tcPr>
            <w:tcW w:w="627" w:type="pct"/>
            <w:vAlign w:val="center"/>
          </w:tcPr>
          <w:p w14:paraId="5F95A0EC">
            <w:pPr>
              <w:pStyle w:val="6"/>
              <w:rPr>
                <w:rFonts w:hint="eastAsia" w:ascii="仿宋" w:hAnsi="仿宋" w:eastAsia="仿宋" w:cs="仿宋"/>
                <w:color w:val="auto"/>
                <w:highlight w:val="none"/>
              </w:rPr>
            </w:pPr>
          </w:p>
        </w:tc>
        <w:tc>
          <w:tcPr>
            <w:tcW w:w="635" w:type="pct"/>
            <w:vAlign w:val="center"/>
          </w:tcPr>
          <w:p w14:paraId="656FA5EE">
            <w:pPr>
              <w:pStyle w:val="6"/>
              <w:rPr>
                <w:rFonts w:hint="eastAsia" w:ascii="仿宋" w:hAnsi="仿宋" w:eastAsia="仿宋" w:cs="仿宋"/>
                <w:color w:val="auto"/>
                <w:highlight w:val="none"/>
              </w:rPr>
            </w:pPr>
          </w:p>
        </w:tc>
        <w:tc>
          <w:tcPr>
            <w:tcW w:w="635" w:type="pct"/>
            <w:vAlign w:val="center"/>
          </w:tcPr>
          <w:p w14:paraId="59E76CE1">
            <w:pPr>
              <w:pStyle w:val="6"/>
              <w:rPr>
                <w:rFonts w:hint="eastAsia" w:ascii="仿宋" w:hAnsi="仿宋" w:eastAsia="仿宋" w:cs="仿宋"/>
                <w:color w:val="auto"/>
                <w:highlight w:val="none"/>
              </w:rPr>
            </w:pPr>
          </w:p>
        </w:tc>
        <w:tc>
          <w:tcPr>
            <w:tcW w:w="644" w:type="pct"/>
            <w:vAlign w:val="center"/>
          </w:tcPr>
          <w:p w14:paraId="69C64F3A">
            <w:pPr>
              <w:pStyle w:val="6"/>
              <w:rPr>
                <w:rFonts w:hint="eastAsia" w:ascii="仿宋" w:hAnsi="仿宋" w:eastAsia="仿宋" w:cs="仿宋"/>
                <w:color w:val="auto"/>
                <w:highlight w:val="none"/>
              </w:rPr>
            </w:pPr>
          </w:p>
        </w:tc>
      </w:tr>
      <w:tr w14:paraId="62D0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0D41234F">
            <w:pPr>
              <w:pStyle w:val="6"/>
              <w:rPr>
                <w:rFonts w:hint="eastAsia" w:ascii="仿宋" w:hAnsi="仿宋" w:eastAsia="仿宋" w:cs="仿宋"/>
                <w:color w:val="auto"/>
                <w:highlight w:val="none"/>
              </w:rPr>
            </w:pPr>
          </w:p>
        </w:tc>
        <w:tc>
          <w:tcPr>
            <w:tcW w:w="772" w:type="pct"/>
            <w:vAlign w:val="center"/>
          </w:tcPr>
          <w:p w14:paraId="6C062D9D">
            <w:pPr>
              <w:pStyle w:val="6"/>
              <w:rPr>
                <w:rFonts w:hint="eastAsia" w:ascii="仿宋" w:hAnsi="仿宋" w:eastAsia="仿宋" w:cs="仿宋"/>
                <w:color w:val="auto"/>
                <w:highlight w:val="none"/>
              </w:rPr>
            </w:pPr>
          </w:p>
        </w:tc>
        <w:tc>
          <w:tcPr>
            <w:tcW w:w="594" w:type="pct"/>
          </w:tcPr>
          <w:p w14:paraId="10465F38">
            <w:pPr>
              <w:pStyle w:val="6"/>
              <w:rPr>
                <w:rFonts w:hint="eastAsia" w:ascii="仿宋" w:hAnsi="仿宋" w:eastAsia="仿宋" w:cs="仿宋"/>
                <w:color w:val="auto"/>
                <w:highlight w:val="none"/>
              </w:rPr>
            </w:pPr>
          </w:p>
        </w:tc>
        <w:tc>
          <w:tcPr>
            <w:tcW w:w="669" w:type="pct"/>
            <w:vAlign w:val="center"/>
          </w:tcPr>
          <w:p w14:paraId="04D5BC4E">
            <w:pPr>
              <w:pStyle w:val="6"/>
              <w:rPr>
                <w:rFonts w:hint="eastAsia" w:ascii="仿宋" w:hAnsi="仿宋" w:eastAsia="仿宋" w:cs="仿宋"/>
                <w:color w:val="auto"/>
                <w:highlight w:val="none"/>
              </w:rPr>
            </w:pPr>
          </w:p>
        </w:tc>
        <w:tc>
          <w:tcPr>
            <w:tcW w:w="627" w:type="pct"/>
            <w:vAlign w:val="center"/>
          </w:tcPr>
          <w:p w14:paraId="502FEF39">
            <w:pPr>
              <w:pStyle w:val="6"/>
              <w:rPr>
                <w:rFonts w:hint="eastAsia" w:ascii="仿宋" w:hAnsi="仿宋" w:eastAsia="仿宋" w:cs="仿宋"/>
                <w:color w:val="auto"/>
                <w:highlight w:val="none"/>
              </w:rPr>
            </w:pPr>
          </w:p>
        </w:tc>
        <w:tc>
          <w:tcPr>
            <w:tcW w:w="635" w:type="pct"/>
            <w:vAlign w:val="center"/>
          </w:tcPr>
          <w:p w14:paraId="0DC8BDAA">
            <w:pPr>
              <w:pStyle w:val="6"/>
              <w:rPr>
                <w:rFonts w:hint="eastAsia" w:ascii="仿宋" w:hAnsi="仿宋" w:eastAsia="仿宋" w:cs="仿宋"/>
                <w:color w:val="auto"/>
                <w:highlight w:val="none"/>
              </w:rPr>
            </w:pPr>
          </w:p>
        </w:tc>
        <w:tc>
          <w:tcPr>
            <w:tcW w:w="635" w:type="pct"/>
            <w:vAlign w:val="center"/>
          </w:tcPr>
          <w:p w14:paraId="502DD7AF">
            <w:pPr>
              <w:pStyle w:val="6"/>
              <w:rPr>
                <w:rFonts w:hint="eastAsia" w:ascii="仿宋" w:hAnsi="仿宋" w:eastAsia="仿宋" w:cs="仿宋"/>
                <w:color w:val="auto"/>
                <w:highlight w:val="none"/>
              </w:rPr>
            </w:pPr>
          </w:p>
        </w:tc>
        <w:tc>
          <w:tcPr>
            <w:tcW w:w="644" w:type="pct"/>
            <w:vAlign w:val="center"/>
          </w:tcPr>
          <w:p w14:paraId="6761986F">
            <w:pPr>
              <w:pStyle w:val="6"/>
              <w:rPr>
                <w:rFonts w:hint="eastAsia" w:ascii="仿宋" w:hAnsi="仿宋" w:eastAsia="仿宋" w:cs="仿宋"/>
                <w:color w:val="auto"/>
                <w:highlight w:val="none"/>
              </w:rPr>
            </w:pPr>
          </w:p>
        </w:tc>
      </w:tr>
    </w:tbl>
    <w:p w14:paraId="122022D7">
      <w:pPr>
        <w:pStyle w:val="35"/>
        <w:tabs>
          <w:tab w:val="left" w:pos="750"/>
        </w:tabs>
        <w:adjustRightInd w:val="0"/>
        <w:snapToGrid w:val="0"/>
        <w:spacing w:line="400" w:lineRule="exact"/>
        <w:rPr>
          <w:rFonts w:hint="eastAsia" w:ascii="仿宋" w:hAnsi="仿宋" w:eastAsia="仿宋" w:cs="仿宋"/>
          <w:color w:val="auto"/>
          <w:sz w:val="24"/>
          <w:szCs w:val="24"/>
          <w:highlight w:val="none"/>
        </w:rPr>
      </w:pPr>
    </w:p>
    <w:p w14:paraId="3084E78E">
      <w:pPr>
        <w:pStyle w:val="35"/>
        <w:tabs>
          <w:tab w:val="left" w:pos="750"/>
        </w:tabs>
        <w:adjustRightInd w:val="0"/>
        <w:snapToGrid w:val="0"/>
        <w:spacing w:line="400" w:lineRule="exact"/>
        <w:rPr>
          <w:rFonts w:hint="eastAsia" w:ascii="仿宋" w:hAnsi="仿宋" w:eastAsia="仿宋" w:cs="仿宋"/>
          <w:color w:val="auto"/>
          <w:sz w:val="24"/>
          <w:szCs w:val="24"/>
          <w:highlight w:val="none"/>
        </w:rPr>
      </w:pPr>
    </w:p>
    <w:p w14:paraId="2DC03C96">
      <w:pPr>
        <w:pStyle w:val="35"/>
        <w:tabs>
          <w:tab w:val="left" w:pos="750"/>
        </w:tabs>
        <w:adjustRightInd w:val="0"/>
        <w:snapToGrid w:val="0"/>
        <w:spacing w:line="480" w:lineRule="auto"/>
        <w:ind w:firstLine="723" w:firstLineChars="3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投标人名称（盖章）：</w:t>
      </w:r>
      <w:r>
        <w:rPr>
          <w:rFonts w:hint="eastAsia" w:ascii="仿宋" w:hAnsi="仿宋" w:eastAsia="仿宋" w:cs="仿宋"/>
          <w:b/>
          <w:color w:val="auto"/>
          <w:kern w:val="0"/>
          <w:sz w:val="24"/>
          <w:highlight w:val="none"/>
          <w:u w:val="single"/>
          <w:lang w:bidi="zh-CN"/>
        </w:rPr>
        <w:t xml:space="preserve">                 </w:t>
      </w:r>
      <w:r>
        <w:rPr>
          <w:rFonts w:hint="eastAsia" w:ascii="仿宋" w:hAnsi="仿宋" w:eastAsia="仿宋" w:cs="仿宋"/>
          <w:b/>
          <w:color w:val="auto"/>
          <w:kern w:val="0"/>
          <w:sz w:val="24"/>
          <w:highlight w:val="none"/>
          <w:lang w:val="zh-CN" w:bidi="zh-CN"/>
        </w:rPr>
        <w:t xml:space="preserve">  </w:t>
      </w:r>
    </w:p>
    <w:p w14:paraId="7F737CE5">
      <w:pPr>
        <w:pStyle w:val="35"/>
        <w:tabs>
          <w:tab w:val="left" w:pos="750"/>
        </w:tabs>
        <w:adjustRightInd w:val="0"/>
        <w:snapToGrid w:val="0"/>
        <w:spacing w:line="480" w:lineRule="auto"/>
        <w:ind w:firstLine="723" w:firstLineChars="3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 xml:space="preserve">                      </w:t>
      </w:r>
    </w:p>
    <w:p w14:paraId="73DBBE2A">
      <w:pPr>
        <w:pStyle w:val="35"/>
        <w:tabs>
          <w:tab w:val="left" w:pos="750"/>
        </w:tabs>
        <w:adjustRightInd w:val="0"/>
        <w:snapToGrid w:val="0"/>
        <w:spacing w:line="480" w:lineRule="auto"/>
        <w:ind w:firstLine="723" w:firstLineChars="3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法定代表人或委托代理人签字（或盖章）：</w:t>
      </w:r>
      <w:r>
        <w:rPr>
          <w:rFonts w:hint="eastAsia" w:ascii="仿宋" w:hAnsi="仿宋" w:eastAsia="仿宋" w:cs="仿宋"/>
          <w:b/>
          <w:color w:val="auto"/>
          <w:kern w:val="0"/>
          <w:sz w:val="24"/>
          <w:highlight w:val="none"/>
          <w:u w:val="single"/>
          <w:lang w:bidi="zh-CN"/>
        </w:rPr>
        <w:t xml:space="preserve">                 </w:t>
      </w:r>
      <w:r>
        <w:rPr>
          <w:rFonts w:hint="eastAsia" w:ascii="仿宋" w:hAnsi="仿宋" w:eastAsia="仿宋" w:cs="仿宋"/>
          <w:b/>
          <w:color w:val="auto"/>
          <w:kern w:val="0"/>
          <w:sz w:val="24"/>
          <w:highlight w:val="none"/>
          <w:lang w:val="zh-CN" w:bidi="zh-CN"/>
        </w:rPr>
        <w:t xml:space="preserve">   </w:t>
      </w:r>
    </w:p>
    <w:p w14:paraId="293E71EA">
      <w:pPr>
        <w:pStyle w:val="35"/>
        <w:tabs>
          <w:tab w:val="left" w:pos="750"/>
        </w:tabs>
        <w:adjustRightInd w:val="0"/>
        <w:snapToGrid w:val="0"/>
        <w:spacing w:line="480" w:lineRule="auto"/>
        <w:ind w:firstLine="723" w:firstLineChars="3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 xml:space="preserve">                     </w:t>
      </w:r>
    </w:p>
    <w:p w14:paraId="48F2526E">
      <w:pPr>
        <w:pStyle w:val="35"/>
        <w:tabs>
          <w:tab w:val="left" w:pos="750"/>
        </w:tabs>
        <w:adjustRightInd w:val="0"/>
        <w:snapToGrid w:val="0"/>
        <w:spacing w:line="480" w:lineRule="auto"/>
        <w:ind w:firstLine="5783" w:firstLineChars="2400"/>
        <w:rPr>
          <w:rFonts w:hint="eastAsia" w:ascii="仿宋" w:hAnsi="仿宋" w:eastAsia="仿宋" w:cs="仿宋"/>
          <w:b/>
          <w:color w:val="auto"/>
          <w:kern w:val="0"/>
          <w:sz w:val="24"/>
          <w:highlight w:val="none"/>
          <w:lang w:val="zh-CN" w:bidi="zh-CN"/>
        </w:rPr>
      </w:pPr>
      <w:r>
        <w:rPr>
          <w:rFonts w:hint="eastAsia" w:ascii="仿宋" w:hAnsi="仿宋" w:eastAsia="仿宋" w:cs="仿宋"/>
          <w:b/>
          <w:color w:val="auto"/>
          <w:kern w:val="0"/>
          <w:sz w:val="24"/>
          <w:highlight w:val="none"/>
          <w:lang w:val="zh-CN" w:bidi="zh-CN"/>
        </w:rPr>
        <w:t xml:space="preserve">日期： </w:t>
      </w:r>
      <w:r>
        <w:rPr>
          <w:rFonts w:hint="eastAsia" w:ascii="仿宋" w:hAnsi="仿宋" w:eastAsia="仿宋" w:cs="仿宋"/>
          <w:b/>
          <w:color w:val="auto"/>
          <w:kern w:val="0"/>
          <w:sz w:val="24"/>
          <w:highlight w:val="none"/>
          <w:u w:val="single"/>
          <w:lang w:val="zh-CN" w:bidi="zh-CN"/>
        </w:rPr>
        <w:t xml:space="preserve">    </w:t>
      </w:r>
      <w:r>
        <w:rPr>
          <w:rFonts w:hint="eastAsia" w:ascii="仿宋" w:hAnsi="仿宋" w:eastAsia="仿宋" w:cs="仿宋"/>
          <w:b/>
          <w:color w:val="auto"/>
          <w:kern w:val="0"/>
          <w:sz w:val="24"/>
          <w:highlight w:val="none"/>
          <w:u w:val="single"/>
          <w:lang w:bidi="zh-CN"/>
        </w:rPr>
        <w:t xml:space="preserve"> </w:t>
      </w:r>
      <w:r>
        <w:rPr>
          <w:rFonts w:hint="eastAsia" w:ascii="仿宋" w:hAnsi="仿宋" w:eastAsia="仿宋" w:cs="仿宋"/>
          <w:b/>
          <w:color w:val="auto"/>
          <w:kern w:val="0"/>
          <w:sz w:val="24"/>
          <w:highlight w:val="none"/>
          <w:lang w:val="zh-CN" w:bidi="zh-CN"/>
        </w:rPr>
        <w:t>年</w:t>
      </w:r>
      <w:r>
        <w:rPr>
          <w:rFonts w:hint="eastAsia" w:ascii="仿宋" w:hAnsi="仿宋" w:eastAsia="仿宋" w:cs="仿宋"/>
          <w:b/>
          <w:color w:val="auto"/>
          <w:kern w:val="0"/>
          <w:sz w:val="24"/>
          <w:highlight w:val="none"/>
          <w:u w:val="single"/>
          <w:lang w:val="zh-CN" w:bidi="zh-CN"/>
        </w:rPr>
        <w:t xml:space="preserve">    </w:t>
      </w:r>
      <w:r>
        <w:rPr>
          <w:rFonts w:hint="eastAsia" w:ascii="仿宋" w:hAnsi="仿宋" w:eastAsia="仿宋" w:cs="仿宋"/>
          <w:b/>
          <w:color w:val="auto"/>
          <w:kern w:val="0"/>
          <w:sz w:val="24"/>
          <w:highlight w:val="none"/>
          <w:lang w:val="zh-CN" w:bidi="zh-CN"/>
        </w:rPr>
        <w:t>月</w:t>
      </w:r>
      <w:r>
        <w:rPr>
          <w:rFonts w:hint="eastAsia" w:ascii="仿宋" w:hAnsi="仿宋" w:eastAsia="仿宋" w:cs="仿宋"/>
          <w:b/>
          <w:color w:val="auto"/>
          <w:kern w:val="0"/>
          <w:sz w:val="24"/>
          <w:highlight w:val="none"/>
          <w:u w:val="single"/>
          <w:lang w:val="zh-CN" w:bidi="zh-CN"/>
        </w:rPr>
        <w:t xml:space="preserve">     </w:t>
      </w:r>
      <w:r>
        <w:rPr>
          <w:rFonts w:hint="eastAsia" w:ascii="仿宋" w:hAnsi="仿宋" w:eastAsia="仿宋" w:cs="仿宋"/>
          <w:b/>
          <w:color w:val="auto"/>
          <w:kern w:val="0"/>
          <w:sz w:val="24"/>
          <w:highlight w:val="none"/>
          <w:lang w:val="zh-CN" w:bidi="zh-CN"/>
        </w:rPr>
        <w:t>日</w:t>
      </w:r>
    </w:p>
    <w:p w14:paraId="53133F37">
      <w:pPr>
        <w:rPr>
          <w:rFonts w:hint="eastAsia" w:ascii="仿宋" w:hAnsi="仿宋" w:eastAsia="仿宋" w:cs="仿宋"/>
          <w:color w:val="auto"/>
          <w:highlight w:val="none"/>
        </w:rPr>
      </w:pPr>
    </w:p>
    <w:p w14:paraId="5AF3AAE5">
      <w:pPr>
        <w:rPr>
          <w:rFonts w:hint="eastAsia" w:ascii="仿宋" w:hAnsi="仿宋" w:eastAsia="仿宋" w:cs="仿宋"/>
          <w:color w:val="auto"/>
          <w:highlight w:val="none"/>
        </w:rPr>
      </w:pPr>
    </w:p>
    <w:p w14:paraId="472596B9">
      <w:pPr>
        <w:rPr>
          <w:rFonts w:hint="eastAsia" w:ascii="仿宋" w:hAnsi="仿宋" w:eastAsia="仿宋" w:cs="仿宋"/>
          <w:color w:val="auto"/>
          <w:highlight w:val="none"/>
        </w:rPr>
      </w:pPr>
    </w:p>
    <w:p w14:paraId="59107986">
      <w:pPr>
        <w:rPr>
          <w:rFonts w:hint="eastAsia" w:ascii="仿宋" w:hAnsi="仿宋" w:eastAsia="仿宋" w:cs="仿宋"/>
          <w:color w:val="auto"/>
          <w:highlight w:val="none"/>
        </w:rPr>
      </w:pPr>
    </w:p>
    <w:p w14:paraId="098205ED">
      <w:pPr>
        <w:spacing w:line="336" w:lineRule="auto"/>
        <w:rPr>
          <w:rFonts w:hint="eastAsia" w:ascii="仿宋" w:hAnsi="仿宋" w:eastAsia="仿宋" w:cs="仿宋"/>
          <w:b/>
          <w:color w:val="auto"/>
          <w:sz w:val="28"/>
          <w:highlight w:val="none"/>
        </w:rPr>
      </w:pPr>
      <w:r>
        <w:rPr>
          <w:rFonts w:hint="eastAsia" w:ascii="仿宋" w:hAnsi="仿宋" w:eastAsia="仿宋" w:cs="仿宋"/>
          <w:b/>
          <w:color w:val="auto"/>
          <w:sz w:val="28"/>
          <w:highlight w:val="none"/>
        </w:rPr>
        <w:t>附件资料：</w:t>
      </w:r>
    </w:p>
    <w:p w14:paraId="31C731FC">
      <w:pPr>
        <w:jc w:val="center"/>
        <w:rPr>
          <w:rFonts w:hint="eastAsia"/>
          <w:b/>
          <w:color w:val="auto"/>
          <w:sz w:val="32"/>
        </w:rPr>
      </w:pPr>
      <w:r>
        <w:rPr>
          <w:rFonts w:hint="eastAsia"/>
          <w:b/>
          <w:color w:val="auto"/>
          <w:sz w:val="32"/>
        </w:rPr>
        <w:t>中小企业声明函（货物）</w:t>
      </w:r>
    </w:p>
    <w:p w14:paraId="7436964E">
      <w:pPr>
        <w:ind w:firstLine="480"/>
        <w:rPr>
          <w:rFonts w:hint="eastAsia" w:cs="仿宋"/>
          <w:color w:val="auto"/>
        </w:rPr>
      </w:pPr>
      <w:r>
        <w:rPr>
          <w:rFonts w:cs="仿宋"/>
          <w:color w:val="auto"/>
        </w:rPr>
        <w:t>本公司（联合体）郑重声明，根据《政府采购促进</w:t>
      </w:r>
      <w:r>
        <w:rPr>
          <w:rFonts w:hint="eastAsia" w:cs="仿宋"/>
          <w:color w:val="auto"/>
        </w:rPr>
        <w:t>‘’</w:t>
      </w:r>
      <w:r>
        <w:rPr>
          <w:rFonts w:cs="仿宋"/>
          <w:color w:val="auto"/>
        </w:rPr>
        <w:t>中小 企业发展管理办法》（财库</w:t>
      </w:r>
      <w:r>
        <w:rPr>
          <w:color w:val="auto"/>
        </w:rPr>
        <w:t>﹝</w:t>
      </w:r>
      <w:r>
        <w:rPr>
          <w:rFonts w:cs="仿宋"/>
          <w:color w:val="auto"/>
        </w:rPr>
        <w:t>2020</w:t>
      </w:r>
      <w:r>
        <w:rPr>
          <w:color w:val="auto"/>
        </w:rPr>
        <w:t>﹞</w:t>
      </w:r>
      <w:r>
        <w:rPr>
          <w:rFonts w:cs="仿宋"/>
          <w:color w:val="auto"/>
        </w:rPr>
        <w:t>46 号）的规定，本公司 （联合体）参加</w:t>
      </w:r>
      <w:r>
        <w:rPr>
          <w:rFonts w:cs="仿宋"/>
          <w:i/>
          <w:iCs/>
          <w:color w:val="auto"/>
          <w:u w:val="single"/>
        </w:rPr>
        <w:t>（单位名称）</w:t>
      </w:r>
      <w:r>
        <w:rPr>
          <w:rFonts w:cs="仿宋"/>
          <w:color w:val="auto"/>
        </w:rPr>
        <w:t>的</w:t>
      </w:r>
      <w:r>
        <w:rPr>
          <w:rFonts w:cs="仿宋"/>
          <w:i/>
          <w:iCs/>
          <w:color w:val="auto"/>
          <w:u w:val="single"/>
        </w:rPr>
        <w:t>（项目名称）</w:t>
      </w:r>
      <w:r>
        <w:rPr>
          <w:rFonts w:cs="仿宋"/>
          <w:color w:val="auto"/>
        </w:rPr>
        <w:t>采购活动，提 供的货物全部由符合政策要求的中小企业制造。相关企业 （含联合体中的中小企业、签订分包意向协议的中小企业） 的具体情况如下：</w:t>
      </w:r>
    </w:p>
    <w:p w14:paraId="7C091AC6">
      <w:pPr>
        <w:pStyle w:val="9"/>
        <w:adjustRightInd w:val="0"/>
        <w:snapToGrid w:val="0"/>
        <w:ind w:left="0" w:firstLine="480"/>
        <w:rPr>
          <w:rFonts w:hint="eastAsia"/>
          <w:color w:val="auto"/>
        </w:rPr>
      </w:pPr>
      <w:r>
        <w:rPr>
          <w:rFonts w:hint="eastAsia"/>
          <w:color w:val="auto"/>
        </w:rPr>
        <w:t xml:space="preserve">1. </w:t>
      </w:r>
      <w:r>
        <w:rPr>
          <w:rFonts w:hint="eastAsia"/>
          <w:color w:val="auto"/>
          <w:u w:val="single"/>
        </w:rPr>
        <w:t xml:space="preserve">（标的名称） </w:t>
      </w:r>
      <w:r>
        <w:rPr>
          <w:rFonts w:hint="eastAsia"/>
          <w:color w:val="auto"/>
        </w:rPr>
        <w:t>，属于</w:t>
      </w:r>
      <w:r>
        <w:rPr>
          <w:rFonts w:hint="eastAsia"/>
          <w:color w:val="auto"/>
          <w:u w:val="single"/>
        </w:rPr>
        <w:t>（采购文件中明确的所属行业） 行业</w:t>
      </w:r>
      <w:r>
        <w:rPr>
          <w:rFonts w:hint="eastAsia"/>
          <w:color w:val="auto"/>
        </w:rPr>
        <w:t>；制造商为</w:t>
      </w:r>
      <w:r>
        <w:rPr>
          <w:rFonts w:hint="eastAsia"/>
          <w:color w:val="auto"/>
          <w:u w:val="single"/>
        </w:rPr>
        <w:t>（企业名称）</w:t>
      </w:r>
      <w:r>
        <w:rPr>
          <w:rFonts w:hint="eastAsia"/>
          <w:color w:val="auto"/>
        </w:rPr>
        <w:t>，从业人员</w:t>
      </w:r>
      <w:r>
        <w:rPr>
          <w:color w:val="auto"/>
          <w:u w:val="single"/>
        </w:rPr>
        <w:t xml:space="preserve">   </w:t>
      </w:r>
      <w:r>
        <w:rPr>
          <w:rFonts w:hint="eastAsia"/>
          <w:color w:val="auto"/>
        </w:rPr>
        <w:t>人，营业收入为</w:t>
      </w:r>
      <w:r>
        <w:rPr>
          <w:color w:val="auto"/>
          <w:u w:val="single"/>
        </w:rPr>
        <w:t xml:space="preserve">     </w:t>
      </w:r>
      <w:r>
        <w:rPr>
          <w:rFonts w:hint="eastAsia"/>
          <w:color w:val="auto"/>
        </w:rPr>
        <w:t>万元，资产总额为</w:t>
      </w:r>
      <w:r>
        <w:rPr>
          <w:rFonts w:hint="eastAsia"/>
          <w:color w:val="auto"/>
          <w:u w:val="single"/>
        </w:rPr>
        <w:t xml:space="preserve"> </w:t>
      </w:r>
      <w:r>
        <w:rPr>
          <w:color w:val="auto"/>
          <w:u w:val="single"/>
        </w:rPr>
        <w:t xml:space="preserve">      </w:t>
      </w:r>
      <w:r>
        <w:rPr>
          <w:rFonts w:hint="eastAsia"/>
          <w:color w:val="auto"/>
        </w:rPr>
        <w:t>万元，属于</w:t>
      </w:r>
      <w:r>
        <w:rPr>
          <w:rFonts w:hint="eastAsia"/>
          <w:color w:val="auto"/>
          <w:u w:val="single"/>
        </w:rPr>
        <w:t xml:space="preserve"> （中型企业、小型企业、微型企业）</w:t>
      </w:r>
      <w:r>
        <w:rPr>
          <w:rFonts w:hint="eastAsia"/>
          <w:color w:val="auto"/>
        </w:rPr>
        <w:t>；</w:t>
      </w:r>
    </w:p>
    <w:p w14:paraId="02738A98">
      <w:pPr>
        <w:pStyle w:val="9"/>
        <w:adjustRightInd w:val="0"/>
        <w:snapToGrid w:val="0"/>
        <w:ind w:left="0" w:firstLine="480"/>
        <w:rPr>
          <w:rFonts w:hint="eastAsia"/>
          <w:color w:val="auto"/>
        </w:rPr>
      </w:pPr>
    </w:p>
    <w:p w14:paraId="3F89BAF3">
      <w:pPr>
        <w:pStyle w:val="9"/>
        <w:adjustRightInd w:val="0"/>
        <w:snapToGrid w:val="0"/>
        <w:ind w:left="0" w:firstLine="480"/>
        <w:rPr>
          <w:rFonts w:hint="eastAsia"/>
          <w:color w:val="auto"/>
        </w:rPr>
      </w:pPr>
      <w:r>
        <w:rPr>
          <w:rFonts w:hint="eastAsia"/>
          <w:color w:val="auto"/>
        </w:rPr>
        <w:t xml:space="preserve">2. </w:t>
      </w:r>
      <w:r>
        <w:rPr>
          <w:rFonts w:hint="eastAsia"/>
          <w:color w:val="auto"/>
          <w:u w:val="single"/>
        </w:rPr>
        <w:t>（标的名称）</w:t>
      </w:r>
      <w:r>
        <w:rPr>
          <w:rFonts w:hint="eastAsia"/>
          <w:color w:val="auto"/>
        </w:rPr>
        <w:t xml:space="preserve"> ，属于</w:t>
      </w:r>
      <w:r>
        <w:rPr>
          <w:rFonts w:hint="eastAsia"/>
          <w:color w:val="auto"/>
          <w:u w:val="single"/>
        </w:rPr>
        <w:t>（采购文件中明确的所属行业）行业</w:t>
      </w:r>
      <w:r>
        <w:rPr>
          <w:rFonts w:hint="eastAsia"/>
          <w:color w:val="auto"/>
        </w:rPr>
        <w:t>；制造商为</w:t>
      </w:r>
      <w:r>
        <w:rPr>
          <w:rFonts w:hint="eastAsia"/>
          <w:color w:val="auto"/>
          <w:u w:val="single"/>
        </w:rPr>
        <w:t>（企业名称）</w:t>
      </w:r>
      <w:r>
        <w:rPr>
          <w:rFonts w:hint="eastAsia"/>
          <w:color w:val="auto"/>
        </w:rPr>
        <w:t>，从业人员</w:t>
      </w:r>
      <w:r>
        <w:rPr>
          <w:color w:val="auto"/>
          <w:u w:val="single"/>
        </w:rPr>
        <w:t xml:space="preserve">     </w:t>
      </w:r>
      <w:r>
        <w:rPr>
          <w:rFonts w:hint="eastAsia"/>
          <w:color w:val="auto"/>
        </w:rPr>
        <w:t>人，营业收入 为</w:t>
      </w:r>
      <w:r>
        <w:rPr>
          <w:color w:val="auto"/>
          <w:u w:val="single"/>
        </w:rPr>
        <w:t xml:space="preserve">    </w:t>
      </w:r>
      <w:r>
        <w:rPr>
          <w:rFonts w:hint="eastAsia"/>
          <w:color w:val="auto"/>
        </w:rPr>
        <w:t>万元，资产总额为</w:t>
      </w:r>
      <w:r>
        <w:rPr>
          <w:color w:val="auto"/>
          <w:u w:val="single"/>
        </w:rPr>
        <w:t xml:space="preserve">    </w:t>
      </w:r>
      <w:r>
        <w:rPr>
          <w:rFonts w:hint="eastAsia"/>
          <w:color w:val="auto"/>
        </w:rPr>
        <w:t>万元，属于</w:t>
      </w:r>
      <w:r>
        <w:rPr>
          <w:rFonts w:hint="eastAsia"/>
          <w:color w:val="auto"/>
          <w:u w:val="single"/>
        </w:rPr>
        <w:t>（中型企业、小型 企业、微型企业）</w:t>
      </w:r>
      <w:r>
        <w:rPr>
          <w:rFonts w:hint="eastAsia"/>
          <w:color w:val="auto"/>
        </w:rPr>
        <w:t>；</w:t>
      </w:r>
    </w:p>
    <w:p w14:paraId="1140C3CA">
      <w:pPr>
        <w:pStyle w:val="9"/>
        <w:adjustRightInd w:val="0"/>
        <w:snapToGrid w:val="0"/>
        <w:ind w:left="0" w:firstLine="480"/>
        <w:rPr>
          <w:rFonts w:hint="eastAsia"/>
          <w:color w:val="auto"/>
        </w:rPr>
      </w:pPr>
    </w:p>
    <w:p w14:paraId="77A27BF3">
      <w:pPr>
        <w:pStyle w:val="9"/>
        <w:adjustRightInd w:val="0"/>
        <w:snapToGrid w:val="0"/>
        <w:ind w:left="0" w:firstLine="480"/>
        <w:rPr>
          <w:rFonts w:hint="eastAsia"/>
          <w:color w:val="auto"/>
        </w:rPr>
      </w:pPr>
      <w:r>
        <w:rPr>
          <w:rFonts w:hint="eastAsia"/>
          <w:color w:val="auto"/>
        </w:rPr>
        <w:t>……</w:t>
      </w:r>
    </w:p>
    <w:p w14:paraId="75540B66">
      <w:pPr>
        <w:ind w:firstLine="480"/>
        <w:rPr>
          <w:rFonts w:hint="eastAsia"/>
          <w:color w:val="auto"/>
        </w:rPr>
      </w:pPr>
      <w:r>
        <w:rPr>
          <w:rFonts w:cs="仿宋"/>
          <w:color w:val="auto"/>
        </w:rPr>
        <w:t>以上企业，不属于大企业的分支机构，不存在控股股东 为大企业的情形，也不存在与大企业的负责人为同一人的情 形。</w:t>
      </w:r>
    </w:p>
    <w:p w14:paraId="07061E0F">
      <w:pPr>
        <w:ind w:firstLine="480"/>
        <w:rPr>
          <w:rFonts w:hint="eastAsia"/>
          <w:color w:val="auto"/>
        </w:rPr>
      </w:pPr>
      <w:r>
        <w:rPr>
          <w:rFonts w:cs="仿宋"/>
          <w:color w:val="auto"/>
        </w:rPr>
        <w:t>本企业对上述声明内容的真实性负责。如有虚假，将依 法承担相应责任。</w:t>
      </w:r>
    </w:p>
    <w:p w14:paraId="752FAB19">
      <w:pPr>
        <w:ind w:firstLine="480"/>
        <w:rPr>
          <w:rFonts w:hint="eastAsia" w:cs="仿宋"/>
          <w:color w:val="auto"/>
        </w:rPr>
      </w:pPr>
    </w:p>
    <w:p w14:paraId="4B87FE32">
      <w:pPr>
        <w:ind w:firstLine="480"/>
        <w:rPr>
          <w:rFonts w:hint="eastAsia"/>
          <w:color w:val="auto"/>
        </w:rPr>
      </w:pPr>
      <w:r>
        <w:rPr>
          <w:rFonts w:cs="仿宋"/>
          <w:color w:val="auto"/>
        </w:rPr>
        <w:t>企业名称（盖章）： 日期：</w:t>
      </w:r>
    </w:p>
    <w:p w14:paraId="2EC12031">
      <w:pPr>
        <w:ind w:firstLine="480"/>
        <w:rPr>
          <w:rFonts w:hint="eastAsia" w:cs="仿宋"/>
          <w:color w:val="auto"/>
        </w:rPr>
      </w:pPr>
    </w:p>
    <w:p w14:paraId="525C98F8">
      <w:pPr>
        <w:ind w:firstLine="480"/>
        <w:rPr>
          <w:rFonts w:hint="eastAsia" w:cs="仿宋"/>
          <w:color w:val="auto"/>
        </w:rPr>
      </w:pPr>
    </w:p>
    <w:p w14:paraId="39217DA1">
      <w:pPr>
        <w:rPr>
          <w:rFonts w:hint="eastAsia" w:ascii="仿宋" w:hAnsi="仿宋" w:eastAsia="仿宋" w:cs="仿宋"/>
          <w:color w:val="auto"/>
          <w:sz w:val="21"/>
          <w:szCs w:val="21"/>
          <w:highlight w:val="none"/>
        </w:rPr>
      </w:pPr>
      <w:r>
        <w:rPr>
          <w:color w:val="auto"/>
        </w:rPr>
        <w:t>从业人员、营业收入、资产总额填报上一年度数据，无上一年度数据的新成立企业可不填报。</w:t>
      </w:r>
      <w:r>
        <w:rPr>
          <w:rFonts w:hint="eastAsia" w:ascii="仿宋" w:hAnsi="仿宋" w:eastAsia="仿宋" w:cs="仿宋"/>
          <w:color w:val="auto"/>
          <w:sz w:val="21"/>
          <w:szCs w:val="21"/>
          <w:highlight w:val="none"/>
        </w:rPr>
        <w:t xml:space="preserve"> </w:t>
      </w:r>
    </w:p>
    <w:p w14:paraId="172B9CAF">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14:paraId="23E8F9B6">
      <w:pPr>
        <w:rPr>
          <w:rStyle w:val="23"/>
          <w:rFonts w:hint="eastAsia" w:ascii="仿宋" w:hAnsi="仿宋" w:eastAsia="仿宋" w:cs="仿宋"/>
          <w:color w:val="auto"/>
          <w:sz w:val="21"/>
          <w:szCs w:val="21"/>
          <w:highlight w:val="none"/>
        </w:rPr>
      </w:pPr>
      <w:r>
        <w:rPr>
          <w:rStyle w:val="23"/>
          <w:rFonts w:hint="eastAsia" w:ascii="仿宋" w:hAnsi="仿宋" w:eastAsia="仿宋" w:cs="仿宋"/>
          <w:color w:val="auto"/>
          <w:sz w:val="21"/>
          <w:szCs w:val="21"/>
          <w:highlight w:val="none"/>
        </w:rPr>
        <w:t>关于印发中小企业划型标准规定的通知</w:t>
      </w:r>
    </w:p>
    <w:p w14:paraId="2AFF6793">
      <w:pPr>
        <w:pStyle w:val="16"/>
        <w:spacing w:before="0" w:beforeAutospacing="0" w:after="0" w:afterAutospacing="0"/>
        <w:ind w:firstLine="60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工信部联企业〔2011〕300号</w:t>
      </w:r>
    </w:p>
    <w:p w14:paraId="1D56B333">
      <w:pPr>
        <w:pStyle w:val="16"/>
        <w:spacing w:before="0" w:beforeAutospacing="0" w:after="0" w:afterAutospacing="0"/>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各省、自治区、直辖市人民政府，国务院各部委、各直属机构及有关单位：</w:t>
      </w:r>
    </w:p>
    <w:p w14:paraId="463D2163">
      <w:pPr>
        <w:pStyle w:val="16"/>
        <w:spacing w:before="0" w:beforeAutospacing="0" w:after="0" w:afterAutospacing="0"/>
        <w:ind w:firstLine="48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09750D6">
      <w:pPr>
        <w:pStyle w:val="16"/>
        <w:spacing w:before="0" w:beforeAutospacing="0" w:after="0" w:afterAutospacing="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工业和信息化部　国家统计局</w:t>
      </w:r>
    </w:p>
    <w:p w14:paraId="7ED7E222">
      <w:pPr>
        <w:pStyle w:val="16"/>
        <w:spacing w:before="0" w:beforeAutospacing="0" w:after="0" w:afterAutospacing="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国家发展和改革委员会　财政部</w:t>
      </w:r>
    </w:p>
    <w:p w14:paraId="278B2DC3">
      <w:pPr>
        <w:pStyle w:val="16"/>
        <w:spacing w:before="0" w:beforeAutospacing="0" w:after="0" w:afterAutospacing="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二○一一年六月十八日</w:t>
      </w:r>
    </w:p>
    <w:p w14:paraId="49FABCDD">
      <w:pPr>
        <w:pStyle w:val="16"/>
        <w:spacing w:before="0" w:beforeAutospacing="0" w:after="0" w:afterAutospacing="0"/>
        <w:jc w:val="center"/>
        <w:rPr>
          <w:rFonts w:hint="eastAsia" w:ascii="仿宋" w:hAnsi="仿宋" w:eastAsia="仿宋" w:cs="仿宋"/>
          <w:color w:val="auto"/>
          <w:sz w:val="21"/>
          <w:szCs w:val="21"/>
          <w:highlight w:val="none"/>
        </w:rPr>
      </w:pPr>
      <w:r>
        <w:rPr>
          <w:rStyle w:val="23"/>
          <w:rFonts w:hint="eastAsia" w:ascii="仿宋" w:hAnsi="仿宋" w:eastAsia="仿宋" w:cs="仿宋"/>
          <w:color w:val="auto"/>
          <w:sz w:val="21"/>
          <w:szCs w:val="21"/>
          <w:highlight w:val="none"/>
        </w:rPr>
        <w:t>中小企业划型标准规定</w:t>
      </w:r>
    </w:p>
    <w:p w14:paraId="29F643D9">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一、根据《中华人民共和国中小企业促进法》和《国务院关于进一步促进中小企业发展的若干意见》(国发〔2009〕36号)，制定本规定。</w:t>
      </w:r>
    </w:p>
    <w:p w14:paraId="736527BC">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二、中小企业划分为中型、小型、微型三种类型，具体标准根据企业从业人员、营业收入、资产总额等指标，结合行业特点制定。</w:t>
      </w:r>
    </w:p>
    <w:p w14:paraId="68450E15">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9845639">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四、各行业划型标准为：</w:t>
      </w:r>
    </w:p>
    <w:p w14:paraId="392AAE01">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7DE0FEED">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F0651D4">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E5B5BA0">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1343BBF">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86B9A3F">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2C635A">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FFD2F5">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E26A82">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47A0830">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C35E154">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256844B">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90DDE07">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3C4D95">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CE6B61E">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4F16319">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20DB6F65">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五、企业类型的划分以统计部门的统计数据为依据。</w:t>
      </w:r>
    </w:p>
    <w:p w14:paraId="3E454B9D">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六、本规定适用于在中华人民共和国境内依法设立的各类所有制和各种组织形式的企业。个体工商户和本规定以外的行业，参照本规定进行划型。</w:t>
      </w:r>
    </w:p>
    <w:p w14:paraId="27706066">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937A469">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八、本规定由工业和信息化部、国家统计局会同有关部门根据《国民经济行业分类》修订情况和企业发展变化情况适时修订。</w:t>
      </w:r>
    </w:p>
    <w:p w14:paraId="063E2116">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九、本规定由工业和信息化部、国家统计局会同有关部门负责解释。</w:t>
      </w:r>
    </w:p>
    <w:p w14:paraId="36FEB539">
      <w:pPr>
        <w:pStyle w:val="16"/>
        <w:spacing w:before="0" w:beforeAutospacing="0" w:after="0" w:afterAutospacing="0"/>
        <w:ind w:firstLine="367" w:firstLineChars="175"/>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十、本规定自发布之日起执行，原国家经贸委、原国家计委、财政部和国家统计局2003年颁布的《中小企业标准暂行规定》同时废止。</w:t>
      </w:r>
    </w:p>
    <w:p w14:paraId="30B0560A">
      <w:pPr>
        <w:jc w:val="center"/>
        <w:rPr>
          <w:rFonts w:hint="eastAsia" w:ascii="仿宋" w:hAnsi="仿宋" w:eastAsia="仿宋" w:cs="仿宋"/>
          <w:b/>
          <w:color w:val="auto"/>
          <w:szCs w:val="21"/>
          <w:highlight w:val="none"/>
        </w:rPr>
      </w:pPr>
      <w:bookmarkStart w:id="8" w:name="_Toc503336056"/>
      <w:bookmarkStart w:id="9" w:name="_Toc444702747"/>
      <w:r>
        <w:rPr>
          <w:rFonts w:hint="eastAsia" w:ascii="仿宋" w:hAnsi="仿宋" w:eastAsia="仿宋" w:cs="仿宋"/>
          <w:b/>
          <w:color w:val="auto"/>
          <w:szCs w:val="21"/>
          <w:highlight w:val="none"/>
        </w:rPr>
        <w:br w:type="page"/>
      </w:r>
      <w:r>
        <w:rPr>
          <w:rFonts w:hint="eastAsia" w:ascii="仿宋" w:hAnsi="仿宋" w:eastAsia="仿宋" w:cs="仿宋"/>
          <w:b/>
          <w:color w:val="auto"/>
          <w:szCs w:val="21"/>
          <w:highlight w:val="none"/>
        </w:rPr>
        <w:t>监狱、戒毒企业声明函</w:t>
      </w:r>
      <w:bookmarkEnd w:id="8"/>
      <w:bookmarkEnd w:id="9"/>
    </w:p>
    <w:p w14:paraId="6187A352">
      <w:pPr>
        <w:pStyle w:val="6"/>
        <w:jc w:val="center"/>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（如为监狱、戒毒企业，须提供声明函）</w:t>
      </w:r>
    </w:p>
    <w:p w14:paraId="12E1E455">
      <w:pPr>
        <w:pStyle w:val="38"/>
        <w:widowControl w:val="0"/>
        <w:ind w:firstLine="389" w:firstLineChars="177"/>
        <w:rPr>
          <w:rFonts w:hint="eastAsia" w:ascii="仿宋" w:hAnsi="仿宋" w:eastAsia="仿宋" w:cs="仿宋"/>
          <w:color w:val="auto"/>
          <w:kern w:val="2"/>
          <w:highlight w:val="none"/>
        </w:rPr>
      </w:pPr>
      <w:r>
        <w:rPr>
          <w:rFonts w:hint="eastAsia" w:ascii="仿宋" w:hAnsi="仿宋" w:eastAsia="仿宋" w:cs="仿宋"/>
          <w:color w:val="auto"/>
          <w:kern w:val="2"/>
          <w:highlight w:val="none"/>
        </w:rPr>
        <w:t>本公司为______（请填写：监狱、戒毒）企业。即，本公司同时满足以下条件：</w:t>
      </w:r>
    </w:p>
    <w:p w14:paraId="308A743F">
      <w:pPr>
        <w:pStyle w:val="38"/>
        <w:widowControl w:val="0"/>
        <w:ind w:firstLine="389" w:firstLineChars="177"/>
        <w:rPr>
          <w:rFonts w:hint="eastAsia" w:ascii="仿宋" w:hAnsi="仿宋" w:eastAsia="仿宋" w:cs="仿宋"/>
          <w:color w:val="auto"/>
          <w:kern w:val="2"/>
          <w:highlight w:val="none"/>
        </w:rPr>
      </w:pPr>
      <w:r>
        <w:rPr>
          <w:rFonts w:hint="eastAsia" w:ascii="仿宋" w:hAnsi="仿宋" w:eastAsia="仿宋" w:cs="仿宋"/>
          <w:color w:val="auto"/>
          <w:kern w:val="2"/>
          <w:highlight w:val="none"/>
        </w:rPr>
        <w:t>1.本公司为______（请填写：监狱、戒毒）企业。</w:t>
      </w:r>
    </w:p>
    <w:p w14:paraId="55528FEE">
      <w:pPr>
        <w:pStyle w:val="38"/>
        <w:widowControl w:val="0"/>
        <w:ind w:firstLine="389" w:firstLineChars="177"/>
        <w:rPr>
          <w:rFonts w:hint="eastAsia" w:ascii="仿宋" w:hAnsi="仿宋" w:eastAsia="仿宋" w:cs="仿宋"/>
          <w:color w:val="auto"/>
          <w:kern w:val="2"/>
          <w:highlight w:val="none"/>
        </w:rPr>
      </w:pPr>
      <w:r>
        <w:rPr>
          <w:rFonts w:hint="eastAsia" w:ascii="仿宋" w:hAnsi="仿宋" w:eastAsia="仿宋" w:cs="仿宋"/>
          <w:color w:val="auto"/>
          <w:kern w:val="2"/>
          <w:highlight w:val="none"/>
        </w:rPr>
        <w:t>2.本公司参加______单位的______项目采购活动提供本企业制造的货物，由本企业承担工程、提供服务，或者提供其他______（请填写：监狱、戒毒）企业制造的货物。</w:t>
      </w:r>
    </w:p>
    <w:p w14:paraId="159D7F9E">
      <w:pPr>
        <w:pStyle w:val="38"/>
        <w:widowControl w:val="0"/>
        <w:ind w:firstLine="389" w:firstLineChars="177"/>
        <w:rPr>
          <w:rFonts w:hint="eastAsia" w:ascii="仿宋" w:hAnsi="仿宋" w:eastAsia="仿宋" w:cs="仿宋"/>
          <w:color w:val="auto"/>
          <w:kern w:val="2"/>
          <w:highlight w:val="none"/>
        </w:rPr>
      </w:pPr>
      <w:r>
        <w:rPr>
          <w:rFonts w:hint="eastAsia" w:ascii="仿宋" w:hAnsi="仿宋" w:eastAsia="仿宋" w:cs="仿宋"/>
          <w:color w:val="auto"/>
          <w:kern w:val="2"/>
          <w:highlight w:val="none"/>
        </w:rPr>
        <w:t>本公司对上述声明的真实性负责。如有虚假，将依法承担相应责任。</w:t>
      </w:r>
    </w:p>
    <w:p w14:paraId="351B470E">
      <w:pPr>
        <w:ind w:firstLine="152"/>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企业名称（盖章）：</w:t>
      </w:r>
    </w:p>
    <w:p w14:paraId="74D095BB">
      <w:pPr>
        <w:ind w:firstLine="426"/>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p w14:paraId="359D537E">
      <w:pPr>
        <w:pStyle w:val="38"/>
        <w:widowControl w:val="0"/>
        <w:ind w:firstLine="391" w:firstLineChars="177"/>
        <w:rPr>
          <w:rFonts w:hint="eastAsia" w:ascii="仿宋" w:hAnsi="仿宋" w:eastAsia="仿宋" w:cs="仿宋"/>
          <w:b/>
          <w:color w:val="auto"/>
          <w:kern w:val="2"/>
          <w:highlight w:val="none"/>
        </w:rPr>
      </w:pPr>
    </w:p>
    <w:p w14:paraId="118062C0">
      <w:pPr>
        <w:pStyle w:val="38"/>
        <w:widowControl w:val="0"/>
        <w:ind w:firstLine="391" w:firstLineChars="177"/>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注：</w:t>
      </w:r>
    </w:p>
    <w:p w14:paraId="60696972">
      <w:pPr>
        <w:pStyle w:val="38"/>
        <w:widowControl w:val="0"/>
        <w:ind w:firstLine="391" w:firstLineChars="177"/>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(1)不符合上述情形的供应商无须提供上述声明函件。</w:t>
      </w:r>
    </w:p>
    <w:p w14:paraId="7CDC2881">
      <w:pPr>
        <w:pStyle w:val="38"/>
        <w:widowControl w:val="0"/>
        <w:ind w:firstLine="391" w:firstLineChars="177"/>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(2)提供市监狱管理局、市教育矫治局出具的监狱企业的证明文件。</w:t>
      </w:r>
    </w:p>
    <w:p w14:paraId="13AD6F0B">
      <w:pPr>
        <w:pStyle w:val="38"/>
        <w:widowControl w:val="0"/>
        <w:ind w:firstLine="391" w:firstLineChars="177"/>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(3)在政府采购活动中，监狱、戒毒企业视同小型、微型企业，享受预留份额、评审中价格扣除等政府采购促进中小企业发展的相关政策。向监狱、戒毒企业采购的金额，计入面向中小企业采购的统计数据。</w:t>
      </w:r>
    </w:p>
    <w:p w14:paraId="6695DBB1">
      <w:pPr>
        <w:ind w:firstLine="444" w:firstLineChars="201"/>
        <w:rPr>
          <w:rFonts w:hint="eastAsia" w:ascii="仿宋" w:hAnsi="仿宋" w:eastAsia="仿宋" w:cs="仿宋"/>
          <w:b/>
          <w:color w:val="auto"/>
          <w:szCs w:val="21"/>
          <w:highlight w:val="none"/>
        </w:rPr>
      </w:pPr>
    </w:p>
    <w:p w14:paraId="75959DE3">
      <w:pPr>
        <w:jc w:val="center"/>
        <w:rPr>
          <w:rFonts w:hint="eastAsia" w:ascii="仿宋" w:hAnsi="仿宋" w:eastAsia="仿宋" w:cs="仿宋"/>
          <w:color w:val="auto"/>
          <w:szCs w:val="21"/>
          <w:highlight w:val="none"/>
        </w:rPr>
      </w:pPr>
    </w:p>
    <w:p w14:paraId="5A556E18">
      <w:pPr>
        <w:ind w:firstLine="330" w:firstLineChars="150"/>
        <w:rPr>
          <w:rFonts w:hint="eastAsia" w:ascii="仿宋" w:hAnsi="仿宋" w:eastAsia="仿宋" w:cs="仿宋"/>
          <w:color w:val="auto"/>
          <w:szCs w:val="21"/>
          <w:highlight w:val="none"/>
        </w:rPr>
        <w:sectPr>
          <w:footerReference r:id="rId10" w:type="default"/>
          <w:pgSz w:w="11907" w:h="16840"/>
          <w:pgMar w:top="1440" w:right="1080" w:bottom="1440" w:left="1080" w:header="851" w:footer="851" w:gutter="0"/>
          <w:cols w:space="720" w:num="1"/>
          <w:docGrid w:type="lines" w:linePitch="462" w:charSpace="0"/>
        </w:sectPr>
      </w:pPr>
    </w:p>
    <w:p w14:paraId="02D3173F">
      <w:pPr>
        <w:jc w:val="center"/>
        <w:rPr>
          <w:rFonts w:hint="eastAsia" w:ascii="仿宋" w:hAnsi="仿宋" w:eastAsia="仿宋" w:cs="仿宋"/>
          <w:b/>
          <w:color w:val="auto"/>
          <w:szCs w:val="21"/>
          <w:highlight w:val="none"/>
        </w:rPr>
      </w:pPr>
      <w:bookmarkStart w:id="10" w:name="_Toc503336057"/>
      <w:r>
        <w:rPr>
          <w:rFonts w:hint="eastAsia" w:ascii="仿宋" w:hAnsi="仿宋" w:eastAsia="仿宋" w:cs="仿宋"/>
          <w:b/>
          <w:color w:val="auto"/>
          <w:szCs w:val="21"/>
          <w:highlight w:val="none"/>
        </w:rPr>
        <w:t>残疾人福利性单位声明函</w:t>
      </w:r>
      <w:bookmarkEnd w:id="10"/>
    </w:p>
    <w:p w14:paraId="3E6EDCD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（如为残疾人福利性单位，须提供声明函）</w:t>
      </w:r>
    </w:p>
    <w:p w14:paraId="2E4FDEC0">
      <w:pPr>
        <w:jc w:val="center"/>
        <w:rPr>
          <w:rFonts w:hint="eastAsia" w:ascii="仿宋" w:hAnsi="仿宋" w:eastAsia="仿宋" w:cs="仿宋"/>
          <w:color w:val="auto"/>
          <w:szCs w:val="21"/>
          <w:highlight w:val="none"/>
        </w:rPr>
      </w:pPr>
    </w:p>
    <w:p w14:paraId="678EA7C3">
      <w:pPr>
        <w:ind w:firstLine="389" w:firstLineChars="177"/>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230A133">
      <w:pPr>
        <w:ind w:firstLine="389" w:firstLineChars="177"/>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本单位对上述声明的真实性负责。如有虚假，将依法承担相应责任。</w:t>
      </w:r>
    </w:p>
    <w:p w14:paraId="0E7E0C7B">
      <w:pPr>
        <w:jc w:val="center"/>
        <w:rPr>
          <w:rFonts w:hint="eastAsia" w:ascii="仿宋" w:hAnsi="仿宋" w:eastAsia="仿宋" w:cs="仿宋"/>
          <w:color w:val="auto"/>
          <w:szCs w:val="21"/>
          <w:highlight w:val="none"/>
        </w:rPr>
      </w:pPr>
    </w:p>
    <w:p w14:paraId="0115482D">
      <w:pPr>
        <w:jc w:val="center"/>
        <w:rPr>
          <w:rFonts w:hint="eastAsia" w:ascii="仿宋" w:hAnsi="仿宋" w:eastAsia="仿宋" w:cs="仿宋"/>
          <w:color w:val="auto"/>
          <w:szCs w:val="21"/>
          <w:highlight w:val="none"/>
        </w:rPr>
      </w:pPr>
    </w:p>
    <w:p w14:paraId="10DBA3F2">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单位名称（盖章）：</w:t>
      </w:r>
    </w:p>
    <w:p w14:paraId="677D2728">
      <w:pPr>
        <w:ind w:firstLine="33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日  期：</w:t>
      </w:r>
    </w:p>
    <w:p w14:paraId="5335DA4F">
      <w:pPr>
        <w:ind w:firstLine="330" w:firstLineChars="150"/>
        <w:rPr>
          <w:rFonts w:hint="eastAsia" w:ascii="仿宋" w:hAnsi="仿宋" w:eastAsia="仿宋" w:cs="仿宋"/>
          <w:color w:val="auto"/>
          <w:szCs w:val="21"/>
          <w:highlight w:val="none"/>
        </w:rPr>
      </w:pPr>
    </w:p>
    <w:p w14:paraId="59388474">
      <w:pPr>
        <w:ind w:firstLine="330" w:firstLineChars="150"/>
        <w:rPr>
          <w:rFonts w:hint="eastAsia" w:ascii="仿宋" w:hAnsi="仿宋" w:eastAsia="仿宋" w:cs="仿宋"/>
          <w:color w:val="auto"/>
          <w:szCs w:val="21"/>
          <w:highlight w:val="none"/>
        </w:rPr>
      </w:pPr>
    </w:p>
    <w:p w14:paraId="6412EB3A">
      <w:pPr>
        <w:pStyle w:val="38"/>
        <w:widowControl w:val="0"/>
        <w:ind w:firstLine="391" w:firstLineChars="177"/>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注：不符合上述情形的供应商无须提供上述声明函件。</w:t>
      </w:r>
    </w:p>
    <w:p w14:paraId="1E2323FF">
      <w:pPr>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br w:type="page"/>
      </w:r>
    </w:p>
    <w:p w14:paraId="69044478">
      <w:pPr>
        <w:pStyle w:val="17"/>
        <w:outlineLvl w:val="9"/>
        <w:rPr>
          <w:rFonts w:ascii="Times New Roman" w:hAnsi="Times New Roman"/>
          <w:color w:val="auto"/>
          <w:sz w:val="30"/>
          <w:szCs w:val="30"/>
        </w:rPr>
      </w:pPr>
      <w:r>
        <w:rPr>
          <w:rFonts w:hint="eastAsia" w:ascii="Times New Roman" w:hAnsi="Times New Roman"/>
          <w:color w:val="auto"/>
          <w:sz w:val="30"/>
          <w:szCs w:val="30"/>
        </w:rPr>
        <w:t>关于符合本国产品标准的声明函</w:t>
      </w:r>
    </w:p>
    <w:p w14:paraId="05058F2C">
      <w:pPr>
        <w:spacing w:line="360" w:lineRule="auto"/>
        <w:rPr>
          <w:rFonts w:hint="eastAsia"/>
          <w:color w:val="auto"/>
          <w:sz w:val="24"/>
        </w:rPr>
      </w:pPr>
    </w:p>
    <w:p w14:paraId="3F2F0101">
      <w:pPr>
        <w:spacing w:line="360" w:lineRule="auto"/>
        <w:ind w:firstLine="440" w:firstLineChars="200"/>
        <w:rPr>
          <w:rFonts w:hint="eastAsia"/>
          <w:color w:val="auto"/>
          <w:szCs w:val="21"/>
        </w:rPr>
      </w:pPr>
      <w:r>
        <w:rPr>
          <w:rFonts w:hint="eastAsia"/>
          <w:color w:val="auto"/>
          <w:szCs w:val="21"/>
        </w:rPr>
        <w:t>本公司（单位）郑重声明，根据《国务院办公厅关于在政府采购中实施本国产品标准及相关政策的通知》（国办发〔2025〕34号）的规定，本公司（单位）提供的以下产品属于本国产品。具体情况如下：</w:t>
      </w:r>
    </w:p>
    <w:p w14:paraId="51F92DE0">
      <w:pPr>
        <w:spacing w:line="360" w:lineRule="auto"/>
        <w:ind w:firstLine="440" w:firstLineChars="200"/>
        <w:rPr>
          <w:rFonts w:hint="eastAsia"/>
          <w:color w:val="auto"/>
          <w:szCs w:val="21"/>
        </w:rPr>
      </w:pPr>
      <w:r>
        <w:rPr>
          <w:rFonts w:hint="eastAsia"/>
          <w:color w:val="auto"/>
          <w:szCs w:val="21"/>
        </w:rPr>
        <w:t>1.</w:t>
      </w:r>
      <w:r>
        <w:rPr>
          <w:rFonts w:hint="eastAsia"/>
          <w:i/>
          <w:color w:val="auto"/>
          <w:szCs w:val="21"/>
          <w:u w:val="single"/>
        </w:rPr>
        <w:t>（产品名称1）</w:t>
      </w:r>
      <w:r>
        <w:rPr>
          <w:rFonts w:hint="eastAsia"/>
          <w:color w:val="auto"/>
          <w:szCs w:val="21"/>
          <w:vertAlign w:val="superscript"/>
        </w:rPr>
        <w:t>1</w:t>
      </w:r>
      <w:r>
        <w:rPr>
          <w:rFonts w:hint="eastAsia"/>
          <w:color w:val="auto"/>
          <w:szCs w:val="21"/>
        </w:rPr>
        <w:t>，生产厂为</w:t>
      </w:r>
      <w:r>
        <w:rPr>
          <w:rFonts w:hint="eastAsia"/>
          <w:i/>
          <w:color w:val="auto"/>
          <w:szCs w:val="21"/>
          <w:u w:val="single"/>
        </w:rPr>
        <w:t>（厂名）</w:t>
      </w:r>
      <w:r>
        <w:rPr>
          <w:rFonts w:hint="eastAsia"/>
          <w:color w:val="auto"/>
          <w:szCs w:val="21"/>
          <w:vertAlign w:val="superscript"/>
        </w:rPr>
        <w:t>2</w:t>
      </w:r>
      <w:r>
        <w:rPr>
          <w:rFonts w:hint="eastAsia"/>
          <w:color w:val="auto"/>
          <w:szCs w:val="21"/>
        </w:rPr>
        <w:t>，厂址为</w:t>
      </w:r>
      <w:r>
        <w:rPr>
          <w:rFonts w:hint="eastAsia"/>
          <w:i/>
          <w:color w:val="auto"/>
          <w:szCs w:val="21"/>
          <w:u w:val="single"/>
        </w:rPr>
        <w:t>（生产厂址）</w:t>
      </w:r>
      <w:r>
        <w:rPr>
          <w:rFonts w:hint="eastAsia"/>
          <w:color w:val="auto"/>
          <w:szCs w:val="21"/>
        </w:rPr>
        <w:t>。</w:t>
      </w:r>
      <w:r>
        <w:rPr>
          <w:rFonts w:hint="eastAsia"/>
          <w:i/>
          <w:color w:val="auto"/>
          <w:szCs w:val="21"/>
          <w:u w:val="single"/>
        </w:rPr>
        <w:t>（产品名称1）</w:t>
      </w:r>
      <w:r>
        <w:rPr>
          <w:rFonts w:hint="eastAsia"/>
          <w:color w:val="auto"/>
          <w:szCs w:val="21"/>
        </w:rPr>
        <w:t>的中国境内生产的组件成本占比≥</w:t>
      </w:r>
      <w:r>
        <w:rPr>
          <w:rFonts w:hint="eastAsia"/>
          <w:i/>
          <w:color w:val="auto"/>
          <w:szCs w:val="21"/>
          <w:u w:val="single"/>
        </w:rPr>
        <w:t>（规定比例）</w:t>
      </w:r>
      <w:r>
        <w:rPr>
          <w:rFonts w:hint="eastAsia"/>
          <w:color w:val="auto"/>
          <w:szCs w:val="21"/>
          <w:vertAlign w:val="superscript"/>
        </w:rPr>
        <w:t>3</w:t>
      </w:r>
      <w:r>
        <w:rPr>
          <w:rFonts w:hint="eastAsia"/>
          <w:color w:val="auto"/>
          <w:szCs w:val="21"/>
        </w:rPr>
        <w:t>。</w:t>
      </w:r>
      <w:r>
        <w:rPr>
          <w:rFonts w:hint="eastAsia"/>
          <w:i/>
          <w:color w:val="auto"/>
          <w:szCs w:val="21"/>
          <w:u w:val="single"/>
        </w:rPr>
        <w:t>（产品名称1）</w:t>
      </w:r>
      <w:r>
        <w:rPr>
          <w:rFonts w:hint="eastAsia"/>
          <w:color w:val="auto"/>
          <w:szCs w:val="21"/>
        </w:rPr>
        <w:t>的</w:t>
      </w:r>
      <w:r>
        <w:rPr>
          <w:rFonts w:hint="eastAsia"/>
          <w:i/>
          <w:color w:val="auto"/>
          <w:szCs w:val="21"/>
          <w:u w:val="single"/>
        </w:rPr>
        <w:t>（关键组件）</w:t>
      </w:r>
      <w:r>
        <w:rPr>
          <w:rFonts w:hint="eastAsia"/>
          <w:color w:val="auto"/>
          <w:szCs w:val="21"/>
          <w:vertAlign w:val="superscript"/>
        </w:rPr>
        <w:t>4</w:t>
      </w:r>
      <w:r>
        <w:rPr>
          <w:rFonts w:hint="eastAsia"/>
          <w:color w:val="auto"/>
          <w:szCs w:val="21"/>
        </w:rPr>
        <w:t>在中国境内生产。</w:t>
      </w:r>
      <w:r>
        <w:rPr>
          <w:rFonts w:hint="eastAsia"/>
          <w:i/>
          <w:color w:val="auto"/>
          <w:szCs w:val="21"/>
          <w:u w:val="single"/>
        </w:rPr>
        <w:t>（产品名称1）</w:t>
      </w:r>
      <w:r>
        <w:rPr>
          <w:rFonts w:hint="eastAsia"/>
          <w:color w:val="auto"/>
          <w:szCs w:val="21"/>
        </w:rPr>
        <w:t>的</w:t>
      </w:r>
      <w:r>
        <w:rPr>
          <w:rFonts w:hint="eastAsia"/>
          <w:i/>
          <w:color w:val="auto"/>
          <w:szCs w:val="21"/>
          <w:u w:val="single"/>
        </w:rPr>
        <w:t>（关键工序）</w:t>
      </w:r>
      <w:r>
        <w:rPr>
          <w:rFonts w:hint="eastAsia"/>
          <w:color w:val="auto"/>
          <w:szCs w:val="21"/>
          <w:vertAlign w:val="superscript"/>
        </w:rPr>
        <w:t>5</w:t>
      </w:r>
      <w:r>
        <w:rPr>
          <w:rFonts w:hint="eastAsia"/>
          <w:color w:val="auto"/>
          <w:szCs w:val="21"/>
        </w:rPr>
        <w:t>在中国境内完成。</w:t>
      </w:r>
    </w:p>
    <w:p w14:paraId="4D2FF190">
      <w:pPr>
        <w:spacing w:line="360" w:lineRule="auto"/>
        <w:ind w:firstLine="440" w:firstLineChars="200"/>
        <w:rPr>
          <w:rFonts w:hint="eastAsia"/>
          <w:color w:val="auto"/>
          <w:szCs w:val="21"/>
        </w:rPr>
      </w:pPr>
      <w:r>
        <w:rPr>
          <w:rFonts w:hint="eastAsia"/>
          <w:color w:val="auto"/>
          <w:szCs w:val="21"/>
        </w:rPr>
        <w:t>2.</w:t>
      </w:r>
      <w:r>
        <w:rPr>
          <w:rFonts w:hint="eastAsia"/>
          <w:i/>
          <w:color w:val="auto"/>
          <w:szCs w:val="21"/>
          <w:u w:val="single"/>
        </w:rPr>
        <w:t>（产品名称2）</w:t>
      </w:r>
      <w:r>
        <w:rPr>
          <w:rFonts w:hint="eastAsia"/>
          <w:color w:val="auto"/>
          <w:szCs w:val="21"/>
        </w:rPr>
        <w:t>，生产厂为</w:t>
      </w:r>
      <w:r>
        <w:rPr>
          <w:rFonts w:hint="eastAsia"/>
          <w:i/>
          <w:color w:val="auto"/>
          <w:szCs w:val="21"/>
          <w:u w:val="single"/>
        </w:rPr>
        <w:t>（厂名）</w:t>
      </w:r>
      <w:r>
        <w:rPr>
          <w:rFonts w:hint="eastAsia"/>
          <w:color w:val="auto"/>
          <w:szCs w:val="21"/>
        </w:rPr>
        <w:t>，厂址为</w:t>
      </w:r>
      <w:r>
        <w:rPr>
          <w:rFonts w:hint="eastAsia"/>
          <w:i/>
          <w:color w:val="auto"/>
          <w:szCs w:val="21"/>
          <w:u w:val="single"/>
        </w:rPr>
        <w:t>（生产厂址）</w:t>
      </w:r>
      <w:r>
        <w:rPr>
          <w:rFonts w:hint="eastAsia"/>
          <w:color w:val="auto"/>
          <w:szCs w:val="21"/>
        </w:rPr>
        <w:t>。</w:t>
      </w:r>
      <w:r>
        <w:rPr>
          <w:rFonts w:hint="eastAsia"/>
          <w:i/>
          <w:color w:val="auto"/>
          <w:szCs w:val="21"/>
          <w:u w:val="single"/>
        </w:rPr>
        <w:t>（产品名称2）</w:t>
      </w:r>
      <w:r>
        <w:rPr>
          <w:rFonts w:hint="eastAsia"/>
          <w:color w:val="auto"/>
          <w:szCs w:val="21"/>
        </w:rPr>
        <w:t>的中国境内生产的组件成本占比≥</w:t>
      </w:r>
      <w:r>
        <w:rPr>
          <w:rFonts w:hint="eastAsia"/>
          <w:i/>
          <w:color w:val="auto"/>
          <w:szCs w:val="21"/>
          <w:u w:val="single"/>
        </w:rPr>
        <w:t>（规定比例）</w:t>
      </w:r>
      <w:r>
        <w:rPr>
          <w:rFonts w:hint="eastAsia"/>
          <w:color w:val="auto"/>
          <w:szCs w:val="21"/>
        </w:rPr>
        <w:t>。</w:t>
      </w:r>
      <w:r>
        <w:rPr>
          <w:rFonts w:hint="eastAsia"/>
          <w:i/>
          <w:color w:val="auto"/>
          <w:szCs w:val="21"/>
          <w:u w:val="single"/>
        </w:rPr>
        <w:t>（产品名称2）</w:t>
      </w:r>
      <w:r>
        <w:rPr>
          <w:rFonts w:hint="eastAsia"/>
          <w:color w:val="auto"/>
          <w:szCs w:val="21"/>
        </w:rPr>
        <w:t>的</w:t>
      </w:r>
      <w:r>
        <w:rPr>
          <w:rFonts w:hint="eastAsia"/>
          <w:i/>
          <w:color w:val="auto"/>
          <w:szCs w:val="21"/>
          <w:u w:val="single"/>
        </w:rPr>
        <w:t>（关键组件）</w:t>
      </w:r>
      <w:r>
        <w:rPr>
          <w:rFonts w:hint="eastAsia"/>
          <w:color w:val="auto"/>
          <w:szCs w:val="21"/>
        </w:rPr>
        <w:t>在中国境内生产。</w:t>
      </w:r>
      <w:r>
        <w:rPr>
          <w:rFonts w:hint="eastAsia"/>
          <w:i/>
          <w:color w:val="auto"/>
          <w:szCs w:val="21"/>
          <w:u w:val="single"/>
        </w:rPr>
        <w:t>（产品名称2）</w:t>
      </w:r>
      <w:r>
        <w:rPr>
          <w:rFonts w:hint="eastAsia"/>
          <w:color w:val="auto"/>
          <w:szCs w:val="21"/>
        </w:rPr>
        <w:t>的</w:t>
      </w:r>
      <w:r>
        <w:rPr>
          <w:rFonts w:hint="eastAsia"/>
          <w:i/>
          <w:color w:val="auto"/>
          <w:szCs w:val="21"/>
          <w:u w:val="single"/>
        </w:rPr>
        <w:t>（关键工序）</w:t>
      </w:r>
      <w:r>
        <w:rPr>
          <w:rFonts w:hint="eastAsia"/>
          <w:color w:val="auto"/>
          <w:szCs w:val="21"/>
        </w:rPr>
        <w:t>在中国境内完成。</w:t>
      </w:r>
    </w:p>
    <w:p w14:paraId="55F1A275">
      <w:pPr>
        <w:spacing w:line="360" w:lineRule="auto"/>
        <w:ind w:firstLine="440" w:firstLineChars="200"/>
        <w:rPr>
          <w:rFonts w:hint="eastAsia"/>
          <w:color w:val="auto"/>
          <w:szCs w:val="21"/>
        </w:rPr>
      </w:pPr>
      <w:r>
        <w:rPr>
          <w:rFonts w:hint="eastAsia"/>
          <w:color w:val="auto"/>
          <w:szCs w:val="21"/>
        </w:rPr>
        <w:t>……</w:t>
      </w:r>
    </w:p>
    <w:p w14:paraId="4344C784">
      <w:pPr>
        <w:spacing w:line="360" w:lineRule="auto"/>
        <w:ind w:firstLine="440" w:firstLineChars="200"/>
        <w:rPr>
          <w:rFonts w:hint="eastAsia"/>
          <w:color w:val="auto"/>
          <w:szCs w:val="21"/>
        </w:rPr>
      </w:pPr>
      <w:r>
        <w:rPr>
          <w:rFonts w:hint="eastAsia"/>
          <w:color w:val="auto"/>
          <w:szCs w:val="21"/>
        </w:rPr>
        <w:t>本公司（单位）对上述声明内容的真实性负责。如有虚假，愿承担相应法律责任。</w:t>
      </w:r>
    </w:p>
    <w:p w14:paraId="030C858A">
      <w:pPr>
        <w:spacing w:line="360" w:lineRule="auto"/>
        <w:rPr>
          <w:rFonts w:hint="eastAsia"/>
          <w:color w:val="auto"/>
          <w:szCs w:val="21"/>
        </w:rPr>
      </w:pPr>
    </w:p>
    <w:p w14:paraId="2BB277CF">
      <w:pPr>
        <w:spacing w:line="360" w:lineRule="auto"/>
        <w:rPr>
          <w:rFonts w:hint="eastAsia"/>
          <w:color w:val="auto"/>
          <w:szCs w:val="21"/>
        </w:rPr>
      </w:pPr>
    </w:p>
    <w:p w14:paraId="57AF157D">
      <w:pPr>
        <w:spacing w:line="360" w:lineRule="auto"/>
        <w:ind w:left="2940" w:firstLine="420"/>
        <w:rPr>
          <w:rFonts w:hint="eastAsia"/>
          <w:color w:val="auto"/>
          <w:szCs w:val="21"/>
        </w:rPr>
      </w:pPr>
      <w:r>
        <w:rPr>
          <w:rFonts w:hint="eastAsia"/>
          <w:color w:val="auto"/>
          <w:szCs w:val="21"/>
        </w:rPr>
        <w:t>公司（单位）名称（盖章）：　</w:t>
      </w:r>
      <w:r>
        <w:rPr>
          <w:color w:val="auto"/>
          <w:szCs w:val="21"/>
        </w:rPr>
        <w:t>        </w:t>
      </w:r>
    </w:p>
    <w:p w14:paraId="2F23789D">
      <w:pPr>
        <w:spacing w:line="360" w:lineRule="auto"/>
        <w:ind w:left="2940" w:firstLine="420"/>
        <w:rPr>
          <w:rFonts w:hint="eastAsia"/>
          <w:color w:val="auto"/>
          <w:szCs w:val="21"/>
        </w:rPr>
      </w:pPr>
      <w:r>
        <w:rPr>
          <w:rFonts w:hint="eastAsia"/>
          <w:color w:val="auto"/>
          <w:szCs w:val="21"/>
        </w:rPr>
        <w:t>日期：　</w:t>
      </w:r>
      <w:r>
        <w:rPr>
          <w:color w:val="auto"/>
          <w:szCs w:val="21"/>
        </w:rPr>
        <w:t>     </w:t>
      </w:r>
      <w:r>
        <w:rPr>
          <w:rFonts w:hint="eastAsia"/>
          <w:color w:val="auto"/>
          <w:szCs w:val="21"/>
        </w:rPr>
        <w:t>年　</w:t>
      </w:r>
      <w:r>
        <w:rPr>
          <w:color w:val="auto"/>
          <w:szCs w:val="21"/>
        </w:rPr>
        <w:t>  </w:t>
      </w:r>
      <w:r>
        <w:rPr>
          <w:rFonts w:hint="eastAsia"/>
          <w:color w:val="auto"/>
          <w:szCs w:val="21"/>
        </w:rPr>
        <w:t>月　</w:t>
      </w:r>
      <w:r>
        <w:rPr>
          <w:color w:val="auto"/>
          <w:szCs w:val="21"/>
        </w:rPr>
        <w:t>  </w:t>
      </w:r>
      <w:r>
        <w:rPr>
          <w:rFonts w:hint="eastAsia"/>
          <w:color w:val="auto"/>
          <w:szCs w:val="21"/>
        </w:rPr>
        <w:t xml:space="preserve">日 </w:t>
      </w:r>
      <w:r>
        <w:rPr>
          <w:color w:val="auto"/>
          <w:szCs w:val="21"/>
        </w:rPr>
        <w:t>   </w:t>
      </w:r>
    </w:p>
    <w:p w14:paraId="7AF5288B">
      <w:pPr>
        <w:spacing w:line="360" w:lineRule="auto"/>
        <w:rPr>
          <w:rFonts w:hint="eastAsia"/>
          <w:color w:val="auto"/>
          <w:szCs w:val="21"/>
        </w:rPr>
      </w:pPr>
    </w:p>
    <w:p w14:paraId="4A9DAC1B">
      <w:pPr>
        <w:spacing w:line="360" w:lineRule="auto"/>
        <w:rPr>
          <w:rFonts w:hint="eastAsia"/>
          <w:color w:val="auto"/>
          <w:szCs w:val="21"/>
        </w:rPr>
      </w:pPr>
      <w:r>
        <w:rPr>
          <w:color w:val="auto"/>
          <w:szCs w:val="21"/>
        </w:rPr>
        <w:t>__________________</w:t>
      </w:r>
    </w:p>
    <w:p w14:paraId="57CF6671">
      <w:pPr>
        <w:spacing w:line="360" w:lineRule="auto"/>
        <w:rPr>
          <w:rFonts w:hint="eastAsia"/>
          <w:color w:val="auto"/>
          <w:szCs w:val="21"/>
        </w:rPr>
      </w:pPr>
      <w:r>
        <w:rPr>
          <w:rFonts w:hint="eastAsia"/>
          <w:color w:val="auto"/>
          <w:szCs w:val="21"/>
        </w:rPr>
        <w:t>1.产品如有型号，请在“产品名称”栏一并填写。</w:t>
      </w:r>
    </w:p>
    <w:p w14:paraId="4B29AD7D">
      <w:pPr>
        <w:spacing w:line="360" w:lineRule="auto"/>
        <w:rPr>
          <w:rFonts w:hint="eastAsia"/>
          <w:color w:val="auto"/>
          <w:szCs w:val="21"/>
        </w:rPr>
      </w:pPr>
      <w:r>
        <w:rPr>
          <w:rFonts w:hint="eastAsia"/>
          <w:color w:val="auto"/>
          <w:szCs w:val="21"/>
        </w:rPr>
        <w:t>2.生产厂名与厂址应与生产厂营业执照载明的相关信息保持一致。</w:t>
      </w:r>
    </w:p>
    <w:p w14:paraId="273E5917">
      <w:pPr>
        <w:spacing w:line="360" w:lineRule="auto"/>
        <w:rPr>
          <w:rFonts w:hint="eastAsia"/>
          <w:color w:val="auto"/>
          <w:szCs w:val="21"/>
        </w:rPr>
      </w:pPr>
      <w:r>
        <w:rPr>
          <w:rFonts w:hint="eastAsia"/>
          <w:color w:val="auto"/>
          <w:szCs w:val="21"/>
        </w:rPr>
        <w:t>3.该产品的中国境内生产的组件成本占比相关要求实施前，“规定比例”栏可不填，下同。</w:t>
      </w:r>
    </w:p>
    <w:p w14:paraId="047810E1">
      <w:pPr>
        <w:spacing w:line="360" w:lineRule="auto"/>
        <w:rPr>
          <w:rFonts w:hint="eastAsia"/>
          <w:color w:val="auto"/>
          <w:szCs w:val="21"/>
        </w:rPr>
      </w:pPr>
      <w:r>
        <w:rPr>
          <w:rFonts w:hint="eastAsia"/>
          <w:color w:val="auto"/>
          <w:szCs w:val="21"/>
        </w:rPr>
        <w:t>4.该产品的关键组件要求实施前，“关键组件”栏可不填，下同。</w:t>
      </w:r>
    </w:p>
    <w:p w14:paraId="492CA2D1">
      <w:pPr>
        <w:spacing w:line="360" w:lineRule="auto"/>
        <w:rPr>
          <w:rFonts w:hint="eastAsia"/>
          <w:color w:val="auto"/>
          <w:szCs w:val="21"/>
        </w:rPr>
      </w:pPr>
      <w:r>
        <w:rPr>
          <w:rFonts w:hint="eastAsia"/>
          <w:color w:val="auto"/>
          <w:szCs w:val="21"/>
        </w:rPr>
        <w:t>5.该产品的关键工序要求实施前，“关键工序”栏可不填，下同。</w:t>
      </w:r>
    </w:p>
    <w:p w14:paraId="222B38B6">
      <w:pPr>
        <w:pStyle w:val="38"/>
        <w:widowControl w:val="0"/>
        <w:ind w:firstLine="391" w:firstLineChars="177"/>
        <w:rPr>
          <w:rFonts w:hint="eastAsia" w:ascii="仿宋" w:hAnsi="仿宋" w:eastAsia="仿宋" w:cs="仿宋"/>
          <w:b/>
          <w:color w:val="auto"/>
          <w:kern w:val="2"/>
          <w:highlight w:val="none"/>
        </w:rPr>
      </w:pPr>
    </w:p>
    <w:p w14:paraId="11469591">
      <w:pPr>
        <w:spacing w:line="360" w:lineRule="auto"/>
        <w:rPr>
          <w:rFonts w:hint="eastAsia" w:ascii="仿宋" w:hAnsi="仿宋" w:eastAsia="仿宋" w:cs="仿宋"/>
          <w:b/>
          <w:bCs/>
          <w:color w:val="auto"/>
          <w:sz w:val="44"/>
          <w:szCs w:val="44"/>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44"/>
          <w:szCs w:val="44"/>
          <w:highlight w:val="none"/>
        </w:rPr>
        <w:t>质疑函范本（</w:t>
      </w:r>
      <w:r>
        <w:rPr>
          <w:rFonts w:hint="eastAsia" w:ascii="仿宋" w:hAnsi="仿宋" w:eastAsia="仿宋" w:cs="仿宋"/>
          <w:b/>
          <w:bCs/>
          <w:color w:val="auto"/>
          <w:sz w:val="44"/>
          <w:szCs w:val="44"/>
          <w:highlight w:val="none"/>
          <w:lang w:val="en-US"/>
        </w:rPr>
        <w:t>投标文件中无需提供</w:t>
      </w:r>
      <w:r>
        <w:rPr>
          <w:rFonts w:hint="eastAsia" w:ascii="仿宋" w:hAnsi="仿宋" w:eastAsia="仿宋" w:cs="仿宋"/>
          <w:b/>
          <w:bCs/>
          <w:color w:val="auto"/>
          <w:sz w:val="44"/>
          <w:szCs w:val="44"/>
          <w:highlight w:val="none"/>
        </w:rPr>
        <w:t>）</w:t>
      </w:r>
    </w:p>
    <w:p w14:paraId="52E35D95">
      <w:pPr>
        <w:adjustRightInd w:val="0"/>
        <w:snapToGrid w:val="0"/>
        <w:spacing w:before="240" w:beforeLines="100" w:line="360" w:lineRule="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一、质疑供应商基本信息</w:t>
      </w:r>
    </w:p>
    <w:p w14:paraId="439A9B67">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32D225F7">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4B75F874">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7ACEA938">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5499D37C">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ascii="仿宋" w:hAnsi="仿宋" w:eastAsia="仿宋" w:cs="仿宋"/>
          <w:color w:val="auto"/>
          <w:sz w:val="32"/>
          <w:szCs w:val="32"/>
          <w:highlight w:val="none"/>
        </w:rPr>
        <w:t xml:space="preserve"> </w:t>
      </w:r>
    </w:p>
    <w:p w14:paraId="5E47E6D5">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1E412CEC">
      <w:pPr>
        <w:adjustRightInd w:val="0"/>
        <w:snapToGrid w:val="0"/>
        <w:spacing w:line="360" w:lineRule="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二、质疑项目基本情况</w:t>
      </w:r>
    </w:p>
    <w:p w14:paraId="4FB07020">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p>
    <w:p w14:paraId="17FF256B">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50521362">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p>
    <w:p w14:paraId="56D4510D">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292D8374">
      <w:pPr>
        <w:adjustRightInd w:val="0"/>
        <w:snapToGrid w:val="0"/>
        <w:spacing w:line="360" w:lineRule="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三、质疑事项具体内容</w:t>
      </w:r>
    </w:p>
    <w:p w14:paraId="65F0932A">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2140B608">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062B3FAD">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7C1AF0AF">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22CAD48D">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3FD24C61">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40100665">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3C829D7B">
      <w:pPr>
        <w:adjustRightInd w:val="0"/>
        <w:snapToGrid w:val="0"/>
        <w:spacing w:line="360" w:lineRule="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四、与质疑事项相关的质疑请求</w:t>
      </w:r>
    </w:p>
    <w:p w14:paraId="7638AA8B">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4F13491A">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签字(签章)：                   公章：                      </w:t>
      </w:r>
    </w:p>
    <w:p w14:paraId="0AC4E0DD">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日期：    </w:t>
      </w:r>
    </w:p>
    <w:p w14:paraId="5C81C942">
      <w:pPr>
        <w:adjustRightInd w:val="0"/>
        <w:snapToGrid w:val="0"/>
        <w:spacing w:line="360" w:lineRule="auto"/>
        <w:rPr>
          <w:rFonts w:hint="eastAsia" w:ascii="仿宋" w:hAnsi="仿宋" w:eastAsia="仿宋" w:cs="仿宋"/>
          <w:color w:val="auto"/>
          <w:sz w:val="32"/>
          <w:szCs w:val="32"/>
          <w:highlight w:val="none"/>
        </w:rPr>
      </w:pPr>
    </w:p>
    <w:p w14:paraId="2CE7D5A1">
      <w:pPr>
        <w:adjustRightInd w:val="0"/>
        <w:snapToGrid w:val="0"/>
        <w:spacing w:line="360" w:lineRule="auto"/>
        <w:rPr>
          <w:rFonts w:hint="eastAsia" w:ascii="仿宋" w:hAnsi="仿宋" w:eastAsia="仿宋" w:cs="仿宋"/>
          <w:color w:val="auto"/>
          <w:sz w:val="32"/>
          <w:szCs w:val="32"/>
          <w:highlight w:val="none"/>
        </w:rPr>
      </w:pPr>
    </w:p>
    <w:p w14:paraId="61F0EB4C">
      <w:pPr>
        <w:jc w:val="center"/>
        <w:rPr>
          <w:rFonts w:hint="eastAsia" w:ascii="仿宋" w:hAnsi="仿宋" w:eastAsia="仿宋" w:cs="仿宋"/>
          <w:b/>
          <w:bCs/>
          <w:color w:val="auto"/>
          <w:sz w:val="32"/>
          <w:szCs w:val="32"/>
          <w:highlight w:val="none"/>
        </w:rPr>
      </w:pPr>
    </w:p>
    <w:p w14:paraId="4BC71A04">
      <w:pPr>
        <w:jc w:val="center"/>
        <w:rPr>
          <w:rFonts w:hint="eastAsia" w:ascii="仿宋" w:hAnsi="仿宋" w:eastAsia="仿宋" w:cs="仿宋"/>
          <w:b/>
          <w:bCs/>
          <w:color w:val="auto"/>
          <w:sz w:val="32"/>
          <w:szCs w:val="32"/>
          <w:highlight w:val="none"/>
        </w:rPr>
      </w:pPr>
    </w:p>
    <w:p w14:paraId="77E5C07F">
      <w:pPr>
        <w:rPr>
          <w:rFonts w:hint="eastAsia" w:ascii="仿宋" w:hAnsi="仿宋" w:eastAsia="仿宋" w:cs="仿宋"/>
          <w:b/>
          <w:color w:val="auto"/>
          <w:sz w:val="32"/>
          <w:szCs w:val="32"/>
          <w:highlight w:val="none"/>
        </w:rPr>
      </w:pPr>
    </w:p>
    <w:p w14:paraId="0A80D7F9">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质疑函制作说明：</w:t>
      </w:r>
    </w:p>
    <w:p w14:paraId="34D54D16">
      <w:pPr>
        <w:widowControl/>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1.供应商提出质疑时，应提交质疑函和必要的证明材料。</w:t>
      </w:r>
    </w:p>
    <w:p w14:paraId="1D66CD35">
      <w:pPr>
        <w:widowControl/>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C9B658C">
      <w:pPr>
        <w:widowControl/>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3.质疑供应商若对项目的某一分包进行质疑，质疑函中应列明具体分包号。</w:t>
      </w:r>
    </w:p>
    <w:p w14:paraId="14BDE144">
      <w:pPr>
        <w:widowControl/>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4.质疑函的质疑事项应具体、明确，并有必要的事实依据和法律依据。</w:t>
      </w:r>
    </w:p>
    <w:p w14:paraId="1AAD4E14">
      <w:pPr>
        <w:widowControl/>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5.质疑函的质疑请求应与质疑事项相关。</w:t>
      </w:r>
    </w:p>
    <w:p w14:paraId="5E9C899D">
      <w:pPr>
        <w:widowControl/>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1B7FB049">
      <w:pPr>
        <w:jc w:val="center"/>
        <w:rPr>
          <w:rFonts w:hint="eastAsia" w:ascii="仿宋" w:hAnsi="仿宋" w:eastAsia="仿宋" w:cs="仿宋"/>
          <w:b/>
          <w:color w:val="auto"/>
          <w:sz w:val="44"/>
          <w:szCs w:val="4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44"/>
          <w:szCs w:val="44"/>
          <w:highlight w:val="none"/>
        </w:rPr>
        <w:t>投诉书范本</w:t>
      </w:r>
      <w:r>
        <w:rPr>
          <w:rFonts w:hint="eastAsia" w:ascii="仿宋" w:hAnsi="仿宋" w:eastAsia="仿宋" w:cs="仿宋"/>
          <w:b/>
          <w:bCs/>
          <w:color w:val="auto"/>
          <w:sz w:val="44"/>
          <w:szCs w:val="44"/>
          <w:highlight w:val="none"/>
        </w:rPr>
        <w:t>（</w:t>
      </w:r>
      <w:r>
        <w:rPr>
          <w:rFonts w:hint="eastAsia" w:ascii="仿宋" w:hAnsi="仿宋" w:eastAsia="仿宋" w:cs="仿宋"/>
          <w:b/>
          <w:bCs/>
          <w:color w:val="auto"/>
          <w:sz w:val="44"/>
          <w:szCs w:val="44"/>
          <w:highlight w:val="none"/>
          <w:lang w:val="en-US"/>
        </w:rPr>
        <w:t>投标文件中无需提供</w:t>
      </w:r>
      <w:r>
        <w:rPr>
          <w:rFonts w:hint="eastAsia" w:ascii="仿宋" w:hAnsi="仿宋" w:eastAsia="仿宋" w:cs="仿宋"/>
          <w:b/>
          <w:bCs/>
          <w:color w:val="auto"/>
          <w:sz w:val="44"/>
          <w:szCs w:val="44"/>
          <w:highlight w:val="none"/>
        </w:rPr>
        <w:t>）</w:t>
      </w:r>
    </w:p>
    <w:p w14:paraId="735F1613">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一、投诉相关主体基本情况</w:t>
      </w:r>
    </w:p>
    <w:p w14:paraId="66A7F7FF">
      <w:pPr>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投诉人：</w:t>
      </w:r>
      <w:r>
        <w:rPr>
          <w:rFonts w:hint="eastAsia" w:ascii="仿宋" w:hAnsi="仿宋" w:eastAsia="仿宋" w:cs="仿宋"/>
          <w:color w:val="auto"/>
          <w:sz w:val="32"/>
          <w:szCs w:val="32"/>
          <w:highlight w:val="none"/>
          <w:u w:val="dotted"/>
        </w:rPr>
        <w:t xml:space="preserve">                                               </w:t>
      </w:r>
    </w:p>
    <w:p w14:paraId="49B48FBA">
      <w:pPr>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地     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single"/>
        </w:rPr>
        <w:t xml:space="preserve">   </w:t>
      </w:r>
    </w:p>
    <w:p w14:paraId="6A306B0A">
      <w:pPr>
        <w:tabs>
          <w:tab w:val="left" w:pos="6510"/>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法定代表人/主要负责人：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 xml:space="preserve">  </w:t>
      </w:r>
    </w:p>
    <w:p w14:paraId="1D33CBA0">
      <w:pPr>
        <w:tabs>
          <w:tab w:val="left" w:pos="6510"/>
        </w:tabs>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18989D33">
      <w:pPr>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533F6106">
      <w:pPr>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地     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dotted"/>
        </w:rPr>
        <w:t xml:space="preserve">                   </w:t>
      </w:r>
    </w:p>
    <w:p w14:paraId="1C31ACCD">
      <w:pPr>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被投诉人1：</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single"/>
        </w:rPr>
        <w:t xml:space="preserve">  </w:t>
      </w:r>
    </w:p>
    <w:p w14:paraId="66C6C482">
      <w:pPr>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地     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single"/>
        </w:rPr>
        <w:t xml:space="preserve"> </w:t>
      </w:r>
    </w:p>
    <w:p w14:paraId="69D5367F">
      <w:pPr>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single"/>
        </w:rPr>
        <w:t xml:space="preserve"> </w:t>
      </w:r>
    </w:p>
    <w:p w14:paraId="6A0DC066">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被投诉人2</w:t>
      </w:r>
    </w:p>
    <w:p w14:paraId="00D61560">
      <w:pPr>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w:t>
      </w:r>
    </w:p>
    <w:p w14:paraId="5FEA5F7A">
      <w:pPr>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相关供应商：</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single"/>
        </w:rPr>
        <w:t xml:space="preserve">    </w:t>
      </w:r>
    </w:p>
    <w:p w14:paraId="07354E77">
      <w:pPr>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地     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single"/>
        </w:rPr>
        <w:t xml:space="preserve"> </w:t>
      </w:r>
    </w:p>
    <w:p w14:paraId="231CCAAE">
      <w:pPr>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single"/>
        </w:rPr>
        <w:t xml:space="preserve">      </w:t>
      </w:r>
    </w:p>
    <w:p w14:paraId="6F5E7523">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二、投诉项目基本情况</w:t>
      </w:r>
    </w:p>
    <w:p w14:paraId="519A27BC">
      <w:pPr>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采购项目名称：</w:t>
      </w:r>
      <w:r>
        <w:rPr>
          <w:rFonts w:hint="eastAsia" w:ascii="仿宋" w:hAnsi="仿宋" w:eastAsia="仿宋" w:cs="仿宋"/>
          <w:color w:val="auto"/>
          <w:sz w:val="32"/>
          <w:szCs w:val="32"/>
          <w:highlight w:val="none"/>
          <w:u w:val="dotted"/>
        </w:rPr>
        <w:t xml:space="preserve">                                        </w:t>
      </w:r>
    </w:p>
    <w:p w14:paraId="20F75660">
      <w:pPr>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采购项目编号：</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047E28A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single"/>
        </w:rPr>
        <w:t xml:space="preserve">  </w:t>
      </w:r>
    </w:p>
    <w:p w14:paraId="39D85422">
      <w:pPr>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代理机构名称：</w:t>
      </w:r>
      <w:r>
        <w:rPr>
          <w:rFonts w:hint="eastAsia" w:ascii="仿宋" w:hAnsi="仿宋" w:eastAsia="仿宋" w:cs="仿宋"/>
          <w:color w:val="auto"/>
          <w:sz w:val="32"/>
          <w:szCs w:val="32"/>
          <w:highlight w:val="none"/>
          <w:u w:val="dotted"/>
        </w:rPr>
        <w:t xml:space="preserve">                                         </w:t>
      </w:r>
    </w:p>
    <w:p w14:paraId="272B0643">
      <w:pPr>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采购文件公告:</w:t>
      </w:r>
      <w:r>
        <w:rPr>
          <w:rFonts w:hint="eastAsia" w:ascii="仿宋" w:hAnsi="仿宋" w:eastAsia="仿宋" w:cs="仿宋"/>
          <w:color w:val="auto"/>
          <w:sz w:val="32"/>
          <w:szCs w:val="32"/>
          <w:highlight w:val="none"/>
          <w:u w:val="dotted"/>
        </w:rPr>
        <w:t xml:space="preserve">是/否 </w:t>
      </w:r>
      <w:r>
        <w:rPr>
          <w:rFonts w:hint="eastAsia" w:ascii="仿宋" w:hAnsi="仿宋" w:eastAsia="仿宋" w:cs="仿宋"/>
          <w:color w:val="auto"/>
          <w:sz w:val="32"/>
          <w:szCs w:val="32"/>
          <w:highlight w:val="none"/>
        </w:rPr>
        <w:t>公告期限：</w:t>
      </w:r>
      <w:r>
        <w:rPr>
          <w:rFonts w:hint="eastAsia" w:ascii="仿宋" w:hAnsi="仿宋" w:eastAsia="仿宋" w:cs="仿宋"/>
          <w:color w:val="auto"/>
          <w:sz w:val="32"/>
          <w:szCs w:val="32"/>
          <w:highlight w:val="none"/>
          <w:u w:val="dotted"/>
        </w:rPr>
        <w:t xml:space="preserve">                                 </w:t>
      </w:r>
    </w:p>
    <w:p w14:paraId="7E55A32A">
      <w:pPr>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采购结果公告:</w:t>
      </w:r>
      <w:r>
        <w:rPr>
          <w:rFonts w:hint="eastAsia" w:ascii="仿宋" w:hAnsi="仿宋" w:eastAsia="仿宋" w:cs="仿宋"/>
          <w:color w:val="auto"/>
          <w:sz w:val="32"/>
          <w:szCs w:val="32"/>
          <w:highlight w:val="none"/>
          <w:u w:val="dotted"/>
        </w:rPr>
        <w:t xml:space="preserve">是/否 </w:t>
      </w:r>
      <w:r>
        <w:rPr>
          <w:rFonts w:hint="eastAsia" w:ascii="仿宋" w:hAnsi="仿宋" w:eastAsia="仿宋" w:cs="仿宋"/>
          <w:color w:val="auto"/>
          <w:sz w:val="32"/>
          <w:szCs w:val="32"/>
          <w:highlight w:val="none"/>
        </w:rPr>
        <w:t>公告期限：</w:t>
      </w:r>
      <w:r>
        <w:rPr>
          <w:rFonts w:hint="eastAsia" w:ascii="仿宋" w:hAnsi="仿宋" w:eastAsia="仿宋" w:cs="仿宋"/>
          <w:color w:val="auto"/>
          <w:sz w:val="32"/>
          <w:szCs w:val="32"/>
          <w:highlight w:val="none"/>
          <w:u w:val="dotted"/>
        </w:rPr>
        <w:t xml:space="preserve">                        </w:t>
      </w:r>
    </w:p>
    <w:p w14:paraId="1E38361E">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三、质疑基本情况</w:t>
      </w:r>
    </w:p>
    <w:p w14:paraId="0C16E1B9">
      <w:pPr>
        <w:ind w:firstLine="640" w:firstLineChars="200"/>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投诉人于</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日,向</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提出质疑，质疑事项为：</w:t>
      </w:r>
      <w:r>
        <w:rPr>
          <w:rFonts w:hint="eastAsia" w:ascii="仿宋" w:hAnsi="仿宋" w:eastAsia="仿宋" w:cs="仿宋"/>
          <w:color w:val="auto"/>
          <w:sz w:val="32"/>
          <w:szCs w:val="32"/>
          <w:highlight w:val="none"/>
          <w:u w:val="dotted"/>
        </w:rPr>
        <w:t xml:space="preserve">                                </w:t>
      </w:r>
    </w:p>
    <w:p w14:paraId="12E0AA0D">
      <w:pPr>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 xml:space="preserve">  </w:t>
      </w:r>
    </w:p>
    <w:p w14:paraId="1A8BE9E1">
      <w:pPr>
        <w:ind w:firstLine="480" w:firstLineChars="1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采购人/代理机构</w:t>
      </w:r>
      <w:r>
        <w:rPr>
          <w:rFonts w:hint="eastAsia" w:ascii="仿宋" w:hAnsi="仿宋" w:eastAsia="仿宋" w:cs="仿宋"/>
          <w:color w:val="auto"/>
          <w:sz w:val="32"/>
          <w:szCs w:val="32"/>
          <w:highlight w:val="none"/>
        </w:rPr>
        <w:t>于</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日,就质疑事项作出了答复/没有在法定期限内作出答复。</w:t>
      </w:r>
    </w:p>
    <w:p w14:paraId="0488356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四、投诉事项具体内容</w:t>
      </w:r>
    </w:p>
    <w:p w14:paraId="1718401D">
      <w:pPr>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投诉事项 1：</w:t>
      </w:r>
      <w:r>
        <w:rPr>
          <w:rFonts w:hint="eastAsia" w:ascii="仿宋" w:hAnsi="仿宋" w:eastAsia="仿宋" w:cs="仿宋"/>
          <w:color w:val="auto"/>
          <w:sz w:val="32"/>
          <w:szCs w:val="32"/>
          <w:highlight w:val="none"/>
          <w:u w:val="dotted"/>
        </w:rPr>
        <w:t xml:space="preserve">                                       </w:t>
      </w:r>
    </w:p>
    <w:p w14:paraId="6EBD4B5E">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67A4EA89">
      <w:pPr>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55C3F9C9">
      <w:pPr>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7C30F84F">
      <w:pPr>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44327BE9">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投诉事项2</w:t>
      </w:r>
    </w:p>
    <w:p w14:paraId="61C3EDB2">
      <w:pPr>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w:t>
      </w:r>
    </w:p>
    <w:p w14:paraId="533B6817">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五、与投诉事项相关的投诉请求</w:t>
      </w:r>
    </w:p>
    <w:p w14:paraId="354AD60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 xml:space="preserve"> </w:t>
      </w:r>
    </w:p>
    <w:p w14:paraId="30F4EB2F">
      <w:pPr>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w:t>
      </w:r>
    </w:p>
    <w:p w14:paraId="1F74F17F">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签字(签章)：                   公章：                      </w:t>
      </w:r>
    </w:p>
    <w:p w14:paraId="36D50714">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日期：    </w:t>
      </w:r>
    </w:p>
    <w:p w14:paraId="4725C5DC">
      <w:pPr>
        <w:rPr>
          <w:rFonts w:hint="eastAsia" w:ascii="仿宋" w:hAnsi="仿宋" w:eastAsia="仿宋" w:cs="仿宋"/>
          <w:b/>
          <w:color w:val="auto"/>
          <w:sz w:val="32"/>
          <w:szCs w:val="32"/>
          <w:highlight w:val="none"/>
        </w:rPr>
      </w:pPr>
    </w:p>
    <w:p w14:paraId="64944D51">
      <w:pPr>
        <w:rPr>
          <w:rFonts w:hint="eastAsia" w:ascii="仿宋" w:hAnsi="仿宋" w:eastAsia="仿宋" w:cs="仿宋"/>
          <w:b/>
          <w:color w:val="auto"/>
          <w:sz w:val="32"/>
          <w:szCs w:val="32"/>
          <w:highlight w:val="none"/>
        </w:rPr>
      </w:pPr>
    </w:p>
    <w:p w14:paraId="7E8552B8">
      <w:pPr>
        <w:rPr>
          <w:rFonts w:hint="eastAsia" w:ascii="仿宋" w:hAnsi="仿宋" w:eastAsia="仿宋" w:cs="仿宋"/>
          <w:b/>
          <w:color w:val="auto"/>
          <w:sz w:val="32"/>
          <w:szCs w:val="32"/>
          <w:highlight w:val="none"/>
        </w:rPr>
      </w:pPr>
    </w:p>
    <w:p w14:paraId="343351D1">
      <w:pPr>
        <w:rPr>
          <w:rFonts w:hint="eastAsia" w:ascii="仿宋" w:hAnsi="仿宋" w:eastAsia="仿宋" w:cs="仿宋"/>
          <w:b/>
          <w:color w:val="auto"/>
          <w:sz w:val="32"/>
          <w:szCs w:val="32"/>
          <w:highlight w:val="none"/>
        </w:rPr>
      </w:pPr>
    </w:p>
    <w:p w14:paraId="6690A325">
      <w:pPr>
        <w:rPr>
          <w:rFonts w:hint="eastAsia" w:ascii="仿宋" w:hAnsi="仿宋" w:eastAsia="仿宋" w:cs="仿宋"/>
          <w:b/>
          <w:color w:val="auto"/>
          <w:sz w:val="32"/>
          <w:szCs w:val="32"/>
          <w:highlight w:val="none"/>
        </w:rPr>
      </w:pPr>
    </w:p>
    <w:p w14:paraId="0D2760F3">
      <w:pPr>
        <w:rPr>
          <w:rFonts w:hint="eastAsia" w:ascii="仿宋" w:hAnsi="仿宋" w:eastAsia="仿宋" w:cs="仿宋"/>
          <w:b/>
          <w:color w:val="auto"/>
          <w:sz w:val="32"/>
          <w:szCs w:val="32"/>
          <w:highlight w:val="none"/>
        </w:rPr>
      </w:pPr>
    </w:p>
    <w:p w14:paraId="1DCA5942">
      <w:pPr>
        <w:rPr>
          <w:rFonts w:hint="eastAsia" w:ascii="仿宋" w:hAnsi="仿宋" w:eastAsia="仿宋" w:cs="仿宋"/>
          <w:b/>
          <w:color w:val="auto"/>
          <w:sz w:val="32"/>
          <w:szCs w:val="32"/>
          <w:highlight w:val="none"/>
        </w:rPr>
      </w:pPr>
    </w:p>
    <w:p w14:paraId="484897BF">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投诉书制作说明：</w:t>
      </w:r>
    </w:p>
    <w:p w14:paraId="6FEAA328">
      <w:pPr>
        <w:widowControl/>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1.投诉人提起投诉时，应当提交投诉书和必要的证明材料，并按照被投诉人和与投诉事项有关的供应商数量提供投诉书副本。</w:t>
      </w:r>
    </w:p>
    <w:p w14:paraId="42EA6502">
      <w:pPr>
        <w:widowControl/>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0E1C9AC">
      <w:pPr>
        <w:widowControl/>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3.投诉人若对项目的某一分包进行投诉，投诉书应列明具体分包号。</w:t>
      </w:r>
    </w:p>
    <w:p w14:paraId="3B20C780">
      <w:pPr>
        <w:widowControl/>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4.投诉书应简要列明质疑事项，质疑函、质疑答复等作为附件材料提供。</w:t>
      </w:r>
    </w:p>
    <w:p w14:paraId="1352502C">
      <w:pPr>
        <w:widowControl/>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5.投诉书的投诉事项应具体、明确，并有必要的事实依据和法律依据。</w:t>
      </w:r>
    </w:p>
    <w:p w14:paraId="678BD6EB">
      <w:pPr>
        <w:widowControl/>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6.投诉书的投诉请求应与投诉事项相关。</w:t>
      </w:r>
    </w:p>
    <w:p w14:paraId="1D3045DD">
      <w:pPr>
        <w:widowControl/>
        <w:ind w:firstLine="640" w:firstLineChars="200"/>
        <w:rPr>
          <w:color w:val="auto"/>
          <w:highlight w:val="none"/>
        </w:rPr>
      </w:pPr>
      <w:r>
        <w:rPr>
          <w:rFonts w:hint="eastAsia" w:ascii="仿宋" w:hAnsi="仿宋" w:eastAsia="仿宋" w:cs="仿宋"/>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1B4AE7BA">
      <w:pPr>
        <w:rPr>
          <w:color w:val="auto"/>
          <w:highlight w:val="none"/>
        </w:rPr>
      </w:pPr>
    </w:p>
    <w:sectPr>
      <w:footerReference r:id="rId11" w:type="default"/>
      <w:pgSz w:w="11910" w:h="16840"/>
      <w:pgMar w:top="1420" w:right="1134" w:bottom="1180" w:left="1160" w:header="878"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A5C17">
    <w:pPr>
      <w:pStyle w:val="10"/>
      <w:spacing w:before="0" w:line="14" w:lineRule="auto"/>
      <w:ind w:left="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661E">
    <w:pPr>
      <w:pStyle w:val="10"/>
      <w:spacing w:before="0" w:line="14" w:lineRule="auto"/>
      <w:ind w:left="0"/>
      <w:rPr>
        <w:rFonts w:hint="eastAsia"/>
        <w:sz w:val="20"/>
      </w:rPr>
    </w:pPr>
    <w:r>
      <mc:AlternateContent>
        <mc:Choice Requires="wps">
          <w:drawing>
            <wp:anchor distT="0" distB="0" distL="114300" distR="114300" simplePos="0" relativeHeight="251669504" behindDoc="1" locked="0" layoutInCell="1" allowOverlap="1">
              <wp:simplePos x="0" y="0"/>
              <wp:positionH relativeFrom="page">
                <wp:posOffset>3823970</wp:posOffset>
              </wp:positionH>
              <wp:positionV relativeFrom="page">
                <wp:posOffset>9921240</wp:posOffset>
              </wp:positionV>
              <wp:extent cx="379095" cy="152400"/>
              <wp:effectExtent l="0" t="0" r="0" b="0"/>
              <wp:wrapNone/>
              <wp:docPr id="21" name="文本框 17"/>
              <wp:cNvGraphicFramePr/>
              <a:graphic xmlns:a="http://schemas.openxmlformats.org/drawingml/2006/main">
                <a:graphicData uri="http://schemas.microsoft.com/office/word/2010/wordprocessingShape">
                  <wps:wsp>
                    <wps:cNvSpPr txBox="1"/>
                    <wps:spPr>
                      <a:xfrm>
                        <a:off x="0" y="0"/>
                        <a:ext cx="379095" cy="152400"/>
                      </a:xfrm>
                      <a:prstGeom prst="rect">
                        <a:avLst/>
                      </a:prstGeom>
                      <a:noFill/>
                      <a:ln>
                        <a:noFill/>
                      </a:ln>
                      <a:effectLst/>
                    </wps:spPr>
                    <wps:txbx>
                      <w:txbxContent>
                        <w:p w14:paraId="5FFED627">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w:t>
                          </w:r>
                          <w:r>
                            <w:fldChar w:fldCharType="end"/>
                          </w:r>
                        </w:p>
                      </w:txbxContent>
                    </wps:txbx>
                    <wps:bodyPr wrap="square" lIns="0" tIns="0" rIns="0" bIns="0" upright="1"/>
                  </wps:wsp>
                </a:graphicData>
              </a:graphic>
            </wp:anchor>
          </w:drawing>
        </mc:Choice>
        <mc:Fallback>
          <w:pict>
            <v:shape id="文本框 17" o:spid="_x0000_s1026" o:spt="202" type="#_x0000_t202" style="position:absolute;left:0pt;margin-left:301.1pt;margin-top:781.2pt;height:12pt;width:29.85pt;mso-position-horizontal-relative:page;mso-position-vertical-relative:page;z-index:-251646976;mso-width-relative:page;mso-height-relative:page;" filled="f" stroked="f" coordsize="21600,21600" o:gfxdata="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&#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T/qaA2gAAAA0BAAAPAAAAAAAAAAEAIAAAACIAAABk&#10;cnMvZG93bnJldi54bWxQSwECFAAUAAAACACHTuJAEAXBn8sBAACPAwAADgAAAAAAAAABACAAAAAp&#10;AQAAZHJzL2Uyb0RvYy54bWxQSwUGAAAAAAYABgBZAQAAZgUAAAAA&#10;">
              <v:fill on="f" focussize="0,0"/>
              <v:stroke on="f"/>
              <v:imagedata o:title=""/>
              <o:lock v:ext="edit" aspectratio="f"/>
              <v:textbox inset="0mm,0mm,0mm,0mm">
                <w:txbxContent>
                  <w:p w14:paraId="5FFED627">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507D">
    <w:pPr>
      <w:pStyle w:val="10"/>
      <w:spacing w:before="0" w:line="14" w:lineRule="auto"/>
      <w:ind w:left="0"/>
      <w:rPr>
        <w:rFonts w:hint="eastAsia"/>
        <w:sz w:val="20"/>
      </w:rPr>
    </w:pPr>
    <w:r>
      <mc:AlternateContent>
        <mc:Choice Requires="wps">
          <w:drawing>
            <wp:anchor distT="0" distB="0" distL="114300" distR="114300" simplePos="0" relativeHeight="251665408"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15"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14:paraId="424612CC">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49</w:t>
                          </w:r>
                          <w:r>
                            <w:fldChar w:fldCharType="end"/>
                          </w:r>
                        </w:p>
                      </w:txbxContent>
                    </wps:txbx>
                    <wps:bodyPr wrap="square" lIns="0" tIns="0" rIns="0" bIns="0" upright="1"/>
                  </wps:wsp>
                </a:graphicData>
              </a:graphic>
            </wp:anchor>
          </w:drawing>
        </mc:Choice>
        <mc:Fallback>
          <w:pict>
            <v:shape id="文本框 5" o:spid="_x0000_s1026" o:spt="202" type="#_x0000_t202" style="position:absolute;left:0pt;margin-left:298.8pt;margin-top:781.2pt;height:12pt;width:13.1pt;mso-position-horizontal-relative:page;mso-position-vertical-relative:page;z-index:-251651072;mso-width-relative:page;mso-height-relative:page;" filled="f" stroked="f" coordsize="21600,21600" o:gfxdata="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EuT5y2wAAAA0BAAAPAAAAAAAAAAEAIAAAACIAAABkcnMv&#10;ZG93bnJldi54bWxQSwECFAAUAAAACACHTuJAbCrpEscBAACOAwAADgAAAAAAAAABACAAAAAqAQAA&#10;ZHJzL2Uyb0RvYy54bWxQSwUGAAAAAAYABgBZAQAAYwUAAAAA&#10;">
              <v:fill on="f" focussize="0,0"/>
              <v:stroke on="f"/>
              <v:imagedata o:title=""/>
              <o:lock v:ext="edit" aspectratio="f"/>
              <v:textbox inset="0mm,0mm,0mm,0mm">
                <w:txbxContent>
                  <w:p w14:paraId="424612CC">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19B82">
    <w:pPr>
      <w:pStyle w:val="10"/>
      <w:spacing w:before="0" w:line="14" w:lineRule="auto"/>
      <w:ind w:left="0"/>
      <w:rPr>
        <w:rFonts w:hint="eastAsia"/>
        <w:sz w:val="20"/>
      </w:rPr>
    </w:pPr>
    <w:r>
      <mc:AlternateContent>
        <mc:Choice Requires="wps">
          <w:drawing>
            <wp:anchor distT="0" distB="0" distL="114300" distR="114300" simplePos="0" relativeHeight="251666432"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14:paraId="135729B9">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35</w:t>
                          </w:r>
                          <w:r>
                            <w:fldChar w:fldCharType="end"/>
                          </w:r>
                        </w:p>
                      </w:txbxContent>
                    </wps:txbx>
                    <wps:bodyPr wrap="square" lIns="0" tIns="0" rIns="0" bIns="0" upright="1"/>
                  </wps:wsp>
                </a:graphicData>
              </a:graphic>
            </wp:anchor>
          </w:drawing>
        </mc:Choice>
        <mc:Fallback>
          <w:pict>
            <v:shape id="文本框 5" o:spid="_x0000_s1026" o:spt="202" type="#_x0000_t202" style="position:absolute;left:0pt;margin-left:298.8pt;margin-top:781.2pt;height:12pt;width:13.1pt;mso-position-horizontal-relative:page;mso-position-vertical-relative:page;z-index:-251650048;mso-width-relative:page;mso-height-relative:page;" filled="f" stroked="f" coordsize="21600,21600" o:gfxdata="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Lk+ctsAAAANAQAADwAAAAAAAAABACAAAAAiAAAAZHJz&#10;L2Rvd25yZXYueG1sUEsBAhQAFAAAAAgAh07iQF40MxHIAQAAjgMAAA4AAAAAAAAAAQAgAAAAKgEA&#10;AGRycy9lMm9Eb2MueG1sUEsFBgAAAAAGAAYAWQEAAGQFAAAAAA==&#10;">
              <v:fill on="f" focussize="0,0"/>
              <v:stroke on="f"/>
              <v:imagedata o:title=""/>
              <o:lock v:ext="edit" aspectratio="f"/>
              <v:textbox inset="0mm,0mm,0mm,0mm">
                <w:txbxContent>
                  <w:p w14:paraId="135729B9">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30967">
    <w:pPr>
      <w:pStyle w:val="10"/>
      <w:spacing w:before="0" w:line="14" w:lineRule="auto"/>
      <w:ind w:left="0"/>
      <w:rPr>
        <w:rFonts w:hint="eastAsia"/>
        <w:sz w:val="20"/>
      </w:rPr>
    </w:pPr>
    <w:r>
      <mc:AlternateContent>
        <mc:Choice Requires="wps">
          <w:drawing>
            <wp:anchor distT="0" distB="0" distL="114300" distR="114300" simplePos="0" relativeHeight="251667456"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17" name="文本框 1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14:paraId="4CBFDB58">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wps:txbx>
                    <wps:bodyPr wrap="square" lIns="0" tIns="0" rIns="0" bIns="0" upright="1"/>
                  </wps:wsp>
                </a:graphicData>
              </a:graphic>
            </wp:anchor>
          </w:drawing>
        </mc:Choice>
        <mc:Fallback>
          <w:pict>
            <v:shape id="文本框 11" o:spid="_x0000_s1026" o:spt="202" type="#_x0000_t202" style="position:absolute;left:0pt;margin-left:298.8pt;margin-top:781.2pt;height:12pt;width:13.1pt;mso-position-horizontal-relative:page;mso-position-vertical-relative:page;z-index:-251649024;mso-width-relative:page;mso-height-relative:page;" filled="f" stroked="f" coordsize="21600,21600" o:gfxdata="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Lk+ctsAAAANAQAADwAAAAAAAAABACAAAAAiAAAAZHJz&#10;L2Rvd25yZXYueG1sUEsBAhQAFAAAAAgAh07iQAjcqlTIAQAAjwMAAA4AAAAAAAAAAQAgAAAAKgEA&#10;AGRycy9lMm9Eb2MueG1sUEsFBgAAAAAGAAYAWQEAAGQFAAAAAA==&#10;">
              <v:fill on="f" focussize="0,0"/>
              <v:stroke on="f"/>
              <v:imagedata o:title=""/>
              <o:lock v:ext="edit" aspectratio="f"/>
              <v:textbox inset="0mm,0mm,0mm,0mm">
                <w:txbxContent>
                  <w:p w14:paraId="4CBFDB58">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CBCF">
    <w:pPr>
      <w:pStyle w:val="10"/>
      <w:spacing w:before="0" w:line="14" w:lineRule="auto"/>
      <w:ind w:left="0"/>
      <w:rPr>
        <w:rFonts w:hint="eastAsia"/>
        <w:sz w:val="20"/>
      </w:rPr>
    </w:pPr>
    <w:r>
      <mc:AlternateContent>
        <mc:Choice Requires="wps">
          <w:drawing>
            <wp:anchor distT="0" distB="0" distL="114300" distR="114300" simplePos="0" relativeHeight="251668480" behindDoc="1" locked="0" layoutInCell="1" allowOverlap="1">
              <wp:simplePos x="0" y="0"/>
              <wp:positionH relativeFrom="page">
                <wp:posOffset>3794760</wp:posOffset>
              </wp:positionH>
              <wp:positionV relativeFrom="page">
                <wp:posOffset>9921240</wp:posOffset>
              </wp:positionV>
              <wp:extent cx="280670" cy="152400"/>
              <wp:effectExtent l="0" t="0" r="0" b="0"/>
              <wp:wrapNone/>
              <wp:docPr id="20" name="文本框 1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14:paraId="4A6879BB">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55</w:t>
                          </w:r>
                          <w:r>
                            <w:fldChar w:fldCharType="end"/>
                          </w:r>
                        </w:p>
                      </w:txbxContent>
                    </wps:txbx>
                    <wps:bodyPr vert="horz" wrap="square" lIns="0" tIns="0" rIns="0" bIns="0" anchor="t" anchorCtr="0" upright="1"/>
                  </wps:wsp>
                </a:graphicData>
              </a:graphic>
            </wp:anchor>
          </w:drawing>
        </mc:Choice>
        <mc:Fallback>
          <w:pict>
            <v:shape id="文本框 11" o:spid="_x0000_s1026" o:spt="202" type="#_x0000_t202" style="position:absolute;left:0pt;margin-left:298.8pt;margin-top:781.2pt;height:12pt;width:22.1pt;mso-position-horizontal-relative:page;mso-position-vertical-relative:page;z-index:-251648000;mso-width-relative:page;mso-height-relative:page;" filled="f" stroked="f" coordsize="21600,21600" o:gfxdata="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g2vLNsAAAANAQAA&#10;DwAAAAAAAAABACAAAAAiAAAAZHJzL2Rvd25yZXYueG1sUEsBAhQAFAAAAAgAh07iQFvo5C/dAQAA&#10;tAMAAA4AAAAAAAAAAQAgAAAAKgEAAGRycy9lMm9Eb2MueG1sUEsFBgAAAAAGAAYAWQEAAHkFAAAA&#10;AA==&#10;">
              <v:fill on="f" focussize="0,0"/>
              <v:stroke on="f"/>
              <v:imagedata o:title=""/>
              <o:lock v:ext="edit" aspectratio="f"/>
              <v:textbox inset="0mm,0mm,0mm,0mm">
                <w:txbxContent>
                  <w:p w14:paraId="4A6879BB">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BA966">
    <w:pPr>
      <w:pStyle w:val="10"/>
      <w:spacing w:before="0" w:line="14" w:lineRule="auto"/>
      <w:ind w:left="0"/>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921385</wp:posOffset>
              </wp:positionH>
              <wp:positionV relativeFrom="page">
                <wp:posOffset>466725</wp:posOffset>
              </wp:positionV>
              <wp:extent cx="5906770" cy="30353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441700" cy="160655"/>
                      </a:xfrm>
                      <a:prstGeom prst="rect">
                        <a:avLst/>
                      </a:prstGeom>
                      <a:noFill/>
                      <a:ln>
                        <a:noFill/>
                      </a:ln>
                      <a:effectLst/>
                    </wps:spPr>
                    <wps:txbx>
                      <w:txbxContent>
                        <w:p w14:paraId="598300DF">
                          <w:pPr>
                            <w:spacing w:line="220" w:lineRule="exact"/>
                            <w:ind w:left="20"/>
                            <w:jc w:val="both"/>
                            <w:rPr>
                              <w:rFonts w:hint="eastAsia"/>
                              <w:sz w:val="21"/>
                              <w:szCs w:val="21"/>
                              <w:lang w:val="en-US"/>
                            </w:rPr>
                          </w:pPr>
                          <w:r>
                            <w:rPr>
                              <w:rFonts w:hint="eastAsia"/>
                              <w:sz w:val="21"/>
                              <w:szCs w:val="21"/>
                            </w:rPr>
                            <w:t>新疆华域建设工程项目管理咨询有限公司</w:t>
                          </w:r>
                          <w:r>
                            <w:rPr>
                              <w:rFonts w:hint="eastAsia"/>
                              <w:sz w:val="21"/>
                              <w:szCs w:val="21"/>
                              <w:lang w:val="en-US"/>
                            </w:rPr>
                            <w:t xml:space="preserve">                                        公开招标文件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72.55pt;margin-top:36.75pt;height:23.9pt;width:465.1pt;mso-position-horizontal-relative:page;mso-position-vertical-relative:page;z-index:-251656192;mso-width-relative:page;mso-height-relative:page;" filled="f" stroked="f" coordsize="21600,21600" o:gfxdata="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g38mc2QAAAAsBAAAP&#10;AAAAAAAAAAEAIAAAACIAAABkcnMvZG93bnJldi54bWxQSwECFAAUAAAACACHTuJApLt3o94BAAC1&#10;AwAADgAAAAAAAAABACAAAAAoAQAAZHJzL2Uyb0RvYy54bWxQSwUGAAAAAAYABgBZAQAAeAUAAAAA&#10;">
              <v:fill on="f" focussize="0,0"/>
              <v:stroke on="f"/>
              <v:imagedata o:title=""/>
              <o:lock v:ext="edit" aspectratio="f"/>
              <v:textbox inset="0mm,0mm,0mm,0mm">
                <w:txbxContent>
                  <w:p w14:paraId="598300DF">
                    <w:pPr>
                      <w:spacing w:line="220" w:lineRule="exact"/>
                      <w:ind w:left="20"/>
                      <w:jc w:val="both"/>
                      <w:rPr>
                        <w:rFonts w:hint="eastAsia"/>
                        <w:sz w:val="21"/>
                        <w:szCs w:val="21"/>
                        <w:lang w:val="en-US"/>
                      </w:rPr>
                    </w:pPr>
                    <w:r>
                      <w:rPr>
                        <w:rFonts w:hint="eastAsia"/>
                        <w:sz w:val="21"/>
                        <w:szCs w:val="21"/>
                      </w:rPr>
                      <w:t>新疆华域建设工程项目管理咨询有限公司</w:t>
                    </w:r>
                    <w:r>
                      <w:rPr>
                        <w:rFonts w:hint="eastAsia"/>
                        <w:sz w:val="21"/>
                        <w:szCs w:val="21"/>
                        <w:lang w:val="en-US"/>
                      </w:rPr>
                      <w:t xml:space="preserve">                                        公开招标文件</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1140460</wp:posOffset>
              </wp:positionH>
              <wp:positionV relativeFrom="page">
                <wp:posOffset>705485</wp:posOffset>
              </wp:positionV>
              <wp:extent cx="5473700" cy="0"/>
              <wp:effectExtent l="0" t="4445" r="0" b="5080"/>
              <wp:wrapNone/>
              <wp:docPr id="19" name="直接连接符 19"/>
              <wp:cNvGraphicFramePr/>
              <a:graphic xmlns:a="http://schemas.openxmlformats.org/drawingml/2006/main">
                <a:graphicData uri="http://schemas.microsoft.com/office/word/2010/wordprocessingShape">
                  <wps:wsp>
                    <wps:cNvCnPr/>
                    <wps:spPr>
                      <a:xfrm>
                        <a:off x="0" y="0"/>
                        <a:ext cx="5473700"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9.8pt;margin-top:55.55pt;height:0pt;width:431pt;mso-position-horizontal-relative:page;mso-position-vertical-relative:page;z-index:-251657216;mso-width-relative:page;mso-height-relative:page;" filled="f" stroked="t" coordsize="21600,21600" o:gfxdata="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hWTo9QAAAAMAQAADwAAAAAAAAABACAAAAAiAAAAZHJzL2Rvd25yZXYueG1sUEsBAhQAFAAA&#10;AAgAh07iQMdY9OzzAQAA6AMAAA4AAAAAAAAAAQAgAAAAIwEAAGRycy9lMm9Eb2MueG1sUEsFBgAA&#10;AAAGAAYAWQEAAIgFA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3BE73">
    <w:pPr>
      <w:pStyle w:val="10"/>
      <w:spacing w:before="0" w:line="14" w:lineRule="auto"/>
      <w:ind w:left="0"/>
      <w:rPr>
        <w:rFonts w:hint="eastAsia"/>
        <w:sz w:val="20"/>
      </w:rPr>
    </w:pPr>
    <w:r>
      <mc:AlternateContent>
        <mc:Choice Requires="wps">
          <w:drawing>
            <wp:anchor distT="0" distB="0" distL="114300" distR="114300" simplePos="0" relativeHeight="251663360" behindDoc="1" locked="0" layoutInCell="1" allowOverlap="1">
              <wp:simplePos x="0" y="0"/>
              <wp:positionH relativeFrom="page">
                <wp:posOffset>859155</wp:posOffset>
              </wp:positionH>
              <wp:positionV relativeFrom="page">
                <wp:posOffset>544830</wp:posOffset>
              </wp:positionV>
              <wp:extent cx="6104255" cy="172085"/>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464CDB60">
                          <w:pPr>
                            <w:rPr>
                              <w:rFonts w:hint="eastAsia"/>
                            </w:rPr>
                          </w:pPr>
                          <w:r>
                            <w:rPr>
                              <w:rFonts w:hint="eastAsia"/>
                              <w:sz w:val="21"/>
                              <w:szCs w:val="21"/>
                            </w:rPr>
                            <w:t>新疆华域建设工程项目管理咨询有限公司</w:t>
                          </w:r>
                          <w:r>
                            <w:rPr>
                              <w:rFonts w:hint="eastAsia"/>
                              <w:sz w:val="21"/>
                              <w:szCs w:val="21"/>
                              <w:lang w:val="en-US"/>
                            </w:rPr>
                            <w:t xml:space="preserve">                                        公开招标文件</w:t>
                          </w:r>
                        </w:p>
                      </w:txbxContent>
                    </wps:txbx>
                    <wps:bodyPr vert="horz" wrap="square" lIns="0" tIns="0" rIns="0" bIns="0" anchor="t" anchorCtr="0" upright="1"/>
                  </wps:wsp>
                </a:graphicData>
              </a:graphic>
            </wp:anchor>
          </w:drawing>
        </mc:Choice>
        <mc:Fallback>
          <w:pict>
            <v:shape id="文本框 4" o:spid="_x0000_s1026" o:spt="202" type="#_x0000_t202" style="position:absolute;left:0pt;margin-left:67.65pt;margin-top:42.9pt;height:13.55pt;width:480.65pt;mso-position-horizontal-relative:page;mso-position-vertical-relative:page;z-index:-251653120;mso-width-relative:page;mso-height-relative:page;" filled="f" stroked="f" coordsize="21600,21600" o:gfxdata="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zvj9NgAAAALAQAADwAA&#10;AAAAAAABACAAAAAiAAAAZHJzL2Rvd25yZXYueG1sUEsBAhQAFAAAAAgAh07iQMe3kq/dAQAAtAMA&#10;AA4AAAAAAAAAAQAgAAAAJwEAAGRycy9lMm9Eb2MueG1sUEsFBgAAAAAGAAYAWQEAAHYFAAAAAA==&#10;">
              <v:fill on="f" focussize="0,0"/>
              <v:stroke on="f"/>
              <v:imagedata o:title=""/>
              <o:lock v:ext="edit" aspectratio="f"/>
              <v:textbox inset="0mm,0mm,0mm,0mm">
                <w:txbxContent>
                  <w:p w14:paraId="464CDB60">
                    <w:pPr>
                      <w:rPr>
                        <w:rFonts w:hint="eastAsia"/>
                      </w:rPr>
                    </w:pPr>
                    <w:r>
                      <w:rPr>
                        <w:rFonts w:hint="eastAsia"/>
                        <w:sz w:val="21"/>
                        <w:szCs w:val="21"/>
                      </w:rPr>
                      <w:t>新疆华域建设工程项目管理咨询有限公司</w:t>
                    </w:r>
                    <w:r>
                      <w:rPr>
                        <w:rFonts w:hint="eastAsia"/>
                        <w:sz w:val="21"/>
                        <w:szCs w:val="21"/>
                        <w:lang w:val="en-US"/>
                      </w:rPr>
                      <w:t xml:space="preserve">                                        公开招标文件</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1140460</wp:posOffset>
              </wp:positionH>
              <wp:positionV relativeFrom="page">
                <wp:posOffset>705485</wp:posOffset>
              </wp:positionV>
              <wp:extent cx="5473700" cy="0"/>
              <wp:effectExtent l="0" t="4445" r="0" b="5080"/>
              <wp:wrapNone/>
              <wp:docPr id="11" name="直接连接符 2"/>
              <wp:cNvGraphicFramePr/>
              <a:graphic xmlns:a="http://schemas.openxmlformats.org/drawingml/2006/main">
                <a:graphicData uri="http://schemas.microsoft.com/office/word/2010/wordprocessingShape">
                  <wps:wsp>
                    <wps:cNvCnPr/>
                    <wps:spPr>
                      <a:xfrm>
                        <a:off x="0" y="0"/>
                        <a:ext cx="5473700"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89.8pt;margin-top:55.55pt;height:0pt;width:431pt;mso-position-horizontal-relative:page;mso-position-vertical-relative:page;z-index:-251655168;mso-width-relative:page;mso-height-relative:page;" filled="f" stroked="t" coordsize="21600,21600" o:gfxdata="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FZOj1AAAAAwBAAAPAAAAAAAAAAEAIAAAACIAAABkcnMvZG93bnJldi54bWxQSwECFAAUAAAA&#10;CACHTuJAbV14+/IBAADnAwAADgAAAAAAAAABACAAAAAjAQAAZHJzL2Uyb0RvYy54bWxQSwUGAAAA&#10;AAYABgBZAQAAhwUAAAAA&#10;">
              <v:fill on="f" focussize="0,0"/>
              <v:stroke weight="0.72pt" color="#000000"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71D68">
    <w:pPr>
      <w:pStyle w:val="10"/>
      <w:spacing w:before="0" w:line="14" w:lineRule="auto"/>
      <w:ind w:left="0"/>
      <w:rPr>
        <w:rFonts w:hint="eastAsia"/>
        <w:sz w:val="20"/>
      </w:rPr>
    </w:pPr>
    <w:r>
      <mc:AlternateContent>
        <mc:Choice Requires="wps">
          <w:drawing>
            <wp:anchor distT="0" distB="0" distL="114300" distR="114300" simplePos="0" relativeHeight="251664384" behindDoc="1" locked="0" layoutInCell="1" allowOverlap="1">
              <wp:simplePos x="0" y="0"/>
              <wp:positionH relativeFrom="page">
                <wp:posOffset>699770</wp:posOffset>
              </wp:positionH>
              <wp:positionV relativeFrom="page">
                <wp:posOffset>563880</wp:posOffset>
              </wp:positionV>
              <wp:extent cx="6181725" cy="172085"/>
              <wp:effectExtent l="0" t="0" r="0" b="0"/>
              <wp:wrapNone/>
              <wp:docPr id="1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570EBB04">
                          <w:pPr>
                            <w:spacing w:line="220" w:lineRule="exact"/>
                            <w:rPr>
                              <w:rFonts w:hint="eastAsia"/>
                              <w:sz w:val="18"/>
                            </w:rPr>
                          </w:pPr>
                          <w:r>
                            <w:rPr>
                              <w:rFonts w:hint="eastAsia"/>
                              <w:sz w:val="21"/>
                              <w:szCs w:val="21"/>
                            </w:rPr>
                            <w:t>新疆华域建设工程项目管理咨询有限公司</w:t>
                          </w:r>
                          <w:r>
                            <w:rPr>
                              <w:rFonts w:hint="eastAsia"/>
                              <w:sz w:val="21"/>
                              <w:szCs w:val="21"/>
                              <w:lang w:val="en-US"/>
                            </w:rPr>
                            <w:t xml:space="preserve">                                            公开招标文件</w:t>
                          </w:r>
                        </w:p>
                      </w:txbxContent>
                    </wps:txbx>
                    <wps:bodyPr vert="horz" wrap="square" lIns="0" tIns="0" rIns="0" bIns="0" anchor="t" anchorCtr="0" upright="1"/>
                  </wps:wsp>
                </a:graphicData>
              </a:graphic>
            </wp:anchor>
          </w:drawing>
        </mc:Choice>
        <mc:Fallback>
          <w:pict>
            <v:shape id="文本框 4" o:spid="_x0000_s1026" o:spt="202" type="#_x0000_t202" style="position:absolute;left:0pt;margin-left:55.1pt;margin-top:44.4pt;height:13.55pt;width:486.75pt;mso-position-horizontal-relative:page;mso-position-vertical-relative:page;z-index:-251652096;mso-width-relative:page;mso-height-relative:page;" filled="f" stroked="f" coordsize="21600,21600" o:gfxdata="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QuWrnXAAAACwEAAA8AAAAA&#10;AAAAAQAgAAAAIgAAAGRycy9kb3ducmV2LnhtbFBLAQIUABQAAAAIAIdO4kApdkhg3AEAALQDAAAO&#10;AAAAAAAAAAEAIAAAACYBAABkcnMvZTJvRG9jLnhtbFBLBQYAAAAABgAGAFkBAAB0BQAAAAA=&#10;">
              <v:fill on="f" focussize="0,0"/>
              <v:stroke on="f"/>
              <v:imagedata o:title=""/>
              <o:lock v:ext="edit" aspectratio="f"/>
              <v:textbox inset="0mm,0mm,0mm,0mm">
                <w:txbxContent>
                  <w:p w14:paraId="570EBB04">
                    <w:pPr>
                      <w:spacing w:line="220" w:lineRule="exact"/>
                      <w:rPr>
                        <w:rFonts w:hint="eastAsia"/>
                        <w:sz w:val="18"/>
                      </w:rPr>
                    </w:pPr>
                    <w:r>
                      <w:rPr>
                        <w:rFonts w:hint="eastAsia"/>
                        <w:sz w:val="21"/>
                        <w:szCs w:val="21"/>
                      </w:rPr>
                      <w:t>新疆华域建设工程项目管理咨询有限公司</w:t>
                    </w:r>
                    <w:r>
                      <w:rPr>
                        <w:rFonts w:hint="eastAsia"/>
                        <w:sz w:val="21"/>
                        <w:szCs w:val="21"/>
                        <w:lang w:val="en-US"/>
                      </w:rPr>
                      <w:t xml:space="preserve">                                            公开招标文件</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1140460</wp:posOffset>
              </wp:positionH>
              <wp:positionV relativeFrom="page">
                <wp:posOffset>705485</wp:posOffset>
              </wp:positionV>
              <wp:extent cx="5473700" cy="0"/>
              <wp:effectExtent l="0" t="4445" r="0" b="5080"/>
              <wp:wrapNone/>
              <wp:docPr id="12" name="直接连接符 2"/>
              <wp:cNvGraphicFramePr/>
              <a:graphic xmlns:a="http://schemas.openxmlformats.org/drawingml/2006/main">
                <a:graphicData uri="http://schemas.microsoft.com/office/word/2010/wordprocessingShape">
                  <wps:wsp>
                    <wps:cNvCnPr/>
                    <wps:spPr>
                      <a:xfrm>
                        <a:off x="0" y="0"/>
                        <a:ext cx="5473700"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89.8pt;margin-top:55.55pt;height:0pt;width:431pt;mso-position-horizontal-relative:page;mso-position-vertical-relative:page;z-index:-251654144;mso-width-relative:page;mso-height-relative:page;" filled="f" stroked="t" coordsize="21600,21600" o:gfxdata="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FZOj1AAAAAwBAAAPAAAAAAAAAAEAIAAAACIAAABkcnMvZG93bnJldi54bWxQSwECFAAUAAAA&#10;CACHTuJASA4bsfIBAADnAwAADgAAAAAAAAABACAAAAAjAQAAZHJzL2Uyb0RvYy54bWxQSwUGAAAA&#10;AAYABgBZAQAAhwU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D8576"/>
    <w:multiLevelType w:val="singleLevel"/>
    <w:tmpl w:val="E27D8576"/>
    <w:lvl w:ilvl="0" w:tentative="0">
      <w:start w:val="1"/>
      <w:numFmt w:val="chineseCounting"/>
      <w:suff w:val="nothing"/>
      <w:lvlText w:val="（%1）"/>
      <w:lvlJc w:val="left"/>
      <w:rPr>
        <w:rFonts w:hint="eastAsia"/>
      </w:rPr>
    </w:lvl>
  </w:abstractNum>
  <w:abstractNum w:abstractNumId="1">
    <w:nsid w:val="E2ACC53F"/>
    <w:multiLevelType w:val="singleLevel"/>
    <w:tmpl w:val="E2ACC53F"/>
    <w:lvl w:ilvl="0" w:tentative="0">
      <w:start w:val="2"/>
      <w:numFmt w:val="decimal"/>
      <w:suff w:val="space"/>
      <w:lvlText w:val="%1."/>
      <w:lvlJc w:val="left"/>
      <w:pPr>
        <w:ind w:left="-200"/>
      </w:pPr>
    </w:lvl>
  </w:abstractNum>
  <w:abstractNum w:abstractNumId="2">
    <w:nsid w:val="19F6FE57"/>
    <w:multiLevelType w:val="singleLevel"/>
    <w:tmpl w:val="19F6FE57"/>
    <w:lvl w:ilvl="0" w:tentative="0">
      <w:start w:val="6"/>
      <w:numFmt w:val="chineseCounting"/>
      <w:suff w:val="space"/>
      <w:lvlText w:val="第%1部分"/>
      <w:lvlJc w:val="left"/>
      <w:rPr>
        <w:rFonts w:hint="eastAsia"/>
      </w:rPr>
    </w:lvl>
  </w:abstractNum>
  <w:abstractNum w:abstractNumId="3">
    <w:nsid w:val="1CBC5303"/>
    <w:multiLevelType w:val="singleLevel"/>
    <w:tmpl w:val="1CBC5303"/>
    <w:lvl w:ilvl="0" w:tentative="0">
      <w:start w:val="1"/>
      <w:numFmt w:val="chineseCounting"/>
      <w:suff w:val="space"/>
      <w:lvlText w:val="第%1部分"/>
      <w:lvlJc w:val="left"/>
      <w:rPr>
        <w:rFonts w:hint="eastAsia"/>
      </w:rPr>
    </w:lvl>
  </w:abstractNum>
  <w:abstractNum w:abstractNumId="4">
    <w:nsid w:val="5E29AB5A"/>
    <w:multiLevelType w:val="multilevel"/>
    <w:tmpl w:val="5E29AB5A"/>
    <w:lvl w:ilvl="0" w:tentative="0">
      <w:start w:val="1"/>
      <w:numFmt w:val="decimal"/>
      <w:lvlText w:val="（%1）"/>
      <w:lvlJc w:val="left"/>
      <w:pPr>
        <w:ind w:left="1840" w:hanging="689"/>
      </w:pPr>
      <w:rPr>
        <w:rFonts w:hint="default" w:ascii="宋体" w:hAnsi="宋体" w:eastAsia="宋体" w:cs="宋体"/>
        <w:w w:val="100"/>
        <w:sz w:val="24"/>
        <w:szCs w:val="24"/>
        <w:lang w:val="zh-CN" w:eastAsia="zh-CN" w:bidi="zh-CN"/>
      </w:rPr>
    </w:lvl>
    <w:lvl w:ilvl="1" w:tentative="0">
      <w:start w:val="0"/>
      <w:numFmt w:val="bullet"/>
      <w:lvlText w:val="•"/>
      <w:lvlJc w:val="left"/>
      <w:pPr>
        <w:ind w:left="2702" w:hanging="689"/>
      </w:pPr>
      <w:rPr>
        <w:rFonts w:hint="default"/>
        <w:lang w:val="zh-CN" w:eastAsia="zh-CN" w:bidi="zh-CN"/>
      </w:rPr>
    </w:lvl>
    <w:lvl w:ilvl="2" w:tentative="0">
      <w:start w:val="0"/>
      <w:numFmt w:val="bullet"/>
      <w:lvlText w:val="•"/>
      <w:lvlJc w:val="left"/>
      <w:pPr>
        <w:ind w:left="3565" w:hanging="689"/>
      </w:pPr>
      <w:rPr>
        <w:rFonts w:hint="default"/>
        <w:lang w:val="zh-CN" w:eastAsia="zh-CN" w:bidi="zh-CN"/>
      </w:rPr>
    </w:lvl>
    <w:lvl w:ilvl="3" w:tentative="0">
      <w:start w:val="0"/>
      <w:numFmt w:val="bullet"/>
      <w:lvlText w:val="•"/>
      <w:lvlJc w:val="left"/>
      <w:pPr>
        <w:ind w:left="4427" w:hanging="689"/>
      </w:pPr>
      <w:rPr>
        <w:rFonts w:hint="default"/>
        <w:lang w:val="zh-CN" w:eastAsia="zh-CN" w:bidi="zh-CN"/>
      </w:rPr>
    </w:lvl>
    <w:lvl w:ilvl="4" w:tentative="0">
      <w:start w:val="0"/>
      <w:numFmt w:val="bullet"/>
      <w:lvlText w:val="•"/>
      <w:lvlJc w:val="left"/>
      <w:pPr>
        <w:ind w:left="5290" w:hanging="689"/>
      </w:pPr>
      <w:rPr>
        <w:rFonts w:hint="default"/>
        <w:lang w:val="zh-CN" w:eastAsia="zh-CN" w:bidi="zh-CN"/>
      </w:rPr>
    </w:lvl>
    <w:lvl w:ilvl="5" w:tentative="0">
      <w:start w:val="0"/>
      <w:numFmt w:val="bullet"/>
      <w:lvlText w:val="•"/>
      <w:lvlJc w:val="left"/>
      <w:pPr>
        <w:ind w:left="6153" w:hanging="689"/>
      </w:pPr>
      <w:rPr>
        <w:rFonts w:hint="default"/>
        <w:lang w:val="zh-CN" w:eastAsia="zh-CN" w:bidi="zh-CN"/>
      </w:rPr>
    </w:lvl>
    <w:lvl w:ilvl="6" w:tentative="0">
      <w:start w:val="0"/>
      <w:numFmt w:val="bullet"/>
      <w:lvlText w:val="•"/>
      <w:lvlJc w:val="left"/>
      <w:pPr>
        <w:ind w:left="7015" w:hanging="689"/>
      </w:pPr>
      <w:rPr>
        <w:rFonts w:hint="default"/>
        <w:lang w:val="zh-CN" w:eastAsia="zh-CN" w:bidi="zh-CN"/>
      </w:rPr>
    </w:lvl>
    <w:lvl w:ilvl="7" w:tentative="0">
      <w:start w:val="0"/>
      <w:numFmt w:val="bullet"/>
      <w:lvlText w:val="•"/>
      <w:lvlJc w:val="left"/>
      <w:pPr>
        <w:ind w:left="7878" w:hanging="689"/>
      </w:pPr>
      <w:rPr>
        <w:rFonts w:hint="default"/>
        <w:lang w:val="zh-CN" w:eastAsia="zh-CN" w:bidi="zh-CN"/>
      </w:rPr>
    </w:lvl>
    <w:lvl w:ilvl="8" w:tentative="0">
      <w:start w:val="0"/>
      <w:numFmt w:val="bullet"/>
      <w:lvlText w:val="•"/>
      <w:lvlJc w:val="left"/>
      <w:pPr>
        <w:ind w:left="8740" w:hanging="689"/>
      </w:pPr>
      <w:rPr>
        <w:rFonts w:hint="default"/>
        <w:lang w:val="zh-CN" w:eastAsia="zh-CN" w:bidi="zh-CN"/>
      </w:rPr>
    </w:lvl>
  </w:abstractNum>
  <w:abstractNum w:abstractNumId="5">
    <w:nsid w:val="60376F48"/>
    <w:multiLevelType w:val="singleLevel"/>
    <w:tmpl w:val="60376F48"/>
    <w:lvl w:ilvl="0" w:tentative="0">
      <w:start w:val="1"/>
      <w:numFmt w:val="decimal"/>
      <w:suff w:val="nothing"/>
      <w:lvlText w:val="%1、"/>
      <w:lvlJc w:val="left"/>
    </w:lvl>
  </w:abstractNum>
  <w:abstractNum w:abstractNumId="6">
    <w:nsid w:val="7BFC285B"/>
    <w:multiLevelType w:val="singleLevel"/>
    <w:tmpl w:val="7BFC285B"/>
    <w:lvl w:ilvl="0" w:tentative="0">
      <w:start w:val="4"/>
      <w:numFmt w:val="chineseCounting"/>
      <w:suff w:val="nothing"/>
      <w:lvlText w:val="%1、"/>
      <w:lvlJc w:val="left"/>
      <w:rPr>
        <w:rFonts w:hint="eastAsia"/>
      </w:rPr>
    </w:lvl>
  </w:abstractNum>
  <w:num w:numId="1">
    <w:abstractNumId w:val="3"/>
  </w:num>
  <w:num w:numId="2">
    <w:abstractNumId w:val="6"/>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0007E"/>
    <w:rsid w:val="00124BD9"/>
    <w:rsid w:val="007A3936"/>
    <w:rsid w:val="013E6DCE"/>
    <w:rsid w:val="015F4510"/>
    <w:rsid w:val="018018E5"/>
    <w:rsid w:val="0186190D"/>
    <w:rsid w:val="02943624"/>
    <w:rsid w:val="02CF5DA7"/>
    <w:rsid w:val="036D7252"/>
    <w:rsid w:val="03DB06E3"/>
    <w:rsid w:val="040F2DF9"/>
    <w:rsid w:val="047E1FBE"/>
    <w:rsid w:val="05290DB5"/>
    <w:rsid w:val="059F14A4"/>
    <w:rsid w:val="0630007E"/>
    <w:rsid w:val="066250B2"/>
    <w:rsid w:val="06873C55"/>
    <w:rsid w:val="06C43629"/>
    <w:rsid w:val="0727584B"/>
    <w:rsid w:val="072C3280"/>
    <w:rsid w:val="07942A0A"/>
    <w:rsid w:val="07BD308C"/>
    <w:rsid w:val="09AB55EB"/>
    <w:rsid w:val="09DE112E"/>
    <w:rsid w:val="0A334AF6"/>
    <w:rsid w:val="0A772C03"/>
    <w:rsid w:val="0B304DED"/>
    <w:rsid w:val="0B3A4217"/>
    <w:rsid w:val="0B3D7144"/>
    <w:rsid w:val="0B5A402C"/>
    <w:rsid w:val="0C545549"/>
    <w:rsid w:val="0C5A3BCE"/>
    <w:rsid w:val="0D074274"/>
    <w:rsid w:val="0D3122B2"/>
    <w:rsid w:val="0D8C0B80"/>
    <w:rsid w:val="0DEC7C8B"/>
    <w:rsid w:val="0E205AB9"/>
    <w:rsid w:val="0EAF1BCE"/>
    <w:rsid w:val="0EEC47A5"/>
    <w:rsid w:val="0EF6229A"/>
    <w:rsid w:val="0F1A6FD6"/>
    <w:rsid w:val="0F487F34"/>
    <w:rsid w:val="0F7016DD"/>
    <w:rsid w:val="0FBD4ABE"/>
    <w:rsid w:val="10472EC0"/>
    <w:rsid w:val="10954D3A"/>
    <w:rsid w:val="12F627A9"/>
    <w:rsid w:val="131A3C63"/>
    <w:rsid w:val="13AB3552"/>
    <w:rsid w:val="13E02727"/>
    <w:rsid w:val="14423D13"/>
    <w:rsid w:val="14B07D4D"/>
    <w:rsid w:val="14D94111"/>
    <w:rsid w:val="14FD2EFF"/>
    <w:rsid w:val="1505415C"/>
    <w:rsid w:val="15081290"/>
    <w:rsid w:val="15BC67B5"/>
    <w:rsid w:val="15CA0293"/>
    <w:rsid w:val="15EC04AB"/>
    <w:rsid w:val="16E3212C"/>
    <w:rsid w:val="173D3261"/>
    <w:rsid w:val="174718A8"/>
    <w:rsid w:val="1939340A"/>
    <w:rsid w:val="197902A7"/>
    <w:rsid w:val="1A3F0792"/>
    <w:rsid w:val="1AB11D71"/>
    <w:rsid w:val="1B7041DC"/>
    <w:rsid w:val="1C054074"/>
    <w:rsid w:val="1CE252F3"/>
    <w:rsid w:val="1DFB7415"/>
    <w:rsid w:val="1DFF0AF7"/>
    <w:rsid w:val="1E135665"/>
    <w:rsid w:val="1E2F0855"/>
    <w:rsid w:val="1F502F17"/>
    <w:rsid w:val="1F77267A"/>
    <w:rsid w:val="1FF35512"/>
    <w:rsid w:val="20EC5803"/>
    <w:rsid w:val="216D01BE"/>
    <w:rsid w:val="2173186F"/>
    <w:rsid w:val="21E5632B"/>
    <w:rsid w:val="223C74E6"/>
    <w:rsid w:val="226A4BFB"/>
    <w:rsid w:val="23A01468"/>
    <w:rsid w:val="240D616F"/>
    <w:rsid w:val="242B36B3"/>
    <w:rsid w:val="246266BF"/>
    <w:rsid w:val="24FD7FDE"/>
    <w:rsid w:val="250A26FB"/>
    <w:rsid w:val="255E7A55"/>
    <w:rsid w:val="25643DED"/>
    <w:rsid w:val="257E01AB"/>
    <w:rsid w:val="258E50DA"/>
    <w:rsid w:val="26134EB0"/>
    <w:rsid w:val="262A7A31"/>
    <w:rsid w:val="2651396B"/>
    <w:rsid w:val="268940CA"/>
    <w:rsid w:val="2727448C"/>
    <w:rsid w:val="27424CC0"/>
    <w:rsid w:val="28312690"/>
    <w:rsid w:val="2922110C"/>
    <w:rsid w:val="293A1B85"/>
    <w:rsid w:val="29DA77BB"/>
    <w:rsid w:val="2A074D01"/>
    <w:rsid w:val="2B8011DC"/>
    <w:rsid w:val="2B8F5A45"/>
    <w:rsid w:val="2B925EF1"/>
    <w:rsid w:val="2CD46119"/>
    <w:rsid w:val="2D4A046B"/>
    <w:rsid w:val="2DA22CAC"/>
    <w:rsid w:val="2DFF2F43"/>
    <w:rsid w:val="2E8C71AC"/>
    <w:rsid w:val="303D76FD"/>
    <w:rsid w:val="31085999"/>
    <w:rsid w:val="31124E12"/>
    <w:rsid w:val="31314BEA"/>
    <w:rsid w:val="32081D71"/>
    <w:rsid w:val="320C1BA8"/>
    <w:rsid w:val="3264169D"/>
    <w:rsid w:val="32943CE1"/>
    <w:rsid w:val="32A239AF"/>
    <w:rsid w:val="32E62B90"/>
    <w:rsid w:val="330834E7"/>
    <w:rsid w:val="330F7364"/>
    <w:rsid w:val="331A61FF"/>
    <w:rsid w:val="33D740F0"/>
    <w:rsid w:val="33DC1707"/>
    <w:rsid w:val="358B7F7F"/>
    <w:rsid w:val="35F26CF4"/>
    <w:rsid w:val="360C6395"/>
    <w:rsid w:val="36530B36"/>
    <w:rsid w:val="37836ABC"/>
    <w:rsid w:val="38003C16"/>
    <w:rsid w:val="38D33834"/>
    <w:rsid w:val="39692DBF"/>
    <w:rsid w:val="396A4FBD"/>
    <w:rsid w:val="3A7F5B5D"/>
    <w:rsid w:val="3A8D6B1A"/>
    <w:rsid w:val="3C126A56"/>
    <w:rsid w:val="3C6329C5"/>
    <w:rsid w:val="3D477897"/>
    <w:rsid w:val="3E6C798A"/>
    <w:rsid w:val="3E9E5F37"/>
    <w:rsid w:val="3F3B0DEB"/>
    <w:rsid w:val="3F6C2316"/>
    <w:rsid w:val="40671574"/>
    <w:rsid w:val="41263FEF"/>
    <w:rsid w:val="414444E2"/>
    <w:rsid w:val="41920EFD"/>
    <w:rsid w:val="419B5DD9"/>
    <w:rsid w:val="420861FA"/>
    <w:rsid w:val="425930E7"/>
    <w:rsid w:val="428F35C1"/>
    <w:rsid w:val="42D70DBD"/>
    <w:rsid w:val="432702BD"/>
    <w:rsid w:val="43AD08AA"/>
    <w:rsid w:val="43B32C49"/>
    <w:rsid w:val="43F96D2B"/>
    <w:rsid w:val="441C75B1"/>
    <w:rsid w:val="45D87F80"/>
    <w:rsid w:val="461253E0"/>
    <w:rsid w:val="472D6218"/>
    <w:rsid w:val="47BF185E"/>
    <w:rsid w:val="488937B4"/>
    <w:rsid w:val="48F07554"/>
    <w:rsid w:val="495947D4"/>
    <w:rsid w:val="496A75CE"/>
    <w:rsid w:val="4B127E7A"/>
    <w:rsid w:val="4B32587B"/>
    <w:rsid w:val="4C833F61"/>
    <w:rsid w:val="4DF94F37"/>
    <w:rsid w:val="4E7102FA"/>
    <w:rsid w:val="4EF9611F"/>
    <w:rsid w:val="4F551602"/>
    <w:rsid w:val="4FBA059C"/>
    <w:rsid w:val="4FC030EA"/>
    <w:rsid w:val="502138ED"/>
    <w:rsid w:val="503C4C24"/>
    <w:rsid w:val="506875FB"/>
    <w:rsid w:val="50AD436F"/>
    <w:rsid w:val="50C17C89"/>
    <w:rsid w:val="50CE2822"/>
    <w:rsid w:val="50FB426F"/>
    <w:rsid w:val="51550D88"/>
    <w:rsid w:val="517610C0"/>
    <w:rsid w:val="527B23BF"/>
    <w:rsid w:val="52801C95"/>
    <w:rsid w:val="53947F53"/>
    <w:rsid w:val="53BF0E14"/>
    <w:rsid w:val="53C568F7"/>
    <w:rsid w:val="540B32CF"/>
    <w:rsid w:val="54856C62"/>
    <w:rsid w:val="55466C6B"/>
    <w:rsid w:val="557D3DCF"/>
    <w:rsid w:val="56031AAA"/>
    <w:rsid w:val="567F61F6"/>
    <w:rsid w:val="568D0913"/>
    <w:rsid w:val="571E5A0F"/>
    <w:rsid w:val="5766272E"/>
    <w:rsid w:val="57C1469B"/>
    <w:rsid w:val="5811240B"/>
    <w:rsid w:val="58D846CC"/>
    <w:rsid w:val="594554D5"/>
    <w:rsid w:val="5A5B33E1"/>
    <w:rsid w:val="5A717211"/>
    <w:rsid w:val="5B466E97"/>
    <w:rsid w:val="5B9C6858"/>
    <w:rsid w:val="5C2C09C9"/>
    <w:rsid w:val="5C2C6147"/>
    <w:rsid w:val="5C693869"/>
    <w:rsid w:val="5D99669E"/>
    <w:rsid w:val="5E5E18DF"/>
    <w:rsid w:val="5E830847"/>
    <w:rsid w:val="5E960581"/>
    <w:rsid w:val="5F1800D8"/>
    <w:rsid w:val="5F647B6A"/>
    <w:rsid w:val="5FBD7956"/>
    <w:rsid w:val="605F12C9"/>
    <w:rsid w:val="60DA57EF"/>
    <w:rsid w:val="61A00CD4"/>
    <w:rsid w:val="61AA2E28"/>
    <w:rsid w:val="61E60EAB"/>
    <w:rsid w:val="623600B0"/>
    <w:rsid w:val="629E17B2"/>
    <w:rsid w:val="62B06A6F"/>
    <w:rsid w:val="62C37FB2"/>
    <w:rsid w:val="63253DB6"/>
    <w:rsid w:val="6349333E"/>
    <w:rsid w:val="639F5EAB"/>
    <w:rsid w:val="64202DC6"/>
    <w:rsid w:val="65414C11"/>
    <w:rsid w:val="65A2414A"/>
    <w:rsid w:val="65B75967"/>
    <w:rsid w:val="66B82BDB"/>
    <w:rsid w:val="66FE4F5B"/>
    <w:rsid w:val="67092797"/>
    <w:rsid w:val="67490B98"/>
    <w:rsid w:val="68213264"/>
    <w:rsid w:val="68C40DB2"/>
    <w:rsid w:val="69D32F2D"/>
    <w:rsid w:val="6A136F29"/>
    <w:rsid w:val="6ABC136F"/>
    <w:rsid w:val="6AC7106F"/>
    <w:rsid w:val="6B6A3BFB"/>
    <w:rsid w:val="6BA14954"/>
    <w:rsid w:val="6C460131"/>
    <w:rsid w:val="6C8C5016"/>
    <w:rsid w:val="6CA05347"/>
    <w:rsid w:val="6CE547B7"/>
    <w:rsid w:val="6D911A33"/>
    <w:rsid w:val="6D940381"/>
    <w:rsid w:val="6EAA6851"/>
    <w:rsid w:val="6EEA7BD1"/>
    <w:rsid w:val="6F3C482C"/>
    <w:rsid w:val="6F505DF9"/>
    <w:rsid w:val="6F6618A9"/>
    <w:rsid w:val="6F8525C0"/>
    <w:rsid w:val="6FB410D2"/>
    <w:rsid w:val="6FD607DD"/>
    <w:rsid w:val="70025B77"/>
    <w:rsid w:val="70E621B6"/>
    <w:rsid w:val="71147D94"/>
    <w:rsid w:val="71360C0A"/>
    <w:rsid w:val="719C26CA"/>
    <w:rsid w:val="728C7A6E"/>
    <w:rsid w:val="72A70CCA"/>
    <w:rsid w:val="73474911"/>
    <w:rsid w:val="738368D4"/>
    <w:rsid w:val="74714E40"/>
    <w:rsid w:val="74E2279A"/>
    <w:rsid w:val="75703482"/>
    <w:rsid w:val="75774810"/>
    <w:rsid w:val="75AB717B"/>
    <w:rsid w:val="75EB4A85"/>
    <w:rsid w:val="76143C70"/>
    <w:rsid w:val="76C75A67"/>
    <w:rsid w:val="76EF6159"/>
    <w:rsid w:val="77F93164"/>
    <w:rsid w:val="78972C9C"/>
    <w:rsid w:val="78C74E32"/>
    <w:rsid w:val="79012BB0"/>
    <w:rsid w:val="79FF3112"/>
    <w:rsid w:val="7A9F7C19"/>
    <w:rsid w:val="7AAB2BB3"/>
    <w:rsid w:val="7B9300A6"/>
    <w:rsid w:val="7CEC54A0"/>
    <w:rsid w:val="7D415B71"/>
    <w:rsid w:val="7E4A7D93"/>
    <w:rsid w:val="7EBD61F2"/>
    <w:rsid w:val="7EDB7BBE"/>
    <w:rsid w:val="7F647B93"/>
    <w:rsid w:val="7FCF0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3"/>
    <w:next w:val="3"/>
    <w:link w:val="28"/>
    <w:qFormat/>
    <w:uiPriority w:val="1"/>
    <w:pPr>
      <w:spacing w:before="90"/>
      <w:ind w:right="608"/>
      <w:jc w:val="center"/>
      <w:outlineLvl w:val="0"/>
    </w:pPr>
    <w:rPr>
      <w:b/>
      <w:bCs/>
      <w:sz w:val="36"/>
      <w:szCs w:val="36"/>
    </w:rPr>
  </w:style>
  <w:style w:type="paragraph" w:styleId="4">
    <w:name w:val="heading 2"/>
    <w:basedOn w:val="1"/>
    <w:next w:val="1"/>
    <w:qFormat/>
    <w:uiPriority w:val="1"/>
    <w:pPr>
      <w:ind w:right="610"/>
      <w:jc w:val="center"/>
      <w:outlineLvl w:val="1"/>
    </w:pPr>
    <w:rPr>
      <w:b/>
      <w:bCs/>
      <w:sz w:val="32"/>
      <w:szCs w:val="32"/>
    </w:rPr>
  </w:style>
  <w:style w:type="paragraph" w:styleId="5">
    <w:name w:val="heading 3"/>
    <w:basedOn w:val="1"/>
    <w:next w:val="1"/>
    <w:qFormat/>
    <w:uiPriority w:val="1"/>
    <w:pPr>
      <w:spacing w:before="1"/>
      <w:ind w:left="637"/>
      <w:jc w:val="center"/>
      <w:outlineLvl w:val="2"/>
    </w:pPr>
    <w:rPr>
      <w:b/>
      <w:bCs/>
      <w:sz w:val="28"/>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3">
    <w:name w:val="Block Text"/>
    <w:basedOn w:val="1"/>
    <w:qFormat/>
    <w:uiPriority w:val="0"/>
    <w:pPr>
      <w:spacing w:after="120"/>
      <w:ind w:left="700" w:leftChars="700" w:right="700" w:rightChars="700"/>
    </w:pPr>
    <w:rPr>
      <w:szCs w:val="21"/>
    </w:rPr>
  </w:style>
  <w:style w:type="paragraph" w:styleId="6">
    <w:name w:val="Normal Indent"/>
    <w:basedOn w:val="1"/>
    <w:qFormat/>
    <w:uiPriority w:val="0"/>
    <w:pPr>
      <w:ind w:firstLine="420"/>
    </w:pPr>
  </w:style>
  <w:style w:type="paragraph" w:styleId="7">
    <w:name w:val="toa heading"/>
    <w:basedOn w:val="1"/>
    <w:next w:val="1"/>
    <w:qFormat/>
    <w:uiPriority w:val="99"/>
    <w:pPr>
      <w:spacing w:before="120"/>
    </w:pPr>
    <w:rPr>
      <w:rFonts w:ascii="Arial" w:hAnsi="Arial" w:eastAsia="仿宋"/>
      <w:kern w:val="0"/>
      <w:sz w:val="24"/>
      <w:szCs w:val="20"/>
    </w:r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w:basedOn w:val="1"/>
    <w:qFormat/>
    <w:uiPriority w:val="1"/>
    <w:pPr>
      <w:spacing w:before="1"/>
      <w:ind w:left="637"/>
    </w:pPr>
    <w:rPr>
      <w:sz w:val="24"/>
      <w:szCs w:val="24"/>
    </w:rPr>
  </w:style>
  <w:style w:type="paragraph" w:styleId="11">
    <w:name w:val="Plain Text"/>
    <w:basedOn w:val="1"/>
    <w:qFormat/>
    <w:uiPriority w:val="0"/>
    <w:rPr>
      <w:rFonts w:hAnsi="Courier New" w:cs="Courier New"/>
      <w:szCs w:val="21"/>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rPr>
  </w:style>
  <w:style w:type="paragraph" w:styleId="13">
    <w:name w:val="footnote text"/>
    <w:basedOn w:val="1"/>
    <w:qFormat/>
    <w:uiPriority w:val="0"/>
    <w:pPr>
      <w:snapToGrid w:val="0"/>
      <w:jc w:val="left"/>
    </w:pPr>
    <w:rPr>
      <w:sz w:val="18"/>
    </w:rPr>
  </w:style>
  <w:style w:type="paragraph" w:styleId="14">
    <w:name w:val="toc 6"/>
    <w:next w:val="1"/>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15">
    <w:name w:val="toc 9"/>
    <w:basedOn w:val="1"/>
    <w:next w:val="1"/>
    <w:qFormat/>
    <w:uiPriority w:val="99"/>
    <w:pPr>
      <w:ind w:left="3360" w:leftChars="1600"/>
    </w:pPr>
  </w:style>
  <w:style w:type="paragraph" w:styleId="16">
    <w:name w:val="Normal (Web)"/>
    <w:basedOn w:val="1"/>
    <w:qFormat/>
    <w:uiPriority w:val="0"/>
    <w:pPr>
      <w:spacing w:before="100" w:beforeAutospacing="1" w:after="100" w:afterAutospacing="1"/>
    </w:pPr>
    <w:rPr>
      <w:kern w:val="1"/>
      <w:sz w:val="24"/>
      <w:szCs w:val="20"/>
    </w:rPr>
  </w:style>
  <w:style w:type="paragraph" w:styleId="17">
    <w:name w:val="Title"/>
    <w:basedOn w:val="1"/>
    <w:next w:val="1"/>
    <w:qFormat/>
    <w:uiPriority w:val="0"/>
    <w:pPr>
      <w:spacing w:line="520" w:lineRule="exact"/>
      <w:jc w:val="center"/>
      <w:outlineLvl w:val="3"/>
    </w:pPr>
    <w:rPr>
      <w:rFonts w:ascii="Cambria" w:hAnsi="Cambria"/>
      <w:b/>
      <w:bCs/>
      <w:sz w:val="28"/>
      <w:szCs w:val="32"/>
    </w:rPr>
  </w:style>
  <w:style w:type="paragraph" w:styleId="18">
    <w:name w:val="Body Text First Indent"/>
    <w:basedOn w:val="10"/>
    <w:next w:val="14"/>
    <w:qFormat/>
    <w:uiPriority w:val="0"/>
    <w:pPr>
      <w:spacing w:after="120"/>
      <w:ind w:firstLine="420" w:firstLineChars="100"/>
    </w:pPr>
    <w:rPr>
      <w:rFonts w:ascii="Times New Roman" w:hAnsi="Times New Roman" w:cs="Times New Roman"/>
      <w:sz w:val="21"/>
    </w:rPr>
  </w:style>
  <w:style w:type="paragraph" w:styleId="19">
    <w:name w:val="Body Text First Indent 2"/>
    <w:next w:val="18"/>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annotation reference"/>
    <w:basedOn w:val="22"/>
    <w:qFormat/>
    <w:uiPriority w:val="0"/>
    <w:rPr>
      <w:sz w:val="21"/>
      <w:szCs w:val="21"/>
    </w:rPr>
  </w:style>
  <w:style w:type="character" w:styleId="25">
    <w:name w:val="HTML Sample"/>
    <w:basedOn w:val="22"/>
    <w:qFormat/>
    <w:uiPriority w:val="0"/>
    <w:rPr>
      <w:rFonts w:ascii="Courier New" w:hAnsi="Courier New"/>
    </w:rPr>
  </w:style>
  <w:style w:type="paragraph" w:customStyle="1" w:styleId="2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文档正文"/>
    <w:basedOn w:val="1"/>
    <w:qFormat/>
    <w:uiPriority w:val="0"/>
    <w:pPr>
      <w:adjustRightInd w:val="0"/>
      <w:snapToGrid w:val="0"/>
      <w:spacing w:line="288" w:lineRule="auto"/>
      <w:ind w:firstLine="420" w:firstLineChars="200"/>
      <w:jc w:val="center"/>
      <w:textAlignment w:val="baseline"/>
    </w:pPr>
    <w:rPr>
      <w:bCs/>
    </w:rPr>
  </w:style>
  <w:style w:type="character" w:customStyle="1" w:styleId="28">
    <w:name w:val="标题 1 字符"/>
    <w:link w:val="2"/>
    <w:qFormat/>
    <w:uiPriority w:val="1"/>
    <w:rPr>
      <w:b/>
      <w:bCs/>
      <w:sz w:val="36"/>
      <w:szCs w:val="36"/>
    </w:rPr>
  </w:style>
  <w:style w:type="paragraph" w:customStyle="1" w:styleId="29">
    <w:name w:val="表格文字2"/>
    <w:basedOn w:val="30"/>
    <w:qFormat/>
    <w:uiPriority w:val="99"/>
    <w:pPr>
      <w:spacing w:before="25" w:after="25"/>
      <w:jc w:val="left"/>
    </w:pPr>
    <w:rPr>
      <w:bCs/>
      <w:spacing w:val="10"/>
      <w:kern w:val="0"/>
    </w:rPr>
  </w:style>
  <w:style w:type="paragraph" w:customStyle="1" w:styleId="30">
    <w:name w:val="正文1"/>
    <w:qFormat/>
    <w:uiPriority w:val="0"/>
    <w:pPr>
      <w:widowControl w:val="0"/>
      <w:jc w:val="both"/>
    </w:pPr>
    <w:rPr>
      <w:rFonts w:ascii="Calibri" w:hAnsi="Calibri" w:eastAsia="宋体" w:cs="Times New Roman"/>
      <w:kern w:val="2"/>
      <w:sz w:val="21"/>
      <w:szCs w:val="22"/>
      <w:lang w:val="en-US" w:eastAsia="zh-CN" w:bidi="ar-SA"/>
    </w:rPr>
  </w:style>
  <w:style w:type="paragraph" w:styleId="31">
    <w:name w:val="List Paragraph"/>
    <w:basedOn w:val="1"/>
    <w:qFormat/>
    <w:uiPriority w:val="1"/>
    <w:pPr>
      <w:spacing w:before="1"/>
      <w:ind w:left="637" w:firstLine="480"/>
    </w:pPr>
  </w:style>
  <w:style w:type="paragraph" w:customStyle="1" w:styleId="32">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3">
    <w:name w:val="reader-word-layer reader-word-s1-14"/>
    <w:basedOn w:val="1"/>
    <w:qFormat/>
    <w:uiPriority w:val="0"/>
    <w:pPr>
      <w:widowControl/>
      <w:spacing w:before="100" w:beforeAutospacing="1" w:after="100" w:afterAutospacing="1"/>
    </w:pPr>
    <w:rPr>
      <w:sz w:val="24"/>
    </w:rPr>
  </w:style>
  <w:style w:type="paragraph" w:customStyle="1" w:styleId="34">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customStyle="1" w:styleId="35">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6">
    <w:name w:val="È±Ê¡ÎÄ±¾"/>
    <w:basedOn w:val="1"/>
    <w:qFormat/>
    <w:uiPriority w:val="0"/>
    <w:pPr>
      <w:widowControl/>
      <w:overflowPunct w:val="0"/>
      <w:adjustRightInd w:val="0"/>
      <w:textAlignment w:val="baseline"/>
    </w:pPr>
    <w:rPr>
      <w:sz w:val="24"/>
      <w:szCs w:val="20"/>
    </w:rPr>
  </w:style>
  <w:style w:type="paragraph" w:customStyle="1" w:styleId="37">
    <w:name w:val="正文_0_0_2"/>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8">
    <w:name w:val="p0"/>
    <w:basedOn w:val="1"/>
    <w:qFormat/>
    <w:uiPriority w:val="0"/>
    <w:pPr>
      <w:widowControl/>
    </w:pPr>
    <w:rPr>
      <w:szCs w:val="21"/>
    </w:rPr>
  </w:style>
  <w:style w:type="paragraph" w:styleId="39">
    <w:name w:val="No Spacing"/>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1804</Words>
  <Characters>2107</Characters>
  <Lines>0</Lines>
  <Paragraphs>0</Paragraphs>
  <TotalTime>96</TotalTime>
  <ScaleCrop>false</ScaleCrop>
  <LinksUpToDate>false</LinksUpToDate>
  <CharactersWithSpaces>2184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2026-04-10T09:19:00Z</dcterms:created>
  <dc:creator>文彩飞扬</dc:creator>
  <cp:lastModifiedBy></cp:lastModifiedBy>
  <cp:lastPrinted>2026-05-18T05:17:00Z</cp:lastPrinted>
  <dcterms:modified xsi:type="dcterms:W3CDTF">2026-05-19T02:23:05Z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B77F378E7467417FA378A64C66BE23E3_13</vt:lpwstr>
  </property>
  <property fmtid="{D5CDD505-2E9C-101B-9397-08002B2CF9AE}" pid="4" name="KSOTemplateDocerSaveRecord">
    <vt:lpwstr>eyJoZGlkIjoiMWUxZDQ3MGViM2FjMjkzZTgxYWJmODg1ZGU5Y2RjOTkiLCJ1c2VySWQiOiIyODI0Nzg5MTUifQ==</vt:lpwstr>
  </property>
</Properties>
</file>