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C6022">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隶书" w:hAnsi="隶书" w:eastAsia="隶书" w:cs="隶书"/>
          <w:b/>
          <w:bCs/>
          <w:color w:val="000000" w:themeColor="text1"/>
          <w:sz w:val="56"/>
          <w:szCs w:val="56"/>
          <w:highlight w:val="none"/>
          <w:lang w:eastAsia="zh-CN"/>
          <w14:textFill>
            <w14:solidFill>
              <w14:schemeClr w14:val="tx1"/>
            </w14:solidFill>
          </w14:textFill>
        </w:rPr>
      </w:pPr>
      <w:r>
        <w:rPr>
          <w:rFonts w:hint="eastAsia" w:ascii="隶书" w:hAnsi="隶书" w:eastAsia="隶书" w:cs="隶书"/>
          <w:b/>
          <w:bCs/>
          <w:color w:val="000000" w:themeColor="text1"/>
          <w:sz w:val="56"/>
          <w:szCs w:val="56"/>
          <w:highlight w:val="none"/>
          <w:lang w:eastAsia="zh-CN"/>
          <w14:textFill>
            <w14:solidFill>
              <w14:schemeClr w14:val="tx1"/>
            </w14:solidFill>
          </w14:textFill>
        </w:rPr>
        <w:t>绍兴市看守所全自动包药机采购项目（重招）</w:t>
      </w:r>
    </w:p>
    <w:p w14:paraId="39DD5F30">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p>
    <w:p w14:paraId="3A6AF054">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公</w:t>
      </w:r>
    </w:p>
    <w:p w14:paraId="55E73ADF">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开</w:t>
      </w:r>
    </w:p>
    <w:p w14:paraId="18EFC612">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招</w:t>
      </w:r>
    </w:p>
    <w:p w14:paraId="125E8515">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标</w:t>
      </w:r>
    </w:p>
    <w:p w14:paraId="11484AD5">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文</w:t>
      </w:r>
    </w:p>
    <w:p w14:paraId="1402AEBB">
      <w:pPr>
        <w:kinsoku/>
        <w:wordWrap w:val="0"/>
        <w:overflowPunct/>
        <w:topLinePunct w:val="0"/>
        <w:bidi w:val="0"/>
        <w:jc w:val="center"/>
        <w:outlineLvl w:val="0"/>
        <w:rPr>
          <w:rFonts w:hint="eastAsia" w:ascii="隶书" w:hAnsi="隶书" w:eastAsia="隶书" w:cs="隶书"/>
          <w:color w:val="000000" w:themeColor="text1"/>
          <w:sz w:val="44"/>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件</w:t>
      </w:r>
    </w:p>
    <w:p w14:paraId="6D8B34B8">
      <w:pPr>
        <w:kinsoku/>
        <w:wordWrap w:val="0"/>
        <w:overflowPunct/>
        <w:topLinePunct w:val="0"/>
        <w:bidi w:val="0"/>
        <w:adjustRightInd/>
        <w:spacing w:line="360" w:lineRule="auto"/>
        <w:jc w:val="center"/>
        <w:rPr>
          <w:rFonts w:hint="eastAsia" w:ascii="隶书" w:hAnsi="隶书" w:eastAsia="隶书" w:cs="隶书"/>
          <w:b/>
          <w:color w:val="000000" w:themeColor="text1"/>
          <w:sz w:val="44"/>
          <w:szCs w:val="44"/>
          <w:highlight w:val="none"/>
          <w14:textFill>
            <w14:solidFill>
              <w14:schemeClr w14:val="tx1"/>
            </w14:solidFill>
          </w14:textFill>
        </w:rPr>
      </w:pPr>
      <w:r>
        <w:rPr>
          <w:rFonts w:hint="eastAsia" w:ascii="隶书" w:hAnsi="隶书" w:eastAsia="隶书" w:cs="隶书"/>
          <w:b/>
          <w:color w:val="000000" w:themeColor="text1"/>
          <w:sz w:val="44"/>
          <w:szCs w:val="44"/>
          <w:highlight w:val="none"/>
          <w14:textFill>
            <w14:solidFill>
              <w14:schemeClr w14:val="tx1"/>
            </w14:solidFill>
          </w14:textFill>
        </w:rPr>
        <w:t>（电子招投标）</w:t>
      </w:r>
    </w:p>
    <w:p w14:paraId="00A81B11">
      <w:pPr>
        <w:pStyle w:val="3"/>
        <w:kinsoku/>
        <w:wordWrap w:val="0"/>
        <w:overflowPunct/>
        <w:topLinePunct w:val="0"/>
        <w:bidi w:val="0"/>
        <w:rPr>
          <w:rFonts w:hint="eastAsia" w:ascii="隶书" w:hAnsi="隶书" w:eastAsia="隶书" w:cs="隶书"/>
          <w:b/>
          <w:color w:val="000000" w:themeColor="text1"/>
          <w:sz w:val="44"/>
          <w:szCs w:val="44"/>
          <w:highlight w:val="none"/>
          <w14:textFill>
            <w14:solidFill>
              <w14:schemeClr w14:val="tx1"/>
            </w14:solidFill>
          </w14:textFill>
        </w:rPr>
      </w:pPr>
    </w:p>
    <w:p w14:paraId="59712CDE">
      <w:pPr>
        <w:kinsoku/>
        <w:wordWrap w:val="0"/>
        <w:overflowPunct/>
        <w:topLinePunct w:val="0"/>
        <w:bidi w:val="0"/>
        <w:rPr>
          <w:rFonts w:hint="eastAsia"/>
          <w:color w:val="000000" w:themeColor="text1"/>
          <w:highlight w:val="none"/>
          <w14:textFill>
            <w14:solidFill>
              <w14:schemeClr w14:val="tx1"/>
            </w14:solidFill>
          </w14:textFill>
        </w:rPr>
      </w:pPr>
    </w:p>
    <w:p w14:paraId="15870591">
      <w:pPr>
        <w:kinsoku/>
        <w:wordWrap w:val="0"/>
        <w:overflowPunct/>
        <w:topLinePunct w:val="0"/>
        <w:bidi w:val="0"/>
        <w:jc w:val="center"/>
        <w:rPr>
          <w:rFonts w:hint="eastAsia" w:ascii="隶书" w:hAnsi="隶书" w:eastAsia="隶书" w:cs="隶书"/>
          <w:b w:val="0"/>
          <w:bCs/>
          <w:color w:val="000000" w:themeColor="text1"/>
          <w:sz w:val="28"/>
          <w:szCs w:val="28"/>
          <w:highlight w:val="none"/>
          <w:lang w:eastAsia="zh-CN"/>
          <w14:textFill>
            <w14:solidFill>
              <w14:schemeClr w14:val="tx1"/>
            </w14:solidFill>
          </w14:textFill>
        </w:rPr>
      </w:pPr>
      <w:r>
        <w:rPr>
          <w:rFonts w:hint="eastAsia" w:ascii="隶书" w:hAnsi="隶书" w:eastAsia="隶书" w:cs="隶书"/>
          <w:b/>
          <w:color w:val="000000" w:themeColor="text1"/>
          <w:sz w:val="44"/>
          <w:szCs w:val="44"/>
          <w:highlight w:val="none"/>
          <w14:textFill>
            <w14:solidFill>
              <w14:schemeClr w14:val="tx1"/>
            </w14:solidFill>
          </w14:textFill>
        </w:rPr>
        <w:t xml:space="preserve"> </w:t>
      </w:r>
      <w:r>
        <w:rPr>
          <w:rFonts w:hint="eastAsia" w:ascii="隶书" w:hAnsi="隶书" w:eastAsia="隶书" w:cs="隶书"/>
          <w:b w:val="0"/>
          <w:bCs/>
          <w:color w:val="000000" w:themeColor="text1"/>
          <w:sz w:val="28"/>
          <w:szCs w:val="28"/>
          <w:highlight w:val="none"/>
          <w:lang w:eastAsia="zh-CN"/>
          <w14:textFill>
            <w14:solidFill>
              <w14:schemeClr w14:val="tx1"/>
            </w14:solidFill>
          </w14:textFill>
        </w:rPr>
        <w:t>招标编号:</w:t>
      </w:r>
      <w:r>
        <w:rPr>
          <w:rFonts w:hint="eastAsia" w:ascii="隶书" w:hAnsi="隶书" w:eastAsia="隶书" w:cs="隶书"/>
          <w:b/>
          <w:bCs w:val="0"/>
          <w:color w:val="000000" w:themeColor="text1"/>
          <w:sz w:val="28"/>
          <w:szCs w:val="28"/>
          <w:highlight w:val="none"/>
          <w:lang w:eastAsia="zh-CN"/>
          <w14:textFill>
            <w14:solidFill>
              <w14:schemeClr w14:val="tx1"/>
            </w14:solidFill>
          </w14:textFill>
        </w:rPr>
        <w:t>330600262350060000003-SXHY-2026CG-0420</w:t>
      </w:r>
    </w:p>
    <w:tbl>
      <w:tblPr>
        <w:tblStyle w:val="62"/>
        <w:tblW w:w="7801" w:type="dxa"/>
        <w:jc w:val="center"/>
        <w:tblLayout w:type="fixed"/>
        <w:tblCellMar>
          <w:top w:w="0" w:type="dxa"/>
          <w:left w:w="108" w:type="dxa"/>
          <w:bottom w:w="0" w:type="dxa"/>
          <w:right w:w="108" w:type="dxa"/>
        </w:tblCellMar>
      </w:tblPr>
      <w:tblGrid>
        <w:gridCol w:w="2356"/>
        <w:gridCol w:w="5445"/>
      </w:tblGrid>
      <w:tr w14:paraId="3C5A1282">
        <w:tblPrEx>
          <w:tblCellMar>
            <w:top w:w="0" w:type="dxa"/>
            <w:left w:w="108" w:type="dxa"/>
            <w:bottom w:w="0" w:type="dxa"/>
            <w:right w:w="108" w:type="dxa"/>
          </w:tblCellMar>
        </w:tblPrEx>
        <w:trPr>
          <w:trHeight w:val="443" w:hRule="atLeast"/>
          <w:jc w:val="center"/>
        </w:trPr>
        <w:tc>
          <w:tcPr>
            <w:tcW w:w="2356" w:type="dxa"/>
          </w:tcPr>
          <w:p w14:paraId="693B4E3B">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pacing w:val="93"/>
                <w:kern w:val="0"/>
                <w:sz w:val="28"/>
                <w:szCs w:val="28"/>
                <w:highlight w:val="none"/>
                <w14:textFill>
                  <w14:solidFill>
                    <w14:schemeClr w14:val="tx1"/>
                  </w14:solidFill>
                </w14:textFill>
              </w:rPr>
              <w:t>采购单</w:t>
            </w:r>
            <w:r>
              <w:rPr>
                <w:rFonts w:hint="eastAsia" w:ascii="隶书" w:hAnsi="隶书" w:eastAsia="隶书" w:cs="隶书"/>
                <w:color w:val="000000" w:themeColor="text1"/>
                <w:spacing w:val="1"/>
                <w:kern w:val="0"/>
                <w:sz w:val="28"/>
                <w:szCs w:val="28"/>
                <w:highlight w:val="none"/>
                <w14:textFill>
                  <w14:solidFill>
                    <w14:schemeClr w14:val="tx1"/>
                  </w14:solidFill>
                </w14:textFill>
              </w:rPr>
              <w:t>位</w:t>
            </w:r>
            <w:r>
              <w:rPr>
                <w:rFonts w:hint="eastAsia" w:ascii="隶书" w:hAnsi="隶书" w:eastAsia="隶书" w:cs="隶书"/>
                <w:color w:val="000000" w:themeColor="text1"/>
                <w:sz w:val="28"/>
                <w:szCs w:val="28"/>
                <w:highlight w:val="none"/>
                <w14:textFill>
                  <w14:solidFill>
                    <w14:schemeClr w14:val="tx1"/>
                  </w14:solidFill>
                </w14:textFill>
              </w:rPr>
              <w:t>：</w:t>
            </w:r>
          </w:p>
        </w:tc>
        <w:tc>
          <w:tcPr>
            <w:tcW w:w="5445" w:type="dxa"/>
            <w:vAlign w:val="center"/>
          </w:tcPr>
          <w:p w14:paraId="0A10582C">
            <w:pPr>
              <w:kinsoku/>
              <w:wordWrap w:val="0"/>
              <w:overflowPunct/>
              <w:topLinePunct w:val="0"/>
              <w:bidi w:val="0"/>
              <w:spacing w:line="320" w:lineRule="exact"/>
              <w:outlineLvl w:val="0"/>
              <w:rPr>
                <w:rFonts w:hint="eastAsia" w:ascii="隶书" w:hAnsi="隶书" w:eastAsia="隶书" w:cs="隶书"/>
                <w:color w:val="000000" w:themeColor="text1"/>
                <w:sz w:val="28"/>
                <w:szCs w:val="28"/>
                <w:highlight w:val="none"/>
                <w:lang w:eastAsia="zh-CN"/>
                <w14:textFill>
                  <w14:solidFill>
                    <w14:schemeClr w14:val="tx1"/>
                  </w14:solidFill>
                </w14:textFill>
              </w:rPr>
            </w:pPr>
            <w:r>
              <w:rPr>
                <w:rFonts w:hint="eastAsia" w:ascii="隶书" w:hAnsi="隶书" w:eastAsia="隶书" w:cs="隶书"/>
                <w:color w:val="000000" w:themeColor="text1"/>
                <w:sz w:val="28"/>
                <w:szCs w:val="28"/>
                <w:highlight w:val="none"/>
                <w:lang w:eastAsia="zh-CN"/>
                <w14:textFill>
                  <w14:solidFill>
                    <w14:schemeClr w14:val="tx1"/>
                  </w14:solidFill>
                </w14:textFill>
              </w:rPr>
              <w:t>绍兴市看守所</w:t>
            </w:r>
          </w:p>
        </w:tc>
      </w:tr>
      <w:tr w14:paraId="71E05345">
        <w:tblPrEx>
          <w:tblCellMar>
            <w:top w:w="0" w:type="dxa"/>
            <w:left w:w="108" w:type="dxa"/>
            <w:bottom w:w="0" w:type="dxa"/>
            <w:right w:w="108" w:type="dxa"/>
          </w:tblCellMar>
        </w:tblPrEx>
        <w:trPr>
          <w:trHeight w:val="494" w:hRule="atLeast"/>
          <w:jc w:val="center"/>
        </w:trPr>
        <w:tc>
          <w:tcPr>
            <w:tcW w:w="2356" w:type="dxa"/>
          </w:tcPr>
          <w:p w14:paraId="09AE0279">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pacing w:val="0"/>
                <w:w w:val="100"/>
                <w:kern w:val="0"/>
                <w:sz w:val="28"/>
                <w:szCs w:val="28"/>
                <w:highlight w:val="none"/>
                <w:fitText w:val="1680" w:id="1811156363"/>
                <w14:textFill>
                  <w14:solidFill>
                    <w14:schemeClr w14:val="tx1"/>
                  </w14:solidFill>
                </w14:textFill>
              </w:rPr>
              <w:t>采购代理机构</w:t>
            </w:r>
            <w:r>
              <w:rPr>
                <w:rFonts w:hint="eastAsia" w:ascii="隶书" w:hAnsi="隶书" w:eastAsia="隶书" w:cs="隶书"/>
                <w:color w:val="000000" w:themeColor="text1"/>
                <w:sz w:val="28"/>
                <w:szCs w:val="28"/>
                <w:highlight w:val="none"/>
                <w14:textFill>
                  <w14:solidFill>
                    <w14:schemeClr w14:val="tx1"/>
                  </w14:solidFill>
                </w14:textFill>
              </w:rPr>
              <w:t>：</w:t>
            </w:r>
          </w:p>
        </w:tc>
        <w:tc>
          <w:tcPr>
            <w:tcW w:w="5445" w:type="dxa"/>
            <w:vAlign w:val="top"/>
          </w:tcPr>
          <w:p w14:paraId="15EB2D7B">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绍兴衡业工程管理咨询有限公司</w:t>
            </w:r>
          </w:p>
        </w:tc>
      </w:tr>
      <w:tr w14:paraId="102BF4D4">
        <w:tblPrEx>
          <w:tblCellMar>
            <w:top w:w="0" w:type="dxa"/>
            <w:left w:w="108" w:type="dxa"/>
            <w:bottom w:w="0" w:type="dxa"/>
            <w:right w:w="108" w:type="dxa"/>
          </w:tblCellMar>
        </w:tblPrEx>
        <w:trPr>
          <w:trHeight w:val="397" w:hRule="atLeast"/>
          <w:jc w:val="center"/>
        </w:trPr>
        <w:tc>
          <w:tcPr>
            <w:tcW w:w="2356" w:type="dxa"/>
            <w:vAlign w:val="center"/>
          </w:tcPr>
          <w:p w14:paraId="0A0B6CBD">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pacing w:val="93"/>
                <w:kern w:val="0"/>
                <w:sz w:val="28"/>
                <w:szCs w:val="28"/>
                <w:highlight w:val="none"/>
                <w:fitText w:val="1680" w:id="652623389"/>
                <w14:textFill>
                  <w14:solidFill>
                    <w14:schemeClr w14:val="tx1"/>
                  </w14:solidFill>
                </w14:textFill>
              </w:rPr>
              <w:t>监督单</w:t>
            </w:r>
            <w:r>
              <w:rPr>
                <w:rFonts w:hint="eastAsia" w:ascii="隶书" w:hAnsi="隶书" w:eastAsia="隶书" w:cs="隶书"/>
                <w:color w:val="000000" w:themeColor="text1"/>
                <w:spacing w:val="1"/>
                <w:kern w:val="0"/>
                <w:sz w:val="28"/>
                <w:szCs w:val="28"/>
                <w:highlight w:val="none"/>
                <w:fitText w:val="1680" w:id="652623389"/>
                <w14:textFill>
                  <w14:solidFill>
                    <w14:schemeClr w14:val="tx1"/>
                  </w14:solidFill>
                </w14:textFill>
              </w:rPr>
              <w:t>位</w:t>
            </w:r>
            <w:r>
              <w:rPr>
                <w:rFonts w:hint="eastAsia" w:ascii="隶书" w:hAnsi="隶书" w:eastAsia="隶书" w:cs="隶书"/>
                <w:color w:val="000000" w:themeColor="text1"/>
                <w:sz w:val="28"/>
                <w:szCs w:val="28"/>
                <w:highlight w:val="none"/>
                <w14:textFill>
                  <w14:solidFill>
                    <w14:schemeClr w14:val="tx1"/>
                  </w14:solidFill>
                </w14:textFill>
              </w:rPr>
              <w:t>：</w:t>
            </w:r>
          </w:p>
        </w:tc>
        <w:tc>
          <w:tcPr>
            <w:tcW w:w="5445" w:type="dxa"/>
            <w:vAlign w:val="top"/>
          </w:tcPr>
          <w:p w14:paraId="27FC8372">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宋体" w:eastAsia="隶书"/>
                <w:color w:val="000000" w:themeColor="text1"/>
                <w:sz w:val="28"/>
                <w:szCs w:val="28"/>
                <w:highlight w:val="none"/>
                <w14:textFill>
                  <w14:solidFill>
                    <w14:schemeClr w14:val="tx1"/>
                  </w14:solidFill>
                </w14:textFill>
              </w:rPr>
              <w:t>绍兴市财政局</w:t>
            </w:r>
          </w:p>
        </w:tc>
      </w:tr>
      <w:tr w14:paraId="784FC19E">
        <w:tblPrEx>
          <w:tblCellMar>
            <w:top w:w="0" w:type="dxa"/>
            <w:left w:w="108" w:type="dxa"/>
            <w:bottom w:w="0" w:type="dxa"/>
            <w:right w:w="108" w:type="dxa"/>
          </w:tblCellMar>
        </w:tblPrEx>
        <w:trPr>
          <w:trHeight w:val="333" w:hRule="atLeast"/>
          <w:jc w:val="center"/>
        </w:trPr>
        <w:tc>
          <w:tcPr>
            <w:tcW w:w="7801" w:type="dxa"/>
            <w:gridSpan w:val="2"/>
          </w:tcPr>
          <w:p w14:paraId="3BFC3C52">
            <w:pPr>
              <w:kinsoku/>
              <w:wordWrap w:val="0"/>
              <w:overflowPunct/>
              <w:topLinePunct w:val="0"/>
              <w:bidi w:val="0"/>
              <w:spacing w:after="100" w:afterAutospacing="1" w:line="440" w:lineRule="exact"/>
              <w:jc w:val="center"/>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z w:val="28"/>
                <w:szCs w:val="28"/>
                <w:highlight w:val="none"/>
                <w14:textFill>
                  <w14:solidFill>
                    <w14:schemeClr w14:val="tx1"/>
                  </w14:solidFill>
                </w14:textFill>
              </w:rPr>
              <w:t>二○二</w:t>
            </w:r>
            <w:r>
              <w:rPr>
                <w:rFonts w:hint="eastAsia" w:ascii="隶书" w:hAnsi="隶书" w:eastAsia="隶书" w:cs="隶书"/>
                <w:color w:val="000000" w:themeColor="text1"/>
                <w:sz w:val="28"/>
                <w:szCs w:val="28"/>
                <w:highlight w:val="none"/>
                <w:lang w:eastAsia="zh-CN"/>
                <w14:textFill>
                  <w14:solidFill>
                    <w14:schemeClr w14:val="tx1"/>
                  </w14:solidFill>
                </w14:textFill>
              </w:rPr>
              <w:t>六</w:t>
            </w:r>
            <w:r>
              <w:rPr>
                <w:rFonts w:hint="eastAsia" w:ascii="隶书" w:hAnsi="隶书" w:eastAsia="隶书" w:cs="隶书"/>
                <w:color w:val="000000" w:themeColor="text1"/>
                <w:sz w:val="28"/>
                <w:szCs w:val="28"/>
                <w:highlight w:val="none"/>
                <w14:textFill>
                  <w14:solidFill>
                    <w14:schemeClr w14:val="tx1"/>
                  </w14:solidFill>
                </w14:textFill>
              </w:rPr>
              <w:t>年</w:t>
            </w:r>
            <w:r>
              <w:rPr>
                <w:rFonts w:hint="eastAsia" w:ascii="隶书" w:hAnsi="隶书" w:eastAsia="隶书" w:cs="隶书"/>
                <w:color w:val="000000" w:themeColor="text1"/>
                <w:sz w:val="28"/>
                <w:szCs w:val="28"/>
                <w:highlight w:val="none"/>
                <w:lang w:val="en-US" w:eastAsia="zh-CN"/>
                <w14:textFill>
                  <w14:solidFill>
                    <w14:schemeClr w14:val="tx1"/>
                  </w14:solidFill>
                </w14:textFill>
              </w:rPr>
              <w:t>四</w:t>
            </w:r>
            <w:r>
              <w:rPr>
                <w:rFonts w:hint="eastAsia" w:ascii="隶书" w:hAnsi="隶书" w:eastAsia="隶书" w:cs="隶书"/>
                <w:color w:val="000000" w:themeColor="text1"/>
                <w:sz w:val="28"/>
                <w:szCs w:val="28"/>
                <w:highlight w:val="none"/>
                <w14:textFill>
                  <w14:solidFill>
                    <w14:schemeClr w14:val="tx1"/>
                  </w14:solidFill>
                </w14:textFill>
              </w:rPr>
              <w:t>月</w:t>
            </w:r>
          </w:p>
        </w:tc>
      </w:tr>
    </w:tbl>
    <w:p w14:paraId="7CCDDF78">
      <w:pPr>
        <w:pStyle w:val="636"/>
        <w:kinsoku/>
        <w:wordWrap w:val="0"/>
        <w:overflowPunct/>
        <w:topLinePunct w:val="0"/>
        <w:bidi w:val="0"/>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717B6CD2">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5929A34D">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31A18BD7">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4D8E521C">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0EB29EA0">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6FBC71E5">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57EA8E16">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0463767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76806090">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5DD4CF1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6B6FD3FC">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9F487A2">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5A23BCD">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C0D03B0">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6C34B95">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FA016B0">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A59CB58">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CCB9507">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4EB6CFB">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EDFC39A">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4C1819E">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7877DF6">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2EF7760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79E89B46">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0AA07A23">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59BE21B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000000" w:themeColor="text1"/>
          <w:sz w:val="36"/>
          <w:szCs w:val="20"/>
          <w:highlight w:val="none"/>
          <w14:textFill>
            <w14:solidFill>
              <w14:schemeClr w14:val="tx1"/>
            </w14:solidFill>
          </w14:textFill>
        </w:rPr>
      </w:pPr>
      <w:r>
        <w:rPr>
          <w:rFonts w:hint="eastAsia" w:ascii="仿宋_GB2312" w:hAnsi="仿宋_GB2312" w:eastAsia="仿宋_GB2312" w:cs="仿宋_GB2312"/>
          <w:b/>
          <w:color w:val="000000" w:themeColor="text1"/>
          <w:sz w:val="36"/>
          <w:szCs w:val="20"/>
          <w:highlight w:val="none"/>
          <w14:textFill>
            <w14:solidFill>
              <w14:schemeClr w14:val="tx1"/>
            </w14:solidFill>
          </w14:textFill>
        </w:rPr>
        <w:t>第一部分 招标公告</w:t>
      </w:r>
    </w:p>
    <w:p w14:paraId="76F4E7DC">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项目概况</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p w14:paraId="0671882F">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绍兴市看守所全自动包药机采购项目（重招）</w:t>
      </w:r>
      <w:r>
        <w:rPr>
          <w:rFonts w:hint="eastAsia" w:ascii="仿宋_GB2312" w:hAnsi="仿宋_GB2312" w:eastAsia="仿宋_GB2312" w:cs="仿宋_GB2312"/>
          <w:color w:val="000000" w:themeColor="text1"/>
          <w:sz w:val="24"/>
          <w:highlight w:val="none"/>
          <w14:textFill>
            <w14:solidFill>
              <w14:schemeClr w14:val="tx1"/>
            </w14:solidFill>
          </w14:textFill>
        </w:rPr>
        <w:t>招标项目的潜在投标人应在政采云平台（</w:t>
      </w:r>
      <w:r>
        <w:rPr>
          <w:rFonts w:hint="eastAsia" w:ascii="仿宋_GB2312" w:hAnsi="仿宋_GB2312" w:eastAsia="仿宋_GB2312" w:cs="仿宋_GB2312"/>
          <w:color w:val="000000" w:themeColor="text1"/>
          <w:highlight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_GB2312" w:hAnsi="仿宋_GB2312" w:eastAsia="仿宋_GB2312" w:cs="仿宋_GB2312"/>
          <w:color w:val="000000" w:themeColor="text1"/>
          <w:highlight w:val="none"/>
          <w14:textFill>
            <w14:solidFill>
              <w14:schemeClr w14:val="tx1"/>
            </w14:solidFill>
          </w14:textFill>
        </w:rPr>
        <w:fldChar w:fldCharType="separate"/>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https://www.zcygov.cn/）获取（下载）招标文件，并于202</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6</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年</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05</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月</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20</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日</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09</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点</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30</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分</w:t>
      </w:r>
      <w:r>
        <w:rPr>
          <w:rStyle w:val="76"/>
          <w:rFonts w:hint="eastAsia" w:ascii="仿宋_GB2312" w:hAnsi="仿宋_GB2312" w:eastAsia="仿宋_GB2312" w:cs="仿宋_GB2312"/>
          <w:bCs/>
          <w:snapToGrid/>
          <w:color w:val="000000" w:themeColor="text1"/>
          <w:kern w:val="2"/>
          <w:sz w:val="24"/>
          <w:szCs w:val="24"/>
          <w:highlight w:val="none"/>
          <w14:textFill>
            <w14:solidFill>
              <w14:schemeClr w14:val="tx1"/>
            </w14:solidFill>
          </w14:textFill>
        </w:rPr>
        <w:t>00秒</w:t>
      </w:r>
      <w:r>
        <w:rPr>
          <w:rStyle w:val="76"/>
          <w:rFonts w:hint="eastAsia" w:ascii="仿宋_GB2312" w:hAnsi="仿宋_GB2312" w:eastAsia="仿宋_GB2312" w:cs="仿宋_GB2312"/>
          <w:bCs/>
          <w:snapToGrid/>
          <w:color w:val="000000" w:themeColor="text1"/>
          <w:kern w:val="2"/>
          <w:sz w:val="24"/>
          <w:szCs w:val="24"/>
          <w:highlight w:val="none"/>
          <w14:textFill>
            <w14:solidFill>
              <w14:schemeClr w14:val="tx1"/>
            </w14:solidFill>
          </w14:textFill>
        </w:rPr>
        <w:fldChar w:fldCharType="end"/>
      </w:r>
      <w:r>
        <w:rPr>
          <w:rFonts w:hint="eastAsia" w:ascii="仿宋_GB2312" w:hAnsi="仿宋_GB2312" w:eastAsia="仿宋_GB2312" w:cs="仿宋_GB2312"/>
          <w:bCs/>
          <w:color w:val="000000" w:themeColor="text1"/>
          <w:sz w:val="24"/>
          <w:highlight w:val="none"/>
          <w14:textFill>
            <w14:solidFill>
              <w14:schemeClr w14:val="tx1"/>
            </w14:solidFill>
          </w14:textFill>
        </w:rPr>
        <w:t>（北京时间）前</w:t>
      </w:r>
      <w:r>
        <w:rPr>
          <w:rFonts w:hint="eastAsia" w:ascii="仿宋_GB2312" w:hAnsi="仿宋_GB2312" w:eastAsia="仿宋_GB2312" w:cs="仿宋_GB2312"/>
          <w:color w:val="000000" w:themeColor="text1"/>
          <w:sz w:val="24"/>
          <w:highlight w:val="none"/>
          <w14:textFill>
            <w14:solidFill>
              <w14:schemeClr w14:val="tx1"/>
            </w14:solidFill>
          </w14:textFill>
        </w:rPr>
        <w:t>递交（上传）投标文件。</w:t>
      </w:r>
    </w:p>
    <w:p w14:paraId="2B10FFDD">
      <w:pPr>
        <w:keepNext w:val="0"/>
        <w:keepLines w:val="0"/>
        <w:pageBreakBefore w:val="0"/>
        <w:widowControl w:val="0"/>
        <w:kinsoku/>
        <w:wordWrap w:val="0"/>
        <w:overflowPunct/>
        <w:topLinePunct w:val="0"/>
        <w:autoSpaceDE/>
        <w:autoSpaceDN/>
        <w:bidi w:val="0"/>
        <w:adjustRightInd w:val="0"/>
        <w:spacing w:line="400" w:lineRule="exact"/>
        <w:ind w:firstLine="480"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 xml:space="preserve">一、项目基本情况  </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w:t>
      </w:r>
    </w:p>
    <w:p w14:paraId="02F92EA8">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项目编号：</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330600262350060000003-SXHY-2026CG-0420</w:t>
      </w:r>
    </w:p>
    <w:p w14:paraId="6D0A7DA2">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项目名称：</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绍兴市看守所全自动包药机采购项目（重招）</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 </w:t>
      </w:r>
    </w:p>
    <w:p w14:paraId="2CF4A67A">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预算金额（元）：</w:t>
      </w:r>
      <w:r>
        <w:rPr>
          <w:rFonts w:hint="eastAsia" w:ascii="仿宋_GB2312" w:hAnsi="仿宋_GB2312" w:eastAsia="仿宋_GB2312" w:cs="仿宋_GB2312"/>
          <w:b w:val="0"/>
          <w:bCs/>
          <w:color w:val="000000" w:themeColor="text1"/>
          <w:sz w:val="24"/>
          <w:highlight w:val="none"/>
          <w:lang w:val="en-US" w:eastAsia="zh-CN"/>
          <w14:textFill>
            <w14:solidFill>
              <w14:schemeClr w14:val="tx1"/>
            </w14:solidFill>
          </w14:textFill>
        </w:rPr>
        <w:t>500000</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w:t>
      </w:r>
    </w:p>
    <w:p w14:paraId="083CC5F5">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最高限价（元）：</w:t>
      </w:r>
      <w:r>
        <w:rPr>
          <w:rFonts w:hint="eastAsia" w:ascii="仿宋_GB2312" w:hAnsi="仿宋_GB2312" w:eastAsia="仿宋_GB2312" w:cs="仿宋_GB2312"/>
          <w:b w:val="0"/>
          <w:bCs/>
          <w:color w:val="000000" w:themeColor="text1"/>
          <w:sz w:val="24"/>
          <w:highlight w:val="none"/>
          <w:lang w:val="en-US" w:eastAsia="zh-CN"/>
          <w14:textFill>
            <w14:solidFill>
              <w14:schemeClr w14:val="tx1"/>
            </w14:solidFill>
          </w14:textFill>
        </w:rPr>
        <w:t>500000</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w:t>
      </w:r>
    </w:p>
    <w:p w14:paraId="2E2710E1">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采购需求：</w:t>
      </w:r>
    </w:p>
    <w:p w14:paraId="5239223D">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标项一：</w:t>
      </w:r>
    </w:p>
    <w:p w14:paraId="497A2FAD">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标项名称：</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绍兴市看守所全自动包药机采购项目（重招）</w:t>
      </w:r>
    </w:p>
    <w:p w14:paraId="0A657ACD">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数量：1</w:t>
      </w:r>
    </w:p>
    <w:p w14:paraId="5526AB8F">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预算金额（元）：</w:t>
      </w:r>
      <w:r>
        <w:rPr>
          <w:rFonts w:hint="eastAsia" w:ascii="仿宋_GB2312" w:hAnsi="仿宋_GB2312" w:eastAsia="仿宋_GB2312" w:cs="仿宋_GB2312"/>
          <w:b w:val="0"/>
          <w:bCs/>
          <w:color w:val="000000" w:themeColor="text1"/>
          <w:sz w:val="24"/>
          <w:highlight w:val="none"/>
          <w:lang w:val="en-US" w:eastAsia="zh-CN"/>
          <w14:textFill>
            <w14:solidFill>
              <w14:schemeClr w14:val="tx1"/>
            </w14:solidFill>
          </w14:textFill>
        </w:rPr>
        <w:t>500000</w:t>
      </w:r>
    </w:p>
    <w:p w14:paraId="7291E087">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主要内容：简要规格描述或项目基本概况介绍、用途，详见采购文件。</w:t>
      </w:r>
    </w:p>
    <w:p w14:paraId="19BAF106">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default"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备注：无</w:t>
      </w:r>
    </w:p>
    <w:p w14:paraId="5C1F9A61">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合同履行期限</w:t>
      </w:r>
      <w:r>
        <w:rPr>
          <w:rFonts w:hint="eastAsia" w:ascii="仿宋_GB2312" w:hAnsi="仿宋_GB2312" w:eastAsia="仿宋_GB2312" w:cs="仿宋_GB2312"/>
          <w:color w:val="000000" w:themeColor="text1"/>
          <w:sz w:val="24"/>
          <w:highlight w:val="none"/>
          <w14:textFill>
            <w14:solidFill>
              <w14:schemeClr w14:val="tx1"/>
            </w14:solidFill>
          </w14:textFill>
        </w:rPr>
        <w:t>：按双方合同约定条款执行。</w:t>
      </w:r>
    </w:p>
    <w:p w14:paraId="07482BFD">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本项目接受联合体投标：</w:t>
      </w: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253497051"/>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_GB2312" w:hAnsi="仿宋_GB2312" w:eastAsia="仿宋_GB2312" w:cs="仿宋_GB2312"/>
              <w:color w:val="000000" w:themeColor="text1"/>
              <w:kern w:val="0"/>
              <w:sz w:val="24"/>
              <w:highlight w:val="none"/>
              <w14:textFill>
                <w14:solidFill>
                  <w14:schemeClr w14:val="tx1"/>
                </w14:solidFill>
              </w14:textFill>
            </w:rPr>
            <w:sym w:font="Wingdings" w:char="00FE"/>
          </w:r>
        </w:sdtContent>
      </w:sdt>
      <w:r>
        <w:rPr>
          <w:rFonts w:hint="eastAsia" w:ascii="仿宋_GB2312" w:hAnsi="仿宋_GB2312" w:eastAsia="仿宋_GB2312" w:cs="仿宋_GB2312"/>
          <w:b/>
          <w:color w:val="000000" w:themeColor="text1"/>
          <w:sz w:val="24"/>
          <w:highlight w:val="none"/>
          <w14:textFill>
            <w14:solidFill>
              <w14:schemeClr w14:val="tx1"/>
            </w14:solidFill>
          </w14:textFill>
        </w:rPr>
        <w:t>是，☐否。</w:t>
      </w:r>
    </w:p>
    <w:p w14:paraId="1446A564">
      <w:pPr>
        <w:keepNext w:val="0"/>
        <w:keepLines w:val="0"/>
        <w:pageBreakBefore w:val="0"/>
        <w:widowControl w:val="0"/>
        <w:kinsoku/>
        <w:wordWrap w:val="0"/>
        <w:overflowPunct/>
        <w:topLinePunct w:val="0"/>
        <w:autoSpaceDE/>
        <w:autoSpaceDN/>
        <w:bidi w:val="0"/>
        <w:adjustRightInd w:val="0"/>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二、申请人的资格要求</w:t>
      </w:r>
    </w:p>
    <w:p w14:paraId="18CEE3E6">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pP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满足《中华人民共和国政府采购法》第二十二条规定；未被“信用中国”（www.creditchina.gov.cn)、中国政府采购网（www.ccgp.gov.cn）列入失信被执行人、重大税收违法失信主体、政府采购严重违法失信行为记录名单；</w:t>
      </w:r>
    </w:p>
    <w:p w14:paraId="2C230B85">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pP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2.</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4ED748ED">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pP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3.落实政府采购政策需满足的资格要求：</w:t>
      </w:r>
    </w:p>
    <w:p w14:paraId="55F07914">
      <w:pPr>
        <w:keepNext w:val="0"/>
        <w:keepLines w:val="0"/>
        <w:pageBreakBefore w:val="0"/>
        <w:widowControl w:val="0"/>
        <w:kinsoku/>
        <w:wordWrap w:val="0"/>
        <w:overflowPunct/>
        <w:topLinePunct w:val="0"/>
        <w:autoSpaceDE/>
        <w:autoSpaceDN/>
        <w:bidi w:val="0"/>
        <w:adjustRightInd w:val="0"/>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7926"/>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72448"/>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sdtContent>
      </w:sdt>
      <w:r>
        <w:rPr>
          <w:rFonts w:hint="eastAsia" w:ascii="仿宋_GB2312" w:hAnsi="仿宋_GB2312" w:eastAsia="仿宋_GB2312" w:cs="仿宋_GB2312"/>
          <w:color w:val="000000" w:themeColor="text1"/>
          <w:sz w:val="24"/>
          <w:highlight w:val="none"/>
          <w14:textFill>
            <w14:solidFill>
              <w14:schemeClr w14:val="tx1"/>
            </w14:solidFill>
          </w14:textFill>
        </w:rPr>
        <w:t>无；</w:t>
      </w:r>
    </w:p>
    <w:p w14:paraId="771A4525">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53162"/>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73843"/>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sdtContent>
      </w:sdt>
      <w:r>
        <w:rPr>
          <w:rFonts w:hint="eastAsia" w:ascii="仿宋_GB2312" w:hAnsi="仿宋_GB2312" w:eastAsia="仿宋_GB2312" w:cs="仿宋_GB2312"/>
          <w:color w:val="000000" w:themeColor="text1"/>
          <w:kern w:val="0"/>
          <w:sz w:val="24"/>
          <w:highlight w:val="none"/>
          <w14:textFill>
            <w14:solidFill>
              <w14:schemeClr w14:val="tx1"/>
            </w14:solidFill>
          </w14:textFill>
        </w:rPr>
        <w:t>专</w:t>
      </w:r>
      <w:r>
        <w:rPr>
          <w:rFonts w:hint="eastAsia" w:ascii="仿宋_GB2312" w:hAnsi="仿宋_GB2312" w:eastAsia="仿宋_GB2312" w:cs="仿宋_GB2312"/>
          <w:color w:val="000000" w:themeColor="text1"/>
          <w:sz w:val="24"/>
          <w:highlight w:val="none"/>
          <w14:textFill>
            <w14:solidFill>
              <w14:schemeClr w14:val="tx1"/>
            </w14:solidFill>
          </w14:textFill>
        </w:rPr>
        <w:t>门面向中小企业</w:t>
      </w:r>
    </w:p>
    <w:p w14:paraId="6D40357F">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0135"/>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货物</w:t>
      </w:r>
      <w:r>
        <w:rPr>
          <w:rFonts w:hint="eastAsia" w:ascii="仿宋_GB2312" w:hAnsi="仿宋_GB2312" w:eastAsia="仿宋_GB2312" w:cs="仿宋_GB2312"/>
          <w:color w:val="000000" w:themeColor="text1"/>
          <w:sz w:val="24"/>
          <w:highlight w:val="none"/>
          <w14:textFill>
            <w14:solidFill>
              <w14:schemeClr w14:val="tx1"/>
            </w14:solidFill>
          </w14:textFill>
        </w:rPr>
        <w:t>全部由符合政策要求的中小企业</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制造</w:t>
      </w:r>
      <w:r>
        <w:rPr>
          <w:rFonts w:hint="eastAsia" w:ascii="仿宋_GB2312" w:hAnsi="仿宋_GB2312" w:eastAsia="仿宋_GB2312" w:cs="仿宋_GB2312"/>
          <w:color w:val="000000" w:themeColor="text1"/>
          <w:sz w:val="24"/>
          <w:highlight w:val="none"/>
          <w14:textFill>
            <w14:solidFill>
              <w14:schemeClr w14:val="tx1"/>
            </w14:solidFill>
          </w14:textFill>
        </w:rPr>
        <w:t>，提供中小企业声明函；</w:t>
      </w:r>
    </w:p>
    <w:p w14:paraId="7D3C839F">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货物</w:t>
      </w:r>
      <w:r>
        <w:rPr>
          <w:rFonts w:hint="eastAsia" w:ascii="仿宋_GB2312" w:hAnsi="仿宋_GB2312" w:eastAsia="仿宋_GB2312" w:cs="仿宋_GB2312"/>
          <w:color w:val="000000" w:themeColor="text1"/>
          <w:sz w:val="24"/>
          <w:highlight w:val="none"/>
          <w14:textFill>
            <w14:solidFill>
              <w14:schemeClr w14:val="tx1"/>
            </w14:solidFill>
          </w14:textFill>
        </w:rPr>
        <w:t>全部由符合政策要求的小微企业</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制造</w:t>
      </w:r>
      <w:r>
        <w:rPr>
          <w:rFonts w:hint="eastAsia" w:ascii="仿宋_GB2312" w:hAnsi="仿宋_GB2312" w:eastAsia="仿宋_GB2312" w:cs="仿宋_GB2312"/>
          <w:color w:val="000000" w:themeColor="text1"/>
          <w:sz w:val="24"/>
          <w:highlight w:val="none"/>
          <w14:textFill>
            <w14:solidFill>
              <w14:schemeClr w14:val="tx1"/>
            </w14:solidFill>
          </w14:textFill>
        </w:rPr>
        <w:t>，提供中小企业声明函；</w:t>
      </w:r>
    </w:p>
    <w:p w14:paraId="528A9D7D">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%，其中小微企业合同金额应当达到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6722E073">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 ，其中小微企业合同金额应当达到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 ;</w:t>
      </w:r>
      <w:r>
        <w:rPr>
          <w:rFonts w:hint="eastAsia" w:ascii="仿宋_GB2312" w:hAnsi="仿宋_GB2312" w:eastAsia="仿宋_GB2312" w:cs="仿宋_GB2312"/>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5C051C11">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4.本项目的特定资格要求：</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无；</w:t>
      </w:r>
    </w:p>
    <w:p w14:paraId="1AFA35C3">
      <w:pPr>
        <w:keepNext w:val="0"/>
        <w:keepLines w:val="0"/>
        <w:pageBreakBefore w:val="0"/>
        <w:widowControl w:val="0"/>
        <w:kinsoku/>
        <w:wordWrap w:val="0"/>
        <w:overflowPunct/>
        <w:topLinePunct w:val="0"/>
        <w:autoSpaceDE/>
        <w:autoSpaceDN/>
        <w:bidi w:val="0"/>
        <w:adjustRightInd w:val="0"/>
        <w:snapToGrid w:val="0"/>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32722E">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 xml:space="preserve">三、获取招标文件 </w:t>
      </w:r>
    </w:p>
    <w:p w14:paraId="0DD6B6E7">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时间：</w:t>
      </w:r>
      <w:r>
        <w:rPr>
          <w:rFonts w:hint="eastAsia" w:ascii="仿宋_GB2312" w:hAnsi="仿宋_GB2312" w:eastAsia="仿宋_GB2312" w:cs="仿宋_GB2312"/>
          <w:color w:val="000000" w:themeColor="text1"/>
          <w:sz w:val="24"/>
          <w:highlight w:val="none"/>
          <w14:textFill>
            <w14:solidFill>
              <w14:schemeClr w14:val="tx1"/>
            </w14:solidFill>
          </w14:textFill>
        </w:rPr>
        <w:t>/至</w:t>
      </w:r>
      <w:r>
        <w:rPr>
          <w:rFonts w:hint="eastAsia" w:ascii="仿宋_GB2312" w:hAnsi="仿宋_GB2312" w:eastAsia="仿宋_GB2312" w:cs="仿宋_GB2312"/>
          <w:color w:val="000000" w:themeColor="text1"/>
          <w:sz w:val="24"/>
          <w:highlight w:val="none"/>
          <w:u w:val="single"/>
          <w14:textFill>
            <w14:solidFill>
              <w14:schemeClr w14:val="tx1"/>
            </w14:solidFill>
          </w14:textFill>
        </w:rPr>
        <w:t>2026年0</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u w:val="single"/>
          <w14:textFill>
            <w14:solidFill>
              <w14:schemeClr w14:val="tx1"/>
            </w14:solidFill>
          </w14:textFill>
        </w:rPr>
        <w:t>月2</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0</w:t>
      </w:r>
      <w:r>
        <w:rPr>
          <w:rFonts w:hint="eastAsia" w:ascii="仿宋_GB2312" w:hAnsi="仿宋_GB2312" w:eastAsia="仿宋_GB2312" w:cs="仿宋_GB2312"/>
          <w:color w:val="000000" w:themeColor="text1"/>
          <w:sz w:val="24"/>
          <w:highlight w:val="none"/>
          <w:u w:val="single"/>
          <w14:textFill>
            <w14:solidFill>
              <w14:schemeClr w14:val="tx1"/>
            </w14:solidFill>
          </w14:textFill>
        </w:rPr>
        <w:t>日</w:t>
      </w:r>
      <w:r>
        <w:rPr>
          <w:rFonts w:hint="eastAsia" w:ascii="仿宋_GB2312" w:hAnsi="仿宋_GB2312" w:eastAsia="仿宋_GB2312" w:cs="仿宋_GB2312"/>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3F1A1EA4">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地点（网址）：</w:t>
      </w:r>
      <w:r>
        <w:rPr>
          <w:rFonts w:hint="eastAsia" w:ascii="仿宋_GB2312" w:hAnsi="仿宋_GB2312" w:eastAsia="仿宋_GB2312" w:cs="仿宋_GB2312"/>
          <w:color w:val="000000" w:themeColor="text1"/>
          <w:sz w:val="24"/>
          <w:highlight w:val="none"/>
          <w14:textFill>
            <w14:solidFill>
              <w14:schemeClr w14:val="tx1"/>
            </w14:solidFill>
          </w14:textFill>
        </w:rPr>
        <w:t xml:space="preserve">政采云平台（https://www.zcygov.cn/） </w:t>
      </w:r>
    </w:p>
    <w:p w14:paraId="64D858BC">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方式：</w:t>
      </w:r>
      <w:r>
        <w:rPr>
          <w:rFonts w:hint="eastAsia" w:ascii="仿宋_GB2312" w:hAnsi="仿宋_GB2312" w:eastAsia="仿宋_GB2312" w:cs="仿宋_GB2312"/>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41D35F5E">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售价（元）：</w:t>
      </w:r>
      <w:r>
        <w:rPr>
          <w:rFonts w:hint="eastAsia" w:ascii="仿宋_GB2312" w:hAnsi="仿宋_GB2312" w:eastAsia="仿宋_GB2312" w:cs="仿宋_GB2312"/>
          <w:color w:val="000000" w:themeColor="text1"/>
          <w:sz w:val="24"/>
          <w:highlight w:val="none"/>
          <w14:textFill>
            <w14:solidFill>
              <w14:schemeClr w14:val="tx1"/>
            </w14:solidFill>
          </w14:textFill>
        </w:rPr>
        <w:t xml:space="preserve">0 </w:t>
      </w:r>
      <w:r>
        <w:rPr>
          <w:rFonts w:hint="eastAsia" w:ascii="仿宋_GB2312" w:hAnsi="仿宋_GB2312" w:eastAsia="仿宋_GB2312" w:cs="仿宋_GB2312"/>
          <w:color w:val="000000" w:themeColor="text1"/>
          <w:sz w:val="24"/>
          <w:highlight w:val="none"/>
          <w14:textFill>
            <w14:solidFill>
              <w14:schemeClr w14:val="tx1"/>
            </w14:solidFill>
          </w14:textFill>
        </w:rPr>
        <w:tab/>
      </w:r>
    </w:p>
    <w:p w14:paraId="4023D20A">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四、提交投标文件截止时间、开标时间和地点</w:t>
      </w:r>
    </w:p>
    <w:p w14:paraId="4647179B">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提交投标文件截止时间：</w:t>
      </w:r>
      <w:r>
        <w:rPr>
          <w:rFonts w:hint="eastAsia" w:ascii="仿宋_GB2312" w:hAnsi="仿宋_GB2312" w:eastAsia="仿宋_GB2312" w:cs="仿宋_GB2312"/>
          <w:color w:val="000000" w:themeColor="text1"/>
          <w:sz w:val="24"/>
          <w:highlight w:val="none"/>
          <w:u w:val="single"/>
          <w14:textFill>
            <w14:solidFill>
              <w14:schemeClr w14:val="tx1"/>
            </w14:solidFill>
          </w14:textFill>
        </w:rPr>
        <w:t>2026年0</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u w:val="single"/>
          <w14:textFill>
            <w14:solidFill>
              <w14:schemeClr w14:val="tx1"/>
            </w14:solidFill>
          </w14:textFill>
        </w:rPr>
        <w:t>月2</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0</w:t>
      </w:r>
      <w:r>
        <w:rPr>
          <w:rFonts w:hint="eastAsia" w:ascii="仿宋_GB2312" w:hAnsi="仿宋_GB2312" w:eastAsia="仿宋_GB2312" w:cs="仿宋_GB2312"/>
          <w:color w:val="000000" w:themeColor="text1"/>
          <w:sz w:val="24"/>
          <w:highlight w:val="none"/>
          <w:u w:val="single"/>
          <w14:textFill>
            <w14:solidFill>
              <w14:schemeClr w14:val="tx1"/>
            </w14:solidFill>
          </w14:textFill>
        </w:rPr>
        <w:t>日09点30分00秒</w:t>
      </w:r>
      <w:r>
        <w:rPr>
          <w:rFonts w:hint="eastAsia" w:ascii="仿宋_GB2312" w:hAnsi="仿宋_GB2312" w:eastAsia="仿宋_GB2312" w:cs="仿宋_GB2312"/>
          <w:color w:val="000000" w:themeColor="text1"/>
          <w:sz w:val="24"/>
          <w:highlight w:val="none"/>
          <w14:textFill>
            <w14:solidFill>
              <w14:schemeClr w14:val="tx1"/>
            </w14:solidFill>
          </w14:textFill>
        </w:rPr>
        <w:t>（北京时间）</w:t>
      </w:r>
    </w:p>
    <w:p w14:paraId="49B1EE86">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投标地点（网址）：</w:t>
      </w:r>
      <w:r>
        <w:rPr>
          <w:rFonts w:hint="eastAsia" w:ascii="仿宋_GB2312" w:hAnsi="仿宋_GB2312" w:eastAsia="仿宋_GB2312" w:cs="仿宋_GB2312"/>
          <w:color w:val="000000" w:themeColor="text1"/>
          <w:sz w:val="24"/>
          <w:highlight w:val="none"/>
          <w14:textFill>
            <w14:solidFill>
              <w14:schemeClr w14:val="tx1"/>
            </w14:solidFill>
          </w14:textFill>
        </w:rPr>
        <w:t xml:space="preserve">政采云平台（https://www.zcygov.cn/） </w:t>
      </w:r>
    </w:p>
    <w:p w14:paraId="31276E5E">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bCs/>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开标时间：</w:t>
      </w:r>
      <w:r>
        <w:rPr>
          <w:rFonts w:hint="eastAsia" w:ascii="仿宋_GB2312" w:hAnsi="仿宋_GB2312" w:eastAsia="仿宋_GB2312" w:cs="仿宋_GB2312"/>
          <w:color w:val="000000" w:themeColor="text1"/>
          <w:sz w:val="24"/>
          <w:highlight w:val="none"/>
          <w:u w:val="single"/>
          <w14:textFill>
            <w14:solidFill>
              <w14:schemeClr w14:val="tx1"/>
            </w14:solidFill>
          </w14:textFill>
        </w:rPr>
        <w:t>2026年0</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u w:val="single"/>
          <w14:textFill>
            <w14:solidFill>
              <w14:schemeClr w14:val="tx1"/>
            </w14:solidFill>
          </w14:textFill>
        </w:rPr>
        <w:t>月2</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0</w:t>
      </w:r>
      <w:r>
        <w:rPr>
          <w:rFonts w:hint="eastAsia" w:ascii="仿宋_GB2312" w:hAnsi="仿宋_GB2312" w:eastAsia="仿宋_GB2312" w:cs="仿宋_GB2312"/>
          <w:color w:val="000000" w:themeColor="text1"/>
          <w:sz w:val="24"/>
          <w:highlight w:val="none"/>
          <w:u w:val="single"/>
          <w14:textFill>
            <w14:solidFill>
              <w14:schemeClr w14:val="tx1"/>
            </w14:solidFill>
          </w14:textFill>
        </w:rPr>
        <w:t>日09点30分00秒</w:t>
      </w:r>
    </w:p>
    <w:p w14:paraId="42512E50">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开标地点（网址）：</w:t>
      </w:r>
      <w:r>
        <w:rPr>
          <w:rFonts w:hint="eastAsia" w:ascii="仿宋_GB2312" w:hAnsi="仿宋_GB2312" w:eastAsia="仿宋_GB2312" w:cs="仿宋_GB2312"/>
          <w:color w:val="000000" w:themeColor="text1"/>
          <w:sz w:val="24"/>
          <w:highlight w:val="none"/>
          <w14:textFill>
            <w14:solidFill>
              <w14:schemeClr w14:val="tx1"/>
            </w14:solidFill>
          </w14:textFill>
        </w:rPr>
        <w:t>政采云平台（https://www.zcygov.cn/）</w:t>
      </w:r>
    </w:p>
    <w:p w14:paraId="0CA3D19D">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 xml:space="preserve">五、公告期限 </w:t>
      </w:r>
    </w:p>
    <w:p w14:paraId="40161192">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自本公告发布之日起5个工作日。</w:t>
      </w:r>
    </w:p>
    <w:p w14:paraId="713F0097">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六、其他补充事宜</w:t>
      </w:r>
    </w:p>
    <w:p w14:paraId="5C438578">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3号）、《浙江省财政厅关于进一步促进政府采购公平竞争打造最优营商环境的通知》（浙财采监〔2021</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22号））、《浙江省财政厅关于进一步加大政府采购支持中小企业力度助力扎实稳住经济的通知》 （浙财采监〔2022</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p>
    <w:p w14:paraId="02EE99CB">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政务</w:t>
      </w:r>
      <w:r>
        <w:rPr>
          <w:rFonts w:hint="eastAsia" w:ascii="仿宋_GB2312" w:hAnsi="仿宋_GB2312" w:eastAsia="仿宋_GB2312" w:cs="仿宋_GB2312"/>
          <w:color w:val="000000" w:themeColor="text1"/>
          <w:sz w:val="24"/>
          <w:highlight w:val="none"/>
          <w14:textFill>
            <w14:solidFill>
              <w14:schemeClr w14:val="tx1"/>
            </w14:solidFill>
          </w14:textFill>
        </w:rPr>
        <w:t>服务网-政府采购投诉处理-在线办理。</w:t>
      </w:r>
    </w:p>
    <w:p w14:paraId="7ADF8B49">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B6BF92">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9EA5260">
      <w:pPr>
        <w:pageBreakBefore w:val="0"/>
        <w:widowControl w:val="0"/>
        <w:kinsoku/>
        <w:wordWrap w:val="0"/>
        <w:overflowPunct/>
        <w:topLinePunct w:val="0"/>
        <w:autoSpaceDE/>
        <w:autoSpaceDN/>
        <w:bidi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七、对本次采购提出询问、质疑、投诉，请按以下方式联系</w:t>
      </w:r>
    </w:p>
    <w:p w14:paraId="1B853870">
      <w:pPr>
        <w:pStyle w:val="3"/>
        <w:pageBreakBefore w:val="0"/>
        <w:widowControl w:val="0"/>
        <w:numPr>
          <w:ilvl w:val="0"/>
          <w:numId w:val="0"/>
        </w:numPr>
        <w:kinsoku/>
        <w:wordWrap w:val="0"/>
        <w:overflowPunct/>
        <w:topLinePunct w:val="0"/>
        <w:autoSpaceDE/>
        <w:autoSpaceDN/>
        <w:bidi w:val="0"/>
        <w:snapToGrid/>
        <w:spacing w:line="400" w:lineRule="exact"/>
        <w:ind w:left="0"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bookmarkStart w:id="5" w:name="_Toc35393806"/>
      <w:bookmarkStart w:id="6" w:name="_Toc28359019"/>
      <w:bookmarkStart w:id="7" w:name="_Toc35393637"/>
      <w:bookmarkStart w:id="8" w:name="_Toc28359096"/>
      <w:r>
        <w:rPr>
          <w:rFonts w:hint="eastAsia" w:ascii="仿宋_GB2312" w:hAnsi="仿宋_GB2312" w:eastAsia="仿宋_GB2312" w:cs="仿宋_GB2312"/>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2B514649">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名    称：</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绍兴市看守所</w:t>
      </w:r>
    </w:p>
    <w:p w14:paraId="7F1C7F33">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地    址：绍兴市越城区皋埠街道牌口村 </w:t>
      </w:r>
    </w:p>
    <w:p w14:paraId="4FDCF407">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传    真：</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p>
    <w:p w14:paraId="548CC135">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项目联系人（询问）：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凌南鹏</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p>
    <w:p w14:paraId="5A54861C">
      <w:pPr>
        <w:pageBreakBefore w:val="0"/>
        <w:widowControl w:val="0"/>
        <w:kinsoku/>
        <w:wordWrap w:val="0"/>
        <w:overflowPunct/>
        <w:topLinePunct w:val="0"/>
        <w:autoSpaceDE/>
        <w:autoSpaceDN/>
        <w:bidi w:val="0"/>
        <w:snapToGrid/>
        <w:spacing w:line="400" w:lineRule="exact"/>
        <w:ind w:left="0" w:firstLine="480" w:firstLineChars="200"/>
        <w:textAlignment w:val="auto"/>
        <w:rPr>
          <w:rFonts w:hint="default" w:ascii="仿宋_GB2312" w:hAnsi="仿宋_GB2312" w:eastAsia="仿宋_GB2312" w:cs="仿宋_GB2312"/>
          <w:color w:val="000000" w:themeColor="text1"/>
          <w:sz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项目联系方式（询问）：0575-</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88582696</w:t>
      </w:r>
    </w:p>
    <w:p w14:paraId="4DBDC9BB">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质疑联系人：</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陈静</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p>
    <w:p w14:paraId="1C080937">
      <w:pPr>
        <w:pageBreakBefore w:val="0"/>
        <w:widowControl w:val="0"/>
        <w:kinsoku/>
        <w:wordWrap w:val="0"/>
        <w:overflowPunct/>
        <w:topLinePunct w:val="0"/>
        <w:autoSpaceDE/>
        <w:autoSpaceDN/>
        <w:bidi w:val="0"/>
        <w:snapToGrid/>
        <w:spacing w:line="400" w:lineRule="exact"/>
        <w:ind w:left="0" w:firstLine="480" w:firstLineChars="200"/>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质疑联系方式：</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0575-88582659</w:t>
      </w:r>
    </w:p>
    <w:p w14:paraId="0694D16E">
      <w:pPr>
        <w:pStyle w:val="3"/>
        <w:pageBreakBefore w:val="0"/>
        <w:widowControl w:val="0"/>
        <w:numPr>
          <w:ilvl w:val="0"/>
          <w:numId w:val="0"/>
        </w:numPr>
        <w:kinsoku/>
        <w:wordWrap w:val="0"/>
        <w:overflowPunct/>
        <w:topLinePunct w:val="0"/>
        <w:autoSpaceDE/>
        <w:autoSpaceDN/>
        <w:bidi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bookmarkStart w:id="9" w:name="_Toc35393638"/>
      <w:bookmarkStart w:id="10" w:name="_Toc28359097"/>
      <w:bookmarkStart w:id="11" w:name="_Toc28359020"/>
      <w:bookmarkStart w:id="12" w:name="_Toc35393807"/>
      <w:r>
        <w:rPr>
          <w:rFonts w:hint="eastAsia" w:ascii="仿宋_GB2312" w:hAnsi="仿宋_GB2312" w:eastAsia="仿宋_GB2312" w:cs="仿宋_GB2312"/>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3C8F40FD">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bookmarkStart w:id="13" w:name="_Toc35393639"/>
      <w:bookmarkStart w:id="14" w:name="_Toc35393808"/>
      <w:bookmarkStart w:id="15" w:name="_Toc28359021"/>
      <w:bookmarkStart w:id="16" w:name="_Toc28359098"/>
      <w:r>
        <w:rPr>
          <w:rFonts w:hint="eastAsia" w:ascii="仿宋_GB2312" w:hAnsi="仿宋_GB2312" w:eastAsia="仿宋_GB2312" w:cs="仿宋_GB2312"/>
          <w:b w:val="0"/>
          <w:bCs w:val="0"/>
          <w:color w:val="000000" w:themeColor="text1"/>
          <w:sz w:val="24"/>
          <w:highlight w:val="none"/>
          <w14:textFill>
            <w14:solidFill>
              <w14:schemeClr w14:val="tx1"/>
            </w14:solidFill>
          </w14:textFill>
        </w:rPr>
        <w:t>名</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称：</w:t>
      </w:r>
      <w:r>
        <w:rPr>
          <w:rFonts w:hint="eastAsia" w:ascii="仿宋_GB2312" w:hAnsi="仿宋_GB2312" w:eastAsia="仿宋_GB2312" w:cs="仿宋_GB2312"/>
          <w:b w:val="0"/>
          <w:bCs w:val="0"/>
          <w:color w:val="000000" w:themeColor="text1"/>
          <w:sz w:val="24"/>
          <w:highlight w:val="none"/>
          <w:lang w:eastAsia="zh-CN"/>
          <w14:textFill>
            <w14:solidFill>
              <w14:schemeClr w14:val="tx1"/>
            </w14:solidFill>
          </w14:textFill>
        </w:rPr>
        <w:t>绍兴衡业工程管理咨询有限公司</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       </w:t>
      </w:r>
    </w:p>
    <w:p w14:paraId="6356C69E">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14:textFill>
            <w14:solidFill>
              <w14:schemeClr w14:val="tx1"/>
            </w14:solidFill>
          </w14:textFill>
        </w:rPr>
        <w:t>地</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址：</w:t>
      </w:r>
      <w:r>
        <w:rPr>
          <w:rFonts w:hint="eastAsia" w:ascii="仿宋" w:hAnsi="仿宋" w:eastAsia="仿宋" w:cs="仿宋"/>
          <w:color w:val="000000" w:themeColor="text1"/>
          <w:sz w:val="24"/>
          <w:highlight w:val="none"/>
          <w:lang w:eastAsia="zh-CN"/>
          <w14:textFill>
            <w14:solidFill>
              <w14:schemeClr w14:val="tx1"/>
            </w14:solidFill>
          </w14:textFill>
        </w:rPr>
        <w:t>绍兴市越城区</w:t>
      </w:r>
      <w:r>
        <w:rPr>
          <w:rFonts w:hint="eastAsia" w:ascii="仿宋" w:hAnsi="仿宋" w:eastAsia="仿宋" w:cs="仿宋"/>
          <w:color w:val="000000" w:themeColor="text1"/>
          <w:sz w:val="24"/>
          <w:highlight w:val="none"/>
          <w:lang w:val="en-US" w:eastAsia="zh-CN"/>
          <w14:textFill>
            <w14:solidFill>
              <w14:schemeClr w14:val="tx1"/>
            </w14:solidFill>
          </w14:textFill>
        </w:rPr>
        <w:t>凤林西路16号泗汇里商业中心西侧四楼</w:t>
      </w:r>
    </w:p>
    <w:p w14:paraId="50BEF2A2">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14:textFill>
            <w14:solidFill>
              <w14:schemeClr w14:val="tx1"/>
            </w14:solidFill>
          </w14:textFill>
        </w:rPr>
        <w:t>传</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真：</w:t>
      </w: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    </w:t>
      </w:r>
    </w:p>
    <w:p w14:paraId="6FEEEDDA">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许静丽、孟琴波</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     </w:t>
      </w:r>
    </w:p>
    <w:p w14:paraId="07690F38">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项目联系方式（询问）：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15068509660</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2A2ACF09">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质疑联系人：</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杜磊</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635FD9E9">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13065779166</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6F1A8D16">
      <w:pPr>
        <w:pageBreakBefore w:val="0"/>
        <w:widowControl w:val="0"/>
        <w:kinsoku/>
        <w:wordWrap w:val="0"/>
        <w:overflowPunct/>
        <w:topLinePunct w:val="0"/>
        <w:autoSpaceDE/>
        <w:autoSpaceDN/>
        <w:bidi w:val="0"/>
        <w:snapToGrid/>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3.</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56C08121">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名</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称：绍兴市财政局       </w:t>
      </w:r>
    </w:p>
    <w:p w14:paraId="7A2917BC">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地</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址：绍兴市越城区凤林西路151号       </w:t>
      </w:r>
    </w:p>
    <w:p w14:paraId="7A01E361">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传</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真：/     </w:t>
      </w:r>
    </w:p>
    <w:p w14:paraId="389670F0">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联 系 人 ：张婷婷      </w:t>
      </w:r>
    </w:p>
    <w:p w14:paraId="149914BA">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监督投诉电话：0575-85209697 </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p>
    <w:p w14:paraId="32337AE4">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03BA7877">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CA问题联系电话（人工）：汇信CA 400-888-4636；天谷CA 400-087-8198。</w:t>
      </w:r>
    </w:p>
    <w:p w14:paraId="10BE7BC8">
      <w:pPr>
        <w:widowControl/>
        <w:kinsoku/>
        <w:wordWrap w:val="0"/>
        <w:overflowPunct/>
        <w:topLinePunct w:val="0"/>
        <w:bidi w:val="0"/>
        <w:adjustRightInd/>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57FA47B1">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5C1BC61F">
      <w:pPr>
        <w:kinsoku/>
        <w:wordWrap w:val="0"/>
        <w:overflowPunct/>
        <w:topLinePunct w:val="0"/>
        <w:bidi w:val="0"/>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BF7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803BBE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0DCDDCE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3208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9C011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02A7721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1C821B34">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047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B3EFF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507DDA5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169456D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4B0E2C3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7E7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622007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7B428D66">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654F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3C49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0C6C598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0122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8F7F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3A446B9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52127"/>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_GB2312" w:hAnsi="仿宋_GB2312" w:eastAsia="仿宋_GB2312" w:cs="仿宋_GB2312"/>
                    <w:color w:val="000000" w:themeColor="text1"/>
                    <w:kern w:val="0"/>
                    <w:sz w:val="24"/>
                    <w:highlight w:val="none"/>
                    <w14:textFill>
                      <w14:solidFill>
                        <w14:schemeClr w14:val="tx1"/>
                      </w14:solidFill>
                    </w14:textFill>
                  </w:rPr>
                  <w:sym w:font="Wingdings" w:char="00A8"/>
                </w:r>
              </w:sdtContent>
            </w:sdt>
            <w:r>
              <w:rPr>
                <w:rFonts w:hint="eastAsia" w:ascii="仿宋" w:hAnsi="仿宋" w:eastAsia="仿宋" w:cs="仿宋"/>
                <w:color w:val="000000" w:themeColor="text1"/>
                <w:kern w:val="0"/>
                <w:sz w:val="24"/>
                <w:highlight w:val="none"/>
                <w14:textFill>
                  <w14:solidFill>
                    <w14:schemeClr w14:val="tx1"/>
                  </w14:solidFill>
                </w14:textFill>
              </w:rPr>
              <w:t xml:space="preserve"> A</w:t>
            </w:r>
            <w:r>
              <w:rPr>
                <w:rFonts w:hint="eastAsia" w:ascii="仿宋" w:hAnsi="仿宋" w:eastAsia="仿宋" w:cs="仿宋"/>
                <w:color w:val="000000" w:themeColor="text1"/>
                <w:sz w:val="24"/>
                <w:highlight w:val="none"/>
                <w14:textFill>
                  <w14:solidFill>
                    <w14:schemeClr w14:val="tx1"/>
                  </w14:solidFill>
                </w14:textFill>
              </w:rPr>
              <w:t>同意将非主体、非关键性的工作分包。</w:t>
            </w:r>
          </w:p>
          <w:p w14:paraId="34760D80">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7498"/>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_GB2312" w:hAnsi="仿宋_GB2312" w:eastAsia="仿宋_GB2312" w:cs="仿宋_GB2312"/>
                    <w:color w:val="000000" w:themeColor="text1"/>
                    <w:kern w:val="0"/>
                    <w:sz w:val="24"/>
                    <w:highlight w:val="none"/>
                    <w14:textFill>
                      <w14:solidFill>
                        <w14:schemeClr w14:val="tx1"/>
                      </w14:solidFill>
                    </w14:textFill>
                  </w:rPr>
                  <w:sym w:font="Wingdings" w:char="00FE"/>
                </w:r>
              </w:sdtContent>
            </w:sdt>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5FE3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376DCA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3BE405A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5847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9E3218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6A24EF76">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1D4D401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2AB4974A">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5FCF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99732A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339B96A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1643F9F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4DA2650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3813204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250AE0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23E61A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493B56C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9EAAF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1CF0860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44B0B0">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5401E18D">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tc>
      </w:tr>
      <w:tr w14:paraId="575F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B9E255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52368478">
            <w:pPr>
              <w:kinsoku/>
              <w:wordWrap w:val="0"/>
              <w:overflowPunct/>
              <w:topLinePunct w:val="0"/>
              <w:bidi w:val="0"/>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73C5CDCD">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2A2D7562">
            <w:pPr>
              <w:kinsoku/>
              <w:wordWrap w:val="0"/>
              <w:overflowPunct/>
              <w:topLinePunct w:val="0"/>
              <w:bidi w:val="0"/>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779C5821">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20 </w:t>
            </w:r>
            <w:r>
              <w:rPr>
                <w:rFonts w:hint="eastAsia" w:ascii="仿宋" w:hAnsi="仿宋" w:eastAsia="仿宋" w:cs="仿宋"/>
                <w:color w:val="000000" w:themeColor="text1"/>
                <w:sz w:val="24"/>
                <w:szCs w:val="24"/>
                <w:highlight w:val="none"/>
                <w:lang w:val="zh-CN"/>
                <w14:textFill>
                  <w14:solidFill>
                    <w14:schemeClr w14:val="tx1"/>
                  </w14:solidFill>
                </w14:textFill>
              </w:rPr>
              <w:t>分钟，讲解次序以投标文件解密时间先后次序为准。讲解演示结束后按要求解答评标委员会提问。</w:t>
            </w:r>
          </w:p>
          <w:p w14:paraId="69C5DE12">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298D53FE">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585BD911">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7E5F521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EC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D12E3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297E1FA3">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759B8A4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67C8BC4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C8F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ED2C6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w:t>
            </w:r>
          </w:p>
        </w:tc>
        <w:tc>
          <w:tcPr>
            <w:tcW w:w="855" w:type="dxa"/>
            <w:vAlign w:val="center"/>
          </w:tcPr>
          <w:p w14:paraId="72175D6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_GB2312" w:hAnsi="仿宋_GB2312" w:eastAsia="仿宋_GB2312" w:cs="仿宋_GB2312"/>
                <w:b/>
                <w:color w:val="000000" w:themeColor="text1"/>
                <w:spacing w:val="-20"/>
                <w:sz w:val="24"/>
                <w:highlight w:val="none"/>
                <w14:textFill>
                  <w14:solidFill>
                    <w14:schemeClr w14:val="tx1"/>
                  </w14:solidFill>
                </w14:textFill>
              </w:rPr>
            </w:pPr>
            <w:r>
              <w:rPr>
                <w:rFonts w:hint="eastAsia" w:ascii="仿宋_GB2312" w:hAnsi="仿宋_GB2312" w:eastAsia="仿宋_GB2312" w:cs="仿宋_GB2312"/>
                <w:b/>
                <w:color w:val="000000" w:themeColor="text1"/>
                <w:spacing w:val="-20"/>
                <w:sz w:val="24"/>
                <w:highlight w:val="none"/>
                <w14:textFill>
                  <w14:solidFill>
                    <w14:schemeClr w14:val="tx1"/>
                  </w14:solidFill>
                </w14:textFill>
              </w:rPr>
              <w:t>本国</w:t>
            </w:r>
          </w:p>
          <w:p w14:paraId="49343000">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_GB2312" w:hAnsi="仿宋_GB2312" w:eastAsia="仿宋_GB2312" w:cs="仿宋_GB2312"/>
                <w:b/>
                <w:color w:val="000000" w:themeColor="text1"/>
                <w:spacing w:val="-20"/>
                <w:sz w:val="24"/>
                <w:highlight w:val="none"/>
                <w14:textFill>
                  <w14:solidFill>
                    <w14:schemeClr w14:val="tx1"/>
                  </w14:solidFill>
                </w14:textFill>
              </w:rPr>
              <w:t>产品</w:t>
            </w:r>
          </w:p>
        </w:tc>
        <w:tc>
          <w:tcPr>
            <w:tcW w:w="7515" w:type="dxa"/>
            <w:vAlign w:val="center"/>
          </w:tcPr>
          <w:p w14:paraId="75A3E672">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B60C5A">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不适用。</w:t>
            </w:r>
          </w:p>
        </w:tc>
      </w:tr>
      <w:tr w14:paraId="794C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08CCC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w:t>
            </w:r>
          </w:p>
        </w:tc>
        <w:tc>
          <w:tcPr>
            <w:tcW w:w="855" w:type="dxa"/>
            <w:vAlign w:val="center"/>
          </w:tcPr>
          <w:p w14:paraId="6955A825">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780769A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bookmarkStart w:id="49" w:name="_GoBack"/>
            <w:r>
              <w:rPr>
                <w:rFonts w:hint="eastAsia" w:ascii="仿宋" w:hAnsi="仿宋" w:eastAsia="仿宋" w:cs="仿宋"/>
                <w:color w:val="000000" w:themeColor="text1"/>
                <w:sz w:val="24"/>
                <w:highlight w:val="none"/>
                <w:u w:val="single"/>
                <w:lang w:val="en-US" w:eastAsia="zh-CN"/>
                <w14:textFill>
                  <w14:solidFill>
                    <w14:schemeClr w14:val="tx1"/>
                  </w14:solidFill>
                </w14:textFill>
              </w:rPr>
              <w:t>全自动包药机</w:t>
            </w:r>
            <w:bookmarkEnd w:id="49"/>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87510A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0F88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F2E45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55" w:type="dxa"/>
            <w:vAlign w:val="center"/>
          </w:tcPr>
          <w:p w14:paraId="57A00E41">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77A8218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4D38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BAA153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55" w:type="dxa"/>
            <w:vMerge w:val="restart"/>
            <w:vAlign w:val="center"/>
          </w:tcPr>
          <w:p w14:paraId="6D5514E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1192DB5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5820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9FE80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7ECEE1F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5E9E9DF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4EFD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612445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51FF601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640FAA7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w:t>
            </w:r>
            <w:r>
              <w:rPr>
                <w:rFonts w:hint="eastAsia" w:ascii="仿宋_GB2312" w:hAnsi="仿宋_GB2312" w:eastAsia="仿宋_GB2312" w:cs="仿宋_GB2312"/>
                <w:color w:val="000000" w:themeColor="text1"/>
                <w:sz w:val="24"/>
                <w:highlight w:val="none"/>
                <w14:textFill>
                  <w14:solidFill>
                    <w14:schemeClr w14:val="tx1"/>
                  </w14:solidFill>
                </w14:textFill>
              </w:rPr>
              <w:t>列入失信被执行人、重大税收违法失信主体、政府采购严重违法失信行为记录名单</w:t>
            </w:r>
            <w:r>
              <w:rPr>
                <w:rFonts w:hint="eastAsia" w:ascii="仿宋" w:hAnsi="仿宋" w:eastAsia="仿宋" w:cs="仿宋"/>
                <w:color w:val="000000" w:themeColor="text1"/>
                <w:sz w:val="24"/>
                <w:highlight w:val="none"/>
                <w14:textFill>
                  <w14:solidFill>
                    <w14:schemeClr w14:val="tx1"/>
                  </w14:solidFill>
                </w14:textFill>
              </w:rPr>
              <w:t>的投标人将被拒绝参与政府采购活动。</w:t>
            </w:r>
          </w:p>
          <w:p w14:paraId="714EBD4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EB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7E3A46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14:paraId="4A2F2F3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6180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70" w:type="dxa"/>
            <w:vAlign w:val="center"/>
          </w:tcPr>
          <w:p w14:paraId="75D8787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370" w:type="dxa"/>
            <w:gridSpan w:val="2"/>
            <w:vAlign w:val="center"/>
          </w:tcPr>
          <w:p w14:paraId="05B2DCC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4B72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072603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w:t>
            </w:r>
          </w:p>
        </w:tc>
        <w:tc>
          <w:tcPr>
            <w:tcW w:w="8370" w:type="dxa"/>
            <w:gridSpan w:val="2"/>
            <w:vAlign w:val="center"/>
          </w:tcPr>
          <w:p w14:paraId="79CB11D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4A14DD3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381306E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BBA6C4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5D27F99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5DD2124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02499F62">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5D8F016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53F4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7BC684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vAlign w:val="center"/>
          </w:tcPr>
          <w:p w14:paraId="2FF23A2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31AD876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2DAF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8F06C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09E22E4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3873"/>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6C3E67F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8B2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309FF36">
            <w:pPr>
              <w:kinsoku/>
              <w:wordWrap w:val="0"/>
              <w:overflowPunct/>
              <w:topLinePunct w:val="0"/>
              <w:bidi w:val="0"/>
              <w:snapToGrid w:val="0"/>
              <w:spacing w:line="336" w:lineRule="auto"/>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14:paraId="26CC2B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7538A0A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bookmarkStart w:id="17" w:name="OLE_LINK6"/>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中标单位需支付以下费用，并在投标报价中自行考虑：根据项目的中标金额，采用差额</w:t>
            </w:r>
            <w:r>
              <w:rPr>
                <w:rFonts w:hint="eastAsia" w:ascii="仿宋" w:hAnsi="仿宋" w:eastAsia="仿宋" w:cs="仿宋"/>
                <w:snapToGrid w:val="0"/>
                <w:color w:val="000000" w:themeColor="text1"/>
                <w:kern w:val="28"/>
                <w:sz w:val="24"/>
                <w:highlight w:val="none"/>
                <w14:textFill>
                  <w14:solidFill>
                    <w14:schemeClr w14:val="tx1"/>
                  </w14:solidFill>
                </w14:textFill>
              </w:rPr>
              <w:t>定率累进法进行计算，具体费率标准如下：中标金额在100万元以下部分为1.5%</w:t>
            </w:r>
            <w:r>
              <w:rPr>
                <w:rFonts w:hint="eastAsia" w:ascii="仿宋" w:hAnsi="仿宋" w:eastAsia="仿宋" w:cs="仿宋"/>
                <w:snapToGrid w:val="0"/>
                <w:color w:val="000000" w:themeColor="text1"/>
                <w:kern w:val="28"/>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最终采购代理服务费在此基础上*70%收取。</w:t>
            </w:r>
            <w:bookmarkEnd w:id="17"/>
          </w:p>
          <w:p w14:paraId="7B376E6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2.交纳方式：</w:t>
            </w:r>
          </w:p>
          <w:p w14:paraId="6A4F9AA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用银行支票、汇票、电汇、现金等付款方式直接交纳代理服务费。</w:t>
            </w:r>
          </w:p>
          <w:p w14:paraId="2387409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公司名称：绍兴衡业工程管理咨询有限公司</w:t>
            </w:r>
          </w:p>
          <w:p w14:paraId="24C2283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开户行：中国民生银行绍兴越城支行</w:t>
            </w:r>
          </w:p>
          <w:p w14:paraId="207C06B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账  号：170399354</w:t>
            </w:r>
          </w:p>
          <w:p w14:paraId="0004780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3.领取中标通知书前交纳。</w:t>
            </w:r>
          </w:p>
        </w:tc>
      </w:tr>
      <w:tr w14:paraId="707F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025618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6BB0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0AF6E3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1515A038">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18" w:name="第三部分"/>
      <w:bookmarkStart w:id="19" w:name="_Toc164416483"/>
    </w:p>
    <w:p w14:paraId="3AED3761">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5B62CAEE">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1.适用范围</w:t>
      </w:r>
    </w:p>
    <w:p w14:paraId="748C077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5B2C9AD8">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2.定义</w:t>
      </w:r>
    </w:p>
    <w:p w14:paraId="4EE59C4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 “采购人”系指招标公告中载明的本项目的采购人。</w:t>
      </w:r>
    </w:p>
    <w:p w14:paraId="13F9B8B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 “</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”系指招标公告中载明的本项目的</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4FED6D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2.3 “投标人”“供应商”系指是指响应招标、参加投标竞争的法人、其他组织或者自然人。</w:t>
      </w:r>
    </w:p>
    <w:p w14:paraId="7E0E845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2.4</w:t>
      </w:r>
      <w:r>
        <w:rPr>
          <w:rFonts w:hint="eastAsia" w:ascii="仿宋_GB2312" w:hAnsi="仿宋_GB2312" w:eastAsia="仿宋_GB2312" w:cs="仿宋_GB2312"/>
          <w:color w:val="000000" w:themeColor="text1"/>
          <w:sz w:val="24"/>
          <w:highlight w:val="none"/>
          <w14:textFill>
            <w14:solidFill>
              <w14:schemeClr w14:val="tx1"/>
            </w14:solidFill>
          </w14:textFill>
        </w:rPr>
        <w:t>“监督单位”系指政府采购法定义监督管理部门</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p>
    <w:p w14:paraId="4EF3815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0AE3545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4CBCD4A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“电子交易平台”</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系</w:t>
      </w:r>
      <w:r>
        <w:rPr>
          <w:rFonts w:hint="eastAsia" w:ascii="仿宋_GB2312" w:hAnsi="仿宋_GB2312" w:eastAsia="仿宋_GB2312" w:cs="仿宋_GB2312"/>
          <w:color w:val="000000" w:themeColor="text1"/>
          <w:sz w:val="24"/>
          <w:highlight w:val="none"/>
          <w14:textFill>
            <w14:solidFill>
              <w14:schemeClr w14:val="tx1"/>
            </w14:solidFill>
          </w14:textFill>
        </w:rPr>
        <w:t>指本项目政府采购活动所依托的政府采购云平台（https://www.zcygov.cn/）。</w:t>
      </w:r>
    </w:p>
    <w:p w14:paraId="411C8EC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”系指适用本项目的要求，“☐”系指不适用本项目的要求。</w:t>
      </w:r>
    </w:p>
    <w:p w14:paraId="271B4315">
      <w:pPr>
        <w:kinsoku/>
        <w:wordWrap w:val="0"/>
        <w:overflowPunct/>
        <w:topLinePunct w:val="0"/>
        <w:bidi w:val="0"/>
        <w:spacing w:line="440" w:lineRule="exact"/>
        <w:ind w:firstLine="482" w:firstLineChars="20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3.采购项目需要落实的政府采购政策</w:t>
      </w:r>
    </w:p>
    <w:p w14:paraId="7D7526C3">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F50AD75">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 支持绿色发展</w:t>
      </w:r>
    </w:p>
    <w:p w14:paraId="1AB1FFD4">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11124F8">
      <w:pPr>
        <w:kinsoku/>
        <w:wordWrap w:val="0"/>
        <w:overflowPunct/>
        <w:topLinePunct w:val="0"/>
        <w:bidi w:val="0"/>
        <w:spacing w:line="440" w:lineRule="exact"/>
        <w:ind w:firstLine="480" w:firstLineChars="20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★3.2.2</w:t>
      </w:r>
      <w:r>
        <w:rPr>
          <w:rFonts w:hint="eastAsia" w:ascii="仿宋_GB2312" w:hAnsi="仿宋_GB2312" w:eastAsia="仿宋_GB2312" w:cs="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552D7B1">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3.2.3 纳入政府采购管理的修缮、装修类项目采购建材的，采购单位</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应</w:t>
      </w:r>
      <w:r>
        <w:rPr>
          <w:rFonts w:hint="eastAsia" w:ascii="仿宋_GB2312" w:hAnsi="仿宋_GB2312" w:eastAsia="仿宋_GB2312" w:cs="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按照</w:t>
      </w:r>
      <w:r>
        <w:rPr>
          <w:rFonts w:hint="eastAsia" w:ascii="仿宋_GB2312" w:hAnsi="仿宋_GB2312" w:eastAsia="仿宋_GB2312" w:cs="仿宋_GB2312"/>
          <w:color w:val="000000" w:themeColor="text1"/>
          <w:sz w:val="24"/>
          <w:highlight w:val="none"/>
          <w14:textFill>
            <w14:solidFill>
              <w14:schemeClr w14:val="tx1"/>
            </w14:solidFill>
          </w14:textFill>
        </w:rPr>
        <w:t>相关绿色建材政府采购需求标准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执行</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92EA675">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3271D7">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3.2.5</w:t>
      </w:r>
      <w:r>
        <w:rPr>
          <w:rFonts w:hint="eastAsia" w:ascii="仿宋_GB2312" w:hAnsi="仿宋_GB2312" w:eastAsia="仿宋_GB2312" w:cs="仿宋_GB2312"/>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采购人</w:t>
      </w:r>
      <w:r>
        <w:rPr>
          <w:rFonts w:hint="eastAsia" w:ascii="仿宋_GB2312" w:hAnsi="仿宋_GB2312" w:eastAsia="仿宋_GB2312" w:cs="仿宋_GB2312"/>
          <w:color w:val="000000" w:themeColor="text1"/>
          <w:sz w:val="24"/>
          <w:highlight w:val="none"/>
          <w14:textFill>
            <w14:solidFill>
              <w14:schemeClr w14:val="tx1"/>
            </w14:solidFill>
          </w14:textFill>
        </w:rPr>
        <w:t>登记报备绿色编码，未申领绿色编码的柴油动力移动源不得进入作业现场施工。</w:t>
      </w:r>
    </w:p>
    <w:p w14:paraId="56C678D4">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w:t>
      </w:r>
      <w:r>
        <w:rPr>
          <w:rFonts w:hint="eastAsia" w:ascii="仿宋_GB2312" w:hAnsi="仿宋_GB2312" w:eastAsia="仿宋_GB2312" w:cs="仿宋_GB2312"/>
          <w:bCs/>
          <w:color w:val="000000" w:themeColor="text1"/>
          <w:sz w:val="24"/>
          <w:highlight w:val="none"/>
          <w14:textFill>
            <w14:solidFill>
              <w14:schemeClr w14:val="tx1"/>
            </w14:solidFill>
          </w14:textFill>
        </w:rPr>
        <w:t>小微</w:t>
      </w:r>
      <w:r>
        <w:rPr>
          <w:rFonts w:hint="eastAsia" w:ascii="仿宋_GB2312" w:hAnsi="仿宋_GB2312" w:eastAsia="仿宋_GB2312" w:cs="仿宋_GB2312"/>
          <w:color w:val="000000" w:themeColor="text1"/>
          <w:sz w:val="24"/>
          <w:highlight w:val="none"/>
          <w14:textFill>
            <w14:solidFill>
              <w14:schemeClr w14:val="tx1"/>
            </w14:solidFill>
          </w14:textFill>
        </w:rPr>
        <w:t>企业价格扣除</w:t>
      </w:r>
    </w:p>
    <w:p w14:paraId="13C616EC">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3.3.1小微企业是指</w:t>
      </w:r>
      <w:r>
        <w:rPr>
          <w:rFonts w:hint="eastAsia" w:ascii="仿宋_GB2312" w:hAnsi="仿宋_GB2312" w:eastAsia="仿宋_GB2312" w:cs="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183B933B">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符合中小企业划分标准的个体工商户，在政府采购活动中视同中小企业。</w:t>
      </w:r>
    </w:p>
    <w:p w14:paraId="43467D39">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_GB2312" w:eastAsia="仿宋_GB2312" w:cs="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1231642E">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6BE9D5E3">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3.3.4小微企业应按照招标文件格式要求提供《中小企业声明函》。</w:t>
      </w:r>
    </w:p>
    <w:p w14:paraId="472D20F3">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的扣除，用扣除后的价格参加评审。</w:t>
      </w:r>
    </w:p>
    <w:p w14:paraId="3AB8AF1E">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14:paraId="1444C34B">
      <w:pPr>
        <w:kinsoku/>
        <w:wordWrap w:val="0"/>
        <w:overflowPunct/>
        <w:topLinePunct w:val="0"/>
        <w:bidi w:val="0"/>
        <w:spacing w:line="440" w:lineRule="exact"/>
        <w:ind w:firstLine="482" w:firstLineChars="20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40A1FFB6">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3386E6A4">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F0605DB">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3.4</w:t>
      </w:r>
      <w:r>
        <w:rPr>
          <w:rFonts w:hint="eastAsia" w:ascii="仿宋_GB2312" w:hAnsi="仿宋_GB2312" w:eastAsia="仿宋_GB2312" w:cs="仿宋_GB2312"/>
          <w:bCs/>
          <w:color w:val="000000" w:themeColor="text1"/>
          <w:sz w:val="24"/>
          <w:highlight w:val="none"/>
          <w14:textFill>
            <w14:solidFill>
              <w14:schemeClr w14:val="tx1"/>
            </w14:solidFill>
          </w14:textFill>
        </w:rPr>
        <w:t>支持科技创新发展</w:t>
      </w:r>
    </w:p>
    <w:p w14:paraId="260EEF8E">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6CA57E2A">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3.5平等对待内外资企业和符合条件的破产重整企业</w:t>
      </w:r>
    </w:p>
    <w:p w14:paraId="3C94376C">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356B88B7">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3.6本国产品的支持政策</w:t>
      </w:r>
    </w:p>
    <w:p w14:paraId="4E6986D4">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2A2FB20">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68C5E34D">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EB93246">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3.6.3供应商对其提供的产品出具《关于符合本国产品标准的声明函》或财政部会同有关部门规定的有关证明文件，《声明函》或有关证明文件符合要求的，该产品视为本国产品。</w:t>
      </w:r>
    </w:p>
    <w:p w14:paraId="51815458">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179D2A56">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3.6.4供应商提供虚假《声明函》、虚假证明文件谋取中标、成交的，依照《中华人民共和国政府采购法》等法律法规规定追究相应责任。</w:t>
      </w:r>
    </w:p>
    <w:p w14:paraId="6C83AF61">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3.6.5采购人、采购代理机构按规定随中标、成交结果同时公告中标、成交供应商提供的《声明函》或有关证明文件、承诺函。</w:t>
      </w:r>
    </w:p>
    <w:p w14:paraId="65D39E1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3.7本国产品价格扣除与小微企业价格扣除叠加。具体计算公式为：参加评审价格=产品报价-产品报价*（小微企业价格扣除率+本国产品价格扣除率）。</w:t>
      </w:r>
    </w:p>
    <w:p w14:paraId="18D23193">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★4.特别说明：</w:t>
      </w:r>
    </w:p>
    <w:p w14:paraId="7F2AB1F3">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015EF196">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52776C63">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7BA90B">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p>
    <w:p w14:paraId="1DD164F2">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二、招标文件</w:t>
      </w:r>
    </w:p>
    <w:p w14:paraId="573D0DB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1．招标方式</w:t>
      </w:r>
    </w:p>
    <w:p w14:paraId="09B5555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 本次招标采用公开招标方式进行。</w:t>
      </w:r>
    </w:p>
    <w:p w14:paraId="2DF5607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75FE9F6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63081250">
      <w:pPr>
        <w:pStyle w:val="24"/>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2.授权委托</w:t>
      </w:r>
    </w:p>
    <w:p w14:paraId="1206425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1B9FA31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3.投标费用</w:t>
      </w:r>
    </w:p>
    <w:p w14:paraId="0A02E27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15B65B44">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4.招标文件的修改</w:t>
      </w:r>
    </w:p>
    <w:p w14:paraId="4208104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48A6B94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4.2招标文件的澄清 </w:t>
      </w:r>
    </w:p>
    <w:p w14:paraId="247A489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ED5402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4.3招标文件的修改</w:t>
      </w:r>
    </w:p>
    <w:p w14:paraId="4056866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80EA6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933DD5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5.参考品牌</w:t>
      </w:r>
    </w:p>
    <w:p w14:paraId="5FFE78A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4BFA0FE">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000000" w:themeColor="text1"/>
          <w:sz w:val="32"/>
          <w:szCs w:val="32"/>
          <w:highlight w:val="none"/>
          <w:lang w:val="en-US"/>
          <w14:textFill>
            <w14:solidFill>
              <w14:schemeClr w14:val="tx1"/>
            </w14:solidFill>
          </w14:textFill>
        </w:rPr>
      </w:pPr>
      <w:r>
        <w:rPr>
          <w:rFonts w:hint="eastAsia" w:ascii="仿宋_GB2312" w:hAnsi="仿宋_GB2312" w:eastAsia="仿宋_GB2312" w:cs="仿宋_GB2312"/>
          <w:color w:val="000000" w:themeColor="text1"/>
          <w:szCs w:val="24"/>
          <w:highlight w:val="none"/>
          <w:lang w:val="en-US"/>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14:textFill>
            <w14:solidFill>
              <w14:schemeClr w14:val="tx1"/>
            </w14:solidFill>
          </w14:textFill>
        </w:rPr>
        <w:t xml:space="preserve">  </w:t>
      </w:r>
    </w:p>
    <w:p w14:paraId="5C8B4FF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三、投标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文件</w:t>
      </w:r>
    </w:p>
    <w:p w14:paraId="4EFE588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24"/>
          <w:highlight w:val="none"/>
          <w14:textFill>
            <w14:solidFill>
              <w14:schemeClr w14:val="tx1"/>
            </w14:solidFill>
          </w14:textFill>
        </w:rPr>
        <w:t>投标文件的语言、计量单位、形式及效力</w:t>
      </w:r>
    </w:p>
    <w:p w14:paraId="23947F6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1E821F7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4440C6A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5376D64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1.4不按招标文件的要求提供的投标文件可能导致被拒绝。</w:t>
      </w:r>
    </w:p>
    <w:p w14:paraId="6304479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1.5投标文件的形式和效力</w:t>
      </w:r>
    </w:p>
    <w:p w14:paraId="7ACD6E92">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1F12377F">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u w:val="single"/>
          <w14:textFill>
            <w14:solidFill>
              <w14:schemeClr w14:val="tx1"/>
            </w14:solidFill>
          </w14:textFill>
        </w:rPr>
        <w:t>1.5.2投标文件的效力：</w:t>
      </w:r>
    </w:p>
    <w:p w14:paraId="56E80848">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7B0AC483">
      <w:pPr>
        <w:pStyle w:val="32"/>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color w:val="000000" w:themeColor="text1"/>
          <w:sz w:val="24"/>
          <w:szCs w:val="24"/>
          <w:highlight w:val="none"/>
          <w14:textFill>
            <w14:solidFill>
              <w14:schemeClr w14:val="tx1"/>
            </w14:solidFill>
          </w14:textFill>
        </w:rPr>
        <w:t>.投标文件的组成</w:t>
      </w:r>
    </w:p>
    <w:p w14:paraId="5AC22BC7">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投标文件由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“资格文件”、“商务技术文件资料”、</w:t>
      </w:r>
      <w:r>
        <w:rPr>
          <w:rFonts w:hint="eastAsia" w:ascii="仿宋_GB2312" w:hAnsi="仿宋_GB2312" w:eastAsia="仿宋_GB2312" w:cs="仿宋_GB2312"/>
          <w:color w:val="000000" w:themeColor="text1"/>
          <w:sz w:val="24"/>
          <w:highlight w:val="none"/>
          <w14:textFill>
            <w14:solidFill>
              <w14:schemeClr w14:val="tx1"/>
            </w14:solidFill>
          </w14:textFill>
        </w:rPr>
        <w:t>“报价文件资料”</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三</w:t>
      </w:r>
      <w:r>
        <w:rPr>
          <w:rFonts w:hint="eastAsia" w:ascii="仿宋_GB2312" w:hAnsi="仿宋_GB2312" w:eastAsia="仿宋_GB2312" w:cs="仿宋_GB2312"/>
          <w:color w:val="000000" w:themeColor="text1"/>
          <w:sz w:val="24"/>
          <w:highlight w:val="none"/>
          <w14:textFill>
            <w14:solidFill>
              <w14:schemeClr w14:val="tx1"/>
            </w14:solidFill>
          </w14:textFill>
        </w:rPr>
        <w:t>部分组成，其中</w:t>
      </w:r>
      <w:r>
        <w:rPr>
          <w:rFonts w:hint="eastAsia" w:ascii="仿宋_GB2312" w:hAnsi="仿宋_GB2312" w:eastAsia="仿宋_GB2312" w:cs="仿宋_GB2312"/>
          <w:b/>
          <w:color w:val="000000" w:themeColor="text1"/>
          <w:sz w:val="24"/>
          <w:highlight w:val="none"/>
          <w14:textFill>
            <w14:solidFill>
              <w14:schemeClr w14:val="tx1"/>
            </w14:solidFill>
          </w14:textFill>
        </w:rPr>
        <w:t>电子投标文件中所须加盖公章部分均应采用电子签章。</w:t>
      </w:r>
    </w:p>
    <w:p w14:paraId="2F6507B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000000" w:themeColor="text1"/>
          <w:sz w:val="24"/>
          <w:highlight w:val="none"/>
          <w:lang w:val="zh-CN"/>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2</w:t>
      </w:r>
      <w:r>
        <w:rPr>
          <w:rFonts w:hint="eastAsia" w:ascii="仿宋_GB2312" w:hAnsi="仿宋_GB2312" w:eastAsia="仿宋_GB2312" w:cs="仿宋_GB2312"/>
          <w:b/>
          <w:color w:val="000000" w:themeColor="text1"/>
          <w:sz w:val="24"/>
          <w:highlight w:val="none"/>
          <w:lang w:val="zh-CN"/>
          <w14:textFill>
            <w14:solidFill>
              <w14:schemeClr w14:val="tx1"/>
            </w14:solidFill>
          </w14:textFill>
        </w:rPr>
        <w:t>.1资格文件：</w:t>
      </w:r>
    </w:p>
    <w:p w14:paraId="070A1711">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.1.1符合参加政府采购活动应当具备的一般条件的承诺函；</w:t>
      </w:r>
    </w:p>
    <w:p w14:paraId="3ADD86E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2.1.2联合协议（如果有)；</w:t>
      </w:r>
    </w:p>
    <w:p w14:paraId="2C90CA9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分包意向协议</w:t>
      </w: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（如果有)</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1E3F59A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2.1.</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落实政府采购政策需满足的资格要求（如果有)；</w:t>
      </w:r>
    </w:p>
    <w:p w14:paraId="112977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2.1.</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本项目的特定资格要求（如果有)。</w:t>
      </w:r>
    </w:p>
    <w:p w14:paraId="4B01E397">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000000" w:themeColor="text1"/>
          <w:sz w:val="24"/>
          <w:highlight w:val="none"/>
          <w:lang w:val="zh-CN" w:eastAsia="zh-CN"/>
          <w14:textFill>
            <w14:solidFill>
              <w14:schemeClr w14:val="tx1"/>
            </w14:solidFill>
          </w14:textFill>
        </w:rPr>
      </w:pPr>
      <w:r>
        <w:rPr>
          <w:rFonts w:hint="eastAsia" w:ascii="仿宋_GB2312" w:hAnsi="仿宋_GB2312" w:eastAsia="仿宋_GB2312" w:cs="仿宋_GB2312"/>
          <w:b/>
          <w:color w:val="000000" w:themeColor="text1"/>
          <w:sz w:val="24"/>
          <w:highlight w:val="none"/>
          <w:lang w:val="zh-CN" w:eastAsia="zh-CN"/>
          <w14:textFill>
            <w14:solidFill>
              <w14:schemeClr w14:val="tx1"/>
            </w14:solidFill>
          </w14:textFill>
        </w:rPr>
        <w:t>2.</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2商务技术</w:t>
      </w:r>
      <w:r>
        <w:rPr>
          <w:rFonts w:hint="eastAsia" w:ascii="仿宋_GB2312" w:hAnsi="仿宋_GB2312" w:eastAsia="仿宋_GB2312" w:cs="仿宋_GB2312"/>
          <w:b/>
          <w:color w:val="000000" w:themeColor="text1"/>
          <w:sz w:val="24"/>
          <w:highlight w:val="none"/>
          <w:lang w:val="zh-CN" w:eastAsia="zh-CN"/>
          <w14:textFill>
            <w14:solidFill>
              <w14:schemeClr w14:val="tx1"/>
            </w14:solidFill>
          </w14:textFill>
        </w:rPr>
        <w:t>文件：</w:t>
      </w:r>
    </w:p>
    <w:p w14:paraId="76CE7AF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2.2.1投标函；</w:t>
      </w:r>
      <w:r>
        <w:rPr>
          <w:rFonts w:hint="eastAsia" w:ascii="仿宋_GB2312" w:hAnsi="仿宋_GB2312" w:eastAsia="仿宋_GB2312" w:cs="仿宋_GB2312"/>
          <w:color w:val="000000" w:themeColor="text1"/>
          <w:sz w:val="24"/>
          <w:highlight w:val="none"/>
          <w:lang w:val="zh-CN" w:eastAsia="zh-CN"/>
          <w14:textFill>
            <w14:solidFill>
              <w14:schemeClr w14:val="tx1"/>
            </w14:solidFill>
          </w14:textFill>
        </w:rPr>
        <w:t xml:space="preserve"> </w:t>
      </w:r>
    </w:p>
    <w:p w14:paraId="6664F95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2.2.2法定代表人授权委托书；</w:t>
      </w:r>
    </w:p>
    <w:p w14:paraId="44FC6F9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2.2.3法定代表人及其授权代表身份证复印件；</w:t>
      </w:r>
    </w:p>
    <w:p w14:paraId="51C307E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2.2.4授权代表社保证明；</w:t>
      </w:r>
    </w:p>
    <w:p w14:paraId="7E91736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2.2.5法定代表人身份证明书；</w:t>
      </w:r>
    </w:p>
    <w:p w14:paraId="1F01B29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C892C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2.2.7廉政承诺书（格式见第六部分附件）；</w:t>
      </w:r>
    </w:p>
    <w:p w14:paraId="391838A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3DB108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2.2.9供应商应提供针对项目的完整技术解决方案：</w:t>
      </w:r>
    </w:p>
    <w:p w14:paraId="5E9464D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769DD5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3AE430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BF838B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708E25B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576CE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2.2.12供应商售后服务证明材料：由供应商根据本项目要求提供相应的售后服务证明材料或售后服务承诺；</w:t>
      </w:r>
    </w:p>
    <w:p w14:paraId="020327B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04C488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7F7FA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FA6E60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2.2.16培训计划（如有）；</w:t>
      </w:r>
    </w:p>
    <w:p w14:paraId="3ADB93C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2.2.17验收方案；</w:t>
      </w:r>
    </w:p>
    <w:p w14:paraId="5796E63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u w:val="wav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18</w:t>
      </w:r>
      <w:r>
        <w:rPr>
          <w:rFonts w:hint="eastAsia" w:ascii="仿宋_GB2312" w:hAnsi="仿宋_GB2312" w:eastAsia="仿宋_GB2312" w:cs="仿宋_GB2312"/>
          <w:color w:val="000000" w:themeColor="text1"/>
          <w:sz w:val="24"/>
          <w:highlight w:val="none"/>
          <w:u w:val="wave"/>
          <w14:textFill>
            <w14:solidFill>
              <w14:schemeClr w14:val="tx1"/>
            </w14:solidFill>
          </w14:textFill>
        </w:rPr>
        <w:t>未尽事宜请各投标单位按评分标准和相对应标项相关要求制作；</w:t>
      </w:r>
    </w:p>
    <w:p w14:paraId="62D41B5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highlight w:val="none"/>
          <w:lang w:val="zh-CN"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sz w:val="24"/>
          <w:highlight w:val="none"/>
          <w14:textFill>
            <w14:solidFill>
              <w14:schemeClr w14:val="tx1"/>
            </w14:solidFill>
          </w14:textFill>
        </w:rPr>
        <w:t>投标人需要说明的其他文件和说明（格式自拟）。</w:t>
      </w:r>
    </w:p>
    <w:p w14:paraId="0AFD390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000000" w:themeColor="text1"/>
          <w:sz w:val="24"/>
          <w:highlight w:val="none"/>
          <w:lang w:val="zh-CN"/>
          <w14:textFill>
            <w14:solidFill>
              <w14:schemeClr w14:val="tx1"/>
            </w14:solidFill>
          </w14:textFill>
        </w:rPr>
      </w:pPr>
      <w:r>
        <w:rPr>
          <w:rFonts w:hint="eastAsia" w:ascii="仿宋_GB2312" w:hAnsi="仿宋_GB2312" w:eastAsia="仿宋_GB2312" w:cs="仿宋_GB2312"/>
          <w:b/>
          <w:color w:val="000000" w:themeColor="text1"/>
          <w:sz w:val="24"/>
          <w:highlight w:val="none"/>
          <w:lang w:val="zh-CN"/>
          <w14:textFill>
            <w14:solidFill>
              <w14:schemeClr w14:val="tx1"/>
            </w14:solidFill>
          </w14:textFill>
        </w:rPr>
        <w:t xml:space="preserve">2.3报价文件： </w:t>
      </w:r>
    </w:p>
    <w:p w14:paraId="667A2212">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2.3.1开标一览表（报价表）；</w:t>
      </w:r>
    </w:p>
    <w:p w14:paraId="37033AB4">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2.3.2报价说明（如有）</w:t>
      </w:r>
    </w:p>
    <w:p w14:paraId="51B36202">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2.3.</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中小企业声明函（如有）；</w:t>
      </w:r>
    </w:p>
    <w:p w14:paraId="688166E3">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2.3.</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 xml:space="preserve"> 残疾人福利性单位声明函（如有）。</w:t>
      </w:r>
    </w:p>
    <w:p w14:paraId="6743B0CF">
      <w:pPr>
        <w:kinsoku/>
        <w:wordWrap w:val="0"/>
        <w:overflowPunct/>
        <w:topLinePunct w:val="0"/>
        <w:bidi w:val="0"/>
        <w:adjustRightInd w:val="0"/>
        <w:snapToGrid w:val="0"/>
        <w:spacing w:line="440" w:lineRule="exact"/>
        <w:ind w:firstLine="480" w:firstLineChars="200"/>
        <w:jc w:val="both"/>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2.3.5关于符合本国产品标准的声明函或有关证明文件(如有）</w:t>
      </w:r>
    </w:p>
    <w:p w14:paraId="1964FDDD">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2.3.6关于符合本国产品标准的成本占比的承诺函（如有）</w:t>
      </w:r>
    </w:p>
    <w:p w14:paraId="7343E4D4">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3.</w:t>
      </w: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投标报价</w:t>
      </w:r>
    </w:p>
    <w:p w14:paraId="24EBEC06">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3.1供应商应按招标文件中《开标一览表》等附表要求填写。</w:t>
      </w:r>
    </w:p>
    <w:p w14:paraId="278C47C2">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6D655879">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3.3招标文件未列明，而供应商认为必需的费用也需列入报价。</w:t>
      </w:r>
    </w:p>
    <w:p w14:paraId="41253662">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000000" w:themeColor="text1"/>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w:t>
      </w:r>
      <w:r>
        <w:rPr>
          <w:rFonts w:hint="eastAsia" w:ascii="仿宋_GB2312" w:hAnsi="仿宋_GB2312" w:eastAsia="仿宋_GB2312" w:cs="仿宋_GB2312"/>
          <w:b/>
          <w:color w:val="000000" w:themeColor="text1"/>
          <w:kern w:val="0"/>
          <w:szCs w:val="24"/>
          <w:highlight w:val="none"/>
          <w14:textFill>
            <w14:solidFill>
              <w14:schemeClr w14:val="tx1"/>
            </w14:solidFill>
          </w14:textFill>
        </w:rPr>
        <w:t>4.</w:t>
      </w:r>
      <w:r>
        <w:rPr>
          <w:rFonts w:hint="eastAsia" w:ascii="仿宋_GB2312" w:hAnsi="仿宋_GB2312" w:eastAsia="仿宋_GB2312" w:cs="仿宋_GB2312"/>
          <w:b/>
          <w:color w:val="000000" w:themeColor="text1"/>
          <w:szCs w:val="24"/>
          <w:highlight w:val="none"/>
          <w14:textFill>
            <w14:solidFill>
              <w14:schemeClr w14:val="tx1"/>
            </w14:solidFill>
          </w14:textFill>
        </w:rPr>
        <w:t>投标文件的编制</w:t>
      </w:r>
      <w:r>
        <w:rPr>
          <w:rFonts w:hint="eastAsia" w:ascii="仿宋_GB2312" w:hAnsi="仿宋_GB2312" w:eastAsia="仿宋_GB2312" w:cs="仿宋_GB2312"/>
          <w:b/>
          <w:color w:val="000000" w:themeColor="text1"/>
          <w:szCs w:val="24"/>
          <w:highlight w:val="none"/>
          <w:lang w:eastAsia="zh-CN"/>
          <w14:textFill>
            <w14:solidFill>
              <w14:schemeClr w14:val="tx1"/>
            </w14:solidFill>
          </w14:textFill>
        </w:rPr>
        <w:t>和</w:t>
      </w:r>
      <w:r>
        <w:rPr>
          <w:rFonts w:hint="eastAsia" w:ascii="仿宋_GB2312" w:hAnsi="仿宋_GB2312" w:eastAsia="仿宋_GB2312" w:cs="仿宋_GB2312"/>
          <w:b/>
          <w:color w:val="000000" w:themeColor="text1"/>
          <w:sz w:val="24"/>
          <w:highlight w:val="none"/>
          <w14:textFill>
            <w14:solidFill>
              <w14:schemeClr w14:val="tx1"/>
            </w14:solidFill>
          </w14:textFill>
        </w:rPr>
        <w:t>签署</w:t>
      </w:r>
    </w:p>
    <w:p w14:paraId="6B030B02">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9622D6">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1EBA60CB">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7BA91C6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4.4</w:t>
      </w:r>
      <w:r>
        <w:rPr>
          <w:rFonts w:hint="eastAsia" w:ascii="仿宋_GB2312" w:hAnsi="仿宋_GB2312" w:eastAsia="仿宋_GB2312" w:cs="仿宋_GB2312"/>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7950683A">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4.5</w:t>
      </w:r>
      <w:r>
        <w:rPr>
          <w:rFonts w:hint="eastAsia" w:ascii="仿宋_GB2312" w:hAnsi="仿宋_GB2312" w:eastAsia="仿宋_GB2312" w:cs="仿宋_GB2312"/>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2F2093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4.6</w:t>
      </w:r>
      <w:r>
        <w:rPr>
          <w:rFonts w:hint="eastAsia" w:ascii="仿宋_GB2312" w:hAnsi="仿宋_GB2312" w:eastAsia="仿宋_GB2312" w:cs="仿宋_GB2312"/>
          <w:color w:val="000000" w:themeColor="text1"/>
          <w:sz w:val="24"/>
          <w:highlight w:val="none"/>
          <w:lang w:val="zh-CN"/>
          <w14:textFill>
            <w14:solidFill>
              <w14:schemeClr w14:val="tx1"/>
            </w14:solidFill>
          </w14:textFill>
        </w:rPr>
        <w:t>招标文件对投标文件签署、盖章的要求适用于电子签名。</w:t>
      </w:r>
    </w:p>
    <w:p w14:paraId="4D3B6C54">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000000" w:themeColor="text1"/>
          <w:szCs w:val="24"/>
          <w:highlight w:val="none"/>
          <w14:textFill>
            <w14:solidFill>
              <w14:schemeClr w14:val="tx1"/>
            </w14:solidFill>
          </w14:textFill>
        </w:rPr>
      </w:pPr>
      <w:r>
        <w:rPr>
          <w:rFonts w:hint="eastAsia" w:ascii="仿宋_GB2312" w:hAnsi="仿宋_GB2312" w:eastAsia="仿宋_GB2312" w:cs="仿宋_GB2312"/>
          <w:b/>
          <w:color w:val="000000" w:themeColor="text1"/>
          <w:szCs w:val="24"/>
          <w:highlight w:val="none"/>
          <w:lang w:val="en-US" w:eastAsia="zh-CN"/>
          <w14:textFill>
            <w14:solidFill>
              <w14:schemeClr w14:val="tx1"/>
            </w14:solidFill>
          </w14:textFill>
        </w:rPr>
        <w:t>5</w:t>
      </w:r>
      <w:r>
        <w:rPr>
          <w:rFonts w:hint="eastAsia" w:ascii="仿宋_GB2312" w:hAnsi="仿宋_GB2312" w:eastAsia="仿宋_GB2312" w:cs="仿宋_GB2312"/>
          <w:b/>
          <w:color w:val="000000" w:themeColor="text1"/>
          <w:szCs w:val="24"/>
          <w:highlight w:val="none"/>
          <w14:textFill>
            <w14:solidFill>
              <w14:schemeClr w14:val="tx1"/>
            </w14:solidFill>
          </w14:textFill>
        </w:rPr>
        <w:t>.投标文件的提交、补充、修改、撤回</w:t>
      </w:r>
    </w:p>
    <w:p w14:paraId="3C1ABF7B">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A9C698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31644C1A">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414FBFCF">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000000" w:themeColor="text1"/>
          <w:sz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6.投标有效期</w:t>
      </w:r>
    </w:p>
    <w:p w14:paraId="0C6E1E79">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000000" w:themeColor="text1"/>
          <w:sz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6.1投标有效期为从提交投标文件的截止之日起90天。投标人的投标文件中承诺的投标有效期少于招标文件中载明的投标有效期的，投标无效。</w:t>
      </w:r>
    </w:p>
    <w:p w14:paraId="00928EA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6.2投标文件合格投递后，自投标截止日期起，在投标有效期内有效。在投标截止时间起至投标有效期届满，供应商投标文件不可撤销。</w:t>
      </w:r>
    </w:p>
    <w:p w14:paraId="41764FF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34649CE7">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000000" w:themeColor="text1"/>
          <w:sz w:val="32"/>
          <w:highlight w:val="none"/>
          <w14:textFill>
            <w14:solidFill>
              <w14:schemeClr w14:val="tx1"/>
            </w14:solidFill>
          </w14:textFill>
        </w:rPr>
      </w:pPr>
    </w:p>
    <w:p w14:paraId="3A0CD6D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000000" w:themeColor="text1"/>
          <w:sz w:val="32"/>
          <w:szCs w:val="32"/>
          <w:highlight w:val="none"/>
          <w14:textFill>
            <w14:solidFill>
              <w14:schemeClr w14:val="tx1"/>
            </w14:solidFill>
          </w14:textFill>
        </w:rPr>
      </w:pPr>
      <w:bookmarkStart w:id="20" w:name="_Toc91899903"/>
      <w:r>
        <w:rPr>
          <w:rFonts w:hint="eastAsia" w:ascii="仿宋_GB2312" w:hAnsi="仿宋_GB2312" w:eastAsia="仿宋_GB2312" w:cs="仿宋_GB2312"/>
          <w:b/>
          <w:color w:val="000000" w:themeColor="text1"/>
          <w:sz w:val="32"/>
          <w:szCs w:val="32"/>
          <w:highlight w:val="none"/>
          <w14:textFill>
            <w14:solidFill>
              <w14:schemeClr w14:val="tx1"/>
            </w14:solidFill>
          </w14:textFill>
        </w:rPr>
        <w:t>四、开标和评标</w:t>
      </w:r>
    </w:p>
    <w:p w14:paraId="7A10F3F3">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1．电子招投标开标及评审程序</w:t>
      </w:r>
    </w:p>
    <w:p w14:paraId="7BB61A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1.1投标截止时间后，主持人宣布开标会开始。</w:t>
      </w:r>
    </w:p>
    <w:p w14:paraId="49C6C3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23F93ED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1.3评标委员会对资格和商务技术响应文件进行评审。</w:t>
      </w:r>
    </w:p>
    <w:p w14:paraId="143AB47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5E37108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53F838B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1DBF0C4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1.7主持人公布评标结果。</w:t>
      </w:r>
    </w:p>
    <w:p w14:paraId="42987535">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特别说明：政采云公司如对电子化开标及评审程序有调整的，按调整后的程序操作。</w:t>
      </w:r>
    </w:p>
    <w:p w14:paraId="43C2776E">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15C95B6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2.1电子交易平台发生故障而无法登录访问的； </w:t>
      </w:r>
    </w:p>
    <w:p w14:paraId="62E3AF5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2.2电子交易平台应用或数据库出现错误，不能进行正常操作的；</w:t>
      </w:r>
    </w:p>
    <w:p w14:paraId="199DC7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2.3电子交易平台发现严重安全漏洞，有潜在泄密危险的；</w:t>
      </w:r>
    </w:p>
    <w:p w14:paraId="6C670CB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2.4病毒发作导致不能进行正常操作的； </w:t>
      </w:r>
    </w:p>
    <w:p w14:paraId="54EE2B2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2.5其他无法保证电子交易的公平、公正和安全的情况。</w:t>
      </w:r>
    </w:p>
    <w:p w14:paraId="5D7923A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163497F7">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3．评标</w:t>
      </w:r>
    </w:p>
    <w:p w14:paraId="4D2BC6D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55B5C7E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01F1CB4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3.3评标委员会负责对投标人资格的最终审定。</w:t>
      </w:r>
    </w:p>
    <w:p w14:paraId="4B0C049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09C74C8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FE167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供应商通过政采云平台交换的数据电文必须进行电子签章。</w:t>
      </w:r>
    </w:p>
    <w:p w14:paraId="374AA1D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F161AE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175716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3.7评标委员会不向落标方解释落标的原因。</w:t>
      </w:r>
    </w:p>
    <w:p w14:paraId="54B646E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4．投标文件的初审鉴定</w:t>
      </w:r>
    </w:p>
    <w:p w14:paraId="7095B8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4.1资格性审查</w:t>
      </w:r>
    </w:p>
    <w:p w14:paraId="2F898E4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3EE5121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4.2符合性审查</w:t>
      </w:r>
    </w:p>
    <w:p w14:paraId="632500F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B278E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48E390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 xml:space="preserve">5. </w:t>
      </w:r>
      <w:r>
        <w:rPr>
          <w:rFonts w:hint="eastAsia" w:ascii="仿宋_GB2312" w:hAnsi="仿宋_GB2312" w:eastAsia="仿宋_GB2312" w:cs="仿宋_GB2312"/>
          <w:b/>
          <w:color w:val="000000" w:themeColor="text1"/>
          <w:sz w:val="24"/>
          <w:highlight w:val="none"/>
          <w14:textFill>
            <w14:solidFill>
              <w14:schemeClr w14:val="tx1"/>
            </w14:solidFill>
          </w14:textFill>
        </w:rPr>
        <w:t>投标文件报价出现前后不一致的，按照下列规定修正：</w:t>
      </w:r>
    </w:p>
    <w:p w14:paraId="0F67134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5E7027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5.2大写金额和小写金额不一致的，以大写金额为准；</w:t>
      </w:r>
    </w:p>
    <w:p w14:paraId="4B0C8DC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42AB1C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299C4DE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81927B6">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6.投标文件的评审、比较和否决</w:t>
      </w:r>
    </w:p>
    <w:p w14:paraId="4D75D5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224E549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BF4E2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2BCB291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055D6D8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6E350C9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6.6汇总（商务技术得分情况）。评标委员会各成员应当独立对每个投标人的商务技术文件进行评价，并汇总商务技术得分情况。</w:t>
      </w:r>
    </w:p>
    <w:p w14:paraId="5CADE0C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0D76AA6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6.7.1政府采购异常低价审查：</w:t>
      </w:r>
    </w:p>
    <w:p w14:paraId="4D3B9B5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6.7.1.1政府采购评审中出现下列情形之一的，评审委员会应当启动异常低价投标（响应）审查程序：</w:t>
      </w:r>
    </w:p>
    <w:p w14:paraId="360F28A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2E550A9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134734B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3.投标（响应）报价低于采购项目最高限价45%的，即投标（响应）报价&lt;采购项目最高限价×45%；</w:t>
      </w:r>
    </w:p>
    <w:p w14:paraId="039B935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4.评审委员会基于专业判断，认为供应商报价过低，有可能影响产品质量或者不能诚信履约的其他情形。</w:t>
      </w:r>
    </w:p>
    <w:p w14:paraId="7968A1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相关法律法规对供应商报价有规定的，从其规定。</w:t>
      </w:r>
    </w:p>
    <w:p w14:paraId="1C037C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7D5A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C76C6D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262C5F9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367157B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65631AF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2E8752A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highlight w:val="none"/>
          <w14:textFill>
            <w14:solidFill>
              <w14:schemeClr w14:val="tx1"/>
            </w14:solidFill>
          </w14:textFill>
        </w:rPr>
        <w:t>7.投标文件的澄清</w:t>
      </w:r>
    </w:p>
    <w:p w14:paraId="1A4FFC91">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59C6C238">
      <w:pPr>
        <w:pStyle w:val="32"/>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8.无效投标的情形</w:t>
      </w:r>
    </w:p>
    <w:p w14:paraId="1D2861F7">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投标文件有下列情形之一的作无效投标处理：</w:t>
      </w:r>
    </w:p>
    <w:p w14:paraId="2F21C56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8.1未按照招标文件规定要求电子签章、签字或盖章的；</w:t>
      </w:r>
    </w:p>
    <w:p w14:paraId="6762E2A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637ECC2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34C575F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4AE2935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120F564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138EE6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7DD7FBB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8.8投标文件中的投标函无投标人的电子签章或填写不全的；</w:t>
      </w:r>
    </w:p>
    <w:p w14:paraId="4D70AEB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540B2FE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333D78B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8.11出现同一标的物或本次招标产品(服务)内的主要产品(重要组成部分)出现商务技术文件资料、报价文件资料描述不一致或前后描述不一致，经评标委员会认定后为无法评审的；</w:t>
      </w:r>
    </w:p>
    <w:p w14:paraId="4ABC107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8.12《技术偏离说明表》不真实填写或弄虚作假的；</w:t>
      </w:r>
    </w:p>
    <w:p w14:paraId="6853A5E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8.13投标文件含有采购人不能接受的附加条件；</w:t>
      </w:r>
    </w:p>
    <w:p w14:paraId="2EC2AF1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8.14</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ascii="仿宋_GB2312" w:hAnsi="仿宋_GB2312" w:eastAsia="仿宋_GB2312" w:cs="仿宋_GB2312"/>
          <w:b/>
          <w:color w:val="000000" w:themeColor="text1"/>
          <w:sz w:val="24"/>
          <w:highlight w:val="none"/>
          <w14:textFill>
            <w14:solidFill>
              <w14:schemeClr w14:val="tx1"/>
            </w14:solidFill>
          </w14:textFill>
        </w:rPr>
        <w:t>;</w:t>
      </w:r>
    </w:p>
    <w:p w14:paraId="11575E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8.15报价超过招标文件中规定的预算金额或最高限价的；</w:t>
      </w:r>
    </w:p>
    <w:p w14:paraId="068DD70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8.16投标文件</w:t>
      </w:r>
      <w:r>
        <w:rPr>
          <w:rFonts w:hint="default" w:ascii="仿宋_GB2312" w:hAnsi="仿宋_GB2312" w:eastAsia="仿宋_GB2312" w:cs="仿宋_GB2312"/>
          <w:b/>
          <w:color w:val="000000" w:themeColor="text1"/>
          <w:sz w:val="24"/>
          <w:highlight w:val="none"/>
          <w14:textFill>
            <w14:solidFill>
              <w14:schemeClr w14:val="tx1"/>
            </w14:solidFill>
          </w14:textFill>
        </w:rPr>
        <w:t>“资格文件资料”或</w:t>
      </w:r>
      <w:r>
        <w:rPr>
          <w:rFonts w:hint="eastAsia" w:ascii="仿宋_GB2312" w:hAnsi="仿宋_GB2312" w:eastAsia="仿宋_GB2312" w:cs="仿宋_GB2312"/>
          <w:b/>
          <w:color w:val="000000" w:themeColor="text1"/>
          <w:sz w:val="24"/>
          <w:highlight w:val="none"/>
          <w14:textFill>
            <w14:solidFill>
              <w14:schemeClr w14:val="tx1"/>
            </w14:solidFill>
          </w14:textFill>
        </w:rPr>
        <w:t>“商务技术文件资料”部分中出现《开标一览表》相关内容的；</w:t>
      </w:r>
    </w:p>
    <w:p w14:paraId="505F6B0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6F12DF4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3ADAE11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8.19投标人对根据修正原则修正后的报价不确认的；</w:t>
      </w:r>
    </w:p>
    <w:p w14:paraId="4D8D39F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8.20投标人提供虚假材料投标的（包括但不限于以下情节）；</w:t>
      </w:r>
    </w:p>
    <w:p w14:paraId="17E2753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8.20.1使用伪造、变造的许可证件；</w:t>
      </w:r>
    </w:p>
    <w:p w14:paraId="37F51FF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8.20.2提供虚假的财务状况或者业绩；</w:t>
      </w:r>
    </w:p>
    <w:p w14:paraId="614189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8.20.3提供虚假的项目负责人或者主要技术人员简历、劳动关系证明；</w:t>
      </w:r>
    </w:p>
    <w:p w14:paraId="1D895BF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8.20.4提供虚假的信用状况；</w:t>
      </w:r>
    </w:p>
    <w:p w14:paraId="295A7C6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8.20.5其他弄虚作假的行为。</w:t>
      </w:r>
    </w:p>
    <w:p w14:paraId="5A9E71B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8.21下列情形之一的，视为投标人串通投标，其投标无效：</w:t>
      </w:r>
    </w:p>
    <w:p w14:paraId="47742E0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8.21.1不同投标人的投标文件由同一单位或者个人编制；</w:t>
      </w:r>
    </w:p>
    <w:p w14:paraId="110808F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8.21.2不同投标人委托同一单位或者个人办理投标事宜；</w:t>
      </w:r>
    </w:p>
    <w:p w14:paraId="241726D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8.21.3不同投标人的投标文件载明的项目管理成员或者联系人员为同一人；</w:t>
      </w:r>
    </w:p>
    <w:p w14:paraId="713D143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8.21.4不同投标人的投标文件异常一致或者投标报价呈规律性差异；</w:t>
      </w:r>
    </w:p>
    <w:p w14:paraId="6DD72BC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8.21.5不同投标人的投标文件相互混装；</w:t>
      </w:r>
    </w:p>
    <w:p w14:paraId="4C5B1E8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4C057DD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8.22有下列情形之一的，属于恶意串通，其投标无效：</w:t>
      </w:r>
    </w:p>
    <w:p w14:paraId="424A6C6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524E0A4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8.22.2供应商按照采购人或者采购机构的授意撤换、修改投标文件或者响应文件；</w:t>
      </w:r>
    </w:p>
    <w:p w14:paraId="13DA58E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8.22.3供应商之间协商报价、技术方案等投标文件或者响应文件的实质性内容；</w:t>
      </w:r>
    </w:p>
    <w:p w14:paraId="57779CB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133BDDA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8.22.5供应商之间事先约定由某一特定供应商中标、成交；</w:t>
      </w:r>
    </w:p>
    <w:p w14:paraId="7404D59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8.22.6供应商之间商定部分供应商放弃参加政府采购活动或者放弃中标、成交；</w:t>
      </w:r>
    </w:p>
    <w:p w14:paraId="530DE40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4F0C43F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8.23评标委员会认定有重大偏差或实质性不响应招标文件要求的；</w:t>
      </w:r>
    </w:p>
    <w:p w14:paraId="740874A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8.24投标文件出现不是唯一的、有选择性投标报价的；</w:t>
      </w:r>
    </w:p>
    <w:p w14:paraId="3B2BB59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8.25 未按招标文件要求提供样品或提供样品不满足采购需求实质性条件的；</w:t>
      </w:r>
    </w:p>
    <w:p w14:paraId="38A268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8.2</w:t>
      </w: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6参与同一个采购包(标段)的供应商存在下列情形之一的其投标(响应)文件无效:</w:t>
      </w:r>
    </w:p>
    <w:p w14:paraId="7799E6B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8.26.1</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不同供应商的电子投标(响应)文件上传计算机的网卡MAC地址、CPU序列号和硬盘序列号等硬件信息相同的;</w:t>
      </w:r>
    </w:p>
    <w:p w14:paraId="753FAC5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8.26.2</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上传的电子投标(响应)文件若出现使用本项目其他投标(响应)供应商的数字证书加密的，或者加盖本项目其他投标(响应)供应商的电子印章的;</w:t>
      </w:r>
    </w:p>
    <w:p w14:paraId="2BD8834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8.26.3</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不同供应商的投标(响应)文件的内容存在三处(含)以上错误一致，且无法合理解释的;</w:t>
      </w:r>
    </w:p>
    <w:p w14:paraId="54F31D5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8.26.4</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不同供应商联系人为同一人或不同联系人的联系电话一致，且无法合理解释的。</w:t>
      </w:r>
    </w:p>
    <w:p w14:paraId="250C152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w:t>
      </w:r>
      <w:r>
        <w:rPr>
          <w:rFonts w:hint="eastAsia" w:ascii="仿宋_GB2312" w:hAnsi="仿宋_GB2312" w:eastAsia="仿宋_GB2312" w:cs="仿宋_GB2312"/>
          <w:b/>
          <w:color w:val="000000" w:themeColor="text1"/>
          <w:sz w:val="24"/>
          <w:highlight w:val="none"/>
          <w:lang w:val="en-US"/>
          <w14:textFill>
            <w14:solidFill>
              <w14:schemeClr w14:val="tx1"/>
            </w14:solidFill>
          </w14:textFill>
        </w:rPr>
        <w:t>7</w:t>
      </w:r>
      <w:r>
        <w:rPr>
          <w:rFonts w:hint="eastAsia" w:ascii="仿宋_GB2312" w:hAnsi="仿宋_GB2312" w:eastAsia="仿宋_GB2312" w:cs="仿宋_GB2312"/>
          <w:b/>
          <w:color w:val="000000" w:themeColor="text1"/>
          <w:sz w:val="24"/>
          <w:highlight w:val="none"/>
          <w14:textFill>
            <w14:solidFill>
              <w14:schemeClr w14:val="tx1"/>
            </w14:solidFill>
          </w14:textFill>
        </w:rPr>
        <w:t>其他违反法律、法规的情形。</w:t>
      </w:r>
    </w:p>
    <w:p w14:paraId="301B3B95">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9.评标过程保密</w:t>
      </w:r>
    </w:p>
    <w:p w14:paraId="23F56DE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9.1</w:t>
      </w:r>
      <w:r>
        <w:rPr>
          <w:rFonts w:hint="eastAsia" w:ascii="仿宋_GB2312" w:hAnsi="仿宋_GB2312" w:eastAsia="仿宋_GB2312" w:cs="仿宋_GB2312"/>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843C64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9.2 在评标期间，投标人企图影响招标人或</w:t>
      </w:r>
      <w:r>
        <w:rPr>
          <w:rFonts w:hint="eastAsia" w:ascii="仿宋_GB2312" w:hAnsi="仿宋_GB2312" w:eastAsia="仿宋_GB2312" w:cs="仿宋_GB2312"/>
          <w:color w:val="000000" w:themeColor="text1"/>
          <w:sz w:val="24"/>
          <w:highlight w:val="none"/>
          <w14:textFill>
            <w14:solidFill>
              <w14:schemeClr w14:val="tx1"/>
            </w14:solidFill>
          </w14:textFill>
        </w:rPr>
        <w:t>评标委员会</w:t>
      </w:r>
      <w:r>
        <w:rPr>
          <w:rFonts w:hint="eastAsia" w:ascii="仿宋_GB2312" w:hAnsi="仿宋_GB2312" w:eastAsia="仿宋_GB2312" w:cs="仿宋_GB2312"/>
          <w:color w:val="000000" w:themeColor="text1"/>
          <w:kern w:val="0"/>
          <w:sz w:val="24"/>
          <w:highlight w:val="none"/>
          <w14:textFill>
            <w14:solidFill>
              <w14:schemeClr w14:val="tx1"/>
            </w14:solidFill>
          </w14:textFill>
        </w:rPr>
        <w:t>的任何活动，都将导致投标被拒绝，并由其承担相应的法律责任。</w:t>
      </w:r>
    </w:p>
    <w:p w14:paraId="32EBED8A">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000000" w:themeColor="text1"/>
          <w:sz w:val="32"/>
          <w:highlight w:val="none"/>
          <w14:textFill>
            <w14:solidFill>
              <w14:schemeClr w14:val="tx1"/>
            </w14:solidFill>
          </w14:textFill>
        </w:rPr>
      </w:pPr>
    </w:p>
    <w:bookmarkEnd w:id="20"/>
    <w:p w14:paraId="2F454C1C">
      <w:pPr>
        <w:pStyle w:val="32"/>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000000" w:themeColor="text1"/>
          <w:sz w:val="32"/>
          <w:szCs w:val="32"/>
          <w:highlight w:val="none"/>
          <w14:textFill>
            <w14:solidFill>
              <w14:schemeClr w14:val="tx1"/>
            </w14:solidFill>
          </w14:textFill>
        </w:rPr>
      </w:pPr>
      <w:bookmarkStart w:id="21" w:name="_Hlt75236011"/>
      <w:bookmarkEnd w:id="21"/>
      <w:bookmarkStart w:id="22" w:name="_Hlt68072998"/>
      <w:bookmarkEnd w:id="22"/>
      <w:bookmarkStart w:id="23" w:name="_Hlt75236290"/>
      <w:bookmarkEnd w:id="23"/>
      <w:bookmarkStart w:id="24" w:name="_Hlt75236101"/>
      <w:bookmarkEnd w:id="24"/>
      <w:bookmarkStart w:id="25" w:name="_Hlt74714665"/>
      <w:bookmarkEnd w:id="25"/>
      <w:bookmarkStart w:id="26" w:name="_Hlt68057669"/>
      <w:bookmarkEnd w:id="26"/>
      <w:bookmarkStart w:id="27" w:name="_Hlt68403820"/>
      <w:bookmarkEnd w:id="27"/>
      <w:bookmarkStart w:id="28" w:name="_Hlt74729768"/>
      <w:bookmarkEnd w:id="28"/>
      <w:bookmarkStart w:id="29" w:name="_Hlt68073093"/>
      <w:bookmarkEnd w:id="29"/>
      <w:bookmarkStart w:id="30" w:name="_Hlt68072990"/>
      <w:bookmarkEnd w:id="30"/>
      <w:bookmarkStart w:id="31" w:name="_Hlt74730295"/>
      <w:bookmarkEnd w:id="31"/>
      <w:bookmarkStart w:id="32" w:name="_Hlt74707468"/>
      <w:bookmarkEnd w:id="32"/>
      <w:bookmarkStart w:id="33" w:name="_Toc81372953"/>
      <w:bookmarkStart w:id="34" w:name="_Toc84325929"/>
      <w:bookmarkStart w:id="35" w:name="_Toc81372776"/>
      <w:r>
        <w:rPr>
          <w:rFonts w:hint="eastAsia" w:ascii="仿宋_GB2312" w:hAnsi="仿宋_GB2312" w:eastAsia="仿宋_GB2312" w:cs="仿宋_GB2312"/>
          <w:b/>
          <w:color w:val="000000" w:themeColor="text1"/>
          <w:sz w:val="32"/>
          <w:szCs w:val="32"/>
          <w:highlight w:val="none"/>
          <w14:textFill>
            <w14:solidFill>
              <w14:schemeClr w14:val="tx1"/>
            </w14:solidFill>
          </w14:textFill>
        </w:rPr>
        <w:t>五、授予合同</w:t>
      </w:r>
    </w:p>
    <w:bookmarkEnd w:id="33"/>
    <w:bookmarkEnd w:id="34"/>
    <w:bookmarkEnd w:id="35"/>
    <w:p w14:paraId="5592667E">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000000" w:themeColor="text1"/>
          <w:szCs w:val="24"/>
          <w:highlight w:val="none"/>
          <w14:textFill>
            <w14:solidFill>
              <w14:schemeClr w14:val="tx1"/>
            </w14:solidFill>
          </w14:textFill>
        </w:rPr>
      </w:pPr>
      <w:r>
        <w:rPr>
          <w:rFonts w:hint="eastAsia" w:ascii="仿宋_GB2312" w:hAnsi="仿宋_GB2312" w:eastAsia="仿宋_GB2312" w:cs="仿宋_GB2312"/>
          <w:b/>
          <w:color w:val="000000" w:themeColor="text1"/>
          <w:szCs w:val="24"/>
          <w:highlight w:val="none"/>
          <w14:textFill>
            <w14:solidFill>
              <w14:schemeClr w14:val="tx1"/>
            </w14:solidFill>
          </w14:textFill>
        </w:rPr>
        <w:t>1.中标条件</w:t>
      </w:r>
    </w:p>
    <w:p w14:paraId="6E3DC7A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1.1投标文件基本符合招标文件要求；</w:t>
      </w:r>
    </w:p>
    <w:p w14:paraId="3C517E8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1.2投标人有很好的执行合同的能力；</w:t>
      </w:r>
    </w:p>
    <w:p w14:paraId="0C28845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1.3实施方案最合理并对招标人最为有利，最大限度满足招标文件的要求；</w:t>
      </w:r>
    </w:p>
    <w:p w14:paraId="2DAA7ED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1.4投标人能够提供质量技术、商务经济占综合优势的系统及服务。</w:t>
      </w:r>
    </w:p>
    <w:p w14:paraId="0759043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1.5招标人将把中标通知书授予最佳投标者，但最低价不是中标的绝对保证。</w:t>
      </w:r>
    </w:p>
    <w:p w14:paraId="7443DB7F">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2.中标确认</w:t>
      </w:r>
    </w:p>
    <w:p w14:paraId="5FE4C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06C1C10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6E2E3AE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2.3采购人应在确认中标人前再次对资格条件和相关证件材料进一步查验核实。</w:t>
      </w:r>
    </w:p>
    <w:p w14:paraId="651FAEB3">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3．中标通知</w:t>
      </w:r>
    </w:p>
    <w:p w14:paraId="38B995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3.1采购代理机构对中标结果在指定媒体（浙江政府采购网</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4"/>
          <w:highlight w:val="none"/>
          <w14:textFill>
            <w14:solidFill>
              <w14:schemeClr w14:val="tx1"/>
            </w14:solidFill>
          </w14:textFill>
        </w:rPr>
        <w:instrText xml:space="preserve"> HYPERLINK "http://www.zjzfcg.gov.cn" </w:instrTex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4"/>
          <w:highlight w:val="none"/>
          <w14:textFill>
            <w14:solidFill>
              <w14:schemeClr w14:val="tx1"/>
            </w14:solidFill>
          </w14:textFill>
        </w:rPr>
        <w:t>http://zfcg.czt.zj.gov.cn/</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24"/>
          <w:highlight w:val="none"/>
          <w14:textFill>
            <w14:solidFill>
              <w14:schemeClr w14:val="tx1"/>
            </w14:solidFill>
          </w14:textFill>
        </w:rPr>
        <w:t>、绍兴公共资源交易网</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4"/>
          <w:highlight w:val="none"/>
          <w14:textFill>
            <w14:solidFill>
              <w14:schemeClr w14:val="tx1"/>
            </w14:solidFill>
          </w14:textFill>
        </w:rPr>
        <w:instrText xml:space="preserve"> HYPERLINK "http://ggb.sx.gov.cn" </w:instrTex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4"/>
          <w:highlight w:val="none"/>
          <w14:textFill>
            <w14:solidFill>
              <w14:schemeClr w14:val="tx1"/>
            </w14:solidFill>
          </w14:textFill>
        </w:rPr>
        <w:t>http://ggb.sx.gov.cn</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24"/>
          <w:highlight w:val="none"/>
          <w14:textFill>
            <w14:solidFill>
              <w14:schemeClr w14:val="tx1"/>
            </w14:solidFill>
          </w14:textFill>
        </w:rPr>
        <w:t>）发布中标公告，中标公告期限为1个工作日。</w:t>
      </w:r>
    </w:p>
    <w:p w14:paraId="61D9B8B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000000" w:themeColor="text1"/>
          <w:sz w:val="24"/>
          <w:highlight w:val="none"/>
          <w:lang w:val="zh-CN"/>
          <w14:textFill>
            <w14:solidFill>
              <w14:schemeClr w14:val="tx1"/>
            </w14:solidFill>
          </w14:textFill>
        </w:rPr>
        <w:t>。</w:t>
      </w:r>
    </w:p>
    <w:p w14:paraId="07B7C55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3.3采购代理机构对中标结果不作任何说明和解释，也不回答任何提问。</w:t>
      </w:r>
    </w:p>
    <w:p w14:paraId="4E32E8BC">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b/>
          <w:color w:val="000000" w:themeColor="text1"/>
          <w:sz w:val="24"/>
          <w:highlight w:val="none"/>
          <w14:textFill>
            <w14:solidFill>
              <w14:schemeClr w14:val="tx1"/>
            </w14:solidFill>
          </w14:textFill>
        </w:rPr>
        <w:t>．履约保证金</w:t>
      </w:r>
    </w:p>
    <w:p w14:paraId="1D554B0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2FB1A2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4.2项目验收结束后，采购人应及时退还履约保证金。</w:t>
      </w:r>
    </w:p>
    <w:p w14:paraId="7D45573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1FE244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4.4政府采购货物和服务项目不得收取质量保证金。</w:t>
      </w:r>
    </w:p>
    <w:p w14:paraId="0CC73F0B">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b/>
          <w:color w:val="000000" w:themeColor="text1"/>
          <w:sz w:val="24"/>
          <w:highlight w:val="none"/>
          <w14:textFill>
            <w14:solidFill>
              <w14:schemeClr w14:val="tx1"/>
            </w14:solidFill>
          </w14:textFill>
        </w:rPr>
        <w:t>．合同签订及备案</w:t>
      </w:r>
    </w:p>
    <w:p w14:paraId="2D20A05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5.1中标人应当在中标通知书发出之日起30天内与采购人签订合同，自采购合同签订之日起2个工作日内，通过电子交易平台进行备案。</w:t>
      </w:r>
    </w:p>
    <w:p w14:paraId="6DE40AB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59195DA3">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6</w:t>
      </w:r>
      <w:r>
        <w:rPr>
          <w:rFonts w:hint="eastAsia" w:ascii="仿宋_GB2312" w:hAnsi="仿宋_GB2312" w:eastAsia="仿宋_GB2312" w:cs="仿宋_GB2312"/>
          <w:b/>
          <w:color w:val="000000" w:themeColor="text1"/>
          <w:sz w:val="24"/>
          <w:highlight w:val="none"/>
          <w14:textFill>
            <w14:solidFill>
              <w14:schemeClr w14:val="tx1"/>
            </w14:solidFill>
          </w14:textFill>
        </w:rPr>
        <w:t>.验收</w:t>
      </w:r>
    </w:p>
    <w:p w14:paraId="7E6548C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2F09E1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2E837E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46384372">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b/>
          <w:color w:val="000000" w:themeColor="text1"/>
          <w:sz w:val="24"/>
          <w:highlight w:val="none"/>
          <w14:textFill>
            <w14:solidFill>
              <w14:schemeClr w14:val="tx1"/>
            </w14:solidFill>
          </w14:textFill>
        </w:rPr>
        <w:t>.售后服务考核</w:t>
      </w:r>
    </w:p>
    <w:p w14:paraId="2D960E9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90A8667">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p>
    <w:p w14:paraId="76CD48C5">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六、</w:t>
      </w:r>
      <w:r>
        <w:rPr>
          <w:rFonts w:hint="eastAsia" w:ascii="仿宋_GB2312" w:hAnsi="仿宋_GB2312" w:eastAsia="仿宋_GB2312" w:cs="仿宋_GB2312"/>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1E01DEFC">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00F2A49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_GB2312" w:hAnsi="仿宋_GB2312" w:eastAsia="仿宋_GB2312" w:cs="仿宋_GB2312"/>
          <w:color w:val="000000" w:themeColor="text1"/>
          <w:sz w:val="24"/>
          <w:highlight w:val="none"/>
          <w14:textFill>
            <w14:solidFill>
              <w14:schemeClr w14:val="tx1"/>
            </w14:solidFill>
          </w14:textFill>
        </w:rPr>
        <w:t>〔2021</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47A1B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1C0FF1AE">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000000" w:themeColor="text1"/>
          <w:kern w:val="0"/>
          <w:sz w:val="24"/>
          <w:szCs w:val="24"/>
          <w:highlight w:val="none"/>
          <w:vertAlign w:val="baseline"/>
          <w:lang w:val="en-US" w:eastAsia="zh-CN" w:bidi="ar-SA"/>
          <w14:textFill>
            <w14:solidFill>
              <w14:schemeClr w14:val="tx1"/>
            </w14:solidFill>
          </w14:textFill>
        </w:rPr>
        <w:t xml:space="preserve"> </w:t>
      </w:r>
      <w:r>
        <w:rPr>
          <w:rFonts w:hint="eastAsia" w:ascii="仿宋_GB2312" w:hAnsi="仿宋_GB2312" w:eastAsia="仿宋_GB2312" w:cs="仿宋_GB2312"/>
          <w:b w:val="0"/>
          <w:bCs w:val="0"/>
          <w:i w:val="0"/>
          <w:iCs w:val="0"/>
          <w:color w:val="000000" w:themeColor="text1"/>
          <w:kern w:val="0"/>
          <w:sz w:val="24"/>
          <w:szCs w:val="24"/>
          <w:highlight w:val="none"/>
          <w:vertAlign w:val="baseline"/>
          <w:lang w:val="zh-CN" w:eastAsia="zh-CN" w:bidi="ar-SA"/>
          <w14:textFill>
            <w14:solidFill>
              <w14:schemeClr w14:val="tx1"/>
            </w14:solidFill>
          </w14:textFill>
        </w:rPr>
        <w:t>的，采购代理机构应当告知供应商向采购人提出。</w:t>
      </w:r>
    </w:p>
    <w:p w14:paraId="0D257A44">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75D4FB0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28AC15D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09285C8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DF5D36">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37FBD44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8F4F73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2AEA218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38542857">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_GB2312" w:hAnsi="仿宋_GB2312" w:eastAsia="仿宋_GB2312" w:cs="仿宋_GB2312"/>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eastAsia" w:ascii="仿宋_GB2312" w:hAnsi="仿宋_GB2312" w:eastAsia="仿宋_GB2312" w:cs="仿宋_GB2312"/>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4B7801D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18B84A2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7A07EEA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3A1A787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799F74C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19934D6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2E85DC0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43135C4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3167702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7989668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44D2A02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554A1AD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103A20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290D399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4D54B27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6B6F06AE">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000000" w:themeColor="text1"/>
          <w:highlight w:val="none"/>
          <w14:textFill>
            <w14:solidFill>
              <w14:schemeClr w14:val="tx1"/>
            </w14:solidFill>
          </w14:textFill>
        </w:rPr>
        <w:sectPr>
          <w:footerReference r:id="rId11" w:type="default"/>
          <w:pgSz w:w="11906" w:h="16838"/>
          <w:pgMar w:top="1474" w:right="1814" w:bottom="1474" w:left="1814" w:header="851" w:footer="992" w:gutter="0"/>
          <w:pgNumType w:fmt="decimal"/>
          <w:cols w:space="720" w:num="1"/>
          <w:docGrid w:linePitch="312" w:charSpace="0"/>
        </w:sectPr>
      </w:pPr>
    </w:p>
    <w:bookmarkEnd w:id="18"/>
    <w:bookmarkEnd w:id="19"/>
    <w:p w14:paraId="467AD65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6"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6"/>
    <w:p w14:paraId="1987F37A">
      <w:pPr>
        <w:numPr>
          <w:ilvl w:val="0"/>
          <w:numId w:val="0"/>
        </w:numPr>
        <w:spacing w:line="300" w:lineRule="auto"/>
        <w:jc w:val="both"/>
        <w:rPr>
          <w:rFonts w:hint="eastAsia" w:ascii="仿宋" w:hAnsi="仿宋" w:eastAsia="仿宋" w:cs="仿宋"/>
          <w:b/>
          <w:bCs/>
          <w:color w:val="000000" w:themeColor="text1"/>
          <w:sz w:val="24"/>
          <w:highlight w:val="none"/>
          <w:lang w:eastAsia="zh-CN"/>
          <w14:textFill>
            <w14:solidFill>
              <w14:schemeClr w14:val="tx1"/>
            </w14:solidFill>
          </w14:textFill>
        </w:rPr>
      </w:pPr>
      <w:bookmarkStart w:id="37" w:name="第五部分"/>
      <w:bookmarkStart w:id="38" w:name="_Toc86217003"/>
      <w:r>
        <w:rPr>
          <w:rFonts w:hint="eastAsia" w:ascii="仿宋" w:hAnsi="仿宋" w:eastAsia="仿宋" w:cs="仿宋"/>
          <w:b/>
          <w:color w:val="000000" w:themeColor="text1"/>
          <w:sz w:val="24"/>
          <w:highlight w:val="none"/>
          <w:bdr w:val="single" w:color="000000" w:sz="4" w:space="0"/>
          <w14:textFill>
            <w14:solidFill>
              <w14:schemeClr w14:val="tx1"/>
            </w14:solidFill>
          </w14:textFill>
        </w:rPr>
        <w:t>01标</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color w:val="000000" w:themeColor="text1"/>
          <w:sz w:val="24"/>
          <w:highlight w:val="none"/>
          <w:lang w:eastAsia="zh-CN"/>
          <w14:textFill>
            <w14:solidFill>
              <w14:schemeClr w14:val="tx1"/>
            </w14:solidFill>
          </w14:textFill>
        </w:rPr>
        <w:t>绍兴市看守所全自动包药机采购项目（重招）</w:t>
      </w:r>
    </w:p>
    <w:p w14:paraId="0FC2C3CD">
      <w:pPr>
        <w:numPr>
          <w:ilvl w:val="0"/>
          <w:numId w:val="0"/>
        </w:numPr>
        <w:spacing w:line="300" w:lineRule="auto"/>
        <w:jc w:val="both"/>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一、</w:t>
      </w:r>
      <w:r>
        <w:rPr>
          <w:rFonts w:hint="eastAsia" w:ascii="仿宋" w:hAnsi="仿宋" w:eastAsia="仿宋" w:cs="仿宋"/>
          <w:b/>
          <w:color w:val="000000" w:themeColor="text1"/>
          <w:sz w:val="24"/>
          <w:szCs w:val="24"/>
          <w:highlight w:val="none"/>
          <w14:textFill>
            <w14:solidFill>
              <w14:schemeClr w14:val="tx1"/>
            </w14:solidFill>
          </w14:textFill>
        </w:rPr>
        <w:t>技术参数</w:t>
      </w:r>
    </w:p>
    <w:tbl>
      <w:tblPr>
        <w:tblStyle w:val="62"/>
        <w:tblW w:w="835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745"/>
        <w:gridCol w:w="5566"/>
      </w:tblGrid>
      <w:tr w14:paraId="4A5B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048" w:type="dxa"/>
            <w:vAlign w:val="center"/>
          </w:tcPr>
          <w:p w14:paraId="5DE8637D">
            <w:pPr>
              <w:jc w:val="center"/>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序号</w:t>
            </w:r>
          </w:p>
        </w:tc>
        <w:tc>
          <w:tcPr>
            <w:tcW w:w="1745" w:type="dxa"/>
            <w:vAlign w:val="center"/>
          </w:tcPr>
          <w:p w14:paraId="373D97F0">
            <w:pPr>
              <w:jc w:val="center"/>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指标名称</w:t>
            </w:r>
          </w:p>
        </w:tc>
        <w:tc>
          <w:tcPr>
            <w:tcW w:w="5566" w:type="dxa"/>
            <w:vAlign w:val="center"/>
          </w:tcPr>
          <w:p w14:paraId="50FAB0BF">
            <w:pPr>
              <w:jc w:val="center"/>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技术要求</w:t>
            </w:r>
          </w:p>
        </w:tc>
      </w:tr>
      <w:tr w14:paraId="3E06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4F2012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一</w:t>
            </w:r>
          </w:p>
        </w:tc>
        <w:tc>
          <w:tcPr>
            <w:tcW w:w="1745" w:type="dxa"/>
            <w:vAlign w:val="center"/>
          </w:tcPr>
          <w:p w14:paraId="03226A2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产品用途</w:t>
            </w:r>
          </w:p>
        </w:tc>
        <w:tc>
          <w:tcPr>
            <w:tcW w:w="5566" w:type="dxa"/>
            <w:vAlign w:val="center"/>
          </w:tcPr>
          <w:p w14:paraId="5A4FADF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用于</w:t>
            </w:r>
            <w:r>
              <w:rPr>
                <w:rFonts w:hint="eastAsia" w:ascii="仿宋" w:hAnsi="仿宋" w:eastAsia="仿宋" w:cs="仿宋"/>
                <w:color w:val="000000" w:themeColor="text1"/>
                <w:sz w:val="21"/>
                <w:szCs w:val="21"/>
                <w:highlight w:val="none"/>
                <w:lang w:val="en-US" w:eastAsia="zh-CN"/>
                <w14:textFill>
                  <w14:solidFill>
                    <w14:schemeClr w14:val="tx1"/>
                  </w14:solidFill>
                </w14:textFill>
              </w:rPr>
              <w:t>药物</w:t>
            </w:r>
            <w:r>
              <w:rPr>
                <w:rFonts w:hint="eastAsia" w:ascii="仿宋" w:hAnsi="仿宋" w:eastAsia="仿宋" w:cs="仿宋"/>
                <w:color w:val="000000" w:themeColor="text1"/>
                <w:sz w:val="21"/>
                <w:szCs w:val="21"/>
                <w:highlight w:val="none"/>
                <w14:textFill>
                  <w14:solidFill>
                    <w14:schemeClr w14:val="tx1"/>
                  </w14:solidFill>
                </w14:textFill>
              </w:rPr>
              <w:t>自动分包摆</w:t>
            </w:r>
            <w:r>
              <w:rPr>
                <w:rFonts w:hint="eastAsia" w:ascii="仿宋" w:hAnsi="仿宋" w:eastAsia="仿宋" w:cs="仿宋"/>
                <w:color w:val="000000" w:themeColor="text1"/>
                <w:sz w:val="21"/>
                <w:szCs w:val="21"/>
                <w:highlight w:val="none"/>
                <w:lang w:val="en-US" w:eastAsia="zh-CN"/>
                <w14:textFill>
                  <w14:solidFill>
                    <w14:schemeClr w14:val="tx1"/>
                  </w14:solidFill>
                </w14:textFill>
              </w:rPr>
              <w:t>放</w:t>
            </w:r>
            <w:r>
              <w:rPr>
                <w:rFonts w:hint="eastAsia" w:ascii="仿宋" w:hAnsi="仿宋" w:eastAsia="仿宋" w:cs="仿宋"/>
                <w:color w:val="000000" w:themeColor="text1"/>
                <w:sz w:val="21"/>
                <w:szCs w:val="21"/>
                <w:highlight w:val="none"/>
                <w14:textFill>
                  <w14:solidFill>
                    <w14:schemeClr w14:val="tx1"/>
                  </w14:solidFill>
                </w14:textFill>
              </w:rPr>
              <w:t>，调剂质量可追</w:t>
            </w:r>
            <w:r>
              <w:rPr>
                <w:rFonts w:hint="eastAsia" w:ascii="仿宋" w:hAnsi="仿宋" w:eastAsia="仿宋" w:cs="仿宋"/>
                <w:color w:val="000000" w:themeColor="text1"/>
                <w:spacing w:val="-14"/>
                <w:sz w:val="21"/>
                <w:szCs w:val="21"/>
                <w:highlight w:val="none"/>
                <w14:textFill>
                  <w14:solidFill>
                    <w14:schemeClr w14:val="tx1"/>
                  </w14:solidFill>
                </w14:textFill>
              </w:rPr>
              <w:t>溯管理。</w:t>
            </w:r>
          </w:p>
        </w:tc>
      </w:tr>
      <w:tr w14:paraId="04B0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5D123CF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1</w:t>
            </w:r>
          </w:p>
        </w:tc>
        <w:tc>
          <w:tcPr>
            <w:tcW w:w="1745" w:type="dxa"/>
            <w:vAlign w:val="center"/>
          </w:tcPr>
          <w:p w14:paraId="1FB8BDE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基础指标</w:t>
            </w:r>
          </w:p>
        </w:tc>
        <w:tc>
          <w:tcPr>
            <w:tcW w:w="5566" w:type="dxa"/>
            <w:vAlign w:val="center"/>
          </w:tcPr>
          <w:p w14:paraId="0D5ACE72">
            <w:pPr>
              <w:rPr>
                <w:rFonts w:hint="eastAsia" w:ascii="仿宋" w:hAnsi="仿宋" w:eastAsia="仿宋" w:cs="仿宋"/>
                <w:color w:val="000000" w:themeColor="text1"/>
                <w:sz w:val="21"/>
                <w:szCs w:val="21"/>
                <w:highlight w:val="none"/>
                <w14:textFill>
                  <w14:solidFill>
                    <w14:schemeClr w14:val="tx1"/>
                  </w14:solidFill>
                </w14:textFill>
              </w:rPr>
            </w:pPr>
          </w:p>
        </w:tc>
      </w:tr>
      <w:tr w14:paraId="0148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BEEFBC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1.1</w:t>
            </w:r>
          </w:p>
        </w:tc>
        <w:tc>
          <w:tcPr>
            <w:tcW w:w="1745" w:type="dxa"/>
            <w:vAlign w:val="center"/>
          </w:tcPr>
          <w:p w14:paraId="4A3DD13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主体架构</w:t>
            </w:r>
          </w:p>
        </w:tc>
        <w:tc>
          <w:tcPr>
            <w:tcW w:w="5566" w:type="dxa"/>
            <w:vAlign w:val="center"/>
          </w:tcPr>
          <w:p w14:paraId="40910A2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药库和集药包装打印部分为分体式设计，</w:t>
            </w:r>
            <w:r>
              <w:rPr>
                <w:rFonts w:hint="eastAsia" w:ascii="仿宋" w:hAnsi="仿宋" w:eastAsia="仿宋" w:cs="仿宋"/>
                <w:color w:val="000000" w:themeColor="text1"/>
                <w:sz w:val="21"/>
                <w:szCs w:val="21"/>
                <w:highlight w:val="none"/>
                <w:lang w:val="en-US" w:eastAsia="zh-CN"/>
                <w14:textFill>
                  <w14:solidFill>
                    <w14:schemeClr w14:val="tx1"/>
                  </w14:solidFill>
                </w14:textFill>
              </w:rPr>
              <w:t>集药包装</w:t>
            </w:r>
            <w:r>
              <w:rPr>
                <w:rFonts w:hint="eastAsia" w:ascii="仿宋" w:hAnsi="仿宋" w:eastAsia="仿宋" w:cs="仿宋"/>
                <w:color w:val="000000" w:themeColor="text1"/>
                <w:sz w:val="21"/>
                <w:szCs w:val="21"/>
                <w:highlight w:val="none"/>
                <w14:textFill>
                  <w14:solidFill>
                    <w14:schemeClr w14:val="tx1"/>
                  </w14:solidFill>
                </w14:textFill>
              </w:rPr>
              <w:t>具备自动锁定和软件或手工解锁控制功能。</w:t>
            </w:r>
          </w:p>
        </w:tc>
      </w:tr>
      <w:tr w14:paraId="695F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0463D15">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1.2</w:t>
            </w:r>
          </w:p>
        </w:tc>
        <w:tc>
          <w:tcPr>
            <w:tcW w:w="1745" w:type="dxa"/>
            <w:vAlign w:val="center"/>
          </w:tcPr>
          <w:p w14:paraId="51A23B8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药库结构</w:t>
            </w:r>
          </w:p>
        </w:tc>
        <w:tc>
          <w:tcPr>
            <w:tcW w:w="5566" w:type="dxa"/>
            <w:vAlign w:val="center"/>
          </w:tcPr>
          <w:p w14:paraId="57D1747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采用内外双层立式旋转药库结构或抽屉式结构,内外双层可双方向无限角度旋转。</w:t>
            </w:r>
          </w:p>
        </w:tc>
      </w:tr>
      <w:tr w14:paraId="4CF9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2DF661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1.3</w:t>
            </w:r>
          </w:p>
        </w:tc>
        <w:tc>
          <w:tcPr>
            <w:tcW w:w="1745" w:type="dxa"/>
            <w:vAlign w:val="center"/>
          </w:tcPr>
          <w:p w14:paraId="7F5CD9D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与数据交互</w:t>
            </w:r>
          </w:p>
        </w:tc>
        <w:tc>
          <w:tcPr>
            <w:tcW w:w="5566" w:type="dxa"/>
            <w:vAlign w:val="center"/>
          </w:tcPr>
          <w:p w14:paraId="281F258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可</w:t>
            </w:r>
            <w:r>
              <w:rPr>
                <w:rFonts w:hint="eastAsia" w:ascii="仿宋" w:hAnsi="仿宋" w:eastAsia="仿宋" w:cs="仿宋"/>
                <w:color w:val="000000" w:themeColor="text1"/>
                <w:sz w:val="21"/>
                <w:szCs w:val="21"/>
                <w:highlight w:val="none"/>
                <w14:textFill>
                  <w14:solidFill>
                    <w14:schemeClr w14:val="tx1"/>
                  </w14:solidFill>
                </w14:textFill>
              </w:rPr>
              <w:t>自动实现口服药品智能分包。</w:t>
            </w:r>
          </w:p>
        </w:tc>
      </w:tr>
      <w:tr w14:paraId="1439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A40989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1.4</w:t>
            </w:r>
          </w:p>
        </w:tc>
        <w:tc>
          <w:tcPr>
            <w:tcW w:w="1745" w:type="dxa"/>
            <w:vAlign w:val="center"/>
          </w:tcPr>
          <w:p w14:paraId="4B2B098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设备</w:t>
            </w:r>
            <w:r>
              <w:rPr>
                <w:rStyle w:val="967"/>
                <w:rFonts w:hint="eastAsia" w:ascii="仿宋" w:hAnsi="仿宋" w:eastAsia="仿宋" w:cs="仿宋"/>
                <w:color w:val="000000" w:themeColor="text1"/>
                <w:sz w:val="21"/>
                <w:szCs w:val="21"/>
                <w:highlight w:val="none"/>
                <w14:textFill>
                  <w14:solidFill>
                    <w14:schemeClr w14:val="tx1"/>
                  </w14:solidFill>
                </w14:textFill>
              </w:rPr>
              <w:t>储药量</w:t>
            </w:r>
          </w:p>
        </w:tc>
        <w:tc>
          <w:tcPr>
            <w:tcW w:w="5566" w:type="dxa"/>
            <w:vAlign w:val="center"/>
          </w:tcPr>
          <w:p w14:paraId="4D19B27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单机机内可装储≥200种不同片剂、胶囊药品。</w:t>
            </w:r>
          </w:p>
        </w:tc>
      </w:tr>
      <w:tr w14:paraId="3C4C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BE1788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1.5</w:t>
            </w:r>
          </w:p>
        </w:tc>
        <w:tc>
          <w:tcPr>
            <w:tcW w:w="1745" w:type="dxa"/>
            <w:vAlign w:val="center"/>
          </w:tcPr>
          <w:p w14:paraId="63D9F61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非机储药品托盘</w:t>
            </w:r>
          </w:p>
        </w:tc>
        <w:tc>
          <w:tcPr>
            <w:tcW w:w="5566" w:type="dxa"/>
            <w:vAlign w:val="center"/>
          </w:tcPr>
          <w:p w14:paraId="3BC28D6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非机储药品托盘格子≥4</w:t>
            </w:r>
            <w:r>
              <w:rPr>
                <w:rFonts w:hint="eastAsia" w:ascii="仿宋" w:hAnsi="仿宋" w:eastAsia="仿宋" w:cs="仿宋"/>
                <w:color w:val="000000" w:themeColor="text1"/>
                <w:sz w:val="21"/>
                <w:szCs w:val="21"/>
                <w:highlight w:val="none"/>
                <w:lang w:val="en-US" w:eastAsia="zh-CN"/>
                <w14:textFill>
                  <w14:solidFill>
                    <w14:schemeClr w14:val="tx1"/>
                  </w14:solidFill>
                </w14:textFill>
              </w:rPr>
              <w:t>0</w:t>
            </w:r>
            <w:r>
              <w:rPr>
                <w:rFonts w:hint="eastAsia" w:ascii="仿宋" w:hAnsi="仿宋" w:eastAsia="仿宋" w:cs="仿宋"/>
                <w:color w:val="000000" w:themeColor="text1"/>
                <w:sz w:val="21"/>
                <w:szCs w:val="21"/>
                <w:highlight w:val="none"/>
                <w14:textFill>
                  <w14:solidFill>
                    <w14:schemeClr w14:val="tx1"/>
                  </w14:solidFill>
                </w14:textFill>
              </w:rPr>
              <w:t>个。</w:t>
            </w:r>
          </w:p>
        </w:tc>
      </w:tr>
      <w:tr w14:paraId="5263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C27E13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1.6</w:t>
            </w:r>
          </w:p>
        </w:tc>
        <w:tc>
          <w:tcPr>
            <w:tcW w:w="1745" w:type="dxa"/>
            <w:vAlign w:val="center"/>
          </w:tcPr>
          <w:p w14:paraId="50F80BD1">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包装速度</w:t>
            </w:r>
          </w:p>
        </w:tc>
        <w:tc>
          <w:tcPr>
            <w:tcW w:w="5566" w:type="dxa"/>
            <w:vAlign w:val="center"/>
          </w:tcPr>
          <w:p w14:paraId="56EA2F1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最大分包速度（含打印信息）≥60包/分钟。</w:t>
            </w:r>
          </w:p>
        </w:tc>
      </w:tr>
      <w:tr w14:paraId="66E3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6370EE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1.7</w:t>
            </w:r>
          </w:p>
        </w:tc>
        <w:tc>
          <w:tcPr>
            <w:tcW w:w="1745" w:type="dxa"/>
            <w:vAlign w:val="center"/>
          </w:tcPr>
          <w:p w14:paraId="39444E8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设备外形尺寸</w:t>
            </w:r>
          </w:p>
        </w:tc>
        <w:tc>
          <w:tcPr>
            <w:tcW w:w="5566" w:type="dxa"/>
            <w:vAlign w:val="center"/>
          </w:tcPr>
          <w:p w14:paraId="0C863065">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整机高度</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2米（建筑设计要求），可并排或靠墙角摆放.</w:t>
            </w:r>
          </w:p>
        </w:tc>
      </w:tr>
      <w:tr w14:paraId="0C87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3F2CDA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1.8</w:t>
            </w:r>
          </w:p>
        </w:tc>
        <w:tc>
          <w:tcPr>
            <w:tcW w:w="1745" w:type="dxa"/>
            <w:vAlign w:val="center"/>
          </w:tcPr>
          <w:p w14:paraId="44C98F5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操作系统</w:t>
            </w:r>
          </w:p>
        </w:tc>
        <w:tc>
          <w:tcPr>
            <w:tcW w:w="5566" w:type="dxa"/>
            <w:vAlign w:val="center"/>
          </w:tcPr>
          <w:p w14:paraId="038CAB4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全中文操作系统。打印系统、非机储药打印加药信息全部为中文。</w:t>
            </w:r>
          </w:p>
        </w:tc>
      </w:tr>
      <w:tr w14:paraId="31A5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19FAA6F">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1.9</w:t>
            </w:r>
          </w:p>
        </w:tc>
        <w:tc>
          <w:tcPr>
            <w:tcW w:w="1745" w:type="dxa"/>
            <w:vAlign w:val="center"/>
          </w:tcPr>
          <w:p w14:paraId="455A409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操作界面</w:t>
            </w:r>
          </w:p>
        </w:tc>
        <w:tc>
          <w:tcPr>
            <w:tcW w:w="5566" w:type="dxa"/>
            <w:vAlign w:val="center"/>
          </w:tcPr>
          <w:p w14:paraId="326B9EC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触摸显示屏，规格：</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15寸。</w:t>
            </w:r>
          </w:p>
        </w:tc>
      </w:tr>
      <w:tr w14:paraId="3249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A8F3F4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2</w:t>
            </w:r>
          </w:p>
        </w:tc>
        <w:tc>
          <w:tcPr>
            <w:tcW w:w="1745" w:type="dxa"/>
            <w:vAlign w:val="center"/>
          </w:tcPr>
          <w:p w14:paraId="147BDA65">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药盒</w:t>
            </w:r>
          </w:p>
        </w:tc>
        <w:tc>
          <w:tcPr>
            <w:tcW w:w="5566" w:type="dxa"/>
            <w:vAlign w:val="center"/>
          </w:tcPr>
          <w:p w14:paraId="6E76065E">
            <w:pPr>
              <w:rPr>
                <w:rFonts w:hint="eastAsia" w:ascii="仿宋" w:hAnsi="仿宋" w:eastAsia="仿宋" w:cs="仿宋"/>
                <w:color w:val="000000" w:themeColor="text1"/>
                <w:sz w:val="21"/>
                <w:szCs w:val="21"/>
                <w:highlight w:val="none"/>
                <w14:textFill>
                  <w14:solidFill>
                    <w14:schemeClr w14:val="tx1"/>
                  </w14:solidFill>
                </w14:textFill>
              </w:rPr>
            </w:pPr>
          </w:p>
        </w:tc>
      </w:tr>
      <w:tr w14:paraId="5320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3DD737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2.1</w:t>
            </w:r>
          </w:p>
        </w:tc>
        <w:tc>
          <w:tcPr>
            <w:tcW w:w="1745" w:type="dxa"/>
            <w:vAlign w:val="center"/>
          </w:tcPr>
          <w:p w14:paraId="61A36F7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技术要求</w:t>
            </w:r>
          </w:p>
        </w:tc>
        <w:tc>
          <w:tcPr>
            <w:tcW w:w="5566" w:type="dxa"/>
            <w:vAlign w:val="center"/>
          </w:tcPr>
          <w:p w14:paraId="55F86D9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储药盒全部为智能药盒，药盒和药盒底座通信接口为接触式。</w:t>
            </w:r>
          </w:p>
        </w:tc>
      </w:tr>
      <w:tr w14:paraId="772E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4F3024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2.2</w:t>
            </w:r>
          </w:p>
        </w:tc>
        <w:tc>
          <w:tcPr>
            <w:tcW w:w="1745" w:type="dxa"/>
            <w:vAlign w:val="center"/>
          </w:tcPr>
          <w:p w14:paraId="59AB638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防漏药功能</w:t>
            </w:r>
          </w:p>
        </w:tc>
        <w:tc>
          <w:tcPr>
            <w:tcW w:w="5566" w:type="dxa"/>
            <w:vAlign w:val="center"/>
          </w:tcPr>
          <w:p w14:paraId="1F1687B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药盒具有防掉药泄露自锁装置。</w:t>
            </w:r>
          </w:p>
        </w:tc>
      </w:tr>
      <w:tr w14:paraId="1881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768F19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2.3</w:t>
            </w:r>
          </w:p>
        </w:tc>
        <w:tc>
          <w:tcPr>
            <w:tcW w:w="1745" w:type="dxa"/>
            <w:vAlign w:val="center"/>
          </w:tcPr>
          <w:p w14:paraId="200890A3">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接插要求</w:t>
            </w:r>
          </w:p>
        </w:tc>
        <w:tc>
          <w:tcPr>
            <w:tcW w:w="5566" w:type="dxa"/>
            <w:vAlign w:val="center"/>
          </w:tcPr>
          <w:p w14:paraId="03A176D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药盒可在任意底座自由插拔，插拔后自动识别药盒中装载的药品，智能药盒和底座由电子锁实现智能锁定和释放。药盒位置有亮灯提示。</w:t>
            </w:r>
          </w:p>
        </w:tc>
      </w:tr>
      <w:tr w14:paraId="4179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2A2B333">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2.4</w:t>
            </w:r>
          </w:p>
        </w:tc>
        <w:tc>
          <w:tcPr>
            <w:tcW w:w="1745" w:type="dxa"/>
            <w:vAlign w:val="center"/>
          </w:tcPr>
          <w:p w14:paraId="36C1663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外观要求</w:t>
            </w:r>
          </w:p>
        </w:tc>
        <w:tc>
          <w:tcPr>
            <w:tcW w:w="5566" w:type="dxa"/>
            <w:vAlign w:val="center"/>
          </w:tcPr>
          <w:p w14:paraId="347A6EA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药盒透明，可全视药品储存量；药盒上具有方便观察的张贴药物品名、剂量、厂家及条形码的位置。</w:t>
            </w:r>
          </w:p>
        </w:tc>
      </w:tr>
      <w:tr w14:paraId="7575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4157473">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2.5</w:t>
            </w:r>
          </w:p>
        </w:tc>
        <w:tc>
          <w:tcPr>
            <w:tcW w:w="1745" w:type="dxa"/>
            <w:vAlign w:val="center"/>
          </w:tcPr>
          <w:p w14:paraId="26215C63">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材质要求</w:t>
            </w:r>
          </w:p>
        </w:tc>
        <w:tc>
          <w:tcPr>
            <w:tcW w:w="5566" w:type="dxa"/>
            <w:vAlign w:val="center"/>
          </w:tcPr>
          <w:p w14:paraId="68E1F81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药盒材质具备防紫外功能，可直接水洗。</w:t>
            </w:r>
          </w:p>
        </w:tc>
      </w:tr>
      <w:tr w14:paraId="701C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5094507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2.6</w:t>
            </w:r>
          </w:p>
        </w:tc>
        <w:tc>
          <w:tcPr>
            <w:tcW w:w="1745" w:type="dxa"/>
            <w:vAlign w:val="center"/>
          </w:tcPr>
          <w:p w14:paraId="64E0D56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防尘、</w:t>
            </w:r>
            <w:r>
              <w:rPr>
                <w:rFonts w:hint="eastAsia" w:ascii="仿宋" w:hAnsi="仿宋" w:eastAsia="仿宋" w:cs="仿宋"/>
                <w:color w:val="000000" w:themeColor="text1"/>
                <w:sz w:val="21"/>
                <w:szCs w:val="21"/>
                <w:highlight w:val="none"/>
                <w14:textFill>
                  <w14:solidFill>
                    <w14:schemeClr w14:val="tx1"/>
                  </w14:solidFill>
                </w14:textFill>
              </w:rPr>
              <w:t>防潮</w:t>
            </w:r>
          </w:p>
        </w:tc>
        <w:tc>
          <w:tcPr>
            <w:tcW w:w="5566" w:type="dxa"/>
            <w:vAlign w:val="center"/>
          </w:tcPr>
          <w:p w14:paraId="2068A6C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药盒具备</w:t>
            </w:r>
            <w:r>
              <w:rPr>
                <w:rFonts w:hint="eastAsia" w:ascii="仿宋" w:hAnsi="仿宋" w:eastAsia="仿宋" w:cs="仿宋"/>
                <w:bCs/>
                <w:color w:val="000000" w:themeColor="text1"/>
                <w:sz w:val="21"/>
                <w:szCs w:val="21"/>
                <w:highlight w:val="none"/>
                <w14:textFill>
                  <w14:solidFill>
                    <w14:schemeClr w14:val="tx1"/>
                  </w14:solidFill>
                </w14:textFill>
              </w:rPr>
              <w:t>防尘、</w:t>
            </w:r>
            <w:r>
              <w:rPr>
                <w:rFonts w:hint="eastAsia" w:ascii="仿宋" w:hAnsi="仿宋" w:eastAsia="仿宋" w:cs="仿宋"/>
                <w:color w:val="000000" w:themeColor="text1"/>
                <w:sz w:val="21"/>
                <w:szCs w:val="21"/>
                <w:highlight w:val="none"/>
                <w14:textFill>
                  <w14:solidFill>
                    <w14:schemeClr w14:val="tx1"/>
                  </w14:solidFill>
                </w14:textFill>
              </w:rPr>
              <w:t>防潮功能。</w:t>
            </w:r>
          </w:p>
        </w:tc>
      </w:tr>
      <w:tr w14:paraId="1F0E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B65CED1">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2.7</w:t>
            </w:r>
          </w:p>
        </w:tc>
        <w:tc>
          <w:tcPr>
            <w:tcW w:w="1745" w:type="dxa"/>
            <w:vAlign w:val="center"/>
          </w:tcPr>
          <w:p w14:paraId="5BBBD13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大小规格</w:t>
            </w:r>
          </w:p>
        </w:tc>
        <w:tc>
          <w:tcPr>
            <w:tcW w:w="5566" w:type="dxa"/>
            <w:vAlign w:val="center"/>
          </w:tcPr>
          <w:p w14:paraId="4F55E1A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药盒有大、中、小三种规格，规格≥3种。</w:t>
            </w:r>
          </w:p>
        </w:tc>
      </w:tr>
      <w:tr w14:paraId="59D0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0EC104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3</w:t>
            </w:r>
          </w:p>
        </w:tc>
        <w:tc>
          <w:tcPr>
            <w:tcW w:w="1745" w:type="dxa"/>
            <w:vAlign w:val="center"/>
          </w:tcPr>
          <w:p w14:paraId="2B3A1851">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机储药品</w:t>
            </w:r>
          </w:p>
        </w:tc>
        <w:tc>
          <w:tcPr>
            <w:tcW w:w="5566" w:type="dxa"/>
            <w:vAlign w:val="center"/>
          </w:tcPr>
          <w:p w14:paraId="6EC393B2">
            <w:pPr>
              <w:rPr>
                <w:rFonts w:hint="eastAsia" w:ascii="仿宋" w:hAnsi="仿宋" w:eastAsia="仿宋" w:cs="仿宋"/>
                <w:color w:val="000000" w:themeColor="text1"/>
                <w:sz w:val="21"/>
                <w:szCs w:val="21"/>
                <w:highlight w:val="none"/>
                <w14:textFill>
                  <w14:solidFill>
                    <w14:schemeClr w14:val="tx1"/>
                  </w14:solidFill>
                </w14:textFill>
              </w:rPr>
            </w:pPr>
          </w:p>
        </w:tc>
      </w:tr>
      <w:tr w14:paraId="3968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D843F4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3.1</w:t>
            </w:r>
          </w:p>
        </w:tc>
        <w:tc>
          <w:tcPr>
            <w:tcW w:w="1745" w:type="dxa"/>
            <w:vAlign w:val="center"/>
          </w:tcPr>
          <w:p w14:paraId="057C656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加药</w:t>
            </w:r>
          </w:p>
        </w:tc>
        <w:tc>
          <w:tcPr>
            <w:tcW w:w="5566" w:type="dxa"/>
            <w:vAlign w:val="center"/>
          </w:tcPr>
          <w:p w14:paraId="104BF053">
            <w:pPr>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具备无停机加药功能。</w:t>
            </w:r>
          </w:p>
        </w:tc>
      </w:tr>
      <w:tr w14:paraId="7E61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D3C64D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3.2</w:t>
            </w:r>
          </w:p>
        </w:tc>
        <w:tc>
          <w:tcPr>
            <w:tcW w:w="1745" w:type="dxa"/>
            <w:vAlign w:val="center"/>
          </w:tcPr>
          <w:p w14:paraId="30F613E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组合功能</w:t>
            </w:r>
          </w:p>
        </w:tc>
        <w:tc>
          <w:tcPr>
            <w:tcW w:w="5566" w:type="dxa"/>
            <w:vAlign w:val="center"/>
          </w:tcPr>
          <w:p w14:paraId="6B675A4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具有子母药盒组合功能，同组中药盒数量</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6个。</w:t>
            </w:r>
          </w:p>
        </w:tc>
      </w:tr>
      <w:tr w14:paraId="4709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9223D9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3.3</w:t>
            </w:r>
          </w:p>
        </w:tc>
        <w:tc>
          <w:tcPr>
            <w:tcW w:w="1745" w:type="dxa"/>
            <w:vAlign w:val="center"/>
          </w:tcPr>
          <w:p w14:paraId="31A2D74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库存和效期管理</w:t>
            </w:r>
          </w:p>
        </w:tc>
        <w:tc>
          <w:tcPr>
            <w:tcW w:w="5566" w:type="dxa"/>
            <w:vAlign w:val="center"/>
          </w:tcPr>
          <w:p w14:paraId="4F29827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显示或可打印</w:t>
            </w:r>
            <w:r>
              <w:rPr>
                <w:rFonts w:hint="eastAsia" w:ascii="仿宋" w:hAnsi="仿宋" w:eastAsia="仿宋" w:cs="仿宋"/>
                <w:color w:val="000000" w:themeColor="text1"/>
                <w:sz w:val="21"/>
                <w:szCs w:val="21"/>
                <w:highlight w:val="none"/>
                <w:lang w:val="en-US" w:eastAsia="zh-CN"/>
                <w14:textFill>
                  <w14:solidFill>
                    <w14:schemeClr w14:val="tx1"/>
                  </w14:solidFill>
                </w14:textFill>
              </w:rPr>
              <w:t>药盒内的剩余片剂数量</w:t>
            </w:r>
            <w:r>
              <w:rPr>
                <w:rFonts w:hint="eastAsia" w:ascii="仿宋" w:hAnsi="仿宋" w:eastAsia="仿宋" w:cs="仿宋"/>
                <w:color w:val="000000" w:themeColor="text1"/>
                <w:sz w:val="21"/>
                <w:szCs w:val="21"/>
                <w:highlight w:val="none"/>
                <w14:textFill>
                  <w14:solidFill>
                    <w14:schemeClr w14:val="tx1"/>
                  </w14:solidFill>
                </w14:textFill>
              </w:rPr>
              <w:t>，药盒的内片剂用完时，设备应自动提示。管理系统中有药盒内药品批号和产地。</w:t>
            </w:r>
          </w:p>
        </w:tc>
      </w:tr>
      <w:tr w14:paraId="7501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5CD3DEC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3.4</w:t>
            </w:r>
          </w:p>
        </w:tc>
        <w:tc>
          <w:tcPr>
            <w:tcW w:w="1745" w:type="dxa"/>
            <w:vAlign w:val="center"/>
          </w:tcPr>
          <w:p w14:paraId="4715423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自动除湿</w:t>
            </w:r>
          </w:p>
        </w:tc>
        <w:tc>
          <w:tcPr>
            <w:tcW w:w="5566" w:type="dxa"/>
            <w:vAlign w:val="center"/>
          </w:tcPr>
          <w:p w14:paraId="159A295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具有除湿和温湿度监控功能。</w:t>
            </w:r>
          </w:p>
        </w:tc>
      </w:tr>
      <w:tr w14:paraId="6247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3E3EBD0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3.5</w:t>
            </w:r>
          </w:p>
        </w:tc>
        <w:tc>
          <w:tcPr>
            <w:tcW w:w="1745" w:type="dxa"/>
            <w:vAlign w:val="center"/>
          </w:tcPr>
          <w:p w14:paraId="07E7164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药品盘点</w:t>
            </w:r>
          </w:p>
        </w:tc>
        <w:tc>
          <w:tcPr>
            <w:tcW w:w="5566" w:type="dxa"/>
            <w:vAlign w:val="center"/>
          </w:tcPr>
          <w:p w14:paraId="474D8B7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具备药品实时盘点，药品消耗统计，药品种类、余量、用量、批次、效期等信息管理。</w:t>
            </w:r>
          </w:p>
        </w:tc>
      </w:tr>
      <w:tr w14:paraId="3E2C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5A7BED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4</w:t>
            </w:r>
          </w:p>
        </w:tc>
        <w:tc>
          <w:tcPr>
            <w:tcW w:w="1745" w:type="dxa"/>
            <w:vAlign w:val="center"/>
          </w:tcPr>
          <w:p w14:paraId="4F510C0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非机储药品</w:t>
            </w:r>
          </w:p>
        </w:tc>
        <w:tc>
          <w:tcPr>
            <w:tcW w:w="5566" w:type="dxa"/>
            <w:vAlign w:val="center"/>
          </w:tcPr>
          <w:p w14:paraId="73476525">
            <w:pPr>
              <w:rPr>
                <w:rFonts w:hint="eastAsia" w:ascii="仿宋" w:hAnsi="仿宋" w:eastAsia="仿宋" w:cs="仿宋"/>
                <w:color w:val="000000" w:themeColor="text1"/>
                <w:sz w:val="21"/>
                <w:szCs w:val="21"/>
                <w:highlight w:val="none"/>
                <w14:textFill>
                  <w14:solidFill>
                    <w14:schemeClr w14:val="tx1"/>
                  </w14:solidFill>
                </w14:textFill>
              </w:rPr>
            </w:pPr>
          </w:p>
        </w:tc>
      </w:tr>
      <w:tr w14:paraId="6A44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2BA246B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4.1</w:t>
            </w:r>
          </w:p>
        </w:tc>
        <w:tc>
          <w:tcPr>
            <w:tcW w:w="1745" w:type="dxa"/>
            <w:vAlign w:val="center"/>
          </w:tcPr>
          <w:p w14:paraId="0B801A3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药品集中处理</w:t>
            </w:r>
          </w:p>
        </w:tc>
        <w:tc>
          <w:tcPr>
            <w:tcW w:w="5566" w:type="dxa"/>
            <w:vAlign w:val="center"/>
          </w:tcPr>
          <w:p w14:paraId="4C7ACF9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可根据处方信息在非机储药托盘中提前准备需要添加的非机储药品，</w:t>
            </w:r>
            <w:r>
              <w:rPr>
                <w:rFonts w:hint="eastAsia" w:ascii="仿宋" w:hAnsi="仿宋" w:eastAsia="仿宋" w:cs="仿宋"/>
                <w:color w:val="000000" w:themeColor="text1"/>
                <w:sz w:val="21"/>
                <w:szCs w:val="21"/>
                <w:highlight w:val="none"/>
                <w14:textFill>
                  <w14:solidFill>
                    <w14:schemeClr w14:val="tx1"/>
                  </w14:solidFill>
                </w14:textFill>
              </w:rPr>
              <w:t>打开一次可进行多患者、多医嘱集中添加非机储药品。</w:t>
            </w:r>
          </w:p>
        </w:tc>
      </w:tr>
      <w:tr w14:paraId="421B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2A5167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4.2</w:t>
            </w:r>
          </w:p>
        </w:tc>
        <w:tc>
          <w:tcPr>
            <w:tcW w:w="1745" w:type="dxa"/>
            <w:vAlign w:val="center"/>
          </w:tcPr>
          <w:p w14:paraId="425BAD4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信息打印</w:t>
            </w:r>
          </w:p>
        </w:tc>
        <w:tc>
          <w:tcPr>
            <w:tcW w:w="5566" w:type="dxa"/>
            <w:vAlign w:val="center"/>
          </w:tcPr>
          <w:p w14:paraId="5213FCF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具备非机储药品添加信息打印功能，</w:t>
            </w:r>
            <w:r>
              <w:rPr>
                <w:rFonts w:hint="eastAsia" w:ascii="仿宋" w:hAnsi="仿宋" w:eastAsia="仿宋" w:cs="仿宋"/>
                <w:color w:val="000000" w:themeColor="text1"/>
                <w:kern w:val="0"/>
                <w:sz w:val="21"/>
                <w:szCs w:val="21"/>
                <w:highlight w:val="none"/>
                <w14:textFill>
                  <w14:solidFill>
                    <w14:schemeClr w14:val="tx1"/>
                  </w14:solidFill>
                </w14:textFill>
              </w:rPr>
              <w:t>可自动弹出外摆药盘，</w:t>
            </w:r>
            <w:r>
              <w:rPr>
                <w:rFonts w:hint="eastAsia" w:ascii="仿宋" w:hAnsi="仿宋" w:eastAsia="仿宋" w:cs="仿宋"/>
                <w:bCs/>
                <w:color w:val="000000" w:themeColor="text1"/>
                <w:sz w:val="21"/>
                <w:szCs w:val="21"/>
                <w:highlight w:val="none"/>
                <w14:textFill>
                  <w14:solidFill>
                    <w14:schemeClr w14:val="tx1"/>
                  </w14:solidFill>
                </w14:textFill>
              </w:rPr>
              <w:t>内容包括所添加药品的名称、规格、数量、摆放位置等。</w:t>
            </w:r>
          </w:p>
        </w:tc>
      </w:tr>
      <w:tr w14:paraId="0244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E5A73F6">
            <w:pP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4.</w:t>
            </w: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p>
        </w:tc>
        <w:tc>
          <w:tcPr>
            <w:tcW w:w="1745" w:type="dxa"/>
            <w:vAlign w:val="center"/>
          </w:tcPr>
          <w:p w14:paraId="6F1FA3A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拆零分包性能</w:t>
            </w:r>
          </w:p>
        </w:tc>
        <w:tc>
          <w:tcPr>
            <w:tcW w:w="5566" w:type="dxa"/>
            <w:vAlign w:val="center"/>
          </w:tcPr>
          <w:p w14:paraId="2BD6C85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非机储药托盘可单独进行非机储药的包药操作，如：用于非机储药品的大瓶药品拆零包装和包装医嘱必要时用法的功能等。也可以与机储药品混合分包。</w:t>
            </w:r>
          </w:p>
        </w:tc>
      </w:tr>
      <w:tr w14:paraId="6B12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D8BB2C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5</w:t>
            </w:r>
          </w:p>
        </w:tc>
        <w:tc>
          <w:tcPr>
            <w:tcW w:w="1745" w:type="dxa"/>
            <w:vAlign w:val="center"/>
          </w:tcPr>
          <w:p w14:paraId="13570D43">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包装部分</w:t>
            </w:r>
          </w:p>
        </w:tc>
        <w:tc>
          <w:tcPr>
            <w:tcW w:w="5566" w:type="dxa"/>
            <w:vAlign w:val="center"/>
          </w:tcPr>
          <w:p w14:paraId="0DA46BF4">
            <w:pPr>
              <w:rPr>
                <w:rFonts w:hint="eastAsia" w:ascii="仿宋" w:hAnsi="仿宋" w:eastAsia="仿宋" w:cs="仿宋"/>
                <w:color w:val="000000" w:themeColor="text1"/>
                <w:sz w:val="21"/>
                <w:szCs w:val="21"/>
                <w:highlight w:val="none"/>
                <w14:textFill>
                  <w14:solidFill>
                    <w14:schemeClr w14:val="tx1"/>
                  </w14:solidFill>
                </w14:textFill>
              </w:rPr>
            </w:pPr>
          </w:p>
        </w:tc>
      </w:tr>
      <w:tr w14:paraId="05E9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7018B3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5.1</w:t>
            </w:r>
          </w:p>
        </w:tc>
        <w:tc>
          <w:tcPr>
            <w:tcW w:w="1745" w:type="dxa"/>
            <w:vAlign w:val="center"/>
          </w:tcPr>
          <w:p w14:paraId="31465C01">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药袋规格</w:t>
            </w:r>
          </w:p>
        </w:tc>
        <w:tc>
          <w:tcPr>
            <w:tcW w:w="5566" w:type="dxa"/>
            <w:vAlign w:val="center"/>
          </w:tcPr>
          <w:p w14:paraId="73444D7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具备包药袋预先设定大小功能，规格≥3种，要求附照片说明</w:t>
            </w:r>
          </w:p>
        </w:tc>
      </w:tr>
      <w:tr w14:paraId="6A3F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EC0E94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5.2</w:t>
            </w:r>
          </w:p>
        </w:tc>
        <w:tc>
          <w:tcPr>
            <w:tcW w:w="1745" w:type="dxa"/>
            <w:vAlign w:val="center"/>
          </w:tcPr>
          <w:p w14:paraId="69C0EDC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自适应调节大小</w:t>
            </w:r>
          </w:p>
        </w:tc>
        <w:tc>
          <w:tcPr>
            <w:tcW w:w="5566" w:type="dxa"/>
            <w:vAlign w:val="center"/>
          </w:tcPr>
          <w:p w14:paraId="296EC79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具备包药袋长度根据所包药品数量自动调节大小功能（要求附照片说明工作原理）</w:t>
            </w:r>
          </w:p>
        </w:tc>
      </w:tr>
      <w:tr w14:paraId="3E0A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5F80D66">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5.3</w:t>
            </w:r>
          </w:p>
        </w:tc>
        <w:tc>
          <w:tcPr>
            <w:tcW w:w="1745" w:type="dxa"/>
            <w:vAlign w:val="center"/>
          </w:tcPr>
          <w:p w14:paraId="1826ADA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自动分包功能</w:t>
            </w:r>
          </w:p>
        </w:tc>
        <w:tc>
          <w:tcPr>
            <w:tcW w:w="5566" w:type="dxa"/>
            <w:vAlign w:val="center"/>
          </w:tcPr>
          <w:p w14:paraId="1EE121A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单处方药品装载量超过设定的药袋长度或药袋自动调节的最大长度，具备自动拆分成2包分装的功能。</w:t>
            </w:r>
          </w:p>
        </w:tc>
      </w:tr>
      <w:tr w14:paraId="7ABF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2F3E724F">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5.4</w:t>
            </w:r>
          </w:p>
        </w:tc>
        <w:tc>
          <w:tcPr>
            <w:tcW w:w="1745" w:type="dxa"/>
            <w:vAlign w:val="center"/>
          </w:tcPr>
          <w:p w14:paraId="09B41CA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材质</w:t>
            </w:r>
          </w:p>
        </w:tc>
        <w:tc>
          <w:tcPr>
            <w:tcW w:w="5566" w:type="dxa"/>
            <w:vAlign w:val="center"/>
          </w:tcPr>
          <w:p w14:paraId="5DBB6E2F">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包药袋采用可降解环保材料，透明面印字，包药后不使用任何工具即可从任意角度手工撕开。</w:t>
            </w:r>
          </w:p>
        </w:tc>
      </w:tr>
      <w:tr w14:paraId="4BF7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2BF3A3E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5.5</w:t>
            </w:r>
          </w:p>
        </w:tc>
        <w:tc>
          <w:tcPr>
            <w:tcW w:w="1745" w:type="dxa"/>
            <w:vAlign w:val="center"/>
          </w:tcPr>
          <w:p w14:paraId="3CE4447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打印信息</w:t>
            </w:r>
          </w:p>
        </w:tc>
        <w:tc>
          <w:tcPr>
            <w:tcW w:w="5566" w:type="dxa"/>
            <w:vAlign w:val="center"/>
          </w:tcPr>
          <w:p w14:paraId="1C2357C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在药袋上打印服药信息，包括：</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监区</w:t>
            </w:r>
            <w:r>
              <w:rPr>
                <w:rFonts w:hint="eastAsia" w:ascii="仿宋" w:hAnsi="仿宋" w:eastAsia="仿宋" w:cs="仿宋"/>
                <w:bCs/>
                <w:color w:val="000000" w:themeColor="text1"/>
                <w:sz w:val="21"/>
                <w:szCs w:val="21"/>
                <w:highlight w:val="none"/>
                <w14:textFill>
                  <w14:solidFill>
                    <w14:schemeClr w14:val="tx1"/>
                  </w14:solidFill>
                </w14:textFill>
              </w:rPr>
              <w:t>、</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监房</w:t>
            </w:r>
            <w:r>
              <w:rPr>
                <w:rFonts w:hint="eastAsia" w:ascii="仿宋" w:hAnsi="仿宋" w:eastAsia="仿宋" w:cs="仿宋"/>
                <w:bCs/>
                <w:color w:val="000000" w:themeColor="text1"/>
                <w:sz w:val="21"/>
                <w:szCs w:val="21"/>
                <w:highlight w:val="none"/>
                <w14:textFill>
                  <w14:solidFill>
                    <w14:schemeClr w14:val="tx1"/>
                  </w14:solidFill>
                </w14:textFill>
              </w:rPr>
              <w:t>、患者一维或二维条形码、患者姓名、服药日期和时间，袋内药品的名称、数量，以及分包数量和次序、包内药品数量等。可选择不同字体大小和符号。打印的内容和版面支持由操作人员自行编辑和排版。</w:t>
            </w:r>
          </w:p>
        </w:tc>
      </w:tr>
      <w:tr w14:paraId="4DA7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ACA6DCC">
            <w:pP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w:t>
            </w:r>
            <w:r>
              <w:rPr>
                <w:rFonts w:hint="eastAsia" w:ascii="仿宋" w:hAnsi="仿宋" w:eastAsia="仿宋" w:cs="仿宋"/>
                <w:color w:val="000000" w:themeColor="text1"/>
                <w:sz w:val="21"/>
                <w:szCs w:val="21"/>
                <w:highlight w:val="none"/>
                <w:lang w:val="en-US" w:eastAsia="zh-CN"/>
                <w14:textFill>
                  <w14:solidFill>
                    <w14:schemeClr w14:val="tx1"/>
                  </w14:solidFill>
                </w14:textFill>
              </w:rPr>
              <w:t>6</w:t>
            </w:r>
          </w:p>
        </w:tc>
        <w:tc>
          <w:tcPr>
            <w:tcW w:w="1745" w:type="dxa"/>
            <w:vAlign w:val="center"/>
          </w:tcPr>
          <w:p w14:paraId="62E2FDA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单独分包功能</w:t>
            </w:r>
          </w:p>
        </w:tc>
        <w:tc>
          <w:tcPr>
            <w:tcW w:w="5566" w:type="dxa"/>
            <w:vAlign w:val="center"/>
          </w:tcPr>
          <w:p w14:paraId="392ADC7F">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具有单品种片剂或胶囊的分包的功能；可设置单独分包药品标记，设备可自动记忆单独分包；单独分包药品的打印信息可单独编辑，单独存储和查询、统计。</w:t>
            </w:r>
          </w:p>
        </w:tc>
      </w:tr>
      <w:tr w14:paraId="7C8D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5B6624F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6</w:t>
            </w:r>
          </w:p>
        </w:tc>
        <w:tc>
          <w:tcPr>
            <w:tcW w:w="1745" w:type="dxa"/>
            <w:vAlign w:val="center"/>
          </w:tcPr>
          <w:p w14:paraId="78A60CC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落药与集药</w:t>
            </w:r>
          </w:p>
        </w:tc>
        <w:tc>
          <w:tcPr>
            <w:tcW w:w="5566" w:type="dxa"/>
            <w:vAlign w:val="center"/>
          </w:tcPr>
          <w:p w14:paraId="1545D6DD">
            <w:pPr>
              <w:rPr>
                <w:rFonts w:hint="eastAsia" w:ascii="仿宋" w:hAnsi="仿宋" w:eastAsia="仿宋" w:cs="仿宋"/>
                <w:color w:val="000000" w:themeColor="text1"/>
                <w:sz w:val="21"/>
                <w:szCs w:val="21"/>
                <w:highlight w:val="none"/>
                <w14:textFill>
                  <w14:solidFill>
                    <w14:schemeClr w14:val="tx1"/>
                  </w14:solidFill>
                </w14:textFill>
              </w:rPr>
            </w:pPr>
          </w:p>
        </w:tc>
      </w:tr>
      <w:tr w14:paraId="1558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3CB6361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6.1</w:t>
            </w:r>
          </w:p>
        </w:tc>
        <w:tc>
          <w:tcPr>
            <w:tcW w:w="1745" w:type="dxa"/>
            <w:vAlign w:val="center"/>
          </w:tcPr>
          <w:p w14:paraId="3545E39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落药通道</w:t>
            </w:r>
          </w:p>
        </w:tc>
        <w:tc>
          <w:tcPr>
            <w:tcW w:w="5566" w:type="dxa"/>
            <w:vAlign w:val="center"/>
          </w:tcPr>
          <w:p w14:paraId="55395D3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落药通道位于安装药盒的挂板后面，挂板可向外向上打开</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80度。</w:t>
            </w:r>
          </w:p>
        </w:tc>
      </w:tr>
      <w:tr w14:paraId="41E8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2C7798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6.2</w:t>
            </w:r>
          </w:p>
        </w:tc>
        <w:tc>
          <w:tcPr>
            <w:tcW w:w="1745" w:type="dxa"/>
            <w:vAlign w:val="center"/>
          </w:tcPr>
          <w:p w14:paraId="198E604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集药装置</w:t>
            </w:r>
          </w:p>
        </w:tc>
        <w:tc>
          <w:tcPr>
            <w:tcW w:w="5566" w:type="dxa"/>
            <w:vAlign w:val="center"/>
          </w:tcPr>
          <w:p w14:paraId="06103FA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药品的收集方式为</w:t>
            </w:r>
            <w:r>
              <w:rPr>
                <w:rFonts w:hint="eastAsia" w:ascii="仿宋" w:hAnsi="仿宋" w:eastAsia="仿宋" w:cs="仿宋"/>
                <w:bCs/>
                <w:color w:val="000000" w:themeColor="text1"/>
                <w:sz w:val="21"/>
                <w:szCs w:val="21"/>
                <w:highlight w:val="none"/>
                <w14:textFill>
                  <w14:solidFill>
                    <w14:schemeClr w14:val="tx1"/>
                  </w14:solidFill>
                </w14:textFill>
              </w:rPr>
              <w:t>漏斗式</w:t>
            </w:r>
            <w:r>
              <w:rPr>
                <w:rFonts w:hint="eastAsia" w:ascii="仿宋" w:hAnsi="仿宋" w:eastAsia="仿宋" w:cs="仿宋"/>
                <w:color w:val="000000" w:themeColor="text1"/>
                <w:sz w:val="21"/>
                <w:szCs w:val="21"/>
                <w:highlight w:val="none"/>
                <w14:textFill>
                  <w14:solidFill>
                    <w14:schemeClr w14:val="tx1"/>
                  </w14:solidFill>
                </w14:textFill>
              </w:rPr>
              <w:t>收集，</w:t>
            </w:r>
            <w:r>
              <w:rPr>
                <w:rFonts w:hint="eastAsia" w:ascii="仿宋" w:hAnsi="仿宋" w:eastAsia="仿宋" w:cs="仿宋"/>
                <w:bCs/>
                <w:color w:val="000000" w:themeColor="text1"/>
                <w:sz w:val="21"/>
                <w:szCs w:val="21"/>
                <w:highlight w:val="none"/>
                <w14:textFill>
                  <w14:solidFill>
                    <w14:schemeClr w14:val="tx1"/>
                  </w14:solidFill>
                </w14:textFill>
              </w:rPr>
              <w:t>落药大漏斗为</w:t>
            </w:r>
            <w:r>
              <w:rPr>
                <w:rFonts w:hint="eastAsia" w:ascii="仿宋" w:hAnsi="仿宋" w:eastAsia="仿宋" w:cs="仿宋"/>
                <w:color w:val="000000" w:themeColor="text1"/>
                <w:sz w:val="21"/>
                <w:szCs w:val="21"/>
                <w:highlight w:val="none"/>
                <w14:textFill>
                  <w14:solidFill>
                    <w14:schemeClr w14:val="tx1"/>
                  </w14:solidFill>
                </w14:textFill>
              </w:rPr>
              <w:t>非固定式设计</w:t>
            </w:r>
            <w:r>
              <w:rPr>
                <w:rFonts w:hint="eastAsia" w:ascii="仿宋" w:hAnsi="仿宋" w:eastAsia="仿宋" w:cs="仿宋"/>
                <w:bCs/>
                <w:color w:val="000000" w:themeColor="text1"/>
                <w:sz w:val="21"/>
                <w:szCs w:val="21"/>
                <w:highlight w:val="none"/>
                <w14:textFill>
                  <w14:solidFill>
                    <w14:schemeClr w14:val="tx1"/>
                  </w14:solidFill>
                </w14:textFill>
              </w:rPr>
              <w:t>。</w:t>
            </w:r>
          </w:p>
        </w:tc>
      </w:tr>
      <w:tr w14:paraId="32E2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2599116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7</w:t>
            </w:r>
          </w:p>
        </w:tc>
        <w:tc>
          <w:tcPr>
            <w:tcW w:w="1745" w:type="dxa"/>
            <w:vAlign w:val="center"/>
          </w:tcPr>
          <w:p w14:paraId="7C3D8F4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安全管理</w:t>
            </w:r>
          </w:p>
        </w:tc>
        <w:tc>
          <w:tcPr>
            <w:tcW w:w="5566" w:type="dxa"/>
            <w:vAlign w:val="center"/>
          </w:tcPr>
          <w:p w14:paraId="60AEBF74">
            <w:pPr>
              <w:rPr>
                <w:rFonts w:hint="eastAsia" w:ascii="仿宋" w:hAnsi="仿宋" w:eastAsia="仿宋" w:cs="仿宋"/>
                <w:color w:val="000000" w:themeColor="text1"/>
                <w:sz w:val="21"/>
                <w:szCs w:val="21"/>
                <w:highlight w:val="none"/>
                <w14:textFill>
                  <w14:solidFill>
                    <w14:schemeClr w14:val="tx1"/>
                  </w14:solidFill>
                </w14:textFill>
              </w:rPr>
            </w:pPr>
          </w:p>
        </w:tc>
      </w:tr>
      <w:tr w14:paraId="2D26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3488FBE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7.1</w:t>
            </w:r>
          </w:p>
        </w:tc>
        <w:tc>
          <w:tcPr>
            <w:tcW w:w="1745" w:type="dxa"/>
            <w:vAlign w:val="center"/>
          </w:tcPr>
          <w:p w14:paraId="06358D7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自动纠错</w:t>
            </w:r>
          </w:p>
        </w:tc>
        <w:tc>
          <w:tcPr>
            <w:tcW w:w="5566" w:type="dxa"/>
            <w:vAlign w:val="center"/>
          </w:tcPr>
          <w:p w14:paraId="4F80C3F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摆药机自带自动纠错功能</w:t>
            </w:r>
            <w:r>
              <w:rPr>
                <w:rFonts w:hint="eastAsia" w:ascii="仿宋" w:hAnsi="仿宋" w:eastAsia="仿宋" w:cs="仿宋"/>
                <w:color w:val="000000" w:themeColor="text1"/>
                <w:sz w:val="21"/>
                <w:szCs w:val="21"/>
                <w:highlight w:val="none"/>
                <w:lang w:val="en-US" w:eastAsia="zh-CN"/>
                <w14:textFill>
                  <w14:solidFill>
                    <w14:schemeClr w14:val="tx1"/>
                  </w14:solidFill>
                </w14:textFill>
              </w:rPr>
              <w:t>及错误</w:t>
            </w:r>
            <w:r>
              <w:rPr>
                <w:rFonts w:hint="eastAsia" w:ascii="仿宋" w:hAnsi="仿宋" w:eastAsia="仿宋" w:cs="仿宋"/>
                <w:color w:val="000000" w:themeColor="text1"/>
                <w:sz w:val="21"/>
                <w:szCs w:val="21"/>
                <w:highlight w:val="none"/>
                <w14:textFill>
                  <w14:solidFill>
                    <w14:schemeClr w14:val="tx1"/>
                  </w14:solidFill>
                </w14:textFill>
              </w:rPr>
              <w:t>提示</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并可进行重新包装功能</w:t>
            </w:r>
            <w:r>
              <w:rPr>
                <w:rFonts w:hint="eastAsia" w:ascii="仿宋" w:hAnsi="仿宋" w:eastAsia="仿宋" w:cs="仿宋"/>
                <w:color w:val="000000" w:themeColor="text1"/>
                <w:sz w:val="21"/>
                <w:szCs w:val="21"/>
                <w:highlight w:val="none"/>
                <w14:textFill>
                  <w14:solidFill>
                    <w14:schemeClr w14:val="tx1"/>
                  </w14:solidFill>
                </w14:textFill>
              </w:rPr>
              <w:t>。提供具体照片说明。</w:t>
            </w:r>
          </w:p>
        </w:tc>
      </w:tr>
      <w:tr w14:paraId="1416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FD20CC5">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7.2</w:t>
            </w:r>
          </w:p>
        </w:tc>
        <w:tc>
          <w:tcPr>
            <w:tcW w:w="1745" w:type="dxa"/>
            <w:vAlign w:val="center"/>
          </w:tcPr>
          <w:p w14:paraId="58409E8F">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储药仓门控制</w:t>
            </w:r>
          </w:p>
        </w:tc>
        <w:tc>
          <w:tcPr>
            <w:tcW w:w="5566" w:type="dxa"/>
            <w:vAlign w:val="center"/>
          </w:tcPr>
          <w:p w14:paraId="420FA83E">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储药柜门具有锁控功能。</w:t>
            </w:r>
          </w:p>
        </w:tc>
      </w:tr>
      <w:tr w14:paraId="4551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3835AD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7.3</w:t>
            </w:r>
          </w:p>
        </w:tc>
        <w:tc>
          <w:tcPr>
            <w:tcW w:w="1745" w:type="dxa"/>
            <w:vAlign w:val="center"/>
          </w:tcPr>
          <w:p w14:paraId="11405E0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供电</w:t>
            </w:r>
          </w:p>
        </w:tc>
        <w:tc>
          <w:tcPr>
            <w:tcW w:w="5566" w:type="dxa"/>
            <w:vAlign w:val="center"/>
          </w:tcPr>
          <w:p w14:paraId="6D64B378">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内置UPS,断电情况下可运行</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sz w:val="21"/>
                <w:szCs w:val="21"/>
                <w:highlight w:val="none"/>
                <w14:textFill>
                  <w14:solidFill>
                    <w14:schemeClr w14:val="tx1"/>
                  </w14:solidFill>
                </w14:textFill>
              </w:rPr>
              <w:t>30分钟。</w:t>
            </w:r>
          </w:p>
        </w:tc>
      </w:tr>
      <w:tr w14:paraId="3573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37A351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w:t>
            </w:r>
          </w:p>
        </w:tc>
        <w:tc>
          <w:tcPr>
            <w:tcW w:w="1745" w:type="dxa"/>
            <w:vAlign w:val="center"/>
          </w:tcPr>
          <w:p w14:paraId="5253B641">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人机交互</w:t>
            </w:r>
          </w:p>
        </w:tc>
        <w:tc>
          <w:tcPr>
            <w:tcW w:w="5566" w:type="dxa"/>
            <w:vAlign w:val="center"/>
          </w:tcPr>
          <w:p w14:paraId="7083C1F6">
            <w:pPr>
              <w:rPr>
                <w:rFonts w:hint="eastAsia" w:ascii="仿宋" w:hAnsi="仿宋" w:eastAsia="仿宋" w:cs="仿宋"/>
                <w:color w:val="000000" w:themeColor="text1"/>
                <w:sz w:val="21"/>
                <w:szCs w:val="21"/>
                <w:highlight w:val="none"/>
                <w14:textFill>
                  <w14:solidFill>
                    <w14:schemeClr w14:val="tx1"/>
                  </w14:solidFill>
                </w14:textFill>
              </w:rPr>
            </w:pPr>
          </w:p>
        </w:tc>
      </w:tr>
      <w:tr w14:paraId="4BD7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76616F9">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8.1</w:t>
            </w:r>
          </w:p>
        </w:tc>
        <w:tc>
          <w:tcPr>
            <w:tcW w:w="1745" w:type="dxa"/>
            <w:vAlign w:val="center"/>
          </w:tcPr>
          <w:p w14:paraId="328C31B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信息显示</w:t>
            </w:r>
          </w:p>
        </w:tc>
        <w:tc>
          <w:tcPr>
            <w:tcW w:w="5566" w:type="dxa"/>
            <w:vAlign w:val="center"/>
          </w:tcPr>
          <w:p w14:paraId="475CECF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能够实时显示处方中患者的相关信息（姓名、ID、</w:t>
            </w:r>
            <w:r>
              <w:rPr>
                <w:rFonts w:hint="eastAsia" w:ascii="仿宋" w:hAnsi="仿宋" w:eastAsia="仿宋" w:cs="仿宋"/>
                <w:color w:val="000000" w:themeColor="text1"/>
                <w:sz w:val="21"/>
                <w:szCs w:val="21"/>
                <w:highlight w:val="none"/>
                <w:lang w:val="en-US" w:eastAsia="zh-CN"/>
                <w14:textFill>
                  <w14:solidFill>
                    <w14:schemeClr w14:val="tx1"/>
                  </w14:solidFill>
                </w14:textFill>
              </w:rPr>
              <w:t>监区</w:t>
            </w:r>
            <w:r>
              <w:rPr>
                <w:rFonts w:hint="eastAsia" w:ascii="仿宋" w:hAnsi="仿宋" w:eastAsia="仿宋" w:cs="仿宋"/>
                <w:color w:val="000000" w:themeColor="text1"/>
                <w:sz w:val="21"/>
                <w:szCs w:val="21"/>
                <w:highlight w:val="none"/>
                <w14:textFill>
                  <w14:solidFill>
                    <w14:schemeClr w14:val="tx1"/>
                  </w14:solidFill>
                </w14:textFill>
              </w:rPr>
              <w:t>等）和药品信息（药品的名称、数量、规格、剂量、注意事项、编码等）。</w:t>
            </w:r>
          </w:p>
        </w:tc>
      </w:tr>
      <w:tr w14:paraId="2F7E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FF34B2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8.2</w:t>
            </w:r>
          </w:p>
        </w:tc>
        <w:tc>
          <w:tcPr>
            <w:tcW w:w="1745" w:type="dxa"/>
            <w:vAlign w:val="center"/>
          </w:tcPr>
          <w:p w14:paraId="03960BF5">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操作界面</w:t>
            </w:r>
          </w:p>
        </w:tc>
        <w:tc>
          <w:tcPr>
            <w:tcW w:w="5566" w:type="dxa"/>
            <w:vAlign w:val="center"/>
          </w:tcPr>
          <w:p w14:paraId="2E5556C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提供图文交互式的工作界面，并伴有中文语音提示。</w:t>
            </w:r>
          </w:p>
        </w:tc>
      </w:tr>
      <w:tr w14:paraId="2FCC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34A1995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8.3</w:t>
            </w:r>
          </w:p>
        </w:tc>
        <w:tc>
          <w:tcPr>
            <w:tcW w:w="1745" w:type="dxa"/>
            <w:vAlign w:val="center"/>
          </w:tcPr>
          <w:p w14:paraId="36847E8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预警和查询</w:t>
            </w:r>
          </w:p>
        </w:tc>
        <w:tc>
          <w:tcPr>
            <w:tcW w:w="5566" w:type="dxa"/>
            <w:vAlign w:val="center"/>
          </w:tcPr>
          <w:p w14:paraId="13F6549D">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药盒中药品残留量的预警功能和查询功能：机储药盒的残留量预警可设定，可从操作系统中打印药品残留量表。</w:t>
            </w:r>
          </w:p>
        </w:tc>
      </w:tr>
      <w:tr w14:paraId="78E1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BB0A1C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8.4</w:t>
            </w:r>
          </w:p>
        </w:tc>
        <w:tc>
          <w:tcPr>
            <w:tcW w:w="1745" w:type="dxa"/>
            <w:vAlign w:val="center"/>
          </w:tcPr>
          <w:p w14:paraId="723B43B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报警功能</w:t>
            </w:r>
          </w:p>
        </w:tc>
        <w:tc>
          <w:tcPr>
            <w:tcW w:w="5566" w:type="dxa"/>
            <w:vAlign w:val="center"/>
          </w:tcPr>
          <w:p w14:paraId="66A24143">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控制界面中文语音报警功能：包括药盒中药品用完、药袋纸不足、药袋打印机位置不正确、药袋打印机碳带不足、色带异常、用尽、摆药机包装部分位置异常、药袋纸异常、热封机卷纸报警；摆药机机内各部位之间在运转之中的异常实时监测报警；</w:t>
            </w:r>
            <w:r>
              <w:rPr>
                <w:rFonts w:hint="eastAsia" w:ascii="仿宋" w:hAnsi="仿宋" w:eastAsia="仿宋" w:cs="仿宋"/>
                <w:bCs/>
                <w:color w:val="000000" w:themeColor="text1"/>
                <w:sz w:val="21"/>
                <w:szCs w:val="21"/>
                <w:highlight w:val="none"/>
                <w14:textFill>
                  <w14:solidFill>
                    <w14:schemeClr w14:val="tx1"/>
                  </w14:solidFill>
                </w14:textFill>
              </w:rPr>
              <w:t>具备药柜门异常打开报警提示</w:t>
            </w:r>
            <w:r>
              <w:rPr>
                <w:rFonts w:hint="eastAsia" w:ascii="仿宋" w:hAnsi="仿宋" w:eastAsia="仿宋" w:cs="仿宋"/>
                <w:bCs/>
                <w:color w:val="000000" w:themeColor="text1"/>
                <w:sz w:val="21"/>
                <w:szCs w:val="21"/>
                <w:highlight w:val="none"/>
                <w:lang w:eastAsia="zh-CN"/>
                <w14:textFill>
                  <w14:solidFill>
                    <w14:schemeClr w14:val="tx1"/>
                  </w14:solidFill>
                </w14:textFill>
              </w:rPr>
              <w:t>。</w:t>
            </w:r>
          </w:p>
        </w:tc>
      </w:tr>
      <w:tr w14:paraId="1B52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D70545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8.5</w:t>
            </w:r>
          </w:p>
        </w:tc>
        <w:tc>
          <w:tcPr>
            <w:tcW w:w="1745" w:type="dxa"/>
            <w:vAlign w:val="center"/>
          </w:tcPr>
          <w:p w14:paraId="59613A84">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开机自检功能</w:t>
            </w:r>
          </w:p>
        </w:tc>
        <w:tc>
          <w:tcPr>
            <w:tcW w:w="5566" w:type="dxa"/>
            <w:vAlign w:val="center"/>
          </w:tcPr>
          <w:p w14:paraId="020EC5C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应有开机自检功能：能够自动检测机器运行状态以及各部分是否工作正常, 发现不能工作的部件及时提示报警。</w:t>
            </w:r>
          </w:p>
        </w:tc>
      </w:tr>
      <w:tr w14:paraId="0590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608150BA">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8.6</w:t>
            </w:r>
          </w:p>
        </w:tc>
        <w:tc>
          <w:tcPr>
            <w:tcW w:w="1745" w:type="dxa"/>
            <w:vAlign w:val="center"/>
          </w:tcPr>
          <w:p w14:paraId="5C02E8A7">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数据统计</w:t>
            </w:r>
          </w:p>
        </w:tc>
        <w:tc>
          <w:tcPr>
            <w:tcW w:w="5566" w:type="dxa"/>
            <w:vAlign w:val="center"/>
          </w:tcPr>
          <w:p w14:paraId="76A43CE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具有某时间段内已分包药品种类、数量的报表功能；单种药品的包药流向直观图表功能；</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监区</w:t>
            </w:r>
            <w:r>
              <w:rPr>
                <w:rFonts w:hint="eastAsia" w:ascii="仿宋" w:hAnsi="仿宋" w:eastAsia="仿宋" w:cs="仿宋"/>
                <w:bCs/>
                <w:color w:val="000000" w:themeColor="text1"/>
                <w:sz w:val="21"/>
                <w:szCs w:val="21"/>
                <w:highlight w:val="none"/>
                <w14:textFill>
                  <w14:solidFill>
                    <w14:schemeClr w14:val="tx1"/>
                  </w14:solidFill>
                </w14:textFill>
              </w:rPr>
              <w:t>用药汇总、排序功能。</w:t>
            </w:r>
          </w:p>
        </w:tc>
      </w:tr>
      <w:tr w14:paraId="2B7C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3EB0A450">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8.7</w:t>
            </w:r>
          </w:p>
        </w:tc>
        <w:tc>
          <w:tcPr>
            <w:tcW w:w="1745" w:type="dxa"/>
            <w:vAlign w:val="center"/>
          </w:tcPr>
          <w:p w14:paraId="199C75B2">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追溯管理</w:t>
            </w:r>
          </w:p>
        </w:tc>
        <w:tc>
          <w:tcPr>
            <w:tcW w:w="5566" w:type="dxa"/>
            <w:vAlign w:val="center"/>
          </w:tcPr>
          <w:p w14:paraId="225BDEF8">
            <w:pPr>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对操作者、操作时间、发放药品等进行追溯管理。</w:t>
            </w:r>
          </w:p>
        </w:tc>
      </w:tr>
      <w:tr w14:paraId="7599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CA43F0C">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b/>
                <w:color w:val="000000" w:themeColor="text1"/>
                <w:sz w:val="21"/>
                <w:szCs w:val="21"/>
                <w:highlight w:val="none"/>
                <w14:textFill>
                  <w14:solidFill>
                    <w14:schemeClr w14:val="tx1"/>
                  </w14:solidFill>
                </w14:textFill>
              </w:rPr>
              <w:t>9</w:t>
            </w:r>
          </w:p>
        </w:tc>
        <w:tc>
          <w:tcPr>
            <w:tcW w:w="1745" w:type="dxa"/>
            <w:vAlign w:val="center"/>
          </w:tcPr>
          <w:p w14:paraId="6413805B">
            <w:pP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配置要求</w:t>
            </w:r>
          </w:p>
        </w:tc>
        <w:tc>
          <w:tcPr>
            <w:tcW w:w="5566" w:type="dxa"/>
            <w:vAlign w:val="center"/>
          </w:tcPr>
          <w:p w14:paraId="5B300A75">
            <w:pPr>
              <w:rPr>
                <w:rFonts w:hint="eastAsia" w:ascii="仿宋" w:hAnsi="仿宋" w:eastAsia="仿宋" w:cs="仿宋"/>
                <w:color w:val="000000" w:themeColor="text1"/>
                <w:sz w:val="21"/>
                <w:szCs w:val="21"/>
                <w:highlight w:val="none"/>
                <w14:textFill>
                  <w14:solidFill>
                    <w14:schemeClr w14:val="tx1"/>
                  </w14:solidFill>
                </w14:textFill>
              </w:rPr>
            </w:pPr>
          </w:p>
        </w:tc>
      </w:tr>
      <w:tr w14:paraId="1085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1235781">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9.1</w:t>
            </w:r>
          </w:p>
        </w:tc>
        <w:tc>
          <w:tcPr>
            <w:tcW w:w="7311" w:type="dxa"/>
            <w:gridSpan w:val="2"/>
            <w:vAlign w:val="center"/>
          </w:tcPr>
          <w:p w14:paraId="1E38A793">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分包机1台</w:t>
            </w:r>
          </w:p>
        </w:tc>
      </w:tr>
      <w:tr w14:paraId="6784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35ACEC7">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9.2</w:t>
            </w:r>
          </w:p>
        </w:tc>
        <w:tc>
          <w:tcPr>
            <w:tcW w:w="7311" w:type="dxa"/>
            <w:gridSpan w:val="2"/>
            <w:vAlign w:val="center"/>
          </w:tcPr>
          <w:p w14:paraId="6E427B19">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拆药机1台</w:t>
            </w:r>
          </w:p>
        </w:tc>
      </w:tr>
      <w:tr w14:paraId="0D51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3B8C8A1">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9.3</w:t>
            </w:r>
          </w:p>
        </w:tc>
        <w:tc>
          <w:tcPr>
            <w:tcW w:w="7311" w:type="dxa"/>
            <w:gridSpan w:val="2"/>
            <w:vAlign w:val="center"/>
          </w:tcPr>
          <w:p w14:paraId="446CC1AC">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自动数粒机1台</w:t>
            </w:r>
          </w:p>
        </w:tc>
      </w:tr>
      <w:tr w14:paraId="6378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5BAB2337">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9.4</w:t>
            </w:r>
          </w:p>
        </w:tc>
        <w:tc>
          <w:tcPr>
            <w:tcW w:w="7311" w:type="dxa"/>
            <w:gridSpan w:val="2"/>
            <w:vAlign w:val="center"/>
          </w:tcPr>
          <w:p w14:paraId="04B1263B">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工作站电脑1套</w:t>
            </w:r>
          </w:p>
        </w:tc>
      </w:tr>
      <w:tr w14:paraId="2E45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2E54F93C">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9.5</w:t>
            </w:r>
          </w:p>
        </w:tc>
        <w:tc>
          <w:tcPr>
            <w:tcW w:w="7311" w:type="dxa"/>
            <w:gridSpan w:val="2"/>
            <w:vAlign w:val="center"/>
          </w:tcPr>
          <w:p w14:paraId="0F9148AC">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激光打印机1台</w:t>
            </w:r>
          </w:p>
        </w:tc>
      </w:tr>
      <w:tr w14:paraId="5C2A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EF63D7C">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9.6</w:t>
            </w:r>
          </w:p>
        </w:tc>
        <w:tc>
          <w:tcPr>
            <w:tcW w:w="7311" w:type="dxa"/>
            <w:gridSpan w:val="2"/>
            <w:vAlign w:val="center"/>
          </w:tcPr>
          <w:p w14:paraId="6F43BA81">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大功率除湿机1台</w:t>
            </w:r>
          </w:p>
        </w:tc>
      </w:tr>
      <w:tr w14:paraId="7477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7621A884">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9.7</w:t>
            </w:r>
          </w:p>
        </w:tc>
        <w:tc>
          <w:tcPr>
            <w:tcW w:w="7311" w:type="dxa"/>
            <w:gridSpan w:val="2"/>
            <w:vAlign w:val="center"/>
          </w:tcPr>
          <w:p w14:paraId="438552B2">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设备提供免费移机一次</w:t>
            </w:r>
          </w:p>
        </w:tc>
      </w:tr>
      <w:tr w14:paraId="6A6C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12BBCFD4">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9.8</w:t>
            </w:r>
          </w:p>
        </w:tc>
        <w:tc>
          <w:tcPr>
            <w:tcW w:w="7311" w:type="dxa"/>
            <w:gridSpan w:val="2"/>
            <w:vAlign w:val="center"/>
          </w:tcPr>
          <w:p w14:paraId="64AA3810">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承担</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所有</w:t>
            </w:r>
            <w:r>
              <w:rPr>
                <w:rFonts w:hint="eastAsia" w:ascii="仿宋" w:hAnsi="仿宋" w:eastAsia="仿宋" w:cs="仿宋"/>
                <w:bCs/>
                <w:color w:val="000000" w:themeColor="text1"/>
                <w:sz w:val="21"/>
                <w:szCs w:val="21"/>
                <w:highlight w:val="none"/>
                <w14:textFill>
                  <w14:solidFill>
                    <w14:schemeClr w14:val="tx1"/>
                  </w14:solidFill>
                </w14:textFill>
              </w:rPr>
              <w:t>软件系统接口费用</w:t>
            </w:r>
            <w:r>
              <w:rPr>
                <w:rFonts w:hint="eastAsia" w:ascii="仿宋" w:hAnsi="仿宋" w:eastAsia="仿宋" w:cs="仿宋"/>
                <w:bCs/>
                <w:color w:val="000000" w:themeColor="text1"/>
                <w:sz w:val="21"/>
                <w:szCs w:val="21"/>
                <w:highlight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按采购人要求对接绍兴市看守所相关医疗平台。</w:t>
            </w:r>
          </w:p>
        </w:tc>
      </w:tr>
      <w:tr w14:paraId="3E80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09594710">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9.9</w:t>
            </w:r>
          </w:p>
        </w:tc>
        <w:tc>
          <w:tcPr>
            <w:tcW w:w="7311" w:type="dxa"/>
            <w:gridSpan w:val="2"/>
            <w:vAlign w:val="center"/>
          </w:tcPr>
          <w:p w14:paraId="681E0D6C">
            <w:pPr>
              <w:spacing w:line="320" w:lineRule="exact"/>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承担药房改造工程费用1次（</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自行踏勘现场，</w:t>
            </w:r>
            <w:r>
              <w:rPr>
                <w:rFonts w:hint="eastAsia" w:ascii="仿宋" w:hAnsi="仿宋" w:eastAsia="仿宋" w:cs="仿宋"/>
                <w:bCs/>
                <w:color w:val="000000" w:themeColor="text1"/>
                <w:sz w:val="21"/>
                <w:szCs w:val="21"/>
                <w:highlight w:val="none"/>
                <w14:textFill>
                  <w14:solidFill>
                    <w14:schemeClr w14:val="tx1"/>
                  </w14:solidFill>
                </w14:textFill>
              </w:rPr>
              <w:t>按设备及</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采购人</w:t>
            </w:r>
            <w:r>
              <w:rPr>
                <w:rFonts w:hint="eastAsia" w:ascii="仿宋" w:hAnsi="仿宋" w:eastAsia="仿宋" w:cs="仿宋"/>
                <w:bCs/>
                <w:color w:val="000000" w:themeColor="text1"/>
                <w:sz w:val="21"/>
                <w:szCs w:val="21"/>
                <w:highlight w:val="none"/>
                <w14:textFill>
                  <w14:solidFill>
                    <w14:schemeClr w14:val="tx1"/>
                  </w14:solidFill>
                </w14:textFill>
              </w:rPr>
              <w:t>使用要求改造）</w:t>
            </w:r>
          </w:p>
        </w:tc>
      </w:tr>
      <w:tr w14:paraId="1236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048" w:type="dxa"/>
            <w:vAlign w:val="center"/>
          </w:tcPr>
          <w:p w14:paraId="4202458B">
            <w:pP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9.10</w:t>
            </w:r>
          </w:p>
        </w:tc>
        <w:tc>
          <w:tcPr>
            <w:tcW w:w="7311" w:type="dxa"/>
            <w:gridSpan w:val="2"/>
            <w:vAlign w:val="center"/>
          </w:tcPr>
          <w:p w14:paraId="72CECD4E">
            <w:pPr>
              <w:spacing w:line="320" w:lineRule="exact"/>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免费提供一年耗材使用量</w:t>
            </w:r>
            <w:r>
              <w:rPr>
                <w:rFonts w:hint="eastAsia" w:ascii="仿宋" w:hAnsi="仿宋" w:eastAsia="仿宋" w:cs="仿宋"/>
                <w:bCs/>
                <w:color w:val="000000" w:themeColor="text1"/>
                <w:sz w:val="21"/>
                <w:szCs w:val="21"/>
                <w:highlight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lang w:val="en-US" w:eastAsia="zh-CN"/>
                <w14:textFill>
                  <w14:solidFill>
                    <w14:schemeClr w14:val="tx1"/>
                  </w14:solidFill>
                </w14:textFill>
              </w:rPr>
              <w:t>包括包装袋、碳带等，根据采购人实际使用数量为准</w:t>
            </w:r>
            <w:r>
              <w:rPr>
                <w:rFonts w:hint="eastAsia" w:ascii="仿宋" w:hAnsi="仿宋" w:eastAsia="仿宋" w:cs="仿宋"/>
                <w:bCs/>
                <w:color w:val="000000" w:themeColor="text1"/>
                <w:sz w:val="21"/>
                <w:szCs w:val="21"/>
                <w:highlight w:val="none"/>
                <w:lang w:eastAsia="zh-CN"/>
                <w14:textFill>
                  <w14:solidFill>
                    <w14:schemeClr w14:val="tx1"/>
                  </w14:solidFill>
                </w14:textFill>
              </w:rPr>
              <w:t>）</w:t>
            </w:r>
          </w:p>
        </w:tc>
      </w:tr>
    </w:tbl>
    <w:p w14:paraId="4A86BC52">
      <w:pPr>
        <w:widowControl/>
        <w:snapToGrid w:val="0"/>
        <w:spacing w:line="480" w:lineRule="exact"/>
        <w:rPr>
          <w:rFonts w:hint="default" w:ascii="仿宋" w:hAnsi="仿宋" w:eastAsia="仿宋" w:cs="仿宋"/>
          <w:b/>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14:textFill>
            <w14:solidFill>
              <w14:schemeClr w14:val="tx1"/>
            </w14:solidFill>
          </w14:textFill>
        </w:rPr>
        <w:t>二、商务要求</w:t>
      </w:r>
    </w:p>
    <w:p w14:paraId="7BDB0CC9">
      <w:pPr>
        <w:widowControl/>
        <w:snapToGrid w:val="0"/>
        <w:spacing w:line="480" w:lineRule="exact"/>
        <w:rPr>
          <w:rFonts w:hint="eastAsia"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2.1供货期</w:t>
      </w:r>
    </w:p>
    <w:p w14:paraId="427F602A">
      <w:pPr>
        <w:widowControl/>
        <w:snapToGrid w:val="0"/>
        <w:spacing w:line="48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自合同签订之日起，接</w:t>
      </w:r>
      <w:r>
        <w:rPr>
          <w:rFonts w:hint="eastAsia" w:ascii="仿宋" w:hAnsi="仿宋" w:eastAsia="仿宋" w:cs="仿宋"/>
          <w:color w:val="000000" w:themeColor="text1"/>
          <w:sz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通知后90日内完成所有服务、供货并安装调试</w:t>
      </w:r>
      <w:r>
        <w:rPr>
          <w:rFonts w:hint="eastAsia" w:ascii="仿宋" w:hAnsi="仿宋" w:eastAsia="仿宋" w:cs="仿宋"/>
          <w:color w:val="000000" w:themeColor="text1"/>
          <w:sz w:val="24"/>
          <w:highlight w:val="none"/>
          <w:lang w:val="en-US" w:eastAsia="zh-CN"/>
          <w14:textFill>
            <w14:solidFill>
              <w14:schemeClr w14:val="tx1"/>
            </w14:solidFill>
          </w14:textFill>
        </w:rPr>
        <w:t>及相关服务</w:t>
      </w:r>
      <w:r>
        <w:rPr>
          <w:rFonts w:hint="eastAsia" w:ascii="仿宋" w:hAnsi="仿宋" w:eastAsia="仿宋" w:cs="仿宋"/>
          <w:color w:val="000000" w:themeColor="text1"/>
          <w:sz w:val="24"/>
          <w:highlight w:val="none"/>
          <w14:textFill>
            <w14:solidFill>
              <w14:schemeClr w14:val="tx1"/>
            </w14:solidFill>
          </w14:textFill>
        </w:rPr>
        <w:t>完成。</w:t>
      </w:r>
      <w:bookmarkStart w:id="39" w:name="_Hlk220924592"/>
      <w:r>
        <w:rPr>
          <w:rFonts w:hint="eastAsia" w:ascii="仿宋" w:hAnsi="仿宋" w:eastAsia="仿宋" w:cs="仿宋"/>
          <w:color w:val="000000" w:themeColor="text1"/>
          <w:sz w:val="24"/>
          <w:highlight w:val="none"/>
          <w14:textFill>
            <w14:solidFill>
              <w14:schemeClr w14:val="tx1"/>
            </w14:solidFill>
          </w14:textFill>
        </w:rPr>
        <w:t>装机时提供原厂技术白皮书。</w:t>
      </w:r>
      <w:bookmarkEnd w:id="39"/>
    </w:p>
    <w:p w14:paraId="5C106884">
      <w:pPr>
        <w:widowControl/>
        <w:snapToGrid w:val="0"/>
        <w:spacing w:line="440" w:lineRule="exact"/>
        <w:rPr>
          <w:rFonts w:hint="eastAsia"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2.2供货地点</w:t>
      </w:r>
    </w:p>
    <w:p w14:paraId="10300FCF">
      <w:pPr>
        <w:widowControl/>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绍兴市看守所</w:t>
      </w:r>
    </w:p>
    <w:p w14:paraId="14064C8A">
      <w:pPr>
        <w:widowControl/>
        <w:snapToGrid w:val="0"/>
        <w:spacing w:line="480" w:lineRule="exact"/>
        <w:rPr>
          <w:rFonts w:hint="eastAsia"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2.3安装调试</w:t>
      </w:r>
    </w:p>
    <w:p w14:paraId="065ECF28">
      <w:pPr>
        <w:widowControl/>
        <w:snapToGrid w:val="0"/>
        <w:spacing w:line="480" w:lineRule="exact"/>
        <w:ind w:firstLine="480" w:firstLineChars="200"/>
        <w:rPr>
          <w:rFonts w:hint="eastAsia" w:ascii="仿宋" w:eastAsia="仿宋"/>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中标人负责设备的运输、搬运、安装、调试，费用由中标人承担，请考虑到本次投标报价中。</w:t>
      </w:r>
    </w:p>
    <w:p w14:paraId="3D6AA7F2">
      <w:pPr>
        <w:widowControl/>
        <w:snapToGrid w:val="0"/>
        <w:spacing w:line="480" w:lineRule="exact"/>
        <w:rPr>
          <w:rFonts w:hint="eastAsia" w:ascii="仿宋" w:eastAsia="仿宋"/>
          <w:b/>
          <w:bCs/>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14:textFill>
            <w14:solidFill>
              <w14:schemeClr w14:val="tx1"/>
            </w14:solidFill>
          </w14:textFill>
        </w:rPr>
        <w:t>2.4质保期</w:t>
      </w:r>
    </w:p>
    <w:p w14:paraId="753A1282">
      <w:pPr>
        <w:widowControl/>
        <w:snapToGrid w:val="0"/>
        <w:spacing w:line="440" w:lineRule="exact"/>
        <w:ind w:firstLine="480" w:firstLineChars="200"/>
        <w:rPr>
          <w:rFonts w:hint="eastAsia" w:asci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质保期自验收合格之日起整机保修</w:t>
      </w:r>
      <w:r>
        <w:rPr>
          <w:rFonts w:hint="eastAsia" w:ascii="仿宋" w:hAnsi="仿宋" w:eastAsia="仿宋"/>
          <w:color w:val="000000" w:themeColor="text1"/>
          <w:sz w:val="24"/>
          <w:highlight w:val="none"/>
          <w:lang w:val="en-US" w:eastAsia="zh-CN"/>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kern w:val="0"/>
          <w:sz w:val="24"/>
          <w:szCs w:val="24"/>
          <w:highlight w:val="none"/>
          <w14:textFill>
            <w14:solidFill>
              <w14:schemeClr w14:val="tx1"/>
            </w14:solidFill>
          </w14:textFill>
        </w:rPr>
        <w:t>，需提供原厂保修承诺（原厂工程师、原厂配件）。质保期后免收维修费，保证零配件供应8年以上；保修起始时间以</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kern w:val="0"/>
          <w:sz w:val="24"/>
          <w:szCs w:val="24"/>
          <w:highlight w:val="none"/>
          <w14:textFill>
            <w14:solidFill>
              <w14:schemeClr w14:val="tx1"/>
            </w14:solidFill>
          </w14:textFill>
        </w:rPr>
        <w:t>验收合格之日为准，不得用任何方式将设备到货至安装完毕后验收的该段时间，部分的或全部的计入设备的保修期。每年的开机率≥95%，每减少一天，需免费延长三天，以此类推。（提供承诺函，格式自拟）</w:t>
      </w:r>
      <w:r>
        <w:rPr>
          <w:rFonts w:hint="eastAsia" w:ascii="仿宋" w:hAnsi="仿宋" w:eastAsia="仿宋"/>
          <w:color w:val="000000" w:themeColor="text1"/>
          <w:sz w:val="24"/>
          <w:highlight w:val="none"/>
          <w14:textFill>
            <w14:solidFill>
              <w14:schemeClr w14:val="tx1"/>
            </w14:solidFill>
          </w14:textFill>
        </w:rPr>
        <w:t>。</w:t>
      </w:r>
    </w:p>
    <w:p w14:paraId="2529A95D">
      <w:pPr>
        <w:widowControl/>
        <w:snapToGrid w:val="0"/>
        <w:spacing w:line="480" w:lineRule="exact"/>
        <w:rPr>
          <w:rFonts w:hint="eastAsia" w:ascii="仿宋" w:eastAsia="仿宋"/>
          <w:b/>
          <w:bCs/>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14:textFill>
            <w14:solidFill>
              <w14:schemeClr w14:val="tx1"/>
            </w14:solidFill>
          </w14:textFill>
        </w:rPr>
        <w:t>2.5技术培训</w:t>
      </w:r>
    </w:p>
    <w:p w14:paraId="5CF12884">
      <w:pPr>
        <w:widowControl/>
        <w:snapToGrid w:val="0"/>
        <w:spacing w:line="480" w:lineRule="exact"/>
        <w:ind w:firstLine="480" w:firstLineChars="200"/>
        <w:rPr>
          <w:rFonts w:hint="eastAsia" w:ascii="仿宋" w:eastAsia="仿宋"/>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中标人需负责对采购人的技术人员</w:t>
      </w:r>
      <w:r>
        <w:rPr>
          <w:rFonts w:ascii="仿宋" w:eastAsia="仿宋"/>
          <w:color w:val="000000" w:themeColor="text1"/>
          <w:sz w:val="24"/>
          <w:highlight w:val="none"/>
          <w14:textFill>
            <w14:solidFill>
              <w14:schemeClr w14:val="tx1"/>
            </w14:solidFill>
          </w14:textFill>
        </w:rPr>
        <w:t>进行</w:t>
      </w:r>
      <w:r>
        <w:rPr>
          <w:rFonts w:hint="eastAsia" w:ascii="仿宋" w:eastAsia="仿宋"/>
          <w:color w:val="000000" w:themeColor="text1"/>
          <w:sz w:val="24"/>
          <w:highlight w:val="none"/>
          <w14:textFill>
            <w14:solidFill>
              <w14:schemeClr w14:val="tx1"/>
            </w14:solidFill>
          </w14:textFill>
        </w:rPr>
        <w:t>培训。投标人须在投标文件中提供详细的培训计划，包括培训内容、培训时间、培训费用等。技术培训费用应包含在投标总价。</w:t>
      </w:r>
    </w:p>
    <w:p w14:paraId="468F68D0">
      <w:pPr>
        <w:widowControl/>
        <w:snapToGrid w:val="0"/>
        <w:spacing w:line="480" w:lineRule="exact"/>
        <w:rPr>
          <w:rFonts w:hint="eastAsia" w:ascii="仿宋" w:eastAsia="仿宋"/>
          <w:b/>
          <w:bCs/>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14:textFill>
            <w14:solidFill>
              <w14:schemeClr w14:val="tx1"/>
            </w14:solidFill>
          </w14:textFill>
        </w:rPr>
        <w:t>2.6付款方式</w:t>
      </w:r>
    </w:p>
    <w:p w14:paraId="46AD2EA4">
      <w:pPr>
        <w:widowControl/>
        <w:snapToGrid w:val="0"/>
        <w:spacing w:line="480" w:lineRule="exact"/>
        <w:ind w:firstLine="480" w:firstLineChars="200"/>
        <w:rPr>
          <w:rFonts w:hint="eastAsia" w:ascii="仿宋" w:eastAsia="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合同签订生效后以及具备实施条件后7个工作日内，向中标人支付合同总价的40%的预付款。预付款与合同履行同步进行，预付款支付进程不得影响合同的履行，中标人不得以预付款支付问题停止合同的履行。设备安装、调试完成，且验收合格后付清设备余款。</w:t>
      </w:r>
    </w:p>
    <w:p w14:paraId="7918160B">
      <w:pPr>
        <w:widowControl/>
        <w:snapToGrid w:val="0"/>
        <w:spacing w:line="480" w:lineRule="exact"/>
        <w:rPr>
          <w:rFonts w:hint="eastAsia" w:ascii="仿宋" w:eastAsia="仿宋"/>
          <w:b/>
          <w:bCs/>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14:textFill>
            <w14:solidFill>
              <w14:schemeClr w14:val="tx1"/>
            </w14:solidFill>
          </w14:textFill>
        </w:rPr>
        <w:t>2.7售后服务</w:t>
      </w:r>
    </w:p>
    <w:p w14:paraId="56776B20">
      <w:pPr>
        <w:widowControl/>
        <w:snapToGrid w:val="0"/>
        <w:spacing w:line="480" w:lineRule="exact"/>
        <w:ind w:firstLine="480" w:firstLineChars="200"/>
        <w:rPr>
          <w:rFonts w:hint="eastAsia" w:ascii="仿宋" w:eastAsia="仿宋"/>
          <w:color w:val="000000" w:themeColor="text1"/>
          <w:sz w:val="24"/>
          <w:highlight w:val="none"/>
          <w14:textFill>
            <w14:solidFill>
              <w14:schemeClr w14:val="tx1"/>
            </w14:solidFill>
          </w14:textFill>
        </w:rPr>
      </w:pPr>
      <w:r>
        <w:rPr>
          <w:rFonts w:hint="eastAsia" w:ascii="仿宋" w:eastAsia="仿宋"/>
          <w:color w:val="000000" w:themeColor="text1"/>
          <w:sz w:val="24"/>
          <w:highlight w:val="none"/>
          <w14:textFill>
            <w14:solidFill>
              <w14:schemeClr w14:val="tx1"/>
            </w14:solidFill>
          </w14:textFill>
        </w:rPr>
        <w:t>中标人需提供专门的售后服务电话，中标人在接到采购人通知后，2小时内做出响应，24小时内派人赴现场处理问题。48小时内无法修复的，中标人需无偿提供备机或备用零件供采购人使用。</w:t>
      </w:r>
    </w:p>
    <w:p w14:paraId="471C24B4">
      <w:pPr>
        <w:widowControl/>
        <w:snapToGrid w:val="0"/>
        <w:spacing w:line="480" w:lineRule="exact"/>
        <w:rPr>
          <w:rFonts w:hint="eastAsia" w:ascii="仿宋" w:eastAsia="仿宋"/>
          <w:b/>
          <w:bCs/>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14:textFill>
            <w14:solidFill>
              <w14:schemeClr w14:val="tx1"/>
            </w14:solidFill>
          </w14:textFill>
        </w:rPr>
        <w:t>2.8数量调整</w:t>
      </w:r>
    </w:p>
    <w:p w14:paraId="73116AA7">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保留在签约时</w:t>
      </w:r>
      <w:r>
        <w:rPr>
          <w:rFonts w:ascii="仿宋" w:eastAsia="仿宋"/>
          <w:color w:val="000000" w:themeColor="text1"/>
          <w:kern w:val="0"/>
          <w:sz w:val="24"/>
          <w:highlight w:val="none"/>
          <w14:textFill>
            <w14:solidFill>
              <w14:schemeClr w14:val="tx1"/>
            </w14:solidFill>
          </w14:textFill>
        </w:rPr>
        <w:t>微调</w:t>
      </w:r>
      <w:r>
        <w:rPr>
          <w:rFonts w:hint="eastAsia" w:ascii="仿宋" w:eastAsia="仿宋"/>
          <w:color w:val="000000" w:themeColor="text1"/>
          <w:kern w:val="0"/>
          <w:sz w:val="24"/>
          <w:highlight w:val="none"/>
          <w14:textFill>
            <w14:solidFill>
              <w14:schemeClr w14:val="tx1"/>
            </w14:solidFill>
          </w14:textFill>
        </w:rPr>
        <w:t>部分方案及定购设备数量和服务的</w:t>
      </w:r>
      <w:r>
        <w:rPr>
          <w:rFonts w:hint="eastAsia" w:ascii="仿宋" w:eastAsia="仿宋"/>
          <w:color w:val="000000" w:themeColor="text1"/>
          <w:kern w:val="0"/>
          <w:sz w:val="24"/>
          <w:highlight w:val="none"/>
          <w:lang w:val="en-US" w:eastAsia="zh-CN"/>
          <w14:textFill>
            <w14:solidFill>
              <w14:schemeClr w14:val="tx1"/>
            </w14:solidFill>
          </w14:textFill>
        </w:rPr>
        <w:t>权利</w:t>
      </w:r>
      <w:r>
        <w:rPr>
          <w:rFonts w:hint="eastAsia" w:ascii="仿宋" w:eastAsia="仿宋"/>
          <w:color w:val="000000" w:themeColor="text1"/>
          <w:kern w:val="0"/>
          <w:sz w:val="24"/>
          <w:highlight w:val="none"/>
          <w14:textFill>
            <w14:solidFill>
              <w14:schemeClr w14:val="tx1"/>
            </w14:solidFill>
          </w14:textFill>
        </w:rPr>
        <w:t>，投标人应对系统方案中设备和服务明细报价，按投标单价不变的前提下进行调整，双方不得拒绝。政府采购合同履行中追加与合同标的相同的货物、工程或者服务的采购金额不得超过原合同采购金额10%</w:t>
      </w:r>
      <w:r>
        <w:rPr>
          <w:rFonts w:ascii="仿宋" w:eastAsia="仿宋"/>
          <w:color w:val="000000" w:themeColor="text1"/>
          <w:kern w:val="0"/>
          <w:sz w:val="24"/>
          <w:highlight w:val="none"/>
          <w14:textFill>
            <w14:solidFill>
              <w14:schemeClr w14:val="tx1"/>
            </w14:solidFill>
          </w14:textFill>
        </w:rPr>
        <w:t>且不高于</w:t>
      </w:r>
      <w:r>
        <w:rPr>
          <w:rFonts w:ascii="仿宋" w:eastAsia="仿宋"/>
          <w:color w:val="000000" w:themeColor="text1"/>
          <w:sz w:val="24"/>
          <w:highlight w:val="none"/>
          <w14:textFill>
            <w14:solidFill>
              <w14:schemeClr w14:val="tx1"/>
            </w14:solidFill>
          </w14:textFill>
        </w:rPr>
        <w:t>分散采购</w:t>
      </w:r>
      <w:r>
        <w:rPr>
          <w:rFonts w:hint="eastAsia" w:ascii="仿宋" w:eastAsia="仿宋"/>
          <w:color w:val="000000" w:themeColor="text1"/>
          <w:sz w:val="24"/>
          <w:highlight w:val="none"/>
          <w14:textFill>
            <w14:solidFill>
              <w14:schemeClr w14:val="tx1"/>
            </w14:solidFill>
          </w14:textFill>
        </w:rPr>
        <w:t>限额标准</w:t>
      </w:r>
      <w:r>
        <w:rPr>
          <w:rFonts w:hint="eastAsia" w:ascii="仿宋" w:eastAsia="仿宋"/>
          <w:color w:val="000000" w:themeColor="text1"/>
          <w:kern w:val="0"/>
          <w:sz w:val="24"/>
          <w:highlight w:val="none"/>
          <w14:textFill>
            <w14:solidFill>
              <w14:schemeClr w14:val="tx1"/>
            </w14:solidFill>
          </w14:textFill>
        </w:rPr>
        <w:t>。</w:t>
      </w:r>
    </w:p>
    <w:p w14:paraId="35A6E3D9">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如遇本次招标没有涉及的设备或服务时，由中标人提供申请，</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确认后实施。</w:t>
      </w:r>
    </w:p>
    <w:p w14:paraId="22AC5CC8">
      <w:pPr>
        <w:widowControl/>
        <w:snapToGrid w:val="0"/>
        <w:spacing w:line="480" w:lineRule="exact"/>
        <w:rPr>
          <w:rFonts w:hint="eastAsia"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2.9验收</w:t>
      </w:r>
    </w:p>
    <w:p w14:paraId="291EB0A7">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2.9.1</w:t>
      </w:r>
      <w:r>
        <w:rPr>
          <w:rFonts w:hint="eastAsia" w:ascii="仿宋" w:eastAsia="仿宋" w:cs="宋体"/>
          <w:bCs/>
          <w:color w:val="000000" w:themeColor="text1"/>
          <w:sz w:val="24"/>
          <w:highlight w:val="none"/>
          <w14:textFill>
            <w14:solidFill>
              <w14:schemeClr w14:val="tx1"/>
            </w14:solidFill>
          </w14:textFill>
        </w:rPr>
        <w:t>验收以采购文件和技术文件、投标文件、合同及安装技术要求为依据。采购人有权对货物组织第三方专家进行验收检测</w:t>
      </w:r>
      <w:r>
        <w:rPr>
          <w:rFonts w:hint="eastAsia" w:ascii="仿宋" w:eastAsia="仿宋"/>
          <w:color w:val="000000" w:themeColor="text1"/>
          <w:kern w:val="0"/>
          <w:sz w:val="24"/>
          <w:highlight w:val="none"/>
          <w14:textFill>
            <w14:solidFill>
              <w14:schemeClr w14:val="tx1"/>
            </w14:solidFill>
          </w14:textFill>
        </w:rPr>
        <w:t>。</w:t>
      </w:r>
    </w:p>
    <w:p w14:paraId="252E7325">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2.9.2 供货安装完成后，中标人应该向</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提交申请验收报告，并且提供主要货物的出厂合格证书（或报告）、检测报告等完整的技术档案资料，若中标人未能按照上述要求履行的，导致无法及时验收的，则须由中标人承担一切责任。</w:t>
      </w:r>
    </w:p>
    <w:p w14:paraId="14A1C3B8">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2.9.3 验收必须符合国家、地方有关规范、标准及设计要求。</w:t>
      </w:r>
    </w:p>
    <w:p w14:paraId="0F5DEC8E">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2.9.4 符合验收条件的，由</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组织有关部门按照国家、地方有关规范、标准及设计要求进行验收。验收后中标人应按照验收中提出的意见整改。</w:t>
      </w:r>
    </w:p>
    <w:p w14:paraId="7F32DDEA">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2.9.5 整改完毕且复验合格后将本项目货物交给</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使用，完成日期以通过复验日期为准。</w:t>
      </w:r>
    </w:p>
    <w:p w14:paraId="4524B82D">
      <w:pPr>
        <w:widowControl/>
        <w:snapToGrid w:val="0"/>
        <w:spacing w:line="480" w:lineRule="exact"/>
        <w:ind w:firstLine="479"/>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2.9.</w:t>
      </w:r>
      <w:r>
        <w:rPr>
          <w:rFonts w:hint="eastAsia" w:ascii="仿宋" w:eastAsia="仿宋"/>
          <w:color w:val="000000" w:themeColor="text1"/>
          <w:kern w:val="0"/>
          <w:sz w:val="24"/>
          <w:highlight w:val="none"/>
          <w:lang w:val="en-US" w:eastAsia="zh-CN"/>
          <w14:textFill>
            <w14:solidFill>
              <w14:schemeClr w14:val="tx1"/>
            </w14:solidFill>
          </w14:textFill>
        </w:rPr>
        <w:t>6采购人</w:t>
      </w:r>
      <w:r>
        <w:rPr>
          <w:rFonts w:hint="eastAsia" w:ascii="仿宋" w:eastAsia="仿宋"/>
          <w:color w:val="000000" w:themeColor="text1"/>
          <w:kern w:val="0"/>
          <w:sz w:val="24"/>
          <w:highlight w:val="none"/>
          <w14:textFill>
            <w14:solidFill>
              <w14:schemeClr w14:val="tx1"/>
            </w14:solidFill>
          </w14:textFill>
        </w:rPr>
        <w:t>在中标人送货、安装、调试后对货物进行检查验收，如果发现数量不足或有质量、技术等题，中标人应负责根据合同及</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的要求采取补足或更换等处理措施，并承担由此发生的一切损失和费用。验收合格后，</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14:textFill>
            <w14:solidFill>
              <w14:schemeClr w14:val="tx1"/>
            </w14:solidFill>
          </w14:textFill>
        </w:rPr>
        <w:t>在验收单上签字并加盖单位公章。</w:t>
      </w:r>
    </w:p>
    <w:p w14:paraId="139E9FEE">
      <w:pPr>
        <w:widowControl/>
        <w:snapToGrid w:val="0"/>
        <w:spacing w:line="440" w:lineRule="exact"/>
        <w:ind w:right="829" w:rightChars="395"/>
        <w:rPr>
          <w:rFonts w:hint="eastAsia"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2.10结算原则</w:t>
      </w:r>
    </w:p>
    <w:p w14:paraId="636C484D">
      <w:pPr>
        <w:keepNext w:val="0"/>
        <w:keepLines w:val="0"/>
        <w:pageBreakBefore w:val="0"/>
        <w:widowControl/>
        <w:kinsoku/>
        <w:wordWrap/>
        <w:overflowPunct/>
        <w:topLinePunct w:val="0"/>
        <w:autoSpaceDE/>
        <w:autoSpaceDN/>
        <w:bidi w:val="0"/>
        <w:adjustRightInd/>
        <w:snapToGrid w:val="0"/>
        <w:spacing w:line="400" w:lineRule="exact"/>
        <w:ind w:firstLine="479"/>
        <w:textAlignment w:val="auto"/>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2.10.1招标文件、招标答疑会纪要、供应商的投标文件、合同等作为结算依据</w:t>
      </w:r>
      <w:r>
        <w:rPr>
          <w:rFonts w:hint="eastAsia" w:ascii="仿宋" w:eastAsia="仿宋"/>
          <w:color w:val="000000" w:themeColor="text1"/>
          <w:kern w:val="0"/>
          <w:sz w:val="24"/>
          <w:highlight w:val="none"/>
          <w:lang w:eastAsia="zh-CN"/>
          <w14:textFill>
            <w14:solidFill>
              <w14:schemeClr w14:val="tx1"/>
            </w14:solidFill>
          </w14:textFill>
        </w:rPr>
        <w:t>。</w:t>
      </w:r>
    </w:p>
    <w:p w14:paraId="346EADE0">
      <w:pPr>
        <w:widowControl/>
        <w:snapToGrid w:val="0"/>
        <w:spacing w:line="480" w:lineRule="exact"/>
        <w:rPr>
          <w:rFonts w:hint="eastAsia" w:ascii="仿宋" w:eastAsia="仿宋"/>
          <w:b/>
          <w:bCs/>
          <w:color w:val="000000" w:themeColor="text1"/>
          <w:kern w:val="0"/>
          <w:sz w:val="24"/>
          <w:highlight w:val="none"/>
          <w:lang w:eastAsia="zh-CN"/>
          <w14:textFill>
            <w14:solidFill>
              <w14:schemeClr w14:val="tx1"/>
            </w14:solidFill>
          </w14:textFill>
        </w:rPr>
      </w:pPr>
      <w:r>
        <w:rPr>
          <w:rFonts w:hint="eastAsia" w:ascii="仿宋" w:eastAsia="仿宋"/>
          <w:b/>
          <w:bCs/>
          <w:color w:val="000000" w:themeColor="text1"/>
          <w:kern w:val="0"/>
          <w:sz w:val="24"/>
          <w:highlight w:val="none"/>
          <w:lang w:val="en-US" w:eastAsia="zh-CN"/>
          <w14:textFill>
            <w14:solidFill>
              <w14:schemeClr w14:val="tx1"/>
            </w14:solidFill>
          </w14:textFill>
        </w:rPr>
        <w:t>2.11</w:t>
      </w:r>
      <w:r>
        <w:rPr>
          <w:rFonts w:hint="eastAsia" w:ascii="仿宋" w:eastAsia="仿宋"/>
          <w:b/>
          <w:bCs/>
          <w:color w:val="000000" w:themeColor="text1"/>
          <w:kern w:val="0"/>
          <w:sz w:val="24"/>
          <w:highlight w:val="none"/>
          <w:lang w:eastAsia="zh-CN"/>
          <w14:textFill>
            <w14:solidFill>
              <w14:schemeClr w14:val="tx1"/>
            </w14:solidFill>
          </w14:textFill>
        </w:rPr>
        <w:t>违约责任</w:t>
      </w:r>
    </w:p>
    <w:p w14:paraId="2B01FCC0">
      <w:pPr>
        <w:widowControl/>
        <w:snapToGrid w:val="0"/>
        <w:spacing w:line="480" w:lineRule="exact"/>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2.11.1</w:t>
      </w:r>
      <w:r>
        <w:rPr>
          <w:rFonts w:hint="eastAsia" w:ascii="仿宋" w:eastAsia="仿宋"/>
          <w:color w:val="000000" w:themeColor="text1"/>
          <w:kern w:val="0"/>
          <w:sz w:val="24"/>
          <w:highlight w:val="none"/>
          <w:lang w:eastAsia="zh-CN"/>
          <w14:textFill>
            <w14:solidFill>
              <w14:schemeClr w14:val="tx1"/>
            </w14:solidFill>
          </w14:textFill>
        </w:rPr>
        <w:t>质量瑕疵的违约责任</w:t>
      </w:r>
    </w:p>
    <w:p w14:paraId="3F601E33">
      <w:pPr>
        <w:widowControl/>
        <w:snapToGrid w:val="0"/>
        <w:spacing w:line="480" w:lineRule="exact"/>
        <w:ind w:firstLine="480" w:firstLineChars="200"/>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提供的产品不符合</w:t>
      </w:r>
      <w:r>
        <w:rPr>
          <w:rFonts w:hint="eastAsia" w:ascii="仿宋" w:eastAsia="仿宋"/>
          <w:color w:val="000000" w:themeColor="text1"/>
          <w:kern w:val="0"/>
          <w:sz w:val="24"/>
          <w:highlight w:val="none"/>
          <w:lang w:val="en-US" w:eastAsia="zh-CN"/>
          <w14:textFill>
            <w14:solidFill>
              <w14:schemeClr w14:val="tx1"/>
            </w14:solidFill>
          </w14:textFill>
        </w:rPr>
        <w:t>招标文件</w:t>
      </w:r>
      <w:r>
        <w:rPr>
          <w:rFonts w:hint="eastAsia" w:ascii="仿宋" w:eastAsia="仿宋"/>
          <w:color w:val="000000" w:themeColor="text1"/>
          <w:kern w:val="0"/>
          <w:sz w:val="24"/>
          <w:highlight w:val="none"/>
          <w:lang w:eastAsia="zh-CN"/>
          <w14:textFill>
            <w14:solidFill>
              <w14:schemeClr w14:val="tx1"/>
            </w14:solidFill>
          </w14:textFill>
        </w:rPr>
        <w:t>约定的质量标准或存在产品质量缺陷，</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有权要求乙方及时维修、更换，并承担由此给</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造成的损失。</w:t>
      </w:r>
    </w:p>
    <w:p w14:paraId="5E3E2BB0">
      <w:pPr>
        <w:widowControl/>
        <w:snapToGrid w:val="0"/>
        <w:spacing w:line="480" w:lineRule="exact"/>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2.11.</w:t>
      </w:r>
      <w:r>
        <w:rPr>
          <w:rFonts w:hint="eastAsia" w:ascii="仿宋" w:eastAsia="仿宋"/>
          <w:color w:val="000000" w:themeColor="text1"/>
          <w:kern w:val="0"/>
          <w:sz w:val="24"/>
          <w:highlight w:val="none"/>
          <w:lang w:eastAsia="zh-CN"/>
          <w14:textFill>
            <w14:solidFill>
              <w14:schemeClr w14:val="tx1"/>
            </w14:solidFill>
          </w14:textFill>
        </w:rPr>
        <w:t>2 迟延交货的违约责任</w:t>
      </w:r>
    </w:p>
    <w:p w14:paraId="7CCB5F70">
      <w:pPr>
        <w:widowControl/>
        <w:snapToGrid w:val="0"/>
        <w:spacing w:line="480" w:lineRule="exact"/>
        <w:ind w:firstLine="480" w:firstLineChars="200"/>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eastAsia="zh-CN"/>
          <w14:textFill>
            <w14:solidFill>
              <w14:schemeClr w14:val="tx1"/>
            </w14:solidFill>
          </w14:textFill>
        </w:rPr>
        <w:t>（1）</w:t>
      </w: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应按照</w:t>
      </w:r>
      <w:r>
        <w:rPr>
          <w:rFonts w:hint="eastAsia" w:ascii="仿宋" w:eastAsia="仿宋"/>
          <w:color w:val="000000" w:themeColor="text1"/>
          <w:kern w:val="0"/>
          <w:sz w:val="24"/>
          <w:highlight w:val="none"/>
          <w:lang w:val="en-US" w:eastAsia="zh-CN"/>
          <w14:textFill>
            <w14:solidFill>
              <w14:schemeClr w14:val="tx1"/>
            </w14:solidFill>
          </w14:textFill>
        </w:rPr>
        <w:t>招标文件</w:t>
      </w:r>
      <w:r>
        <w:rPr>
          <w:rFonts w:hint="eastAsia" w:ascii="仿宋" w:eastAsia="仿宋"/>
          <w:color w:val="000000" w:themeColor="text1"/>
          <w:kern w:val="0"/>
          <w:sz w:val="24"/>
          <w:highlight w:val="none"/>
          <w:lang w:eastAsia="zh-CN"/>
          <w14:textFill>
            <w14:solidFill>
              <w14:schemeClr w14:val="tx1"/>
            </w14:solidFill>
          </w14:textFill>
        </w:rPr>
        <w:t>规定的时间、地点交货和提供相关服务。在履行合同过程中，如果</w:t>
      </w: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遇到可能影响按时交货和提供服务的情形时，应及时以书面形式将迟延的事实、可能迟延的期限和理由通知</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在收到</w:t>
      </w: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通知后，应尽快对情况进行评价，并确定是否同意延长交货时间或延期提供服务。</w:t>
      </w:r>
    </w:p>
    <w:p w14:paraId="69F2003C">
      <w:pPr>
        <w:widowControl/>
        <w:snapToGrid w:val="0"/>
        <w:spacing w:line="480" w:lineRule="exact"/>
        <w:ind w:firstLine="480" w:firstLineChars="200"/>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eastAsia="zh-CN"/>
          <w14:textFill>
            <w14:solidFill>
              <w14:schemeClr w14:val="tx1"/>
            </w14:solidFill>
          </w14:textFill>
        </w:rPr>
        <w:t>（2）如果</w:t>
      </w: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未按照</w:t>
      </w:r>
      <w:r>
        <w:rPr>
          <w:rFonts w:hint="eastAsia" w:ascii="仿宋" w:eastAsia="仿宋"/>
          <w:color w:val="000000" w:themeColor="text1"/>
          <w:kern w:val="0"/>
          <w:sz w:val="24"/>
          <w:highlight w:val="none"/>
          <w:lang w:val="en-US" w:eastAsia="zh-CN"/>
          <w14:textFill>
            <w14:solidFill>
              <w14:schemeClr w14:val="tx1"/>
            </w14:solidFill>
          </w14:textFill>
        </w:rPr>
        <w:t>招标文件</w:t>
      </w:r>
      <w:r>
        <w:rPr>
          <w:rFonts w:hint="eastAsia" w:ascii="仿宋" w:eastAsia="仿宋"/>
          <w:color w:val="000000" w:themeColor="text1"/>
          <w:kern w:val="0"/>
          <w:sz w:val="24"/>
          <w:highlight w:val="none"/>
          <w:lang w:eastAsia="zh-CN"/>
          <w14:textFill>
            <w14:solidFill>
              <w14:schemeClr w14:val="tx1"/>
            </w14:solidFill>
          </w14:textFill>
        </w:rPr>
        <w:t>规定的时间交货和提供相关服务，</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有权从货款中扣除误期赔偿费，赔偿费按1000元/天规定执行。如果涉及公共利益，且赔偿金额无法弥补公共利益损失，</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可要求继续履行或者采取其他补救措施。</w:t>
      </w:r>
    </w:p>
    <w:p w14:paraId="1CCF884A">
      <w:pPr>
        <w:widowControl/>
        <w:snapToGrid w:val="0"/>
        <w:spacing w:line="480" w:lineRule="exact"/>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2.11.</w:t>
      </w:r>
      <w:r>
        <w:rPr>
          <w:rFonts w:hint="eastAsia" w:ascii="仿宋" w:eastAsia="仿宋"/>
          <w:color w:val="000000" w:themeColor="text1"/>
          <w:kern w:val="0"/>
          <w:sz w:val="24"/>
          <w:highlight w:val="none"/>
          <w:lang w:eastAsia="zh-CN"/>
          <w14:textFill>
            <w14:solidFill>
              <w14:schemeClr w14:val="tx1"/>
            </w14:solidFill>
          </w14:textFill>
        </w:rPr>
        <w:t>3 迟延支付的违约责任</w:t>
      </w:r>
    </w:p>
    <w:p w14:paraId="1E7FFAC8">
      <w:pPr>
        <w:widowControl/>
        <w:snapToGrid w:val="0"/>
        <w:spacing w:line="480" w:lineRule="exact"/>
        <w:ind w:firstLine="480" w:firstLineChars="200"/>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存在迟延支付</w:t>
      </w: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合同款项的，应当承担</w:t>
      </w:r>
      <w:r>
        <w:rPr>
          <w:rFonts w:hint="eastAsia" w:ascii="仿宋" w:eastAsia="仿宋"/>
          <w:color w:val="000000" w:themeColor="text1"/>
          <w:kern w:val="0"/>
          <w:sz w:val="24"/>
          <w:highlight w:val="none"/>
          <w:lang w:val="en-US" w:eastAsia="zh-CN"/>
          <w14:textFill>
            <w14:solidFill>
              <w14:schemeClr w14:val="tx1"/>
            </w14:solidFill>
          </w14:textFill>
        </w:rPr>
        <w:t>10</w:t>
      </w:r>
      <w:r>
        <w:rPr>
          <w:rFonts w:hint="eastAsia" w:ascii="仿宋" w:eastAsia="仿宋"/>
          <w:color w:val="000000" w:themeColor="text1"/>
          <w:kern w:val="0"/>
          <w:sz w:val="24"/>
          <w:highlight w:val="none"/>
          <w:lang w:eastAsia="zh-CN"/>
          <w14:textFill>
            <w14:solidFill>
              <w14:schemeClr w14:val="tx1"/>
            </w14:solidFill>
          </w14:textFill>
        </w:rPr>
        <w:t>00元/天的逾期付款利息。</w:t>
      </w:r>
    </w:p>
    <w:p w14:paraId="113F61A4">
      <w:pPr>
        <w:widowControl/>
        <w:snapToGrid w:val="0"/>
        <w:spacing w:line="480" w:lineRule="exact"/>
        <w:rPr>
          <w:rFonts w:hint="eastAsia" w:ascii="仿宋" w:eastAsia="仿宋"/>
          <w:b/>
          <w:bCs/>
          <w:color w:val="000000" w:themeColor="text1"/>
          <w:kern w:val="0"/>
          <w:sz w:val="24"/>
          <w:highlight w:val="none"/>
          <w:lang w:val="en-US" w:eastAsia="zh-CN"/>
          <w14:textFill>
            <w14:solidFill>
              <w14:schemeClr w14:val="tx1"/>
            </w14:solidFill>
          </w14:textFill>
        </w:rPr>
      </w:pPr>
      <w:r>
        <w:rPr>
          <w:rFonts w:hint="eastAsia" w:ascii="仿宋" w:eastAsia="仿宋"/>
          <w:b/>
          <w:bCs/>
          <w:color w:val="000000" w:themeColor="text1"/>
          <w:kern w:val="0"/>
          <w:sz w:val="24"/>
          <w:highlight w:val="none"/>
          <w:lang w:val="en-US" w:eastAsia="zh-CN"/>
          <w14:textFill>
            <w14:solidFill>
              <w14:schemeClr w14:val="tx1"/>
            </w14:solidFill>
          </w14:textFill>
        </w:rPr>
        <w:t>2.12培训计划</w:t>
      </w:r>
    </w:p>
    <w:p w14:paraId="03C0C9C6">
      <w:pPr>
        <w:widowControl/>
        <w:snapToGrid w:val="0"/>
        <w:spacing w:line="480" w:lineRule="exact"/>
        <w:ind w:firstLine="480" w:firstLineChars="200"/>
        <w:rPr>
          <w:rFonts w:hint="default" w:ascii="仿宋" w:eastAsia="仿宋"/>
          <w:b/>
          <w:bCs/>
          <w:color w:val="000000" w:themeColor="text1"/>
          <w:kern w:val="0"/>
          <w:sz w:val="24"/>
          <w:highlight w:val="none"/>
          <w:lang w:val="en-US"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对</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进行免费培训，时间预计2-4天，根据</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不同需求采取不同的定制化培训，</w:t>
      </w:r>
      <w:r>
        <w:rPr>
          <w:rFonts w:hint="eastAsia" w:ascii="仿宋" w:eastAsia="仿宋"/>
          <w:color w:val="000000" w:themeColor="text1"/>
          <w:kern w:val="0"/>
          <w:sz w:val="24"/>
          <w:highlight w:val="none"/>
          <w:lang w:val="en-US" w:eastAsia="zh-CN"/>
          <w14:textFill>
            <w14:solidFill>
              <w14:schemeClr w14:val="tx1"/>
            </w14:solidFill>
          </w14:textFill>
        </w:rPr>
        <w:t>中标人</w:t>
      </w:r>
      <w:r>
        <w:rPr>
          <w:rFonts w:hint="eastAsia" w:ascii="仿宋" w:eastAsia="仿宋"/>
          <w:color w:val="000000" w:themeColor="text1"/>
          <w:kern w:val="0"/>
          <w:sz w:val="24"/>
          <w:highlight w:val="none"/>
          <w:lang w:eastAsia="zh-CN"/>
          <w14:textFill>
            <w14:solidFill>
              <w14:schemeClr w14:val="tx1"/>
            </w14:solidFill>
          </w14:textFill>
        </w:rPr>
        <w:t>负责在安装调试地点为</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免费培训</w:t>
      </w:r>
      <w:r>
        <w:rPr>
          <w:rFonts w:hint="eastAsia" w:ascii="仿宋" w:eastAsia="仿宋"/>
          <w:color w:val="000000" w:themeColor="text1"/>
          <w:kern w:val="0"/>
          <w:sz w:val="24"/>
          <w:highlight w:val="none"/>
          <w:lang w:val="en-US" w:eastAsia="zh-CN"/>
          <w14:textFill>
            <w14:solidFill>
              <w14:schemeClr w14:val="tx1"/>
            </w14:solidFill>
          </w14:textFill>
        </w:rPr>
        <w:t>全自动包药机</w:t>
      </w:r>
      <w:r>
        <w:rPr>
          <w:rFonts w:hint="eastAsia" w:ascii="仿宋" w:eastAsia="仿宋"/>
          <w:color w:val="000000" w:themeColor="text1"/>
          <w:kern w:val="0"/>
          <w:sz w:val="24"/>
          <w:highlight w:val="none"/>
          <w:lang w:eastAsia="zh-CN"/>
          <w14:textFill>
            <w14:solidFill>
              <w14:schemeClr w14:val="tx1"/>
            </w14:solidFill>
          </w14:textFill>
        </w:rPr>
        <w:t>操作</w:t>
      </w:r>
      <w:r>
        <w:rPr>
          <w:rFonts w:hint="eastAsia" w:ascii="仿宋" w:eastAsia="仿宋"/>
          <w:color w:val="000000" w:themeColor="text1"/>
          <w:kern w:val="0"/>
          <w:sz w:val="24"/>
          <w:highlight w:val="none"/>
          <w:lang w:val="en-US" w:eastAsia="zh-CN"/>
          <w14:textFill>
            <w14:solidFill>
              <w14:schemeClr w14:val="tx1"/>
            </w14:solidFill>
          </w14:textFill>
        </w:rPr>
        <w:t>直至操作人员能全流程操作设备。</w:t>
      </w:r>
      <w:r>
        <w:rPr>
          <w:rFonts w:hint="eastAsia" w:ascii="仿宋" w:eastAsia="仿宋"/>
          <w:color w:val="000000" w:themeColor="text1"/>
          <w:kern w:val="0"/>
          <w:sz w:val="24"/>
          <w:highlight w:val="none"/>
          <w:lang w:eastAsia="zh-CN"/>
          <w14:textFill>
            <w14:solidFill>
              <w14:schemeClr w14:val="tx1"/>
            </w14:solidFill>
          </w14:textFill>
        </w:rPr>
        <w:t>相关培训资料需经</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签字确认，并提交至</w:t>
      </w:r>
      <w:r>
        <w:rPr>
          <w:rFonts w:hint="eastAsia" w:ascii="仿宋" w:eastAsia="仿宋"/>
          <w:color w:val="000000" w:themeColor="text1"/>
          <w:kern w:val="0"/>
          <w:sz w:val="24"/>
          <w:highlight w:val="none"/>
          <w:lang w:val="en-US" w:eastAsia="zh-CN"/>
          <w14:textFill>
            <w14:solidFill>
              <w14:schemeClr w14:val="tx1"/>
            </w14:solidFill>
          </w14:textFill>
        </w:rPr>
        <w:t>采购人</w:t>
      </w:r>
      <w:r>
        <w:rPr>
          <w:rFonts w:hint="eastAsia" w:ascii="仿宋" w:eastAsia="仿宋"/>
          <w:color w:val="000000" w:themeColor="text1"/>
          <w:kern w:val="0"/>
          <w:sz w:val="24"/>
          <w:highlight w:val="none"/>
          <w:lang w:eastAsia="zh-CN"/>
          <w14:textFill>
            <w14:solidFill>
              <w14:schemeClr w14:val="tx1"/>
            </w14:solidFill>
          </w14:textFill>
        </w:rPr>
        <w:t>作为验收依据。</w:t>
      </w:r>
    </w:p>
    <w:p w14:paraId="4A240D8C">
      <w:pPr>
        <w:widowControl/>
        <w:snapToGrid w:val="0"/>
        <w:spacing w:line="480" w:lineRule="exac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br w:type="page"/>
      </w:r>
    </w:p>
    <w:p w14:paraId="43FF8927">
      <w:pPr>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5747E8BD">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20AE7105">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795C7ECF">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7189E4F0">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2B211BD6">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r>
        <w:rPr>
          <w:rFonts w:hint="eastAsia" w:ascii="仿宋" w:hAnsi="仿宋" w:eastAsia="仿宋" w:cs="仿宋"/>
          <w:b/>
          <w:bCs/>
          <w:color w:val="000000" w:themeColor="text1"/>
          <w:spacing w:val="-20"/>
          <w:kern w:val="44"/>
          <w:sz w:val="48"/>
          <w:szCs w:val="48"/>
          <w:highlight w:val="none"/>
          <w14:textFill>
            <w14:solidFill>
              <w14:schemeClr w14:val="tx1"/>
            </w14:solidFill>
          </w14:textFill>
        </w:rPr>
        <w:t>政府采购</w:t>
      </w:r>
      <w: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t>货物买卖</w:t>
      </w:r>
      <w:r>
        <w:rPr>
          <w:rFonts w:hint="eastAsia" w:ascii="仿宋" w:hAnsi="仿宋" w:eastAsia="仿宋" w:cs="仿宋"/>
          <w:b/>
          <w:bCs/>
          <w:color w:val="000000" w:themeColor="text1"/>
          <w:spacing w:val="-20"/>
          <w:kern w:val="44"/>
          <w:sz w:val="48"/>
          <w:szCs w:val="48"/>
          <w:highlight w:val="none"/>
          <w14:textFill>
            <w14:solidFill>
              <w14:schemeClr w14:val="tx1"/>
            </w14:solidFill>
          </w14:textFill>
        </w:rPr>
        <w:t>合同</w:t>
      </w:r>
    </w:p>
    <w:p w14:paraId="11853228">
      <w:pPr>
        <w:pStyle w:val="23"/>
        <w:spacing w:after="0"/>
        <w:jc w:val="cente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pPr>
      <w: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t>（试行）</w:t>
      </w:r>
    </w:p>
    <w:p w14:paraId="1940F8D0">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14:paraId="1CCCEE31">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14:paraId="3A85D905">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14:paraId="72FD0969">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项目名称：</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3A7B7969">
      <w:pPr>
        <w:spacing w:line="360" w:lineRule="auto"/>
        <w:ind w:left="420" w:leftChars="200"/>
        <w:rPr>
          <w:rFonts w:hint="eastAsia" w:ascii="仿宋" w:hAnsi="仿宋" w:eastAsia="仿宋" w:cs="仿宋"/>
          <w:color w:val="000000" w:themeColor="text1"/>
          <w:sz w:val="32"/>
          <w:szCs w:val="32"/>
          <w:highlight w:val="none"/>
          <w:u w:val="singl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合同编号：</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56362F9C">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甲    方：</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4AB327C6">
      <w:pPr>
        <w:spacing w:line="360" w:lineRule="auto"/>
        <w:ind w:left="420" w:leftChars="200"/>
        <w:rPr>
          <w:rFonts w:hint="eastAsia" w:ascii="仿宋" w:hAnsi="仿宋" w:eastAsia="仿宋" w:cs="仿宋"/>
          <w:color w:val="000000" w:themeColor="text1"/>
          <w:sz w:val="32"/>
          <w:szCs w:val="32"/>
          <w:highlight w:val="none"/>
          <w:u w:val="singl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乙    方：</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49248BE9">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签订时间：</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02E6E1E4">
      <w:pPr>
        <w:rPr>
          <w:rFonts w:hint="eastAsia" w:ascii="仿宋" w:hAnsi="仿宋" w:eastAsia="仿宋" w:cs="仿宋"/>
          <w:color w:val="000000" w:themeColor="text1"/>
          <w:highlight w:val="none"/>
          <w14:textFill>
            <w14:solidFill>
              <w14:schemeClr w14:val="tx1"/>
            </w14:solidFill>
          </w14:textFill>
        </w:rPr>
      </w:pPr>
    </w:p>
    <w:p w14:paraId="45F29B6B">
      <w:pPr>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br w:type="page"/>
      </w:r>
    </w:p>
    <w:p w14:paraId="22A24BA2">
      <w:pPr>
        <w:rPr>
          <w:rFonts w:hint="eastAsia" w:ascii="仿宋" w:hAnsi="仿宋" w:eastAsia="仿宋" w:cs="仿宋"/>
          <w:color w:val="000000" w:themeColor="text1"/>
          <w:sz w:val="44"/>
          <w:szCs w:val="44"/>
          <w:highlight w:val="none"/>
          <w14:textFill>
            <w14:solidFill>
              <w14:schemeClr w14:val="tx1"/>
            </w14:solidFill>
          </w14:textFill>
        </w:rPr>
      </w:pPr>
    </w:p>
    <w:p w14:paraId="4B14CA6B">
      <w:pPr>
        <w:rPr>
          <w:rFonts w:hint="eastAsia" w:ascii="仿宋" w:hAnsi="仿宋" w:eastAsia="仿宋" w:cs="仿宋"/>
          <w:color w:val="000000" w:themeColor="text1"/>
          <w:sz w:val="44"/>
          <w:szCs w:val="44"/>
          <w:highlight w:val="none"/>
          <w14:textFill>
            <w14:solidFill>
              <w14:schemeClr w14:val="tx1"/>
            </w14:solidFill>
          </w14:textFill>
        </w:rPr>
      </w:pPr>
    </w:p>
    <w:p w14:paraId="113DF078">
      <w:pPr>
        <w:jc w:val="center"/>
        <w:rPr>
          <w:rFonts w:hint="eastAsia" w:ascii="仿宋" w:hAnsi="仿宋" w:eastAsia="仿宋" w:cs="仿宋"/>
          <w:color w:val="000000" w:themeColor="text1"/>
          <w:sz w:val="44"/>
          <w:szCs w:val="44"/>
          <w:highlight w:val="none"/>
          <w:lang w:eastAsia="zh-CN"/>
          <w14:textFill>
            <w14:solidFill>
              <w14:schemeClr w14:val="tx1"/>
            </w14:solidFill>
          </w14:textFill>
        </w:rPr>
      </w:pPr>
      <w:r>
        <w:rPr>
          <w:rFonts w:hint="eastAsia" w:ascii="仿宋" w:hAnsi="仿宋" w:eastAsia="仿宋" w:cs="仿宋"/>
          <w:color w:val="000000" w:themeColor="text1"/>
          <w:sz w:val="44"/>
          <w:szCs w:val="44"/>
          <w:highlight w:val="none"/>
          <w:lang w:eastAsia="zh-CN"/>
          <w14:textFill>
            <w14:solidFill>
              <w14:schemeClr w14:val="tx1"/>
            </w14:solidFill>
          </w14:textFill>
        </w:rPr>
        <w:t>使</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用</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说</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明</w:t>
      </w:r>
    </w:p>
    <w:p w14:paraId="14662773">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p>
    <w:p w14:paraId="77B0978B">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1.本合同标准文本适用于购买现成货物的采购项目，不包括需要供应商定制开发、创新研发的货物采购项目。</w:t>
      </w:r>
    </w:p>
    <w:p w14:paraId="52C82C63">
      <w:pPr>
        <w:ind w:firstLine="0" w:firstLineChars="0"/>
        <w:rPr>
          <w:rFonts w:hint="eastAsia" w:ascii="仿宋" w:hAnsi="仿宋" w:eastAsia="仿宋" w:cs="仿宋"/>
          <w:color w:val="000000" w:themeColor="text1"/>
          <w:sz w:val="44"/>
          <w:szCs w:val="44"/>
          <w:highlight w:val="none"/>
          <w:lang w:val="en-US" w:eastAsia="zh-CN"/>
          <w14:textFill>
            <w14:solidFill>
              <w14:schemeClr w14:val="tx1"/>
            </w14:solidFill>
          </w14:textFill>
        </w:rPr>
      </w:pP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eastAsia="zh-CN"/>
          <w14:textFill>
            <w14:solidFill>
              <w14:schemeClr w14:val="tx1"/>
            </w14:solidFill>
          </w14:textFill>
        </w:rPr>
        <w:t>2.本合同标准文本为政府采购货物买卖合同编制提供参考，可以结合采购项目具体情况，对文本作必要的调整修订后使用。</w:t>
      </w:r>
    </w:p>
    <w:p w14:paraId="652EB7D9">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3.本合同标准文本各条款中，如涉及填写多家供应商、制造商，多种采购标的、分包主要内容等信息的，可根据采购项目具体情况添加信息项。</w:t>
      </w:r>
    </w:p>
    <w:p w14:paraId="7DF35402">
      <w:pPr>
        <w:ind w:firstLine="880" w:firstLineChars="200"/>
        <w:jc w:val="both"/>
        <w:rPr>
          <w:rFonts w:hint="eastAsia" w:ascii="仿宋" w:hAnsi="仿宋" w:eastAsia="仿宋" w:cs="仿宋"/>
          <w:color w:val="000000" w:themeColor="text1"/>
          <w:sz w:val="44"/>
          <w:szCs w:val="44"/>
          <w:highlight w:val="none"/>
          <w14:textFill>
            <w14:solidFill>
              <w14:schemeClr w14:val="tx1"/>
            </w14:solidFill>
          </w14:textFill>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04E51CA2">
      <w:pPr>
        <w:pStyle w:val="3"/>
        <w:adjustRightInd w:val="0"/>
        <w:snapToGrid w:val="0"/>
        <w:spacing w:beforeLines="0" w:line="400" w:lineRule="exact"/>
        <w:ind w:left="0" w:leftChars="0" w:firstLine="0" w:firstLineChars="0"/>
        <w:jc w:val="center"/>
        <w:rPr>
          <w:rFonts w:hint="eastAsia" w:ascii="仿宋" w:hAnsi="仿宋" w:eastAsia="仿宋" w:cs="仿宋"/>
          <w:b w:val="0"/>
          <w:bCs w:val="0"/>
          <w:color w:val="000000" w:themeColor="text1"/>
          <w:sz w:val="28"/>
          <w:szCs w:val="28"/>
          <w:highlight w:val="none"/>
          <w14:textFill>
            <w14:solidFill>
              <w14:schemeClr w14:val="tx1"/>
            </w14:solidFill>
          </w14:textFill>
        </w:rPr>
      </w:pPr>
      <w:bookmarkStart w:id="40" w:name="_Toc22209"/>
      <w:r>
        <w:rPr>
          <w:rFonts w:hint="eastAsia" w:ascii="仿宋" w:hAnsi="仿宋" w:eastAsia="仿宋" w:cs="仿宋"/>
          <w:b w:val="0"/>
          <w:bCs w:val="0"/>
          <w:color w:val="000000" w:themeColor="text1"/>
          <w:sz w:val="28"/>
          <w:szCs w:val="28"/>
          <w:highlight w:val="none"/>
          <w14:textFill>
            <w14:solidFill>
              <w14:schemeClr w14:val="tx1"/>
            </w14:solidFill>
          </w14:textFill>
        </w:rPr>
        <w:t>第一节 政府采购合同协议书</w:t>
      </w:r>
      <w:bookmarkEnd w:id="40"/>
    </w:p>
    <w:p w14:paraId="0B2DE07E">
      <w:pPr>
        <w:pStyle w:val="3"/>
        <w:adjustRightInd w:val="0"/>
        <w:snapToGrid w:val="0"/>
        <w:spacing w:beforeLines="0" w:line="400" w:lineRule="exact"/>
        <w:jc w:val="center"/>
        <w:rPr>
          <w:rFonts w:hint="eastAsia" w:ascii="仿宋" w:hAnsi="仿宋" w:eastAsia="仿宋" w:cs="仿宋"/>
          <w:b w:val="0"/>
          <w:bCs w:val="0"/>
          <w:color w:val="000000" w:themeColor="text1"/>
          <w:sz w:val="28"/>
          <w:szCs w:val="28"/>
          <w:highlight w:val="none"/>
          <w14:textFill>
            <w14:solidFill>
              <w14:schemeClr w14:val="tx1"/>
            </w14:solidFill>
          </w14:textFill>
        </w:rPr>
      </w:pPr>
    </w:p>
    <w:p w14:paraId="558D6002">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（采购人</w:t>
      </w:r>
      <w:r>
        <w:rPr>
          <w:rFonts w:hint="eastAsia" w:ascii="仿宋" w:hAnsi="仿宋" w:eastAsia="仿宋" w:cs="仿宋"/>
          <w:color w:val="000000" w:themeColor="text1"/>
          <w:szCs w:val="21"/>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szCs w:val="21"/>
          <w:highlight w:val="none"/>
          <w14:textFill>
            <w14:solidFill>
              <w14:schemeClr w14:val="tx1"/>
            </w14:solidFill>
          </w14:textFill>
        </w:rPr>
        <w:t>或采购</w:t>
      </w:r>
      <w:r>
        <w:rPr>
          <w:rFonts w:hint="eastAsia" w:ascii="仿宋" w:hAnsi="仿宋" w:eastAsia="仿宋" w:cs="仿宋"/>
          <w:color w:val="000000" w:themeColor="text1"/>
          <w:szCs w:val="21"/>
          <w:highlight w:val="none"/>
          <w:lang w:val="en-US" w:eastAsia="zh-CN"/>
          <w14:textFill>
            <w14:solidFill>
              <w14:schemeClr w14:val="tx1"/>
            </w14:solidFill>
          </w14:textFill>
        </w:rPr>
        <w:tab/>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文件约定的合同甲方）</w:t>
      </w:r>
    </w:p>
    <w:p w14:paraId="52A87ED1">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14:textFill>
            <w14:solidFill>
              <w14:schemeClr w14:val="tx1"/>
            </w14:solidFill>
          </w14:textFill>
        </w:rPr>
        <w:t>（全称）：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（供应商）</w:t>
      </w:r>
    </w:p>
    <w:p w14:paraId="572F0767">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乙方2（全称）：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（联合体成员供应商或其他合同主体）（如有）</w:t>
      </w:r>
    </w:p>
    <w:p w14:paraId="766DD8C1">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乙方</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val="en-US" w:eastAsia="zh-CN"/>
          <w14:textFill>
            <w14:solidFill>
              <w14:schemeClr w14:val="tx1"/>
            </w14:solidFill>
          </w14:textFill>
        </w:rPr>
        <w:t>（全称）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（联合体成员供应商或其他合同主体）（如有）</w:t>
      </w:r>
    </w:p>
    <w:p w14:paraId="5DBF28E8">
      <w:pPr>
        <w:spacing w:beforeLines="0" w:line="400" w:lineRule="exact"/>
        <w:rPr>
          <w:rFonts w:hint="eastAsia" w:ascii="仿宋" w:hAnsi="仿宋" w:eastAsia="仿宋" w:cs="仿宋"/>
          <w:color w:val="000000" w:themeColor="text1"/>
          <w:highlight w:val="none"/>
          <w:lang w:val="en-US" w:eastAsia="zh-CN"/>
          <w14:textFill>
            <w14:solidFill>
              <w14:schemeClr w14:val="tx1"/>
            </w14:solidFill>
          </w14:textFill>
        </w:rPr>
      </w:pPr>
    </w:p>
    <w:p w14:paraId="0F1CAA0F">
      <w:pPr>
        <w:pStyle w:val="24"/>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依据《中华人民共和国民法典》</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《中华人民共和国政府采购法》等有关的法律法规，以及</w:t>
      </w:r>
      <w:r>
        <w:rPr>
          <w:rFonts w:hint="eastAsia" w:ascii="仿宋" w:hAnsi="仿宋" w:eastAsia="仿宋" w:cs="仿宋"/>
          <w:i w:val="0"/>
          <w:iCs w:val="0"/>
          <w:color w:val="000000" w:themeColor="text1"/>
          <w:szCs w:val="21"/>
          <w:highlight w:val="none"/>
          <w:u w:val="none"/>
          <w:lang w:eastAsia="zh-CN"/>
          <w14:textFill>
            <w14:solidFill>
              <w14:schemeClr w14:val="tx1"/>
            </w14:solidFill>
          </w14:textFill>
        </w:rPr>
        <w:t>本采购项目</w:t>
      </w:r>
      <w:r>
        <w:rPr>
          <w:rFonts w:hint="eastAsia" w:ascii="仿宋" w:hAnsi="仿宋" w:eastAsia="仿宋" w:cs="仿宋"/>
          <w:color w:val="000000" w:themeColor="text1"/>
          <w:szCs w:val="21"/>
          <w:highlight w:val="none"/>
          <w14:textFill>
            <w14:solidFill>
              <w14:schemeClr w14:val="tx1"/>
            </w14:solidFill>
          </w14:textFill>
        </w:rPr>
        <w:t>的</w:t>
      </w:r>
      <w:r>
        <w:rPr>
          <w:rFonts w:hint="eastAsia" w:ascii="仿宋" w:hAnsi="仿宋" w:eastAsia="仿宋" w:cs="仿宋"/>
          <w:color w:val="000000" w:themeColor="text1"/>
          <w:szCs w:val="21"/>
          <w:highlight w:val="none"/>
          <w:lang w:eastAsia="zh-CN"/>
          <w14:textFill>
            <w14:solidFill>
              <w14:schemeClr w14:val="tx1"/>
            </w14:solidFill>
          </w14:textFill>
        </w:rPr>
        <w:t>招标</w:t>
      </w:r>
      <w:r>
        <w:rPr>
          <w:rFonts w:hint="eastAsia" w:ascii="仿宋" w:hAnsi="仿宋" w:eastAsia="仿宋" w:cs="仿宋"/>
          <w:color w:val="000000" w:themeColor="text1"/>
          <w:szCs w:val="21"/>
          <w:highlight w:val="none"/>
          <w:lang w:val="en-US" w:eastAsia="zh-CN"/>
          <w14:textFill>
            <w14:solidFill>
              <w14:schemeClr w14:val="tx1"/>
            </w14:solidFill>
          </w14:textFill>
        </w:rPr>
        <w:t>/谈判</w:t>
      </w:r>
      <w:r>
        <w:rPr>
          <w:rFonts w:hint="eastAsia" w:ascii="仿宋" w:hAnsi="仿宋" w:eastAsia="仿宋" w:cs="仿宋"/>
          <w:color w:val="000000" w:themeColor="text1"/>
          <w:szCs w:val="21"/>
          <w:highlight w:val="none"/>
          <w:lang w:eastAsia="zh-CN"/>
          <w14:textFill>
            <w14:solidFill>
              <w14:schemeClr w14:val="tx1"/>
            </w14:solidFill>
          </w14:textFill>
        </w:rPr>
        <w:t>文件等</w:t>
      </w:r>
      <w:r>
        <w:rPr>
          <w:rFonts w:hint="eastAsia" w:ascii="仿宋" w:hAnsi="仿宋" w:eastAsia="仿宋" w:cs="仿宋"/>
          <w:color w:val="000000" w:themeColor="text1"/>
          <w:szCs w:val="21"/>
          <w:highlight w:val="none"/>
          <w14:textFill>
            <w14:solidFill>
              <w14:schemeClr w14:val="tx1"/>
            </w14:solidFill>
          </w14:textFill>
        </w:rPr>
        <w:t>采购文件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 xml:space="preserve">乙方的《投标（响应）文件》及《中标（成交）通知书》，甲乙双方同意签订本合同。具体情况及要求如下：     </w:t>
      </w:r>
    </w:p>
    <w:p w14:paraId="4A63F9DD">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项目信息</w:t>
      </w:r>
    </w:p>
    <w:p w14:paraId="4B3ECED5">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采购项目名称：</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3AB9F0B6">
      <w:pPr>
        <w:pStyle w:val="24"/>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000000" w:themeColor="text1"/>
          <w:szCs w:val="21"/>
          <w:highlight w:val="none"/>
          <w:u w:val="none"/>
          <w:lang w:val="en-US"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采购项目编号：</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74829B3D">
      <w:pPr>
        <w:pStyle w:val="24"/>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（2）采购计划编号：</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 xml:space="preserve"> </w:t>
      </w:r>
    </w:p>
    <w:p w14:paraId="7DFF5403">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（3）项目内容：</w:t>
      </w:r>
    </w:p>
    <w:p w14:paraId="0A72BCEF">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采购标的及数量</w:t>
      </w:r>
      <w:r>
        <w:rPr>
          <w:rFonts w:hint="eastAsia" w:ascii="仿宋" w:hAnsi="仿宋" w:eastAsia="仿宋" w:cs="仿宋"/>
          <w:color w:val="000000" w:themeColor="text1"/>
          <w:szCs w:val="21"/>
          <w:highlight w:val="none"/>
          <w:lang w:val="en-US" w:eastAsia="zh-CN"/>
          <w14:textFill>
            <w14:solidFill>
              <w14:schemeClr w14:val="tx1"/>
            </w14:solidFill>
          </w14:textFill>
        </w:rPr>
        <w:t>（台/套</w:t>
      </w:r>
      <w:r>
        <w:rPr>
          <w:rFonts w:hint="eastAsia" w:ascii="仿宋" w:hAnsi="仿宋" w:eastAsia="仿宋" w:cs="仿宋"/>
          <w:color w:val="000000" w:themeColor="text1"/>
          <w:szCs w:val="21"/>
          <w:highlight w:val="none"/>
          <w:lang w:val="en" w:eastAsia="zh-CN"/>
          <w14:textFill>
            <w14:solidFill>
              <w14:schemeClr w14:val="tx1"/>
            </w14:solidFill>
          </w14:textFill>
        </w:rPr>
        <w:t>/个/架/组等</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p>
    <w:p w14:paraId="661CA160">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规格型号：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p>
    <w:p w14:paraId="5ED76288">
      <w:pPr>
        <w:adjustRightInd w:val="0"/>
        <w:snapToGrid w:val="0"/>
        <w:spacing w:before="0" w:beforeLines="0" w:line="400" w:lineRule="exact"/>
        <w:ind w:firstLine="945" w:firstLineChars="45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采购标的的技术要求、商务要求具体见附件。</w:t>
      </w:r>
    </w:p>
    <w:p w14:paraId="038F2F37">
      <w:pPr>
        <w:numPr>
          <w:ilvl w:val="0"/>
          <w:numId w:val="0"/>
        </w:numPr>
        <w:adjustRightInd w:val="0"/>
        <w:snapToGrid w:val="0"/>
        <w:spacing w:before="0" w:beforeLines="0" w:line="400" w:lineRule="exact"/>
        <w:ind w:firstLine="945" w:firstLineChars="45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①涉及信息类产品，请填写该产品关键部件的品牌、型号：</w:t>
      </w:r>
    </w:p>
    <w:p w14:paraId="57D20207">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标的名称：</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p>
    <w:p w14:paraId="62FC4A96">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关键部件：</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p>
    <w:p w14:paraId="3E14CF22">
      <w:pPr>
        <w:pStyle w:val="966"/>
        <w:spacing w:beforeLine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关键部件</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品牌：</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型号：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p>
    <w:p w14:paraId="40F5563E">
      <w:pPr>
        <w:pStyle w:val="966"/>
        <w:spacing w:beforeLine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关键部件：</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品牌：</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型号：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p>
    <w:p w14:paraId="62E4C0F8">
      <w:pPr>
        <w:pStyle w:val="966"/>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73D09DA2">
      <w:pPr>
        <w:pStyle w:val="966"/>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②涉及车辆采购，请填写是否属于新能源汽车：</w:t>
      </w:r>
    </w:p>
    <w:p w14:paraId="35D71777">
      <w:pPr>
        <w:pStyle w:val="966"/>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14:textFill>
            <w14:solidFill>
              <w14:schemeClr w14:val="tx1"/>
            </w14:solidFill>
          </w14:textFill>
        </w:rPr>
        <w:t>是</w:t>
      </w:r>
      <w:r>
        <w:rPr>
          <w:rFonts w:hint="eastAsia" w:ascii="仿宋" w:hAnsi="仿宋" w:eastAsia="仿宋" w:cs="仿宋"/>
          <w:iCs w:val="0"/>
          <w:color w:val="000000" w:themeColor="text1"/>
          <w:sz w:val="21"/>
          <w:szCs w:val="21"/>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数量：</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金额：</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p>
    <w:p w14:paraId="79506F38">
      <w:pPr>
        <w:pStyle w:val="966"/>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sz w:val="21"/>
          <w:szCs w:val="21"/>
          <w:highlight w:val="none"/>
          <w:lang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否</w:t>
      </w:r>
    </w:p>
    <w:p w14:paraId="01233F05">
      <w:pPr>
        <w:pStyle w:val="966"/>
        <w:numPr>
          <w:ilvl w:val="0"/>
          <w:numId w:val="0"/>
        </w:numPr>
        <w:adjustRightInd w:val="0"/>
        <w:snapToGrid w:val="0"/>
        <w:spacing w:before="0" w:beforeLines="0" w:line="400" w:lineRule="exact"/>
        <w:ind w:left="0" w:firstLine="0" w:firstLineChars="0"/>
        <w:rPr>
          <w:rFonts w:hint="eastAsia" w:ascii="仿宋" w:hAnsi="仿宋" w:eastAsia="仿宋" w:cs="仿宋"/>
          <w:i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lang w:val="en" w:eastAsia="zh-CN"/>
          <w14:textFill>
            <w14:solidFill>
              <w14:schemeClr w14:val="tx1"/>
            </w14:solidFill>
          </w14:textFill>
        </w:rPr>
        <w:t>4</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）政府采购组织形式：</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政府集中采购</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部门集中采购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分散采购</w:t>
      </w:r>
    </w:p>
    <w:p w14:paraId="5A43E10A">
      <w:pPr>
        <w:pStyle w:val="966"/>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lang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w:t>
      </w:r>
      <w:r>
        <w:rPr>
          <w:rFonts w:hint="eastAsia" w:ascii="仿宋" w:hAnsi="仿宋" w:eastAsia="仿宋" w:cs="仿宋"/>
          <w:iCs w:val="0"/>
          <w:color w:val="000000" w:themeColor="text1"/>
          <w:sz w:val="21"/>
          <w:szCs w:val="21"/>
          <w:highlight w:val="none"/>
          <w:lang w:val="en" w:eastAsia="zh-CN"/>
          <w14:textFill>
            <w14:solidFill>
              <w14:schemeClr w14:val="tx1"/>
            </w14:solidFill>
          </w14:textFill>
        </w:rPr>
        <w:t>5</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）政府采购方式：</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公开招标</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邀请招标</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竞争性谈判</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竞争性磋商</w:t>
      </w:r>
    </w:p>
    <w:p w14:paraId="5D70C582">
      <w:pPr>
        <w:pStyle w:val="966"/>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询价</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单一来源</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框架协议</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其他：</w:t>
      </w:r>
      <w:r>
        <w:rPr>
          <w:rFonts w:hint="eastAsia" w:ascii="仿宋" w:hAnsi="仿宋" w:eastAsia="仿宋" w:cs="仿宋"/>
          <w:iCs w:val="0"/>
          <w:color w:val="000000" w:themeColor="text1"/>
          <w:sz w:val="21"/>
          <w:szCs w:val="21"/>
          <w:highlight w:val="none"/>
          <w:u w:val="single"/>
          <w:lang w:val="en-US" w:eastAsia="zh-CN"/>
          <w14:textFill>
            <w14:solidFill>
              <w14:schemeClr w14:val="tx1"/>
            </w14:solidFill>
          </w14:textFill>
        </w:rPr>
        <w:t xml:space="preserve">          </w:t>
      </w:r>
    </w:p>
    <w:p w14:paraId="58417920">
      <w:pPr>
        <w:pStyle w:val="966"/>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sz w:val="21"/>
          <w:szCs w:val="21"/>
          <w:highlight w:val="none"/>
          <w:u w:val="none"/>
          <w:lang w:val="en-US" w:eastAsia="zh-CN"/>
          <w14:textFill>
            <w14:solidFill>
              <w14:schemeClr w14:val="tx1"/>
            </w14:solidFill>
          </w14:textFill>
        </w:rPr>
        <w:t>（注：在框架协议采购的第二阶段，可选择使用该合同文本）</w:t>
      </w:r>
    </w:p>
    <w:p w14:paraId="62764DA3">
      <w:pPr>
        <w:pStyle w:val="966"/>
        <w:numPr>
          <w:ilvl w:val="0"/>
          <w:numId w:val="0"/>
        </w:numPr>
        <w:adjustRightInd w:val="0"/>
        <w:snapToGrid w:val="0"/>
        <w:spacing w:before="0" w:beforeLines="0" w:line="400" w:lineRule="exact"/>
        <w:ind w:firstLine="220" w:firstLineChars="100"/>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 w:eastAsia="zh-CN"/>
          <w14:textFill>
            <w14:solidFill>
              <w14:schemeClr w14:val="tx1"/>
            </w14:solidFill>
          </w14:textFill>
        </w:rPr>
        <w:t>6</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中标（成交）采购标的制造商是否为中小企业：</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 xml:space="preserve">是      </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否</w:t>
      </w:r>
    </w:p>
    <w:p w14:paraId="652B3F53">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w w:val="100"/>
          <w:szCs w:val="21"/>
          <w:highlight w:val="none"/>
          <w:lang w:val="en-US" w:eastAsia="zh-CN"/>
          <w14:textFill>
            <w14:solidFill>
              <w14:schemeClr w14:val="tx1"/>
            </w14:solidFill>
          </w14:textFill>
        </w:rPr>
        <w:t xml:space="preserve">         本合同</w:t>
      </w:r>
      <w:r>
        <w:rPr>
          <w:rFonts w:hint="eastAsia" w:ascii="仿宋" w:hAnsi="仿宋" w:eastAsia="仿宋" w:cs="仿宋"/>
          <w:color w:val="000000" w:themeColor="text1"/>
          <w:w w:val="100"/>
          <w:szCs w:val="21"/>
          <w:highlight w:val="none"/>
          <w14:textFill>
            <w14:solidFill>
              <w14:schemeClr w14:val="tx1"/>
            </w14:solidFill>
          </w14:textFill>
        </w:rPr>
        <w:t>是否</w:t>
      </w:r>
      <w:r>
        <w:rPr>
          <w:rFonts w:hint="eastAsia" w:ascii="仿宋" w:hAnsi="仿宋" w:eastAsia="仿宋" w:cs="仿宋"/>
          <w:color w:val="000000" w:themeColor="text1"/>
          <w:w w:val="100"/>
          <w:szCs w:val="21"/>
          <w:highlight w:val="none"/>
          <w:lang w:eastAsia="zh-CN"/>
          <w14:textFill>
            <w14:solidFill>
              <w14:schemeClr w14:val="tx1"/>
            </w14:solidFill>
          </w14:textFill>
        </w:rPr>
        <w:t>为专门面向</w:t>
      </w:r>
      <w:r>
        <w:rPr>
          <w:rFonts w:hint="eastAsia" w:ascii="仿宋" w:hAnsi="仿宋" w:eastAsia="仿宋" w:cs="仿宋"/>
          <w:color w:val="000000" w:themeColor="text1"/>
          <w:w w:val="100"/>
          <w:szCs w:val="21"/>
          <w:highlight w:val="none"/>
          <w14:textFill>
            <w14:solidFill>
              <w14:schemeClr w14:val="tx1"/>
            </w14:solidFill>
          </w14:textFill>
        </w:rPr>
        <w:t>中小企业</w:t>
      </w:r>
      <w:r>
        <w:rPr>
          <w:rFonts w:hint="eastAsia" w:ascii="仿宋" w:hAnsi="仿宋" w:eastAsia="仿宋" w:cs="仿宋"/>
          <w:color w:val="000000" w:themeColor="text1"/>
          <w:w w:val="100"/>
          <w:szCs w:val="21"/>
          <w:highlight w:val="none"/>
          <w:lang w:eastAsia="zh-CN"/>
          <w14:textFill>
            <w14:solidFill>
              <w14:schemeClr w14:val="tx1"/>
            </w14:solidFill>
          </w14:textFill>
        </w:rPr>
        <w:t>的采</w:t>
      </w:r>
      <w:r>
        <w:rPr>
          <w:rFonts w:hint="eastAsia" w:ascii="仿宋" w:hAnsi="仿宋" w:eastAsia="仿宋" w:cs="仿宋"/>
          <w:color w:val="000000" w:themeColor="text1"/>
          <w:w w:val="100"/>
          <w:szCs w:val="21"/>
          <w:highlight w:val="none"/>
          <w:shd w:val="clear" w:color="auto" w:fill="auto"/>
          <w:lang w:eastAsia="zh-CN"/>
          <w14:textFill>
            <w14:solidFill>
              <w14:schemeClr w14:val="tx1"/>
            </w14:solidFill>
          </w14:textFill>
        </w:rPr>
        <w:t>购</w:t>
      </w:r>
      <w:r>
        <w:rPr>
          <w:rFonts w:hint="eastAsia" w:ascii="仿宋" w:hAnsi="仿宋" w:eastAsia="仿宋" w:cs="仿宋"/>
          <w:color w:val="000000" w:themeColor="text1"/>
          <w:w w:val="100"/>
          <w:szCs w:val="21"/>
          <w:highlight w:val="none"/>
          <w:shd w:val="clear" w:color="auto" w:fill="auto"/>
          <w14:textFill>
            <w14:solidFill>
              <w14:schemeClr w14:val="tx1"/>
            </w14:solidFill>
          </w14:textFill>
        </w:rPr>
        <w:t>合同</w:t>
      </w:r>
      <w:r>
        <w:rPr>
          <w:rFonts w:hint="eastAsia" w:ascii="仿宋" w:hAnsi="仿宋" w:eastAsia="仿宋" w:cs="仿宋"/>
          <w:color w:val="000000" w:themeColor="text1"/>
          <w:w w:val="100"/>
          <w:szCs w:val="21"/>
          <w:highlight w:val="none"/>
          <w:shd w:val="clear" w:color="auto" w:fill="auto"/>
          <w:lang w:eastAsia="zh-CN"/>
          <w14:textFill>
            <w14:solidFill>
              <w14:schemeClr w14:val="tx1"/>
            </w14:solidFill>
          </w14:textFill>
        </w:rPr>
        <w:t>（中小企业预留合同）</w:t>
      </w:r>
      <w:r>
        <w:rPr>
          <w:rFonts w:hint="eastAsia" w:ascii="仿宋" w:hAnsi="仿宋" w:eastAsia="仿宋" w:cs="仿宋"/>
          <w:color w:val="000000" w:themeColor="text1"/>
          <w:szCs w:val="21"/>
          <w:highlight w:val="none"/>
          <w:shd w:val="clear" w:color="auto" w:fill="auto"/>
          <w14:textFill>
            <w14:solidFill>
              <w14:schemeClr w14:val="tx1"/>
            </w14:solidFill>
          </w14:textFill>
        </w:rPr>
        <w:t>：</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0D485BA6">
      <w:pPr>
        <w:numPr>
          <w:ilvl w:val="0"/>
          <w:numId w:val="0"/>
        </w:numPr>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2CA2DBB0">
      <w:pPr>
        <w:numPr>
          <w:ilvl w:val="0"/>
          <w:numId w:val="0"/>
        </w:numPr>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4901F0F3">
      <w:pPr>
        <w:numPr>
          <w:ilvl w:val="0"/>
          <w:numId w:val="0"/>
        </w:numPr>
        <w:snapToGrid w:val="0"/>
        <w:spacing w:beforeLines="0" w:line="400" w:lineRule="exact"/>
        <w:ind w:firstLine="0" w:firstLineChars="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5020175A">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）合同是否分包：</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2034A684">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分包主要内容：</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3AE26374">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分包供应商</w:t>
      </w:r>
      <w:r>
        <w:rPr>
          <w:rFonts w:hint="eastAsia" w:ascii="仿宋" w:hAnsi="仿宋" w:eastAsia="仿宋" w:cs="仿宋"/>
          <w:color w:val="000000" w:themeColor="text1"/>
          <w:szCs w:val="21"/>
          <w:highlight w:val="none"/>
          <w:lang w:eastAsia="zh-CN"/>
          <w14:textFill>
            <w14:solidFill>
              <w14:schemeClr w14:val="tx1"/>
            </w14:solidFill>
          </w14:textFill>
        </w:rPr>
        <w:t>/制造商</w:t>
      </w:r>
      <w:r>
        <w:rPr>
          <w:rFonts w:hint="eastAsia" w:ascii="仿宋" w:hAnsi="仿宋" w:eastAsia="仿宋" w:cs="仿宋"/>
          <w:color w:val="000000" w:themeColor="text1"/>
          <w:szCs w:val="21"/>
          <w:highlight w:val="none"/>
          <w14:textFill>
            <w14:solidFill>
              <w14:schemeClr w14:val="tx1"/>
            </w14:solidFill>
          </w14:textFill>
        </w:rPr>
        <w:t>名称</w:t>
      </w:r>
      <w:r>
        <w:rPr>
          <w:rFonts w:hint="eastAsia" w:ascii="仿宋" w:hAnsi="仿宋" w:eastAsia="仿宋" w:cs="仿宋"/>
          <w:color w:val="000000" w:themeColor="text1"/>
          <w:szCs w:val="21"/>
          <w:highlight w:val="none"/>
          <w:lang w:eastAsia="zh-CN"/>
          <w14:textFill>
            <w14:solidFill>
              <w14:schemeClr w14:val="tx1"/>
            </w14:solidFill>
          </w14:textFill>
        </w:rPr>
        <w:t>（如供应商和制造商不同，请分别填写）</w:t>
      </w:r>
      <w:r>
        <w:rPr>
          <w:rFonts w:hint="eastAsia" w:ascii="仿宋" w:hAnsi="仿宋" w:eastAsia="仿宋" w:cs="仿宋"/>
          <w:color w:val="000000" w:themeColor="text1"/>
          <w:szCs w:val="21"/>
          <w:highlight w:val="none"/>
          <w14:textFill>
            <w14:solidFill>
              <w14:schemeClr w14:val="tx1"/>
            </w14:solidFill>
          </w14:textFill>
        </w:rPr>
        <w:t>：</w:t>
      </w:r>
    </w:p>
    <w:p w14:paraId="3A4581EE">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u w:val="non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14:paraId="3FF3302C">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分包供应商</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制造商</w:t>
      </w:r>
      <w:r>
        <w:rPr>
          <w:rFonts w:hint="eastAsia" w:ascii="仿宋" w:hAnsi="仿宋" w:eastAsia="仿宋" w:cs="仿宋"/>
          <w:color w:val="000000" w:themeColor="text1"/>
          <w:szCs w:val="21"/>
          <w:highlight w:val="none"/>
          <w14:textFill>
            <w14:solidFill>
              <w14:schemeClr w14:val="tx1"/>
            </w14:solidFill>
          </w14:textFill>
        </w:rPr>
        <w:t>类型</w:t>
      </w:r>
      <w:r>
        <w:rPr>
          <w:rFonts w:hint="eastAsia" w:ascii="仿宋" w:hAnsi="仿宋" w:eastAsia="仿宋" w:cs="仿宋"/>
          <w:color w:val="000000" w:themeColor="text1"/>
          <w:szCs w:val="21"/>
          <w:highlight w:val="none"/>
          <w:lang w:eastAsia="zh-CN"/>
          <w14:textFill>
            <w14:solidFill>
              <w14:schemeClr w14:val="tx1"/>
            </w14:solidFill>
          </w14:textFill>
        </w:rPr>
        <w:t>（如果供应商和制造商不同，只填写制造商类型）</w:t>
      </w:r>
      <w:r>
        <w:rPr>
          <w:rFonts w:hint="eastAsia" w:ascii="仿宋" w:hAnsi="仿宋" w:eastAsia="仿宋" w:cs="仿宋"/>
          <w:color w:val="000000" w:themeColor="text1"/>
          <w:szCs w:val="21"/>
          <w:highlight w:val="none"/>
          <w14:textFill>
            <w14:solidFill>
              <w14:schemeClr w14:val="tx1"/>
            </w14:solidFill>
          </w14:textFill>
        </w:rPr>
        <w:t>：</w:t>
      </w:r>
    </w:p>
    <w:p w14:paraId="133DA79D">
      <w:pPr>
        <w:adjustRightInd w:val="0"/>
        <w:snapToGrid w:val="0"/>
        <w:spacing w:beforeLines="0" w:line="400" w:lineRule="exact"/>
        <w:ind w:firstLine="840" w:firstLineChars="40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大型企业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中型企业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小微型企业</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7CB4DEFD">
      <w:pPr>
        <w:adjustRightInd w:val="0"/>
        <w:snapToGrid w:val="0"/>
        <w:spacing w:beforeLines="0" w:line="400" w:lineRule="exact"/>
        <w:ind w:firstLine="840" w:firstLineChars="400"/>
        <w:rPr>
          <w:rFonts w:hint="eastAsia" w:ascii="仿宋" w:hAnsi="仿宋" w:eastAsia="仿宋" w:cs="仿宋"/>
          <w:color w:val="000000" w:themeColor="text1"/>
          <w:highlight w:val="none"/>
          <w:u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残疾人福利性单位</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监狱</w:t>
      </w:r>
      <w:r>
        <w:rPr>
          <w:rFonts w:hint="eastAsia" w:ascii="仿宋" w:hAnsi="仿宋" w:eastAsia="仿宋" w:cs="仿宋"/>
          <w:iCs/>
          <w:color w:val="000000" w:themeColor="text1"/>
          <w:szCs w:val="21"/>
          <w:highlight w:val="none"/>
          <w14:textFill>
            <w14:solidFill>
              <w14:schemeClr w14:val="tx1"/>
            </w14:solidFill>
          </w14:textFill>
        </w:rPr>
        <w:t>企业</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其他</w:t>
      </w:r>
    </w:p>
    <w:p w14:paraId="6C3E6A30">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 w:eastAsia="zh-CN"/>
          <w14:textFill>
            <w14:solidFill>
              <w14:schemeClr w14:val="tx1"/>
            </w14:solidFill>
          </w14:textFill>
        </w:rPr>
        <w:t>8</w:t>
      </w:r>
      <w:r>
        <w:rPr>
          <w:rFonts w:hint="eastAsia" w:ascii="仿宋" w:hAnsi="仿宋" w:eastAsia="仿宋" w:cs="仿宋"/>
          <w:color w:val="000000" w:themeColor="text1"/>
          <w:szCs w:val="21"/>
          <w:highlight w:val="none"/>
          <w:u w:val="none"/>
          <w:lang w:val="en-US" w:eastAsia="zh-CN"/>
          <w14:textFill>
            <w14:solidFill>
              <w14:schemeClr w14:val="tx1"/>
            </w14:solidFill>
          </w14:textFill>
        </w:rPr>
        <w:t>）中标（成交）供应商是否为外商投资企业：</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6F8F4D9D">
      <w:pPr>
        <w:pStyle w:val="966"/>
        <w:tabs>
          <w:tab w:val="left" w:pos="1340"/>
        </w:tabs>
        <w:spacing w:beforeLines="0"/>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外商投资企业类型：</w:t>
      </w:r>
      <w:r>
        <w:rPr>
          <w:rFonts w:hint="eastAsia" w:ascii="仿宋" w:hAnsi="仿宋" w:eastAsia="仿宋" w:cs="仿宋"/>
          <w:iCs/>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全部由外国投资者投资  </w:t>
      </w:r>
      <w:r>
        <w:rPr>
          <w:rFonts w:hint="eastAsia" w:ascii="仿宋" w:hAnsi="仿宋" w:eastAsia="仿宋" w:cs="仿宋"/>
          <w:iCs/>
          <w:color w:val="000000" w:themeColor="text1"/>
          <w:sz w:val="21"/>
          <w:szCs w:val="21"/>
          <w:highlight w:val="none"/>
          <w14:textFill>
            <w14:solidFill>
              <w14:schemeClr w14:val="tx1"/>
            </w14:solidFill>
          </w14:textFill>
        </w:rPr>
        <w:sym w:font="Wingdings" w:char="00A8"/>
      </w:r>
      <w:r>
        <w:rPr>
          <w:rFonts w:hint="eastAsia" w:ascii="仿宋" w:hAnsi="仿宋" w:eastAsia="仿宋" w:cs="仿宋"/>
          <w:iCs/>
          <w:color w:val="000000" w:themeColor="text1"/>
          <w:sz w:val="21"/>
          <w:szCs w:val="21"/>
          <w:highlight w:val="none"/>
          <w:lang w:val="en-US" w:eastAsia="zh-CN"/>
          <w14:textFill>
            <w14:solidFill>
              <w14:schemeClr w14:val="tx1"/>
            </w14:solidFill>
          </w14:textFill>
        </w:rPr>
        <w:t>部分由外国投资者投资</w:t>
      </w:r>
    </w:p>
    <w:p w14:paraId="2F500B05">
      <w:pPr>
        <w:numPr>
          <w:ilvl w:val="0"/>
          <w:numId w:val="0"/>
        </w:numPr>
        <w:adjustRightInd w:val="0"/>
        <w:snapToGrid w:val="0"/>
        <w:spacing w:before="0" w:beforeLines="0" w:line="400" w:lineRule="exact"/>
        <w:ind w:firstLine="420" w:firstLineChars="20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21"/>
          <w:szCs w:val="21"/>
          <w:highlight w:val="none"/>
          <w:u w:val="none"/>
          <w:lang w:val="en" w:eastAsia="zh-CN"/>
          <w14:textFill>
            <w14:solidFill>
              <w14:schemeClr w14:val="tx1"/>
            </w14:solidFill>
          </w14:textFill>
        </w:rPr>
        <w:t>9</w:t>
      </w: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）是否涉及进口产品：</w:t>
      </w:r>
    </w:p>
    <w:p w14:paraId="76C0463D">
      <w:pPr>
        <w:numPr>
          <w:ilvl w:val="0"/>
          <w:numId w:val="0"/>
        </w:num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lang w:val="en-US" w:eastAsia="zh-CN"/>
          <w14:textFill>
            <w14:solidFill>
              <w14:schemeClr w14:val="tx1"/>
            </w14:solidFill>
          </w14:textFill>
        </w:rPr>
      </w:pP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金额：</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14:paraId="2E8B55C6">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国别：</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规格型号：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t xml:space="preserve">      </w:t>
      </w:r>
    </w:p>
    <w:p w14:paraId="1B58DBB2">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lang w:eastAsia="zh-CN"/>
          <w14:textFill>
            <w14:solidFill>
              <w14:schemeClr w14:val="tx1"/>
            </w14:solidFill>
          </w14:textFill>
        </w:rPr>
        <w:t>否</w:t>
      </w:r>
    </w:p>
    <w:p w14:paraId="082CD6E4">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（1</w:t>
      </w:r>
      <w:r>
        <w:rPr>
          <w:rFonts w:hint="eastAsia" w:ascii="仿宋" w:hAnsi="仿宋" w:eastAsia="仿宋" w:cs="仿宋"/>
          <w:b w:val="0"/>
          <w:bCs w:val="0"/>
          <w:color w:val="000000" w:themeColor="text1"/>
          <w:sz w:val="21"/>
          <w:szCs w:val="21"/>
          <w:highlight w:val="none"/>
          <w:u w:val="none"/>
          <w:lang w:val="en" w:eastAsia="zh-CN"/>
          <w14:textFill>
            <w14:solidFill>
              <w14:schemeClr w14:val="tx1"/>
            </w14:solidFill>
          </w14:textFill>
        </w:rPr>
        <w:t>0</w:t>
      </w: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）是否涉及节能产品：</w:t>
      </w:r>
    </w:p>
    <w:p w14:paraId="1AE48818">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，《节能产品政府采购品目清单》的底级品目名称：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2C64C851">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077FDCC7">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000000" w:themeColor="text1"/>
          <w:szCs w:val="21"/>
          <w:highlight w:val="none"/>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p>
    <w:p w14:paraId="539EFDE3">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是否涉及环境标志产品：</w:t>
      </w:r>
    </w:p>
    <w:p w14:paraId="68639F9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000000" w:themeColor="text1"/>
          <w:szCs w:val="2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，《环境标志产品政府采购品目清单》的底级品目名称：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4EF6ED8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5736CF77">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p>
    <w:p w14:paraId="754F5E9A">
      <w:pPr>
        <w:pStyle w:val="966"/>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kern w:val="2"/>
          <w:sz w:val="21"/>
          <w:szCs w:val="21"/>
          <w:highlight w:val="none"/>
          <w:u w:val="none"/>
          <w:lang w:val="en-US" w:eastAsia="zh-CN"/>
          <w14:textFill>
            <w14:solidFill>
              <w14:schemeClr w14:val="tx1"/>
            </w14:solidFill>
          </w14:textFill>
        </w:rPr>
        <w:t>是否涉及绿色产品：</w:t>
      </w: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p>
    <w:p w14:paraId="3EB70C1E">
      <w:pPr>
        <w:pStyle w:val="966"/>
        <w:spacing w:beforeLines="0"/>
        <w:ind w:firstLine="420" w:firstLineChars="0"/>
        <w:rPr>
          <w:rFonts w:hint="eastAsia" w:ascii="仿宋" w:hAnsi="仿宋" w:eastAsia="仿宋" w:cs="仿宋"/>
          <w:color w:val="000000" w:themeColor="text1"/>
          <w:szCs w:val="21"/>
          <w:highlight w:val="none"/>
          <w:u w:val="single"/>
          <w:lang w:val="en-US" w:eastAsia="zh-CN"/>
          <w14:textFill>
            <w14:solidFill>
              <w14:schemeClr w14:val="tx1"/>
            </w14:solidFill>
          </w14:textFill>
        </w:rPr>
      </w:pP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kern w:val="2"/>
          <w:sz w:val="21"/>
          <w:szCs w:val="21"/>
          <w:highlight w:val="none"/>
          <w:u w:val="none"/>
          <w14:textFill>
            <w14:solidFill>
              <w14:schemeClr w14:val="tx1"/>
            </w14:solidFill>
          </w14:textFill>
        </w:rPr>
        <w:sym w:font="Wingdings" w:char="00A8"/>
      </w:r>
      <w:r>
        <w:rPr>
          <w:rFonts w:hint="eastAsia" w:ascii="仿宋" w:hAnsi="仿宋" w:eastAsia="仿宋" w:cs="仿宋"/>
          <w:iCs w:val="0"/>
          <w:color w:val="000000" w:themeColor="text1"/>
          <w:kern w:val="2"/>
          <w:sz w:val="21"/>
          <w:szCs w:val="21"/>
          <w:highlight w:val="none"/>
          <w:u w:val="none"/>
          <w14:textFill>
            <w14:solidFill>
              <w14:schemeClr w14:val="tx1"/>
            </w14:solidFill>
          </w14:textFill>
        </w:rPr>
        <w:t>是</w:t>
      </w:r>
      <w:r>
        <w:rPr>
          <w:rFonts w:hint="eastAsia" w:ascii="仿宋" w:hAnsi="仿宋" w:eastAsia="仿宋" w:cs="仿宋"/>
          <w:iCs w:val="0"/>
          <w:color w:val="000000" w:themeColor="text1"/>
          <w:kern w:val="2"/>
          <w:sz w:val="21"/>
          <w:szCs w:val="21"/>
          <w:highlight w:val="none"/>
          <w:u w:val="none"/>
          <w:lang w:eastAsia="zh-CN"/>
          <w14:textFill>
            <w14:solidFill>
              <w14:schemeClr w14:val="tx1"/>
            </w14:solidFill>
          </w14:textFill>
        </w:rPr>
        <w:t>，绿色产品政府采购相关政策确定的底级品目名称：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14:paraId="071D5FAF">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2ED60C8B">
      <w:pPr>
        <w:pStyle w:val="966"/>
        <w:spacing w:beforeLines="0"/>
        <w:ind w:firstLine="42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kern w:val="2"/>
          <w:sz w:val="21"/>
          <w:szCs w:val="21"/>
          <w:highlight w:val="none"/>
          <w:u w:val="none"/>
          <w14:textFill>
            <w14:solidFill>
              <w14:schemeClr w14:val="tx1"/>
            </w14:solidFill>
          </w14:textFill>
        </w:rPr>
        <w:sym w:font="Wingdings" w:char="00A8"/>
      </w:r>
      <w:r>
        <w:rPr>
          <w:rFonts w:hint="eastAsia" w:ascii="仿宋" w:hAnsi="仿宋" w:eastAsia="仿宋" w:cs="仿宋"/>
          <w:iCs w:val="0"/>
          <w:color w:val="000000" w:themeColor="text1"/>
          <w:kern w:val="2"/>
          <w:sz w:val="21"/>
          <w:szCs w:val="21"/>
          <w:highlight w:val="none"/>
          <w:u w:val="none"/>
          <w14:textFill>
            <w14:solidFill>
              <w14:schemeClr w14:val="tx1"/>
            </w14:solidFill>
          </w14:textFill>
        </w:rPr>
        <w:t>否</w:t>
      </w:r>
    </w:p>
    <w:p w14:paraId="79E0249F">
      <w:pPr>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（1</w:t>
      </w:r>
      <w:r>
        <w:rPr>
          <w:rFonts w:hint="eastAsia" w:ascii="仿宋" w:hAnsi="仿宋" w:eastAsia="仿宋" w:cs="仿宋"/>
          <w:color w:val="000000" w:themeColor="text1"/>
          <w:szCs w:val="21"/>
          <w:highlight w:val="none"/>
          <w:lang w:val="en"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）涉及商品包装和快递包装的，是否参考</w:t>
      </w:r>
      <w:r>
        <w:rPr>
          <w:rFonts w:hint="eastAsia" w:ascii="仿宋" w:hAnsi="仿宋" w:eastAsia="仿宋" w:cs="仿宋"/>
          <w:color w:val="000000" w:themeColor="text1"/>
          <w:szCs w:val="21"/>
          <w:highlight w:val="none"/>
          <w14:textFill>
            <w14:solidFill>
              <w14:schemeClr w14:val="tx1"/>
            </w14:solidFill>
          </w14:textFill>
        </w:rPr>
        <w:t>《商品包装政府采购需求标准（试行）》、《快递包装政府采购需求标准（试行）》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明确产品及相关快递服务的具体包装要求：</w:t>
      </w:r>
    </w:p>
    <w:p w14:paraId="04AB4842">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000000" w:themeColor="text1"/>
          <w:szCs w:val="21"/>
          <w:highlight w:val="none"/>
          <w:lang w:val="en-US" w:eastAsia="zh-CN"/>
          <w14:textFill>
            <w14:solidFill>
              <w14:schemeClr w14:val="tx1"/>
            </w14:solidFill>
          </w14:textFill>
        </w:rPr>
      </w:pP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 xml:space="preserve">是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lang w:eastAsia="zh-CN"/>
          <w14:textFill>
            <w14:solidFill>
              <w14:schemeClr w14:val="tx1"/>
            </w14:solidFill>
          </w14:textFill>
        </w:rPr>
        <w:t>不涉及</w:t>
      </w:r>
    </w:p>
    <w:p w14:paraId="7D6D5B80">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合同金额</w:t>
      </w:r>
    </w:p>
    <w:p w14:paraId="28B814DA">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（1）合同金额小写：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1FA1235D">
      <w:pPr>
        <w:adjustRightInd w:val="0"/>
        <w:snapToGrid w:val="0"/>
        <w:spacing w:before="0" w:beforeLines="0" w:line="400" w:lineRule="exact"/>
        <w:ind w:left="0" w:firstLine="0" w:firstLineChars="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大写：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0DE7963A">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分包金额</w:t>
      </w:r>
      <w:r>
        <w:rPr>
          <w:rFonts w:hint="eastAsia" w:ascii="仿宋" w:hAnsi="仿宋" w:eastAsia="仿宋" w:cs="仿宋"/>
          <w:color w:val="000000" w:themeColor="text1"/>
          <w:szCs w:val="21"/>
          <w:highlight w:val="none"/>
          <w:lang w:eastAsia="zh-CN"/>
          <w14:textFill>
            <w14:solidFill>
              <w14:schemeClr w14:val="tx1"/>
            </w14:solidFill>
          </w14:textFill>
        </w:rPr>
        <w:t>（如有）</w:t>
      </w:r>
      <w:r>
        <w:rPr>
          <w:rFonts w:hint="eastAsia" w:ascii="仿宋" w:hAnsi="仿宋" w:eastAsia="仿宋" w:cs="仿宋"/>
          <w:color w:val="000000" w:themeColor="text1"/>
          <w:szCs w:val="21"/>
          <w:highlight w:val="none"/>
          <w14:textFill>
            <w14:solidFill>
              <w14:schemeClr w14:val="tx1"/>
            </w14:solidFill>
          </w14:textFill>
        </w:rPr>
        <w:t>小写：</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1BA47B8A">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大写：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0342D804">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（注：固定单价合同应填写单价和最高限价）</w:t>
      </w:r>
    </w:p>
    <w:p w14:paraId="3EDF2F66">
      <w:pPr>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合同定价方式</w:t>
      </w:r>
      <w:r>
        <w:rPr>
          <w:rFonts w:hint="eastAsia" w:ascii="仿宋" w:hAnsi="仿宋" w:eastAsia="仿宋" w:cs="仿宋"/>
          <w:color w:val="000000" w:themeColor="text1"/>
          <w:szCs w:val="21"/>
          <w:highlight w:val="none"/>
          <w:lang w:eastAsia="zh-CN"/>
          <w14:textFill>
            <w14:solidFill>
              <w14:schemeClr w14:val="tx1"/>
            </w14:solidFill>
          </w14:textFill>
        </w:rPr>
        <w:t>（采用组合定价方式的，可以勾选多项）</w:t>
      </w:r>
      <w:r>
        <w:rPr>
          <w:rFonts w:hint="eastAsia" w:ascii="仿宋" w:hAnsi="仿宋" w:eastAsia="仿宋" w:cs="仿宋"/>
          <w:color w:val="000000" w:themeColor="text1"/>
          <w:szCs w:val="21"/>
          <w:highlight w:val="none"/>
          <w14:textFill>
            <w14:solidFill>
              <w14:schemeClr w14:val="tx1"/>
            </w14:solidFill>
          </w14:textFill>
        </w:rPr>
        <w:t>：</w:t>
      </w:r>
    </w:p>
    <w:p w14:paraId="0B1FDC25">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固定总价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固定单价</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固定费率</w:t>
      </w:r>
      <w:r>
        <w:rPr>
          <w:rFonts w:hint="eastAsia" w:ascii="仿宋" w:hAnsi="仿宋" w:eastAsia="仿宋" w:cs="仿宋"/>
          <w:iCs/>
          <w:color w:val="000000" w:themeColor="text1"/>
          <w:szCs w:val="21"/>
          <w:highlight w:val="none"/>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成本补偿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绩效激励</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其他</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5939B812">
      <w:pPr>
        <w:pStyle w:val="790"/>
        <w:spacing w:beforeLines="0" w:line="4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）付款方式（按项目实际勾选填写）：</w:t>
      </w:r>
    </w:p>
    <w:p w14:paraId="14468934">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全额付款：</w:t>
      </w:r>
      <w:r>
        <w:rPr>
          <w:rFonts w:hint="eastAsia" w:ascii="仿宋" w:hAnsi="仿宋" w:eastAsia="仿宋" w:cs="仿宋"/>
          <w:color w:val="000000" w:themeColor="text1"/>
          <w:szCs w:val="21"/>
          <w:highlight w:val="none"/>
          <w:u w:val="single"/>
          <w14:textFill>
            <w14:solidFill>
              <w14:schemeClr w14:val="tx1"/>
            </w14:solidFill>
          </w14:textFill>
        </w:rPr>
        <w:t xml:space="preserve">     （应</w:t>
      </w:r>
      <w:r>
        <w:rPr>
          <w:rFonts w:hint="eastAsia" w:ascii="仿宋" w:hAnsi="仿宋" w:eastAsia="仿宋" w:cs="仿宋"/>
          <w:color w:val="000000" w:themeColor="text1"/>
          <w:szCs w:val="21"/>
          <w:highlight w:val="none"/>
          <w:u w:val="single"/>
          <w:lang w:eastAsia="zh-CN"/>
          <w14:textFill>
            <w14:solidFill>
              <w14:schemeClr w14:val="tx1"/>
            </w14:solidFill>
          </w14:textFill>
        </w:rPr>
        <w:t>明确</w:t>
      </w:r>
      <w:r>
        <w:rPr>
          <w:rFonts w:hint="eastAsia" w:ascii="仿宋" w:hAnsi="仿宋" w:eastAsia="仿宋" w:cs="仿宋"/>
          <w:color w:val="000000" w:themeColor="text1"/>
          <w:szCs w:val="21"/>
          <w:highlight w:val="none"/>
          <w:u w:val="single"/>
          <w14:textFill>
            <w14:solidFill>
              <w14:schemeClr w14:val="tx1"/>
            </w14:solidFill>
          </w14:textFill>
        </w:rPr>
        <w:t>一次性支付合同款项</w:t>
      </w:r>
      <w:r>
        <w:rPr>
          <w:rFonts w:hint="eastAsia" w:ascii="仿宋" w:hAnsi="仿宋" w:eastAsia="仿宋" w:cs="仿宋"/>
          <w:color w:val="000000" w:themeColor="text1"/>
          <w:szCs w:val="21"/>
          <w:highlight w:val="none"/>
          <w:u w:val="single"/>
          <w:lang w:eastAsia="zh-CN"/>
          <w14:textFill>
            <w14:solidFill>
              <w14:schemeClr w14:val="tx1"/>
            </w14:solidFill>
          </w14:textFill>
        </w:rPr>
        <w:t>的条件</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586E6321">
      <w:pPr>
        <w:snapToGrid w:val="0"/>
        <w:spacing w:beforeLines="0" w:line="400" w:lineRule="exact"/>
        <w:ind w:firstLine="630" w:firstLineChars="3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分期付款：</w:t>
      </w:r>
      <w:r>
        <w:rPr>
          <w:rFonts w:hint="eastAsia" w:ascii="仿宋" w:hAnsi="仿宋" w:eastAsia="仿宋" w:cs="仿宋"/>
          <w:color w:val="000000" w:themeColor="text1"/>
          <w:szCs w:val="21"/>
          <w:highlight w:val="none"/>
          <w:u w:val="single"/>
          <w14:textFill>
            <w14:solidFill>
              <w14:schemeClr w14:val="tx1"/>
            </w14:solidFill>
          </w14:textFill>
        </w:rPr>
        <w:t xml:space="preserve">  （应明确分期支付合同款项的各期比例和支付条件</w:t>
      </w:r>
      <w:r>
        <w:rPr>
          <w:rFonts w:hint="eastAsia" w:ascii="仿宋" w:hAnsi="仿宋" w:eastAsia="仿宋" w:cs="仿宋"/>
          <w:color w:val="000000" w:themeColor="text1"/>
          <w:szCs w:val="21"/>
          <w:highlight w:val="none"/>
          <w:u w:val="single"/>
          <w:lang w:eastAsia="zh-CN"/>
          <w14:textFill>
            <w14:solidFill>
              <w14:schemeClr w14:val="tx1"/>
            </w14:solidFill>
          </w14:textFill>
        </w:rPr>
        <w:t>，各期支付条件应与分期履约验收情况挂钩</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none"/>
          <w:lang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其中涉及预付款的</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（应明确预付款的支付比例和支付条件） </w:t>
      </w:r>
    </w:p>
    <w:p w14:paraId="6A9CD332">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成本补偿：</w:t>
      </w:r>
      <w:r>
        <w:rPr>
          <w:rFonts w:hint="eastAsia" w:ascii="仿宋" w:hAnsi="仿宋" w:eastAsia="仿宋" w:cs="仿宋"/>
          <w:color w:val="000000" w:themeColor="text1"/>
          <w:szCs w:val="21"/>
          <w:highlight w:val="none"/>
          <w:u w:val="single"/>
          <w14:textFill>
            <w14:solidFill>
              <w14:schemeClr w14:val="tx1"/>
            </w14:solidFill>
          </w14:textFill>
        </w:rPr>
        <w:t xml:space="preserve">      （应明确按照成本补偿方式的支付方式和支付条件）   </w:t>
      </w:r>
    </w:p>
    <w:p w14:paraId="6BB8027E">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绩效激励：</w:t>
      </w:r>
      <w:r>
        <w:rPr>
          <w:rFonts w:hint="eastAsia" w:ascii="仿宋" w:hAnsi="仿宋" w:eastAsia="仿宋" w:cs="仿宋"/>
          <w:color w:val="000000" w:themeColor="text1"/>
          <w:szCs w:val="21"/>
          <w:highlight w:val="none"/>
          <w:u w:val="single"/>
          <w14:textFill>
            <w14:solidFill>
              <w14:schemeClr w14:val="tx1"/>
            </w14:solidFill>
          </w14:textFill>
        </w:rPr>
        <w:t xml:space="preserve">      （应明确按照绩效激励方式的支付方式和支付条件）   </w:t>
      </w:r>
    </w:p>
    <w:p w14:paraId="7D4657BB">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000000" w:themeColor="text1"/>
          <w:szCs w:val="21"/>
          <w:highlight w:val="none"/>
          <w:u w:val="singl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合同履行</w:t>
      </w:r>
    </w:p>
    <w:p w14:paraId="4890FC30">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（1）起始日期：</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日，完成日期：</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w:t>
      </w:r>
    </w:p>
    <w:p w14:paraId="16914B0F">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eastAsia="zh-CN"/>
          <w14:textFill>
            <w14:solidFill>
              <w14:schemeClr w14:val="tx1"/>
            </w14:solidFill>
          </w14:textFill>
        </w:rPr>
        <w:t>履约</w:t>
      </w:r>
      <w:r>
        <w:rPr>
          <w:rFonts w:hint="eastAsia" w:ascii="仿宋" w:hAnsi="仿宋" w:eastAsia="仿宋" w:cs="仿宋"/>
          <w:color w:val="000000" w:themeColor="text1"/>
          <w:szCs w:val="21"/>
          <w:highlight w:val="none"/>
          <w14:textFill>
            <w14:solidFill>
              <w14:schemeClr w14:val="tx1"/>
            </w14:solidFill>
          </w14:textFill>
        </w:rPr>
        <w:t>地点</w:t>
      </w:r>
      <w:r>
        <w:rPr>
          <w:rFonts w:hint="eastAsia" w:ascii="仿宋" w:hAnsi="仿宋" w:eastAsia="仿宋" w:cs="仿宋"/>
          <w:b w:val="0"/>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4B060E86">
      <w:pPr>
        <w:adjustRightInd w:val="0"/>
        <w:snapToGrid w:val="0"/>
        <w:spacing w:before="0" w:beforeLines="0" w:line="400" w:lineRule="exact"/>
        <w:ind w:firstLine="420" w:firstLineChars="20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（3）履约担保：</w:t>
      </w:r>
      <w:r>
        <w:rPr>
          <w:rFonts w:hint="eastAsia" w:ascii="仿宋" w:hAnsi="仿宋" w:eastAsia="仿宋" w:cs="仿宋"/>
          <w:color w:val="000000" w:themeColor="text1"/>
          <w:sz w:val="21"/>
          <w:highlight w:val="none"/>
          <w:lang w:val="en-US" w:eastAsia="zh-CN"/>
          <w14:textFill>
            <w14:solidFill>
              <w14:schemeClr w14:val="tx1"/>
            </w14:solidFill>
          </w14:textFill>
        </w:rPr>
        <w:t>是否收取履约保证金：</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lang w:eastAsia="zh-CN"/>
          <w14:textFill>
            <w14:solidFill>
              <w14:schemeClr w14:val="tx1"/>
            </w14:solidFill>
          </w14:textFill>
        </w:rPr>
        <w:t>是</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lang w:eastAsia="zh-CN"/>
          <w14:textFill>
            <w14:solidFill>
              <w14:schemeClr w14:val="tx1"/>
            </w14:solidFill>
          </w14:textFill>
        </w:rPr>
        <w:t>否</w:t>
      </w:r>
    </w:p>
    <w:p w14:paraId="6C4FF003">
      <w:pPr>
        <w:pStyle w:val="966"/>
        <w:spacing w:beforeLines="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收取履约保证金形式：</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14:paraId="6AC598FE">
      <w:pPr>
        <w:pStyle w:val="966"/>
        <w:spacing w:beforeLines="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 xml:space="preserve">    收取履约保证金金额：</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14:paraId="43758832">
      <w:pPr>
        <w:snapToGrid w:val="0"/>
        <w:spacing w:beforeLines="0" w:line="400" w:lineRule="exact"/>
        <w:ind w:firstLine="420" w:firstLineChars="20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u w:val="none"/>
          <w:lang w:val="en-US" w:eastAsia="zh-CN"/>
          <w14:textFill>
            <w14:solidFill>
              <w14:schemeClr w14:val="tx1"/>
            </w14:solidFill>
          </w14:textFill>
        </w:rPr>
        <w:t xml:space="preserve">    履约担保期限</w:t>
      </w:r>
      <w:r>
        <w:rPr>
          <w:rFonts w:hint="eastAsia" w:ascii="仿宋" w:hAnsi="仿宋" w:eastAsia="仿宋" w:cs="仿宋"/>
          <w:bCs/>
          <w:color w:val="000000" w:themeColor="text1"/>
          <w:szCs w:val="21"/>
          <w:highlight w:val="none"/>
          <w:u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bCs/>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14:paraId="2DD0DF4C">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（4）分期履行要求：</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6588FD8D">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w:t>
      </w:r>
      <w:r>
        <w:rPr>
          <w:rFonts w:hint="eastAsia" w:ascii="仿宋" w:hAnsi="仿宋" w:eastAsia="仿宋" w:cs="仿宋"/>
          <w:bCs/>
          <w:color w:val="000000" w:themeColor="text1"/>
          <w:szCs w:val="21"/>
          <w:highlight w:val="none"/>
          <w:lang w:eastAsia="zh-CN"/>
          <w14:textFill>
            <w14:solidFill>
              <w14:schemeClr w14:val="tx1"/>
            </w14:solidFill>
          </w14:textFill>
        </w:rPr>
        <w:t>风险处置措施和替代方案</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520FDB20">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合同验收</w:t>
      </w:r>
    </w:p>
    <w:p w14:paraId="1D636D5F">
      <w:pPr>
        <w:numPr>
          <w:ilvl w:val="0"/>
          <w:numId w:val="3"/>
        </w:num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验收组织方式：</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自行组织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委托第三方组织</w:t>
      </w:r>
    </w:p>
    <w:p w14:paraId="7CF8B0FD">
      <w:pPr>
        <w:numPr>
          <w:ilvl w:val="0"/>
          <w:numId w:val="0"/>
        </w:numPr>
        <w:adjustRightInd w:val="0"/>
        <w:snapToGrid w:val="0"/>
        <w:spacing w:before="0" w:beforeLines="0" w:line="400" w:lineRule="exac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验收主体：</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5EEFEB52">
      <w:pPr>
        <w:adjustRightInd w:val="0"/>
        <w:snapToGrid w:val="0"/>
        <w:spacing w:before="0" w:beforeLines="0" w:line="400" w:lineRule="exact"/>
        <w:ind w:firstLine="0" w:firstLineChars="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是否邀请本项目的其他供应商</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1395F0E6">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是否邀请专家</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03DFA969">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是否邀请服务对象</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29CB8873">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是否邀请第三方检测机构</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1FA1D0A0">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eastAsia="zh-CN"/>
          <w14:textFill>
            <w14:solidFill>
              <w14:schemeClr w14:val="tx1"/>
            </w14:solidFill>
          </w14:textFill>
        </w:rPr>
        <w:t>是否进行抽查检测：</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是</w:t>
      </w:r>
      <w:r>
        <w:rPr>
          <w:rFonts w:hint="eastAsia" w:ascii="仿宋" w:hAnsi="仿宋" w:eastAsia="仿宋" w:cs="仿宋"/>
          <w:bCs/>
          <w:color w:val="000000" w:themeColor="text1"/>
          <w:szCs w:val="21"/>
          <w:highlight w:val="none"/>
          <w:lang w:eastAsia="zh-CN"/>
          <w14:textFill>
            <w14:solidFill>
              <w14:schemeClr w14:val="tx1"/>
            </w14:solidFill>
          </w14:textFill>
        </w:rPr>
        <w:t>，抽查比例：</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672EBA1E">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u w:val="single"/>
          <w:lang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是否存在破坏性检测：</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是</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u w:val="single"/>
          <w:lang w:eastAsia="zh-CN"/>
          <w14:textFill>
            <w14:solidFill>
              <w14:schemeClr w14:val="tx1"/>
            </w14:solidFill>
          </w14:textFill>
        </w:rPr>
        <w:t>（应明确对被破坏的检测产品的处理方式）</w:t>
      </w:r>
    </w:p>
    <w:p w14:paraId="4B74CA0B">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183B7B51">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验收组织的其他事项：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37EF8343">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（2）履约验收时间：</w:t>
      </w:r>
      <w:r>
        <w:rPr>
          <w:rFonts w:hint="eastAsia" w:ascii="仿宋" w:hAnsi="仿宋" w:eastAsia="仿宋" w:cs="仿宋"/>
          <w:bCs/>
          <w:color w:val="000000" w:themeColor="text1"/>
          <w:szCs w:val="21"/>
          <w:highlight w:val="none"/>
          <w:u w:val="single"/>
          <w14:textFill>
            <w14:solidFill>
              <w14:schemeClr w14:val="tx1"/>
            </w14:solidFill>
          </w14:textFill>
        </w:rPr>
        <w:t>（计划于何时验收/供应商提出验收申请之日起   日内组织验收）</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p>
    <w:p w14:paraId="7BA9BB8F">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（3）履约验收方式：</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一次性验收         </w:t>
      </w:r>
    </w:p>
    <w:p w14:paraId="6C6C1D68">
      <w:pPr>
        <w:adjustRightInd w:val="0"/>
        <w:snapToGrid w:val="0"/>
        <w:spacing w:before="0" w:beforeLines="0" w:line="400" w:lineRule="exact"/>
        <w:ind w:firstLine="0" w:firstLineChars="0"/>
        <w:rPr>
          <w:rFonts w:hint="eastAsia"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分期/分项验收</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eastAsia="zh-CN"/>
          <w14:textFill>
            <w14:solidFill>
              <w14:schemeClr w14:val="tx1"/>
            </w14:solidFill>
          </w14:textFill>
        </w:rPr>
        <w:t>（应明确分期</w:t>
      </w:r>
      <w:r>
        <w:rPr>
          <w:rFonts w:hint="eastAsia" w:ascii="仿宋" w:hAnsi="仿宋" w:eastAsia="仿宋" w:cs="仿宋"/>
          <w:bCs/>
          <w:color w:val="000000" w:themeColor="text1"/>
          <w:szCs w:val="21"/>
          <w:highlight w:val="none"/>
          <w:u w:val="single"/>
          <w:lang w:val="en" w:eastAsia="zh-CN"/>
          <w14:textFill>
            <w14:solidFill>
              <w14:schemeClr w14:val="tx1"/>
            </w14:solidFill>
          </w14:textFill>
        </w:rPr>
        <w:t>/分项验收的工作安排</w:t>
      </w:r>
      <w:r>
        <w:rPr>
          <w:rFonts w:hint="eastAsia" w:ascii="仿宋" w:hAnsi="仿宋" w:eastAsia="仿宋" w:cs="仿宋"/>
          <w:bCs/>
          <w:color w:val="000000" w:themeColor="text1"/>
          <w:szCs w:val="21"/>
          <w:highlight w:val="none"/>
          <w:u w:val="single"/>
          <w:lang w:eastAsia="zh-CN"/>
          <w14:textFill>
            <w14:solidFill>
              <w14:schemeClr w14:val="tx1"/>
            </w14:solidFill>
          </w14:textFill>
        </w:rPr>
        <w:t>）</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p>
    <w:p w14:paraId="218AA630">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（4）履约验收程序：</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22A3F41A">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（5）履约验收的内容：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eastAsia="zh-CN"/>
          <w14:textFill>
            <w14:solidFill>
              <w14:schemeClr w14:val="tx1"/>
            </w14:solidFill>
          </w14:textFill>
        </w:rPr>
        <w:t>（应当包括每一项技术和商务要求的履约情况，特别是落实政府采购扶持中小企业，支持绿色发展和乡村振兴等政策情况）</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2E1BC221">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（6）履约验收标准：</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2CBD0CE2">
      <w:pPr>
        <w:pStyle w:val="966"/>
        <w:spacing w:beforeLines="0"/>
        <w:rPr>
          <w:rFonts w:hint="eastAsia" w:ascii="仿宋" w:hAnsi="仿宋" w:eastAsia="仿宋" w:cs="仿宋"/>
          <w:color w:val="000000" w:themeColor="text1"/>
          <w:sz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u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u w:val="none"/>
          <w:lang w:val="en-US" w:eastAsia="zh-CN"/>
          <w14:textFill>
            <w14:solidFill>
              <w14:schemeClr w14:val="tx1"/>
            </w14:solidFill>
          </w14:textFill>
        </w:rPr>
        <w:t>7</w:t>
      </w:r>
      <w:r>
        <w:rPr>
          <w:rFonts w:hint="eastAsia" w:ascii="仿宋" w:hAnsi="仿宋" w:eastAsia="仿宋" w:cs="仿宋"/>
          <w:bCs/>
          <w:color w:val="000000" w:themeColor="text1"/>
          <w:sz w:val="21"/>
          <w:szCs w:val="21"/>
          <w:highlight w:val="none"/>
          <w:u w:val="none"/>
          <w:lang w:eastAsia="zh-CN"/>
          <w14:textFill>
            <w14:solidFill>
              <w14:schemeClr w14:val="tx1"/>
            </w14:solidFill>
          </w14:textFill>
        </w:rPr>
        <w:t>）是否以采购活动中供应商提供的样品作为参考：</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 w:val="2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 w:val="21"/>
          <w:szCs w:val="21"/>
          <w:highlight w:val="none"/>
          <w14:textFill>
            <w14:solidFill>
              <w14:schemeClr w14:val="tx1"/>
            </w14:solidFill>
          </w14:textFill>
        </w:rPr>
        <w:t>否</w:t>
      </w:r>
    </w:p>
    <w:p w14:paraId="62587469">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（8）履约验收其他事项：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i w:val="0"/>
          <w:iCs w:val="0"/>
          <w:color w:val="000000" w:themeColor="text1"/>
          <w:szCs w:val="21"/>
          <w:highlight w:val="none"/>
          <w:u w:val="single"/>
          <w14:textFill>
            <w14:solidFill>
              <w14:schemeClr w14:val="tx1"/>
            </w14:solidFill>
          </w14:textFill>
        </w:rPr>
        <w:t>（产权过户登记等）</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3C3703C2">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组成合同的文件</w:t>
      </w:r>
    </w:p>
    <w:p w14:paraId="7AF06097">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本协议书与下列文件一起构成合同文件，如下述文件之间有任何抵触、矛盾或歧义，应按以下顺序解释：</w:t>
      </w:r>
    </w:p>
    <w:p w14:paraId="58DD92F4">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政府采购</w:t>
      </w:r>
      <w:r>
        <w:rPr>
          <w:rFonts w:hint="eastAsia" w:ascii="仿宋" w:hAnsi="仿宋" w:eastAsia="仿宋" w:cs="仿宋"/>
          <w:color w:val="000000" w:themeColor="text1"/>
          <w:szCs w:val="21"/>
          <w:highlight w:val="none"/>
          <w14:textFill>
            <w14:solidFill>
              <w14:schemeClr w14:val="tx1"/>
            </w14:solidFill>
          </w14:textFill>
        </w:rPr>
        <w:t>合同协议书及其变更、补充</w:t>
      </w:r>
      <w:r>
        <w:rPr>
          <w:rFonts w:hint="eastAsia" w:ascii="仿宋" w:hAnsi="仿宋" w:eastAsia="仿宋" w:cs="仿宋"/>
          <w:color w:val="000000" w:themeColor="text1"/>
          <w:szCs w:val="21"/>
          <w:highlight w:val="none"/>
          <w:lang w:eastAsia="zh-CN"/>
          <w14:textFill>
            <w14:solidFill>
              <w14:schemeClr w14:val="tx1"/>
            </w14:solidFill>
          </w14:textFill>
        </w:rPr>
        <w:t>协议</w:t>
      </w:r>
    </w:p>
    <w:p w14:paraId="58788757">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）政府采购合同专用条款</w:t>
      </w:r>
    </w:p>
    <w:p w14:paraId="3CA80235">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）政府采购合同通用条款</w:t>
      </w:r>
    </w:p>
    <w:p w14:paraId="5E83BB84">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）中标</w:t>
      </w:r>
      <w:r>
        <w:rPr>
          <w:rFonts w:hint="eastAsia" w:ascii="仿宋" w:hAnsi="仿宋" w:eastAsia="仿宋" w:cs="仿宋"/>
          <w:color w:val="000000" w:themeColor="text1"/>
          <w:szCs w:val="21"/>
          <w:highlight w:val="none"/>
          <w:lang w:eastAsia="zh-CN"/>
          <w14:textFill>
            <w14:solidFill>
              <w14:schemeClr w14:val="tx1"/>
            </w14:solidFill>
          </w14:textFill>
        </w:rPr>
        <w:t>（成交）</w:t>
      </w:r>
      <w:r>
        <w:rPr>
          <w:rFonts w:hint="eastAsia" w:ascii="仿宋" w:hAnsi="仿宋" w:eastAsia="仿宋" w:cs="仿宋"/>
          <w:color w:val="000000" w:themeColor="text1"/>
          <w:szCs w:val="21"/>
          <w:highlight w:val="none"/>
          <w14:textFill>
            <w14:solidFill>
              <w14:schemeClr w14:val="tx1"/>
            </w14:solidFill>
          </w14:textFill>
        </w:rPr>
        <w:t>通知书</w:t>
      </w:r>
    </w:p>
    <w:p w14:paraId="223E4D75">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）投标（响应）文件</w:t>
      </w:r>
    </w:p>
    <w:p w14:paraId="2D91F319">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（6）采购文件</w:t>
      </w:r>
    </w:p>
    <w:p w14:paraId="7321A42B">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（7）有关技术文件，图纸</w:t>
      </w:r>
    </w:p>
    <w:p w14:paraId="656086D0">
      <w:pPr>
        <w:pStyle w:val="966"/>
        <w:spacing w:beforeLines="0"/>
        <w:rPr>
          <w:rFonts w:hint="eastAsia" w:ascii="仿宋" w:hAnsi="仿宋" w:eastAsia="仿宋" w:cs="仿宋"/>
          <w:color w:val="000000" w:themeColor="text1"/>
          <w:kern w:val="2"/>
          <w:sz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8</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BF7D589">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合同生效</w:t>
      </w:r>
    </w:p>
    <w:p w14:paraId="290B29B8">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本合同自</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生效。</w:t>
      </w:r>
    </w:p>
    <w:p w14:paraId="428BF15A">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合同份数</w:t>
      </w:r>
    </w:p>
    <w:p w14:paraId="7A888407">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本合同一式</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执</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w:t>
      </w:r>
      <w:r>
        <w:rPr>
          <w:rFonts w:hint="eastAsia" w:ascii="仿宋" w:hAnsi="仿宋" w:eastAsia="仿宋" w:cs="仿宋"/>
          <w:color w:val="000000" w:themeColor="text1"/>
          <w:szCs w:val="21"/>
          <w:highlight w:val="none"/>
          <w:lang w:eastAsia="zh-CN"/>
          <w14:textFill>
            <w14:solidFill>
              <w14:schemeClr w14:val="tx1"/>
            </w14:solidFill>
          </w14:textFill>
        </w:rPr>
        <w:t>乙方</w:t>
      </w:r>
      <w:r>
        <w:rPr>
          <w:rFonts w:hint="eastAsia" w:ascii="仿宋" w:hAnsi="仿宋" w:eastAsia="仿宋" w:cs="仿宋"/>
          <w:color w:val="000000" w:themeColor="text1"/>
          <w:szCs w:val="21"/>
          <w:highlight w:val="none"/>
          <w14:textFill>
            <w14:solidFill>
              <w14:schemeClr w14:val="tx1"/>
            </w14:solidFill>
          </w14:textFill>
        </w:rPr>
        <w:t>执</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份，均具有同等法律效力。</w:t>
      </w:r>
    </w:p>
    <w:p w14:paraId="46BECBB6">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合同订立时间：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w:t>
      </w:r>
    </w:p>
    <w:p w14:paraId="7035F2A6">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合同订立地点：</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47DA3959">
      <w:pPr>
        <w:adjustRightInd w:val="0"/>
        <w:snapToGrid w:val="0"/>
        <w:spacing w:before="0" w:beforeLines="0" w:line="400" w:lineRule="exact"/>
        <w:ind w:firstLine="42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附件：具体标</w:t>
      </w:r>
      <w:r>
        <w:rPr>
          <w:rFonts w:hint="eastAsia" w:ascii="仿宋" w:hAnsi="仿宋" w:eastAsia="仿宋" w:cs="仿宋"/>
          <w:color w:val="000000" w:themeColor="text1"/>
          <w:szCs w:val="21"/>
          <w:highlight w:val="none"/>
          <w:lang w:eastAsia="zh-CN"/>
          <w14:textFill>
            <w14:solidFill>
              <w14:schemeClr w14:val="tx1"/>
            </w14:solidFill>
          </w14:textFill>
        </w:rPr>
        <w:t>的及其</w:t>
      </w:r>
      <w:r>
        <w:rPr>
          <w:rFonts w:hint="eastAsia" w:ascii="仿宋" w:hAnsi="仿宋" w:eastAsia="仿宋" w:cs="仿宋"/>
          <w:color w:val="000000" w:themeColor="text1"/>
          <w:szCs w:val="21"/>
          <w:highlight w:val="none"/>
          <w:u w:val="none"/>
          <w:lang w:val="en-US" w:eastAsia="zh-CN"/>
          <w14:textFill>
            <w14:solidFill>
              <w14:schemeClr w14:val="tx1"/>
            </w14:solidFill>
          </w14:textFill>
        </w:rPr>
        <w:t>技术要求和商务要求</w:t>
      </w:r>
      <w:r>
        <w:rPr>
          <w:rFonts w:hint="eastAsia" w:ascii="仿宋" w:hAnsi="仿宋" w:eastAsia="仿宋" w:cs="仿宋"/>
          <w:color w:val="000000" w:themeColor="text1"/>
          <w:szCs w:val="21"/>
          <w:highlight w:val="none"/>
          <w14:textFill>
            <w14:solidFill>
              <w14:schemeClr w14:val="tx1"/>
            </w14:solidFill>
          </w14:textFill>
        </w:rPr>
        <w:t>、联合协议、分包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协议等。</w:t>
      </w:r>
    </w:p>
    <w:p w14:paraId="2D03A789">
      <w:pPr>
        <w:pStyle w:val="790"/>
        <w:spacing w:beforeLines="0" w:line="400" w:lineRule="exact"/>
        <w:rPr>
          <w:rFonts w:hint="eastAsia" w:ascii="仿宋" w:hAnsi="仿宋" w:eastAsia="仿宋" w:cs="仿宋"/>
          <w:color w:val="000000" w:themeColor="text1"/>
          <w:highlight w:val="none"/>
          <w14:textFill>
            <w14:solidFill>
              <w14:schemeClr w14:val="tx1"/>
            </w14:solidFill>
          </w14:textFill>
        </w:rPr>
      </w:pPr>
    </w:p>
    <w:p w14:paraId="675F3950">
      <w:pPr>
        <w:pStyle w:val="3"/>
        <w:spacing w:beforeLines="0" w:line="400" w:lineRule="exact"/>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
          <w14:textFill>
            <w14:solidFill>
              <w14:schemeClr w14:val="tx1"/>
            </w14:solidFill>
          </w14:textFill>
        </w:rPr>
        <w:t xml:space="preserve">   </w:t>
      </w:r>
    </w:p>
    <w:p w14:paraId="6A41167D">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09F37977">
      <w:pPr>
        <w:pStyle w:val="790"/>
        <w:rPr>
          <w:rFonts w:hint="eastAsia" w:ascii="仿宋" w:hAnsi="仿宋" w:eastAsia="仿宋" w:cs="仿宋"/>
          <w:color w:val="000000" w:themeColor="text1"/>
          <w:highlight w:val="none"/>
          <w14:textFill>
            <w14:solidFill>
              <w14:schemeClr w14:val="tx1"/>
            </w14:solidFill>
          </w14:textFill>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52854F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2908528">
            <w:pPr>
              <w:adjustRightInd w:val="0"/>
              <w:snapToGrid w:val="0"/>
              <w:spacing w:line="300" w:lineRule="exact"/>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甲方（采购人</w:t>
            </w:r>
            <w:r>
              <w:rPr>
                <w:rFonts w:hint="eastAsia" w:ascii="仿宋" w:hAnsi="仿宋" w:eastAsia="仿宋" w:cs="仿宋"/>
                <w:color w:val="000000" w:themeColor="text1"/>
                <w:szCs w:val="21"/>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szCs w:val="21"/>
                <w:highlight w:val="none"/>
                <w14:textFill>
                  <w14:solidFill>
                    <w14:schemeClr w14:val="tx1"/>
                  </w14:solidFill>
                </w14:textFill>
              </w:rPr>
              <w:t>或采购文件约定的合同甲方）</w:t>
            </w:r>
          </w:p>
        </w:tc>
        <w:tc>
          <w:tcPr>
            <w:tcW w:w="2437" w:type="pct"/>
            <w:gridSpan w:val="2"/>
            <w:tcBorders>
              <w:left w:val="single" w:color="auto" w:sz="2" w:space="0"/>
              <w:bottom w:val="single" w:color="auto" w:sz="2" w:space="0"/>
            </w:tcBorders>
            <w:noWrap w:val="0"/>
            <w:vAlign w:val="center"/>
          </w:tcPr>
          <w:p w14:paraId="09FCDF2C">
            <w:pPr>
              <w:adjustRightInd w:val="0"/>
              <w:snapToGrid w:val="0"/>
              <w:spacing w:line="300" w:lineRule="exact"/>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乙方（供应商）</w:t>
            </w:r>
          </w:p>
        </w:tc>
      </w:tr>
      <w:tr w14:paraId="0E2B14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FDFB554">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单位名称（公章</w:t>
            </w:r>
            <w:r>
              <w:rPr>
                <w:rFonts w:hint="eastAsia" w:ascii="仿宋" w:hAnsi="仿宋" w:eastAsia="仿宋" w:cs="仿宋"/>
                <w:color w:val="000000" w:themeColor="text1"/>
                <w:szCs w:val="21"/>
                <w:highlight w:val="none"/>
                <w:lang w:eastAsia="zh-CN"/>
                <w14:textFill>
                  <w14:solidFill>
                    <w14:schemeClr w14:val="tx1"/>
                  </w14:solidFill>
                </w14:textFill>
              </w:rPr>
              <w:t>或合同章</w:t>
            </w:r>
            <w:r>
              <w:rPr>
                <w:rFonts w:hint="eastAsia" w:ascii="仿宋" w:hAnsi="仿宋" w:eastAsia="仿宋" w:cs="仿宋"/>
                <w:color w:val="000000" w:themeColor="text1"/>
                <w:szCs w:val="21"/>
                <w:highlight w:val="none"/>
                <w14:textFill>
                  <w14:solidFill>
                    <w14:schemeClr w14:val="tx1"/>
                  </w14:solidFill>
                </w14:textFill>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7BE0FA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218727">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单位名称（公章</w:t>
            </w:r>
            <w:r>
              <w:rPr>
                <w:rFonts w:hint="eastAsia" w:ascii="仿宋" w:hAnsi="仿宋" w:eastAsia="仿宋" w:cs="仿宋"/>
                <w:color w:val="000000" w:themeColor="text1"/>
                <w:szCs w:val="21"/>
                <w:highlight w:val="none"/>
                <w:lang w:eastAsia="zh-CN"/>
                <w14:textFill>
                  <w14:solidFill>
                    <w14:schemeClr w14:val="tx1"/>
                  </w14:solidFill>
                </w14:textFill>
              </w:rPr>
              <w:t>或合同章</w:t>
            </w:r>
            <w:r>
              <w:rPr>
                <w:rFonts w:hint="eastAsia" w:ascii="仿宋" w:hAnsi="仿宋" w:eastAsia="仿宋" w:cs="仿宋"/>
                <w:color w:val="000000" w:themeColor="text1"/>
                <w:szCs w:val="21"/>
                <w:highlight w:val="none"/>
                <w14:textFill>
                  <w14:solidFill>
                    <w14:schemeClr w14:val="tx1"/>
                  </w14:solidFill>
                </w14:textFill>
              </w:rPr>
              <w:t>）</w:t>
            </w:r>
          </w:p>
        </w:tc>
        <w:tc>
          <w:tcPr>
            <w:tcW w:w="1259" w:type="pct"/>
            <w:tcBorders>
              <w:top w:val="single" w:color="auto" w:sz="2" w:space="0"/>
              <w:left w:val="single" w:color="auto" w:sz="2" w:space="0"/>
              <w:bottom w:val="single" w:color="auto" w:sz="2" w:space="0"/>
            </w:tcBorders>
            <w:noWrap w:val="0"/>
            <w:vAlign w:val="center"/>
          </w:tcPr>
          <w:p w14:paraId="76EF176C">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3C749B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0A7CCEE">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法定代表人</w:t>
            </w:r>
          </w:p>
          <w:p w14:paraId="7496DB43">
            <w:pPr>
              <w:adjustRightInd w:val="0"/>
              <w:snapToGrid w:val="0"/>
              <w:spacing w:line="300" w:lineRule="exact"/>
              <w:ind w:firstLine="100" w:firstLineChars="48"/>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23E333D6">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right w:val="single" w:color="auto" w:sz="2" w:space="0"/>
            </w:tcBorders>
            <w:noWrap w:val="0"/>
            <w:vAlign w:val="center"/>
          </w:tcPr>
          <w:p w14:paraId="38A412A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法定代表人</w:t>
            </w:r>
          </w:p>
          <w:p w14:paraId="6597AFD8">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noWrap w:val="0"/>
            <w:vAlign w:val="center"/>
          </w:tcPr>
          <w:p w14:paraId="11187CFF">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r>
      <w:tr w14:paraId="13AC88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52A2759F">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noWrap w:val="0"/>
            <w:vAlign w:val="center"/>
          </w:tcPr>
          <w:p w14:paraId="1B275A9B">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8075635">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noWrap w:val="0"/>
            <w:vAlign w:val="center"/>
          </w:tcPr>
          <w:p w14:paraId="53192FE9">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047D37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52B1783">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住</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1564B7B">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58CBA3">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住</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所</w:t>
            </w:r>
          </w:p>
        </w:tc>
        <w:tc>
          <w:tcPr>
            <w:tcW w:w="1259" w:type="pct"/>
            <w:tcBorders>
              <w:top w:val="single" w:color="auto" w:sz="2" w:space="0"/>
              <w:left w:val="single" w:color="auto" w:sz="2" w:space="0"/>
              <w:bottom w:val="single" w:color="auto" w:sz="2" w:space="0"/>
            </w:tcBorders>
            <w:noWrap w:val="0"/>
            <w:vAlign w:val="center"/>
          </w:tcPr>
          <w:p w14:paraId="7D937BE3">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2AF37E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92CCC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08AB734">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739CC3C">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noWrap w:val="0"/>
            <w:vAlign w:val="center"/>
          </w:tcPr>
          <w:p w14:paraId="2BB708C5">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114945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1BBE208">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5287D1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EDC9D5">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noWrap w:val="0"/>
            <w:vAlign w:val="center"/>
          </w:tcPr>
          <w:p w14:paraId="73723B88">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2AE7C9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2D6A806">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F6D9A05">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7A944E2">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noWrap w:val="0"/>
            <w:vAlign w:val="center"/>
          </w:tcPr>
          <w:p w14:paraId="67497C38">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294003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02A9B6C">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9653FD">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232763">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noWrap w:val="0"/>
            <w:vAlign w:val="center"/>
          </w:tcPr>
          <w:p w14:paraId="366F75AE">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5B79B0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EFB00C9">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2F12E9">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FCE08B">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noWrap w:val="0"/>
            <w:vAlign w:val="center"/>
          </w:tcPr>
          <w:p w14:paraId="5E90F544">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6810BD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18055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F3575A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0AF8EE">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noWrap w:val="0"/>
            <w:vAlign w:val="center"/>
          </w:tcPr>
          <w:p w14:paraId="7825724C">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1D7831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B60702E">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4B94ED2">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4EB772">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noWrap w:val="0"/>
            <w:vAlign w:val="center"/>
          </w:tcPr>
          <w:p w14:paraId="128C621E">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33C5A9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1444BC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EBD2AA0">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EC660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noWrap w:val="0"/>
            <w:vAlign w:val="center"/>
          </w:tcPr>
          <w:p w14:paraId="4BFF2E36">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71078B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1857964">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22379F">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3D7D73D">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noWrap w:val="0"/>
            <w:vAlign w:val="center"/>
          </w:tcPr>
          <w:p w14:paraId="3694CF0E">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4270EE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1FA558DC">
            <w:pPr>
              <w:pStyle w:val="24"/>
              <w:adjustRightInd w:val="0"/>
              <w:snapToGrid w:val="0"/>
              <w:spacing w:before="156" w:beforeLines="50" w:after="0" w:line="360" w:lineRule="auto"/>
              <w:ind w:left="0" w:leftChars="0"/>
              <w:jc w:val="left"/>
              <w:rPr>
                <w:rFonts w:hint="eastAsia" w:ascii="仿宋" w:hAnsi="仿宋" w:eastAsia="仿宋" w:cs="仿宋"/>
                <w:color w:val="000000" w:themeColor="text1"/>
                <w:spacing w:val="2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注：涉及联合体或其他合同主体的信息应按上表格式加列。</w:t>
            </w:r>
          </w:p>
        </w:tc>
      </w:tr>
    </w:tbl>
    <w:p w14:paraId="72EEB291">
      <w:pPr>
        <w:pStyle w:val="3"/>
        <w:adjustRightInd w:val="0"/>
        <w:snapToGrid w:val="0"/>
        <w:spacing w:before="156" w:beforeLines="50"/>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1"/>
          <w:szCs w:val="21"/>
          <w:highlight w:val="none"/>
          <w:u w:val="single"/>
          <w14:textFill>
            <w14:solidFill>
              <w14:schemeClr w14:val="tx1"/>
            </w14:solidFill>
          </w14:textFill>
        </w:rPr>
        <w:br w:type="page"/>
      </w:r>
      <w:bookmarkStart w:id="41" w:name="_Toc27624"/>
      <w:r>
        <w:rPr>
          <w:rFonts w:hint="eastAsia" w:ascii="仿宋" w:hAnsi="仿宋" w:eastAsia="仿宋" w:cs="仿宋"/>
          <w:b w:val="0"/>
          <w:bCs w:val="0"/>
          <w:color w:val="000000" w:themeColor="text1"/>
          <w:sz w:val="28"/>
          <w:szCs w:val="28"/>
          <w:highlight w:val="none"/>
          <w14:textFill>
            <w14:solidFill>
              <w14:schemeClr w14:val="tx1"/>
            </w14:solidFill>
          </w14:textFill>
        </w:rPr>
        <w:t>第二节 政府采购合同通用条款</w:t>
      </w:r>
      <w:bookmarkEnd w:id="41"/>
    </w:p>
    <w:p w14:paraId="2E68A488">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定义</w:t>
      </w:r>
    </w:p>
    <w:p w14:paraId="4E96E861">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51D8A97E">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（1）采购人（以下称甲方）是指使用财政性资金，通过政府采购方式向供应商购买货物</w:t>
      </w:r>
      <w:r>
        <w:rPr>
          <w:rFonts w:hint="eastAsia" w:ascii="仿宋" w:hAnsi="仿宋" w:eastAsia="仿宋" w:cs="仿宋"/>
          <w:color w:val="000000" w:themeColor="text1"/>
          <w:szCs w:val="21"/>
          <w:highlight w:val="none"/>
          <w:lang w:val="en-US" w:eastAsia="zh-CN"/>
          <w14:textFill>
            <w14:solidFill>
              <w14:schemeClr w14:val="tx1"/>
            </w14:solidFill>
          </w14:textFill>
        </w:rPr>
        <w:t>及其相关服务的</w:t>
      </w:r>
      <w:r>
        <w:rPr>
          <w:rFonts w:hint="eastAsia" w:ascii="仿宋" w:hAnsi="仿宋" w:eastAsia="仿宋" w:cs="仿宋"/>
          <w:color w:val="000000" w:themeColor="text1"/>
          <w:szCs w:val="21"/>
          <w:highlight w:val="none"/>
          <w14:textFill>
            <w14:solidFill>
              <w14:schemeClr w14:val="tx1"/>
            </w14:solidFill>
          </w14:textFill>
        </w:rPr>
        <w:t>国家机关、事业单位、团体组织。</w:t>
      </w:r>
    </w:p>
    <w:p w14:paraId="050FED0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（2）供应商（以下称</w:t>
      </w:r>
      <w:r>
        <w:rPr>
          <w:rFonts w:hint="eastAsia" w:ascii="仿宋" w:hAnsi="仿宋" w:eastAsia="仿宋" w:cs="仿宋"/>
          <w:color w:val="000000" w:themeColor="text1"/>
          <w:szCs w:val="21"/>
          <w:highlight w:val="none"/>
          <w:lang w:eastAsia="zh-CN"/>
          <w14:textFill>
            <w14:solidFill>
              <w14:schemeClr w14:val="tx1"/>
            </w14:solidFill>
          </w14:textFill>
        </w:rPr>
        <w:t>乙</w:t>
      </w:r>
      <w:r>
        <w:rPr>
          <w:rFonts w:hint="eastAsia" w:ascii="仿宋" w:hAnsi="仿宋" w:eastAsia="仿宋" w:cs="仿宋"/>
          <w:color w:val="000000" w:themeColor="text1"/>
          <w:szCs w:val="21"/>
          <w:highlight w:val="none"/>
          <w14:textFill>
            <w14:solidFill>
              <w14:schemeClr w14:val="tx1"/>
            </w14:solidFill>
          </w14:textFill>
        </w:rPr>
        <w:t>方）是指参加政府采购活动并且中标（成交），向采购人提供</w:t>
      </w:r>
      <w:r>
        <w:rPr>
          <w:rFonts w:hint="eastAsia" w:ascii="仿宋" w:hAnsi="仿宋" w:eastAsia="仿宋" w:cs="仿宋"/>
          <w:color w:val="000000" w:themeColor="text1"/>
          <w:szCs w:val="21"/>
          <w:highlight w:val="none"/>
          <w:lang w:val="en-US" w:eastAsia="zh-CN"/>
          <w14:textFill>
            <w14:solidFill>
              <w14:schemeClr w14:val="tx1"/>
            </w14:solidFill>
          </w14:textFill>
        </w:rPr>
        <w:t>合同约定的货物及其相关服务的法人、非法人组织或者自然人</w:t>
      </w:r>
      <w:r>
        <w:rPr>
          <w:rFonts w:hint="eastAsia" w:ascii="仿宋" w:hAnsi="仿宋" w:eastAsia="仿宋" w:cs="仿宋"/>
          <w:color w:val="000000" w:themeColor="text1"/>
          <w:szCs w:val="21"/>
          <w:highlight w:val="none"/>
          <w14:textFill>
            <w14:solidFill>
              <w14:schemeClr w14:val="tx1"/>
            </w14:solidFill>
          </w14:textFill>
        </w:rPr>
        <w:t>。</w:t>
      </w:r>
    </w:p>
    <w:p w14:paraId="777C831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highlight w:val="none"/>
          <w14:textFill>
            <w14:solidFill>
              <w14:schemeClr w14:val="tx1"/>
            </w14:solidFill>
          </w14:textFill>
        </w:rPr>
        <w:t>。</w:t>
      </w:r>
    </w:p>
    <w:p w14:paraId="2EA88A3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1.2本合同下列术语应解释为：</w:t>
      </w:r>
    </w:p>
    <w:p w14:paraId="43F5C7E7">
      <w:pPr>
        <w:adjustRightInd w:val="0"/>
        <w:snapToGrid w:val="0"/>
        <w:spacing w:before="0" w:beforeLines="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highlight w:val="none"/>
          <w:lang w:eastAsia="zh-CN"/>
          <w14:textFill>
            <w14:solidFill>
              <w14:schemeClr w14:val="tx1"/>
            </w14:solidFill>
          </w14:textFill>
        </w:rPr>
        <w:t>政府采购</w:t>
      </w:r>
      <w:r>
        <w:rPr>
          <w:rFonts w:hint="eastAsia" w:ascii="仿宋" w:hAnsi="仿宋" w:eastAsia="仿宋" w:cs="仿宋"/>
          <w:color w:val="000000" w:themeColor="text1"/>
          <w:szCs w:val="21"/>
          <w:highlight w:val="none"/>
          <w14:textFill>
            <w14:solidFill>
              <w14:schemeClr w14:val="tx1"/>
            </w14:solidFill>
          </w14:textFill>
        </w:rPr>
        <w:t>合同协议书及其变更、补充</w:t>
      </w:r>
      <w:r>
        <w:rPr>
          <w:rFonts w:hint="eastAsia" w:ascii="仿宋" w:hAnsi="仿宋" w:eastAsia="仿宋" w:cs="仿宋"/>
          <w:color w:val="000000" w:themeColor="text1"/>
          <w:szCs w:val="21"/>
          <w:highlight w:val="none"/>
          <w:lang w:eastAsia="zh-CN"/>
          <w14:textFill>
            <w14:solidFill>
              <w14:schemeClr w14:val="tx1"/>
            </w14:solidFill>
          </w14:textFill>
        </w:rPr>
        <w:t>协议，</w:t>
      </w:r>
      <w:r>
        <w:rPr>
          <w:rFonts w:hint="eastAsia" w:ascii="仿宋" w:hAnsi="仿宋" w:eastAsia="仿宋" w:cs="仿宋"/>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政府采购合同通用条款</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中标</w:t>
      </w:r>
      <w:r>
        <w:rPr>
          <w:rFonts w:hint="eastAsia" w:ascii="仿宋" w:hAnsi="仿宋" w:eastAsia="仿宋" w:cs="仿宋"/>
          <w:color w:val="000000" w:themeColor="text1"/>
          <w:szCs w:val="21"/>
          <w:highlight w:val="none"/>
          <w:lang w:eastAsia="zh-CN"/>
          <w14:textFill>
            <w14:solidFill>
              <w14:schemeClr w14:val="tx1"/>
            </w14:solidFill>
          </w14:textFill>
        </w:rPr>
        <w:t>（成交）</w:t>
      </w:r>
      <w:r>
        <w:rPr>
          <w:rFonts w:hint="eastAsia" w:ascii="仿宋" w:hAnsi="仿宋" w:eastAsia="仿宋" w:cs="仿宋"/>
          <w:color w:val="000000" w:themeColor="text1"/>
          <w:szCs w:val="21"/>
          <w:highlight w:val="none"/>
          <w14:textFill>
            <w14:solidFill>
              <w14:schemeClr w14:val="tx1"/>
            </w14:solidFill>
          </w14:textFill>
        </w:rPr>
        <w:t>通知书</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投标（响应）文件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采购文件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有关技术文件</w:t>
      </w:r>
      <w:r>
        <w:rPr>
          <w:rFonts w:hint="eastAsia" w:ascii="仿宋" w:hAnsi="仿宋" w:eastAsia="仿宋" w:cs="仿宋"/>
          <w:color w:val="000000" w:themeColor="text1"/>
          <w:szCs w:val="21"/>
          <w:highlight w:val="none"/>
          <w:lang w:eastAsia="zh-CN"/>
          <w14:textFill>
            <w14:solidFill>
              <w14:schemeClr w14:val="tx1"/>
            </w14:solidFill>
          </w14:textFill>
        </w:rPr>
        <w:t>和</w:t>
      </w:r>
      <w:r>
        <w:rPr>
          <w:rFonts w:hint="eastAsia" w:ascii="仿宋" w:hAnsi="仿宋" w:eastAsia="仿宋" w:cs="仿宋"/>
          <w:color w:val="000000" w:themeColor="text1"/>
          <w:szCs w:val="21"/>
          <w:highlight w:val="none"/>
          <w14:textFill>
            <w14:solidFill>
              <w14:schemeClr w14:val="tx1"/>
            </w14:solidFill>
          </w14:textFill>
        </w:rPr>
        <w:t>图纸</w:t>
      </w:r>
      <w:r>
        <w:rPr>
          <w:rFonts w:hint="eastAsia" w:ascii="仿宋" w:hAnsi="仿宋" w:eastAsia="仿宋" w:cs="仿宋"/>
          <w:color w:val="000000" w:themeColor="text1"/>
          <w:szCs w:val="21"/>
          <w:highlight w:val="none"/>
          <w:lang w:eastAsia="zh-CN"/>
          <w14:textFill>
            <w14:solidFill>
              <w14:schemeClr w14:val="tx1"/>
            </w14:solidFill>
          </w14:textFill>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000000" w:themeColor="text1"/>
          <w:szCs w:val="21"/>
          <w:highlight w:val="none"/>
          <w14:textFill>
            <w14:solidFill>
              <w14:schemeClr w14:val="tx1"/>
            </w14:solidFill>
          </w14:textFill>
        </w:rPr>
        <w:t>。</w:t>
      </w:r>
    </w:p>
    <w:p w14:paraId="6A9B4B08">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）“合同价</w:t>
      </w:r>
      <w:r>
        <w:rPr>
          <w:rFonts w:hint="eastAsia" w:ascii="仿宋" w:hAnsi="仿宋" w:eastAsia="仿宋" w:cs="仿宋"/>
          <w:color w:val="000000" w:themeColor="text1"/>
          <w:szCs w:val="21"/>
          <w:highlight w:val="none"/>
          <w:lang w:val="en-US" w:eastAsia="zh-CN"/>
          <w14:textFill>
            <w14:solidFill>
              <w14:schemeClr w14:val="tx1"/>
            </w14:solidFill>
          </w14:textFill>
        </w:rPr>
        <w:t>款</w:t>
      </w:r>
      <w:r>
        <w:rPr>
          <w:rFonts w:hint="eastAsia" w:ascii="仿宋" w:hAnsi="仿宋" w:eastAsia="仿宋" w:cs="仿宋"/>
          <w:color w:val="000000" w:themeColor="text1"/>
          <w:szCs w:val="21"/>
          <w:highlight w:val="none"/>
          <w14:textFill>
            <w14:solidFill>
              <w14:schemeClr w14:val="tx1"/>
            </w14:solidFill>
          </w14:textFill>
        </w:rPr>
        <w:t>”系指根据本合同规定乙方在全面履行合同义务后甲方应支付给乙方的价款。</w:t>
      </w:r>
    </w:p>
    <w:p w14:paraId="69D1C77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14:paraId="3753083A">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203477D4">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14:paraId="0827B68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）“联合体”系指</w:t>
      </w:r>
      <w:r>
        <w:rPr>
          <w:rFonts w:hint="eastAsia" w:ascii="仿宋" w:hAnsi="仿宋" w:eastAsia="仿宋" w:cs="仿宋"/>
          <w:color w:val="000000" w:themeColor="text1"/>
          <w:szCs w:val="21"/>
          <w:highlight w:val="none"/>
          <w:lang w:eastAsia="zh-CN"/>
          <w14:textFill>
            <w14:solidFill>
              <w14:schemeClr w14:val="tx1"/>
            </w14:solidFill>
          </w14:textFill>
        </w:rPr>
        <w:t>由</w:t>
      </w:r>
      <w:r>
        <w:rPr>
          <w:rFonts w:hint="eastAsia" w:ascii="仿宋" w:hAnsi="仿宋" w:eastAsia="仿宋" w:cs="仿宋"/>
          <w:color w:val="000000" w:themeColor="text1"/>
          <w:szCs w:val="21"/>
          <w:highlight w:val="none"/>
          <w14:textFill>
            <w14:solidFill>
              <w14:schemeClr w14:val="tx1"/>
            </w14:solidFill>
          </w14:textFill>
        </w:rPr>
        <w:t>两个以上的自然人、法人或者</w:t>
      </w:r>
      <w:r>
        <w:rPr>
          <w:rFonts w:hint="eastAsia" w:ascii="仿宋" w:hAnsi="仿宋" w:eastAsia="仿宋" w:cs="仿宋"/>
          <w:color w:val="000000" w:themeColor="text1"/>
          <w:szCs w:val="21"/>
          <w:highlight w:val="none"/>
          <w:lang w:val="en-US" w:eastAsia="zh-CN"/>
          <w14:textFill>
            <w14:solidFill>
              <w14:schemeClr w14:val="tx1"/>
            </w14:solidFill>
          </w14:textFill>
        </w:rPr>
        <w:t>非法人</w:t>
      </w:r>
      <w:r>
        <w:rPr>
          <w:rFonts w:hint="eastAsia" w:ascii="仿宋" w:hAnsi="仿宋" w:eastAsia="仿宋" w:cs="仿宋"/>
          <w:color w:val="000000" w:themeColor="text1"/>
          <w:szCs w:val="21"/>
          <w:highlight w:val="none"/>
          <w14:textFill>
            <w14:solidFill>
              <w14:schemeClr w14:val="tx1"/>
            </w14:solidFill>
          </w14:textFill>
        </w:rPr>
        <w:t>组织组成，</w:t>
      </w:r>
      <w:r>
        <w:rPr>
          <w:rFonts w:hint="eastAsia" w:ascii="仿宋" w:hAnsi="仿宋" w:eastAsia="仿宋" w:cs="仿宋"/>
          <w:color w:val="000000" w:themeColor="text1"/>
          <w:szCs w:val="21"/>
          <w:highlight w:val="none"/>
          <w:lang w:eastAsia="zh-CN"/>
          <w14:textFill>
            <w14:solidFill>
              <w14:schemeClr w14:val="tx1"/>
            </w14:solidFill>
          </w14:textFill>
        </w:rPr>
        <w:t>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6E6D214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03A07176">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171774AA">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56858B05">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14:paraId="4A6DBC18">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.1 乙方应当在约定的时间、地点</w:t>
      </w:r>
      <w:r>
        <w:rPr>
          <w:rFonts w:hint="eastAsia" w:ascii="仿宋" w:hAnsi="仿宋" w:eastAsia="仿宋" w:cs="仿宋"/>
          <w:color w:val="000000" w:themeColor="text1"/>
          <w:szCs w:val="21"/>
          <w:highlight w:val="none"/>
          <w:lang w:eastAsia="zh-CN"/>
          <w14:textFill>
            <w14:solidFill>
              <w14:schemeClr w14:val="tx1"/>
            </w14:solidFill>
          </w14:textFill>
        </w:rPr>
        <w:t>，按照约定</w:t>
      </w:r>
      <w:r>
        <w:rPr>
          <w:rFonts w:hint="eastAsia" w:ascii="仿宋" w:hAnsi="仿宋" w:eastAsia="仿宋" w:cs="仿宋"/>
          <w:color w:val="000000" w:themeColor="text1"/>
          <w:szCs w:val="21"/>
          <w:highlight w:val="none"/>
          <w14:textFill>
            <w14:solidFill>
              <w14:schemeClr w14:val="tx1"/>
            </w14:solidFill>
          </w14:textFill>
        </w:rPr>
        <w:t>方式履行合同。</w:t>
      </w:r>
    </w:p>
    <w:p w14:paraId="12B0CCE7">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14:paraId="3FFB0A2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4D86F45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0F53DAD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14:paraId="14B491EE">
      <w:pPr>
        <w:snapToGrid w:val="0"/>
        <w:spacing w:line="400" w:lineRule="exact"/>
        <w:ind w:firstLine="42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color w:val="000000" w:themeColor="text1"/>
          <w:szCs w:val="21"/>
          <w:highlight w:val="none"/>
          <w:lang w:eastAsia="zh-CN"/>
          <w14:textFill>
            <w14:solidFill>
              <w14:schemeClr w14:val="tx1"/>
            </w14:solidFill>
          </w14:textFill>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21"/>
          <w:highlight w:val="none"/>
          <w:lang w:eastAsia="zh-CN"/>
          <w14:textFill>
            <w14:solidFill>
              <w14:schemeClr w14:val="tx1"/>
            </w14:solidFill>
          </w14:textFill>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14:paraId="1B5EC2A7">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14:paraId="0011BC0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14:paraId="7176C3C1">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14:paraId="0A5E39B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 签署合同后，乙方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w:t>
      </w:r>
    </w:p>
    <w:p w14:paraId="63A7759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Cs w:val="21"/>
          <w:highlight w:val="none"/>
          <w:lang w:eastAsia="zh-CN"/>
          <w14:textFill>
            <w14:solidFill>
              <w14:schemeClr w14:val="tx1"/>
            </w14:solidFill>
          </w14:textFill>
        </w:rPr>
        <w:t>及相关</w:t>
      </w:r>
      <w:r>
        <w:rPr>
          <w:rFonts w:hint="eastAsia" w:ascii="仿宋" w:hAnsi="仿宋" w:eastAsia="仿宋" w:cs="仿宋"/>
          <w:color w:val="000000" w:themeColor="text1"/>
          <w:szCs w:val="21"/>
          <w:highlight w:val="none"/>
          <w14:textFill>
            <w14:solidFill>
              <w14:schemeClr w14:val="tx1"/>
            </w14:solidFill>
          </w14:textFill>
        </w:rPr>
        <w:t>服务符合合同</w:t>
      </w:r>
      <w:r>
        <w:rPr>
          <w:rFonts w:hint="eastAsia" w:ascii="仿宋" w:hAnsi="仿宋" w:eastAsia="仿宋" w:cs="仿宋"/>
          <w:color w:val="000000" w:themeColor="text1"/>
          <w:szCs w:val="21"/>
          <w:highlight w:val="none"/>
          <w:lang w:eastAsia="zh-CN"/>
          <w14:textFill>
            <w14:solidFill>
              <w14:schemeClr w14:val="tx1"/>
            </w14:solidFill>
          </w14:textFill>
        </w:rPr>
        <w:t>有关</w:t>
      </w:r>
      <w:r>
        <w:rPr>
          <w:rFonts w:hint="eastAsia" w:ascii="仿宋" w:hAnsi="仿宋" w:eastAsia="仿宋" w:cs="仿宋"/>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Cs w:val="21"/>
          <w:highlight w:val="none"/>
          <w:lang w:eastAsia="zh-CN"/>
          <w14:textFill>
            <w14:solidFill>
              <w14:schemeClr w14:val="tx1"/>
            </w14:solidFill>
          </w14:textFill>
        </w:rPr>
        <w:t>及验收</w:t>
      </w:r>
      <w:r>
        <w:rPr>
          <w:rFonts w:hint="eastAsia" w:ascii="仿宋" w:hAnsi="仿宋" w:eastAsia="仿宋" w:cs="仿宋"/>
          <w:color w:val="000000" w:themeColor="text1"/>
          <w:szCs w:val="21"/>
          <w:highlight w:val="none"/>
          <w14:textFill>
            <w14:solidFill>
              <w14:schemeClr w14:val="tx1"/>
            </w14:solidFill>
          </w14:textFill>
        </w:rPr>
        <w:t>，并负责项目实施过程中的所有协调工作。</w:t>
      </w:r>
    </w:p>
    <w:p w14:paraId="08B12060">
      <w:pPr>
        <w:pStyle w:val="23"/>
        <w:spacing w:after="0" w:line="400" w:lineRule="exact"/>
        <w:ind w:firstLine="422"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Cs w:val="21"/>
          <w:highlight w:val="none"/>
          <w:lang w:eastAsia="zh-CN"/>
          <w14:textFill>
            <w14:solidFill>
              <w14:schemeClr w14:val="tx1"/>
            </w14:solidFill>
          </w14:textFill>
        </w:rPr>
        <w:t>合同价款</w:t>
      </w:r>
      <w:r>
        <w:rPr>
          <w:rFonts w:hint="eastAsia" w:ascii="仿宋" w:hAnsi="仿宋" w:eastAsia="仿宋" w:cs="仿宋"/>
          <w:color w:val="000000" w:themeColor="text1"/>
          <w:szCs w:val="21"/>
          <w:highlight w:val="none"/>
          <w14:textFill>
            <w14:solidFill>
              <w14:schemeClr w14:val="tx1"/>
            </w14:solidFill>
          </w14:textFill>
        </w:rPr>
        <w:t>。</w:t>
      </w:r>
    </w:p>
    <w:p w14:paraId="5D9E216D">
      <w:pPr>
        <w:pStyle w:val="23"/>
        <w:spacing w:after="0" w:line="400" w:lineRule="exact"/>
        <w:ind w:firstLine="422"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.4国家法律法规规定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25C49EF3">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14:paraId="5D5939B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01BBE55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150C8355">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14:paraId="29FF89C9">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7D3DD8A4">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14:paraId="3F3B8996">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342EC09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14:paraId="7C5E43F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themeColor="text1"/>
          <w:szCs w:val="21"/>
          <w:highlight w:val="none"/>
          <w14:textFill>
            <w14:solidFill>
              <w14:schemeClr w14:val="tx1"/>
            </w14:solidFill>
          </w14:textFill>
        </w:rPr>
        <w:t>乙方在运输到达之前</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提前通知</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，并提示货物运输装卸的注意事项</w:t>
      </w:r>
      <w:r>
        <w:rPr>
          <w:rFonts w:hint="eastAsia" w:ascii="仿宋" w:hAnsi="仿宋" w:eastAsia="仿宋" w:cs="仿宋"/>
          <w:color w:val="000000" w:themeColor="text1"/>
          <w:szCs w:val="21"/>
          <w:highlight w:val="none"/>
          <w:lang w:eastAsia="zh-CN"/>
          <w14:textFill>
            <w14:solidFill>
              <w14:schemeClr w14:val="tx1"/>
            </w14:solidFill>
          </w14:textFill>
        </w:rPr>
        <w:t>，甲方配合乙方做好货物的接收工作。</w:t>
      </w:r>
    </w:p>
    <w:p w14:paraId="1F20D12C">
      <w:pPr>
        <w:pStyle w:val="966"/>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themeColor="text1"/>
          <w:kern w:val="2"/>
          <w:sz w:val="21"/>
          <w:szCs w:val="21"/>
          <w:highlight w:val="none"/>
          <w14:textFill>
            <w14:solidFill>
              <w14:schemeClr w14:val="tx1"/>
            </w14:solidFill>
          </w14:textFill>
        </w:rPr>
        <w:t>如因包装</w:t>
      </w:r>
      <w:r>
        <w:rPr>
          <w:rFonts w:hint="eastAsia" w:ascii="仿宋" w:hAnsi="仿宋" w:eastAsia="仿宋" w:cs="仿宋"/>
          <w:color w:val="000000" w:themeColor="text1"/>
          <w:kern w:val="2"/>
          <w:sz w:val="21"/>
          <w:szCs w:val="21"/>
          <w:highlight w:val="none"/>
          <w:lang w:eastAsia="zh-CN"/>
          <w14:textFill>
            <w14:solidFill>
              <w14:schemeClr w14:val="tx1"/>
            </w14:solidFill>
          </w14:textFill>
        </w:rPr>
        <w:t>、运输</w:t>
      </w:r>
      <w:r>
        <w:rPr>
          <w:rFonts w:hint="eastAsia" w:ascii="仿宋" w:hAnsi="仿宋" w:eastAsia="仿宋" w:cs="仿宋"/>
          <w:color w:val="000000" w:themeColor="text1"/>
          <w:kern w:val="2"/>
          <w:sz w:val="21"/>
          <w:szCs w:val="21"/>
          <w:highlight w:val="none"/>
          <w14:textFill>
            <w14:solidFill>
              <w14:schemeClr w14:val="tx1"/>
            </w14:solidFill>
          </w14:textFill>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themeColor="text1"/>
          <w:kern w:val="2"/>
          <w:sz w:val="21"/>
          <w:szCs w:val="21"/>
          <w:highlight w:val="none"/>
          <w14:textFill>
            <w14:solidFill>
              <w14:schemeClr w14:val="tx1"/>
            </w14:solidFill>
          </w14:textFill>
        </w:rPr>
        <w:t>或者品质下降，</w:t>
      </w:r>
      <w:r>
        <w:rPr>
          <w:rFonts w:hint="eastAsia" w:ascii="仿宋" w:hAnsi="仿宋" w:eastAsia="仿宋" w:cs="仿宋"/>
          <w:color w:val="000000" w:themeColor="text1"/>
          <w:kern w:val="2"/>
          <w:sz w:val="21"/>
          <w:szCs w:val="21"/>
          <w:highlight w:val="none"/>
          <w:lang w:eastAsia="zh-CN"/>
          <w14:textFill>
            <w14:solidFill>
              <w14:schemeClr w14:val="tx1"/>
            </w14:solidFill>
          </w14:textFill>
        </w:rPr>
        <w:t>甲方</w:t>
      </w:r>
      <w:r>
        <w:rPr>
          <w:rFonts w:hint="eastAsia" w:ascii="仿宋" w:hAnsi="仿宋" w:eastAsia="仿宋" w:cs="仿宋"/>
          <w:color w:val="000000" w:themeColor="text1"/>
          <w:kern w:val="2"/>
          <w:sz w:val="21"/>
          <w:szCs w:val="21"/>
          <w:highlight w:val="none"/>
          <w14:textFill>
            <w14:solidFill>
              <w14:schemeClr w14:val="tx1"/>
            </w14:solidFill>
          </w14:textFill>
        </w:rPr>
        <w:t>有权要求降价、换货、拒收部分或整批货物，由此</w:t>
      </w:r>
      <w:r>
        <w:rPr>
          <w:rFonts w:hint="eastAsia" w:ascii="仿宋" w:hAnsi="仿宋" w:eastAsia="仿宋" w:cs="仿宋"/>
          <w:color w:val="000000" w:themeColor="text1"/>
          <w:kern w:val="2"/>
          <w:sz w:val="21"/>
          <w:szCs w:val="21"/>
          <w:highlight w:val="none"/>
          <w:lang w:eastAsia="zh-CN"/>
          <w14:textFill>
            <w14:solidFill>
              <w14:schemeClr w14:val="tx1"/>
            </w14:solidFill>
          </w14:textFill>
        </w:rPr>
        <w:t>产生</w:t>
      </w:r>
      <w:r>
        <w:rPr>
          <w:rFonts w:hint="eastAsia" w:ascii="仿宋" w:hAnsi="仿宋" w:eastAsia="仿宋" w:cs="仿宋"/>
          <w:color w:val="000000" w:themeColor="text1"/>
          <w:kern w:val="2"/>
          <w:sz w:val="21"/>
          <w:szCs w:val="21"/>
          <w:highlight w:val="none"/>
          <w14:textFill>
            <w14:solidFill>
              <w14:schemeClr w14:val="tx1"/>
            </w14:solidFill>
          </w14:textFill>
        </w:rPr>
        <w:t>的费用和损失，均由</w:t>
      </w:r>
      <w:r>
        <w:rPr>
          <w:rFonts w:hint="eastAsia" w:ascii="仿宋" w:hAnsi="仿宋" w:eastAsia="仿宋" w:cs="仿宋"/>
          <w:color w:val="000000" w:themeColor="text1"/>
          <w:kern w:val="2"/>
          <w:sz w:val="21"/>
          <w:szCs w:val="21"/>
          <w:highlight w:val="none"/>
          <w:lang w:eastAsia="zh-CN"/>
          <w14:textFill>
            <w14:solidFill>
              <w14:schemeClr w14:val="tx1"/>
            </w14:solidFill>
          </w14:textFill>
        </w:rPr>
        <w:t>乙方</w:t>
      </w:r>
      <w:r>
        <w:rPr>
          <w:rFonts w:hint="eastAsia" w:ascii="仿宋" w:hAnsi="仿宋" w:eastAsia="仿宋" w:cs="仿宋"/>
          <w:color w:val="000000" w:themeColor="text1"/>
          <w:kern w:val="2"/>
          <w:sz w:val="21"/>
          <w:szCs w:val="21"/>
          <w:highlight w:val="none"/>
          <w14:textFill>
            <w14:solidFill>
              <w14:schemeClr w14:val="tx1"/>
            </w14:solidFill>
          </w14:textFill>
        </w:rPr>
        <w:t>承担。</w:t>
      </w:r>
    </w:p>
    <w:p w14:paraId="09DA1FB9">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质量标准和保证</w:t>
      </w:r>
    </w:p>
    <w:p w14:paraId="3AB55A8C">
      <w:pPr>
        <w:pStyle w:val="32"/>
        <w:adjustRightInd w:val="0"/>
        <w:snapToGrid w:val="0"/>
        <w:spacing w:before="0" w:line="400" w:lineRule="exact"/>
        <w:ind w:firstLine="420" w:firstLineChars="200"/>
        <w:jc w:val="left"/>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14:textFill>
            <w14:solidFill>
              <w14:schemeClr w14:val="tx1"/>
            </w14:solidFill>
          </w14:textFill>
        </w:rPr>
        <w:t>.1 质量标准</w:t>
      </w:r>
    </w:p>
    <w:p w14:paraId="19598411">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（1）本合同下</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的货物应符合</w:t>
      </w:r>
      <w:r>
        <w:rPr>
          <w:rFonts w:hint="eastAsia" w:ascii="仿宋" w:hAnsi="仿宋" w:eastAsia="仿宋" w:cs="仿宋"/>
          <w:color w:val="000000" w:themeColor="text1"/>
          <w:szCs w:val="21"/>
          <w:highlight w:val="none"/>
          <w:lang w:eastAsia="zh-CN"/>
          <w14:textFill>
            <w14:solidFill>
              <w14:schemeClr w14:val="tx1"/>
            </w14:solidFill>
          </w14:textFill>
        </w:rPr>
        <w:t>合同约</w:t>
      </w:r>
      <w:r>
        <w:rPr>
          <w:rFonts w:hint="eastAsia" w:ascii="仿宋" w:hAnsi="仿宋" w:eastAsia="仿宋" w:cs="仿宋"/>
          <w:color w:val="000000" w:themeColor="text1"/>
          <w:szCs w:val="21"/>
          <w:highlight w:val="none"/>
          <w14:textFill>
            <w14:solidFill>
              <w14:schemeClr w14:val="tx1"/>
            </w14:solidFill>
          </w14:textFill>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000000" w:themeColor="text1"/>
          <w:szCs w:val="21"/>
          <w:highlight w:val="none"/>
          <w:lang w:eastAsia="zh-CN"/>
          <w14:textFill>
            <w14:solidFill>
              <w14:schemeClr w14:val="tx1"/>
            </w14:solidFill>
          </w14:textFill>
        </w:rPr>
        <w:t>。</w:t>
      </w:r>
    </w:p>
    <w:p w14:paraId="190C1CDB">
      <w:pPr>
        <w:pStyle w:val="32"/>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（2）采用中华人民共和国法定计量单位。</w:t>
      </w:r>
    </w:p>
    <w:p w14:paraId="7E0FB48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（3）乙方所</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的货物应符合国家有关安全、环保、卫生</w:t>
      </w:r>
      <w:r>
        <w:rPr>
          <w:rFonts w:hint="eastAsia" w:ascii="仿宋" w:hAnsi="仿宋" w:eastAsia="仿宋" w:cs="仿宋"/>
          <w:color w:val="000000" w:themeColor="text1"/>
          <w:szCs w:val="21"/>
          <w:highlight w:val="none"/>
          <w:lang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规定。</w:t>
      </w:r>
    </w:p>
    <w:p w14:paraId="4F0777A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（4）乙方应向甲方提交所</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货物的技术文件，包括相应的中文技术文件，如：产品目录、图纸、操作手册、使用说明、维护手册或服务指南</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文件应包装好随货物一同发运。</w:t>
      </w:r>
    </w:p>
    <w:p w14:paraId="79C4D1C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 保证</w:t>
      </w:r>
    </w:p>
    <w:p w14:paraId="62FC13F9">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（1）乙方应保证</w:t>
      </w:r>
      <w:r>
        <w:rPr>
          <w:rFonts w:hint="eastAsia" w:ascii="仿宋" w:hAnsi="仿宋" w:eastAsia="仿宋" w:cs="仿宋"/>
          <w:color w:val="000000" w:themeColor="text1"/>
          <w:szCs w:val="21"/>
          <w:highlight w:val="none"/>
          <w:lang w:eastAsia="zh-CN"/>
          <w14:textFill>
            <w14:solidFill>
              <w14:schemeClr w14:val="tx1"/>
            </w14:solidFill>
          </w14:textFill>
        </w:rPr>
        <w:t>提供的货物</w:t>
      </w:r>
      <w:r>
        <w:rPr>
          <w:rFonts w:hint="eastAsia" w:ascii="仿宋" w:hAnsi="仿宋" w:eastAsia="仿宋" w:cs="仿宋"/>
          <w:color w:val="000000" w:themeColor="text1"/>
          <w:szCs w:val="21"/>
          <w:highlight w:val="none"/>
          <w14:textFill>
            <w14:solidFill>
              <w14:schemeClr w14:val="tx1"/>
            </w14:solidFill>
          </w14:textFill>
        </w:rPr>
        <w:t>完全符合合同规定的质量、规格和性能要求。乙方应保证货物在正确安装、正常使用和保养条件下，在其使用寿命期内具</w:t>
      </w:r>
      <w:r>
        <w:rPr>
          <w:rFonts w:hint="eastAsia" w:ascii="仿宋" w:hAnsi="仿宋" w:eastAsia="仿宋" w:cs="仿宋"/>
          <w:color w:val="000000" w:themeColor="text1"/>
          <w:szCs w:val="21"/>
          <w:highlight w:val="none"/>
          <w:lang w:eastAsia="zh-CN"/>
          <w14:textFill>
            <w14:solidFill>
              <w14:schemeClr w14:val="tx1"/>
            </w14:solidFill>
          </w14:textFill>
        </w:rPr>
        <w:t>备合同约定</w:t>
      </w:r>
      <w:r>
        <w:rPr>
          <w:rFonts w:hint="eastAsia" w:ascii="仿宋" w:hAnsi="仿宋" w:eastAsia="仿宋" w:cs="仿宋"/>
          <w:color w:val="000000" w:themeColor="text1"/>
          <w:szCs w:val="21"/>
          <w:highlight w:val="none"/>
          <w14:textFill>
            <w14:solidFill>
              <w14:schemeClr w14:val="tx1"/>
            </w14:solidFill>
          </w14:textFill>
        </w:rPr>
        <w:t>的性能。</w:t>
      </w:r>
      <w:r>
        <w:rPr>
          <w:rFonts w:hint="eastAsia" w:ascii="仿宋" w:hAnsi="仿宋" w:eastAsia="仿宋" w:cs="仿宋"/>
          <w:color w:val="000000" w:themeColor="text1"/>
          <w:szCs w:val="21"/>
          <w:highlight w:val="none"/>
          <w:lang w:eastAsia="zh-CN"/>
          <w14:textFill>
            <w14:solidFill>
              <w14:schemeClr w14:val="tx1"/>
            </w14:solidFill>
          </w14:textFill>
        </w:rPr>
        <w:t>存在</w:t>
      </w:r>
      <w:r>
        <w:rPr>
          <w:rFonts w:hint="eastAsia" w:ascii="仿宋" w:hAnsi="仿宋" w:eastAsia="仿宋" w:cs="仿宋"/>
          <w:color w:val="000000" w:themeColor="text1"/>
          <w:szCs w:val="21"/>
          <w:highlight w:val="none"/>
          <w14:textFill>
            <w14:solidFill>
              <w14:schemeClr w14:val="tx1"/>
            </w14:solidFill>
          </w14:textFill>
        </w:rPr>
        <w:t>质量保证期的，货物最终交付验收</w:t>
      </w:r>
      <w:r>
        <w:rPr>
          <w:rFonts w:hint="eastAsia" w:ascii="仿宋" w:hAnsi="仿宋" w:eastAsia="仿宋" w:cs="仿宋"/>
          <w:color w:val="000000" w:themeColor="text1"/>
          <w:szCs w:val="21"/>
          <w:highlight w:val="none"/>
          <w:lang w:eastAsia="zh-CN"/>
          <w14:textFill>
            <w14:solidFill>
              <w14:schemeClr w14:val="tx1"/>
            </w14:solidFill>
          </w14:textFill>
        </w:rPr>
        <w:t>合格</w:t>
      </w:r>
      <w:r>
        <w:rPr>
          <w:rFonts w:hint="eastAsia" w:ascii="仿宋" w:hAnsi="仿宋" w:eastAsia="仿宋" w:cs="仿宋"/>
          <w:color w:val="000000" w:themeColor="text1"/>
          <w:szCs w:val="21"/>
          <w:highlight w:val="none"/>
          <w14:textFill>
            <w14:solidFill>
              <w14:schemeClr w14:val="tx1"/>
            </w14:solidFill>
          </w14:textFill>
        </w:rPr>
        <w:t>后</w:t>
      </w:r>
      <w:r>
        <w:rPr>
          <w:rFonts w:hint="eastAsia" w:ascii="仿宋" w:hAnsi="仿宋" w:eastAsia="仿宋" w:cs="仿宋"/>
          <w:color w:val="000000" w:themeColor="text1"/>
          <w:szCs w:val="21"/>
          <w:highlight w:val="none"/>
          <w:lang w:eastAsia="zh-CN"/>
          <w14:textFill>
            <w14:solidFill>
              <w14:schemeClr w14:val="tx1"/>
            </w14:solidFill>
          </w14:textFill>
        </w:rPr>
        <w:t>在</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规定或乙方</w:t>
      </w:r>
      <w:r>
        <w:rPr>
          <w:rFonts w:hint="eastAsia" w:ascii="仿宋" w:hAnsi="仿宋" w:eastAsia="仿宋" w:cs="仿宋"/>
          <w:color w:val="000000" w:themeColor="text1"/>
          <w:szCs w:val="21"/>
          <w:highlight w:val="none"/>
          <w:lang w:eastAsia="zh-CN"/>
          <w14:textFill>
            <w14:solidFill>
              <w14:schemeClr w14:val="tx1"/>
            </w14:solidFill>
          </w14:textFill>
        </w:rPr>
        <w:t>书面</w:t>
      </w:r>
      <w:r>
        <w:rPr>
          <w:rFonts w:hint="eastAsia" w:ascii="仿宋" w:hAnsi="仿宋" w:eastAsia="仿宋" w:cs="仿宋"/>
          <w:color w:val="000000" w:themeColor="text1"/>
          <w:szCs w:val="21"/>
          <w:highlight w:val="none"/>
          <w14:textFill>
            <w14:solidFill>
              <w14:schemeClr w14:val="tx1"/>
            </w14:solidFill>
          </w14:textFill>
        </w:rPr>
        <w:t>承诺（两者以较长的为准）的质量保证期内，本保证保持有效。</w:t>
      </w:r>
    </w:p>
    <w:p w14:paraId="02F8AB5E">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（2）在质量保证期内所发现的缺陷，甲方应尽快以书面形式通知乙方。</w:t>
      </w:r>
    </w:p>
    <w:p w14:paraId="608BD54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（3）乙方收到通知后</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应在</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规定的响应时间内以合理的速度免费维修或更换有缺陷的货物或部件。</w:t>
      </w:r>
    </w:p>
    <w:p w14:paraId="6FAC847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000000" w:themeColor="text1"/>
          <w:szCs w:val="21"/>
          <w:highlight w:val="none"/>
          <w14:textFill>
            <w14:solidFill>
              <w14:schemeClr w14:val="tx1"/>
            </w14:solidFill>
          </w14:textFill>
        </w:rPr>
        <w:t>。</w:t>
      </w:r>
    </w:p>
    <w:p w14:paraId="2F7964B3">
      <w:pPr>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（5）乙方在约定的时间内未能弥补缺陷，甲方可采取必要的补救措施，但其风险和费用将由乙方承担，甲方根据合同</w:t>
      </w:r>
      <w:r>
        <w:rPr>
          <w:rFonts w:hint="eastAsia" w:ascii="仿宋" w:hAnsi="仿宋" w:eastAsia="仿宋" w:cs="仿宋"/>
          <w:color w:val="000000" w:themeColor="text1"/>
          <w:szCs w:val="21"/>
          <w:highlight w:val="none"/>
          <w:lang w:eastAsia="zh-CN"/>
          <w14:textFill>
            <w14:solidFill>
              <w14:schemeClr w14:val="tx1"/>
            </w14:solidFill>
          </w14:textFill>
        </w:rPr>
        <w:t>约定</w:t>
      </w:r>
      <w:r>
        <w:rPr>
          <w:rFonts w:hint="eastAsia" w:ascii="仿宋" w:hAnsi="仿宋" w:eastAsia="仿宋" w:cs="仿宋"/>
          <w:color w:val="000000" w:themeColor="text1"/>
          <w:szCs w:val="21"/>
          <w:highlight w:val="none"/>
          <w14:textFill>
            <w14:solidFill>
              <w14:schemeClr w14:val="tx1"/>
            </w14:solidFill>
          </w14:textFill>
        </w:rPr>
        <w:t>对乙方行使的其他权利不受影响。</w:t>
      </w:r>
    </w:p>
    <w:p w14:paraId="1BB6972B">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权利瑕疵担保</w:t>
      </w:r>
    </w:p>
    <w:p w14:paraId="152E9D8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14:paraId="0943115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color w:val="000000" w:themeColor="text1"/>
          <w:szCs w:val="15"/>
          <w:highlight w:val="none"/>
          <w14:textFill>
            <w14:solidFill>
              <w14:schemeClr w14:val="tx1"/>
            </w14:solidFill>
          </w14:textFill>
        </w:rPr>
        <w:t>乙方保证在交付的货物上不存在抵押权等担保物权。</w:t>
      </w:r>
    </w:p>
    <w:p w14:paraId="5A4748C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14:paraId="13DAF3CE">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14:paraId="3786BCD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乙方对其所销售的货物应当享有知识产权或经权利人合法授权，保证没有侵犯任何第三人的知识产权等权利。</w:t>
      </w:r>
      <w:bookmarkStart w:id="42" w:name="_Hlk163047038"/>
      <w:r>
        <w:rPr>
          <w:rFonts w:hint="eastAsia" w:ascii="仿宋" w:hAnsi="仿宋" w:eastAsia="仿宋" w:cs="仿宋"/>
          <w:color w:val="000000" w:themeColor="text1"/>
          <w:szCs w:val="15"/>
          <w:highlight w:val="none"/>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42"/>
      <w:r>
        <w:rPr>
          <w:rFonts w:hint="eastAsia" w:ascii="仿宋" w:hAnsi="仿宋" w:eastAsia="仿宋" w:cs="仿宋"/>
          <w:color w:val="000000" w:themeColor="text1"/>
          <w:szCs w:val="21"/>
          <w:highlight w:val="none"/>
          <w14:textFill>
            <w14:solidFill>
              <w14:schemeClr w14:val="tx1"/>
            </w14:solidFill>
          </w14:textFill>
        </w:rPr>
        <w:t>。</w:t>
      </w:r>
    </w:p>
    <w:p w14:paraId="74B65FA6">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保密义务</w:t>
      </w:r>
    </w:p>
    <w:p w14:paraId="5C296BE9">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15"/>
          <w:highlight w:val="none"/>
          <w14:textFill>
            <w14:solidFill>
              <w14:schemeClr w14:val="tx1"/>
            </w14:solidFill>
          </w14:textFill>
        </w:rPr>
      </w:pPr>
      <w:r>
        <w:rPr>
          <w:rFonts w:hint="eastAsia" w:ascii="仿宋" w:hAnsi="仿宋" w:eastAsia="仿宋" w:cs="仿宋"/>
          <w:color w:val="000000" w:themeColor="text1"/>
          <w:szCs w:val="15"/>
          <w:highlight w:val="none"/>
          <w:lang w:val="en-US" w:eastAsia="zh-CN"/>
          <w14:textFill>
            <w14:solidFill>
              <w14:schemeClr w14:val="tx1"/>
            </w14:solidFill>
          </w14:textFill>
        </w:rPr>
        <w:t xml:space="preserve">11.1 </w:t>
      </w:r>
      <w:r>
        <w:rPr>
          <w:rFonts w:hint="eastAsia" w:ascii="仿宋" w:hAnsi="仿宋" w:eastAsia="仿宋" w:cs="仿宋"/>
          <w:color w:val="000000" w:themeColor="text1"/>
          <w:szCs w:val="15"/>
          <w:highlight w:val="none"/>
          <w14:textFill>
            <w14:solidFill>
              <w14:schemeClr w14:val="tx1"/>
            </w14:solidFill>
          </w14:textFill>
        </w:rPr>
        <w:t>甲、乙双方</w:t>
      </w:r>
      <w:r>
        <w:rPr>
          <w:rFonts w:hint="eastAsia" w:ascii="仿宋" w:hAnsi="仿宋" w:eastAsia="仿宋" w:cs="仿宋"/>
          <w:color w:val="000000" w:themeColor="text1"/>
          <w:szCs w:val="15"/>
          <w:highlight w:val="none"/>
          <w:lang w:eastAsia="zh-CN"/>
          <w14:textFill>
            <w14:solidFill>
              <w14:schemeClr w14:val="tx1"/>
            </w14:solidFill>
          </w14:textFill>
        </w:rPr>
        <w:t>对</w:t>
      </w:r>
      <w:r>
        <w:rPr>
          <w:rFonts w:hint="eastAsia" w:ascii="仿宋" w:hAnsi="仿宋" w:eastAsia="仿宋" w:cs="仿宋"/>
          <w:color w:val="000000" w:themeColor="text1"/>
          <w:szCs w:val="15"/>
          <w:highlight w:val="none"/>
          <w14:textFill>
            <w14:solidFill>
              <w14:schemeClr w14:val="tx1"/>
            </w14:solidFill>
          </w14:textFill>
        </w:rPr>
        <w:t>采购和合同履行过程中所获悉的</w:t>
      </w:r>
      <w:r>
        <w:rPr>
          <w:rFonts w:hint="eastAsia" w:ascii="仿宋" w:hAnsi="仿宋" w:eastAsia="仿宋" w:cs="仿宋"/>
          <w:color w:val="000000" w:themeColor="text1"/>
          <w:szCs w:val="15"/>
          <w:highlight w:val="none"/>
          <w:lang w:eastAsia="zh-CN"/>
          <w14:textFill>
            <w14:solidFill>
              <w14:schemeClr w14:val="tx1"/>
            </w14:solidFill>
          </w14:textFill>
        </w:rPr>
        <w:t>国家秘密、工作秘密、</w:t>
      </w:r>
      <w:r>
        <w:rPr>
          <w:rFonts w:hint="eastAsia" w:ascii="仿宋" w:hAnsi="仿宋" w:eastAsia="仿宋" w:cs="仿宋"/>
          <w:color w:val="000000" w:themeColor="text1"/>
          <w:szCs w:val="15"/>
          <w:highlight w:val="none"/>
          <w14:textFill>
            <w14:solidFill>
              <w14:schemeClr w14:val="tx1"/>
            </w14:solidFill>
          </w14:textFill>
        </w:rPr>
        <w:t>商业秘密或者其他应当保密的信息，均有保密义务</w:t>
      </w:r>
      <w:r>
        <w:rPr>
          <w:rFonts w:hint="eastAsia" w:ascii="仿宋" w:hAnsi="仿宋" w:eastAsia="仿宋" w:cs="仿宋"/>
          <w:color w:val="000000" w:themeColor="text1"/>
          <w:szCs w:val="15"/>
          <w:highlight w:val="none"/>
          <w:lang w:eastAsia="zh-CN"/>
          <w14:textFill>
            <w14:solidFill>
              <w14:schemeClr w14:val="tx1"/>
            </w14:solidFill>
          </w14:textFill>
        </w:rPr>
        <w:t>且不受合同有效期所限，直至该信息成为公开信息</w:t>
      </w:r>
      <w:r>
        <w:rPr>
          <w:rFonts w:hint="eastAsia" w:ascii="仿宋" w:hAnsi="仿宋" w:eastAsia="仿宋" w:cs="仿宋"/>
          <w:color w:val="000000" w:themeColor="text1"/>
          <w:szCs w:val="15"/>
          <w:highlight w:val="none"/>
          <w14:textFill>
            <w14:solidFill>
              <w14:schemeClr w14:val="tx1"/>
            </w14:solidFill>
          </w14:textFill>
        </w:rPr>
        <w:t>。泄露、不正当地使用</w:t>
      </w:r>
      <w:r>
        <w:rPr>
          <w:rFonts w:hint="eastAsia" w:ascii="仿宋" w:hAnsi="仿宋" w:eastAsia="仿宋" w:cs="仿宋"/>
          <w:color w:val="000000" w:themeColor="text1"/>
          <w:szCs w:val="15"/>
          <w:highlight w:val="none"/>
          <w:lang w:eastAsia="zh-CN"/>
          <w14:textFill>
            <w14:solidFill>
              <w14:schemeClr w14:val="tx1"/>
            </w14:solidFill>
          </w14:textFill>
        </w:rPr>
        <w:t>国家秘密、工作秘密、</w:t>
      </w:r>
      <w:r>
        <w:rPr>
          <w:rFonts w:hint="eastAsia" w:ascii="仿宋" w:hAnsi="仿宋" w:eastAsia="仿宋" w:cs="仿宋"/>
          <w:color w:val="000000" w:themeColor="text1"/>
          <w:szCs w:val="15"/>
          <w:highlight w:val="none"/>
          <w14:textFill>
            <w14:solidFill>
              <w14:schemeClr w14:val="tx1"/>
            </w14:solidFill>
          </w14:textFill>
        </w:rPr>
        <w:t>商业秘密或者</w:t>
      </w:r>
      <w:r>
        <w:rPr>
          <w:rFonts w:hint="eastAsia" w:ascii="仿宋" w:hAnsi="仿宋" w:eastAsia="仿宋" w:cs="仿宋"/>
          <w:color w:val="000000" w:themeColor="text1"/>
          <w:szCs w:val="15"/>
          <w:highlight w:val="none"/>
          <w:lang w:eastAsia="zh-CN"/>
          <w14:textFill>
            <w14:solidFill>
              <w14:schemeClr w14:val="tx1"/>
            </w14:solidFill>
          </w14:textFill>
        </w:rPr>
        <w:t>其他应当保密的</w:t>
      </w:r>
      <w:r>
        <w:rPr>
          <w:rFonts w:hint="eastAsia" w:ascii="仿宋" w:hAnsi="仿宋" w:eastAsia="仿宋" w:cs="仿宋"/>
          <w:color w:val="000000" w:themeColor="text1"/>
          <w:szCs w:val="15"/>
          <w:highlight w:val="none"/>
          <w14:textFill>
            <w14:solidFill>
              <w14:schemeClr w14:val="tx1"/>
            </w14:solidFill>
          </w14:textFill>
        </w:rPr>
        <w:t>信息，应当承担</w:t>
      </w:r>
      <w:r>
        <w:rPr>
          <w:rFonts w:hint="eastAsia" w:ascii="仿宋" w:hAnsi="仿宋" w:eastAsia="仿宋" w:cs="仿宋"/>
          <w:color w:val="000000" w:themeColor="text1"/>
          <w:szCs w:val="15"/>
          <w:highlight w:val="none"/>
          <w:lang w:eastAsia="zh-CN"/>
          <w14:textFill>
            <w14:solidFill>
              <w14:schemeClr w14:val="tx1"/>
            </w14:solidFill>
          </w14:textFill>
        </w:rPr>
        <w:t>相应</w:t>
      </w:r>
      <w:r>
        <w:rPr>
          <w:rFonts w:hint="eastAsia" w:ascii="仿宋" w:hAnsi="仿宋" w:eastAsia="仿宋" w:cs="仿宋"/>
          <w:color w:val="000000" w:themeColor="text1"/>
          <w:szCs w:val="15"/>
          <w:highlight w:val="none"/>
          <w14:textFill>
            <w14:solidFill>
              <w14:schemeClr w14:val="tx1"/>
            </w14:solidFill>
          </w14:textFill>
        </w:rPr>
        <w:t>责任。其他应当保密的信息由双方在</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color w:val="000000" w:themeColor="text1"/>
          <w:szCs w:val="15"/>
          <w:highlight w:val="none"/>
          <w14:textFill>
            <w14:solidFill>
              <w14:schemeClr w14:val="tx1"/>
            </w14:solidFill>
          </w14:textFill>
        </w:rPr>
        <w:t>中约定。</w:t>
      </w:r>
    </w:p>
    <w:p w14:paraId="1A1261EB">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2</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合同价款支付</w:t>
      </w:r>
    </w:p>
    <w:p w14:paraId="6E872114">
      <w:pPr>
        <w:autoSpaceDE/>
        <w:autoSpaceDN/>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21"/>
          <w:highlight w:val="none"/>
          <w:lang w:eastAsia="zh-CN"/>
          <w14:textFill>
            <w14:solidFill>
              <w14:schemeClr w14:val="tx1"/>
            </w14:solidFill>
          </w14:textFill>
        </w:rPr>
        <w:t>合同价款支付</w:t>
      </w:r>
      <w:r>
        <w:rPr>
          <w:rFonts w:hint="eastAsia" w:ascii="仿宋" w:hAnsi="仿宋" w:eastAsia="仿宋" w:cs="仿宋"/>
          <w:color w:val="000000" w:themeColor="text1"/>
          <w:szCs w:val="21"/>
          <w:highlight w:val="none"/>
          <w14:textFill>
            <w14:solidFill>
              <w14:schemeClr w14:val="tx1"/>
            </w14:solidFill>
          </w14:textFill>
        </w:rPr>
        <w:t>按照国库集中支付</w:t>
      </w:r>
      <w:r>
        <w:rPr>
          <w:rFonts w:hint="eastAsia" w:ascii="仿宋" w:hAnsi="仿宋" w:eastAsia="仿宋" w:cs="仿宋"/>
          <w:color w:val="000000" w:themeColor="text1"/>
          <w:szCs w:val="21"/>
          <w:highlight w:val="none"/>
          <w:lang w:eastAsia="zh-CN"/>
          <w14:textFill>
            <w14:solidFill>
              <w14:schemeClr w14:val="tx1"/>
            </w14:solidFill>
          </w14:textFill>
        </w:rPr>
        <w:t>制度及财政管理相关</w:t>
      </w:r>
      <w:r>
        <w:rPr>
          <w:rFonts w:hint="eastAsia" w:ascii="仿宋" w:hAnsi="仿宋" w:eastAsia="仿宋" w:cs="仿宋"/>
          <w:color w:val="000000" w:themeColor="text1"/>
          <w:szCs w:val="21"/>
          <w:highlight w:val="none"/>
          <w14:textFill>
            <w14:solidFill>
              <w14:schemeClr w14:val="tx1"/>
            </w14:solidFill>
          </w14:textFill>
        </w:rPr>
        <w:t>规定执行。</w:t>
      </w:r>
    </w:p>
    <w:p w14:paraId="65AFC395">
      <w:pPr>
        <w:pStyle w:val="3"/>
        <w:spacing w:line="400" w:lineRule="exact"/>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 xml:space="preserve">12.2 </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对于满足合同约定支付条件的，</w:t>
      </w:r>
      <w:r>
        <w:rPr>
          <w:rFonts w:hint="eastAsia" w:ascii="仿宋" w:hAnsi="仿宋" w:eastAsia="仿宋" w:cs="仿宋"/>
          <w:b w:val="0"/>
          <w:bCs w:val="0"/>
          <w:color w:val="000000" w:themeColor="text1"/>
          <w:kern w:val="2"/>
          <w:sz w:val="21"/>
          <w:szCs w:val="21"/>
          <w:highlight w:val="none"/>
          <w:lang w:val="en-US" w:eastAsia="zh-CN"/>
          <w14:textFill>
            <w14:solidFill>
              <w14:schemeClr w14:val="tx1"/>
            </w14:solidFill>
          </w14:textFill>
        </w:rPr>
        <w:t>甲方</w:t>
      </w:r>
      <w:r>
        <w:rPr>
          <w:rFonts w:hint="eastAsia" w:ascii="仿宋" w:hAnsi="仿宋" w:eastAsia="仿宋" w:cs="仿宋"/>
          <w:b w:val="0"/>
          <w:bCs w:val="0"/>
          <w:i w:val="0"/>
          <w:iCs w:val="0"/>
          <w:caps w:val="0"/>
          <w:color w:val="000000" w:themeColor="text1"/>
          <w:spacing w:val="0"/>
          <w:sz w:val="21"/>
          <w:szCs w:val="21"/>
          <w:highlight w:val="none"/>
          <w:shd w:val="clear" w:color="auto" w:fill="auto"/>
          <w:vertAlign w:val="baseline"/>
          <w14:textFill>
            <w14:solidFill>
              <w14:schemeClr w14:val="tx1"/>
            </w14:solidFill>
          </w14:textFill>
        </w:rPr>
        <w:t>原则上应当自收到发票后10个工作日内</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将资金支付到合同约定的</w:t>
      </w:r>
      <w:r>
        <w:rPr>
          <w:rFonts w:hint="eastAsia" w:ascii="仿宋" w:hAnsi="仿宋" w:eastAsia="仿宋" w:cs="仿宋"/>
          <w:b w:val="0"/>
          <w:bCs w:val="0"/>
          <w:color w:val="000000" w:themeColor="text1"/>
          <w:kern w:val="2"/>
          <w:sz w:val="21"/>
          <w:szCs w:val="21"/>
          <w:highlight w:val="none"/>
          <w:lang w:eastAsia="zh-CN"/>
          <w14:textFill>
            <w14:solidFill>
              <w14:schemeClr w14:val="tx1"/>
            </w14:solidFill>
          </w14:textFill>
        </w:rPr>
        <w:t>乙方</w:t>
      </w:r>
      <w:r>
        <w:rPr>
          <w:rFonts w:hint="eastAsia" w:ascii="仿宋" w:hAnsi="仿宋" w:eastAsia="仿宋" w:cs="仿宋"/>
          <w:b w:val="0"/>
          <w:bCs w:val="0"/>
          <w:color w:val="000000" w:themeColor="text1"/>
          <w:kern w:val="2"/>
          <w:sz w:val="21"/>
          <w:szCs w:val="21"/>
          <w:highlight w:val="none"/>
          <w14:textFill>
            <w14:solidFill>
              <w14:schemeClr w14:val="tx1"/>
            </w14:solidFill>
          </w14:textFill>
        </w:rPr>
        <w:t>账户，不得以机构变动、人员更替、政策调整等为由迟延付款，不得将采购文件和合同中未规定的义务作为向</w:t>
      </w:r>
      <w:r>
        <w:rPr>
          <w:rFonts w:hint="eastAsia" w:ascii="仿宋" w:hAnsi="仿宋" w:eastAsia="仿宋" w:cs="仿宋"/>
          <w:b w:val="0"/>
          <w:bCs w:val="0"/>
          <w:color w:val="000000" w:themeColor="text1"/>
          <w:kern w:val="2"/>
          <w:sz w:val="21"/>
          <w:szCs w:val="21"/>
          <w:highlight w:val="none"/>
          <w:lang w:val="en-US" w:eastAsia="zh-CN"/>
          <w14:textFill>
            <w14:solidFill>
              <w14:schemeClr w14:val="tx1"/>
            </w14:solidFill>
          </w14:textFill>
        </w:rPr>
        <w:t>乙方</w:t>
      </w:r>
      <w:r>
        <w:rPr>
          <w:rFonts w:hint="eastAsia" w:ascii="仿宋" w:hAnsi="仿宋" w:eastAsia="仿宋" w:cs="仿宋"/>
          <w:b w:val="0"/>
          <w:bCs w:val="0"/>
          <w:color w:val="000000" w:themeColor="text1"/>
          <w:kern w:val="2"/>
          <w:sz w:val="21"/>
          <w:szCs w:val="21"/>
          <w:highlight w:val="none"/>
          <w14:textFill>
            <w14:solidFill>
              <w14:schemeClr w14:val="tx1"/>
            </w14:solidFill>
          </w14:textFill>
        </w:rPr>
        <w:t>付款的条件。具体合同价款支付时间在【</w:t>
      </w:r>
      <w:r>
        <w:rPr>
          <w:rFonts w:hint="eastAsia" w:ascii="仿宋" w:hAnsi="仿宋" w:eastAsia="仿宋" w:cs="仿宋"/>
          <w:b/>
          <w:bCs/>
          <w:color w:val="000000" w:themeColor="text1"/>
          <w:kern w:val="2"/>
          <w:sz w:val="2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kern w:val="2"/>
          <w:sz w:val="21"/>
          <w:szCs w:val="21"/>
          <w:highlight w:val="none"/>
          <w14:textFill>
            <w14:solidFill>
              <w14:schemeClr w14:val="tx1"/>
            </w14:solidFill>
          </w14:textFill>
        </w:rPr>
        <w:t>】中</w:t>
      </w:r>
      <w:r>
        <w:rPr>
          <w:rFonts w:hint="eastAsia" w:ascii="仿宋" w:hAnsi="仿宋" w:eastAsia="仿宋" w:cs="仿宋"/>
          <w:b w:val="0"/>
          <w:bCs w:val="0"/>
          <w:color w:val="000000" w:themeColor="text1"/>
          <w:kern w:val="2"/>
          <w:sz w:val="21"/>
          <w:szCs w:val="21"/>
          <w:highlight w:val="none"/>
          <w:lang w:eastAsia="zh-CN"/>
          <w14:textFill>
            <w14:solidFill>
              <w14:schemeClr w14:val="tx1"/>
            </w14:solidFill>
          </w14:textFill>
        </w:rPr>
        <w:t>约</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定。</w:t>
      </w:r>
    </w:p>
    <w:p w14:paraId="311FA60B">
      <w:pPr>
        <w:pStyle w:val="23"/>
        <w:spacing w:after="0" w:line="400" w:lineRule="exac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履约保证金</w:t>
      </w:r>
    </w:p>
    <w:p w14:paraId="71E07750">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15"/>
          <w:highlight w:val="none"/>
          <w14:textFill>
            <w14:solidFill>
              <w14:schemeClr w14:val="tx1"/>
            </w14:solidFill>
          </w14:textFill>
        </w:rPr>
        <w:t>乙方应当以支票、汇票、本票或者金融机构、担保机构出具的保函等非现金形式提交。</w:t>
      </w:r>
    </w:p>
    <w:p w14:paraId="6C49AC13">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.2 如果乙方</w:t>
      </w:r>
      <w:r>
        <w:rPr>
          <w:rFonts w:hint="eastAsia" w:ascii="仿宋" w:hAnsi="仿宋" w:eastAsia="仿宋" w:cs="仿宋"/>
          <w:color w:val="000000" w:themeColor="text1"/>
          <w:szCs w:val="21"/>
          <w:highlight w:val="none"/>
          <w:lang w:eastAsia="zh-CN"/>
          <w14:textFill>
            <w14:solidFill>
              <w14:schemeClr w14:val="tx1"/>
            </w14:solidFill>
          </w14:textFill>
        </w:rPr>
        <w:t>出现</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15"/>
          <w:highlight w:val="none"/>
          <w:lang w:eastAsia="zh-CN"/>
          <w14:textFill>
            <w14:solidFill>
              <w14:schemeClr w14:val="tx1"/>
            </w14:solidFill>
          </w14:textFill>
        </w:rPr>
        <w:t>约定情形的</w:t>
      </w:r>
      <w:r>
        <w:rPr>
          <w:rFonts w:hint="eastAsia" w:ascii="仿宋" w:hAnsi="仿宋" w:eastAsia="仿宋" w:cs="仿宋"/>
          <w:color w:val="000000" w:themeColor="text1"/>
          <w:szCs w:val="21"/>
          <w:highlight w:val="none"/>
          <w14:textFill>
            <w14:solidFill>
              <w14:schemeClr w14:val="tx1"/>
            </w14:solidFill>
          </w14:textFill>
        </w:rPr>
        <w:t>，履约保证金不予退还；如果乙方未能按合同约定全面履行义务，甲方有权从履约保证金中取得补偿或赔偿，</w:t>
      </w:r>
      <w:r>
        <w:rPr>
          <w:rFonts w:hint="eastAsia" w:ascii="仿宋" w:hAnsi="仿宋" w:eastAsia="仿宋" w:cs="仿宋"/>
          <w:color w:val="000000" w:themeColor="text1"/>
          <w:szCs w:val="21"/>
          <w:highlight w:val="none"/>
          <w:lang w:eastAsia="zh-CN"/>
          <w14:textFill>
            <w14:solidFill>
              <w14:schemeClr w14:val="tx1"/>
            </w14:solidFill>
          </w14:textFill>
        </w:rPr>
        <w:t>且</w:t>
      </w:r>
      <w:r>
        <w:rPr>
          <w:rFonts w:hint="eastAsia" w:ascii="仿宋" w:hAnsi="仿宋" w:eastAsia="仿宋" w:cs="仿宋"/>
          <w:color w:val="000000" w:themeColor="text1"/>
          <w:szCs w:val="21"/>
          <w:highlight w:val="none"/>
          <w14:textFill>
            <w14:solidFill>
              <w14:schemeClr w14:val="tx1"/>
            </w14:solidFill>
          </w14:textFill>
        </w:rPr>
        <w:t>不影响甲方要求乙方承担合同约定的超过履约保证金的违约责任的权利。</w:t>
      </w:r>
    </w:p>
    <w:p w14:paraId="3D81E08A">
      <w:pPr>
        <w:spacing w:line="400" w:lineRule="exact"/>
        <w:ind w:firstLine="42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.3 甲方在项目通过验收后按照</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规定支付。</w:t>
      </w:r>
    </w:p>
    <w:p w14:paraId="5DC561AB">
      <w:p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售后服务</w:t>
      </w:r>
    </w:p>
    <w:p w14:paraId="0112C94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除项目不涉及或采购活动中明确约定无须承担外，乙方还应提供下列服务：</w:t>
      </w:r>
    </w:p>
    <w:p w14:paraId="21650A7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（1）货物的现场移动、安装、调试、启动监督及技术支持；</w:t>
      </w:r>
    </w:p>
    <w:p w14:paraId="555DE9B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（2）提供货物组装和维修所需的专用工具和辅助材料；</w:t>
      </w:r>
    </w:p>
    <w:p w14:paraId="0648FEE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（3）在</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w:t>
      </w:r>
      <w:r>
        <w:rPr>
          <w:rFonts w:hint="eastAsia" w:ascii="仿宋" w:hAnsi="仿宋" w:eastAsia="仿宋" w:cs="仿宋"/>
          <w:color w:val="000000" w:themeColor="text1"/>
          <w:szCs w:val="21"/>
          <w:highlight w:val="none"/>
          <w14:textFill>
            <w14:solidFill>
              <w14:schemeClr w14:val="tx1"/>
            </w14:solidFill>
          </w14:textFill>
        </w:rPr>
        <w:t>的期限内对所有的货物实施运行监督、维修，但前提条件是该服务并不能免除乙方在质量保证期内所承担的义务；</w:t>
      </w:r>
    </w:p>
    <w:p w14:paraId="435EA2C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（4）在制造商</w:t>
      </w:r>
      <w:r>
        <w:rPr>
          <w:rFonts w:hint="eastAsia" w:ascii="仿宋" w:hAnsi="仿宋" w:eastAsia="仿宋" w:cs="仿宋"/>
          <w:color w:val="000000" w:themeColor="text1"/>
          <w:szCs w:val="21"/>
          <w:highlight w:val="none"/>
          <w:lang w:eastAsia="zh-CN"/>
          <w14:textFill>
            <w14:solidFill>
              <w14:schemeClr w14:val="tx1"/>
            </w14:solidFill>
          </w14:textFill>
        </w:rPr>
        <w:t>所在地</w:t>
      </w:r>
      <w:r>
        <w:rPr>
          <w:rFonts w:hint="eastAsia" w:ascii="仿宋" w:hAnsi="仿宋" w:eastAsia="仿宋" w:cs="仿宋"/>
          <w:color w:val="000000" w:themeColor="text1"/>
          <w:szCs w:val="21"/>
          <w:highlight w:val="none"/>
          <w14:textFill>
            <w14:solidFill>
              <w14:schemeClr w14:val="tx1"/>
            </w14:solidFill>
          </w14:textFill>
        </w:rPr>
        <w:t>或</w:t>
      </w:r>
      <w:r>
        <w:rPr>
          <w:rFonts w:hint="eastAsia" w:ascii="仿宋" w:hAnsi="仿宋" w:eastAsia="仿宋" w:cs="仿宋"/>
          <w:color w:val="000000" w:themeColor="text1"/>
          <w:szCs w:val="21"/>
          <w:highlight w:val="none"/>
          <w:lang w:eastAsia="zh-CN"/>
          <w14:textFill>
            <w14:solidFill>
              <w14:schemeClr w14:val="tx1"/>
            </w14:solidFill>
          </w14:textFill>
        </w:rPr>
        <w:t>指定</w:t>
      </w:r>
      <w:r>
        <w:rPr>
          <w:rFonts w:hint="eastAsia" w:ascii="仿宋" w:hAnsi="仿宋" w:eastAsia="仿宋" w:cs="仿宋"/>
          <w:color w:val="000000" w:themeColor="text1"/>
          <w:szCs w:val="21"/>
          <w:highlight w:val="none"/>
          <w14:textFill>
            <w14:solidFill>
              <w14:schemeClr w14:val="tx1"/>
            </w14:solidFill>
          </w14:textFill>
        </w:rPr>
        <w:t>现场就货物的安装、启动、运营、维护</w:t>
      </w:r>
      <w:r>
        <w:rPr>
          <w:rFonts w:hint="eastAsia" w:ascii="仿宋" w:hAnsi="仿宋" w:eastAsia="仿宋" w:cs="仿宋"/>
          <w:color w:val="000000" w:themeColor="text1"/>
          <w:szCs w:val="21"/>
          <w:highlight w:val="none"/>
          <w:lang w:eastAsia="zh-CN"/>
          <w14:textFill>
            <w14:solidFill>
              <w14:schemeClr w14:val="tx1"/>
            </w14:solidFill>
          </w14:textFill>
        </w:rPr>
        <w:t>、废弃处置等</w:t>
      </w:r>
      <w:r>
        <w:rPr>
          <w:rFonts w:hint="eastAsia" w:ascii="仿宋" w:hAnsi="仿宋" w:eastAsia="仿宋" w:cs="仿宋"/>
          <w:color w:val="000000" w:themeColor="text1"/>
          <w:szCs w:val="21"/>
          <w:highlight w:val="none"/>
          <w14:textFill>
            <w14:solidFill>
              <w14:schemeClr w14:val="tx1"/>
            </w14:solidFill>
          </w14:textFill>
        </w:rPr>
        <w:t>对甲方操作人员进行培训</w:t>
      </w:r>
      <w:r>
        <w:rPr>
          <w:rFonts w:hint="eastAsia" w:ascii="仿宋" w:hAnsi="仿宋" w:eastAsia="仿宋" w:cs="仿宋"/>
          <w:color w:val="000000" w:themeColor="text1"/>
          <w:szCs w:val="15"/>
          <w:highlight w:val="none"/>
          <w:lang w:eastAsia="zh-CN"/>
          <w14:textFill>
            <w14:solidFill>
              <w14:schemeClr w14:val="tx1"/>
            </w14:solidFill>
          </w14:textFill>
        </w:rPr>
        <w:t>；</w:t>
      </w:r>
    </w:p>
    <w:p w14:paraId="5E4211BB">
      <w:pPr>
        <w:pStyle w:val="96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（5）依照法律、行政法规的规定或者按照</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szCs w:val="21"/>
          <w:highlight w:val="none"/>
          <w14:textFill>
            <w14:solidFill>
              <w14:schemeClr w14:val="tx1"/>
            </w14:solidFill>
          </w14:textFill>
        </w:rPr>
        <w:t>约定，货物在有效使用年限届满后应予回收的，乙方负有自行或者委托第三人对货物予以回收的义务；</w:t>
      </w:r>
    </w:p>
    <w:p w14:paraId="4E9B76B8">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规定由乙方提供的其他服务。</w:t>
      </w:r>
    </w:p>
    <w:p w14:paraId="4C611C7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乙方提供的</w:t>
      </w:r>
      <w:r>
        <w:rPr>
          <w:rFonts w:hint="eastAsia" w:ascii="仿宋" w:hAnsi="仿宋" w:eastAsia="仿宋" w:cs="仿宋"/>
          <w:color w:val="000000" w:themeColor="text1"/>
          <w:szCs w:val="21"/>
          <w:highlight w:val="none"/>
          <w:lang w:eastAsia="zh-CN"/>
          <w14:textFill>
            <w14:solidFill>
              <w14:schemeClr w14:val="tx1"/>
            </w14:solidFill>
          </w14:textFill>
        </w:rPr>
        <w:t>售后</w:t>
      </w:r>
      <w:r>
        <w:rPr>
          <w:rFonts w:hint="eastAsia" w:ascii="仿宋" w:hAnsi="仿宋" w:eastAsia="仿宋" w:cs="仿宋"/>
          <w:color w:val="000000" w:themeColor="text1"/>
          <w:szCs w:val="21"/>
          <w:highlight w:val="none"/>
          <w14:textFill>
            <w14:solidFill>
              <w14:schemeClr w14:val="tx1"/>
            </w14:solidFill>
          </w14:textFill>
        </w:rPr>
        <w:t>服务的费用</w:t>
      </w:r>
      <w:r>
        <w:rPr>
          <w:rFonts w:hint="eastAsia" w:ascii="仿宋" w:hAnsi="仿宋" w:eastAsia="仿宋" w:cs="仿宋"/>
          <w:color w:val="000000" w:themeColor="text1"/>
          <w:szCs w:val="21"/>
          <w:highlight w:val="none"/>
          <w:lang w:val="en-US" w:eastAsia="zh-CN"/>
          <w14:textFill>
            <w14:solidFill>
              <w14:schemeClr w14:val="tx1"/>
            </w14:solidFill>
          </w14:textFill>
        </w:rPr>
        <w:t>已</w:t>
      </w:r>
      <w:r>
        <w:rPr>
          <w:rFonts w:hint="eastAsia" w:ascii="仿宋" w:hAnsi="仿宋" w:eastAsia="仿宋" w:cs="仿宋"/>
          <w:color w:val="000000" w:themeColor="text1"/>
          <w:szCs w:val="21"/>
          <w:highlight w:val="none"/>
          <w14:textFill>
            <w14:solidFill>
              <w14:schemeClr w14:val="tx1"/>
            </w14:solidFill>
          </w14:textFill>
        </w:rPr>
        <w:t>包含在合同价款中，甲方不再另行支付。</w:t>
      </w:r>
    </w:p>
    <w:p w14:paraId="15390431">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违约责任</w:t>
      </w:r>
    </w:p>
    <w:p w14:paraId="68921A23">
      <w:pPr>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.1质量瑕疵的</w:t>
      </w:r>
      <w:r>
        <w:rPr>
          <w:rFonts w:hint="eastAsia" w:ascii="仿宋" w:hAnsi="仿宋" w:eastAsia="仿宋" w:cs="仿宋"/>
          <w:bCs/>
          <w:color w:val="000000" w:themeColor="text1"/>
          <w:szCs w:val="21"/>
          <w:highlight w:val="none"/>
          <w:lang w:eastAsia="zh-CN"/>
          <w14:textFill>
            <w14:solidFill>
              <w14:schemeClr w14:val="tx1"/>
            </w14:solidFill>
          </w14:textFill>
        </w:rPr>
        <w:t>违约责任</w:t>
      </w:r>
    </w:p>
    <w:p w14:paraId="572F902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的产品不符合</w:t>
      </w:r>
      <w:r>
        <w:rPr>
          <w:rFonts w:hint="eastAsia" w:ascii="仿宋" w:hAnsi="仿宋" w:eastAsia="仿宋" w:cs="仿宋"/>
          <w:color w:val="000000" w:themeColor="text1"/>
          <w:szCs w:val="21"/>
          <w:highlight w:val="none"/>
          <w:lang w:eastAsia="zh-CN"/>
          <w14:textFill>
            <w14:solidFill>
              <w14:schemeClr w14:val="tx1"/>
            </w14:solidFill>
          </w14:textFill>
        </w:rPr>
        <w:t>合同约定的</w:t>
      </w:r>
      <w:r>
        <w:rPr>
          <w:rFonts w:hint="eastAsia" w:ascii="仿宋" w:hAnsi="仿宋" w:eastAsia="仿宋" w:cs="仿宋"/>
          <w:color w:val="000000" w:themeColor="text1"/>
          <w:szCs w:val="21"/>
          <w:highlight w:val="none"/>
          <w14:textFill>
            <w14:solidFill>
              <w14:schemeClr w14:val="tx1"/>
            </w14:solidFill>
          </w14:textFill>
        </w:rPr>
        <w:t>质量标准或存在产品质量缺陷，</w:t>
      </w:r>
      <w:r>
        <w:rPr>
          <w:rFonts w:hint="eastAsia" w:ascii="仿宋" w:hAnsi="仿宋" w:eastAsia="仿宋" w:cs="仿宋"/>
          <w:color w:val="000000" w:themeColor="text1"/>
          <w:szCs w:val="21"/>
          <w:highlight w:val="none"/>
          <w:lang w:eastAsia="zh-CN"/>
          <w14:textFill>
            <w14:solidFill>
              <w14:schemeClr w14:val="tx1"/>
            </w14:solidFill>
          </w14:textFill>
        </w:rPr>
        <w:t>甲方有权要求乙方根据</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要求</w:t>
      </w:r>
      <w:r>
        <w:rPr>
          <w:rFonts w:hint="eastAsia" w:ascii="仿宋" w:hAnsi="仿宋" w:eastAsia="仿宋" w:cs="仿宋"/>
          <w:color w:val="000000" w:themeColor="text1"/>
          <w:szCs w:val="21"/>
          <w:highlight w:val="none"/>
          <w:lang w:eastAsia="zh-CN"/>
          <w14:textFill>
            <w14:solidFill>
              <w14:schemeClr w14:val="tx1"/>
            </w14:solidFill>
          </w14:textFill>
        </w:rPr>
        <w:t>及时修理、重作、更换，并承担由此给甲</w:t>
      </w:r>
      <w:r>
        <w:rPr>
          <w:rFonts w:hint="eastAsia" w:ascii="仿宋" w:hAnsi="仿宋" w:eastAsia="仿宋" w:cs="仿宋"/>
          <w:color w:val="000000" w:themeColor="text1"/>
          <w:szCs w:val="21"/>
          <w:highlight w:val="none"/>
          <w14:textFill>
            <w14:solidFill>
              <w14:schemeClr w14:val="tx1"/>
            </w14:solidFill>
          </w14:textFill>
        </w:rPr>
        <w:t>方</w:t>
      </w:r>
      <w:r>
        <w:rPr>
          <w:rFonts w:hint="eastAsia" w:ascii="仿宋" w:hAnsi="仿宋" w:eastAsia="仿宋" w:cs="仿宋"/>
          <w:color w:val="000000" w:themeColor="text1"/>
          <w:szCs w:val="21"/>
          <w:highlight w:val="none"/>
          <w:lang w:eastAsia="zh-CN"/>
          <w14:textFill>
            <w14:solidFill>
              <w14:schemeClr w14:val="tx1"/>
            </w14:solidFill>
          </w14:textFill>
        </w:rPr>
        <w:t>造成的损失</w:t>
      </w:r>
      <w:r>
        <w:rPr>
          <w:rFonts w:hint="eastAsia" w:ascii="仿宋" w:hAnsi="仿宋" w:eastAsia="仿宋" w:cs="仿宋"/>
          <w:color w:val="000000" w:themeColor="text1"/>
          <w:szCs w:val="21"/>
          <w:highlight w:val="none"/>
          <w14:textFill>
            <w14:solidFill>
              <w14:schemeClr w14:val="tx1"/>
            </w14:solidFill>
          </w14:textFill>
        </w:rPr>
        <w:t>。</w:t>
      </w:r>
    </w:p>
    <w:p w14:paraId="5524AF19">
      <w:pPr>
        <w:autoSpaceDE w:val="0"/>
        <w:autoSpaceDN w:val="0"/>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.2 迟延交货的违约责任</w:t>
      </w:r>
    </w:p>
    <w:p w14:paraId="2E17529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（1）乙方应按照本合同规定的时间、地点交货和提供</w:t>
      </w:r>
      <w:r>
        <w:rPr>
          <w:rFonts w:hint="eastAsia" w:ascii="仿宋" w:hAnsi="仿宋" w:eastAsia="仿宋" w:cs="仿宋"/>
          <w:color w:val="000000" w:themeColor="text1"/>
          <w:szCs w:val="21"/>
          <w:highlight w:val="none"/>
          <w:lang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服务。在履行合同过程中，如果乙方遇到可能</w:t>
      </w:r>
      <w:r>
        <w:rPr>
          <w:rFonts w:hint="eastAsia" w:ascii="仿宋" w:hAnsi="仿宋" w:eastAsia="仿宋" w:cs="仿宋"/>
          <w:color w:val="000000" w:themeColor="text1"/>
          <w:szCs w:val="21"/>
          <w:highlight w:val="none"/>
          <w:lang w:eastAsia="zh-CN"/>
          <w14:textFill>
            <w14:solidFill>
              <w14:schemeClr w14:val="tx1"/>
            </w14:solidFill>
          </w14:textFill>
        </w:rPr>
        <w:t>影响</w:t>
      </w:r>
      <w:r>
        <w:rPr>
          <w:rFonts w:hint="eastAsia" w:ascii="仿宋" w:hAnsi="仿宋" w:eastAsia="仿宋" w:cs="仿宋"/>
          <w:color w:val="000000" w:themeColor="text1"/>
          <w:szCs w:val="21"/>
          <w:highlight w:val="none"/>
          <w14:textFill>
            <w14:solidFill>
              <w14:schemeClr w14:val="tx1"/>
            </w14:solidFill>
          </w14:textFill>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000000" w:themeColor="text1"/>
          <w:szCs w:val="21"/>
          <w:highlight w:val="none"/>
          <w:lang w:eastAsia="zh-CN"/>
          <w14:textFill>
            <w14:solidFill>
              <w14:schemeClr w14:val="tx1"/>
            </w14:solidFill>
          </w14:textFill>
        </w:rPr>
        <w:t>长</w:t>
      </w:r>
      <w:r>
        <w:rPr>
          <w:rFonts w:hint="eastAsia" w:ascii="仿宋" w:hAnsi="仿宋" w:eastAsia="仿宋" w:cs="仿宋"/>
          <w:color w:val="000000" w:themeColor="text1"/>
          <w:szCs w:val="21"/>
          <w:highlight w:val="none"/>
          <w14:textFill>
            <w14:solidFill>
              <w14:schemeClr w14:val="tx1"/>
            </w14:solidFill>
          </w14:textFill>
        </w:rPr>
        <w:t>交货时间或延期提供服务。</w:t>
      </w:r>
    </w:p>
    <w:p w14:paraId="6BA2D9E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（2）如果乙方没有按照合同规定的时间交货和提供</w:t>
      </w:r>
      <w:r>
        <w:rPr>
          <w:rFonts w:hint="eastAsia" w:ascii="仿宋" w:hAnsi="仿宋" w:eastAsia="仿宋" w:cs="仿宋"/>
          <w:color w:val="000000" w:themeColor="text1"/>
          <w:szCs w:val="21"/>
          <w:highlight w:val="none"/>
          <w:lang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服务，甲方有权从货款中扣除误期赔偿费而不影响合同项下的其他补救方法，赔偿费按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规定执行。如果涉及公共利益，且赔偿金额无法弥补公共利益损失，</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可要求继续履行或者</w:t>
      </w:r>
      <w:r>
        <w:rPr>
          <w:rFonts w:hint="eastAsia" w:ascii="仿宋" w:hAnsi="仿宋" w:eastAsia="仿宋" w:cs="仿宋"/>
          <w:color w:val="000000" w:themeColor="text1"/>
          <w:szCs w:val="21"/>
          <w:highlight w:val="none"/>
          <w:lang w:eastAsia="zh-CN"/>
          <w14:textFill>
            <w14:solidFill>
              <w14:schemeClr w14:val="tx1"/>
            </w14:solidFill>
          </w14:textFill>
        </w:rPr>
        <w:t>采取其他补救措施</w:t>
      </w:r>
      <w:r>
        <w:rPr>
          <w:rFonts w:hint="eastAsia" w:ascii="仿宋" w:hAnsi="仿宋" w:eastAsia="仿宋" w:cs="仿宋"/>
          <w:color w:val="000000" w:themeColor="text1"/>
          <w:szCs w:val="21"/>
          <w:highlight w:val="none"/>
          <w14:textFill>
            <w14:solidFill>
              <w14:schemeClr w14:val="tx1"/>
            </w14:solidFill>
          </w14:textFill>
        </w:rPr>
        <w:t>。</w:t>
      </w:r>
    </w:p>
    <w:p w14:paraId="0A94C058">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.3 迟延支付的违约责任</w:t>
      </w:r>
    </w:p>
    <w:p w14:paraId="197AB56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规定的逾期付款利息。</w:t>
      </w:r>
    </w:p>
    <w:p w14:paraId="5891A7CD">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.4其他违约责任根据项目实际需要按</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规定执行。</w:t>
      </w:r>
    </w:p>
    <w:p w14:paraId="468D9154">
      <w:pPr>
        <w:numPr>
          <w:ilvl w:val="0"/>
          <w:numId w:val="6"/>
        </w:num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合同变更</w:t>
      </w:r>
      <w:r>
        <w:rPr>
          <w:rFonts w:hint="eastAsia" w:ascii="仿宋" w:hAnsi="仿宋" w:eastAsia="仿宋" w:cs="仿宋"/>
          <w:b/>
          <w:color w:val="000000" w:themeColor="text1"/>
          <w:sz w:val="24"/>
          <w:highlight w:val="none"/>
          <w:lang w:eastAsia="zh-CN"/>
          <w14:textFill>
            <w14:solidFill>
              <w14:schemeClr w14:val="tx1"/>
            </w14:solidFill>
          </w14:textFill>
        </w:rPr>
        <w:t>、中止与终止</w:t>
      </w:r>
    </w:p>
    <w:p w14:paraId="372DA902">
      <w:pPr>
        <w:autoSpaceDE/>
        <w:autoSpaceDN/>
        <w:adjustRightInd w:val="0"/>
        <w:snapToGrid w:val="0"/>
        <w:spacing w:before="0" w:line="400" w:lineRule="exact"/>
        <w:ind w:firstLine="0" w:firstLineChars="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.1合同的</w:t>
      </w:r>
      <w:r>
        <w:rPr>
          <w:rFonts w:hint="eastAsia" w:ascii="仿宋" w:hAnsi="仿宋" w:eastAsia="仿宋" w:cs="仿宋"/>
          <w:color w:val="000000" w:themeColor="text1"/>
          <w:szCs w:val="21"/>
          <w:highlight w:val="none"/>
          <w:lang w:eastAsia="zh-CN"/>
          <w14:textFill>
            <w14:solidFill>
              <w14:schemeClr w14:val="tx1"/>
            </w14:solidFill>
          </w14:textFill>
        </w:rPr>
        <w:t>变更</w:t>
      </w:r>
    </w:p>
    <w:p w14:paraId="07E90E4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政府采购合同履行中，</w:t>
      </w:r>
      <w:r>
        <w:rPr>
          <w:rFonts w:hint="eastAsia" w:ascii="仿宋" w:hAnsi="仿宋" w:eastAsia="仿宋" w:cs="仿宋"/>
          <w:color w:val="000000" w:themeColor="text1"/>
          <w:szCs w:val="21"/>
          <w:highlight w:val="none"/>
          <w14:textFill>
            <w14:solidFill>
              <w14:schemeClr w14:val="tx1"/>
            </w14:solidFill>
          </w14:textFill>
        </w:rPr>
        <w:t>在不改变合同其他条款的前提下，甲方可以在合同价款10%的范围内追加与合同标的相同的货物，并就此与乙方协商</w:t>
      </w:r>
      <w:r>
        <w:rPr>
          <w:rFonts w:hint="eastAsia" w:ascii="仿宋" w:hAnsi="仿宋" w:eastAsia="仿宋" w:cs="仿宋"/>
          <w:color w:val="000000" w:themeColor="text1"/>
          <w:szCs w:val="21"/>
          <w:highlight w:val="none"/>
          <w:lang w:eastAsia="zh-CN"/>
          <w14:textFill>
            <w14:solidFill>
              <w14:schemeClr w14:val="tx1"/>
            </w14:solidFill>
          </w14:textFill>
        </w:rPr>
        <w:t>一致后</w:t>
      </w:r>
      <w:r>
        <w:rPr>
          <w:rFonts w:hint="eastAsia" w:ascii="仿宋" w:hAnsi="仿宋" w:eastAsia="仿宋" w:cs="仿宋"/>
          <w:color w:val="000000" w:themeColor="text1"/>
          <w:szCs w:val="21"/>
          <w:highlight w:val="none"/>
          <w14:textFill>
            <w14:solidFill>
              <w14:schemeClr w14:val="tx1"/>
            </w14:solidFill>
          </w14:textFill>
        </w:rPr>
        <w:t>签订补充协议。</w:t>
      </w:r>
    </w:p>
    <w:p w14:paraId="11FE46AE">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合同的中止</w:t>
      </w:r>
    </w:p>
    <w:p w14:paraId="327DF38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（1）合同履行过程中因供应商就采购文件、采购过程或结果提起投诉的，甲方认为有必要的，</w:t>
      </w:r>
      <w:r>
        <w:rPr>
          <w:rFonts w:hint="eastAsia" w:ascii="仿宋" w:hAnsi="仿宋" w:eastAsia="仿宋" w:cs="仿宋"/>
          <w:color w:val="000000" w:themeColor="text1"/>
          <w:szCs w:val="21"/>
          <w:highlight w:val="none"/>
          <w:lang w:eastAsia="zh-CN"/>
          <w14:textFill>
            <w14:solidFill>
              <w14:schemeClr w14:val="tx1"/>
            </w14:solidFill>
          </w14:textFill>
        </w:rPr>
        <w:t>可以</w:t>
      </w:r>
      <w:r>
        <w:rPr>
          <w:rFonts w:hint="eastAsia" w:ascii="仿宋" w:hAnsi="仿宋" w:eastAsia="仿宋" w:cs="仿宋"/>
          <w:color w:val="000000" w:themeColor="text1"/>
          <w:szCs w:val="21"/>
          <w:highlight w:val="none"/>
          <w14:textFill>
            <w14:solidFill>
              <w14:schemeClr w14:val="tx1"/>
            </w14:solidFill>
          </w14:textFill>
        </w:rPr>
        <w:t>中止合同的履行。</w:t>
      </w:r>
    </w:p>
    <w:p w14:paraId="2B737FE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合同履行过程中，</w:t>
      </w:r>
      <w:r>
        <w:rPr>
          <w:rFonts w:hint="eastAsia" w:ascii="仿宋" w:hAnsi="仿宋" w:eastAsia="仿宋" w:cs="仿宋"/>
          <w:color w:val="000000" w:themeColor="text1"/>
          <w:szCs w:val="21"/>
          <w:highlight w:val="none"/>
          <w14:textFill>
            <w14:solidFill>
              <w14:schemeClr w14:val="tx1"/>
            </w14:solidFill>
          </w14:textFill>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000000" w:themeColor="text1"/>
          <w:szCs w:val="21"/>
          <w:highlight w:val="none"/>
          <w:lang w:eastAsia="zh-CN"/>
          <w14:textFill>
            <w14:solidFill>
              <w14:schemeClr w14:val="tx1"/>
            </w14:solidFill>
          </w14:textFill>
        </w:rPr>
        <w:t>，乙方有义务及时告知甲方</w:t>
      </w:r>
      <w:r>
        <w:rPr>
          <w:rFonts w:hint="eastAsia" w:ascii="仿宋" w:hAnsi="仿宋" w:eastAsia="仿宋" w:cs="仿宋"/>
          <w:color w:val="000000" w:themeColor="text1"/>
          <w:szCs w:val="21"/>
          <w:highlight w:val="none"/>
          <w14:textFill>
            <w14:solidFill>
              <w14:schemeClr w14:val="tx1"/>
            </w14:solidFill>
          </w14:textFill>
        </w:rPr>
        <w:t>。甲方</w:t>
      </w:r>
      <w:r>
        <w:rPr>
          <w:rFonts w:hint="eastAsia" w:ascii="仿宋" w:hAnsi="仿宋" w:eastAsia="仿宋" w:cs="仿宋"/>
          <w:color w:val="000000" w:themeColor="text1"/>
          <w:szCs w:val="21"/>
          <w:highlight w:val="none"/>
          <w:lang w:eastAsia="zh-CN"/>
          <w14:textFill>
            <w14:solidFill>
              <w14:schemeClr w14:val="tx1"/>
            </w14:solidFill>
          </w14:textFill>
        </w:rPr>
        <w:t>有权</w:t>
      </w:r>
      <w:r>
        <w:rPr>
          <w:rFonts w:hint="eastAsia" w:ascii="仿宋" w:hAnsi="仿宋" w:eastAsia="仿宋" w:cs="仿宋"/>
          <w:color w:val="000000" w:themeColor="text1"/>
          <w:szCs w:val="21"/>
          <w:highlight w:val="none"/>
          <w14:textFill>
            <w14:solidFill>
              <w14:schemeClr w14:val="tx1"/>
            </w14:solidFill>
          </w14:textFill>
        </w:rPr>
        <w:t>以书面形式通知乙方中止合同</w:t>
      </w:r>
      <w:r>
        <w:rPr>
          <w:rFonts w:hint="eastAsia" w:ascii="仿宋" w:hAnsi="仿宋" w:eastAsia="仿宋" w:cs="仿宋"/>
          <w:color w:val="000000" w:themeColor="text1"/>
          <w:szCs w:val="21"/>
          <w:highlight w:val="none"/>
          <w:lang w:eastAsia="zh-CN"/>
          <w14:textFill>
            <w14:solidFill>
              <w14:schemeClr w14:val="tx1"/>
            </w14:solidFill>
          </w14:textFill>
        </w:rPr>
        <w:t>并要求乙方在合理期限内消除相关情形或者提供适当担保。</w:t>
      </w:r>
      <w:r>
        <w:rPr>
          <w:rFonts w:hint="eastAsia" w:ascii="仿宋" w:hAnsi="仿宋" w:eastAsia="仿宋" w:cs="仿宋"/>
          <w:color w:val="000000" w:themeColor="text1"/>
          <w:szCs w:val="21"/>
          <w:highlight w:val="none"/>
          <w14:textFill>
            <w14:solidFill>
              <w14:schemeClr w14:val="tx1"/>
            </w14:solidFill>
          </w14:textFill>
        </w:rPr>
        <w:t>乙方提供适当担保的，</w:t>
      </w:r>
      <w:r>
        <w:rPr>
          <w:rFonts w:hint="eastAsia" w:ascii="仿宋" w:hAnsi="仿宋" w:eastAsia="仿宋" w:cs="仿宋"/>
          <w:color w:val="000000" w:themeColor="text1"/>
          <w:szCs w:val="21"/>
          <w:highlight w:val="none"/>
          <w:lang w:eastAsia="zh-CN"/>
          <w14:textFill>
            <w14:solidFill>
              <w14:schemeClr w14:val="tx1"/>
            </w14:solidFill>
          </w14:textFill>
        </w:rPr>
        <w:t>合同继续</w:t>
      </w:r>
      <w:r>
        <w:rPr>
          <w:rFonts w:hint="eastAsia" w:ascii="仿宋" w:hAnsi="仿宋" w:eastAsia="仿宋" w:cs="仿宋"/>
          <w:color w:val="000000" w:themeColor="text1"/>
          <w:szCs w:val="21"/>
          <w:highlight w:val="none"/>
          <w14:textFill>
            <w14:solidFill>
              <w14:schemeClr w14:val="tx1"/>
            </w14:solidFill>
          </w14:textFill>
        </w:rPr>
        <w:t>履行</w:t>
      </w:r>
      <w:r>
        <w:rPr>
          <w:rFonts w:hint="eastAsia" w:ascii="仿宋" w:hAnsi="仿宋" w:eastAsia="仿宋" w:cs="仿宋"/>
          <w:color w:val="000000" w:themeColor="text1"/>
          <w:szCs w:val="21"/>
          <w:highlight w:val="none"/>
          <w:lang w:eastAsia="zh-CN"/>
          <w14:textFill>
            <w14:solidFill>
              <w14:schemeClr w14:val="tx1"/>
            </w14:solidFill>
          </w14:textFill>
        </w:rPr>
        <w:t>；乙</w:t>
      </w:r>
      <w:r>
        <w:rPr>
          <w:rFonts w:hint="eastAsia" w:ascii="仿宋" w:hAnsi="仿宋" w:eastAsia="仿宋" w:cs="仿宋"/>
          <w:color w:val="000000" w:themeColor="text1"/>
          <w:szCs w:val="21"/>
          <w:highlight w:val="none"/>
          <w14:textFill>
            <w14:solidFill>
              <w14:schemeClr w14:val="tx1"/>
            </w14:solidFill>
          </w14:textFill>
        </w:rPr>
        <w:t>方在合理期限内未恢复履约能力且未提供适当担保的，视为拒绝</w:t>
      </w:r>
      <w:r>
        <w:rPr>
          <w:rFonts w:hint="eastAsia" w:ascii="仿宋" w:hAnsi="仿宋" w:eastAsia="仿宋" w:cs="仿宋"/>
          <w:color w:val="000000" w:themeColor="text1"/>
          <w:szCs w:val="21"/>
          <w:highlight w:val="none"/>
          <w:lang w:eastAsia="zh-CN"/>
          <w14:textFill>
            <w14:solidFill>
              <w14:schemeClr w14:val="tx1"/>
            </w14:solidFill>
          </w14:textFill>
        </w:rPr>
        <w:t>继续</w:t>
      </w:r>
      <w:r>
        <w:rPr>
          <w:rFonts w:hint="eastAsia" w:ascii="仿宋" w:hAnsi="仿宋" w:eastAsia="仿宋" w:cs="仿宋"/>
          <w:color w:val="000000" w:themeColor="text1"/>
          <w:szCs w:val="21"/>
          <w:highlight w:val="none"/>
          <w14:textFill>
            <w14:solidFill>
              <w14:schemeClr w14:val="tx1"/>
            </w14:solidFill>
          </w14:textFill>
        </w:rPr>
        <w:t>履约，甲方</w:t>
      </w:r>
      <w:r>
        <w:rPr>
          <w:rFonts w:hint="eastAsia" w:ascii="仿宋" w:hAnsi="仿宋" w:eastAsia="仿宋" w:cs="仿宋"/>
          <w:color w:val="000000" w:themeColor="text1"/>
          <w:szCs w:val="21"/>
          <w:highlight w:val="none"/>
          <w:lang w:eastAsia="zh-CN"/>
          <w14:textFill>
            <w14:solidFill>
              <w14:schemeClr w14:val="tx1"/>
            </w14:solidFill>
          </w14:textFill>
        </w:rPr>
        <w:t>有权</w:t>
      </w:r>
      <w:r>
        <w:rPr>
          <w:rFonts w:hint="eastAsia" w:ascii="仿宋" w:hAnsi="仿宋" w:eastAsia="仿宋" w:cs="仿宋"/>
          <w:color w:val="000000" w:themeColor="text1"/>
          <w:szCs w:val="21"/>
          <w:highlight w:val="none"/>
          <w14:textFill>
            <w14:solidFill>
              <w14:schemeClr w14:val="tx1"/>
            </w14:solidFill>
          </w14:textFill>
        </w:rPr>
        <w:t>解除合同并要求乙方承担</w:t>
      </w:r>
      <w:r>
        <w:rPr>
          <w:rFonts w:hint="eastAsia" w:ascii="仿宋" w:hAnsi="仿宋" w:eastAsia="仿宋" w:cs="仿宋"/>
          <w:color w:val="000000" w:themeColor="text1"/>
          <w:szCs w:val="21"/>
          <w:highlight w:val="none"/>
          <w:lang w:eastAsia="zh-CN"/>
          <w14:textFill>
            <w14:solidFill>
              <w14:schemeClr w14:val="tx1"/>
            </w14:solidFill>
          </w14:textFill>
        </w:rPr>
        <w:t>由此给甲方造成的损失</w:t>
      </w:r>
      <w:r>
        <w:rPr>
          <w:rFonts w:hint="eastAsia" w:ascii="仿宋" w:hAnsi="仿宋" w:eastAsia="仿宋" w:cs="仿宋"/>
          <w:color w:val="000000" w:themeColor="text1"/>
          <w:szCs w:val="21"/>
          <w:highlight w:val="none"/>
          <w14:textFill>
            <w14:solidFill>
              <w14:schemeClr w14:val="tx1"/>
            </w14:solidFill>
          </w14:textFill>
        </w:rPr>
        <w:t>。</w:t>
      </w:r>
    </w:p>
    <w:p w14:paraId="0769FFD8">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（3）乙方分立、合并或者变更住所的，应当及时以书面形式告知甲方。乙方没有</w:t>
      </w:r>
      <w:r>
        <w:rPr>
          <w:rFonts w:hint="eastAsia" w:ascii="仿宋" w:hAnsi="仿宋" w:eastAsia="仿宋" w:cs="仿宋"/>
          <w:color w:val="000000" w:themeColor="text1"/>
          <w:sz w:val="21"/>
          <w:highlight w:val="none"/>
          <w:lang w:eastAsia="zh-CN"/>
          <w14:textFill>
            <w14:solidFill>
              <w14:schemeClr w14:val="tx1"/>
            </w14:solidFill>
          </w14:textFill>
        </w:rPr>
        <w:t>及时告知</w:t>
      </w:r>
      <w:r>
        <w:rPr>
          <w:rFonts w:hint="eastAsia" w:ascii="仿宋" w:hAnsi="仿宋" w:eastAsia="仿宋" w:cs="仿宋"/>
          <w:color w:val="000000" w:themeColor="text1"/>
          <w:sz w:val="21"/>
          <w:highlight w:val="none"/>
          <w14:textFill>
            <w14:solidFill>
              <w14:schemeClr w14:val="tx1"/>
            </w14:solidFill>
          </w14:textFill>
        </w:rPr>
        <w:t>甲方，致使</w:t>
      </w:r>
      <w:r>
        <w:rPr>
          <w:rFonts w:hint="eastAsia" w:ascii="仿宋" w:hAnsi="仿宋" w:eastAsia="仿宋" w:cs="仿宋"/>
          <w:color w:val="000000" w:themeColor="text1"/>
          <w:sz w:val="21"/>
          <w:highlight w:val="none"/>
          <w:lang w:eastAsia="zh-CN"/>
          <w14:textFill>
            <w14:solidFill>
              <w14:schemeClr w14:val="tx1"/>
            </w14:solidFill>
          </w14:textFill>
        </w:rPr>
        <w:t>合同</w:t>
      </w:r>
      <w:r>
        <w:rPr>
          <w:rFonts w:hint="eastAsia" w:ascii="仿宋" w:hAnsi="仿宋" w:eastAsia="仿宋" w:cs="仿宋"/>
          <w:color w:val="000000" w:themeColor="text1"/>
          <w:sz w:val="21"/>
          <w:highlight w:val="none"/>
          <w14:textFill>
            <w14:solidFill>
              <w14:schemeClr w14:val="tx1"/>
            </w14:solidFill>
          </w14:textFill>
        </w:rPr>
        <w:t>履行发生困难的，甲方可以中止合同履行并要求乙方承担由此给甲方造成的损失。</w:t>
      </w:r>
    </w:p>
    <w:p w14:paraId="78508BD2">
      <w:pPr>
        <w:snapToGrid w:val="0"/>
        <w:spacing w:line="400" w:lineRule="exact"/>
        <w:ind w:firstLine="420" w:firstLineChars="200"/>
        <w:jc w:val="left"/>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）甲方不得以行政区划调整、政府换届、机构或者职能调整以及相关责任人更替为由中止合同。</w:t>
      </w:r>
    </w:p>
    <w:p w14:paraId="7EBDABBD">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合同的终止</w:t>
      </w:r>
    </w:p>
    <w:p w14:paraId="43E816F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（1）合同因有效期限届满而终止；</w:t>
      </w:r>
    </w:p>
    <w:p w14:paraId="282B0B29">
      <w:pPr>
        <w:snapToGrid w:val="0"/>
        <w:spacing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（2）乙方未</w:t>
      </w:r>
      <w:r>
        <w:rPr>
          <w:rFonts w:hint="eastAsia" w:ascii="仿宋" w:hAnsi="仿宋" w:eastAsia="仿宋" w:cs="仿宋"/>
          <w:color w:val="000000" w:themeColor="text1"/>
          <w:szCs w:val="21"/>
          <w:highlight w:val="none"/>
          <w:lang w:eastAsia="zh-CN"/>
          <w14:textFill>
            <w14:solidFill>
              <w14:schemeClr w14:val="tx1"/>
            </w14:solidFill>
          </w14:textFill>
        </w:rPr>
        <w:t>按</w:t>
      </w:r>
      <w:r>
        <w:rPr>
          <w:rFonts w:hint="eastAsia" w:ascii="仿宋" w:hAnsi="仿宋" w:eastAsia="仿宋" w:cs="仿宋"/>
          <w:color w:val="000000" w:themeColor="text1"/>
          <w:szCs w:val="21"/>
          <w:highlight w:val="none"/>
          <w14:textFill>
            <w14:solidFill>
              <w14:schemeClr w14:val="tx1"/>
            </w14:solidFill>
          </w14:textFill>
        </w:rPr>
        <w:t>合同约定履行，构成根本性违约的，甲方有权终止合同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并追究乙方的违约责</w:t>
      </w:r>
      <w:r>
        <w:rPr>
          <w:rFonts w:hint="eastAsia" w:ascii="仿宋" w:hAnsi="仿宋" w:eastAsia="仿宋" w:cs="仿宋"/>
          <w:color w:val="000000" w:themeColor="text1"/>
          <w:szCs w:val="21"/>
          <w:highlight w:val="none"/>
          <w:lang w:val="en-US" w:eastAsia="zh-CN"/>
          <w14:textFill>
            <w14:solidFill>
              <w14:schemeClr w14:val="tx1"/>
            </w14:solidFill>
          </w14:textFill>
        </w:rPr>
        <w:t>任</w:t>
      </w:r>
      <w:r>
        <w:rPr>
          <w:rFonts w:hint="eastAsia" w:ascii="仿宋" w:hAnsi="仿宋" w:eastAsia="仿宋" w:cs="仿宋"/>
          <w:color w:val="000000" w:themeColor="text1"/>
          <w:szCs w:val="21"/>
          <w:highlight w:val="none"/>
          <w14:textFill>
            <w14:solidFill>
              <w14:schemeClr w14:val="tx1"/>
            </w14:solidFill>
          </w14:textFill>
        </w:rPr>
        <w:t>。</w:t>
      </w:r>
    </w:p>
    <w:p w14:paraId="545C94CE">
      <w:pPr>
        <w:pStyle w:val="966"/>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16.4 </w:t>
      </w: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涉及国家利益、社会公共利益的情形</w:t>
      </w:r>
    </w:p>
    <w:p w14:paraId="06C791F1">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政府采购合同继续履行将损害国家利益和社会公共利益的，双方当事人</w:t>
      </w:r>
      <w:r>
        <w:rPr>
          <w:rFonts w:hint="eastAsia" w:ascii="仿宋" w:hAnsi="仿宋" w:eastAsia="仿宋" w:cs="仿宋"/>
          <w:color w:val="000000" w:themeColor="text1"/>
          <w:sz w:val="21"/>
          <w:highlight w:val="none"/>
          <w:lang w:val="en-US" w:eastAsia="zh-CN"/>
          <w14:textFill>
            <w14:solidFill>
              <w14:schemeClr w14:val="tx1"/>
            </w14:solidFill>
          </w14:textFill>
        </w:rPr>
        <w:t>应当变更、</w:t>
      </w:r>
      <w:r>
        <w:rPr>
          <w:rFonts w:hint="eastAsia" w:ascii="仿宋" w:hAnsi="仿宋" w:eastAsia="仿宋" w:cs="仿宋"/>
          <w:color w:val="000000" w:themeColor="text1"/>
          <w:sz w:val="21"/>
          <w:highlight w:val="none"/>
          <w14:textFill>
            <w14:solidFill>
              <w14:schemeClr w14:val="tx1"/>
            </w14:solidFill>
          </w14:textFill>
        </w:rPr>
        <w:t>中止</w:t>
      </w:r>
      <w:r>
        <w:rPr>
          <w:rFonts w:hint="eastAsia" w:ascii="仿宋" w:hAnsi="仿宋" w:eastAsia="仿宋" w:cs="仿宋"/>
          <w:color w:val="000000" w:themeColor="text1"/>
          <w:sz w:val="21"/>
          <w:highlight w:val="none"/>
          <w:lang w:eastAsia="zh-CN"/>
          <w14:textFill>
            <w14:solidFill>
              <w14:schemeClr w14:val="tx1"/>
            </w14:solidFill>
          </w14:textFill>
        </w:rPr>
        <w:t>或者终止</w:t>
      </w:r>
      <w:r>
        <w:rPr>
          <w:rFonts w:hint="eastAsia" w:ascii="仿宋" w:hAnsi="仿宋" w:eastAsia="仿宋" w:cs="仿宋"/>
          <w:color w:val="000000" w:themeColor="text1"/>
          <w:sz w:val="21"/>
          <w:highlight w:val="none"/>
          <w14:textFill>
            <w14:solidFill>
              <w14:schemeClr w14:val="tx1"/>
            </w14:solidFill>
          </w14:textFill>
        </w:rPr>
        <w:t>合同。有过错的一方应当承担赔偿责任，双方都有过错的，各自承担相应的责任。</w:t>
      </w:r>
    </w:p>
    <w:p w14:paraId="1566D059">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7</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合同分包</w:t>
      </w:r>
    </w:p>
    <w:p w14:paraId="4E480B1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乙方不得</w:t>
      </w:r>
      <w:r>
        <w:rPr>
          <w:rFonts w:hint="eastAsia" w:ascii="仿宋" w:hAnsi="仿宋" w:eastAsia="仿宋" w:cs="仿宋"/>
          <w:color w:val="000000" w:themeColor="text1"/>
          <w:szCs w:val="21"/>
          <w:highlight w:val="none"/>
          <w:lang w:eastAsia="zh-CN"/>
          <w14:textFill>
            <w14:solidFill>
              <w14:schemeClr w14:val="tx1"/>
            </w14:solidFill>
          </w14:textFill>
        </w:rPr>
        <w:t>将合同转包给其他供应商。涉及合同分包的，乙方</w:t>
      </w:r>
      <w:r>
        <w:rPr>
          <w:rFonts w:hint="eastAsia" w:ascii="仿宋" w:hAnsi="仿宋" w:eastAsia="仿宋" w:cs="仿宋"/>
          <w:color w:val="000000" w:themeColor="text1"/>
          <w:szCs w:val="21"/>
          <w:highlight w:val="none"/>
          <w:lang w:val="en-US" w:eastAsia="zh-CN"/>
          <w14:textFill>
            <w14:solidFill>
              <w14:schemeClr w14:val="tx1"/>
            </w14:solidFill>
          </w14:textFill>
        </w:rPr>
        <w:t>应</w:t>
      </w:r>
      <w:r>
        <w:rPr>
          <w:rFonts w:hint="eastAsia" w:ascii="仿宋" w:hAnsi="仿宋" w:eastAsia="仿宋" w:cs="仿宋"/>
          <w:color w:val="000000" w:themeColor="text1"/>
          <w:szCs w:val="21"/>
          <w:highlight w:val="none"/>
          <w:lang w:eastAsia="zh-CN"/>
          <w14:textFill>
            <w14:solidFill>
              <w14:schemeClr w14:val="tx1"/>
            </w14:solidFill>
          </w14:textFill>
        </w:rPr>
        <w:t>根据采购文件和投标（响应）文件规定进行</w:t>
      </w:r>
      <w:r>
        <w:rPr>
          <w:rFonts w:hint="eastAsia" w:ascii="仿宋" w:hAnsi="仿宋" w:eastAsia="仿宋" w:cs="仿宋"/>
          <w:color w:val="000000" w:themeColor="text1"/>
          <w:szCs w:val="21"/>
          <w:highlight w:val="none"/>
          <w14:textFill>
            <w14:solidFill>
              <w14:schemeClr w14:val="tx1"/>
            </w14:solidFill>
          </w14:textFill>
        </w:rPr>
        <w:t>合同分包。</w:t>
      </w:r>
    </w:p>
    <w:p w14:paraId="54A55AD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乙方执行政府采购政策向中小企业依法分包的</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乙方应当按采购文件</w:t>
      </w:r>
      <w:r>
        <w:rPr>
          <w:rFonts w:hint="eastAsia" w:ascii="仿宋" w:hAnsi="仿宋" w:eastAsia="仿宋" w:cs="仿宋"/>
          <w:color w:val="000000" w:themeColor="text1"/>
          <w:szCs w:val="21"/>
          <w:highlight w:val="none"/>
          <w:lang w:eastAsia="zh-CN"/>
          <w14:textFill>
            <w14:solidFill>
              <w14:schemeClr w14:val="tx1"/>
            </w14:solidFill>
          </w14:textFill>
        </w:rPr>
        <w:t>和</w:t>
      </w:r>
      <w:r>
        <w:rPr>
          <w:rFonts w:hint="eastAsia" w:ascii="仿宋" w:hAnsi="仿宋" w:eastAsia="仿宋" w:cs="仿宋"/>
          <w:color w:val="000000" w:themeColor="text1"/>
          <w:szCs w:val="21"/>
          <w:highlight w:val="none"/>
          <w14:textFill>
            <w14:solidFill>
              <w14:schemeClr w14:val="tx1"/>
            </w14:solidFill>
          </w14:textFill>
        </w:rPr>
        <w:t>投标（响应）文件签订分包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协议属于本合同组成部分。</w:t>
      </w:r>
    </w:p>
    <w:p w14:paraId="25B53F8A">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8</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不可抗力</w:t>
      </w:r>
    </w:p>
    <w:p w14:paraId="649C54A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.1 不可抗力是指合同双方不能预见、不能避免且不能克服的客观情况。</w:t>
      </w:r>
    </w:p>
    <w:p w14:paraId="3E5E667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 任何一方对由于不可抗力造成的部分或全部不能履行合同不承担违约责任。但迟延履行后发生不可抗力的，不能免除责任。</w:t>
      </w:r>
    </w:p>
    <w:p w14:paraId="5C5DEA3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.3 遇有不可抗力的一方，应及时将事件情况以书面形式</w:t>
      </w:r>
      <w:r>
        <w:rPr>
          <w:rFonts w:hint="eastAsia" w:ascii="仿宋" w:hAnsi="仿宋" w:eastAsia="仿宋" w:cs="仿宋"/>
          <w:color w:val="000000" w:themeColor="text1"/>
          <w:szCs w:val="21"/>
          <w:highlight w:val="none"/>
          <w:lang w:eastAsia="zh-CN"/>
          <w14:textFill>
            <w14:solidFill>
              <w14:schemeClr w14:val="tx1"/>
            </w14:solidFill>
          </w14:textFill>
        </w:rPr>
        <w:t>告</w:t>
      </w:r>
      <w:r>
        <w:rPr>
          <w:rFonts w:hint="eastAsia" w:ascii="仿宋" w:hAnsi="仿宋" w:eastAsia="仿宋" w:cs="仿宋"/>
          <w:color w:val="000000" w:themeColor="text1"/>
          <w:szCs w:val="21"/>
          <w:highlight w:val="none"/>
          <w14:textFill>
            <w14:solidFill>
              <w14:schemeClr w14:val="tx1"/>
            </w14:solidFill>
          </w14:textFill>
        </w:rPr>
        <w:t>知另一方，并在事件发生后及时向另一方提交合同不能履行或部分不能履行或需要延期履行</w:t>
      </w:r>
      <w:r>
        <w:rPr>
          <w:rFonts w:hint="eastAsia" w:ascii="仿宋" w:hAnsi="仿宋" w:eastAsia="仿宋" w:cs="仿宋"/>
          <w:color w:val="000000" w:themeColor="text1"/>
          <w:szCs w:val="21"/>
          <w:highlight w:val="none"/>
          <w:lang w:eastAsia="zh-CN"/>
          <w14:textFill>
            <w14:solidFill>
              <w14:schemeClr w14:val="tx1"/>
            </w14:solidFill>
          </w14:textFill>
        </w:rPr>
        <w:t>的详细</w:t>
      </w:r>
      <w:r>
        <w:rPr>
          <w:rFonts w:hint="eastAsia" w:ascii="仿宋" w:hAnsi="仿宋" w:eastAsia="仿宋" w:cs="仿宋"/>
          <w:color w:val="000000" w:themeColor="text1"/>
          <w:szCs w:val="21"/>
          <w:highlight w:val="none"/>
          <w14:textFill>
            <w14:solidFill>
              <w14:schemeClr w14:val="tx1"/>
            </w14:solidFill>
          </w14:textFill>
        </w:rPr>
        <w:t>报告</w:t>
      </w:r>
      <w:r>
        <w:rPr>
          <w:rFonts w:hint="eastAsia" w:ascii="仿宋" w:hAnsi="仿宋" w:eastAsia="仿宋" w:cs="仿宋"/>
          <w:color w:val="000000" w:themeColor="text1"/>
          <w:szCs w:val="21"/>
          <w:highlight w:val="none"/>
          <w:lang w:eastAsia="zh-CN"/>
          <w14:textFill>
            <w14:solidFill>
              <w14:schemeClr w14:val="tx1"/>
            </w14:solidFill>
          </w14:textFill>
        </w:rPr>
        <w:t>，以</w:t>
      </w:r>
      <w:r>
        <w:rPr>
          <w:rFonts w:hint="eastAsia" w:ascii="仿宋" w:hAnsi="仿宋" w:eastAsia="仿宋" w:cs="仿宋"/>
          <w:color w:val="000000" w:themeColor="text1"/>
          <w:szCs w:val="21"/>
          <w:highlight w:val="none"/>
          <w:lang w:val="en-US" w:eastAsia="zh-CN"/>
          <w14:textFill>
            <w14:solidFill>
              <w14:schemeClr w14:val="tx1"/>
            </w14:solidFill>
          </w14:textFill>
        </w:rPr>
        <w:t>及证明不可抗力发生及其持续时间的证据</w:t>
      </w:r>
      <w:r>
        <w:rPr>
          <w:rFonts w:hint="eastAsia" w:ascii="仿宋" w:hAnsi="仿宋" w:eastAsia="仿宋" w:cs="仿宋"/>
          <w:color w:val="000000" w:themeColor="text1"/>
          <w:szCs w:val="21"/>
          <w:highlight w:val="none"/>
          <w14:textFill>
            <w14:solidFill>
              <w14:schemeClr w14:val="tx1"/>
            </w14:solidFill>
          </w14:textFill>
        </w:rPr>
        <w:t>。</w:t>
      </w:r>
    </w:p>
    <w:p w14:paraId="0FDA0D00">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19</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解决争议的方法</w:t>
      </w:r>
    </w:p>
    <w:p w14:paraId="610AC9F7">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.1 因本合同及合同有关事项发生的争议，由</w:t>
      </w:r>
      <w:r>
        <w:rPr>
          <w:rFonts w:hint="eastAsia" w:ascii="仿宋" w:hAnsi="仿宋" w:eastAsia="仿宋" w:cs="仿宋"/>
          <w:color w:val="000000" w:themeColor="text1"/>
          <w:sz w:val="21"/>
          <w:highlight w:val="none"/>
          <w:lang w:eastAsia="zh-CN"/>
          <w14:textFill>
            <w14:solidFill>
              <w14:schemeClr w14:val="tx1"/>
            </w14:solidFill>
          </w14:textFill>
        </w:rPr>
        <w:t>甲乙双</w:t>
      </w:r>
      <w:r>
        <w:rPr>
          <w:rFonts w:hint="eastAsia" w:ascii="仿宋" w:hAnsi="仿宋" w:eastAsia="仿宋" w:cs="仿宋"/>
          <w:color w:val="000000" w:themeColor="text1"/>
          <w:sz w:val="21"/>
          <w:highlight w:val="none"/>
          <w14:textFill>
            <w14:solidFill>
              <w14:schemeClr w14:val="tx1"/>
            </w14:solidFill>
          </w14:textFill>
        </w:rPr>
        <w:t>方友好协商解决。协商不成时，可以</w:t>
      </w:r>
      <w:r>
        <w:rPr>
          <w:rFonts w:hint="eastAsia" w:ascii="仿宋" w:hAnsi="仿宋" w:eastAsia="仿宋" w:cs="仿宋"/>
          <w:color w:val="000000" w:themeColor="text1"/>
          <w:sz w:val="21"/>
          <w:highlight w:val="none"/>
          <w:lang w:eastAsia="zh-CN"/>
          <w14:textFill>
            <w14:solidFill>
              <w14:schemeClr w14:val="tx1"/>
            </w14:solidFill>
          </w14:textFill>
        </w:rPr>
        <w:t>向有关组织申请</w:t>
      </w:r>
      <w:r>
        <w:rPr>
          <w:rFonts w:hint="eastAsia" w:ascii="仿宋" w:hAnsi="仿宋" w:eastAsia="仿宋" w:cs="仿宋"/>
          <w:color w:val="000000" w:themeColor="text1"/>
          <w:sz w:val="21"/>
          <w:highlight w:val="none"/>
          <w14:textFill>
            <w14:solidFill>
              <w14:schemeClr w14:val="tx1"/>
            </w14:solidFill>
          </w14:textFill>
        </w:rPr>
        <w:t>调解。合同一方或</w:t>
      </w:r>
      <w:r>
        <w:rPr>
          <w:rFonts w:hint="eastAsia" w:ascii="仿宋" w:hAnsi="仿宋" w:eastAsia="仿宋" w:cs="仿宋"/>
          <w:color w:val="000000" w:themeColor="text1"/>
          <w:sz w:val="21"/>
          <w:highlight w:val="none"/>
          <w:lang w:eastAsia="zh-CN"/>
          <w14:textFill>
            <w14:solidFill>
              <w14:schemeClr w14:val="tx1"/>
            </w14:solidFill>
          </w14:textFill>
        </w:rPr>
        <w:t>双</w:t>
      </w:r>
      <w:r>
        <w:rPr>
          <w:rFonts w:hint="eastAsia" w:ascii="仿宋" w:hAnsi="仿宋" w:eastAsia="仿宋" w:cs="仿宋"/>
          <w:color w:val="000000" w:themeColor="text1"/>
          <w:sz w:val="21"/>
          <w:highlight w:val="none"/>
          <w14:textFill>
            <w14:solidFill>
              <w14:schemeClr w14:val="tx1"/>
            </w14:solidFill>
          </w14:textFill>
        </w:rPr>
        <w:t>方不愿调解或调解不成的，可以通过仲裁或诉讼的方式解决争议。</w:t>
      </w:r>
    </w:p>
    <w:p w14:paraId="57B33C04">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.2 选择仲裁的，应在</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highlight w:val="none"/>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highlight w:val="none"/>
          <w14:textFill>
            <w14:solidFill>
              <w14:schemeClr w14:val="tx1"/>
            </w14:solidFill>
          </w14:textFill>
        </w:rPr>
        <w:t>中进一步约定选择与争议有实际联系的地点的人民法院管辖，但管辖法院的约定不得违反级别管辖和专属管辖的规定。</w:t>
      </w:r>
    </w:p>
    <w:p w14:paraId="3BE413F6">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.3 如</w:t>
      </w:r>
      <w:r>
        <w:rPr>
          <w:rFonts w:hint="eastAsia" w:ascii="仿宋" w:hAnsi="仿宋" w:eastAsia="仿宋" w:cs="仿宋"/>
          <w:color w:val="000000" w:themeColor="text1"/>
          <w:sz w:val="21"/>
          <w:highlight w:val="none"/>
          <w:lang w:eastAsia="zh-CN"/>
          <w14:textFill>
            <w14:solidFill>
              <w14:schemeClr w14:val="tx1"/>
            </w14:solidFill>
          </w14:textFill>
        </w:rPr>
        <w:t>甲乙双方</w:t>
      </w:r>
      <w:r>
        <w:rPr>
          <w:rFonts w:hint="eastAsia" w:ascii="仿宋" w:hAnsi="仿宋" w:eastAsia="仿宋" w:cs="仿宋"/>
          <w:color w:val="000000" w:themeColor="text1"/>
          <w:sz w:val="21"/>
          <w:highlight w:val="none"/>
          <w14:textFill>
            <w14:solidFill>
              <w14:schemeClr w14:val="tx1"/>
            </w14:solidFill>
          </w14:textFill>
        </w:rPr>
        <w:t>有争议的事项不影响合同其他部分的履行，在争议解决期间，合同其他部分应</w:t>
      </w:r>
      <w:r>
        <w:rPr>
          <w:rFonts w:hint="eastAsia" w:ascii="仿宋" w:hAnsi="仿宋" w:eastAsia="仿宋" w:cs="仿宋"/>
          <w:color w:val="000000" w:themeColor="text1"/>
          <w:sz w:val="21"/>
          <w:highlight w:val="none"/>
          <w:lang w:eastAsia="zh-CN"/>
          <w14:textFill>
            <w14:solidFill>
              <w14:schemeClr w14:val="tx1"/>
            </w14:solidFill>
          </w14:textFill>
        </w:rPr>
        <w:t>当</w:t>
      </w:r>
      <w:r>
        <w:rPr>
          <w:rFonts w:hint="eastAsia" w:ascii="仿宋" w:hAnsi="仿宋" w:eastAsia="仿宋" w:cs="仿宋"/>
          <w:color w:val="000000" w:themeColor="text1"/>
          <w:sz w:val="21"/>
          <w:highlight w:val="none"/>
          <w14:textFill>
            <w14:solidFill>
              <w14:schemeClr w14:val="tx1"/>
            </w14:solidFill>
          </w14:textFill>
        </w:rPr>
        <w:t>继续履行。</w:t>
      </w:r>
    </w:p>
    <w:p w14:paraId="2F89C61E">
      <w:pPr>
        <w:autoSpaceDE w:val="0"/>
        <w:autoSpaceDN w:val="0"/>
        <w:adjustRightInd w:val="0"/>
        <w:snapToGrid w:val="0"/>
        <w:spacing w:before="0"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政府采购政策</w:t>
      </w:r>
    </w:p>
    <w:p w14:paraId="69892F6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20.1 </w:t>
      </w:r>
      <w:r>
        <w:rPr>
          <w:rFonts w:hint="eastAsia" w:ascii="仿宋" w:hAnsi="仿宋" w:eastAsia="仿宋" w:cs="仿宋"/>
          <w:color w:val="000000" w:themeColor="text1"/>
          <w:highlight w:val="none"/>
          <w:lang w:val="en-GB"/>
          <w14:textFill>
            <w14:solidFill>
              <w14:schemeClr w14:val="tx1"/>
            </w14:solidFill>
          </w14:textFill>
        </w:rPr>
        <w:t>本合同应当按照规定执行政府采购政策。</w:t>
      </w:r>
    </w:p>
    <w:p w14:paraId="1F77F098">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 xml:space="preserve"> 本合同依法执行政府采购政策的方式和内容，属于合同履约验收的范围。</w:t>
      </w:r>
      <w:r>
        <w:rPr>
          <w:rFonts w:hint="eastAsia" w:ascii="仿宋" w:hAnsi="仿宋" w:eastAsia="仿宋" w:cs="仿宋"/>
          <w:color w:val="000000" w:themeColor="text1"/>
          <w:sz w:val="21"/>
          <w:highlight w:val="none"/>
          <w:lang w:eastAsia="zh-CN"/>
          <w14:textFill>
            <w14:solidFill>
              <w14:schemeClr w14:val="tx1"/>
            </w14:solidFill>
          </w14:textFill>
        </w:rPr>
        <w:t>甲乙双方</w:t>
      </w:r>
      <w:r>
        <w:rPr>
          <w:rFonts w:hint="eastAsia" w:ascii="仿宋" w:hAnsi="仿宋" w:eastAsia="仿宋" w:cs="仿宋"/>
          <w:color w:val="000000" w:themeColor="text1"/>
          <w:highlight w:val="none"/>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highlight w:val="none"/>
          <w14:textFill>
            <w14:solidFill>
              <w14:schemeClr w14:val="tx1"/>
            </w14:solidFill>
          </w14:textFill>
        </w:rPr>
        <w:t>，有过错的一方应当承担赔偿责任，双方都有过错的，各自承担相应的责任。</w:t>
      </w:r>
    </w:p>
    <w:p w14:paraId="79E89DE7">
      <w:pPr>
        <w:pStyle w:val="23"/>
        <w:spacing w:after="0" w:line="40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 对于</w:t>
      </w:r>
      <w:r>
        <w:rPr>
          <w:rFonts w:hint="eastAsia" w:ascii="仿宋" w:hAnsi="仿宋" w:eastAsia="仿宋" w:cs="仿宋"/>
          <w:color w:val="000000" w:themeColor="text1"/>
          <w:szCs w:val="21"/>
          <w:highlight w:val="none"/>
          <w:lang w:eastAsia="zh-CN"/>
          <w14:textFill>
            <w14:solidFill>
              <w14:schemeClr w14:val="tx1"/>
            </w14:solidFill>
          </w14:textFill>
        </w:rPr>
        <w:t>为落实中小企业支持政策，</w:t>
      </w:r>
      <w:r>
        <w:rPr>
          <w:rFonts w:hint="eastAsia" w:ascii="仿宋" w:hAnsi="仿宋" w:eastAsia="仿宋" w:cs="仿宋"/>
          <w:color w:val="000000" w:themeColor="text1"/>
          <w:szCs w:val="21"/>
          <w:highlight w:val="none"/>
          <w14:textFill>
            <w14:solidFill>
              <w14:schemeClr w14:val="tx1"/>
            </w14:solidFill>
          </w14:textFill>
        </w:rPr>
        <w:t>通过采购项目</w:t>
      </w:r>
      <w:r>
        <w:rPr>
          <w:rFonts w:hint="eastAsia" w:ascii="仿宋" w:hAnsi="仿宋" w:eastAsia="仿宋" w:cs="仿宋"/>
          <w:color w:val="000000" w:themeColor="text1"/>
          <w:szCs w:val="21"/>
          <w:highlight w:val="none"/>
          <w:lang w:eastAsia="zh-CN"/>
          <w14:textFill>
            <w14:solidFill>
              <w14:schemeClr w14:val="tx1"/>
            </w14:solidFill>
          </w14:textFill>
        </w:rPr>
        <w:t>整体</w:t>
      </w:r>
      <w:r>
        <w:rPr>
          <w:rFonts w:hint="eastAsia" w:ascii="仿宋" w:hAnsi="仿宋" w:eastAsia="仿宋" w:cs="仿宋"/>
          <w:color w:val="000000" w:themeColor="text1"/>
          <w:szCs w:val="21"/>
          <w:highlight w:val="none"/>
          <w14:textFill>
            <w14:solidFill>
              <w14:schemeClr w14:val="tx1"/>
            </w14:solidFill>
          </w14:textFill>
        </w:rPr>
        <w:t>预留、</w:t>
      </w:r>
      <w:r>
        <w:rPr>
          <w:rFonts w:hint="eastAsia" w:ascii="仿宋" w:hAnsi="仿宋" w:eastAsia="仿宋" w:cs="仿宋"/>
          <w:color w:val="000000" w:themeColor="text1"/>
          <w:szCs w:val="21"/>
          <w:highlight w:val="none"/>
          <w:lang w:eastAsia="zh-CN"/>
          <w14:textFill>
            <w14:solidFill>
              <w14:schemeClr w14:val="tx1"/>
            </w14:solidFill>
          </w14:textFill>
        </w:rPr>
        <w:t>设置</w:t>
      </w:r>
      <w:r>
        <w:rPr>
          <w:rFonts w:hint="eastAsia" w:ascii="仿宋" w:hAnsi="仿宋" w:eastAsia="仿宋" w:cs="仿宋"/>
          <w:color w:val="000000" w:themeColor="text1"/>
          <w:szCs w:val="21"/>
          <w:highlight w:val="none"/>
          <w14:textFill>
            <w14:solidFill>
              <w14:schemeClr w14:val="tx1"/>
            </w14:solidFill>
          </w14:textFill>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16AC7B3">
      <w:p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法律适用</w:t>
      </w:r>
    </w:p>
    <w:p w14:paraId="0BF64E53">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.1 本合同的订立、生效、解释、履行及与本合同有关的争议解决，均适用法律、行政法规。</w:t>
      </w:r>
    </w:p>
    <w:p w14:paraId="1EF692FC">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.2 本合同条款与法律、行政法规的强制性规定不一致的，双方当事人应按照法律、行政法规的强制性规定修改本合同的相关条款。</w:t>
      </w:r>
    </w:p>
    <w:p w14:paraId="0A49AB81">
      <w:pPr>
        <w:numPr>
          <w:ilvl w:val="0"/>
          <w:numId w:val="0"/>
        </w:num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 xml:space="preserve">22. </w:t>
      </w:r>
      <w:r>
        <w:rPr>
          <w:rFonts w:hint="eastAsia" w:ascii="仿宋" w:hAnsi="仿宋" w:eastAsia="仿宋" w:cs="仿宋"/>
          <w:b/>
          <w:color w:val="000000" w:themeColor="text1"/>
          <w:sz w:val="24"/>
          <w:highlight w:val="none"/>
          <w14:textFill>
            <w14:solidFill>
              <w14:schemeClr w14:val="tx1"/>
            </w14:solidFill>
          </w14:textFill>
        </w:rPr>
        <w:t>通知</w:t>
      </w:r>
    </w:p>
    <w:p w14:paraId="2ECA7D18">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.1</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本合同任何一方向对方发出的通知、信件、数据电文等，应当发送至本合同第一部分《政府采购合同协议书》所约定的通讯地址、联系人、联系电话或电子邮箱。</w:t>
      </w:r>
    </w:p>
    <w:p w14:paraId="5FE38752">
      <w:pPr>
        <w:pStyle w:val="966"/>
        <w:ind w:firstLine="0" w:firstLineChars="0"/>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一方当事人变更名称、</w:t>
      </w:r>
      <w:r>
        <w:rPr>
          <w:rFonts w:hint="eastAsia" w:ascii="仿宋" w:hAnsi="仿宋" w:eastAsia="仿宋" w:cs="仿宋"/>
          <w:color w:val="000000" w:themeColor="text1"/>
          <w:sz w:val="21"/>
          <w:highlight w:val="none"/>
          <w:lang w:eastAsia="zh-CN"/>
          <w14:textFill>
            <w14:solidFill>
              <w14:schemeClr w14:val="tx1"/>
            </w14:solidFill>
          </w14:textFill>
        </w:rPr>
        <w:t>住所</w:t>
      </w:r>
      <w:r>
        <w:rPr>
          <w:rFonts w:hint="eastAsia" w:ascii="仿宋" w:hAnsi="仿宋" w:eastAsia="仿宋" w:cs="仿宋"/>
          <w:color w:val="000000" w:themeColor="text1"/>
          <w:sz w:val="21"/>
          <w:highlight w:val="none"/>
          <w14:textFill>
            <w14:solidFill>
              <w14:schemeClr w14:val="tx1"/>
            </w14:solidFill>
          </w14:textFill>
        </w:rPr>
        <w:t>、联系人、联系电话或电子邮箱</w:t>
      </w:r>
      <w:r>
        <w:rPr>
          <w:rFonts w:hint="eastAsia" w:ascii="仿宋" w:hAnsi="仿宋" w:eastAsia="仿宋" w:cs="仿宋"/>
          <w:color w:val="000000" w:themeColor="text1"/>
          <w:sz w:val="21"/>
          <w:highlight w:val="none"/>
          <w:lang w:eastAsia="zh-CN"/>
          <w14:textFill>
            <w14:solidFill>
              <w14:schemeClr w14:val="tx1"/>
            </w14:solidFill>
          </w14:textFill>
        </w:rPr>
        <w:t>等信息</w:t>
      </w:r>
      <w:r>
        <w:rPr>
          <w:rFonts w:hint="eastAsia" w:ascii="仿宋" w:hAnsi="仿宋" w:eastAsia="仿宋" w:cs="仿宋"/>
          <w:color w:val="000000" w:themeColor="text1"/>
          <w:sz w:val="21"/>
          <w:highlight w:val="none"/>
          <w14:textFill>
            <w14:solidFill>
              <w14:schemeClr w14:val="tx1"/>
            </w14:solidFill>
          </w14:textFill>
        </w:rPr>
        <w:t>的，应当在变更后3日内及时书面通知对方，对方实际收到变更通知前的送达仍为有效送达。</w:t>
      </w:r>
    </w:p>
    <w:p w14:paraId="459BCA5F">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本合同一方给另一方的通知均应采用书面形式，传真或快递送到本合同中规定的对方的地址和办理签收手续。</w:t>
      </w:r>
    </w:p>
    <w:p w14:paraId="74D9B8A6">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通知以送达之日或通知书中规定的生效之日起生效，两者中以较迟之日为准。</w:t>
      </w:r>
    </w:p>
    <w:p w14:paraId="57BB9BDE">
      <w:pPr>
        <w:numPr>
          <w:ilvl w:val="0"/>
          <w:numId w:val="7"/>
        </w:num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合同未尽事项</w:t>
      </w:r>
    </w:p>
    <w:p w14:paraId="168B8996">
      <w:pPr>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w:t>
      </w:r>
      <w:r>
        <w:rPr>
          <w:rFonts w:hint="eastAsia" w:ascii="仿宋" w:hAnsi="仿宋" w:eastAsia="仿宋" w:cs="仿宋"/>
          <w:bCs/>
          <w:color w:val="000000" w:themeColor="text1"/>
          <w:szCs w:val="21"/>
          <w:highlight w:val="none"/>
          <w:lang w:val="en-US" w:eastAsia="zh-CN"/>
          <w14:textFill>
            <w14:solidFill>
              <w14:schemeClr w14:val="tx1"/>
            </w14:solidFill>
          </w14:textFill>
        </w:rPr>
        <w:t>3</w:t>
      </w:r>
      <w:r>
        <w:rPr>
          <w:rFonts w:hint="eastAsia" w:ascii="仿宋" w:hAnsi="仿宋" w:eastAsia="仿宋" w:cs="仿宋"/>
          <w:bCs/>
          <w:color w:val="000000" w:themeColor="text1"/>
          <w:szCs w:val="21"/>
          <w:highlight w:val="none"/>
          <w14:textFill>
            <w14:solidFill>
              <w14:schemeClr w14:val="tx1"/>
            </w14:solidFill>
          </w14:textFill>
        </w:rPr>
        <w:t>.1合同未尽事项见</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w:t>
      </w:r>
    </w:p>
    <w:p w14:paraId="61A66DEA">
      <w:pPr>
        <w:adjustRightInd w:val="0"/>
        <w:snapToGrid w:val="0"/>
        <w:spacing w:line="400" w:lineRule="exact"/>
        <w:ind w:firstLine="0" w:firstLineChars="0"/>
        <w:jc w:val="lef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23.2 合同附件与合同正文具有同等的法律效力。</w:t>
      </w:r>
      <w:bookmarkStart w:id="43" w:name="_Toc20313"/>
    </w:p>
    <w:p w14:paraId="613AF013">
      <w:pPr>
        <w:adjustRightInd w:val="0"/>
        <w:snapToGrid w:val="0"/>
        <w:jc w:val="center"/>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br w:type="page"/>
      </w:r>
    </w:p>
    <w:p w14:paraId="7FDDB477">
      <w:pPr>
        <w:pStyle w:val="3"/>
        <w:adjustRightInd w:val="0"/>
        <w:snapToGrid w:val="0"/>
        <w:jc w:val="center"/>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t>第三节 政府采购合同专用条款</w:t>
      </w:r>
      <w:bookmarkEnd w:id="4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AF37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17BC274">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5DC3425A">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第1.2（</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635337F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联合体具体要求</w:t>
            </w:r>
          </w:p>
        </w:tc>
        <w:tc>
          <w:tcPr>
            <w:tcW w:w="5170" w:type="dxa"/>
            <w:noWrap w:val="0"/>
            <w:vAlign w:val="center"/>
          </w:tcPr>
          <w:p w14:paraId="7CC37172">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62FF9E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37ABD38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721F5C49">
            <w:pPr>
              <w:adjustRightInd w:val="0"/>
              <w:snapToGrid w:val="0"/>
              <w:jc w:val="cente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第1.2（</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5D53BE96">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其他术语解释</w:t>
            </w:r>
          </w:p>
        </w:tc>
        <w:tc>
          <w:tcPr>
            <w:tcW w:w="5170" w:type="dxa"/>
            <w:noWrap w:val="0"/>
            <w:vAlign w:val="center"/>
          </w:tcPr>
          <w:p w14:paraId="6E7BF154">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236F81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A7CB31C">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76F5D6F6">
            <w:pPr>
              <w:adjustRightInd w:val="0"/>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4.4款</w:t>
            </w:r>
          </w:p>
        </w:tc>
        <w:tc>
          <w:tcPr>
            <w:tcW w:w="1742" w:type="dxa"/>
            <w:noWrap w:val="0"/>
            <w:vAlign w:val="center"/>
          </w:tcPr>
          <w:p w14:paraId="2E61D0CF">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履约验收中甲方提出异议或作出说明的期限</w:t>
            </w:r>
          </w:p>
        </w:tc>
        <w:tc>
          <w:tcPr>
            <w:tcW w:w="5170" w:type="dxa"/>
            <w:noWrap w:val="0"/>
            <w:vAlign w:val="center"/>
          </w:tcPr>
          <w:p w14:paraId="00D7778C">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30DF1B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837070">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135CDBB1">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4.6款</w:t>
            </w:r>
          </w:p>
        </w:tc>
        <w:tc>
          <w:tcPr>
            <w:tcW w:w="1742" w:type="dxa"/>
            <w:noWrap w:val="0"/>
            <w:vAlign w:val="center"/>
          </w:tcPr>
          <w:p w14:paraId="3115BE1D">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约定甲方承担的其他义务和责任</w:t>
            </w:r>
          </w:p>
        </w:tc>
        <w:tc>
          <w:tcPr>
            <w:tcW w:w="5170" w:type="dxa"/>
            <w:noWrap w:val="0"/>
            <w:vAlign w:val="center"/>
          </w:tcPr>
          <w:p w14:paraId="55A772BC">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63105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D4162B0">
            <w:pPr>
              <w:adjustRightInd w:val="0"/>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第二节</w:t>
            </w:r>
          </w:p>
          <w:p w14:paraId="0B82B62D">
            <w:pPr>
              <w:snapToGrid w:val="0"/>
              <w:jc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5.4款</w:t>
            </w:r>
          </w:p>
        </w:tc>
        <w:tc>
          <w:tcPr>
            <w:tcW w:w="1742" w:type="dxa"/>
            <w:noWrap w:val="0"/>
            <w:vAlign w:val="center"/>
          </w:tcPr>
          <w:p w14:paraId="14C7D276">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约定乙方承担的其他义务和责任</w:t>
            </w:r>
          </w:p>
        </w:tc>
        <w:tc>
          <w:tcPr>
            <w:tcW w:w="5170" w:type="dxa"/>
            <w:noWrap w:val="0"/>
            <w:vAlign w:val="center"/>
          </w:tcPr>
          <w:p w14:paraId="62B2E7C3">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4C742C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921B2BF">
            <w:pPr>
              <w:adjustRightInd w:val="0"/>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第二节</w:t>
            </w:r>
          </w:p>
          <w:p w14:paraId="7F27EE83">
            <w:pPr>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6.1款</w:t>
            </w:r>
          </w:p>
        </w:tc>
        <w:tc>
          <w:tcPr>
            <w:tcW w:w="1742" w:type="dxa"/>
            <w:noWrap w:val="0"/>
            <w:vAlign w:val="center"/>
          </w:tcPr>
          <w:p w14:paraId="6CF748CB">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履行合同义务的顺序</w:t>
            </w:r>
          </w:p>
        </w:tc>
        <w:tc>
          <w:tcPr>
            <w:tcW w:w="5170" w:type="dxa"/>
            <w:noWrap w:val="0"/>
            <w:vAlign w:val="center"/>
          </w:tcPr>
          <w:p w14:paraId="7C3CD048">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52E72A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7188CF6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65B80AC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14:paraId="2650AE0D">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包装</w:t>
            </w:r>
            <w:r>
              <w:rPr>
                <w:rFonts w:hint="eastAsia" w:ascii="仿宋" w:hAnsi="仿宋" w:eastAsia="仿宋" w:cs="仿宋"/>
                <w:color w:val="000000" w:themeColor="text1"/>
                <w:szCs w:val="21"/>
                <w:highlight w:val="none"/>
                <w:lang w:eastAsia="zh-CN"/>
                <w14:textFill>
                  <w14:solidFill>
                    <w14:schemeClr w14:val="tx1"/>
                  </w14:solidFill>
                </w14:textFill>
              </w:rPr>
              <w:t>特殊要求</w:t>
            </w:r>
          </w:p>
        </w:tc>
        <w:tc>
          <w:tcPr>
            <w:tcW w:w="5170" w:type="dxa"/>
            <w:noWrap w:val="0"/>
            <w:vAlign w:val="center"/>
          </w:tcPr>
          <w:p w14:paraId="15C39A9D">
            <w:pPr>
              <w:rPr>
                <w:rFonts w:hint="eastAsia" w:ascii="仿宋" w:hAnsi="仿宋" w:eastAsia="仿宋" w:cs="仿宋"/>
                <w:color w:val="000000" w:themeColor="text1"/>
                <w:highlight w:val="none"/>
                <w14:textFill>
                  <w14:solidFill>
                    <w14:schemeClr w14:val="tx1"/>
                  </w14:solidFill>
                </w14:textFill>
              </w:rPr>
            </w:pPr>
          </w:p>
        </w:tc>
      </w:tr>
      <w:tr w14:paraId="70B7B3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7EB4FB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p>
        </w:tc>
        <w:tc>
          <w:tcPr>
            <w:tcW w:w="1742" w:type="dxa"/>
            <w:noWrap w:val="0"/>
            <w:vAlign w:val="center"/>
          </w:tcPr>
          <w:p w14:paraId="159C6DBB">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指定现场</w:t>
            </w:r>
          </w:p>
        </w:tc>
        <w:tc>
          <w:tcPr>
            <w:tcW w:w="5170" w:type="dxa"/>
            <w:noWrap w:val="0"/>
            <w:vAlign w:val="center"/>
          </w:tcPr>
          <w:p w14:paraId="01898FE7">
            <w:pPr>
              <w:rPr>
                <w:rFonts w:hint="eastAsia" w:ascii="仿宋" w:hAnsi="仿宋" w:eastAsia="仿宋" w:cs="仿宋"/>
                <w:color w:val="000000" w:themeColor="text1"/>
                <w:highlight w:val="none"/>
                <w14:textFill>
                  <w14:solidFill>
                    <w14:schemeClr w14:val="tx1"/>
                  </w14:solidFill>
                </w14:textFill>
              </w:rPr>
            </w:pPr>
          </w:p>
        </w:tc>
      </w:tr>
      <w:tr w14:paraId="3AFA7A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7457827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02414D40">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14:paraId="46733D24">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运输特殊要求</w:t>
            </w:r>
          </w:p>
        </w:tc>
        <w:tc>
          <w:tcPr>
            <w:tcW w:w="5170" w:type="dxa"/>
            <w:noWrap w:val="0"/>
            <w:vAlign w:val="center"/>
          </w:tcPr>
          <w:p w14:paraId="190EB90B">
            <w:pPr>
              <w:rPr>
                <w:rFonts w:hint="eastAsia" w:ascii="仿宋" w:hAnsi="仿宋" w:eastAsia="仿宋" w:cs="仿宋"/>
                <w:color w:val="000000" w:themeColor="text1"/>
                <w:highlight w:val="none"/>
                <w14:textFill>
                  <w14:solidFill>
                    <w14:schemeClr w14:val="tx1"/>
                  </w14:solidFill>
                </w14:textFill>
              </w:rPr>
            </w:pPr>
          </w:p>
        </w:tc>
      </w:tr>
      <w:tr w14:paraId="231349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15C3124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66A289EC">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14:paraId="1B69C726">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保险要求</w:t>
            </w:r>
          </w:p>
        </w:tc>
        <w:tc>
          <w:tcPr>
            <w:tcW w:w="5170" w:type="dxa"/>
            <w:noWrap w:val="0"/>
            <w:vAlign w:val="center"/>
          </w:tcPr>
          <w:p w14:paraId="6B338CA6">
            <w:pPr>
              <w:rPr>
                <w:rFonts w:hint="eastAsia" w:ascii="仿宋" w:hAnsi="仿宋" w:eastAsia="仿宋" w:cs="仿宋"/>
                <w:color w:val="000000" w:themeColor="text1"/>
                <w:highlight w:val="none"/>
                <w14:textFill>
                  <w14:solidFill>
                    <w14:schemeClr w14:val="tx1"/>
                  </w14:solidFill>
                </w14:textFill>
              </w:rPr>
            </w:pPr>
          </w:p>
        </w:tc>
      </w:tr>
      <w:tr w14:paraId="190365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91AA57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07F1B1D4">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.2（1）项</w:t>
            </w:r>
          </w:p>
        </w:tc>
        <w:tc>
          <w:tcPr>
            <w:tcW w:w="1742" w:type="dxa"/>
            <w:noWrap w:val="0"/>
            <w:vAlign w:val="center"/>
          </w:tcPr>
          <w:p w14:paraId="1A2A5777">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质量保证期</w:t>
            </w:r>
          </w:p>
        </w:tc>
        <w:tc>
          <w:tcPr>
            <w:tcW w:w="5170" w:type="dxa"/>
            <w:noWrap w:val="0"/>
            <w:vAlign w:val="center"/>
          </w:tcPr>
          <w:p w14:paraId="0046E43E">
            <w:pPr>
              <w:autoSpaceDE w:val="0"/>
              <w:autoSpaceDN w:val="0"/>
              <w:adjustRightInd w:val="0"/>
              <w:snapToGrid w:val="0"/>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p>
        </w:tc>
      </w:tr>
      <w:tr w14:paraId="39F336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8A888D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3E83819">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.2（3）项</w:t>
            </w:r>
          </w:p>
        </w:tc>
        <w:tc>
          <w:tcPr>
            <w:tcW w:w="1742" w:type="dxa"/>
            <w:noWrap w:val="0"/>
            <w:vAlign w:val="center"/>
          </w:tcPr>
          <w:p w14:paraId="1BD22811">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货物质量缺陷</w:t>
            </w:r>
          </w:p>
          <w:p w14:paraId="3B5719AC">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响应时间</w:t>
            </w:r>
          </w:p>
        </w:tc>
        <w:tc>
          <w:tcPr>
            <w:tcW w:w="5170" w:type="dxa"/>
            <w:noWrap w:val="0"/>
            <w:vAlign w:val="center"/>
          </w:tcPr>
          <w:p w14:paraId="5138C72F">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276A2C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6ADD20">
            <w:pPr>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第二节</w:t>
            </w:r>
          </w:p>
          <w:p w14:paraId="26A3DB62">
            <w:pPr>
              <w:pStyle w:val="966"/>
              <w:ind w:firstLine="0" w:firstLineChars="0"/>
              <w:jc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第11.1款</w:t>
            </w:r>
          </w:p>
        </w:tc>
        <w:tc>
          <w:tcPr>
            <w:tcW w:w="1742" w:type="dxa"/>
            <w:noWrap w:val="0"/>
            <w:vAlign w:val="center"/>
          </w:tcPr>
          <w:p w14:paraId="548B82E4">
            <w:pPr>
              <w:adjustRightInd w:val="0"/>
              <w:snapToGrid w:val="0"/>
              <w:jc w:val="both"/>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其他应当保密的信息</w:t>
            </w:r>
          </w:p>
        </w:tc>
        <w:tc>
          <w:tcPr>
            <w:tcW w:w="5170" w:type="dxa"/>
            <w:noWrap w:val="0"/>
            <w:vAlign w:val="center"/>
          </w:tcPr>
          <w:p w14:paraId="6E4FDD3D">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497003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8D94519">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1F83E6AB">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.2款</w:t>
            </w:r>
          </w:p>
        </w:tc>
        <w:tc>
          <w:tcPr>
            <w:tcW w:w="1742" w:type="dxa"/>
            <w:noWrap w:val="0"/>
            <w:vAlign w:val="center"/>
          </w:tcPr>
          <w:p w14:paraId="36A19914">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合同价款支付</w:t>
            </w:r>
            <w:r>
              <w:rPr>
                <w:rFonts w:hint="eastAsia" w:ascii="仿宋" w:hAnsi="仿宋" w:eastAsia="仿宋" w:cs="仿宋"/>
                <w:color w:val="000000" w:themeColor="text1"/>
                <w:szCs w:val="21"/>
                <w:highlight w:val="none"/>
                <w:lang w:eastAsia="zh-CN"/>
                <w14:textFill>
                  <w14:solidFill>
                    <w14:schemeClr w14:val="tx1"/>
                  </w14:solidFill>
                </w14:textFill>
              </w:rPr>
              <w:t>时间</w:t>
            </w:r>
          </w:p>
        </w:tc>
        <w:tc>
          <w:tcPr>
            <w:tcW w:w="5170" w:type="dxa"/>
            <w:noWrap w:val="0"/>
            <w:vAlign w:val="center"/>
          </w:tcPr>
          <w:p w14:paraId="576C78CA">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08B97B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2FD6F23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6D4ACA5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13.2</w:t>
            </w:r>
            <w:r>
              <w:rPr>
                <w:rFonts w:hint="eastAsia" w:ascii="仿宋" w:hAnsi="仿宋" w:eastAsia="仿宋" w:cs="仿宋"/>
                <w:color w:val="000000" w:themeColor="text1"/>
                <w:szCs w:val="21"/>
                <w:highlight w:val="none"/>
                <w14:textFill>
                  <w14:solidFill>
                    <w14:schemeClr w14:val="tx1"/>
                  </w14:solidFill>
                </w14:textFill>
              </w:rPr>
              <w:t>款</w:t>
            </w:r>
          </w:p>
        </w:tc>
        <w:tc>
          <w:tcPr>
            <w:tcW w:w="1742" w:type="dxa"/>
            <w:noWrap w:val="0"/>
            <w:vAlign w:val="center"/>
          </w:tcPr>
          <w:p w14:paraId="5A4B5D3F">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履约保证金不予退还的情形</w:t>
            </w:r>
          </w:p>
        </w:tc>
        <w:tc>
          <w:tcPr>
            <w:tcW w:w="5170" w:type="dxa"/>
            <w:noWrap w:val="0"/>
            <w:vAlign w:val="center"/>
          </w:tcPr>
          <w:p w14:paraId="4F3080F0">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6954E0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CD8D69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0E262E5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13.3</w:t>
            </w:r>
            <w:r>
              <w:rPr>
                <w:rFonts w:hint="eastAsia" w:ascii="仿宋" w:hAnsi="仿宋" w:eastAsia="仿宋" w:cs="仿宋"/>
                <w:color w:val="000000" w:themeColor="text1"/>
                <w:szCs w:val="21"/>
                <w:highlight w:val="none"/>
                <w14:textFill>
                  <w14:solidFill>
                    <w14:schemeClr w14:val="tx1"/>
                  </w14:solidFill>
                </w14:textFill>
              </w:rPr>
              <w:t>款</w:t>
            </w:r>
          </w:p>
        </w:tc>
        <w:tc>
          <w:tcPr>
            <w:tcW w:w="1742" w:type="dxa"/>
            <w:noWrap w:val="0"/>
            <w:vAlign w:val="center"/>
          </w:tcPr>
          <w:p w14:paraId="4C6881D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履约保证金退还时间及</w:t>
            </w:r>
            <w:r>
              <w:rPr>
                <w:rFonts w:hint="eastAsia" w:ascii="仿宋" w:hAnsi="仿宋" w:eastAsia="仿宋" w:cs="仿宋"/>
                <w:color w:val="000000" w:themeColor="text1"/>
                <w:szCs w:val="21"/>
                <w:highlight w:val="none"/>
                <w:lang w:eastAsia="zh-CN"/>
                <w14:textFill>
                  <w14:solidFill>
                    <w14:schemeClr w14:val="tx1"/>
                  </w14:solidFill>
                </w14:textFill>
              </w:rPr>
              <w:t>逾期退还的</w:t>
            </w:r>
            <w:r>
              <w:rPr>
                <w:rFonts w:hint="eastAsia" w:ascii="仿宋" w:hAnsi="仿宋" w:eastAsia="仿宋" w:cs="仿宋"/>
                <w:color w:val="000000" w:themeColor="text1"/>
                <w:szCs w:val="21"/>
                <w:highlight w:val="none"/>
                <w14:textFill>
                  <w14:solidFill>
                    <w14:schemeClr w14:val="tx1"/>
                  </w14:solidFill>
                </w14:textFill>
              </w:rPr>
              <w:t>违约金</w:t>
            </w:r>
          </w:p>
        </w:tc>
        <w:tc>
          <w:tcPr>
            <w:tcW w:w="5170" w:type="dxa"/>
            <w:noWrap w:val="0"/>
            <w:vAlign w:val="center"/>
          </w:tcPr>
          <w:p w14:paraId="2FC6CAF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23B658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55B3B051">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796E1D5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5837F5F8">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运行监督、维修期限</w:t>
            </w:r>
          </w:p>
        </w:tc>
        <w:tc>
          <w:tcPr>
            <w:tcW w:w="5170" w:type="dxa"/>
            <w:noWrap w:val="0"/>
            <w:vAlign w:val="center"/>
          </w:tcPr>
          <w:p w14:paraId="7736B5CB">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00E54D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33652874">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007631D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5FDE7B2D">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货物回收的约定</w:t>
            </w:r>
          </w:p>
        </w:tc>
        <w:tc>
          <w:tcPr>
            <w:tcW w:w="5170" w:type="dxa"/>
            <w:noWrap w:val="0"/>
            <w:vAlign w:val="center"/>
          </w:tcPr>
          <w:p w14:paraId="0E854219">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030287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36BC0C5">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58EA1769">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42262BD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乙方提供的其他服务</w:t>
            </w:r>
          </w:p>
        </w:tc>
        <w:tc>
          <w:tcPr>
            <w:tcW w:w="5170" w:type="dxa"/>
            <w:noWrap w:val="0"/>
            <w:vAlign w:val="center"/>
          </w:tcPr>
          <w:p w14:paraId="72BEEFC2">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639725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0B9239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40DE813D">
            <w:pPr>
              <w:adjustRightInd w:val="0"/>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1款</w:t>
            </w:r>
          </w:p>
        </w:tc>
        <w:tc>
          <w:tcPr>
            <w:tcW w:w="1742" w:type="dxa"/>
            <w:noWrap w:val="0"/>
            <w:vAlign w:val="center"/>
          </w:tcPr>
          <w:p w14:paraId="3106A3F5">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修理、重作、更换相关具体规定</w:t>
            </w:r>
          </w:p>
        </w:tc>
        <w:tc>
          <w:tcPr>
            <w:tcW w:w="5170" w:type="dxa"/>
            <w:noWrap w:val="0"/>
            <w:vAlign w:val="center"/>
          </w:tcPr>
          <w:p w14:paraId="6DBFA6E4">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045986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DD4A600">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0FA2811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.2（2）项</w:t>
            </w:r>
          </w:p>
        </w:tc>
        <w:tc>
          <w:tcPr>
            <w:tcW w:w="1742" w:type="dxa"/>
            <w:noWrap w:val="0"/>
            <w:vAlign w:val="center"/>
          </w:tcPr>
          <w:p w14:paraId="7729FA38">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迟延交货赔偿费</w:t>
            </w:r>
          </w:p>
        </w:tc>
        <w:tc>
          <w:tcPr>
            <w:tcW w:w="5170" w:type="dxa"/>
            <w:noWrap w:val="0"/>
            <w:vAlign w:val="center"/>
          </w:tcPr>
          <w:p w14:paraId="0E82489B">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14:paraId="5250C7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3A204C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1A5B712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3款</w:t>
            </w:r>
          </w:p>
        </w:tc>
        <w:tc>
          <w:tcPr>
            <w:tcW w:w="1742" w:type="dxa"/>
            <w:noWrap w:val="0"/>
            <w:vAlign w:val="center"/>
          </w:tcPr>
          <w:p w14:paraId="3DC391A3">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逾期付款利息</w:t>
            </w:r>
          </w:p>
        </w:tc>
        <w:tc>
          <w:tcPr>
            <w:tcW w:w="5170" w:type="dxa"/>
            <w:noWrap w:val="0"/>
            <w:vAlign w:val="center"/>
          </w:tcPr>
          <w:p w14:paraId="02935BA4">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14:paraId="288243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506E29C5">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0580E0A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tcBorders>
              <w:left w:val="single" w:color="auto" w:sz="2" w:space="0"/>
              <w:bottom w:val="single" w:color="auto" w:sz="2" w:space="0"/>
              <w:right w:val="single" w:color="auto" w:sz="2" w:space="0"/>
            </w:tcBorders>
            <w:noWrap w:val="0"/>
            <w:vAlign w:val="center"/>
          </w:tcPr>
          <w:p w14:paraId="56149E77">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其他违约责任</w:t>
            </w:r>
          </w:p>
        </w:tc>
        <w:tc>
          <w:tcPr>
            <w:tcW w:w="5170" w:type="dxa"/>
            <w:tcBorders>
              <w:left w:val="single" w:color="auto" w:sz="2" w:space="0"/>
              <w:bottom w:val="single" w:color="auto" w:sz="2" w:space="0"/>
            </w:tcBorders>
            <w:noWrap w:val="0"/>
            <w:vAlign w:val="center"/>
          </w:tcPr>
          <w:p w14:paraId="1732DE99">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14:paraId="29170E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21C0864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6EA5E79B">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19</w:t>
            </w: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tcBorders>
              <w:top w:val="single" w:color="auto" w:sz="2" w:space="0"/>
              <w:left w:val="single" w:color="auto" w:sz="2" w:space="0"/>
              <w:right w:val="single" w:color="auto" w:sz="2" w:space="0"/>
            </w:tcBorders>
            <w:noWrap w:val="0"/>
            <w:vAlign w:val="center"/>
          </w:tcPr>
          <w:p w14:paraId="45C09DD7">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解决争议的方法</w:t>
            </w:r>
          </w:p>
        </w:tc>
        <w:tc>
          <w:tcPr>
            <w:tcW w:w="5170" w:type="dxa"/>
            <w:tcBorders>
              <w:top w:val="single" w:color="auto" w:sz="2" w:space="0"/>
              <w:left w:val="single" w:color="auto" w:sz="2" w:space="0"/>
            </w:tcBorders>
            <w:noWrap w:val="0"/>
            <w:vAlign w:val="center"/>
          </w:tcPr>
          <w:p w14:paraId="4D21D1CE">
            <w:pPr>
              <w:autoSpaceDE w:val="0"/>
              <w:autoSpaceDN w:val="0"/>
              <w:adjustRightInd w:val="0"/>
              <w:snapToGrid w:val="0"/>
              <w:spacing w:line="400" w:lineRule="exact"/>
              <w:jc w:val="left"/>
              <w:rPr>
                <w:rFonts w:hint="eastAsia" w:ascii="仿宋" w:hAnsi="仿宋" w:eastAsia="仿宋" w:cs="仿宋"/>
                <w:b w:val="0"/>
                <w:bCs w:val="0"/>
                <w:iCs/>
                <w:color w:val="000000" w:themeColor="text1"/>
                <w:szCs w:val="21"/>
                <w:highlight w:val="non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因本合同及合同有关事项发生的争议，按下列第</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种方式解决：</w:t>
            </w:r>
          </w:p>
          <w:p w14:paraId="7523EFF1">
            <w:pPr>
              <w:autoSpaceDE w:val="0"/>
              <w:autoSpaceDN w:val="0"/>
              <w:adjustRightInd w:val="0"/>
              <w:snapToGrid w:val="0"/>
              <w:spacing w:line="400" w:lineRule="exact"/>
              <w:jc w:val="left"/>
              <w:rPr>
                <w:rFonts w:hint="eastAsia" w:ascii="仿宋" w:hAnsi="仿宋" w:eastAsia="仿宋" w:cs="仿宋"/>
                <w:b w:val="0"/>
                <w:bCs w:val="0"/>
                <w:iCs/>
                <w:color w:val="000000" w:themeColor="text1"/>
                <w:szCs w:val="21"/>
                <w:highlight w:val="non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（1）向</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仲裁委员会申请仲裁，仲裁地点为</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w:t>
            </w:r>
          </w:p>
          <w:p w14:paraId="5F69D2EA">
            <w:pPr>
              <w:adjustRightInd w:val="0"/>
              <w:snapToGrid w:val="0"/>
              <w:ind w:firstLine="0" w:firstLineChars="0"/>
              <w:jc w:val="left"/>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（2）向</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人民法院起诉。</w:t>
            </w:r>
          </w:p>
        </w:tc>
      </w:tr>
      <w:tr w14:paraId="232D7A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4CF93EE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2BF0111">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第2</w:t>
            </w:r>
            <w:r>
              <w:rPr>
                <w:rFonts w:hint="eastAsia" w:ascii="仿宋" w:hAnsi="仿宋" w:eastAsia="仿宋" w:cs="仿宋"/>
                <w:color w:val="000000" w:themeColor="text1"/>
                <w:szCs w:val="21"/>
                <w:highlight w:val="none"/>
                <w:lang w:val="en-US" w:eastAsia="zh-CN"/>
                <w14:textFill>
                  <w14:solidFill>
                    <w14:schemeClr w14:val="tx1"/>
                  </w14:solidFill>
                </w14:textFill>
              </w:rPr>
              <w:t>3.1</w:t>
            </w:r>
            <w:r>
              <w:rPr>
                <w:rFonts w:hint="eastAsia" w:ascii="仿宋" w:hAnsi="仿宋" w:eastAsia="仿宋" w:cs="仿宋"/>
                <w:color w:val="000000" w:themeColor="text1"/>
                <w:szCs w:val="21"/>
                <w:highlight w:val="none"/>
                <w:lang w:eastAsia="zh-CN"/>
                <w14:textFill>
                  <w14:solidFill>
                    <w14:schemeClr w14:val="tx1"/>
                  </w14:solidFill>
                </w14:textFill>
              </w:rPr>
              <w:t>款</w:t>
            </w:r>
          </w:p>
        </w:tc>
        <w:tc>
          <w:tcPr>
            <w:tcW w:w="1742" w:type="dxa"/>
            <w:noWrap w:val="0"/>
            <w:vAlign w:val="center"/>
          </w:tcPr>
          <w:p w14:paraId="1F2C3072">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eastAsia="zh-CN"/>
                <w14:textFill>
                  <w14:solidFill>
                    <w14:schemeClr w14:val="tx1"/>
                  </w14:solidFill>
                </w14:textFill>
              </w:rPr>
              <w:t>其他专用条款</w:t>
            </w:r>
          </w:p>
        </w:tc>
        <w:tc>
          <w:tcPr>
            <w:tcW w:w="5170" w:type="dxa"/>
            <w:noWrap w:val="0"/>
            <w:vAlign w:val="center"/>
          </w:tcPr>
          <w:p w14:paraId="60D09314">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p>
        </w:tc>
      </w:tr>
    </w:tbl>
    <w:p w14:paraId="4BDDA9FD">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p w14:paraId="7D14F47A">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000000" w:themeColor="text1"/>
          <w:sz w:val="24"/>
          <w:highlight w:val="none"/>
          <w14:textFill>
            <w14:solidFill>
              <w14:schemeClr w14:val="tx1"/>
            </w14:solidFill>
          </w14:textFill>
        </w:rPr>
      </w:pPr>
    </w:p>
    <w:p w14:paraId="1E3AA5F9">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387C3F3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1227722D">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04E5966F">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5FA1AE97">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71F4DA79">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9CA85E1">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A613FA4">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760A9A8">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70 </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30 </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3B74F2F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 xml:space="preserve"> 70 </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14:paraId="684ADE2B">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5E433ED">
            <w:pPr>
              <w:widowControl/>
              <w:snapToGrid w:val="0"/>
              <w:spacing w:line="32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noWrap w:val="0"/>
            <w:vAlign w:val="center"/>
          </w:tcPr>
          <w:p w14:paraId="2C3AD5C1">
            <w:pPr>
              <w:widowControl/>
              <w:snapToGrid w:val="0"/>
              <w:spacing w:line="32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noWrap w:val="0"/>
            <w:vAlign w:val="center"/>
          </w:tcPr>
          <w:p w14:paraId="15D43576">
            <w:pPr>
              <w:widowControl/>
              <w:snapToGrid w:val="0"/>
              <w:spacing w:line="32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7E59CEA0">
            <w:pPr>
              <w:widowControl/>
              <w:snapToGrid w:val="0"/>
              <w:spacing w:line="32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分值</w:t>
            </w:r>
          </w:p>
        </w:tc>
      </w:tr>
      <w:tr w14:paraId="055C5405">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782971F2">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noWrap w:val="0"/>
            <w:vAlign w:val="center"/>
          </w:tcPr>
          <w:p w14:paraId="0E048C35">
            <w:pPr>
              <w:spacing w:line="32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所投产品技术指标的符合性</w:t>
            </w:r>
          </w:p>
        </w:tc>
        <w:tc>
          <w:tcPr>
            <w:tcW w:w="5850" w:type="dxa"/>
            <w:tcBorders>
              <w:top w:val="nil"/>
              <w:left w:val="nil"/>
              <w:bottom w:val="single" w:color="auto" w:sz="4" w:space="0"/>
              <w:right w:val="single" w:color="auto" w:sz="4" w:space="0"/>
            </w:tcBorders>
            <w:noWrap w:val="0"/>
            <w:vAlign w:val="center"/>
          </w:tcPr>
          <w:p w14:paraId="43948053">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设备技术参数与功能配置符合度：</w:t>
            </w:r>
            <w:r>
              <w:rPr>
                <w:rFonts w:hint="eastAsia" w:ascii="仿宋" w:hAnsi="仿宋" w:eastAsia="仿宋" w:cs="仿宋"/>
                <w:color w:val="000000" w:themeColor="text1"/>
                <w:kern w:val="0"/>
                <w:sz w:val="24"/>
                <w:highlight w:val="none"/>
                <w14:textFill>
                  <w14:solidFill>
                    <w14:schemeClr w14:val="tx1"/>
                  </w14:solidFill>
                </w14:textFill>
              </w:rPr>
              <w:t>完全满足招标文件要求的得2</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7977370B">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p>
        </w:tc>
      </w:tr>
      <w:tr w14:paraId="4425A950">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14E01E0">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noWrap w:val="0"/>
            <w:vAlign w:val="center"/>
          </w:tcPr>
          <w:p w14:paraId="1D2AB0E9">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noWrap w:val="0"/>
            <w:vAlign w:val="center"/>
          </w:tcPr>
          <w:p w14:paraId="6454B781">
            <w:pPr>
              <w:widowControl/>
              <w:spacing w:line="32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所投产品</w:t>
            </w:r>
            <w:r>
              <w:rPr>
                <w:rFonts w:hint="eastAsia" w:ascii="仿宋" w:hAnsi="仿宋" w:eastAsia="仿宋" w:cs="仿宋"/>
                <w:color w:val="000000" w:themeColor="text1"/>
                <w:kern w:val="0"/>
                <w:sz w:val="24"/>
                <w:highlight w:val="none"/>
                <w14:textFill>
                  <w14:solidFill>
                    <w14:schemeClr w14:val="tx1"/>
                  </w14:solidFill>
                </w14:textFill>
              </w:rPr>
              <w:t>自202</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年</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月1日以来（以合同签订时间为准）完成的同类案例，每有一个得1分，最高得3分。</w:t>
            </w:r>
          </w:p>
          <w:p w14:paraId="0A156701">
            <w:pPr>
              <w:widowControl/>
              <w:spacing w:line="32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注：</w:t>
            </w:r>
          </w:p>
          <w:p w14:paraId="167DBF66">
            <w:pPr>
              <w:widowControl/>
              <w:spacing w:line="32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1.每个案例提供合同及验收报告的复印件，并加盖投标人公章。</w:t>
            </w:r>
          </w:p>
          <w:p w14:paraId="02CA70DF">
            <w:pPr>
              <w:widowControl/>
              <w:spacing w:line="320" w:lineRule="exact"/>
              <w:jc w:val="left"/>
              <w:rPr>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133DA805">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w:t>
            </w:r>
          </w:p>
        </w:tc>
      </w:tr>
      <w:tr w14:paraId="3562DE42">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5193B940">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p>
        </w:tc>
        <w:tc>
          <w:tcPr>
            <w:tcW w:w="1800" w:type="dxa"/>
            <w:vMerge w:val="restart"/>
            <w:tcBorders>
              <w:top w:val="single" w:color="auto" w:sz="4" w:space="0"/>
              <w:left w:val="nil"/>
              <w:right w:val="single" w:color="auto" w:sz="4" w:space="0"/>
            </w:tcBorders>
            <w:noWrap w:val="0"/>
            <w:vAlign w:val="center"/>
          </w:tcPr>
          <w:p w14:paraId="72E4F4CA">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5925D0DD">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根据投标设备研发生产</w:t>
            </w:r>
            <w:r>
              <w:rPr>
                <w:rFonts w:hint="eastAsia" w:ascii="仿宋" w:hAnsi="仿宋" w:eastAsia="仿宋" w:cs="仿宋"/>
                <w:color w:val="000000" w:themeColor="text1"/>
                <w:kern w:val="0"/>
                <w:sz w:val="24"/>
                <w:highlight w:val="none"/>
                <w:lang w:val="en-US" w:eastAsia="zh-CN"/>
                <w14:textFill>
                  <w14:solidFill>
                    <w14:schemeClr w14:val="tx1"/>
                  </w14:solidFill>
                </w14:textFill>
              </w:rPr>
              <w:t>情况</w:t>
            </w:r>
            <w:r>
              <w:rPr>
                <w:rFonts w:hint="eastAsia" w:ascii="仿宋" w:hAnsi="仿宋" w:eastAsia="仿宋" w:cs="仿宋"/>
                <w:color w:val="000000" w:themeColor="text1"/>
                <w:kern w:val="0"/>
                <w:sz w:val="24"/>
                <w:highlight w:val="none"/>
                <w14:textFill>
                  <w14:solidFill>
                    <w14:schemeClr w14:val="tx1"/>
                  </w14:solidFill>
                </w14:textFill>
              </w:rPr>
              <w:t>进行评价，</w:t>
            </w:r>
            <w:r>
              <w:rPr>
                <w:rFonts w:hint="eastAsia" w:ascii="仿宋" w:hAnsi="仿宋" w:eastAsia="仿宋" w:cs="仿宋"/>
                <w:color w:val="000000" w:themeColor="text1"/>
                <w:kern w:val="0"/>
                <w:sz w:val="24"/>
                <w:highlight w:val="none"/>
                <w:lang w:val="en-US" w:eastAsia="zh-CN"/>
                <w14:textFill>
                  <w14:solidFill>
                    <w14:schemeClr w14:val="tx1"/>
                  </w14:solidFill>
                </w14:textFill>
              </w:rPr>
              <w:t>包括但不限于</w:t>
            </w:r>
            <w:r>
              <w:rPr>
                <w:rFonts w:hint="eastAsia" w:ascii="仿宋" w:hAnsi="仿宋" w:eastAsia="仿宋" w:cs="仿宋"/>
                <w:color w:val="000000" w:themeColor="text1"/>
                <w:kern w:val="0"/>
                <w:sz w:val="24"/>
                <w:highlight w:val="none"/>
                <w14:textFill>
                  <w14:solidFill>
                    <w14:schemeClr w14:val="tx1"/>
                  </w14:solidFill>
                </w14:textFill>
              </w:rPr>
              <w:t>所投设备的方法原理、技术路线、功能特点等方面打分，（4,3,2,1,0.5,0）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single" w:color="auto" w:sz="4" w:space="0"/>
              <w:left w:val="nil"/>
              <w:bottom w:val="single" w:color="auto" w:sz="4" w:space="0"/>
              <w:right w:val="single" w:color="auto" w:sz="4" w:space="0"/>
            </w:tcBorders>
            <w:noWrap w:val="0"/>
            <w:vAlign w:val="center"/>
          </w:tcPr>
          <w:p w14:paraId="46041AD7">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544E7BE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16FAC6DF">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p>
        </w:tc>
        <w:tc>
          <w:tcPr>
            <w:tcW w:w="1800" w:type="dxa"/>
            <w:vMerge w:val="continue"/>
            <w:tcBorders>
              <w:left w:val="nil"/>
              <w:right w:val="single" w:color="auto" w:sz="4" w:space="0"/>
            </w:tcBorders>
            <w:noWrap w:val="0"/>
            <w:vAlign w:val="center"/>
          </w:tcPr>
          <w:p w14:paraId="6DAE1A5F">
            <w:pPr>
              <w:widowControl/>
              <w:spacing w:line="320" w:lineRule="exact"/>
              <w:jc w:val="center"/>
              <w:rPr>
                <w:rFonts w:ascii="仿宋" w:hAnsi="仿宋" w:eastAsia="仿宋" w:cs="仿宋"/>
                <w:color w:val="000000" w:themeColor="text1"/>
                <w:sz w:val="24"/>
                <w:highlight w:val="none"/>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noWrap w:val="0"/>
            <w:vAlign w:val="center"/>
          </w:tcPr>
          <w:p w14:paraId="296AB94C">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根据投标设备性能</w:t>
            </w:r>
            <w:r>
              <w:rPr>
                <w:rFonts w:hint="eastAsia" w:ascii="仿宋" w:hAnsi="仿宋" w:eastAsia="仿宋" w:cs="仿宋"/>
                <w:color w:val="000000" w:themeColor="text1"/>
                <w:kern w:val="0"/>
                <w:sz w:val="24"/>
                <w:highlight w:val="none"/>
                <w:lang w:val="en-US" w:eastAsia="zh-CN"/>
                <w14:textFill>
                  <w14:solidFill>
                    <w14:schemeClr w14:val="tx1"/>
                  </w14:solidFill>
                </w14:textFill>
              </w:rPr>
              <w:t>情况</w:t>
            </w:r>
            <w:r>
              <w:rPr>
                <w:rFonts w:hint="eastAsia" w:ascii="仿宋" w:hAnsi="仿宋" w:eastAsia="仿宋" w:cs="仿宋"/>
                <w:color w:val="000000" w:themeColor="text1"/>
                <w:kern w:val="0"/>
                <w:sz w:val="24"/>
                <w:highlight w:val="none"/>
                <w14:textFill>
                  <w14:solidFill>
                    <w14:schemeClr w14:val="tx1"/>
                  </w14:solidFill>
                </w14:textFill>
              </w:rPr>
              <w:t>进行评价，</w:t>
            </w:r>
            <w:r>
              <w:rPr>
                <w:rFonts w:hint="eastAsia" w:ascii="仿宋" w:hAnsi="仿宋" w:eastAsia="仿宋" w:cs="仿宋"/>
                <w:color w:val="000000" w:themeColor="text1"/>
                <w:kern w:val="0"/>
                <w:sz w:val="24"/>
                <w:highlight w:val="none"/>
                <w:lang w:val="en-US" w:eastAsia="zh-CN"/>
                <w14:textFill>
                  <w14:solidFill>
                    <w14:schemeClr w14:val="tx1"/>
                  </w14:solidFill>
                </w14:textFill>
              </w:rPr>
              <w:t>包括但不限于</w:t>
            </w:r>
            <w:r>
              <w:rPr>
                <w:rFonts w:hint="eastAsia" w:ascii="仿宋" w:hAnsi="仿宋" w:eastAsia="仿宋" w:cs="仿宋"/>
                <w:color w:val="000000" w:themeColor="text1"/>
                <w:kern w:val="0"/>
                <w:sz w:val="24"/>
                <w:highlight w:val="none"/>
                <w14:textFill>
                  <w14:solidFill>
                    <w14:schemeClr w14:val="tx1"/>
                  </w14:solidFill>
                </w14:textFill>
              </w:rPr>
              <w:t>所投设备诊疗规范或指南推荐情况、市场应用状况、使用所限等方面打分，（4,3,2,1,0.5,0）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single" w:color="auto" w:sz="4" w:space="0"/>
              <w:left w:val="nil"/>
              <w:bottom w:val="single" w:color="auto" w:sz="4" w:space="0"/>
              <w:right w:val="single" w:color="auto" w:sz="4" w:space="0"/>
            </w:tcBorders>
            <w:noWrap w:val="0"/>
            <w:vAlign w:val="center"/>
          </w:tcPr>
          <w:p w14:paraId="64474438">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260F7D3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68EB84D2">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14:paraId="1D0ED2DD">
            <w:pPr>
              <w:widowControl/>
              <w:spacing w:line="320" w:lineRule="exact"/>
              <w:jc w:val="center"/>
              <w:rPr>
                <w:rFonts w:ascii="仿宋" w:hAnsi="仿宋" w:eastAsia="仿宋" w:cs="仿宋"/>
                <w:color w:val="000000" w:themeColor="text1"/>
                <w:sz w:val="24"/>
                <w:highlight w:val="none"/>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noWrap w:val="0"/>
            <w:vAlign w:val="center"/>
          </w:tcPr>
          <w:p w14:paraId="5EF36016">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根据投标设备</w:t>
            </w:r>
            <w:r>
              <w:rPr>
                <w:rFonts w:hint="eastAsia" w:ascii="仿宋" w:hAnsi="仿宋" w:eastAsia="仿宋" w:cs="仿宋"/>
                <w:color w:val="000000" w:themeColor="text1"/>
                <w:kern w:val="0"/>
                <w:sz w:val="24"/>
                <w:highlight w:val="none"/>
                <w:lang w:val="en-US" w:eastAsia="zh-CN"/>
                <w14:textFill>
                  <w14:solidFill>
                    <w14:schemeClr w14:val="tx1"/>
                  </w14:solidFill>
                </w14:textFill>
              </w:rPr>
              <w:t>使用情况</w:t>
            </w:r>
            <w:r>
              <w:rPr>
                <w:rFonts w:hint="eastAsia" w:ascii="仿宋" w:hAnsi="仿宋" w:eastAsia="仿宋" w:cs="仿宋"/>
                <w:color w:val="000000" w:themeColor="text1"/>
                <w:kern w:val="0"/>
                <w:sz w:val="24"/>
                <w:highlight w:val="none"/>
                <w14:textFill>
                  <w14:solidFill>
                    <w14:schemeClr w14:val="tx1"/>
                  </w14:solidFill>
                </w14:textFill>
              </w:rPr>
              <w:t>进行评价，</w:t>
            </w:r>
            <w:r>
              <w:rPr>
                <w:rFonts w:hint="eastAsia" w:ascii="仿宋" w:hAnsi="仿宋" w:eastAsia="仿宋" w:cs="仿宋"/>
                <w:color w:val="000000" w:themeColor="text1"/>
                <w:kern w:val="0"/>
                <w:sz w:val="24"/>
                <w:highlight w:val="none"/>
                <w:lang w:val="en-US" w:eastAsia="zh-CN"/>
                <w14:textFill>
                  <w14:solidFill>
                    <w14:schemeClr w14:val="tx1"/>
                  </w14:solidFill>
                </w14:textFill>
              </w:rPr>
              <w:t>包括但不限于</w:t>
            </w:r>
            <w:r>
              <w:rPr>
                <w:rFonts w:hint="eastAsia" w:ascii="仿宋" w:hAnsi="仿宋" w:eastAsia="仿宋" w:cs="仿宋"/>
                <w:color w:val="000000" w:themeColor="text1"/>
                <w:kern w:val="0"/>
                <w:sz w:val="24"/>
                <w:highlight w:val="none"/>
                <w14:textFill>
                  <w14:solidFill>
                    <w14:schemeClr w14:val="tx1"/>
                  </w14:solidFill>
                </w14:textFill>
              </w:rPr>
              <w:t>所投设备的操作</w:t>
            </w:r>
            <w:r>
              <w:rPr>
                <w:rFonts w:hint="eastAsia" w:ascii="仿宋" w:hAnsi="仿宋" w:eastAsia="仿宋" w:cs="仿宋"/>
                <w:color w:val="000000" w:themeColor="text1"/>
                <w:kern w:val="0"/>
                <w:sz w:val="24"/>
                <w:highlight w:val="none"/>
                <w:lang w:val="en-US" w:eastAsia="zh-CN"/>
                <w14:textFill>
                  <w14:solidFill>
                    <w14:schemeClr w14:val="tx1"/>
                  </w14:solidFill>
                </w14:textFill>
              </w:rPr>
              <w:t>指南</w:t>
            </w:r>
            <w:r>
              <w:rPr>
                <w:rFonts w:hint="eastAsia" w:ascii="仿宋" w:hAnsi="仿宋" w:eastAsia="仿宋" w:cs="仿宋"/>
                <w:color w:val="000000" w:themeColor="text1"/>
                <w:kern w:val="0"/>
                <w:sz w:val="24"/>
                <w:highlight w:val="none"/>
                <w14:textFill>
                  <w14:solidFill>
                    <w14:schemeClr w14:val="tx1"/>
                  </w14:solidFill>
                </w14:textFill>
              </w:rPr>
              <w:t>、既往应用情况等方面打分，（4,3,2,1,0.5,0）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single" w:color="auto" w:sz="4" w:space="0"/>
              <w:left w:val="nil"/>
              <w:bottom w:val="single" w:color="auto" w:sz="4" w:space="0"/>
              <w:right w:val="single" w:color="auto" w:sz="4" w:space="0"/>
            </w:tcBorders>
            <w:noWrap w:val="0"/>
            <w:vAlign w:val="center"/>
          </w:tcPr>
          <w:p w14:paraId="16752161">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069BA50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15CB15">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4</w:t>
            </w:r>
          </w:p>
        </w:tc>
        <w:tc>
          <w:tcPr>
            <w:tcW w:w="1800" w:type="dxa"/>
            <w:tcBorders>
              <w:top w:val="nil"/>
              <w:left w:val="nil"/>
              <w:bottom w:val="single" w:color="auto" w:sz="4" w:space="0"/>
              <w:right w:val="single" w:color="auto" w:sz="4" w:space="0"/>
            </w:tcBorders>
            <w:noWrap w:val="0"/>
            <w:vAlign w:val="center"/>
          </w:tcPr>
          <w:p w14:paraId="70FC69DA">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技术服务能力</w:t>
            </w:r>
          </w:p>
        </w:tc>
        <w:tc>
          <w:tcPr>
            <w:tcW w:w="5850" w:type="dxa"/>
            <w:tcBorders>
              <w:top w:val="nil"/>
              <w:left w:val="nil"/>
              <w:bottom w:val="single" w:color="auto" w:sz="4" w:space="0"/>
              <w:right w:val="single" w:color="auto" w:sz="4" w:space="0"/>
            </w:tcBorders>
            <w:noWrap w:val="0"/>
            <w:vAlign w:val="center"/>
          </w:tcPr>
          <w:p w14:paraId="7FC1B4FA">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根据投标人技术服务力量进行评价，综合投标人所具备的技术人员数量、职称、接受原厂培训情况、所投标设备既往服务医院情况等方面打分；（4,3,2,1,0.5,0）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14:paraId="716DB076">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7BCC1DC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2CE3BA35">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5</w:t>
            </w:r>
          </w:p>
        </w:tc>
        <w:tc>
          <w:tcPr>
            <w:tcW w:w="1800" w:type="dxa"/>
            <w:tcBorders>
              <w:top w:val="nil"/>
              <w:left w:val="nil"/>
              <w:bottom w:val="single" w:color="auto" w:sz="4" w:space="0"/>
              <w:right w:val="single" w:color="auto" w:sz="4" w:space="0"/>
            </w:tcBorders>
            <w:noWrap w:val="0"/>
            <w:vAlign w:val="center"/>
          </w:tcPr>
          <w:p w14:paraId="27FDA8AB">
            <w:pPr>
              <w:widowControl/>
              <w:spacing w:line="32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供货方案</w:t>
            </w:r>
          </w:p>
        </w:tc>
        <w:tc>
          <w:tcPr>
            <w:tcW w:w="5850" w:type="dxa"/>
            <w:tcBorders>
              <w:top w:val="nil"/>
              <w:left w:val="nil"/>
              <w:bottom w:val="single" w:color="auto" w:sz="4" w:space="0"/>
              <w:right w:val="single" w:color="auto" w:sz="4" w:space="0"/>
            </w:tcBorders>
            <w:noWrap w:val="0"/>
            <w:vAlign w:val="center"/>
          </w:tcPr>
          <w:p w14:paraId="15F811B4">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根据投标人供货方案进行评价，综合中标后设备到货时间安排、安装调试验收安排、应急保障措施、现场安全措施等方面打分；（4,3,2,1,0.5,0）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14:paraId="452D2F10">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45B28109">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4002599C">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6</w:t>
            </w:r>
          </w:p>
        </w:tc>
        <w:tc>
          <w:tcPr>
            <w:tcW w:w="1800" w:type="dxa"/>
            <w:tcBorders>
              <w:top w:val="nil"/>
              <w:left w:val="nil"/>
              <w:bottom w:val="single" w:color="auto" w:sz="4" w:space="0"/>
              <w:right w:val="single" w:color="auto" w:sz="4" w:space="0"/>
            </w:tcBorders>
            <w:noWrap w:val="0"/>
            <w:vAlign w:val="center"/>
          </w:tcPr>
          <w:p w14:paraId="48B056AF">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质保期</w:t>
            </w:r>
          </w:p>
        </w:tc>
        <w:tc>
          <w:tcPr>
            <w:tcW w:w="5850" w:type="dxa"/>
            <w:tcBorders>
              <w:top w:val="nil"/>
              <w:left w:val="nil"/>
              <w:bottom w:val="single" w:color="auto" w:sz="4" w:space="0"/>
              <w:right w:val="single" w:color="auto" w:sz="4" w:space="0"/>
            </w:tcBorders>
            <w:noWrap w:val="0"/>
            <w:vAlign w:val="center"/>
          </w:tcPr>
          <w:p w14:paraId="69295F0A">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分，不足1年不计分，最高得</w:t>
            </w:r>
            <w:r>
              <w:rPr>
                <w:rFonts w:ascii="仿宋" w:hAnsi="仿宋" w:eastAsia="仿宋" w:cs="仿宋"/>
                <w:color w:val="000000" w:themeColor="text1"/>
                <w:kern w:val="0"/>
                <w:sz w:val="24"/>
                <w:highlight w:val="none"/>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2C4BE2DD">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3</w:t>
            </w:r>
          </w:p>
        </w:tc>
      </w:tr>
      <w:tr w14:paraId="254FCA5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43546F29">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7</w:t>
            </w:r>
          </w:p>
        </w:tc>
        <w:tc>
          <w:tcPr>
            <w:tcW w:w="1800" w:type="dxa"/>
            <w:tcBorders>
              <w:top w:val="nil"/>
              <w:left w:val="nil"/>
              <w:bottom w:val="single" w:color="auto" w:sz="4" w:space="0"/>
              <w:right w:val="single" w:color="auto" w:sz="4" w:space="0"/>
            </w:tcBorders>
            <w:noWrap w:val="0"/>
            <w:vAlign w:val="center"/>
          </w:tcPr>
          <w:p w14:paraId="6A3BA274">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培训方案</w:t>
            </w:r>
          </w:p>
        </w:tc>
        <w:tc>
          <w:tcPr>
            <w:tcW w:w="5850" w:type="dxa"/>
            <w:tcBorders>
              <w:top w:val="nil"/>
              <w:left w:val="nil"/>
              <w:bottom w:val="single" w:color="auto" w:sz="4" w:space="0"/>
              <w:right w:val="single" w:color="auto" w:sz="4" w:space="0"/>
            </w:tcBorders>
            <w:noWrap w:val="0"/>
            <w:vAlign w:val="center"/>
          </w:tcPr>
          <w:p w14:paraId="31CF8520">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根据投标人提供的培训方案进行评价，培训时间场次安排、培训内容、师资能力和经验、培训人员数量等方面打分，（4,3,2,1,0.5,0）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14:paraId="19BC354A">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76D62423">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1C3DA93B">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8</w:t>
            </w:r>
          </w:p>
        </w:tc>
        <w:tc>
          <w:tcPr>
            <w:tcW w:w="1800" w:type="dxa"/>
            <w:vMerge w:val="restart"/>
            <w:tcBorders>
              <w:top w:val="nil"/>
              <w:left w:val="nil"/>
              <w:right w:val="single" w:color="auto" w:sz="4" w:space="0"/>
            </w:tcBorders>
            <w:noWrap w:val="0"/>
            <w:vAlign w:val="center"/>
          </w:tcPr>
          <w:p w14:paraId="6C347D76">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售后服务方案</w:t>
            </w:r>
          </w:p>
        </w:tc>
        <w:tc>
          <w:tcPr>
            <w:tcW w:w="5850" w:type="dxa"/>
            <w:tcBorders>
              <w:top w:val="nil"/>
              <w:left w:val="nil"/>
              <w:bottom w:val="single" w:color="auto" w:sz="4" w:space="0"/>
              <w:right w:val="single" w:color="auto" w:sz="4" w:space="0"/>
            </w:tcBorders>
            <w:noWrap w:val="0"/>
            <w:vAlign w:val="center"/>
          </w:tcPr>
          <w:p w14:paraId="12664F95">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根据投标人提供的售后服务响应方案进行评价，依据维修网点、维修人员、维修能力、定期巡检、响应时间等方面打分；（4,3,2,1,0.5,0）</w:t>
            </w:r>
            <w:r>
              <w:rPr>
                <w:rFonts w:hint="eastAsia" w:ascii="仿宋" w:hAnsi="仿宋" w:eastAsia="仿宋" w:cs="仿宋"/>
                <w:color w:val="000000" w:themeColor="text1"/>
                <w:kern w:val="0"/>
                <w:sz w:val="24"/>
                <w:highlight w:val="none"/>
                <w:lang w:val="en-US" w:eastAsia="zh-CN"/>
                <w14:textFill>
                  <w14:solidFill>
                    <w14:schemeClr w14:val="tx1"/>
                  </w14:solidFill>
                </w14:textFill>
              </w:rPr>
              <w:t>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14:paraId="73CCB5CF">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p>
        </w:tc>
      </w:tr>
      <w:tr w14:paraId="1C207F3A">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0CEC7167">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14:paraId="23D6BBFF">
            <w:pPr>
              <w:widowControl/>
              <w:spacing w:line="320" w:lineRule="exact"/>
              <w:jc w:val="center"/>
              <w:rPr>
                <w:rFonts w:ascii="仿宋" w:hAnsi="仿宋" w:eastAsia="仿宋" w:cs="仿宋"/>
                <w:color w:val="000000" w:themeColor="text1"/>
                <w:sz w:val="24"/>
                <w:highlight w:val="none"/>
                <w14:textFill>
                  <w14:solidFill>
                    <w14:schemeClr w14:val="tx1"/>
                  </w14:solidFill>
                </w14:textFill>
              </w:rPr>
            </w:pPr>
          </w:p>
        </w:tc>
        <w:tc>
          <w:tcPr>
            <w:tcW w:w="5850" w:type="dxa"/>
            <w:tcBorders>
              <w:top w:val="nil"/>
              <w:left w:val="nil"/>
              <w:bottom w:val="single" w:color="auto" w:sz="4" w:space="0"/>
              <w:right w:val="single" w:color="auto" w:sz="4" w:space="0"/>
            </w:tcBorders>
            <w:noWrap w:val="0"/>
            <w:vAlign w:val="center"/>
          </w:tcPr>
          <w:p w14:paraId="5611BF96">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分；</w:t>
            </w:r>
          </w:p>
          <w:p w14:paraId="40D960FE">
            <w:pPr>
              <w:widowControl/>
              <w:spacing w:line="320" w:lineRule="exact"/>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highlight w:val="none"/>
                <w14:textFill>
                  <w14:solidFill>
                    <w14:schemeClr w14:val="tx1"/>
                  </w14:solidFill>
                </w14:textFill>
              </w:rPr>
              <w:t>，</w:t>
            </w:r>
            <w:r>
              <w:rPr>
                <w:rFonts w:ascii="仿宋" w:hAnsi="仿宋" w:eastAsia="仿宋" w:cs="仿宋"/>
                <w:color w:val="000000" w:themeColor="text1"/>
                <w:kern w:val="0"/>
                <w:sz w:val="24"/>
                <w:highlight w:val="none"/>
                <w14:textFill>
                  <w14:solidFill>
                    <w14:schemeClr w14:val="tx1"/>
                  </w14:solidFill>
                </w14:textFill>
              </w:rPr>
              <w:t>得1分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14:paraId="74BCCFEF">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3</w:t>
            </w:r>
          </w:p>
        </w:tc>
      </w:tr>
      <w:tr w14:paraId="5A99C33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16C7FB41">
            <w:pPr>
              <w:widowControl/>
              <w:spacing w:line="320" w:lineRule="exact"/>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9</w:t>
            </w:r>
          </w:p>
        </w:tc>
        <w:tc>
          <w:tcPr>
            <w:tcW w:w="1800" w:type="dxa"/>
            <w:vMerge w:val="restart"/>
            <w:tcBorders>
              <w:top w:val="nil"/>
              <w:left w:val="nil"/>
              <w:right w:val="single" w:color="auto" w:sz="4" w:space="0"/>
            </w:tcBorders>
            <w:noWrap w:val="0"/>
            <w:vAlign w:val="center"/>
          </w:tcPr>
          <w:p w14:paraId="648A6C74">
            <w:pPr>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运行维护情况</w:t>
            </w:r>
          </w:p>
        </w:tc>
        <w:tc>
          <w:tcPr>
            <w:tcW w:w="5850" w:type="dxa"/>
            <w:tcBorders>
              <w:top w:val="nil"/>
              <w:left w:val="nil"/>
              <w:bottom w:val="single" w:color="auto" w:sz="4" w:space="0"/>
              <w:right w:val="single" w:color="auto" w:sz="4" w:space="0"/>
            </w:tcBorders>
            <w:noWrap w:val="0"/>
            <w:vAlign w:val="center"/>
          </w:tcPr>
          <w:p w14:paraId="7D82F6FA">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对投标设备运行成本进行评价，根据保修价格、年运行费用和消耗品、易耗品价格、保修期内外选购价格合理性等因素进行打分，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2,1,0.5,0</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47D386D0">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2</w:t>
            </w:r>
          </w:p>
        </w:tc>
      </w:tr>
      <w:tr w14:paraId="3FAA6CC4">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790488AC">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14:paraId="72D21D50">
            <w:pPr>
              <w:widowControl/>
              <w:spacing w:line="320" w:lineRule="exact"/>
              <w:jc w:val="center"/>
              <w:rPr>
                <w:rFonts w:ascii="仿宋" w:hAnsi="仿宋" w:eastAsia="仿宋" w:cs="仿宋"/>
                <w:color w:val="000000" w:themeColor="text1"/>
                <w:sz w:val="24"/>
                <w:highlight w:val="none"/>
                <w14:textFill>
                  <w14:solidFill>
                    <w14:schemeClr w14:val="tx1"/>
                  </w14:solidFill>
                </w14:textFill>
              </w:rPr>
            </w:pPr>
          </w:p>
        </w:tc>
        <w:tc>
          <w:tcPr>
            <w:tcW w:w="5850" w:type="dxa"/>
            <w:tcBorders>
              <w:top w:val="nil"/>
              <w:left w:val="nil"/>
              <w:bottom w:val="single" w:color="auto" w:sz="4" w:space="0"/>
              <w:right w:val="single" w:color="auto" w:sz="4" w:space="0"/>
            </w:tcBorders>
            <w:noWrap w:val="0"/>
            <w:vAlign w:val="center"/>
          </w:tcPr>
          <w:p w14:paraId="45A734AA">
            <w:pPr>
              <w:widowControl/>
              <w:spacing w:line="32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对随机提供的耗材、备品配件、易损件是否齐全，以及耗材是否开放、配件和易损件是否通用等进行评价打分，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2,1,0.5,0</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2590ED52">
            <w:pPr>
              <w:widowControl/>
              <w:spacing w:line="32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r>
    </w:tbl>
    <w:p w14:paraId="68D5C21C">
      <w:pPr>
        <w:adjustRightInd w:val="0"/>
        <w:snapToGrid w:val="0"/>
        <w:spacing w:line="44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r>
        <w:rPr>
          <w:rFonts w:ascii="Calibri" w:hAnsi="Calibri" w:eastAsia="仿宋" w:cs="Calibri"/>
          <w:color w:val="000000" w:themeColor="text1"/>
          <w:sz w:val="24"/>
          <w:highlight w:val="none"/>
          <w14:textFill>
            <w14:solidFill>
              <w14:schemeClr w14:val="tx1"/>
            </w14:solidFill>
          </w14:textFill>
        </w:rPr>
        <w:t> </w:t>
      </w:r>
    </w:p>
    <w:p w14:paraId="7618FD74">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注：对省级以上主管部门认定的首台套产品，自纳入《省推广应用指导目录》起三年内参加政府采购活动，视同已具备相应销售业绩，业绩分为满分。</w:t>
      </w:r>
      <w:r>
        <w:rPr>
          <w:rFonts w:hint="eastAsia" w:ascii="仿宋" w:hAnsi="仿宋" w:eastAsia="仿宋" w:cs="仿宋"/>
          <w:color w:val="000000" w:themeColor="text1"/>
          <w:sz w:val="24"/>
          <w:highlight w:val="none"/>
          <w14:textFill>
            <w14:solidFill>
              <w14:schemeClr w14:val="tx1"/>
            </w14:solidFill>
          </w14:textFill>
        </w:rPr>
        <w:t> </w:t>
      </w:r>
    </w:p>
    <w:p w14:paraId="1408E0F8">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 xml:space="preserve"> 30 </w:t>
      </w:r>
      <w:r>
        <w:rPr>
          <w:rFonts w:hint="eastAsia" w:ascii="仿宋" w:hAnsi="仿宋" w:eastAsia="仿宋" w:cs="仿宋"/>
          <w:b/>
          <w:bCs/>
          <w:iCs/>
          <w:color w:val="000000" w:themeColor="text1"/>
          <w:sz w:val="24"/>
          <w:highlight w:val="none"/>
          <w14:textFill>
            <w14:solidFill>
              <w14:schemeClr w14:val="tx1"/>
            </w14:solidFill>
          </w14:textFill>
        </w:rPr>
        <w:t>分）</w:t>
      </w:r>
    </w:p>
    <w:p w14:paraId="5B2FBB16">
      <w:pPr>
        <w:adjustRightInd w:val="0"/>
        <w:spacing w:line="440" w:lineRule="exact"/>
        <w:ind w:firstLine="480" w:firstLineChars="200"/>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51291BA6">
      <w:pPr>
        <w:adjustRightInd w:val="0"/>
        <w:spacing w:line="440" w:lineRule="exact"/>
        <w:ind w:firstLine="480" w:firstLineChars="200"/>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31169549">
      <w:pPr>
        <w:adjustRightInd w:val="0"/>
        <w:spacing w:line="440" w:lineRule="exact"/>
        <w:ind w:firstLine="480" w:firstLineChars="200"/>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0571F1B7">
      <w:pPr>
        <w:adjustRightInd w:val="0"/>
        <w:spacing w:line="440" w:lineRule="exact"/>
        <w:ind w:firstLine="480" w:firstLineChars="200"/>
        <w:rPr>
          <w:rFonts w:hint="eastAsia" w:ascii="仿宋" w:hAnsi="仿宋" w:eastAsia="仿宋" w:cs="仿宋"/>
          <w:bCs/>
          <w:iCs/>
          <w:color w:val="000000" w:themeColor="text1"/>
          <w:sz w:val="24"/>
          <w:highlight w:val="none"/>
          <w:lang w:val="en-US"/>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lang w:val="en-US"/>
          <w14:textFill>
            <w14:solidFill>
              <w14:schemeClr w14:val="tx1"/>
            </w14:solidFill>
          </w14:textFill>
        </w:rPr>
        <w:t>30</w:t>
      </w:r>
    </w:p>
    <w:p w14:paraId="0C84C4B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投标人综合得分=</w:t>
      </w:r>
      <w:r>
        <w:rPr>
          <w:rFonts w:hint="eastAsia" w:ascii="仿宋" w:hAnsi="仿宋" w:eastAsia="仿宋" w:cs="仿宋"/>
          <w:color w:val="000000" w:themeColor="text1"/>
          <w:sz w:val="24"/>
          <w:highlight w:val="none"/>
          <w:lang w:val="en-US" w:eastAsia="zh-CN"/>
          <w14:textFill>
            <w14:solidFill>
              <w14:schemeClr w14:val="tx1"/>
            </w14:solidFill>
          </w14:textFill>
        </w:rPr>
        <w:t>商务</w:t>
      </w:r>
      <w:r>
        <w:rPr>
          <w:rFonts w:hint="eastAsia" w:ascii="仿宋" w:hAnsi="仿宋" w:eastAsia="仿宋" w:cs="仿宋"/>
          <w:color w:val="000000" w:themeColor="text1"/>
          <w:sz w:val="24"/>
          <w:highlight w:val="none"/>
          <w14:textFill>
            <w14:solidFill>
              <w14:schemeClr w14:val="tx1"/>
            </w14:solidFill>
          </w14:textFill>
        </w:rPr>
        <w:t>技术得分+价格得分。</w:t>
      </w:r>
    </w:p>
    <w:p w14:paraId="03D17AC7">
      <w:pPr>
        <w:pStyle w:val="24"/>
        <w:kinsoku/>
        <w:wordWrap w:val="0"/>
        <w:overflowPunct/>
        <w:topLinePunct w:val="0"/>
        <w:bidi w:val="0"/>
        <w:snapToGrid w:val="0"/>
        <w:spacing w:line="360" w:lineRule="auto"/>
        <w:ind w:firstLine="0" w:firstLineChars="0"/>
        <w:rPr>
          <w:rFonts w:hint="eastAsia" w:ascii="仿宋" w:hAnsi="仿宋" w:eastAsia="仿宋" w:cs="仿宋"/>
          <w:color w:val="000000" w:themeColor="text1"/>
          <w:highlight w:val="none"/>
          <w14:textFill>
            <w14:solidFill>
              <w14:schemeClr w14:val="tx1"/>
            </w14:solidFill>
          </w14:textFill>
        </w:rPr>
      </w:pPr>
    </w:p>
    <w:p w14:paraId="2B59CFD4">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7"/>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8"/>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2CA32C2C">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0747D429">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1E5E040A">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3828951">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B65B4AF">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741A2CB8">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4C34F2AD">
      <w:pPr>
        <w:pStyle w:val="23"/>
        <w:kinsoku/>
        <w:wordWrap w:val="0"/>
        <w:overflowPunct/>
        <w:topLinePunct w:val="0"/>
        <w:bidi w:val="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0881DC87">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305E098E">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569FD22C">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95A5BD4">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F2DB206">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2119DA67">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绍兴市看守所</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w:t>
      </w:r>
    </w:p>
    <w:p w14:paraId="42B39DAF">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330600262350060000003-SXHY-2026CG-0420</w:t>
      </w:r>
      <w:r>
        <w:rPr>
          <w:rFonts w:hint="eastAsia" w:ascii="仿宋" w:hAnsi="仿宋" w:eastAsia="仿宋" w:cs="仿宋"/>
          <w:color w:val="000000" w:themeColor="text1"/>
          <w:sz w:val="24"/>
          <w:highlight w:val="none"/>
          <w14:textFill>
            <w14:solidFill>
              <w14:schemeClr w14:val="tx1"/>
            </w14:solidFill>
          </w14:textFill>
        </w:rPr>
        <w:t>】政府采购活动，郑重承诺：</w:t>
      </w:r>
    </w:p>
    <w:p w14:paraId="18E420B1">
      <w:pPr>
        <w:kinsoku/>
        <w:wordWrap w:val="0"/>
        <w:overflowPunct/>
        <w:topLinePunct w:val="0"/>
        <w:bidi w:val="0"/>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758C8638">
      <w:pPr>
        <w:kinsoku/>
        <w:wordWrap w:val="0"/>
        <w:overflowPunct/>
        <w:topLinePunct w:val="0"/>
        <w:bidi w:val="0"/>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0B39C9D">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7F868191">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1404988E">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10838F6E">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362EADDF">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6068F1F5">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w:t>
      </w:r>
      <w:r>
        <w:rPr>
          <w:rFonts w:hint="eastAsia" w:ascii="仿宋_GB2312" w:hAnsi="仿宋_GB2312" w:eastAsia="仿宋_GB2312" w:cs="仿宋_GB2312"/>
          <w:color w:val="000000" w:themeColor="text1"/>
          <w:sz w:val="24"/>
          <w:highlight w:val="none"/>
          <w14:textFill>
            <w14:solidFill>
              <w14:schemeClr w14:val="tx1"/>
            </w14:solidFill>
          </w14:textFill>
        </w:rPr>
        <w:t>列入失信被执行人、重大税收违法失信主体、政府采购严重违法失信行为记录名单</w:t>
      </w:r>
      <w:r>
        <w:rPr>
          <w:rFonts w:hint="eastAsia" w:ascii="仿宋" w:hAnsi="仿宋" w:eastAsia="仿宋" w:cs="仿宋"/>
          <w:color w:val="000000" w:themeColor="text1"/>
          <w:sz w:val="24"/>
          <w:highlight w:val="none"/>
          <w14:textFill>
            <w14:solidFill>
              <w14:schemeClr w14:val="tx1"/>
            </w14:solidFill>
          </w14:textFill>
        </w:rPr>
        <w:t>。</w:t>
      </w:r>
    </w:p>
    <w:p w14:paraId="6F7F5C57">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6D26EEDE">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E8AA2DE">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1AD2FEBD">
      <w:pPr>
        <w:kinsoku/>
        <w:wordWrap w:val="0"/>
        <w:overflowPunct/>
        <w:topLinePunct w:val="0"/>
        <w:bidi w:val="0"/>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081F28FB">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285452B2">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CE3EB77">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52C5CAA">
      <w:pPr>
        <w:widowControl/>
        <w:kinsoku/>
        <w:wordWrap w:val="0"/>
        <w:overflowPunct/>
        <w:topLinePunct w:val="0"/>
        <w:bidi w:val="0"/>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272C231">
      <w:pPr>
        <w:widowControl/>
        <w:kinsoku/>
        <w:wordWrap w:val="0"/>
        <w:overflowPunct/>
        <w:topLinePunct w:val="0"/>
        <w:bidi w:val="0"/>
        <w:spacing w:line="360" w:lineRule="auto"/>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006F7A19">
      <w:pPr>
        <w:widowControl/>
        <w:kinsoku/>
        <w:wordWrap w:val="0"/>
        <w:overflowPunct/>
        <w:topLinePunct w:val="0"/>
        <w:bidi w:val="0"/>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560F3457">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0B8F203">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33FFCFD7">
      <w:pPr>
        <w:widowControl/>
        <w:kinsoku/>
        <w:wordWrap w:val="0"/>
        <w:overflowPunct/>
        <w:topLinePunct w:val="0"/>
        <w:bidi w:val="0"/>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35E0DD95">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163C9BF">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558BD948">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113EDE5B">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1EAE599E">
      <w:pPr>
        <w:widowControl/>
        <w:kinsoku/>
        <w:wordWrap w:val="0"/>
        <w:overflowPunct/>
        <w:topLinePunct w:val="0"/>
        <w:bidi w:val="0"/>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2FF3AFFF">
      <w:pPr>
        <w:kinsoku/>
        <w:wordWrap w:val="0"/>
        <w:overflowPunct/>
        <w:topLinePunct w:val="0"/>
        <w:bidi w:val="0"/>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2DA2C512">
      <w:pPr>
        <w:widowControl/>
        <w:kinsoku/>
        <w:wordWrap w:val="0"/>
        <w:overflowPunct/>
        <w:topLinePunct w:val="0"/>
        <w:bidi w:val="0"/>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C31DC6C">
      <w:pPr>
        <w:widowControl/>
        <w:kinsoku/>
        <w:wordWrap w:val="0"/>
        <w:overflowPunct/>
        <w:topLinePunct w:val="0"/>
        <w:bidi w:val="0"/>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09BA308F">
      <w:pPr>
        <w:kinsoku/>
        <w:wordWrap w:val="0"/>
        <w:overflowPunct/>
        <w:topLinePunct w:val="0"/>
        <w:bidi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51E9A672">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0FC6EDDC">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541053B7">
      <w:pPr>
        <w:kinsoku/>
        <w:wordWrap w:val="0"/>
        <w:overflowPunct/>
        <w:topLinePunct w:val="0"/>
        <w:bidi w:val="0"/>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6A7A0763">
      <w:pPr>
        <w:kinsoku/>
        <w:wordWrap w:val="0"/>
        <w:overflowPunct/>
        <w:topLinePunct w:val="0"/>
        <w:bidi w:val="0"/>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6AC456B3">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73CEA1EF">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602A5AB0">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41130F18">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4312B44A">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5BC64FEE">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781ACE20">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7D112B8A">
      <w:pPr>
        <w:kinsoku/>
        <w:wordWrap w:val="0"/>
        <w:overflowPunct/>
        <w:topLinePunct w:val="0"/>
        <w:bidi w:val="0"/>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5AE5E43E">
      <w:pPr>
        <w:kinsoku/>
        <w:wordWrap w:val="0"/>
        <w:overflowPunct/>
        <w:topLinePunct w:val="0"/>
        <w:bidi w:val="0"/>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52D9AA0">
      <w:pPr>
        <w:kinsoku/>
        <w:wordWrap w:val="0"/>
        <w:overflowPunct/>
        <w:topLinePunct w:val="0"/>
        <w:bidi w:val="0"/>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689B2B19">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639B15BF">
      <w:pPr>
        <w:kinsoku/>
        <w:wordWrap w:val="0"/>
        <w:overflowPunct/>
        <w:topLinePunct w:val="0"/>
        <w:bidi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21DFF980">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5A598A2">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D1B7F1B">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6F5D04C">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42891CF">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E1FFFC5">
      <w:pPr>
        <w:kinsoku/>
        <w:wordWrap w:val="0"/>
        <w:overflowPunct/>
        <w:topLinePunct w:val="0"/>
        <w:bidi w:val="0"/>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19F5062">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4A3CFC3">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327E8D5">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7B95EBE">
      <w:pPr>
        <w:kinsoku/>
        <w:wordWrap w:val="0"/>
        <w:overflowPunct/>
        <w:topLinePunct w:val="0"/>
        <w:bidi w:val="0"/>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8AD74C6">
      <w:pPr>
        <w:widowControl/>
        <w:kinsoku/>
        <w:wordWrap w:val="0"/>
        <w:overflowPunct/>
        <w:topLinePunct w:val="0"/>
        <w:bidi w:val="0"/>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27A96BF2">
      <w:pPr>
        <w:kinsoku/>
        <w:wordWrap w:val="0"/>
        <w:overflowPunct/>
        <w:topLinePunct w:val="0"/>
        <w:bidi w:val="0"/>
        <w:snapToGrid w:val="0"/>
        <w:spacing w:line="360"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41B68896">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_GB2312"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_GB2312" w:hAnsi="仿宋" w:eastAsia="仿宋_GB2312" w:cs="仿宋"/>
          <w:color w:val="000000" w:themeColor="text1"/>
          <w:szCs w:val="24"/>
          <w:highlight w:val="none"/>
          <w:u w:val="single"/>
          <w:lang w:eastAsia="zh-CN"/>
          <w14:textFill>
            <w14:solidFill>
              <w14:schemeClr w14:val="tx1"/>
            </w14:solidFill>
          </w14:textFill>
        </w:rPr>
        <w:t>绍兴市看守所</w:t>
      </w:r>
      <w:r>
        <w:rPr>
          <w:rFonts w:hint="eastAsia" w:ascii="仿宋_GB2312" w:hAnsi="仿宋" w:eastAsia="仿宋_GB2312" w:cs="仿宋"/>
          <w:color w:val="000000" w:themeColor="text1"/>
          <w:szCs w:val="24"/>
          <w:highlight w:val="none"/>
          <w:u w:val="single"/>
          <w14:textFill>
            <w14:solidFill>
              <w14:schemeClr w14:val="tx1"/>
            </w14:solidFill>
          </w14:textFill>
        </w:rPr>
        <w:t>、</w:t>
      </w:r>
      <w:r>
        <w:rPr>
          <w:rFonts w:hint="eastAsia" w:ascii="仿宋_GB2312" w:hAnsi="仿宋" w:eastAsia="仿宋_GB2312" w:cs="仿宋"/>
          <w:color w:val="000000" w:themeColor="text1"/>
          <w:szCs w:val="24"/>
          <w:highlight w:val="none"/>
          <w:u w:val="single"/>
          <w:lang w:eastAsia="zh-CN"/>
          <w14:textFill>
            <w14:solidFill>
              <w14:schemeClr w14:val="tx1"/>
            </w14:solidFill>
          </w14:textFill>
        </w:rPr>
        <w:t>绍兴衡业工程管理咨询有限公司</w:t>
      </w:r>
    </w:p>
    <w:p w14:paraId="5A66A66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3CEF4AFB">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1B6A820E">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2C6BA11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02E37F9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4E789E9B">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055BFBC5">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599A4717">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A4958C">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7206F23E">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03FB7419">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61BE04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6EDA214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0ECB339C">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78C687C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0AE423E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461CE47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3278FDC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14:paraId="39C1A789">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7EBBE0B5">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679C6F8A">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68FC1230">
      <w:pPr>
        <w:pageBreakBefore/>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1EFB287F">
      <w:pPr>
        <w:kinsoku/>
        <w:wordWrap w:val="0"/>
        <w:overflowPunct/>
        <w:topLinePunct w:val="0"/>
        <w:bidi w:val="0"/>
        <w:jc w:val="center"/>
        <w:rPr>
          <w:rFonts w:hint="eastAsia" w:ascii="仿宋" w:hAnsi="仿宋" w:eastAsia="仿宋" w:cs="仿宋"/>
          <w:b/>
          <w:color w:val="000000" w:themeColor="text1"/>
          <w:sz w:val="24"/>
          <w:highlight w:val="none"/>
          <w14:textFill>
            <w14:solidFill>
              <w14:schemeClr w14:val="tx1"/>
            </w14:solidFill>
          </w14:textFill>
        </w:rPr>
      </w:pPr>
    </w:p>
    <w:p w14:paraId="752BCF07">
      <w:pPr>
        <w:kinsoku/>
        <w:wordWrap w:val="0"/>
        <w:overflowPunct/>
        <w:topLinePunct w:val="0"/>
        <w:bidi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绍兴市看守所、绍兴衡业工程管理咨询有限公司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绍兴市看守所全自动包药机采购项目（重招）（招标编号:330600262350060000003-SXHY-2026CG-0420）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01FBACAF">
      <w:pPr>
        <w:kinsoku/>
        <w:wordWrap w:val="0"/>
        <w:overflowPunct/>
        <w:topLinePunct w:val="0"/>
        <w:bidi w:val="0"/>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03299D1">
      <w:pPr>
        <w:kinsoku/>
        <w:wordWrap w:val="0"/>
        <w:overflowPunct/>
        <w:topLinePunct w:val="0"/>
        <w:bidi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24356E32">
      <w:pPr>
        <w:kinsoku/>
        <w:wordWrap w:val="0"/>
        <w:overflowPunct/>
        <w:topLinePunct w:val="0"/>
        <w:bidi w:val="0"/>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4A6B8EAC">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27E6F185">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08AB8002">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6A90EDF2">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6A7E8547">
      <w:pPr>
        <w:widowControl/>
        <w:kinsoku/>
        <w:wordWrap w:val="0"/>
        <w:overflowPunct/>
        <w:topLinePunct w:val="0"/>
        <w:bidi w:val="0"/>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255DE4CC">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7FF91618">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104957E0">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3F091503">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6F96D093">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524C2FE6">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5AA5C7B2">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5F5BC3CF">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4BE150C4">
      <w:pPr>
        <w:kinsoku/>
        <w:wordWrap w:val="0"/>
        <w:overflowPunct/>
        <w:topLinePunct w:val="0"/>
        <w:bidi w:val="0"/>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2E06F5B5">
      <w:pPr>
        <w:kinsoku/>
        <w:wordWrap w:val="0"/>
        <w:overflowPunct/>
        <w:topLinePunct w:val="0"/>
        <w:bidi w:val="0"/>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527100F2">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47399A29">
      <w:pPr>
        <w:pageBreakBefore/>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04D6D65E">
      <w:pPr>
        <w:kinsoku/>
        <w:wordWrap w:val="0"/>
        <w:overflowPunct/>
        <w:topLinePunct w:val="0"/>
        <w:bidi w:val="0"/>
        <w:jc w:val="center"/>
        <w:rPr>
          <w:rFonts w:hint="eastAsia" w:ascii="仿宋" w:hAnsi="仿宋" w:eastAsia="仿宋" w:cs="仿宋"/>
          <w:b/>
          <w:color w:val="000000" w:themeColor="text1"/>
          <w:sz w:val="24"/>
          <w:highlight w:val="none"/>
          <w14:textFill>
            <w14:solidFill>
              <w14:schemeClr w14:val="tx1"/>
            </w14:solidFill>
          </w14:textFill>
        </w:rPr>
      </w:pPr>
    </w:p>
    <w:p w14:paraId="30395E14">
      <w:pPr>
        <w:kinsoku/>
        <w:wordWrap w:val="0"/>
        <w:overflowPunct/>
        <w:topLinePunct w:val="0"/>
        <w:bidi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2B7578A4">
      <w:pPr>
        <w:kinsoku/>
        <w:wordWrap w:val="0"/>
        <w:overflowPunct/>
        <w:topLinePunct w:val="0"/>
        <w:bidi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绍兴市看守所、绍兴衡业工程管理咨询有限公司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绍兴市看守所全自动包药机采购项目（重招）（招标编号:330600262350060000003-SXHY-2026CG-0420）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66C76490">
      <w:pPr>
        <w:kinsoku/>
        <w:wordWrap w:val="0"/>
        <w:overflowPunct/>
        <w:topLinePunct w:val="0"/>
        <w:bidi w:val="0"/>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321C2502">
      <w:pPr>
        <w:kinsoku/>
        <w:wordWrap w:val="0"/>
        <w:overflowPunct/>
        <w:topLinePunct w:val="0"/>
        <w:bidi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1E411A62">
      <w:pPr>
        <w:kinsoku/>
        <w:wordWrap w:val="0"/>
        <w:overflowPunct/>
        <w:topLinePunct w:val="0"/>
        <w:bidi w:val="0"/>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19B7A3EB">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7D6639D4">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1FC4D70F">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08E15A4F">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117D2323">
      <w:pPr>
        <w:widowControl/>
        <w:kinsoku/>
        <w:wordWrap w:val="0"/>
        <w:overflowPunct/>
        <w:topLinePunct w:val="0"/>
        <w:bidi w:val="0"/>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052EAEAA">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4F575088">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05478347">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3EE2D2C">
      <w:pPr>
        <w:kinsoku/>
        <w:wordWrap w:val="0"/>
        <w:overflowPunct/>
        <w:topLinePunct w:val="0"/>
        <w:bidi w:val="0"/>
        <w:rPr>
          <w:rFonts w:hint="eastAsia" w:ascii="仿宋" w:hAnsi="仿宋" w:eastAsia="仿宋" w:cs="仿宋"/>
          <w:color w:val="000000" w:themeColor="text1"/>
          <w:highlight w:val="none"/>
          <w14:textFill>
            <w14:solidFill>
              <w14:schemeClr w14:val="tx1"/>
            </w14:solidFill>
          </w14:textFill>
        </w:rPr>
      </w:pPr>
    </w:p>
    <w:p w14:paraId="48A19FF7">
      <w:pPr>
        <w:kinsoku/>
        <w:wordWrap w:val="0"/>
        <w:overflowPunct/>
        <w:topLinePunct w:val="0"/>
        <w:bidi w:val="0"/>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5C94FA6C">
      <w:pPr>
        <w:kinsoku/>
        <w:wordWrap w:val="0"/>
        <w:overflowPunct/>
        <w:topLinePunct w:val="0"/>
        <w:bidi w:val="0"/>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7D1CCC5">
      <w:pPr>
        <w:kinsoku/>
        <w:wordWrap w:val="0"/>
        <w:overflowPunct/>
        <w:topLinePunct w:val="0"/>
        <w:bidi w:val="0"/>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20163CB">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269DB90C">
      <w:pPr>
        <w:kinsoku/>
        <w:wordWrap w:val="0"/>
        <w:overflowPunct/>
        <w:topLinePunct w:val="0"/>
        <w:autoSpaceDE w:val="0"/>
        <w:autoSpaceDN w:val="0"/>
        <w:bidi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5352D51">
      <w:pPr>
        <w:kinsoku/>
        <w:wordWrap w:val="0"/>
        <w:overflowPunct/>
        <w:topLinePunct w:val="0"/>
        <w:autoSpaceDE w:val="0"/>
        <w:autoSpaceDN w:val="0"/>
        <w:bidi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2A45DEE">
      <w:pPr>
        <w:pageBreakBefore/>
        <w:kinsoku/>
        <w:wordWrap w:val="0"/>
        <w:overflowPunct/>
        <w:topLinePunct w:val="0"/>
        <w:bidi w:val="0"/>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79AC6DA2">
      <w:pPr>
        <w:kinsoku/>
        <w:wordWrap w:val="0"/>
        <w:overflowPunct/>
        <w:topLinePunct w:val="0"/>
        <w:bidi w:val="0"/>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4305B18">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555E8515">
      <w:pPr>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0F15152F">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3FBFBCDA">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2E5C7BEC">
      <w:pPr>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5BBC750A">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E42C5D8">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EB8D5EA">
      <w:pPr>
        <w:kinsoku/>
        <w:wordWrap w:val="0"/>
        <w:overflowPunct/>
        <w:topLinePunct w:val="0"/>
        <w:bidi w:val="0"/>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16A9D82">
      <w:pPr>
        <w:kinsoku/>
        <w:wordWrap w:val="0"/>
        <w:overflowPunct/>
        <w:topLinePunct w:val="0"/>
        <w:bidi w:val="0"/>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77780DB">
      <w:pPr>
        <w:kinsoku/>
        <w:wordWrap w:val="0"/>
        <w:overflowPunct/>
        <w:topLinePunct w:val="0"/>
        <w:bidi w:val="0"/>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ADF41F3">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7BE6BE0D">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1ECBA0CA">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p>
    <w:p w14:paraId="6DE23CDB">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2F229208">
      <w:pPr>
        <w:kinsoku/>
        <w:wordWrap w:val="0"/>
        <w:overflowPunct/>
        <w:topLinePunct w:val="0"/>
        <w:bidi w:val="0"/>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32B325A3">
      <w:pPr>
        <w:kinsoku/>
        <w:wordWrap w:val="0"/>
        <w:overflowPunct/>
        <w:topLinePunct w:val="0"/>
        <w:bidi w:val="0"/>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24062016">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B7AEE7C">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0F383AC">
      <w:pPr>
        <w:kinsoku/>
        <w:wordWrap w:val="0"/>
        <w:overflowPunct/>
        <w:topLinePunct w:val="0"/>
        <w:bidi w:val="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492725D6">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83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3D6EBA">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14E30556">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4D280807">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16240DD3">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5D99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670E9C">
            <w:pPr>
              <w:kinsoku/>
              <w:wordWrap w:val="0"/>
              <w:overflowPunct/>
              <w:topLinePunct w:val="0"/>
              <w:bidi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7D71ABDE">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5B5BF981">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1877D22B">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26D4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A61BA8">
            <w:pPr>
              <w:kinsoku/>
              <w:wordWrap w:val="0"/>
              <w:overflowPunct/>
              <w:topLinePunct w:val="0"/>
              <w:bidi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440048AE">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304C78FD">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0FFB193">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2808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CF02CF">
            <w:pPr>
              <w:kinsoku/>
              <w:wordWrap w:val="0"/>
              <w:overflowPunct/>
              <w:topLinePunct w:val="0"/>
              <w:bidi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7760F68D">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055B56EE">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050C7197">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6CB40D04">
      <w:pPr>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7E692A12">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FA545B8">
      <w:pPr>
        <w:kinsoku/>
        <w:wordWrap w:val="0"/>
        <w:overflowPunct/>
        <w:topLinePunct w:val="0"/>
        <w:bidi w:val="0"/>
        <w:spacing w:line="360" w:lineRule="auto"/>
        <w:ind w:right="420"/>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BC00672">
      <w:pPr>
        <w:widowControl/>
        <w:kinsoku/>
        <w:wordWrap w:val="0"/>
        <w:overflowPunct/>
        <w:topLinePunct w:val="0"/>
        <w:bidi w:val="0"/>
        <w:adjustRightInd/>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6F782AF7">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34EBE1ED">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6F03B1EC">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绍兴市看守所</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48F2B40">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57E4DC8E">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7633C2A2">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5DD3D4D">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5FB862BC">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4D41A2E0">
      <w:pPr>
        <w:kinsoku/>
        <w:wordWrap w:val="0"/>
        <w:overflowPunct/>
        <w:topLinePunct w:val="0"/>
        <w:autoSpaceDE w:val="0"/>
        <w:autoSpaceDN w:val="0"/>
        <w:bidi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29AEECDF">
      <w:pPr>
        <w:kinsoku/>
        <w:wordWrap w:val="0"/>
        <w:overflowPunct/>
        <w:topLinePunct w:val="0"/>
        <w:autoSpaceDE w:val="0"/>
        <w:autoSpaceDN w:val="0"/>
        <w:bidi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00C03D4F">
      <w:pPr>
        <w:kinsoku/>
        <w:wordWrap w:val="0"/>
        <w:overflowPunct/>
        <w:topLinePunct w:val="0"/>
        <w:autoSpaceDE w:val="0"/>
        <w:autoSpaceDN w:val="0"/>
        <w:bidi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18C3ECE5">
      <w:pPr>
        <w:kinsoku/>
        <w:wordWrap w:val="0"/>
        <w:overflowPunct/>
        <w:topLinePunct w:val="0"/>
        <w:autoSpaceDE w:val="0"/>
        <w:autoSpaceDN w:val="0"/>
        <w:bidi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11A4638B">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2C3BEDBD">
      <w:pPr>
        <w:kinsoku/>
        <w:wordWrap w:val="0"/>
        <w:overflowPunct/>
        <w:topLinePunct w:val="0"/>
        <w:autoSpaceDE w:val="0"/>
        <w:autoSpaceDN w:val="0"/>
        <w:bidi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5248806A">
      <w:pPr>
        <w:kinsoku/>
        <w:wordWrap w:val="0"/>
        <w:overflowPunct/>
        <w:topLinePunct w:val="0"/>
        <w:autoSpaceDE w:val="0"/>
        <w:autoSpaceDN w:val="0"/>
        <w:bidi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15246920">
      <w:pPr>
        <w:kinsoku/>
        <w:wordWrap w:val="0"/>
        <w:overflowPunct/>
        <w:topLinePunct w:val="0"/>
        <w:autoSpaceDE w:val="0"/>
        <w:autoSpaceDN w:val="0"/>
        <w:bidi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2F4EF776">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70B6925C">
      <w:pPr>
        <w:kinsoku/>
        <w:wordWrap w:val="0"/>
        <w:overflowPunct/>
        <w:topLinePunct w:val="0"/>
        <w:bidi w:val="0"/>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39BC9606">
      <w:pPr>
        <w:kinsoku/>
        <w:wordWrap w:val="0"/>
        <w:overflowPunct/>
        <w:topLinePunct w:val="0"/>
        <w:bidi w:val="0"/>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67D312D7">
      <w:pPr>
        <w:kinsoku/>
        <w:wordWrap w:val="0"/>
        <w:overflowPunct/>
        <w:topLinePunct w:val="0"/>
        <w:bidi w:val="0"/>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44923BF">
      <w:pPr>
        <w:kinsoku/>
        <w:wordWrap w:val="0"/>
        <w:overflowPunct/>
        <w:topLinePunct w:val="0"/>
        <w:bidi w:val="0"/>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5BD2672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354F2B0C">
      <w:pPr>
        <w:kinsoku/>
        <w:wordWrap w:val="0"/>
        <w:overflowPunct/>
        <w:topLinePunct w:val="0"/>
        <w:autoSpaceDE w:val="0"/>
        <w:autoSpaceDN w:val="0"/>
        <w:bidi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A8613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0C029D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F19EEE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708ABE6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E00B7DB">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6340CD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5D0BAD9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25A7308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40EE8B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1F47CA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08F97B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057B4D4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B13F783">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4B758F6">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C04E8BD">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7EFDFC3">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A2A8F89">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3D748D2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13A83A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F39CD6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4F386C4">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4C21089">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465080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A8C860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A102EA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C7B84F3">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6006B0B">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9D97F3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1E7931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ADB4E2B">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D1028DF">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908889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9BB8459">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4A35634">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30C060A">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D2AEE90">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05EF2DF3">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6FE5306C">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322A4725">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7F20219">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329992D">
      <w:pPr>
        <w:pStyle w:val="648"/>
        <w:kinsoku/>
        <w:wordWrap w:val="0"/>
        <w:overflowPunct/>
        <w:topLinePunct w:val="0"/>
        <w:bidi w:val="0"/>
        <w:ind w:firstLine="0"/>
        <w:jc w:val="both"/>
        <w:rPr>
          <w:rFonts w:hAnsi="仿宋_GB2312" w:cs="仿宋_GB2312"/>
          <w:color w:val="000000" w:themeColor="text1"/>
          <w:highlight w:val="none"/>
          <w14:textFill>
            <w14:solidFill>
              <w14:schemeClr w14:val="tx1"/>
            </w14:solidFill>
          </w14:textFill>
        </w:rPr>
      </w:pPr>
    </w:p>
    <w:p w14:paraId="0189B2A5">
      <w:pPr>
        <w:pageBreakBefore/>
        <w:kinsoku/>
        <w:wordWrap w:val="0"/>
        <w:overflowPunct/>
        <w:topLinePunct w:val="0"/>
        <w:bidi w:val="0"/>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484B7D4C">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6463C5E">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470E77EF">
      <w:pPr>
        <w:kinsoku/>
        <w:wordWrap w:val="0"/>
        <w:overflowPunct/>
        <w:topLinePunct w:val="0"/>
        <w:bidi w:val="0"/>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13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D45BF6F">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63183447">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3A11E2E4">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7CE704A9">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6C858105">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7E569C2E">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4FCE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AA815B">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7F39CBE1">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1CA4476A">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7613D06">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52AF59B">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59517B1">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4C1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05BE3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4C90A46A">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06D08FE">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604B3F9">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8D732A1">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E6B5F2E">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A27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89F83C">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2C0B1C07">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B54144C">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EBCDDA0">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4185C36B">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3D6CE5CA">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9FB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D35987">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06FB980B">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724A609">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0EA75883">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5A75E45">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FABA93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7D6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5CA208">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1D9AFC21">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6AD8871">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FA605E5">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C7CCAD3">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D25C01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3A4DFB48">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66DA300D">
      <w:pPr>
        <w:kinsoku/>
        <w:wordWrap w:val="0"/>
        <w:overflowPunct/>
        <w:topLinePunct w:val="0"/>
        <w:autoSpaceDE w:val="0"/>
        <w:autoSpaceDN w:val="0"/>
        <w:bidi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203555BD">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2662FAFF">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6DB8C4C0">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E3C2B7B">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F3454E3">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5404DF07">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71A787CB">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02C3E9CB">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D8D689D">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4B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31A54F7">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17ACBF3E">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1C53449E">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194B01FA">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65087A72">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211D0920">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1CD79D99">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7E6E6998">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037271D0">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426E7160">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46522A65">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29825727">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7AAB0BD0">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110A4EE8">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67316CCE">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7B24E723">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3E504029">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7488A92D">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207F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E5D5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1173F12">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70F8CD7">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A7F24D">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FEF7E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F0C865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73A9BB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6E2BCF3">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18AE760">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05258E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6ACD1BF">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6C9008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FC16BA0">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8FB6842">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5A7B00D">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005F88">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9C65CFF">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612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4305DB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9D44568">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72B737B">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842539B">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D65FEF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11306C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716703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A77ED8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97A293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D44EBE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F9B372">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93DBD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04D863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3B8985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A141A29">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ECEBB0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A7466C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6925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F00693">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3978A73">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FB215D0">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D02DB2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D81A4ED">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CC8753B">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E01D0A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D93F27D">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125EFC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0FF038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DED2309">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21FECB8">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B79E1E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E75598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8D6BCE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C8A7B2D">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63200D8">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DF77AAD">
      <w:pPr>
        <w:kinsoku/>
        <w:wordWrap w:val="0"/>
        <w:overflowPunct/>
        <w:topLinePunct w:val="0"/>
        <w:autoSpaceDE w:val="0"/>
        <w:autoSpaceDN w:val="0"/>
        <w:bidi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7AA0B207">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6B10AA0">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6B8768A">
      <w:pPr>
        <w:kinsoku/>
        <w:wordWrap w:val="0"/>
        <w:overflowPunct/>
        <w:topLinePunct w:val="0"/>
        <w:bidi w:val="0"/>
        <w:spacing w:line="360" w:lineRule="auto"/>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3745A5E7">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00300E1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36F868B3">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84D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DCA7D1D">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0A01210A">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3C43A807">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75EC1EF3">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31F52D39">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57E621A6">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6C51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59A248">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C1480C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0CB310B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F2533D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43CF5F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7A74619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953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03177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784C39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51761CD8">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3BE16FC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4F482B6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D74750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BE8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2D8DD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0F1C836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41D3099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12F6D6D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8227C4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7B381E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B9048EC">
      <w:pPr>
        <w:kinsoku/>
        <w:wordWrap w:val="0"/>
        <w:overflowPunct/>
        <w:topLinePunct w:val="0"/>
        <w:autoSpaceDE w:val="0"/>
        <w:autoSpaceDN w:val="0"/>
        <w:bidi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79094DFF">
      <w:pPr>
        <w:kinsoku/>
        <w:wordWrap w:val="0"/>
        <w:overflowPunct/>
        <w:topLinePunct w:val="0"/>
        <w:autoSpaceDE w:val="0"/>
        <w:autoSpaceDN w:val="0"/>
        <w:bidi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DA86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4278B02">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476E1D">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037FE35">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E0F1820">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43853EE">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A6C9634">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2462062">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7072F39">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C2AF61">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85805A">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ADC40CA">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033E4F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C4509D">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96C6F1C">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CB92F86">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2719F03">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0D81ACC">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35F0FF2">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B3FF3A6">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A15170E">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7F99EA2">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B9AE8F2">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BFAC090">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17CF06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70FE26">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F91436F">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47D3F1FF">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C16191D">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820F0EE">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284E431">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4D09546">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A2DD25">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7631584">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E8F61CF">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0F52C683">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5586C77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B1FEB9">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51EAE80">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31C3660">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EC91687">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BCB6FD8">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F93143">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05DD7DD">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7DB789A">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AEB5468">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35F34A0">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9D31CE3">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44026572">
      <w:pPr>
        <w:kinsoku/>
        <w:wordWrap w:val="0"/>
        <w:overflowPunct/>
        <w:topLinePunct w:val="0"/>
        <w:bidi w:val="0"/>
        <w:spacing w:line="360" w:lineRule="auto"/>
        <w:ind w:firstLine="480" w:firstLineChars="200"/>
        <w:jc w:val="right"/>
        <w:rPr>
          <w:rFonts w:ascii="仿宋_GB2312" w:hAnsi="仿宋_GB2312" w:eastAsia="仿宋_GB2312" w:cs="仿宋_GB2312"/>
          <w:color w:val="000000" w:themeColor="text1"/>
          <w:sz w:val="24"/>
          <w:szCs w:val="20"/>
          <w:highlight w:val="none"/>
          <w14:textFill>
            <w14:solidFill>
              <w14:schemeClr w14:val="tx1"/>
            </w14:solidFill>
          </w14:textFill>
        </w:rPr>
      </w:pPr>
    </w:p>
    <w:p w14:paraId="15E7C1D9">
      <w:pPr>
        <w:kinsoku/>
        <w:wordWrap w:val="0"/>
        <w:overflowPunct/>
        <w:topLinePunct w:val="0"/>
        <w:bidi w:val="0"/>
        <w:spacing w:line="336" w:lineRule="auto"/>
        <w:ind w:firstLine="3600" w:firstLineChars="150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E97E1B3">
      <w:pPr>
        <w:kinsoku/>
        <w:wordWrap w:val="0"/>
        <w:overflowPunct/>
        <w:topLinePunct w:val="0"/>
        <w:bidi w:val="0"/>
        <w:spacing w:line="336" w:lineRule="auto"/>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7F5CBAD">
      <w:pPr>
        <w:kinsoku/>
        <w:wordWrap w:val="0"/>
        <w:overflowPunct/>
        <w:topLinePunct w:val="0"/>
        <w:bidi w:val="0"/>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600AA7D0">
      <w:pPr>
        <w:pStyle w:val="80"/>
        <w:kinsoku/>
        <w:wordWrap w:val="0"/>
        <w:overflowPunct/>
        <w:topLinePunct w:val="0"/>
        <w:bidi w:val="0"/>
        <w:rPr>
          <w:rFonts w:hint="eastAsia"/>
          <w:color w:val="000000" w:themeColor="text1"/>
          <w:highlight w:val="none"/>
          <w:lang w:eastAsia="zh-CN"/>
          <w14:textFill>
            <w14:solidFill>
              <w14:schemeClr w14:val="tx1"/>
            </w14:solidFill>
          </w14:textFill>
        </w:rPr>
      </w:pPr>
    </w:p>
    <w:p w14:paraId="15A620BE">
      <w:pPr>
        <w:kinsoku/>
        <w:wordWrap w:val="0"/>
        <w:overflowPunct/>
        <w:topLinePunct w:val="0"/>
        <w:bidi w:val="0"/>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58FB8E6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2A5FC430">
      <w:pPr>
        <w:kinsoku/>
        <w:wordWrap w:val="0"/>
        <w:overflowPunct/>
        <w:topLinePunct w:val="0"/>
        <w:bidi w:val="0"/>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2545B533">
      <w:pPr>
        <w:pStyle w:val="80"/>
        <w:kinsoku/>
        <w:wordWrap w:val="0"/>
        <w:overflowPunct/>
        <w:topLinePunct w:val="0"/>
        <w:bidi w:val="0"/>
        <w:rPr>
          <w:rFonts w:hint="eastAsia"/>
          <w:color w:val="000000" w:themeColor="text1"/>
          <w:highlight w:val="none"/>
          <w14:textFill>
            <w14:solidFill>
              <w14:schemeClr w14:val="tx1"/>
            </w14:solidFill>
          </w14:textFill>
        </w:rPr>
      </w:pPr>
    </w:p>
    <w:p w14:paraId="7EFA1B70">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C2D45D0">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5EC3756">
      <w:pPr>
        <w:pStyle w:val="80"/>
        <w:kinsoku/>
        <w:wordWrap w:val="0"/>
        <w:overflowPunct/>
        <w:topLinePunct w:val="0"/>
        <w:bidi w:val="0"/>
        <w:rPr>
          <w:color w:val="000000" w:themeColor="text1"/>
          <w:highlight w:val="none"/>
          <w14:textFill>
            <w14:solidFill>
              <w14:schemeClr w14:val="tx1"/>
            </w14:solidFill>
          </w14:textFill>
        </w:rPr>
      </w:pPr>
    </w:p>
    <w:p w14:paraId="55AC65D5">
      <w:pPr>
        <w:pageBreakBefore/>
        <w:kinsoku/>
        <w:wordWrap w:val="0"/>
        <w:overflowPunct/>
        <w:topLinePunct w:val="0"/>
        <w:bidi w:val="0"/>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5FC465BB">
      <w:pPr>
        <w:kinsoku/>
        <w:wordWrap w:val="0"/>
        <w:overflowPunct/>
        <w:topLinePunct w:val="0"/>
        <w:bidi w:val="0"/>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456D50CB">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AC3944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A5B16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DA5D88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678ACB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77A445C">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6BDBC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34AD1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BBDEFB">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185A0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66980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6E1CBB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A3968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515E5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A7007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99625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BF6656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40BFA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C9A5F3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6D55838">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638B3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D6431F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665E38">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B43F69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403A43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1E448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F86DBC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9B2EC8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2E277D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C9DF4D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B7025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5647C3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16D4F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237E93B">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77576D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DF03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36FF30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860C9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EBA1858">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00409E1">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E62CB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8D4841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CA74AA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6CC299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206578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9E79B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297926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E80A2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1B5C1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97E2F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6FE6D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B08436F">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473B181D">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032F770">
        <w:tc>
          <w:tcPr>
            <w:tcW w:w="420" w:type="dxa"/>
            <w:tcBorders>
              <w:top w:val="single" w:color="auto" w:sz="6" w:space="0"/>
              <w:left w:val="single" w:color="auto" w:sz="6" w:space="0"/>
              <w:bottom w:val="single" w:color="auto" w:sz="6" w:space="0"/>
              <w:right w:val="single" w:color="auto" w:sz="6" w:space="0"/>
            </w:tcBorders>
            <w:vAlign w:val="center"/>
          </w:tcPr>
          <w:p w14:paraId="4460DDA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447E7D1">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9A9E7D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6AD96B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E93AF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311F876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50551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11554F7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81B50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02F3BA01">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14A94E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65D04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1129D2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202E4BF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81677C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1E73E2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6C13B8E">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ABC6DF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7ECD7F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8CB963A">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C2650B4">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660AB9D">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5DE736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BD0CAED">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CA6C39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A89C7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49DB356">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B801F4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371BBDC">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6237F79">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BFAFAE">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B129F4C">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8A7678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415DE0E">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72773DE">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688845F5">
      <w:pPr>
        <w:kinsoku/>
        <w:wordWrap w:val="0"/>
        <w:overflowPunct/>
        <w:topLinePunct w:val="0"/>
        <w:bidi w:val="0"/>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51C3AC2C">
      <w:pPr>
        <w:kinsoku/>
        <w:wordWrap w:val="0"/>
        <w:overflowPunct/>
        <w:topLinePunct w:val="0"/>
        <w:bidi w:val="0"/>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5D74A89C">
      <w:pPr>
        <w:kinsoku/>
        <w:wordWrap w:val="0"/>
        <w:overflowPunct/>
        <w:topLinePunct w:val="0"/>
        <w:bidi w:val="0"/>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1C4338CF">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218284C0">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A4066F7">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1AFAE61">
      <w:pPr>
        <w:kinsoku/>
        <w:wordWrap w:val="0"/>
        <w:overflowPunct/>
        <w:topLinePunct w:val="0"/>
        <w:bidi w:val="0"/>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68A619EA">
      <w:pPr>
        <w:kinsoku/>
        <w:wordWrap w:val="0"/>
        <w:overflowPunct/>
        <w:topLinePunct w:val="0"/>
        <w:bidi w:val="0"/>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75888C5E">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2BC37E42">
      <w:pPr>
        <w:kinsoku/>
        <w:wordWrap w:val="0"/>
        <w:overflowPunct/>
        <w:topLinePunct w:val="0"/>
        <w:bidi w:val="0"/>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023D7409">
      <w:pPr>
        <w:pStyle w:val="80"/>
        <w:kinsoku/>
        <w:wordWrap w:val="0"/>
        <w:overflowPunct/>
        <w:topLinePunct w:val="0"/>
        <w:bidi w:val="0"/>
        <w:rPr>
          <w:color w:val="000000" w:themeColor="text1"/>
          <w:highlight w:val="none"/>
          <w14:textFill>
            <w14:solidFill>
              <w14:schemeClr w14:val="tx1"/>
            </w14:solidFill>
          </w14:textFill>
        </w:rPr>
      </w:pPr>
    </w:p>
    <w:p w14:paraId="30911404">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1F982F8">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70ABBFD">
      <w:pPr>
        <w:kinsoku/>
        <w:wordWrap w:val="0"/>
        <w:overflowPunct/>
        <w:topLinePunct w:val="0"/>
        <w:bidi w:val="0"/>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387C9591">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B710912">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5B1E34A">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ACBFBFC">
      <w:pPr>
        <w:kinsoku/>
        <w:wordWrap w:val="0"/>
        <w:overflowPunct/>
        <w:topLinePunct w:val="0"/>
        <w:bidi w:val="0"/>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739C7B01">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04417096">
      <w:pPr>
        <w:kinsoku/>
        <w:wordWrap w:val="0"/>
        <w:overflowPunct/>
        <w:topLinePunct w:val="0"/>
        <w:bidi w:val="0"/>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5CF46133">
      <w:pPr>
        <w:kinsoku/>
        <w:wordWrap w:val="0"/>
        <w:overflowPunct/>
        <w:topLinePunct w:val="0"/>
        <w:bidi w:val="0"/>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E9ECB30">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9AC4D30">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9ABAA75">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E892FBB">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8DE70E0">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5F3070C">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8C020B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1F6798E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071508EB">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61CF3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3B253AA">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A6A8A62">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781E8E71">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19CAFC44">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0CE7505">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3734F31">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3267ECD">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2B2DB7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02E7C3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5A5C302">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BF3F59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4F486D1D">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29B8E582">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297CCFF8">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45660902">
            <w:pPr>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5DD5457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580F47">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A62423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4341E7B1">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8FAC484">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B9396D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1F08E305">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3D1EAFF4">
            <w:pPr>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2640FE9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4D7C953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7889419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4538D74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1704483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7F60B23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30ED30E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755AD12B">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CA5487B">
      <w:pPr>
        <w:kinsoku/>
        <w:wordWrap w:val="0"/>
        <w:overflowPunct/>
        <w:topLinePunct w:val="0"/>
        <w:bidi w:val="0"/>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47175F53">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782535BF">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53ACB8C">
      <w:pPr>
        <w:pageBreakBefore/>
        <w:kinsoku/>
        <w:wordWrap w:val="0"/>
        <w:overflowPunct/>
        <w:topLinePunct w:val="0"/>
        <w:bidi w:val="0"/>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429CC2FA">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0EBC64C9">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3B269EA3">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04D23C3">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6E26BF3">
      <w:pPr>
        <w:kinsoku/>
        <w:wordWrap w:val="0"/>
        <w:overflowPunct/>
        <w:topLinePunct w:val="0"/>
        <w:bidi w:val="0"/>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65D81A94">
      <w:pPr>
        <w:kinsoku/>
        <w:wordWrap w:val="0"/>
        <w:overflowPunct/>
        <w:topLinePunct w:val="0"/>
        <w:bidi w:val="0"/>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7D6FEFC8">
      <w:pPr>
        <w:kinsoku/>
        <w:wordWrap w:val="0"/>
        <w:overflowPunct/>
        <w:topLinePunct w:val="0"/>
        <w:bidi w:val="0"/>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572AF5CB">
      <w:pPr>
        <w:kinsoku/>
        <w:wordWrap w:val="0"/>
        <w:overflowPunct/>
        <w:topLinePunct w:val="0"/>
        <w:bidi w:val="0"/>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0BBED5FD">
      <w:pPr>
        <w:kinsoku/>
        <w:wordWrap w:val="0"/>
        <w:overflowPunct/>
        <w:topLinePunct w:val="0"/>
        <w:bidi w:val="0"/>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11FC774F">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441F9BF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3199ECC">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CCBCF19">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607A900">
      <w:pPr>
        <w:pStyle w:val="81"/>
        <w:kinsoku/>
        <w:wordWrap w:val="0"/>
        <w:overflowPunct/>
        <w:topLinePunct w:val="0"/>
        <w:bidi w:val="0"/>
        <w:rPr>
          <w:rFonts w:hint="eastAsia"/>
          <w:color w:val="000000" w:themeColor="text1"/>
          <w:highlight w:val="none"/>
          <w14:textFill>
            <w14:solidFill>
              <w14:schemeClr w14:val="tx1"/>
            </w14:solidFill>
          </w14:textFill>
        </w:rPr>
        <w:sectPr>
          <w:headerReference r:id="rId14" w:type="first"/>
          <w:footerReference r:id="rId16" w:type="first"/>
          <w:footerReference r:id="rId15" w:type="default"/>
          <w:pgSz w:w="11906" w:h="16838"/>
          <w:pgMar w:top="1276" w:right="1418" w:bottom="1247" w:left="1418" w:header="851" w:footer="992" w:gutter="0"/>
          <w:pgNumType w:fmt="decimal"/>
          <w:cols w:space="720" w:num="1"/>
          <w:titlePg/>
          <w:docGrid w:linePitch="312" w:charSpace="0"/>
        </w:sectPr>
      </w:pPr>
    </w:p>
    <w:p w14:paraId="38DA1FDC">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1088F24E">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0989007D">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3DC9387D">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39C3C118">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报价说明</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…………………………………………………………（页码）</w:t>
      </w:r>
    </w:p>
    <w:p w14:paraId="3AABD318">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）中小企业声明函……………………………………………………………（页码）</w:t>
      </w:r>
    </w:p>
    <w:p w14:paraId="0617AB36">
      <w:pPr>
        <w:pStyle w:val="23"/>
        <w:numPr>
          <w:ilvl w:val="0"/>
          <w:numId w:val="0"/>
        </w:num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w:t>
      </w: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）残疾人福利性单位声明函…………………………………………………（页码）</w:t>
      </w:r>
    </w:p>
    <w:p w14:paraId="4AFFE8A8">
      <w:pPr>
        <w:kinsoku/>
        <w:wordWrap w:val="0"/>
        <w:overflowPunct/>
        <w:topLinePunct w:val="0"/>
        <w:bidi w:val="0"/>
        <w:snapToGrid w:val="0"/>
        <w:spacing w:line="360" w:lineRule="auto"/>
        <w:ind w:right="48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）关于符合本国产品标准的声明函或有关证明文件(如有）………………（页码）</w:t>
      </w:r>
    </w:p>
    <w:p w14:paraId="653A72F4">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eastAsia="zh-CN"/>
          <w14:textFill>
            <w14:solidFill>
              <w14:schemeClr w14:val="tx1"/>
            </w14:solidFill>
          </w14:textFill>
        </w:rPr>
        <w:t>）关于符合本国产品标准的成本占比的承诺函(如有）……………………（页码）</w:t>
      </w:r>
    </w:p>
    <w:p w14:paraId="224210FA">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57AA80D">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6FA8E0D">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133C3BF">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7E378E6">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199F07A">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DD2613D">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FF6C857">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7F325E9">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18C560D">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8F5BF17">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178BCE7">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E027896">
      <w:pPr>
        <w:kinsoku/>
        <w:wordWrap w:val="0"/>
        <w:overflowPunct/>
        <w:topLinePunct w:val="0"/>
        <w:bidi w:val="0"/>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31B6AC87">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footerReference r:id="rId19" w:type="first"/>
          <w:headerReference r:id="rId17" w:type="default"/>
          <w:footerReference r:id="rId18" w:type="default"/>
          <w:pgSz w:w="11906" w:h="16838"/>
          <w:pgMar w:top="1276" w:right="1418" w:bottom="1247" w:left="1418" w:header="851" w:footer="992" w:gutter="0"/>
          <w:pgNumType w:fmt="decimal"/>
          <w:cols w:space="720" w:num="1"/>
          <w:titlePg/>
          <w:docGrid w:linePitch="312" w:charSpace="0"/>
        </w:sectPr>
      </w:pPr>
    </w:p>
    <w:p w14:paraId="5C74C5D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3B0CC18D">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绍兴市看守所</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50EE604">
      <w:pPr>
        <w:kinsoku/>
        <w:wordWrap w:val="0"/>
        <w:overflowPunct/>
        <w:topLinePunct w:val="0"/>
        <w:bidi w:val="0"/>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330600262350060000003-SXHY-2026CG-0420</w:t>
      </w:r>
      <w:r>
        <w:rPr>
          <w:rFonts w:hint="eastAsia" w:ascii="仿宋" w:hAnsi="仿宋" w:eastAsia="仿宋" w:cs="仿宋"/>
          <w:color w:val="000000" w:themeColor="text1"/>
          <w:sz w:val="24"/>
          <w:highlight w:val="none"/>
          <w14:textFill>
            <w14:solidFill>
              <w14:schemeClr w14:val="tx1"/>
            </w14:solidFill>
          </w14:textFill>
        </w:rPr>
        <w:t>】的实施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3D09068">
      <w:pPr>
        <w:kinsoku/>
        <w:wordWrap w:val="0"/>
        <w:overflowPunct/>
        <w:topLinePunct w:val="0"/>
        <w:bidi w:val="0"/>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651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2BC875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14:paraId="3A0E344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14:paraId="221B422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56C0F60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品牌（如果有）</w:t>
            </w:r>
          </w:p>
        </w:tc>
        <w:tc>
          <w:tcPr>
            <w:tcW w:w="3118" w:type="dxa"/>
            <w:vAlign w:val="center"/>
          </w:tcPr>
          <w:p w14:paraId="06536AE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14:paraId="6D22130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14:paraId="0AAA4E1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14:paraId="15FC074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14:paraId="5B8658E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6BED972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5A4D415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565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216F9D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14:paraId="2CDD1F03">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3FA0C4B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3AE6318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01AA0B93">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798524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593BF1F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471BFB4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CE5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77187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14:paraId="4B3391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28B25B89">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001FB42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73E3198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5705457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37D3C27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20500A0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C31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EF2F4B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14:paraId="553EE0E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2E5F207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676C0BA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7CC0A01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6C180CE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1ED75BF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18255EC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88D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0C65E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417" w:type="dxa"/>
            <w:vAlign w:val="center"/>
          </w:tcPr>
          <w:p w14:paraId="424DFE4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1125A9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39AE54F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0DBCA01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7E809A7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54F2A5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1560F81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FC0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12B202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14:paraId="381F86C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269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0B7377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14:paraId="521108E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378CC3F0">
      <w:pPr>
        <w:kinsoku/>
        <w:wordWrap w:val="0"/>
        <w:overflowPunct/>
        <w:topLinePunct w:val="0"/>
        <w:bidi w:val="0"/>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2715CA20">
      <w:pPr>
        <w:kinsoku/>
        <w:wordWrap w:val="0"/>
        <w:overflowPunct/>
        <w:topLinePunct w:val="0"/>
        <w:bidi w:val="0"/>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3FE17869">
      <w:pPr>
        <w:kinsoku/>
        <w:wordWrap w:val="0"/>
        <w:overflowPunct/>
        <w:topLinePunct w:val="0"/>
        <w:bidi w:val="0"/>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DACCDDA">
      <w:pPr>
        <w:kinsoku/>
        <w:wordWrap w:val="0"/>
        <w:overflowPunct/>
        <w:topLinePunct w:val="0"/>
        <w:bidi w:val="0"/>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5F3D8B0">
      <w:pPr>
        <w:kinsoku/>
        <w:wordWrap w:val="0"/>
        <w:overflowPunct/>
        <w:topLinePunct w:val="0"/>
        <w:bidi w:val="0"/>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E22BF1A">
      <w:pPr>
        <w:kinsoku/>
        <w:wordWrap w:val="0"/>
        <w:overflowPunct/>
        <w:topLinePunct w:val="0"/>
        <w:bidi w:val="0"/>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5CC8792C">
      <w:pPr>
        <w:kinsoku/>
        <w:wordWrap w:val="0"/>
        <w:overflowPunct/>
        <w:topLinePunct w:val="0"/>
        <w:bidi w:val="0"/>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0D6AE20E">
      <w:pPr>
        <w:kinsoku/>
        <w:wordWrap w:val="0"/>
        <w:overflowPunct/>
        <w:topLinePunct w:val="0"/>
        <w:bidi w:val="0"/>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F3D1CA">
      <w:pPr>
        <w:kinsoku/>
        <w:wordWrap w:val="0"/>
        <w:overflowPunct/>
        <w:topLinePunct w:val="0"/>
        <w:bidi w:val="0"/>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7CA2E2C8">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7CB4A44F">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41FEEC6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lang w:val="en-US" w:eastAsia="zh-CN"/>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kern w:val="2"/>
          <w:sz w:val="32"/>
          <w:szCs w:val="32"/>
          <w:highlight w:val="none"/>
          <w:lang w:val="en-US" w:eastAsia="zh-CN"/>
          <w14:textFill>
            <w14:solidFill>
              <w14:schemeClr w14:val="tx1"/>
            </w14:solidFill>
          </w14:textFill>
        </w:rPr>
        <w:t>报价说明（如有）</w:t>
      </w:r>
    </w:p>
    <w:p w14:paraId="0DF50A39">
      <w:pPr>
        <w:pStyle w:val="692"/>
        <w:keepNext w:val="0"/>
        <w:pageBreakBefore w:val="0"/>
        <w:tabs>
          <w:tab w:val="clear" w:pos="720"/>
        </w:tabs>
        <w:kinsoku/>
        <w:wordWrap w:val="0"/>
        <w:overflowPunct/>
        <w:topLinePunct w:val="0"/>
        <w:bidi w:val="0"/>
        <w:snapToGrid w:val="0"/>
        <w:spacing w:before="120" w:after="120"/>
        <w:ind w:firstLine="643"/>
        <w:jc w:val="left"/>
        <w:outlineLvl w:val="9"/>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w:t>
      </w:r>
      <w: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t>投标（响应）报价低于采购项目最高限价45%的，即投标（响应）报价&lt;采购项目最高限价×45%</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，提供项目具体成本测算等与报价合理性相关的书面说明及必要的证明材料，包括但不限于原材料成本、人工成本、制造费用等。）</w:t>
      </w:r>
    </w:p>
    <w:p w14:paraId="308BD138">
      <w:pPr>
        <w:pStyle w:val="692"/>
        <w:keepNext w:val="0"/>
        <w:keepLines w:val="0"/>
        <w:pageBreakBefore/>
        <w:widowControl w:val="0"/>
        <w:tabs>
          <w:tab w:val="clear" w:pos="720"/>
        </w:tabs>
        <w:kinsoku/>
        <w:wordWrap w:val="0"/>
        <w:overflowPunct/>
        <w:topLinePunct w:val="0"/>
        <w:autoSpaceDE/>
        <w:autoSpaceDN/>
        <w:bidi w:val="0"/>
        <w:adjustRightInd w:val="0"/>
        <w:snapToGrid w:val="0"/>
        <w:spacing w:before="120" w:after="120"/>
        <w:ind w:firstLine="641"/>
        <w:textAlignment w:val="auto"/>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三、</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0A7E376D">
      <w:pPr>
        <w:widowControl/>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846F026">
      <w:pPr>
        <w:pStyle w:val="80"/>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56A59B35">
      <w:pPr>
        <w:pStyle w:val="81"/>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5C2988F6">
      <w:pPr>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6879D06A">
      <w:pPr>
        <w:pStyle w:val="80"/>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0B932F13">
      <w:pPr>
        <w:pStyle w:val="81"/>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4DCB8CD9">
      <w:pPr>
        <w:kinsoku/>
        <w:wordWrap w:val="0"/>
        <w:overflowPunct/>
        <w:topLinePunct w:val="0"/>
        <w:bidi w:val="0"/>
        <w:rPr>
          <w:rFonts w:hint="eastAsia"/>
          <w:color w:val="000000" w:themeColor="text1"/>
          <w:highlight w:val="none"/>
          <w:lang w:eastAsia="zh-CN"/>
          <w14:textFill>
            <w14:solidFill>
              <w14:schemeClr w14:val="tx1"/>
            </w14:solidFill>
          </w14:textFill>
        </w:rPr>
      </w:pPr>
    </w:p>
    <w:p w14:paraId="1F95FD9C">
      <w:pPr>
        <w:widowControl/>
        <w:kinsoku/>
        <w:wordWrap w:val="0"/>
        <w:overflowPunct/>
        <w:topLinePunct w:val="0"/>
        <w:bidi w:val="0"/>
        <w:spacing w:line="360" w:lineRule="auto"/>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四</w:t>
      </w:r>
      <w:r>
        <w:rPr>
          <w:rFonts w:hint="eastAsia" w:ascii="仿宋" w:hAnsi="仿宋" w:eastAsia="仿宋" w:cs="仿宋"/>
          <w:b/>
          <w:color w:val="000000" w:themeColor="text1"/>
          <w:sz w:val="32"/>
          <w:szCs w:val="32"/>
          <w:highlight w:val="none"/>
          <w:lang w:eastAsia="zh-CN"/>
          <w14:textFill>
            <w14:solidFill>
              <w14:schemeClr w14:val="tx1"/>
            </w14:solidFill>
          </w14:textFill>
        </w:rPr>
        <w:t>、残疾人福利性单位声明函（如有）</w:t>
      </w:r>
    </w:p>
    <w:p w14:paraId="5B08B96B">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3FC8CF06">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634B3C45">
      <w:pPr>
        <w:kinsoku/>
        <w:wordWrap w:val="0"/>
        <w:overflowPunct/>
        <w:topLinePunct w:val="0"/>
        <w:bidi w:val="0"/>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EF0DD1A">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五、关于符合本国产品标准的声明函或有关证明文件(如有）</w:t>
      </w:r>
    </w:p>
    <w:p w14:paraId="0E8DE6DF">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[符合《国务院办公厅关于在政府采购中实施本国产品标准及相关政策的通知》要求的本国产品，拟享受价格扣除政策的，需提供《关于符合本国产品标准的声明函》(附件8)或有关证明文件。]</w:t>
      </w:r>
    </w:p>
    <w:p w14:paraId="26BE83E2">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203919A0">
      <w:pPr>
        <w:rPr>
          <w:rFonts w:hint="eastAsia" w:ascii="仿宋" w:hAnsi="仿宋" w:eastAsia="仿宋" w:cs="仿宋"/>
          <w:b/>
          <w:color w:val="000000" w:themeColor="text1"/>
          <w:sz w:val="24"/>
          <w:highlight w:val="none"/>
          <w14:textFill>
            <w14:solidFill>
              <w14:schemeClr w14:val="tx1"/>
            </w14:solidFill>
          </w14:textFill>
        </w:rPr>
      </w:pPr>
    </w:p>
    <w:p w14:paraId="159CE5FA">
      <w:pPr>
        <w:pStyle w:val="3"/>
        <w:rPr>
          <w:rFonts w:hint="eastAsia"/>
          <w:color w:val="000000" w:themeColor="text1"/>
          <w:highlight w:val="none"/>
          <w14:textFill>
            <w14:solidFill>
              <w14:schemeClr w14:val="tx1"/>
            </w14:solidFill>
          </w14:textFill>
        </w:rPr>
      </w:pPr>
    </w:p>
    <w:p w14:paraId="22AF5ED3">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4F98885C">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pPr>
      <w:r>
        <w:rPr>
          <w:rFonts w:hint="default" w:ascii="仿宋" w:hAnsi="仿宋" w:eastAsia="仿宋" w:cs="仿宋"/>
          <w:b/>
          <w:bCs/>
          <w:i w:val="0"/>
          <w:iCs w:val="0"/>
          <w:color w:val="000000" w:themeColor="text1"/>
          <w:kern w:val="2"/>
          <w:sz w:val="32"/>
          <w:szCs w:val="32"/>
          <w:highlight w:val="none"/>
          <w:vertAlign w:val="baseline"/>
          <w:lang w:eastAsia="zh-CN" w:bidi="ar-SA"/>
          <w14:textFill>
            <w14:solidFill>
              <w14:schemeClr w14:val="tx1"/>
            </w14:solidFill>
          </w14:textFill>
        </w:rPr>
        <w:t>六</w:t>
      </w:r>
      <w: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、关于符合本国产品标准的成本占比的承诺函(如有）</w:t>
      </w:r>
    </w:p>
    <w:p w14:paraId="301616DE">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1FDD124E">
      <w:pPr>
        <w:kinsoku/>
        <w:wordWrap w:val="0"/>
        <w:overflowPunct/>
        <w:topLinePunct w:val="0"/>
        <w:bidi w:val="0"/>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2591818F">
      <w:pPr>
        <w:pStyle w:val="2"/>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1B131C1B">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0B003312">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136833D1">
      <w:pPr>
        <w:kinsoku/>
        <w:wordWrap w:val="0"/>
        <w:overflowPunct/>
        <w:topLinePunct w:val="0"/>
        <w:bidi w:val="0"/>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1148568A">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207216">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89D2CDE">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DF4B384">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0DFEACA">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34D9FABD">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D6F96B2">
      <w:pPr>
        <w:kinsoku/>
        <w:wordWrap w:val="0"/>
        <w:overflowPunct/>
        <w:topLinePunct w:val="0"/>
        <w:bidi w:val="0"/>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02D4F08F">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34D39EE">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DDE1E9F">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69D9894">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9567F0">
      <w:pPr>
        <w:kinsoku/>
        <w:wordWrap w:val="0"/>
        <w:overflowPunct/>
        <w:topLinePunct w:val="0"/>
        <w:bidi w:val="0"/>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281023BA">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80777B1">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8CDCA65">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042690D">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4B74D42">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92CBDE1">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67215DE3">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86A5675">
      <w:pPr>
        <w:kinsoku/>
        <w:wordWrap w:val="0"/>
        <w:overflowPunct/>
        <w:topLinePunct w:val="0"/>
        <w:bidi w:val="0"/>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4C40AC8E">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35323F0">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78D7717">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3728CE8C">
      <w:pPr>
        <w:kinsoku/>
        <w:wordWrap w:val="0"/>
        <w:overflowPunct/>
        <w:topLinePunct w:val="0"/>
        <w:bidi w:val="0"/>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322003DA">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465A2B2">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24822CDB">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E80EECE">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3E5F69A1">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5D96D300">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1D58E2A1">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2CAAFA9D">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61C76036">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732D2EFB">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3D3DD48">
      <w:pPr>
        <w:widowControl/>
        <w:kinsoku/>
        <w:wordWrap w:val="0"/>
        <w:overflowPunct/>
        <w:topLinePunct w:val="0"/>
        <w:bidi w:val="0"/>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598426B0">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41D2A98">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9BF497F">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AD7C253">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E032846">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88729C2">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62AAE0C">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DCD03A">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6A0585B">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2D1A618">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824A140">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08894C23">
      <w:pPr>
        <w:kinsoku/>
        <w:wordWrap w:val="0"/>
        <w:overflowPunct/>
        <w:topLinePunct w:val="0"/>
        <w:bidi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43AEE168">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03B1A49A">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4B8D3A21">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B1D8AA3">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CCAAE2A">
      <w:pPr>
        <w:tabs>
          <w:tab w:val="left" w:pos="6510"/>
        </w:tabs>
        <w:kinsoku/>
        <w:wordWrap w:val="0"/>
        <w:overflowPunct/>
        <w:topLinePunct w:val="0"/>
        <w:bidi w:val="0"/>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7F89DDA">
      <w:pPr>
        <w:tabs>
          <w:tab w:val="left" w:pos="6510"/>
        </w:tabs>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73B61E9">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00870AA">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DC12FE1">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C651B23">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F3D1E60">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7E4B844">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CA72FC2">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3C0CAEB">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FF35BC">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701D636">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6D212B6">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762CAE59">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3AED3F">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ED4F23E">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9EEE134">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A94229E">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693926">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4A28B3B">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A777911">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47ED10F">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60BA3665">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471FD135">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2A7058AF">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E40E59">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BCFFE6B">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3F09540">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8A712DA">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7886818">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14E5B261">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C613D9B">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72DE78AB">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E2EE407">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2630930E">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0C21687B">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3D3DACE8">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C4CE832">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11660535">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24793F9B">
      <w:pPr>
        <w:widowControl/>
        <w:kinsoku/>
        <w:wordWrap w:val="0"/>
        <w:overflowPunct/>
        <w:topLinePunct w:val="0"/>
        <w:bidi w:val="0"/>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740A3318">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052B7C9F">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06DF1047">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69D79C85">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6E4D8D43">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7D192D7A">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22905D6A">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7C77B1D">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5838AD05">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4DC4D8FE">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绍兴市看守所</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u w:val="single"/>
          <w14:textFill>
            <w14:solidFill>
              <w14:schemeClr w14:val="tx1"/>
            </w14:solidFill>
          </w14:textFill>
        </w:rPr>
        <w:t>：</w:t>
      </w:r>
    </w:p>
    <w:p w14:paraId="7D767B8C">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w:t>
      </w:r>
      <w:r>
        <w:rPr>
          <w:rFonts w:hint="eastAsia" w:ascii="仿宋" w:hAnsi="仿宋" w:eastAsia="仿宋" w:cs="仿宋"/>
          <w:color w:val="000000" w:themeColor="text1"/>
          <w:sz w:val="24"/>
          <w:highlight w:val="non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330600262350060000003-SXHY-2026CG-0420</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27F43707">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4664FD07">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76916D50">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6E2F31AA">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4B34DFB">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657D2F4B">
      <w:pPr>
        <w:kinsoku/>
        <w:wordWrap w:val="0"/>
        <w:overflowPunct/>
        <w:topLinePunct w:val="0"/>
        <w:bidi w:val="0"/>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1F6283A5">
      <w:pPr>
        <w:kinsoku/>
        <w:wordWrap w:val="0"/>
        <w:overflowPunct/>
        <w:topLinePunct w:val="0"/>
        <w:bidi w:val="0"/>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7EF38B1">
      <w:pPr>
        <w:kinsoku/>
        <w:wordWrap w:val="0"/>
        <w:overflowPunct/>
        <w:topLinePunct w:val="0"/>
        <w:bidi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3E34D11E">
      <w:pPr>
        <w:kinsoku/>
        <w:wordWrap w:val="0"/>
        <w:overflowPunct/>
        <w:topLinePunct w:val="0"/>
        <w:bidi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6B147697">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106038F">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D7ABD2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56BC7CB">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9EEFE97">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86A7CBF">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47A4B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0F88C6A">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02D7929">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06B7E01">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003906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993A3D">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7881A7B">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154B20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FDE39C7">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3EEAC6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BD65D6C">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53735A45">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08979DE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330600262350060000003-SXHY-2026CG-0420</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1FA2E9E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DABFE3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7C92ECE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507F6E2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D18216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C77D687">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66AFF49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2474A03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44"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44"/>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45"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45"/>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6F65A963">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46"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46"/>
    </w:p>
    <w:p w14:paraId="6834FFF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29172D35">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0876C37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45209A4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266A0F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496F968E">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0493554">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602C0629">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5D89A59D">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7F7245E3">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18269C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32EEF1">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780EE5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4BE98F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DB9B5B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D4265E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434986A">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965E10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75F1608">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FE92B0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E69B43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91A5B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441051">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F8C7D2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D58403E">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00CB4E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68D92A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D66509F">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589530C">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048F3E7">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8DF675C">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320D3A">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902812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1416491">
      <w:pPr>
        <w:kinsoku/>
        <w:wordWrap w:val="0"/>
        <w:overflowPunct/>
        <w:topLinePunct w:val="0"/>
        <w:bidi w:val="0"/>
        <w:snapToGrid w:val="0"/>
        <w:spacing w:line="360" w:lineRule="auto"/>
        <w:ind w:firstLine="3666" w:firstLineChars="1100"/>
        <w:rPr>
          <w:rFonts w:hint="eastAsia" w:ascii="仿宋" w:hAnsi="仿宋" w:eastAsia="仿宋" w:cs="仿宋"/>
          <w:b/>
          <w:color w:val="000000" w:themeColor="text1"/>
          <w:spacing w:val="6"/>
          <w:sz w:val="32"/>
          <w:szCs w:val="32"/>
          <w:highlight w:val="none"/>
          <w14:textFill>
            <w14:solidFill>
              <w14:schemeClr w14:val="tx1"/>
            </w14:solidFill>
          </w14:textFill>
        </w:rPr>
      </w:pPr>
    </w:p>
    <w:p w14:paraId="5BAA5796">
      <w:pPr>
        <w:widowControl/>
        <w:kinsoku/>
        <w:wordWrap w:val="0"/>
        <w:overflowPunct/>
        <w:topLinePunct w:val="0"/>
        <w:bidi w:val="0"/>
        <w:adjustRightInd/>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3C8B5024">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798D77CF">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1738B115">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330600262350060000003-SXHY-2026CG-0420</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10BC49D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2BEBF61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02DE4F9C">
      <w:pPr>
        <w:pStyle w:val="3"/>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3E960E8B">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5311580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37775F9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423B2E91">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557CA94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7906191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9C534C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2016C35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118ED58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578D4D11">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D095723">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2FDE9AD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C3BB0A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71A72E4D">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2A2FCE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53FE6F80">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25D0265E">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5FEE4E3B">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AB27635">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33485591">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78CC9168">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C357BA8">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6DB13C9">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1F1A5CA">
      <w:pPr>
        <w:pStyle w:val="80"/>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76E92F0">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C759106">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616F6106">
      <w:pPr>
        <w:pStyle w:val="80"/>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2072A7D4">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3A91D816">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6AEE995B">
      <w:pPr>
        <w:pStyle w:val="80"/>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D49CE09">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74178167">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7CD08921">
      <w:pPr>
        <w:pStyle w:val="80"/>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14621484">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5179529">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1DB73123">
      <w:pPr>
        <w:pStyle w:val="80"/>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B0AC4DD">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7C7530A1">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65862339">
      <w:pPr>
        <w:pStyle w:val="80"/>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611ADDF4">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89E9E71">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97C6F26">
      <w:pPr>
        <w:pStyle w:val="80"/>
        <w:kinsoku/>
        <w:wordWrap w:val="0"/>
        <w:overflowPunct/>
        <w:topLinePunct w:val="0"/>
        <w:bidi w:val="0"/>
        <w:rPr>
          <w:rFonts w:hint="eastAsia"/>
          <w:color w:val="000000" w:themeColor="text1"/>
          <w:highlight w:val="none"/>
          <w14:textFill>
            <w14:solidFill>
              <w14:schemeClr w14:val="tx1"/>
            </w14:solidFill>
          </w14:textFill>
        </w:rPr>
      </w:pPr>
    </w:p>
    <w:p w14:paraId="4311F9B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47" w:name="OLE_LINK14"/>
      <w:bookmarkStart w:id="48"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47"/>
    <w:bookmarkEnd w:id="48"/>
    <w:p w14:paraId="52331234">
      <w:pPr>
        <w:kinsoku/>
        <w:wordWrap w:val="0"/>
        <w:overflowPunct/>
        <w:topLinePunct w:val="0"/>
        <w:bidi w:val="0"/>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3E49D98D">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highlight w:val="none"/>
          <w:u w:val="single"/>
          <w:lang w:eastAsia="zh-CN"/>
          <w14:textFill>
            <w14:solidFill>
              <w14:schemeClr w14:val="tx1"/>
            </w14:solidFill>
          </w14:textFill>
        </w:rPr>
        <w:t>绍兴市看守所</w:t>
      </w:r>
      <w:r>
        <w:rPr>
          <w:rFonts w:hint="eastAsia" w:ascii="仿宋" w:hAnsi="仿宋" w:eastAsia="仿宋" w:cs="仿宋"/>
          <w:color w:val="000000" w:themeColor="text1"/>
          <w:sz w:val="24"/>
          <w:highlight w:val="none"/>
          <w14:textFill>
            <w14:solidFill>
              <w14:schemeClr w14:val="tx1"/>
            </w14:solidFill>
          </w14:textFill>
        </w:rPr>
        <w:t>单位的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绍兴市看守所全自动包药机采购项目（重招）</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none"/>
          <w:lang w:val="en-US" w:eastAsia="zh-CN"/>
          <w14:textFill>
            <w14:solidFill>
              <w14:schemeClr w14:val="tx1"/>
            </w14:solidFill>
          </w14:textFill>
        </w:rPr>
        <w:t>项目</w:t>
      </w:r>
      <w:r>
        <w:rPr>
          <w:rFonts w:hint="eastAsia" w:ascii="仿宋" w:hAnsi="仿宋" w:eastAsia="仿宋" w:cs="仿宋"/>
          <w:color w:val="000000" w:themeColor="text1"/>
          <w:sz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14:paraId="256401C4">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306B96D9">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17728701">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01E21339">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64A70684">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373563B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7CFDE6E">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0EB659">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D4C1509">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311A303E">
      <w:pPr>
        <w:kinsoku/>
        <w:wordWrap w:val="0"/>
        <w:overflowPunct/>
        <w:topLinePunct w:val="0"/>
        <w:bidi w:val="0"/>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113DE4AA">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14:paraId="4B2C2336">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6ED4CC0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1E06705B">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1130A408">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392D3FB5">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DBACB57">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20F2DF30">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65D93F7D">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1993A706">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14:paraId="50CCC602">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14:paraId="23647523">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4C8307D">
      <w:pPr>
        <w:kinsoku/>
        <w:wordWrap w:val="0"/>
        <w:overflowPunct/>
        <w:topLinePunct w:val="0"/>
        <w:bidi w:val="0"/>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DEB2F0B">
      <w:pPr>
        <w:pStyle w:val="3"/>
        <w:kinsoku/>
        <w:wordWrap w:val="0"/>
        <w:overflowPunct/>
        <w:topLinePunct w:val="0"/>
        <w:bidi w:val="0"/>
        <w:rPr>
          <w:rFonts w:hint="eastAsia" w:ascii="仿宋" w:hAnsi="仿宋" w:eastAsia="仿宋" w:cs="仿宋"/>
          <w:color w:val="000000" w:themeColor="text1"/>
          <w:highlight w:val="none"/>
          <w:lang w:val="en-US"/>
          <w14:textFill>
            <w14:solidFill>
              <w14:schemeClr w14:val="tx1"/>
            </w14:solidFill>
          </w14:textFill>
        </w:rPr>
      </w:pPr>
    </w:p>
    <w:p w14:paraId="6844D329">
      <w:pPr>
        <w:rPr>
          <w:rFonts w:hint="eastAsia" w:ascii="仿宋" w:hAnsi="仿宋" w:eastAsia="仿宋" w:cs="仿宋"/>
          <w:color w:val="000000" w:themeColor="text1"/>
          <w:highlight w:val="none"/>
          <w:lang w:val="en-US"/>
          <w14:textFill>
            <w14:solidFill>
              <w14:schemeClr w14:val="tx1"/>
            </w14:solidFill>
          </w14:textFill>
        </w:rPr>
      </w:pPr>
    </w:p>
    <w:p w14:paraId="2E91E897">
      <w:pPr>
        <w:pStyle w:val="3"/>
        <w:rPr>
          <w:rFonts w:hint="eastAsia" w:ascii="仿宋" w:hAnsi="仿宋" w:eastAsia="仿宋" w:cs="仿宋"/>
          <w:color w:val="000000" w:themeColor="text1"/>
          <w:highlight w:val="none"/>
          <w:lang w:val="en-US"/>
          <w14:textFill>
            <w14:solidFill>
              <w14:schemeClr w14:val="tx1"/>
            </w14:solidFill>
          </w14:textFill>
        </w:rPr>
      </w:pPr>
    </w:p>
    <w:p w14:paraId="342C5F7E">
      <w:pPr>
        <w:rPr>
          <w:rFonts w:hint="eastAsia" w:ascii="仿宋" w:hAnsi="仿宋" w:eastAsia="仿宋" w:cs="仿宋"/>
          <w:color w:val="000000" w:themeColor="text1"/>
          <w:highlight w:val="none"/>
          <w:lang w:val="en-US"/>
          <w14:textFill>
            <w14:solidFill>
              <w14:schemeClr w14:val="tx1"/>
            </w14:solidFill>
          </w14:textFill>
        </w:rPr>
      </w:pPr>
    </w:p>
    <w:p w14:paraId="2175F86C">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8</w:t>
      </w:r>
      <w:r>
        <w:rPr>
          <w:rFonts w:hint="eastAsia" w:ascii="仿宋" w:hAnsi="仿宋" w:eastAsia="仿宋" w:cs="仿宋"/>
          <w:b/>
          <w:color w:val="000000" w:themeColor="text1"/>
          <w:spacing w:val="6"/>
          <w:sz w:val="32"/>
          <w:szCs w:val="32"/>
          <w:highlight w:val="none"/>
          <w14:textFill>
            <w14:solidFill>
              <w14:schemeClr w14:val="tx1"/>
            </w14:solidFill>
          </w14:textFill>
        </w:rPr>
        <w:t>：</w:t>
      </w:r>
    </w:p>
    <w:p w14:paraId="4FB74345">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关于符合本国产品标准的声明函</w:t>
      </w:r>
    </w:p>
    <w:p w14:paraId="19FD5DD3">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pPr>
    </w:p>
    <w:p w14:paraId="22F2CA7A">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34BAF58D">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1.</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，生产厂为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（厂名）</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，厂址为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（生产厂址）</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的中国境内生产的组件成本占比≥</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（规定比例）</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（关键组件）</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在中国境内生产。</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（关键工序）</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5</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在中国境内完成。</w:t>
      </w:r>
    </w:p>
    <w:p w14:paraId="3421C883">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2.</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，生产厂为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（厂名）</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，厂址为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（生产厂址）</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的中国境内生产的组件成本占比≥</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（规定比例）</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（关键组件）</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在中国境内生产。</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（关键工序）</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在中国境内完成。</w:t>
      </w:r>
    </w:p>
    <w:p w14:paraId="67723B55">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p>
    <w:p w14:paraId="78B6A6A9">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本公司（单位）对上述声明内容的真实性负责。如有虚假，愿承担相应法律责任。</w:t>
      </w:r>
    </w:p>
    <w:p w14:paraId="23A925B4">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公司（单位）名称（盖章）：      </w:t>
      </w:r>
    </w:p>
    <w:p w14:paraId="4E5C36E3">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日期：　　　　　年　　月　日  </w:t>
      </w:r>
    </w:p>
    <w:p w14:paraId="14389055">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_______________________________________________________________</w:t>
      </w:r>
    </w:p>
    <w:p w14:paraId="110B2E67">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1.产品如有型号，请在“产品名称”栏一并填写。</w:t>
      </w:r>
    </w:p>
    <w:p w14:paraId="493156A5">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2.生产厂名与厂址应与生产厂营业执照载明的相关信息保持一致。</w:t>
      </w:r>
    </w:p>
    <w:p w14:paraId="5538E8E4">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3.该产品的中国境内生产的组件成本占比相关要求实施前，“规定比例”栏可不填，下同。</w:t>
      </w:r>
    </w:p>
    <w:p w14:paraId="50AEEF87">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4.该产品的关键组件要求实施前，“关键组件”栏可不填，下同。</w:t>
      </w:r>
    </w:p>
    <w:p w14:paraId="77DFCDE6">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5.该产品的关键工序要求实施前，“关键工序”栏可不填，下同。</w:t>
      </w:r>
    </w:p>
    <w:p w14:paraId="3E80A47D">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14:paraId="59399ED0">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中国境内生产的组件成本核算基本规则</w:t>
      </w:r>
    </w:p>
    <w:p w14:paraId="6992B292">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p>
    <w:p w14:paraId="57125C8D">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3D2034B8">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一、产品的一级组件是指直接组成产品的组件。产品的二级组件是指直接组成产品一级组件的组件。一级组件不可分解的，视同二级组件。</w:t>
      </w:r>
    </w:p>
    <w:p w14:paraId="550A01E8">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103F8FE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三、产品总成本和组件成本以相关会计核算数据、采购合同、进货记录等为基础进行计算。</w:t>
      </w:r>
    </w:p>
    <w:p w14:paraId="7DC358CA">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lang w:val="en-US"/>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四、需要对成本核算规则予以进一步明确的其他有关事项，由财政部会同有关部门另行规定。</w:t>
      </w:r>
    </w:p>
    <w:p w14:paraId="7B1AECAD">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250CA42F">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7B69BAF7">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F362989">
      <w:pPr>
        <w:widowControl/>
        <w:kinsoku/>
        <w:wordWrap w:val="0"/>
        <w:overflowPunct/>
        <w:topLinePunct w:val="0"/>
        <w:bidi w:val="0"/>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4A9D6BE4">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022778DA">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7EABD465">
      <w:pPr>
        <w:pStyle w:val="23"/>
        <w:kinsoku/>
        <w:wordWrap w:val="0"/>
        <w:overflowPunct/>
        <w:topLinePunct w:val="0"/>
        <w:bidi w:val="0"/>
        <w:rPr>
          <w:rFonts w:hint="eastAsia"/>
          <w:color w:val="000000" w:themeColor="text1"/>
          <w:highlight w:val="none"/>
          <w:lang w:val="en-US" w:eastAsia="zh-CN"/>
          <w14:textFill>
            <w14:solidFill>
              <w14:schemeClr w14:val="tx1"/>
            </w14:solidFill>
          </w14:textFill>
        </w:rPr>
      </w:pPr>
    </w:p>
    <w:p w14:paraId="369B8656">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66E21B4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5FD3340D">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74FFCCA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B3032D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6310404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2A08E62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0C6BA8D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3616C47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p w14:paraId="3AD12AE4">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E916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F80EAF3">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01626625">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13B454BF">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5EC61337">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5A2C0684">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412A90F7">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5CD5AB53">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7E2A3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A18437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3866357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13DCCE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A8103B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3CBFD56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2C78387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51A8AA7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6F4A8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B6D7E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648D4D6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E3418D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A7B36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5554E8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D23ED8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ED54E5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1210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4482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22DF01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68FA84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91C58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0309F96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3BC9CEC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6B1C38A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5F9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90A43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35EA680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5644D7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4351AB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0A131E6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41E4060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4EC52D3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1BBE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0AE37D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351C7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A70712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33294E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67A2A89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29B70FF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29B90F4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14D34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FC6B7E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0F111AD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FF0651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F0E238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4D174E9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50D30EF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6B26BD3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1058D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58DC3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1D5AB2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B35E25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A669C7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0A00255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568F08F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72F9E34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422F4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ECA5B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08391B4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3DC2A5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A1DBF9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F7CA00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1DE9E5E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7818D81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63F9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2AF69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D95A12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222CED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060C00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1D621AA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6780E3C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627AE7E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F33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A6A1CB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137BDA4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7B8C72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871C0C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F3EEE3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4D7071D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623788C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1C91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67F6BFF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1B3DD8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3E02C5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77A812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60AF6C7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6604E10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6984D9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51F15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D4D9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42D9E2F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669A35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595BB7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467FBF5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4CB9A07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0DFF761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42E09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BFD39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C8E9E2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098F8A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D9AE90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632919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5337938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1821199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39EA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2EDEA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7AD1086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C2DE01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327273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7A999B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6065BC6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9C830C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E46F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3613E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ADB92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F77E22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6775FC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57B04C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406A8BE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53B8F88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9750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1C1A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60A2571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9E4B33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CE92A9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855ED6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3B86AF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2E630F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3E384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A2420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4AFFCE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797A6B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25F69C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7FA97DA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1006E6D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143701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287E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DA83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2CC4712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4207F4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C80C86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4BBD12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CCBA2D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FBA440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DD6A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74D3D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F9A3FF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5EF8B2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125116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2B7C965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0A4C013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0FAC5E5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3D94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A4052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4D2492C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A69FC7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75E419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21BE23F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22069FB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E4E42B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B180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11E46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3EDBD3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3451A2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5B4A9D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339BCB7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08E3F45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3577E2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910D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4088F8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3BE62D9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03DF62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EFC9AA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E22D31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4672F3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2E6421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A44A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2F0B8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91B96C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0839E3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15C5F6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469BF6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105B01E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03BA44B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F480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329B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7A59DD2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405373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6ABA39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029D015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322B849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04E893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53B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B63FA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9BF544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23E4270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E12B0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1C6F831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4EDEFAD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5FFFE62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9F9C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7EEA0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06312AB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B4AFC5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0FF3AC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A3CF3B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3B7896B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3F3888D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463A0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C8F5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046F10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0CDF50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7B415C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2FD52D9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50DEA14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25200AA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53ABA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65A4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04E7DFE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E789BC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5DB0C0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BF305A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E24A0E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D947C5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8558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F1B5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A9F8BF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124E232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A8FA9B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0E9F92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61DF1BA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0A84DD0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0A8D4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AF7490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6EEC7E6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36AA43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41BB4D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103B07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53F758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72CCCC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5224FAF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09ECE09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6DBDDDF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F572B0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6FAFD96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3599BA7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BFBD9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5BED9C1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p w14:paraId="7E67B40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p w14:paraId="2A95FB18">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4C15DFC7">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637C5FF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9931D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F3E613">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7E72C89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EC8C4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5BCA4BA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776C6F1A">
      <w:pPr>
        <w:widowControl/>
        <w:kinsoku/>
        <w:wordWrap w:val="0"/>
        <w:overflowPunct/>
        <w:topLinePunct w:val="0"/>
        <w:bidi w:val="0"/>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1479D0C">
      <w:pPr>
        <w:widowControl/>
        <w:kinsoku/>
        <w:wordWrap w:val="0"/>
        <w:overflowPunct/>
        <w:topLinePunct w:val="0"/>
        <w:bidi w:val="0"/>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BCBA1E2">
      <w:pPr>
        <w:widowControl/>
        <w:kinsoku/>
        <w:wordWrap w:val="0"/>
        <w:overflowPunct/>
        <w:topLinePunct w:val="0"/>
        <w:bidi w:val="0"/>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FB37627">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6397B2EA">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78FE8441">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56EFE4F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32DE11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1D11AC1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DDB7111">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334E6F0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3D87F5C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572F1B4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15969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0D62975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6401D82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460F4C5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530B4F6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43C2F02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2282BD3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30414CD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6A8815F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6C64B9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6BF9B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BE45F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七、标准值的评估和调整。金融业企业划型标准工作组毎五年对划型标准值受经济发展与通货膨胀等因素的响程度进行评估和调整。</w:t>
      </w:r>
    </w:p>
    <w:p w14:paraId="42F7A92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6D303F4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3746FC0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77D68BD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54A4E51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579BE0D6">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C985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EA58981">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102AA309">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68A1641A">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30D3C893">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18798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1B9FD8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426F5CF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0217AE2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6C049E5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587D51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4FCE4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17FF8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6D0DC6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7FA53E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AE59A4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CAA56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7C666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0257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D61CDF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A754E8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4F7A28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22FC9D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3D74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68E1F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610912A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569C6D0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46B31D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23B2E3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2A7F5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196A4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B15E13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D5F750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8E32B9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845B80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56D52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863F1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C1C3A4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53EF07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E8687A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54E526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A3DF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71E19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4651D3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3E89267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7FEF381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AEFE9A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761E1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B2695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17981E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7F7395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10C092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339EA0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17EC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E0DC4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1DC17F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3C45C3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22D43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4A8692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1684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AFDCD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25C0C1C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7582B25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5DD7978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62EBF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5DDD8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017AD6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310358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5B6DE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7FBAB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FBCD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62E678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C760EC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067B0A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087D7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355DF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5F19DC2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7183CBD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F5FED6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35943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2F9C5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3D0B9A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81D7F4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460D7D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7C384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12E30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351A4E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FD8487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4144A1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0E46B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2356C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5478A65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4ED5A48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25EE000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811CE3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466F5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0380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DABD08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81C121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AF6A13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793C8F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0B8CD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862D3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BE08A2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7207AB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C7425E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DC9719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17093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DF8E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11AE785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55B6BA3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4D26656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FEAD2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7D18C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92CD9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02E009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0844BE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3EAAC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CE5AA5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226A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BA2CD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040F47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0D7BA6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259494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3A88AC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A943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6394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2494EFC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1A93892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7341534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65A475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2EE6A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E0768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1D109F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2D198A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7012DD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7D9AA1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54EF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D315F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C9701E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ABDDE8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0F95CD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A3D62E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55AD1CA7">
      <w:pPr>
        <w:kinsoku/>
        <w:wordWrap w:val="0"/>
        <w:overflowPunct/>
        <w:topLinePunct w:val="0"/>
        <w:bidi w:val="0"/>
        <w:rPr>
          <w:rFonts w:hint="eastAsia" w:ascii="仿宋" w:hAnsi="仿宋" w:eastAsia="仿宋" w:cs="仿宋"/>
          <w:color w:val="000000" w:themeColor="text1"/>
          <w:sz w:val="24"/>
          <w:highlight w:val="none"/>
          <w14:textFill>
            <w14:solidFill>
              <w14:schemeClr w14:val="tx1"/>
            </w14:solidFill>
          </w14:textFill>
        </w:rPr>
      </w:pPr>
    </w:p>
    <w:p w14:paraId="05D11085">
      <w:pPr>
        <w:kinsoku/>
        <w:wordWrap w:val="0"/>
        <w:overflowPunct/>
        <w:topLinePunct w:val="0"/>
        <w:bidi w:val="0"/>
        <w:ind w:firstLine="420" w:firstLineChars="200"/>
        <w:rPr>
          <w:rFonts w:hint="eastAsia" w:ascii="仿宋" w:hAnsi="仿宋" w:eastAsia="仿宋" w:cs="仿宋"/>
          <w:color w:val="000000" w:themeColor="text1"/>
          <w:highlight w:val="none"/>
          <w14:textFill>
            <w14:solidFill>
              <w14:schemeClr w14:val="tx1"/>
            </w14:solidFill>
          </w14:textFill>
        </w:rPr>
      </w:pPr>
    </w:p>
    <w:p w14:paraId="3A0CFCD1">
      <w:pPr>
        <w:kinsoku/>
        <w:wordWrap w:val="0"/>
        <w:overflowPunct/>
        <w:topLinePunct w:val="0"/>
        <w:bidi w:val="0"/>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67B6B107">
      <w:pPr>
        <w:kinsoku/>
        <w:wordWrap w:val="0"/>
        <w:overflowPunct/>
        <w:topLinePunct w:val="0"/>
        <w:bidi w:val="0"/>
        <w:spacing w:line="360" w:lineRule="auto"/>
        <w:rPr>
          <w:rFonts w:ascii="宋体" w:hAnsi="宋体" w:cs="宋体"/>
          <w:bCs/>
          <w:color w:val="000000" w:themeColor="text1"/>
          <w:sz w:val="24"/>
          <w:highlight w:val="none"/>
          <w14:textFill>
            <w14:solidFill>
              <w14:schemeClr w14:val="tx1"/>
            </w14:solidFill>
          </w14:textFill>
        </w:rPr>
      </w:pPr>
    </w:p>
    <w:sectPr>
      <w:footerReference r:id="rId22" w:type="firs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8930A">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07BA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4807BA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09BD">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C12C7">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94C12C7">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0D921A2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DC07">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8546D">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688546D">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A7BAA">
    <w:pPr>
      <w:pStyle w:val="39"/>
      <w:framePr w:wrap="around" w:vAnchor="text" w:hAnchor="margin" w:xAlign="right" w:y="1"/>
      <w:rPr>
        <w:rStyle w:val="72"/>
      </w:rPr>
    </w:pPr>
    <w:r>
      <w:fldChar w:fldCharType="begin"/>
    </w:r>
    <w:r>
      <w:rPr>
        <w:rStyle w:val="72"/>
      </w:rPr>
      <w:instrText xml:space="preserve">PAGE  </w:instrText>
    </w:r>
    <w:r>
      <w:fldChar w:fldCharType="end"/>
    </w:r>
  </w:p>
  <w:p w14:paraId="4F717230">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1138A">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F8921">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9DF8921">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96A7B">
    <w:pPr>
      <w:pStyle w:val="39"/>
      <w:framePr w:wrap="around" w:vAnchor="text" w:hAnchor="margin" w:xAlign="right" w:y="1"/>
      <w:rPr>
        <w:rStyle w:val="72"/>
      </w:rPr>
    </w:pPr>
    <w:r>
      <w:fldChar w:fldCharType="begin"/>
    </w:r>
    <w:r>
      <w:rPr>
        <w:rStyle w:val="72"/>
      </w:rPr>
      <w:instrText xml:space="preserve">PAGE  </w:instrText>
    </w:r>
    <w:r>
      <w:fldChar w:fldCharType="end"/>
    </w:r>
  </w:p>
  <w:p w14:paraId="051F61FC">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2DCE6">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B8B90">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6B8B90">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ED1A">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1413C">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D565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8AD565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DB043">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F466A">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B3AF4">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A8B3AF4">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098D8FB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4A5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D97BF">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D5D97BF">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66B0D4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8084">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58E0A">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C58E0A">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94A893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08A4B">
    <w:pPr>
      <w:pStyle w:val="40"/>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招标编号:330600262350060000003-SXHY-2026CG-0420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9A91B">
    <w:pPr>
      <w:pStyle w:val="40"/>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E4E2A">
    <w:pPr>
      <w:pStyle w:val="40"/>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lang w:eastAsia="zh-CN"/>
      </w:rPr>
      <w:t>招标编号:330600262350060000003-SXHY-2026CG-0420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93F0">
    <w:pPr>
      <w:pStyle w:val="40"/>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29506">
    <w:pPr>
      <w:pStyle w:val="40"/>
      <w:jc w:val="both"/>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330600262350060000003-SXHY-2026CG-0420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D439F">
    <w:pPr>
      <w:pStyle w:val="40"/>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招标编号:330600262350060000003-SXHY-2026CG-0420</w:t>
    </w:r>
  </w:p>
  <w:p w14:paraId="6DFE6A55">
    <w:pPr>
      <w:pStyle w:val="40"/>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B42B7">
    <w:pPr>
      <w:pStyle w:val="40"/>
      <w:jc w:val="center"/>
      <w:rPr>
        <w:rFonts w:ascii="仿宋_GB2312" w:eastAsia="仿宋_GB2312"/>
        <w:b/>
        <w:i/>
        <w:sz w:val="18"/>
        <w:u w:val="single"/>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招标编号:330600262350060000003-SXHY-2026CG-0420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D80770"/>
    <w:rsid w:val="035BEF8B"/>
    <w:rsid w:val="061775F4"/>
    <w:rsid w:val="07CB450A"/>
    <w:rsid w:val="082F1C5E"/>
    <w:rsid w:val="0CC316B7"/>
    <w:rsid w:val="0D4E3754"/>
    <w:rsid w:val="0EE16D7A"/>
    <w:rsid w:val="0F096B8F"/>
    <w:rsid w:val="0F63063F"/>
    <w:rsid w:val="10FF71F8"/>
    <w:rsid w:val="18E60774"/>
    <w:rsid w:val="1A1F3CA8"/>
    <w:rsid w:val="1D2F1C3B"/>
    <w:rsid w:val="1E7F41DD"/>
    <w:rsid w:val="1FBFFEB0"/>
    <w:rsid w:val="2300000B"/>
    <w:rsid w:val="247656D0"/>
    <w:rsid w:val="247963AF"/>
    <w:rsid w:val="25375238"/>
    <w:rsid w:val="275DFFED"/>
    <w:rsid w:val="28D313E3"/>
    <w:rsid w:val="294B2041"/>
    <w:rsid w:val="2D024C8F"/>
    <w:rsid w:val="2DF65B2A"/>
    <w:rsid w:val="2F0C0A43"/>
    <w:rsid w:val="30676C54"/>
    <w:rsid w:val="30CD01D9"/>
    <w:rsid w:val="326F4556"/>
    <w:rsid w:val="39BE02BB"/>
    <w:rsid w:val="3B7003D2"/>
    <w:rsid w:val="3E6DF6DC"/>
    <w:rsid w:val="3FC51567"/>
    <w:rsid w:val="3FCFDA4A"/>
    <w:rsid w:val="402C723E"/>
    <w:rsid w:val="41A2357F"/>
    <w:rsid w:val="427E60E8"/>
    <w:rsid w:val="44DE245E"/>
    <w:rsid w:val="47CF445E"/>
    <w:rsid w:val="4BC07A55"/>
    <w:rsid w:val="4DD3065F"/>
    <w:rsid w:val="4DDA6A40"/>
    <w:rsid w:val="4F4B3D85"/>
    <w:rsid w:val="4F981E95"/>
    <w:rsid w:val="4FC1388C"/>
    <w:rsid w:val="50822516"/>
    <w:rsid w:val="522F7F0B"/>
    <w:rsid w:val="53C95C44"/>
    <w:rsid w:val="5A1B6DAC"/>
    <w:rsid w:val="5B5961F8"/>
    <w:rsid w:val="5B73EE39"/>
    <w:rsid w:val="5C124F86"/>
    <w:rsid w:val="5C582DD1"/>
    <w:rsid w:val="5CFAC9C4"/>
    <w:rsid w:val="5F561B6F"/>
    <w:rsid w:val="5F57E5CA"/>
    <w:rsid w:val="62911000"/>
    <w:rsid w:val="64AFCBD0"/>
    <w:rsid w:val="66094A55"/>
    <w:rsid w:val="669C35D3"/>
    <w:rsid w:val="66BB07E1"/>
    <w:rsid w:val="671E0E48"/>
    <w:rsid w:val="6A765D35"/>
    <w:rsid w:val="6AFF2A6C"/>
    <w:rsid w:val="6B4A3CB0"/>
    <w:rsid w:val="6EBAEEF7"/>
    <w:rsid w:val="6ECF634D"/>
    <w:rsid w:val="6EDB13D0"/>
    <w:rsid w:val="6FC37AD4"/>
    <w:rsid w:val="71DF68F4"/>
    <w:rsid w:val="725C1C17"/>
    <w:rsid w:val="735F78E6"/>
    <w:rsid w:val="744B0105"/>
    <w:rsid w:val="778CFDC4"/>
    <w:rsid w:val="77EDE09C"/>
    <w:rsid w:val="78AD1F79"/>
    <w:rsid w:val="78AD29F9"/>
    <w:rsid w:val="78BB59A6"/>
    <w:rsid w:val="7B18384B"/>
    <w:rsid w:val="7DFF3A1B"/>
    <w:rsid w:val="7E7B214F"/>
    <w:rsid w:val="7F2A5316"/>
    <w:rsid w:val="7F3A632E"/>
    <w:rsid w:val="7FCE9F2A"/>
    <w:rsid w:val="7FFA6A5B"/>
    <w:rsid w:val="7FFEB1EA"/>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50"/>
    <w:link w:val="320"/>
    <w:qFormat/>
    <w:uiPriority w:val="0"/>
    <w:pPr>
      <w:ind w:firstLine="420"/>
    </w:pPr>
    <w:rPr>
      <w:rFonts w:hAnsi="Calibri" w:cs="Times New Roman"/>
      <w:snapToGrid/>
      <w:szCs w:val="20"/>
    </w:rPr>
  </w:style>
  <w:style w:type="paragraph" w:styleId="61">
    <w:name w:val="Body Text First Indent 2"/>
    <w:basedOn w:val="24"/>
    <w:next w:val="23"/>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5">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966">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967">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100</Pages>
  <Words>18330</Words>
  <Characters>19591</Characters>
  <Paragraphs>1943</Paragraphs>
  <TotalTime>2</TotalTime>
  <ScaleCrop>false</ScaleCrop>
  <LinksUpToDate>false</LinksUpToDate>
  <CharactersWithSpaces>19910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cp:lastModifiedBy>
  <cp:lastPrinted>2026-01-27T10:56:00Z</cp:lastPrinted>
  <dcterms:modified xsi:type="dcterms:W3CDTF">2026-04-29T06:48:24Z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987226F6661C4679B661C2DD1C087E36_13</vt:lpwstr>
  </property>
  <property fmtid="{D5CDD505-2E9C-101B-9397-08002B2CF9AE}" pid="5" name="KSOTemplateDocerSaveRecord">
    <vt:lpwstr>eyJoZGlkIjoiZmNiNWVkMmU2YTdhODRkNzE3MDZhZmYzMTFjMGU0OGEiLCJ1c2VySWQiOiI1NzQyMTYyODcifQ==</vt:lpwstr>
  </property>
</Properties>
</file>