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1422E">
      <w:pPr>
        <w:pStyle w:val="137"/>
        <w:rPr>
          <w:rFonts w:hint="eastAsia"/>
          <w:lang w:eastAsia="zh-CN"/>
        </w:rPr>
      </w:pPr>
    </w:p>
    <w:p w14:paraId="78DFAC81">
      <w:pPr>
        <w:rPr>
          <w:rFonts w:hint="eastAsia"/>
          <w:lang w:eastAsia="zh-CN"/>
        </w:rPr>
      </w:pPr>
    </w:p>
    <w:p w14:paraId="504DDEE7">
      <w:pPr>
        <w:adjustRightInd w:val="0"/>
        <w:spacing w:line="360" w:lineRule="atLeast"/>
        <w:jc w:val="center"/>
        <w:textAlignment w:val="baseline"/>
        <w:rPr>
          <w:rFonts w:hint="eastAsia" w:ascii="仿宋" w:hAnsi="仿宋" w:eastAsia="仿宋" w:cs="仿宋"/>
          <w:b/>
          <w:bCs/>
          <w:color w:val="auto"/>
          <w:spacing w:val="26"/>
          <w:sz w:val="60"/>
          <w:szCs w:val="60"/>
          <w:highlight w:val="none"/>
          <w:lang w:val="en-US" w:eastAsia="zh-CN"/>
        </w:rPr>
      </w:pPr>
      <w:r>
        <w:rPr>
          <w:rFonts w:hint="eastAsia" w:ascii="仿宋" w:hAnsi="仿宋" w:eastAsia="仿宋" w:cs="仿宋"/>
          <w:b/>
          <w:bCs/>
          <w:color w:val="auto"/>
          <w:spacing w:val="26"/>
          <w:sz w:val="60"/>
          <w:szCs w:val="60"/>
          <w:highlight w:val="none"/>
          <w:lang w:val="en-US" w:eastAsia="zh-CN"/>
        </w:rPr>
        <w:t>太原市城市安全生命线——桥梁及隧道健康监测系统项目二标段</w:t>
      </w:r>
    </w:p>
    <w:p w14:paraId="0ABF079B">
      <w:pPr>
        <w:adjustRightInd w:val="0"/>
        <w:spacing w:line="360" w:lineRule="atLeast"/>
        <w:jc w:val="center"/>
        <w:textAlignment w:val="baseline"/>
        <w:rPr>
          <w:rFonts w:hint="eastAsia" w:ascii="仿宋" w:hAnsi="仿宋" w:eastAsia="仿宋" w:cs="仿宋"/>
          <w:b/>
          <w:bCs/>
          <w:color w:val="auto"/>
          <w:spacing w:val="26"/>
          <w:sz w:val="60"/>
          <w:szCs w:val="60"/>
          <w:highlight w:val="none"/>
          <w:lang w:eastAsia="zh-CN"/>
        </w:rPr>
      </w:pPr>
    </w:p>
    <w:p w14:paraId="62E0BCCB">
      <w:pPr>
        <w:pStyle w:val="12"/>
        <w:jc w:val="center"/>
        <w:outlineLvl w:val="9"/>
        <w:rPr>
          <w:rFonts w:hint="eastAsia" w:ascii="仿宋" w:hAnsi="仿宋" w:eastAsia="仿宋" w:cs="仿宋"/>
          <w:color w:val="auto"/>
          <w:sz w:val="44"/>
          <w:szCs w:val="44"/>
          <w:highlight w:val="none"/>
          <w:lang w:val="en-US" w:eastAsia="zh-CN"/>
        </w:rPr>
      </w:pPr>
    </w:p>
    <w:p w14:paraId="1DF98B70">
      <w:pPr>
        <w:outlineLvl w:val="9"/>
        <w:rPr>
          <w:rFonts w:hint="eastAsia" w:ascii="仿宋" w:hAnsi="仿宋" w:eastAsia="仿宋" w:cs="仿宋"/>
          <w:color w:val="auto"/>
          <w:highlight w:val="none"/>
          <w:lang w:val="en-US" w:eastAsia="zh-CN"/>
        </w:rPr>
      </w:pPr>
    </w:p>
    <w:p w14:paraId="43DCDFB2">
      <w:pPr>
        <w:outlineLvl w:val="9"/>
        <w:rPr>
          <w:rFonts w:hint="eastAsia" w:ascii="仿宋" w:hAnsi="仿宋" w:eastAsia="仿宋" w:cs="仿宋"/>
          <w:color w:val="auto"/>
          <w:highlight w:val="none"/>
          <w:lang w:val="en-US" w:eastAsia="zh-CN"/>
        </w:rPr>
      </w:pPr>
    </w:p>
    <w:p w14:paraId="43523CD2">
      <w:pPr>
        <w:outlineLvl w:val="9"/>
        <w:rPr>
          <w:rFonts w:hint="eastAsia" w:ascii="仿宋" w:hAnsi="仿宋" w:eastAsia="仿宋" w:cs="仿宋"/>
          <w:color w:val="auto"/>
          <w:highlight w:val="none"/>
          <w:lang w:val="en-US" w:eastAsia="zh-CN"/>
        </w:rPr>
      </w:pPr>
    </w:p>
    <w:p w14:paraId="5C67AFBA">
      <w:pPr>
        <w:outlineLvl w:val="9"/>
        <w:rPr>
          <w:rFonts w:hint="eastAsia" w:ascii="仿宋" w:hAnsi="仿宋" w:eastAsia="仿宋" w:cs="仿宋"/>
          <w:color w:val="auto"/>
          <w:highlight w:val="none"/>
          <w:lang w:val="en-US" w:eastAsia="zh-CN"/>
        </w:rPr>
      </w:pPr>
    </w:p>
    <w:p w14:paraId="3FDFFCC5">
      <w:pPr>
        <w:spacing w:line="1240" w:lineRule="exact"/>
        <w:jc w:val="center"/>
        <w:rPr>
          <w:rFonts w:hint="eastAsia" w:ascii="仿宋" w:hAnsi="仿宋" w:eastAsia="仿宋" w:cs="仿宋"/>
          <w:b/>
          <w:color w:val="auto"/>
          <w:spacing w:val="20"/>
          <w:sz w:val="128"/>
          <w:szCs w:val="120"/>
          <w:highlight w:val="none"/>
        </w:rPr>
      </w:pPr>
      <w:r>
        <w:rPr>
          <w:rFonts w:hint="eastAsia" w:ascii="仿宋" w:hAnsi="仿宋" w:eastAsia="仿宋" w:cs="仿宋"/>
          <w:b/>
          <w:color w:val="auto"/>
          <w:spacing w:val="20"/>
          <w:sz w:val="112"/>
          <w:szCs w:val="112"/>
          <w:highlight w:val="none"/>
          <w:lang w:val="en-US" w:eastAsia="zh-CN"/>
        </w:rPr>
        <w:t>公开招标</w:t>
      </w:r>
      <w:r>
        <w:rPr>
          <w:rFonts w:hint="eastAsia" w:ascii="仿宋" w:hAnsi="仿宋" w:eastAsia="仿宋" w:cs="仿宋"/>
          <w:b/>
          <w:color w:val="auto"/>
          <w:spacing w:val="20"/>
          <w:sz w:val="112"/>
          <w:szCs w:val="112"/>
          <w:highlight w:val="none"/>
        </w:rPr>
        <w:t>文件</w:t>
      </w:r>
    </w:p>
    <w:p w14:paraId="1FA920D0">
      <w:pPr>
        <w:tabs>
          <w:tab w:val="left" w:pos="7513"/>
          <w:tab w:val="left" w:pos="7655"/>
          <w:tab w:val="left" w:pos="7938"/>
          <w:tab w:val="left" w:pos="8364"/>
        </w:tabs>
        <w:spacing w:line="480" w:lineRule="exact"/>
        <w:jc w:val="both"/>
        <w:outlineLvl w:val="9"/>
        <w:rPr>
          <w:rFonts w:hint="eastAsia" w:ascii="仿宋" w:hAnsi="仿宋" w:eastAsia="仿宋" w:cs="仿宋"/>
          <w:b/>
          <w:color w:val="auto"/>
          <w:sz w:val="27"/>
          <w:szCs w:val="27"/>
          <w:highlight w:val="none"/>
        </w:rPr>
      </w:pPr>
    </w:p>
    <w:p w14:paraId="42C361D0">
      <w:pPr>
        <w:spacing w:line="480" w:lineRule="auto"/>
        <w:jc w:val="center"/>
        <w:rPr>
          <w:rFonts w:hint="default" w:ascii="仿宋" w:hAnsi="仿宋" w:eastAsia="仿宋" w:cs="仿宋"/>
          <w:b/>
          <w:bCs/>
          <w:color w:val="auto"/>
          <w:sz w:val="32"/>
          <w:szCs w:val="28"/>
          <w:highlight w:val="none"/>
          <w:lang w:val="en-US" w:eastAsia="zh-CN"/>
        </w:rPr>
      </w:pPr>
      <w:r>
        <w:rPr>
          <w:rFonts w:hint="eastAsia" w:ascii="仿宋" w:hAnsi="仿宋" w:eastAsia="仿宋" w:cs="仿宋"/>
          <w:b/>
          <w:bCs/>
          <w:color w:val="auto"/>
          <w:sz w:val="32"/>
          <w:szCs w:val="28"/>
          <w:highlight w:val="none"/>
        </w:rPr>
        <w:t>项目编号：140199202</w:t>
      </w:r>
      <w:r>
        <w:rPr>
          <w:rFonts w:hint="eastAsia" w:ascii="仿宋" w:hAnsi="仿宋" w:eastAsia="仿宋" w:cs="仿宋"/>
          <w:b/>
          <w:bCs/>
          <w:color w:val="auto"/>
          <w:sz w:val="32"/>
          <w:szCs w:val="28"/>
          <w:highlight w:val="none"/>
          <w:lang w:val="en-US" w:eastAsia="zh-CN"/>
        </w:rPr>
        <w:t>6</w:t>
      </w:r>
      <w:r>
        <w:rPr>
          <w:rFonts w:hint="eastAsia" w:ascii="仿宋" w:hAnsi="仿宋" w:eastAsia="仿宋" w:cs="仿宋"/>
          <w:b/>
          <w:bCs/>
          <w:color w:val="auto"/>
          <w:sz w:val="32"/>
          <w:szCs w:val="28"/>
          <w:highlight w:val="none"/>
        </w:rPr>
        <w:t>CGK00</w:t>
      </w:r>
      <w:r>
        <w:rPr>
          <w:rFonts w:hint="eastAsia" w:ascii="仿宋" w:hAnsi="仿宋" w:eastAsia="仿宋" w:cs="仿宋"/>
          <w:b/>
          <w:bCs/>
          <w:color w:val="auto"/>
          <w:sz w:val="32"/>
          <w:szCs w:val="28"/>
          <w:highlight w:val="none"/>
          <w:lang w:val="en-US" w:eastAsia="zh-CN"/>
        </w:rPr>
        <w:t>32</w:t>
      </w:r>
      <w:r>
        <w:rPr>
          <w:rFonts w:hint="eastAsia" w:ascii="仿宋" w:hAnsi="仿宋" w:eastAsia="仿宋" w:cs="仿宋"/>
          <w:b/>
          <w:bCs/>
          <w:color w:val="auto"/>
          <w:sz w:val="32"/>
          <w:szCs w:val="28"/>
          <w:highlight w:val="none"/>
        </w:rPr>
        <w:t>8</w:t>
      </w:r>
    </w:p>
    <w:p w14:paraId="76629D2F">
      <w:pPr>
        <w:spacing w:line="480" w:lineRule="auto"/>
        <w:jc w:val="center"/>
        <w:rPr>
          <w:rFonts w:hint="eastAsia" w:ascii="仿宋" w:hAnsi="仿宋" w:eastAsia="仿宋" w:cs="仿宋"/>
          <w:b/>
          <w:bCs/>
          <w:color w:val="auto"/>
          <w:sz w:val="24"/>
          <w:highlight w:val="none"/>
        </w:rPr>
      </w:pPr>
      <w:r>
        <w:drawing>
          <wp:anchor distT="0" distB="0" distL="114300" distR="114300" simplePos="0" relativeHeight="251664384" behindDoc="0" locked="0" layoutInCell="1" allowOverlap="1">
            <wp:simplePos x="0" y="0"/>
            <wp:positionH relativeFrom="column">
              <wp:posOffset>2340610</wp:posOffset>
            </wp:positionH>
            <wp:positionV relativeFrom="paragraph">
              <wp:posOffset>10795</wp:posOffset>
            </wp:positionV>
            <wp:extent cx="1276985" cy="1285875"/>
            <wp:effectExtent l="0" t="0" r="18415" b="952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1276985" cy="1285875"/>
                    </a:xfrm>
                    <a:prstGeom prst="rect">
                      <a:avLst/>
                    </a:prstGeom>
                    <a:noFill/>
                    <a:ln>
                      <a:noFill/>
                    </a:ln>
                  </pic:spPr>
                </pic:pic>
              </a:graphicData>
            </a:graphic>
          </wp:anchor>
        </w:drawing>
      </w:r>
    </w:p>
    <w:p w14:paraId="135FB122">
      <w:pPr>
        <w:spacing w:line="480" w:lineRule="auto"/>
        <w:jc w:val="center"/>
        <w:rPr>
          <w:rFonts w:hint="eastAsia" w:ascii="仿宋" w:hAnsi="仿宋" w:eastAsia="仿宋" w:cs="仿宋"/>
          <w:b/>
          <w:bCs/>
          <w:color w:val="auto"/>
          <w:sz w:val="24"/>
          <w:highlight w:val="none"/>
        </w:rPr>
      </w:pPr>
    </w:p>
    <w:p w14:paraId="7D07DED9">
      <w:pPr>
        <w:spacing w:line="480" w:lineRule="auto"/>
        <w:jc w:val="center"/>
        <w:rPr>
          <w:rFonts w:hint="eastAsia" w:ascii="仿宋" w:hAnsi="仿宋" w:eastAsia="仿宋" w:cs="仿宋"/>
          <w:b/>
          <w:bCs/>
          <w:color w:val="auto"/>
          <w:sz w:val="24"/>
          <w:highlight w:val="none"/>
        </w:rPr>
      </w:pPr>
    </w:p>
    <w:p w14:paraId="30445CBC">
      <w:pPr>
        <w:spacing w:before="240" w:beforeLines="100" w:line="600" w:lineRule="exact"/>
        <w:ind w:firstLine="186" w:firstLineChars="58"/>
        <w:jc w:val="center"/>
        <w:rPr>
          <w:rFonts w:hint="eastAsia" w:ascii="仿宋" w:hAnsi="仿宋" w:eastAsia="仿宋" w:cs="仿宋"/>
          <w:b/>
          <w:color w:val="auto"/>
          <w:sz w:val="32"/>
          <w:szCs w:val="32"/>
          <w:highlight w:val="none"/>
          <w:u w:val="none"/>
        </w:rPr>
      </w:pPr>
    </w:p>
    <w:p w14:paraId="252FDD55">
      <w:pPr>
        <w:spacing w:before="240" w:beforeLines="100" w:line="600" w:lineRule="exact"/>
        <w:ind w:firstLine="186" w:firstLineChars="58"/>
        <w:jc w:val="center"/>
        <w:rPr>
          <w:rFonts w:hint="eastAsia" w:ascii="仿宋" w:hAnsi="仿宋" w:eastAsia="仿宋" w:cs="仿宋"/>
          <w:b/>
          <w:color w:val="auto"/>
          <w:sz w:val="32"/>
          <w:szCs w:val="32"/>
          <w:highlight w:val="none"/>
          <w:u w:val="none"/>
        </w:rPr>
      </w:pPr>
    </w:p>
    <w:p w14:paraId="7925B7F5">
      <w:pPr>
        <w:spacing w:before="240" w:beforeLines="100" w:line="600" w:lineRule="exact"/>
        <w:ind w:firstLine="233" w:firstLineChars="58"/>
        <w:jc w:val="center"/>
        <w:rPr>
          <w:rFonts w:hint="eastAsia" w:ascii="仿宋" w:hAnsi="仿宋" w:eastAsia="仿宋" w:cs="仿宋"/>
          <w:b/>
          <w:color w:val="auto"/>
          <w:sz w:val="40"/>
          <w:szCs w:val="40"/>
          <w:highlight w:val="none"/>
          <w:lang w:val="en-US" w:eastAsia="zh-CN"/>
        </w:rPr>
      </w:pPr>
      <w:r>
        <w:rPr>
          <w:rFonts w:hint="eastAsia" w:ascii="仿宋" w:hAnsi="仿宋" w:eastAsia="仿宋" w:cs="仿宋"/>
          <w:b/>
          <w:color w:val="auto"/>
          <w:sz w:val="40"/>
          <w:szCs w:val="40"/>
          <w:highlight w:val="none"/>
          <w:u w:val="none"/>
        </w:rPr>
        <w:t>采购人：</w:t>
      </w:r>
      <w:r>
        <w:rPr>
          <w:rFonts w:hint="eastAsia" w:ascii="仿宋" w:hAnsi="仿宋" w:eastAsia="仿宋" w:cs="仿宋"/>
          <w:b/>
          <w:color w:val="auto"/>
          <w:sz w:val="40"/>
          <w:szCs w:val="40"/>
          <w:highlight w:val="none"/>
          <w:u w:val="none"/>
          <w:lang w:eastAsia="zh-CN"/>
        </w:rPr>
        <w:t>太原市市政公共设施建设管理中心</w:t>
      </w:r>
    </w:p>
    <w:p w14:paraId="6EDE21AF">
      <w:pPr>
        <w:spacing w:before="240" w:beforeLines="100" w:line="600" w:lineRule="exact"/>
        <w:ind w:firstLine="233" w:firstLineChars="58"/>
        <w:jc w:val="center"/>
        <w:rPr>
          <w:rFonts w:hint="eastAsia" w:ascii="仿宋" w:hAnsi="仿宋" w:eastAsia="仿宋" w:cs="仿宋"/>
          <w:b/>
          <w:color w:val="auto"/>
          <w:sz w:val="40"/>
          <w:szCs w:val="40"/>
          <w:highlight w:val="none"/>
          <w:lang w:eastAsia="zh-CN"/>
        </w:rPr>
      </w:pPr>
      <w:r>
        <w:rPr>
          <w:rFonts w:hint="eastAsia" w:ascii="仿宋" w:hAnsi="仿宋" w:eastAsia="仿宋" w:cs="仿宋"/>
          <w:b/>
          <w:color w:val="auto"/>
          <w:sz w:val="40"/>
          <w:szCs w:val="40"/>
          <w:highlight w:val="none"/>
          <w:lang w:val="en-US" w:eastAsia="zh-CN"/>
        </w:rPr>
        <w:t>采购</w:t>
      </w:r>
      <w:r>
        <w:rPr>
          <w:rFonts w:hint="eastAsia" w:ascii="仿宋" w:hAnsi="仿宋" w:eastAsia="仿宋" w:cs="仿宋"/>
          <w:b/>
          <w:color w:val="auto"/>
          <w:sz w:val="40"/>
          <w:szCs w:val="40"/>
          <w:highlight w:val="none"/>
        </w:rPr>
        <w:t>代理</w:t>
      </w:r>
      <w:r>
        <w:rPr>
          <w:rFonts w:hint="eastAsia" w:ascii="仿宋" w:hAnsi="仿宋" w:eastAsia="仿宋" w:cs="仿宋"/>
          <w:b/>
          <w:color w:val="auto"/>
          <w:sz w:val="40"/>
          <w:szCs w:val="40"/>
          <w:highlight w:val="none"/>
          <w:lang w:val="en-US" w:eastAsia="zh-CN"/>
        </w:rPr>
        <w:t>机构</w:t>
      </w:r>
      <w:r>
        <w:rPr>
          <w:rFonts w:hint="eastAsia" w:ascii="仿宋" w:hAnsi="仿宋" w:eastAsia="仿宋" w:cs="仿宋"/>
          <w:b/>
          <w:color w:val="auto"/>
          <w:sz w:val="40"/>
          <w:szCs w:val="40"/>
          <w:highlight w:val="none"/>
        </w:rPr>
        <w:t>：</w:t>
      </w:r>
      <w:r>
        <w:rPr>
          <w:rFonts w:hint="eastAsia" w:ascii="仿宋" w:hAnsi="仿宋" w:eastAsia="仿宋" w:cs="仿宋"/>
          <w:b/>
          <w:color w:val="auto"/>
          <w:sz w:val="40"/>
          <w:szCs w:val="40"/>
          <w:highlight w:val="none"/>
          <w:lang w:eastAsia="zh-CN"/>
        </w:rPr>
        <w:t>山西麟辉项目管理有限公司</w:t>
      </w:r>
    </w:p>
    <w:p w14:paraId="49DA8DC9">
      <w:pPr>
        <w:spacing w:before="240" w:beforeLines="100" w:line="600" w:lineRule="exact"/>
        <w:ind w:firstLine="233" w:firstLineChars="58"/>
        <w:jc w:val="center"/>
        <w:rPr>
          <w:rFonts w:hint="default" w:ascii="仿宋" w:hAnsi="仿宋" w:eastAsia="仿宋" w:cs="仿宋"/>
          <w:b/>
          <w:color w:val="auto"/>
          <w:sz w:val="40"/>
          <w:szCs w:val="40"/>
          <w:highlight w:val="none"/>
          <w:lang w:val="en-US" w:eastAsia="zh-CN"/>
        </w:rPr>
        <w:sectPr>
          <w:headerReference r:id="rId3" w:type="default"/>
          <w:footerReference r:id="rId4" w:type="even"/>
          <w:pgSz w:w="11906" w:h="16838"/>
          <w:pgMar w:top="1588" w:right="1247" w:bottom="1474" w:left="1247" w:header="1020" w:footer="1020"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仿宋" w:hAnsi="仿宋" w:eastAsia="仿宋" w:cs="仿宋"/>
          <w:b/>
          <w:color w:val="auto"/>
          <w:sz w:val="40"/>
          <w:szCs w:val="40"/>
          <w:highlight w:val="none"/>
          <w:lang w:val="en-US" w:eastAsia="zh-CN"/>
        </w:rPr>
        <w:t>二〇二六年五月</w:t>
      </w:r>
    </w:p>
    <w:p w14:paraId="3AF57ACE">
      <w:pPr>
        <w:keepNext w:val="0"/>
        <w:keepLines w:val="0"/>
        <w:pageBreakBefore w:val="0"/>
        <w:widowControl/>
        <w:kinsoku/>
        <w:wordWrap/>
        <w:overflowPunct/>
        <w:topLinePunct w:val="0"/>
        <w:autoSpaceDE/>
        <w:autoSpaceDN/>
        <w:bidi w:val="0"/>
        <w:adjustRightInd/>
        <w:snapToGrid w:val="0"/>
        <w:spacing w:after="313" w:afterLines="100" w:line="360" w:lineRule="auto"/>
        <w:jc w:val="center"/>
        <w:textAlignment w:val="auto"/>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目  录</w:t>
      </w:r>
    </w:p>
    <w:p w14:paraId="0435F566">
      <w:pPr>
        <w:pStyle w:val="24"/>
        <w:keepNext w:val="0"/>
        <w:keepLines w:val="0"/>
        <w:pageBreakBefore w:val="0"/>
        <w:tabs>
          <w:tab w:val="right" w:leader="dot" w:pos="9412"/>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fldChar w:fldCharType="begin"/>
      </w:r>
      <w:r>
        <w:rPr>
          <w:rFonts w:hint="eastAsia" w:ascii="宋体" w:hAnsi="宋体" w:eastAsia="宋体" w:cs="宋体"/>
          <w:color w:val="auto"/>
          <w:kern w:val="0"/>
          <w:sz w:val="28"/>
          <w:szCs w:val="28"/>
          <w:highlight w:val="none"/>
        </w:rPr>
        <w:instrText xml:space="preserve">TOC \o "1-2" \h \u </w:instrText>
      </w:r>
      <w:r>
        <w:rPr>
          <w:rFonts w:hint="eastAsia" w:ascii="宋体" w:hAnsi="宋体" w:eastAsia="宋体" w:cs="宋体"/>
          <w:color w:val="auto"/>
          <w:kern w:val="0"/>
          <w:sz w:val="28"/>
          <w:szCs w:val="28"/>
          <w:highlight w:val="none"/>
        </w:rPr>
        <w:fldChar w:fldCharType="separate"/>
      </w:r>
      <w:r>
        <w:rPr>
          <w:rFonts w:hint="eastAsia" w:ascii="宋体" w:hAnsi="宋体" w:eastAsia="宋体" w:cs="宋体"/>
          <w:color w:val="auto"/>
          <w:kern w:val="0"/>
          <w:sz w:val="28"/>
          <w:szCs w:val="28"/>
          <w:highlight w:val="none"/>
        </w:rPr>
        <w:fldChar w:fldCharType="begin"/>
      </w:r>
      <w:r>
        <w:rPr>
          <w:rFonts w:hint="eastAsia" w:ascii="宋体" w:hAnsi="宋体" w:eastAsia="宋体" w:cs="宋体"/>
          <w:color w:val="auto"/>
          <w:kern w:val="0"/>
          <w:sz w:val="28"/>
          <w:szCs w:val="28"/>
          <w:highlight w:val="none"/>
        </w:rPr>
        <w:instrText xml:space="preserve"> HYPERLINK \l _Toc15196 </w:instrText>
      </w:r>
      <w:r>
        <w:rPr>
          <w:rFonts w:hint="eastAsia" w:ascii="宋体" w:hAnsi="宋体" w:eastAsia="宋体" w:cs="宋体"/>
          <w:color w:val="auto"/>
          <w:kern w:val="0"/>
          <w:sz w:val="28"/>
          <w:szCs w:val="28"/>
          <w:highlight w:val="none"/>
        </w:rPr>
        <w:fldChar w:fldCharType="separate"/>
      </w:r>
      <w:r>
        <w:rPr>
          <w:rFonts w:hint="eastAsia" w:ascii="宋体" w:hAnsi="宋体" w:eastAsia="宋体" w:cs="宋体"/>
          <w:color w:val="auto"/>
          <w:kern w:val="0"/>
          <w:sz w:val="28"/>
          <w:szCs w:val="28"/>
          <w:highlight w:val="none"/>
        </w:rPr>
        <w:t xml:space="preserve">第一部分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_Toc15196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0"/>
          <w:sz w:val="28"/>
          <w:szCs w:val="28"/>
          <w:highlight w:val="none"/>
        </w:rPr>
        <w:fldChar w:fldCharType="end"/>
      </w:r>
    </w:p>
    <w:p w14:paraId="43A4735E">
      <w:pPr>
        <w:pStyle w:val="24"/>
        <w:keepNext w:val="0"/>
        <w:keepLines w:val="0"/>
        <w:pageBreakBefore w:val="0"/>
        <w:tabs>
          <w:tab w:val="right" w:leader="dot" w:pos="9412"/>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fldChar w:fldCharType="begin"/>
      </w:r>
      <w:r>
        <w:rPr>
          <w:rFonts w:hint="eastAsia" w:ascii="宋体" w:hAnsi="宋体" w:eastAsia="宋体" w:cs="宋体"/>
          <w:color w:val="auto"/>
          <w:kern w:val="0"/>
          <w:sz w:val="28"/>
          <w:szCs w:val="28"/>
          <w:highlight w:val="none"/>
        </w:rPr>
        <w:instrText xml:space="preserve"> HYPERLINK \l _Toc10289 </w:instrText>
      </w:r>
      <w:r>
        <w:rPr>
          <w:rFonts w:hint="eastAsia" w:ascii="宋体" w:hAnsi="宋体" w:eastAsia="宋体" w:cs="宋体"/>
          <w:color w:val="auto"/>
          <w:kern w:val="0"/>
          <w:sz w:val="28"/>
          <w:szCs w:val="28"/>
          <w:highlight w:val="none"/>
        </w:rPr>
        <w:fldChar w:fldCharType="separate"/>
      </w:r>
      <w:r>
        <w:rPr>
          <w:rFonts w:hint="eastAsia" w:ascii="宋体" w:hAnsi="宋体" w:eastAsia="宋体" w:cs="宋体"/>
          <w:color w:val="auto"/>
          <w:kern w:val="0"/>
          <w:sz w:val="28"/>
          <w:szCs w:val="28"/>
          <w:highlight w:val="none"/>
        </w:rPr>
        <w:t>第二部分  投标人须知前附表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_Toc10289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0"/>
          <w:sz w:val="28"/>
          <w:szCs w:val="28"/>
          <w:highlight w:val="none"/>
        </w:rPr>
        <w:fldChar w:fldCharType="end"/>
      </w:r>
    </w:p>
    <w:p w14:paraId="73AB4E7D">
      <w:pPr>
        <w:pStyle w:val="24"/>
        <w:keepNext w:val="0"/>
        <w:keepLines w:val="0"/>
        <w:pageBreakBefore w:val="0"/>
        <w:tabs>
          <w:tab w:val="right" w:leader="dot" w:pos="9412"/>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fldChar w:fldCharType="begin"/>
      </w:r>
      <w:r>
        <w:rPr>
          <w:rFonts w:hint="eastAsia" w:ascii="宋体" w:hAnsi="宋体" w:eastAsia="宋体" w:cs="宋体"/>
          <w:color w:val="auto"/>
          <w:kern w:val="0"/>
          <w:sz w:val="28"/>
          <w:szCs w:val="28"/>
          <w:highlight w:val="none"/>
        </w:rPr>
        <w:instrText xml:space="preserve"> HYPERLINK \l _Toc29734 </w:instrText>
      </w:r>
      <w:r>
        <w:rPr>
          <w:rFonts w:hint="eastAsia" w:ascii="宋体" w:hAnsi="宋体" w:eastAsia="宋体" w:cs="宋体"/>
          <w:color w:val="auto"/>
          <w:kern w:val="0"/>
          <w:sz w:val="28"/>
          <w:szCs w:val="28"/>
          <w:highlight w:val="none"/>
        </w:rPr>
        <w:fldChar w:fldCharType="separate"/>
      </w:r>
      <w:r>
        <w:rPr>
          <w:rFonts w:hint="eastAsia" w:ascii="宋体" w:hAnsi="宋体" w:eastAsia="宋体" w:cs="宋体"/>
          <w:color w:val="auto"/>
          <w:kern w:val="0"/>
          <w:sz w:val="28"/>
          <w:szCs w:val="28"/>
          <w:highlight w:val="none"/>
        </w:rPr>
        <w:t>第三部分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_Toc29734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0"/>
          <w:sz w:val="28"/>
          <w:szCs w:val="28"/>
          <w:highlight w:val="none"/>
        </w:rPr>
        <w:fldChar w:fldCharType="end"/>
      </w:r>
    </w:p>
    <w:p w14:paraId="0F226E11">
      <w:pPr>
        <w:pStyle w:val="24"/>
        <w:keepNext w:val="0"/>
        <w:keepLines w:val="0"/>
        <w:pageBreakBefore w:val="0"/>
        <w:tabs>
          <w:tab w:val="right" w:leader="dot" w:pos="9412"/>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fldChar w:fldCharType="begin"/>
      </w:r>
      <w:r>
        <w:rPr>
          <w:rFonts w:hint="eastAsia" w:ascii="宋体" w:hAnsi="宋体" w:eastAsia="宋体" w:cs="宋体"/>
          <w:color w:val="auto"/>
          <w:kern w:val="0"/>
          <w:sz w:val="28"/>
          <w:szCs w:val="28"/>
          <w:highlight w:val="none"/>
        </w:rPr>
        <w:instrText xml:space="preserve"> HYPERLINK \l _Toc11136 </w:instrText>
      </w:r>
      <w:r>
        <w:rPr>
          <w:rFonts w:hint="eastAsia" w:ascii="宋体" w:hAnsi="宋体" w:eastAsia="宋体" w:cs="宋体"/>
          <w:color w:val="auto"/>
          <w:kern w:val="0"/>
          <w:sz w:val="28"/>
          <w:szCs w:val="28"/>
          <w:highlight w:val="none"/>
        </w:rPr>
        <w:fldChar w:fldCharType="separate"/>
      </w:r>
      <w:r>
        <w:rPr>
          <w:rFonts w:hint="eastAsia" w:ascii="宋体" w:hAnsi="宋体" w:eastAsia="宋体" w:cs="宋体"/>
          <w:color w:val="auto"/>
          <w:kern w:val="0"/>
          <w:sz w:val="28"/>
          <w:szCs w:val="28"/>
          <w:highlight w:val="none"/>
        </w:rPr>
        <w:t>第四部分  评标标准和评标方法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_Toc11136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0"/>
          <w:sz w:val="28"/>
          <w:szCs w:val="28"/>
          <w:highlight w:val="none"/>
        </w:rPr>
        <w:fldChar w:fldCharType="end"/>
      </w:r>
    </w:p>
    <w:p w14:paraId="28A3E03C">
      <w:pPr>
        <w:pStyle w:val="24"/>
        <w:keepNext w:val="0"/>
        <w:keepLines w:val="0"/>
        <w:pageBreakBefore w:val="0"/>
        <w:tabs>
          <w:tab w:val="right" w:leader="dot" w:pos="9412"/>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rPr>
        <w:fldChar w:fldCharType="begin"/>
      </w:r>
      <w:r>
        <w:rPr>
          <w:rFonts w:hint="eastAsia" w:ascii="宋体" w:hAnsi="宋体" w:eastAsia="宋体" w:cs="宋体"/>
          <w:color w:val="auto"/>
          <w:kern w:val="0"/>
          <w:sz w:val="28"/>
          <w:szCs w:val="28"/>
          <w:highlight w:val="none"/>
        </w:rPr>
        <w:instrText xml:space="preserve"> HYPERLINK \l _Toc11164 </w:instrText>
      </w:r>
      <w:r>
        <w:rPr>
          <w:rFonts w:hint="eastAsia" w:ascii="宋体" w:hAnsi="宋体" w:eastAsia="宋体" w:cs="宋体"/>
          <w:color w:val="auto"/>
          <w:kern w:val="0"/>
          <w:sz w:val="28"/>
          <w:szCs w:val="28"/>
          <w:highlight w:val="none"/>
        </w:rPr>
        <w:fldChar w:fldCharType="separate"/>
      </w:r>
      <w:r>
        <w:rPr>
          <w:rFonts w:hint="eastAsia" w:ascii="宋体" w:hAnsi="宋体" w:eastAsia="宋体" w:cs="宋体"/>
          <w:bCs/>
          <w:color w:val="auto"/>
          <w:kern w:val="0"/>
          <w:sz w:val="28"/>
          <w:szCs w:val="28"/>
          <w:highlight w:val="none"/>
          <w:lang w:eastAsia="zh-CN"/>
        </w:rPr>
        <w:t>第五部分</w:t>
      </w:r>
      <w:r>
        <w:rPr>
          <w:rFonts w:hint="eastAsia" w:ascii="宋体" w:hAnsi="宋体" w:eastAsia="宋体" w:cs="宋体"/>
          <w:bCs/>
          <w:color w:val="auto"/>
          <w:kern w:val="0"/>
          <w:sz w:val="28"/>
          <w:szCs w:val="28"/>
          <w:highlight w:val="none"/>
          <w:lang w:val="en-US" w:eastAsia="zh-CN"/>
        </w:rPr>
        <w:t xml:space="preserve"> </w:t>
      </w:r>
      <w:r>
        <w:rPr>
          <w:rFonts w:hint="eastAsia" w:ascii="宋体" w:hAnsi="宋体" w:eastAsia="宋体" w:cs="宋体"/>
          <w:bCs/>
          <w:color w:val="auto"/>
          <w:kern w:val="0"/>
          <w:sz w:val="28"/>
          <w:szCs w:val="28"/>
          <w:highlight w:val="none"/>
        </w:rPr>
        <w:t xml:space="preserve"> 商务、</w:t>
      </w:r>
      <w:r>
        <w:rPr>
          <w:rFonts w:hint="eastAsia" w:ascii="宋体" w:hAnsi="宋体" w:eastAsia="宋体" w:cs="宋体"/>
          <w:bCs/>
          <w:color w:val="auto"/>
          <w:kern w:val="0"/>
          <w:sz w:val="28"/>
          <w:szCs w:val="28"/>
          <w:highlight w:val="none"/>
          <w:lang w:eastAsia="zh-CN"/>
        </w:rPr>
        <w:t>技术</w:t>
      </w:r>
      <w:r>
        <w:rPr>
          <w:rFonts w:hint="eastAsia" w:ascii="宋体" w:hAnsi="宋体" w:eastAsia="宋体" w:cs="宋体"/>
          <w:bCs/>
          <w:color w:val="auto"/>
          <w:kern w:val="0"/>
          <w:sz w:val="28"/>
          <w:szCs w:val="28"/>
          <w:highlight w:val="none"/>
        </w:rPr>
        <w:t>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kern w:val="0"/>
          <w:sz w:val="28"/>
          <w:szCs w:val="28"/>
          <w:highlight w:val="none"/>
        </w:rPr>
        <w:fldChar w:fldCharType="end"/>
      </w:r>
      <w:r>
        <w:rPr>
          <w:rFonts w:hint="eastAsia" w:ascii="宋体" w:hAnsi="宋体" w:eastAsia="宋体" w:cs="宋体"/>
          <w:color w:val="auto"/>
          <w:kern w:val="0"/>
          <w:sz w:val="28"/>
          <w:szCs w:val="28"/>
          <w:highlight w:val="none"/>
          <w:lang w:val="en-US" w:eastAsia="zh-CN"/>
        </w:rPr>
        <w:t>3</w:t>
      </w:r>
    </w:p>
    <w:p w14:paraId="189CBD3E">
      <w:pPr>
        <w:pStyle w:val="24"/>
        <w:keepNext w:val="0"/>
        <w:keepLines w:val="0"/>
        <w:pageBreakBefore w:val="0"/>
        <w:tabs>
          <w:tab w:val="right" w:leader="dot" w:pos="9412"/>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rPr>
        <w:fldChar w:fldCharType="begin"/>
      </w:r>
      <w:r>
        <w:rPr>
          <w:rFonts w:hint="eastAsia" w:ascii="宋体" w:hAnsi="宋体" w:eastAsia="宋体" w:cs="宋体"/>
          <w:color w:val="auto"/>
          <w:kern w:val="0"/>
          <w:sz w:val="28"/>
          <w:szCs w:val="28"/>
          <w:highlight w:val="none"/>
        </w:rPr>
        <w:instrText xml:space="preserve"> HYPERLINK \l _Toc25432 </w:instrText>
      </w:r>
      <w:r>
        <w:rPr>
          <w:rFonts w:hint="eastAsia" w:ascii="宋体" w:hAnsi="宋体" w:eastAsia="宋体" w:cs="宋体"/>
          <w:color w:val="auto"/>
          <w:kern w:val="0"/>
          <w:sz w:val="28"/>
          <w:szCs w:val="28"/>
          <w:highlight w:val="none"/>
        </w:rPr>
        <w:fldChar w:fldCharType="separate"/>
      </w:r>
      <w:r>
        <w:rPr>
          <w:rFonts w:hint="eastAsia" w:ascii="宋体" w:hAnsi="宋体" w:eastAsia="宋体" w:cs="宋体"/>
          <w:color w:val="auto"/>
          <w:kern w:val="0"/>
          <w:sz w:val="28"/>
          <w:szCs w:val="28"/>
          <w:highlight w:val="none"/>
        </w:rPr>
        <w:t xml:space="preserve">第六部分  </w:t>
      </w:r>
      <w:r>
        <w:rPr>
          <w:rFonts w:hint="eastAsia" w:ascii="宋体" w:hAnsi="宋体" w:eastAsia="宋体" w:cs="宋体"/>
          <w:color w:val="auto"/>
          <w:kern w:val="0"/>
          <w:sz w:val="28"/>
          <w:szCs w:val="28"/>
          <w:highlight w:val="none"/>
          <w:lang w:eastAsia="zh-CN"/>
        </w:rPr>
        <w:t>采购</w:t>
      </w:r>
      <w:r>
        <w:rPr>
          <w:rFonts w:hint="eastAsia" w:ascii="宋体" w:hAnsi="宋体" w:eastAsia="宋体" w:cs="宋体"/>
          <w:color w:val="auto"/>
          <w:kern w:val="0"/>
          <w:sz w:val="28"/>
          <w:szCs w:val="28"/>
          <w:highlight w:val="none"/>
        </w:rPr>
        <w:t>合同</w:t>
      </w:r>
      <w:r>
        <w:rPr>
          <w:rFonts w:hint="eastAsia" w:ascii="宋体" w:hAnsi="宋体" w:eastAsia="宋体" w:cs="宋体"/>
          <w:color w:val="auto"/>
          <w:kern w:val="0"/>
          <w:sz w:val="28"/>
          <w:szCs w:val="28"/>
          <w:highlight w:val="none"/>
          <w:lang w:eastAsia="zh-CN"/>
        </w:rPr>
        <w:t>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kern w:val="0"/>
          <w:sz w:val="28"/>
          <w:szCs w:val="28"/>
          <w:highlight w:val="none"/>
        </w:rPr>
        <w:fldChar w:fldCharType="end"/>
      </w:r>
      <w:r>
        <w:rPr>
          <w:rFonts w:hint="eastAsia" w:ascii="宋体" w:hAnsi="宋体" w:eastAsia="宋体" w:cs="宋体"/>
          <w:color w:val="auto"/>
          <w:kern w:val="0"/>
          <w:sz w:val="28"/>
          <w:szCs w:val="28"/>
          <w:highlight w:val="none"/>
          <w:lang w:val="en-US" w:eastAsia="zh-CN"/>
        </w:rPr>
        <w:t>6</w:t>
      </w:r>
    </w:p>
    <w:p w14:paraId="1A1FB975">
      <w:pPr>
        <w:pStyle w:val="24"/>
        <w:keepNext w:val="0"/>
        <w:keepLines w:val="0"/>
        <w:pageBreakBefore w:val="0"/>
        <w:tabs>
          <w:tab w:val="right" w:leader="dot" w:pos="9412"/>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fldChar w:fldCharType="begin"/>
      </w:r>
      <w:r>
        <w:rPr>
          <w:rFonts w:hint="eastAsia" w:ascii="宋体" w:hAnsi="宋体" w:eastAsia="宋体" w:cs="宋体"/>
          <w:color w:val="auto"/>
          <w:kern w:val="0"/>
          <w:sz w:val="28"/>
          <w:szCs w:val="28"/>
          <w:highlight w:val="none"/>
        </w:rPr>
        <w:instrText xml:space="preserve"> HYPERLINK \l _Toc15234 </w:instrText>
      </w:r>
      <w:r>
        <w:rPr>
          <w:rFonts w:hint="eastAsia" w:ascii="宋体" w:hAnsi="宋体" w:eastAsia="宋体" w:cs="宋体"/>
          <w:color w:val="auto"/>
          <w:kern w:val="0"/>
          <w:sz w:val="28"/>
          <w:szCs w:val="28"/>
          <w:highlight w:val="none"/>
        </w:rPr>
        <w:fldChar w:fldCharType="separate"/>
      </w:r>
      <w:r>
        <w:rPr>
          <w:rFonts w:hint="eastAsia" w:ascii="宋体" w:hAnsi="宋体" w:eastAsia="宋体" w:cs="宋体"/>
          <w:color w:val="auto"/>
          <w:kern w:val="0"/>
          <w:sz w:val="28"/>
          <w:szCs w:val="28"/>
          <w:highlight w:val="none"/>
        </w:rPr>
        <w:t>第七部分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_Toc15234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69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0"/>
          <w:sz w:val="28"/>
          <w:szCs w:val="28"/>
          <w:highlight w:val="none"/>
        </w:rPr>
        <w:fldChar w:fldCharType="end"/>
      </w:r>
      <w:bookmarkStart w:id="103" w:name="_GoBack"/>
      <w:bookmarkEnd w:id="103"/>
    </w:p>
    <w:p w14:paraId="5B7DFE8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30"/>
          <w:highlight w:val="none"/>
        </w:rPr>
      </w:pPr>
      <w:r>
        <w:rPr>
          <w:rFonts w:hint="eastAsia" w:ascii="宋体" w:hAnsi="宋体" w:eastAsia="宋体" w:cs="宋体"/>
          <w:color w:val="auto"/>
          <w:kern w:val="0"/>
          <w:sz w:val="28"/>
          <w:szCs w:val="28"/>
          <w:highlight w:val="none"/>
        </w:rPr>
        <w:fldChar w:fldCharType="end"/>
      </w:r>
    </w:p>
    <w:p w14:paraId="5811CDA7">
      <w:pPr>
        <w:pStyle w:val="29"/>
        <w:rPr>
          <w:rFonts w:hint="eastAsia" w:ascii="宋体" w:hAnsi="宋体" w:eastAsia="宋体" w:cs="宋体"/>
          <w:color w:val="auto"/>
          <w:sz w:val="28"/>
          <w:szCs w:val="30"/>
          <w:highlight w:val="none"/>
        </w:rPr>
      </w:pPr>
    </w:p>
    <w:p w14:paraId="70C8BAB3">
      <w:pPr>
        <w:keepNext w:val="0"/>
        <w:keepLines w:val="0"/>
        <w:pageBreakBefore w:val="0"/>
        <w:widowControl/>
        <w:tabs>
          <w:tab w:val="left" w:pos="2070"/>
          <w:tab w:val="center" w:pos="4365"/>
        </w:tabs>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color w:val="auto"/>
          <w:kern w:val="0"/>
          <w:sz w:val="36"/>
          <w:szCs w:val="36"/>
          <w:highlight w:val="none"/>
        </w:rPr>
        <w:sectPr>
          <w:headerReference r:id="rId5" w:type="first"/>
          <w:footerReference r:id="rId6" w:type="first"/>
          <w:pgSz w:w="11906" w:h="16838"/>
          <w:pgMar w:top="1417" w:right="1247" w:bottom="1417" w:left="1247" w:header="851" w:footer="992" w:gutter="0"/>
          <w:pgBorders>
            <w:top w:val="none" w:sz="0" w:space="0"/>
            <w:left w:val="none" w:sz="0" w:space="0"/>
            <w:bottom w:val="none" w:sz="0" w:space="0"/>
            <w:right w:val="none" w:sz="0" w:space="0"/>
          </w:pgBorders>
          <w:pgNumType w:fmt="decimal" w:start="1"/>
          <w:cols w:space="0" w:num="1"/>
          <w:titlePg/>
          <w:rtlGutter w:val="0"/>
          <w:docGrid w:linePitch="312" w:charSpace="0"/>
        </w:sectPr>
      </w:pPr>
      <w:bookmarkStart w:id="0" w:name="_Toc15196"/>
    </w:p>
    <w:p w14:paraId="681FC379">
      <w:pPr>
        <w:keepNext w:val="0"/>
        <w:keepLines w:val="0"/>
        <w:pageBreakBefore w:val="0"/>
        <w:widowControl/>
        <w:tabs>
          <w:tab w:val="left" w:pos="2070"/>
          <w:tab w:val="center" w:pos="4365"/>
        </w:tabs>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第一部分 </w:t>
      </w:r>
      <w:r>
        <w:rPr>
          <w:rFonts w:hint="eastAsia" w:ascii="宋体" w:hAnsi="宋体" w:eastAsia="宋体" w:cs="宋体"/>
          <w:b/>
          <w:color w:val="auto"/>
          <w:kern w:val="0"/>
          <w:sz w:val="36"/>
          <w:szCs w:val="36"/>
          <w:highlight w:val="none"/>
          <w:lang w:val="en-US" w:eastAsia="zh-CN"/>
        </w:rPr>
        <w:t xml:space="preserve"> </w:t>
      </w:r>
      <w:r>
        <w:rPr>
          <w:rFonts w:hint="eastAsia" w:ascii="宋体" w:hAnsi="宋体" w:eastAsia="宋体" w:cs="宋体"/>
          <w:b/>
          <w:color w:val="auto"/>
          <w:kern w:val="0"/>
          <w:sz w:val="36"/>
          <w:szCs w:val="36"/>
          <w:highlight w:val="none"/>
        </w:rPr>
        <w:t>招标公告</w:t>
      </w:r>
      <w:bookmarkEnd w:id="0"/>
    </w:p>
    <w:p w14:paraId="3151CFE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11A6986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u w:val="none"/>
          <w:lang w:eastAsia="zh-CN"/>
        </w:rPr>
        <w:t>太原市城市安全生命线——桥梁及隧道健康监测系统项目二标段招标项目的潜在投标人应在政采云平台线上获取获取招标文件，并于2026年</w:t>
      </w:r>
      <w:r>
        <w:rPr>
          <w:rFonts w:hint="eastAsia" w:ascii="宋体" w:hAnsi="宋体" w:cs="宋体"/>
          <w:color w:val="auto"/>
          <w:sz w:val="24"/>
          <w:highlight w:val="none"/>
          <w:u w:val="none"/>
          <w:lang w:val="en-US" w:eastAsia="zh-CN"/>
        </w:rPr>
        <w:t>06</w:t>
      </w:r>
      <w:r>
        <w:rPr>
          <w:rFonts w:hint="eastAsia" w:ascii="宋体" w:hAnsi="宋体" w:cs="宋体"/>
          <w:color w:val="auto"/>
          <w:sz w:val="24"/>
          <w:highlight w:val="none"/>
          <w:u w:val="none"/>
          <w:lang w:eastAsia="zh-CN"/>
        </w:rPr>
        <w:t>月</w:t>
      </w:r>
      <w:r>
        <w:rPr>
          <w:rFonts w:hint="eastAsia" w:ascii="宋体" w:hAnsi="宋体" w:cs="宋体"/>
          <w:color w:val="auto"/>
          <w:sz w:val="24"/>
          <w:highlight w:val="none"/>
          <w:u w:val="none"/>
          <w:lang w:val="en-US" w:eastAsia="zh-CN"/>
        </w:rPr>
        <w:t>15</w:t>
      </w:r>
      <w:r>
        <w:rPr>
          <w:rFonts w:hint="eastAsia" w:ascii="宋体" w:hAnsi="宋体" w:cs="宋体"/>
          <w:color w:val="auto"/>
          <w:sz w:val="24"/>
          <w:highlight w:val="none"/>
          <w:u w:val="none"/>
          <w:lang w:eastAsia="zh-CN"/>
        </w:rPr>
        <w:t>日09:30（北京时间）前递交投标文件。</w:t>
      </w:r>
      <w:r>
        <w:rPr>
          <w:rFonts w:hint="eastAsia" w:ascii="宋体" w:hAnsi="宋体" w:eastAsia="宋体" w:cs="宋体"/>
          <w:color w:val="auto"/>
          <w:sz w:val="24"/>
          <w:highlight w:val="none"/>
          <w:u w:val="none"/>
        </w:rPr>
        <w:t xml:space="preserve"> </w:t>
      </w:r>
    </w:p>
    <w:p w14:paraId="2658EF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bookmarkStart w:id="1" w:name="_Toc28359079"/>
      <w:bookmarkStart w:id="2" w:name="_Toc35393790"/>
      <w:bookmarkStart w:id="3" w:name="_Toc28359002"/>
      <w:bookmarkStart w:id="4" w:name="_Toc35393621"/>
      <w:bookmarkStart w:id="5" w:name="_Hlk24379207"/>
      <w:r>
        <w:rPr>
          <w:rFonts w:hint="eastAsia" w:ascii="宋体" w:hAnsi="宋体" w:eastAsia="宋体" w:cs="宋体"/>
          <w:b/>
          <w:bCs/>
          <w:color w:val="auto"/>
          <w:sz w:val="24"/>
          <w:highlight w:val="none"/>
        </w:rPr>
        <w:t>一、项目基本情况</w:t>
      </w:r>
      <w:bookmarkEnd w:id="1"/>
      <w:bookmarkEnd w:id="2"/>
      <w:bookmarkEnd w:id="3"/>
      <w:bookmarkEnd w:id="4"/>
    </w:p>
    <w:p w14:paraId="1A25BA0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项目编号：140199202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CGK00</w:t>
      </w:r>
      <w:r>
        <w:rPr>
          <w:rFonts w:hint="eastAsia" w:ascii="宋体" w:hAnsi="宋体" w:eastAsia="宋体" w:cs="宋体"/>
          <w:color w:val="auto"/>
          <w:sz w:val="24"/>
          <w:highlight w:val="none"/>
          <w:lang w:val="en-US" w:eastAsia="zh-CN"/>
        </w:rPr>
        <w:t>32</w:t>
      </w:r>
      <w:r>
        <w:rPr>
          <w:rFonts w:hint="eastAsia" w:ascii="宋体" w:hAnsi="宋体" w:eastAsia="宋体" w:cs="宋体"/>
          <w:color w:val="auto"/>
          <w:sz w:val="24"/>
          <w:highlight w:val="none"/>
        </w:rPr>
        <w:t>8</w:t>
      </w:r>
    </w:p>
    <w:p w14:paraId="4815F5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bookmarkEnd w:id="5"/>
      <w:r>
        <w:rPr>
          <w:rFonts w:hint="eastAsia" w:ascii="宋体" w:hAnsi="宋体" w:cs="宋体"/>
          <w:color w:val="auto"/>
          <w:sz w:val="24"/>
          <w:highlight w:val="none"/>
          <w:lang w:eastAsia="zh-CN"/>
        </w:rPr>
        <w:t>太原市城市安全生命线——桥梁及隧道健康监测系统项目二标段</w:t>
      </w:r>
    </w:p>
    <w:p w14:paraId="6802DDC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预算金额</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791501.88</w:t>
      </w:r>
    </w:p>
    <w:p w14:paraId="460B382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最高限价</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791501.88</w:t>
      </w:r>
    </w:p>
    <w:p w14:paraId="3E70D6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6" w:name="_Toc28359003"/>
      <w:bookmarkStart w:id="7" w:name="_Toc28359080"/>
      <w:bookmarkStart w:id="8" w:name="_Toc35393622"/>
      <w:bookmarkStart w:id="9" w:name="_Toc35393791"/>
      <w:r>
        <w:rPr>
          <w:rFonts w:hint="eastAsia" w:ascii="宋体" w:hAnsi="宋体" w:eastAsia="宋体" w:cs="宋体"/>
          <w:color w:val="auto"/>
          <w:sz w:val="24"/>
          <w:highlight w:val="none"/>
          <w:lang w:val="en-US" w:eastAsia="zh-CN"/>
        </w:rPr>
        <w:t>采购需求：</w:t>
      </w:r>
    </w:p>
    <w:p w14:paraId="4F2FD3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标项名称：</w:t>
      </w:r>
      <w:r>
        <w:rPr>
          <w:rFonts w:hint="eastAsia" w:ascii="宋体" w:hAnsi="宋体" w:cs="宋体"/>
          <w:color w:val="auto"/>
          <w:sz w:val="24"/>
          <w:highlight w:val="none"/>
          <w:lang w:val="en-US" w:eastAsia="zh-CN"/>
        </w:rPr>
        <w:t>太原市城市安全生命线——桥梁及隧道健康监测系统项目二标段</w:t>
      </w:r>
    </w:p>
    <w:p w14:paraId="33C4B9B6">
      <w:pPr>
        <w:keepNext w:val="0"/>
        <w:keepLines w:val="0"/>
        <w:pageBreakBefore w:val="0"/>
        <w:kinsoku/>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p w14:paraId="6D9BA32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预算金额（元）：</w:t>
      </w:r>
      <w:r>
        <w:rPr>
          <w:rFonts w:hint="eastAsia" w:ascii="宋体" w:hAnsi="宋体" w:cs="宋体"/>
          <w:color w:val="auto"/>
          <w:sz w:val="24"/>
          <w:highlight w:val="none"/>
          <w:lang w:val="en-US" w:eastAsia="zh-CN"/>
        </w:rPr>
        <w:t>791501.88</w:t>
      </w:r>
    </w:p>
    <w:p w14:paraId="2D51110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简要规格描述或项目基本概况介绍、用途：包括太原市城区约535平方公里范围内的桥隧、排水、燃气、供水、供热、综合管廊六个行业设施进行风险评估，形成六个行业《城市生命线风险评估报告》《城市生命线风险清单》《城市生命线风险电子四色图》《设施监测布点方案》评估成果。</w:t>
      </w:r>
    </w:p>
    <w:p w14:paraId="4845BEB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p w14:paraId="6CB74EF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10" w:name="_Hlk112083561"/>
      <w:r>
        <w:rPr>
          <w:rFonts w:hint="eastAsia" w:ascii="宋体" w:hAnsi="宋体" w:eastAsia="宋体" w:cs="宋体"/>
          <w:color w:val="auto"/>
          <w:sz w:val="24"/>
          <w:highlight w:val="none"/>
          <w:lang w:val="en-US" w:eastAsia="zh-CN"/>
        </w:rPr>
        <w:t>合同履约期限：标项1，自合同签订之日起120日历天</w:t>
      </w:r>
    </w:p>
    <w:p w14:paraId="58AF80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ascii="宋体" w:hAnsi="宋体" w:cs="宋体"/>
          <w:color w:val="auto"/>
          <w:sz w:val="24"/>
          <w:szCs w:val="24"/>
          <w:highlight w:val="none"/>
          <w:lang w:val="en-US" w:eastAsia="zh-CN"/>
        </w:rPr>
        <w:t>否</w:t>
      </w:r>
      <w:r>
        <w:rPr>
          <w:rFonts w:hint="eastAsia" w:ascii="宋体" w:hAnsi="宋体" w:eastAsia="宋体" w:cs="宋体"/>
          <w:color w:val="auto"/>
          <w:sz w:val="24"/>
          <w:szCs w:val="24"/>
          <w:highlight w:val="none"/>
          <w:lang w:val="en-US" w:eastAsia="zh-CN"/>
        </w:rPr>
        <w:t>）接受联合体投标。</w:t>
      </w:r>
    </w:p>
    <w:bookmarkEnd w:id="10"/>
    <w:p w14:paraId="05D110F4">
      <w:pPr>
        <w:keepNext w:val="0"/>
        <w:keepLines w:val="0"/>
        <w:pageBreakBefore w:val="0"/>
        <w:tabs>
          <w:tab w:val="left" w:pos="6227"/>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二、申请人的资格要求：</w:t>
      </w:r>
      <w:bookmarkEnd w:id="6"/>
      <w:bookmarkEnd w:id="7"/>
      <w:bookmarkEnd w:id="8"/>
      <w:bookmarkEnd w:id="9"/>
      <w:r>
        <w:rPr>
          <w:rFonts w:hint="eastAsia" w:ascii="宋体" w:hAnsi="宋体" w:eastAsia="宋体" w:cs="宋体"/>
          <w:b/>
          <w:bCs/>
          <w:color w:val="auto"/>
          <w:sz w:val="24"/>
          <w:highlight w:val="none"/>
          <w:lang w:eastAsia="zh-CN"/>
        </w:rPr>
        <w:tab/>
      </w:r>
    </w:p>
    <w:p w14:paraId="380A0CF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highlight w:val="none"/>
          <w:u w:val="none"/>
          <w:lang w:eastAsia="zh-CN"/>
        </w:rPr>
      </w:pPr>
      <w:bookmarkStart w:id="11" w:name="_Toc28359081"/>
      <w:bookmarkStart w:id="12" w:name="_Toc28359004"/>
      <w:r>
        <w:rPr>
          <w:rFonts w:hint="eastAsia" w:ascii="宋体" w:hAnsi="宋体" w:eastAsia="宋体" w:cs="宋体"/>
          <w:i w:val="0"/>
          <w:iCs w:val="0"/>
          <w:color w:val="auto"/>
          <w:sz w:val="24"/>
          <w:highlight w:val="none"/>
          <w:u w:val="none"/>
          <w:lang w:eastAsia="zh-CN"/>
        </w:rPr>
        <w:t>1.满足《中华人民共和国政府采购法》第二十二条规定</w:t>
      </w:r>
      <w:r>
        <w:rPr>
          <w:rFonts w:hint="eastAsia" w:ascii="宋体" w:hAnsi="宋体" w:cs="宋体"/>
          <w:i w:val="0"/>
          <w:iCs w:val="0"/>
          <w:color w:val="auto"/>
          <w:sz w:val="24"/>
          <w:highlight w:val="none"/>
          <w:u w:val="none"/>
          <w:lang w:eastAsia="zh-CN"/>
        </w:rPr>
        <w:t>；</w:t>
      </w:r>
    </w:p>
    <w:p w14:paraId="049939E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highlight w:val="none"/>
          <w:u w:val="none"/>
          <w:lang w:eastAsia="zh-CN"/>
        </w:rPr>
      </w:pPr>
      <w:r>
        <w:rPr>
          <w:rFonts w:hint="eastAsia" w:ascii="宋体" w:hAnsi="宋体" w:eastAsia="宋体" w:cs="宋体"/>
          <w:i w:val="0"/>
          <w:iCs w:val="0"/>
          <w:color w:val="auto"/>
          <w:sz w:val="24"/>
          <w:highlight w:val="none"/>
          <w:u w:val="none"/>
          <w:lang w:eastAsia="zh-CN"/>
        </w:rPr>
        <w:t>2.落实政府采购政策需满足的资格要求：标项</w:t>
      </w:r>
      <w:r>
        <w:rPr>
          <w:rFonts w:hint="eastAsia" w:ascii="宋体" w:hAnsi="宋体" w:eastAsia="宋体" w:cs="宋体"/>
          <w:i w:val="0"/>
          <w:iCs w:val="0"/>
          <w:color w:val="auto"/>
          <w:sz w:val="24"/>
          <w:highlight w:val="none"/>
          <w:u w:val="none"/>
          <w:lang w:val="en-US" w:eastAsia="zh-CN"/>
        </w:rPr>
        <w:t>1：无</w:t>
      </w:r>
    </w:p>
    <w:p w14:paraId="019EAE4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highlight w:val="none"/>
          <w:u w:val="none"/>
          <w:lang w:eastAsia="zh-CN"/>
        </w:rPr>
      </w:pPr>
      <w:r>
        <w:rPr>
          <w:rFonts w:hint="eastAsia" w:ascii="宋体" w:hAnsi="宋体" w:eastAsia="宋体" w:cs="宋体"/>
          <w:i w:val="0"/>
          <w:iCs w:val="0"/>
          <w:color w:val="auto"/>
          <w:sz w:val="24"/>
          <w:highlight w:val="none"/>
          <w:u w:val="none"/>
          <w:lang w:eastAsia="zh-CN"/>
        </w:rPr>
        <w:t>3.本采购项目所需的特定资格要求：</w:t>
      </w:r>
      <w:r>
        <w:rPr>
          <w:rFonts w:hint="eastAsia" w:ascii="宋体" w:hAnsi="宋体" w:cs="宋体"/>
          <w:i w:val="0"/>
          <w:iCs w:val="0"/>
          <w:color w:val="auto"/>
          <w:sz w:val="24"/>
          <w:highlight w:val="none"/>
          <w:u w:val="none"/>
          <w:lang w:val="en-US" w:eastAsia="zh-CN"/>
        </w:rPr>
        <w:t>无</w:t>
      </w:r>
    </w:p>
    <w:p w14:paraId="734A0558">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bookmarkStart w:id="13" w:name="_Toc35393792"/>
      <w:bookmarkStart w:id="14" w:name="_Toc35393623"/>
      <w:r>
        <w:rPr>
          <w:rFonts w:hint="eastAsia" w:ascii="宋体" w:hAnsi="宋体" w:eastAsia="宋体" w:cs="宋体"/>
          <w:b/>
          <w:bCs/>
          <w:color w:val="auto"/>
          <w:sz w:val="24"/>
          <w:highlight w:val="none"/>
        </w:rPr>
        <w:t>三、获取</w:t>
      </w:r>
      <w:r>
        <w:rPr>
          <w:rFonts w:hint="eastAsia" w:ascii="宋体" w:hAnsi="宋体" w:eastAsia="宋体" w:cs="宋体"/>
          <w:b/>
          <w:bCs/>
          <w:color w:val="auto"/>
          <w:sz w:val="24"/>
          <w:highlight w:val="none"/>
          <w:lang w:val="en-US" w:eastAsia="zh-CN"/>
        </w:rPr>
        <w:t>采购</w:t>
      </w:r>
      <w:r>
        <w:rPr>
          <w:rFonts w:hint="eastAsia" w:ascii="宋体" w:hAnsi="宋体" w:eastAsia="宋体" w:cs="宋体"/>
          <w:b/>
          <w:bCs/>
          <w:color w:val="auto"/>
          <w:sz w:val="24"/>
          <w:highlight w:val="none"/>
        </w:rPr>
        <w:t>文件</w:t>
      </w:r>
      <w:bookmarkEnd w:id="11"/>
      <w:bookmarkEnd w:id="12"/>
      <w:bookmarkEnd w:id="13"/>
      <w:bookmarkEnd w:id="14"/>
    </w:p>
    <w:p w14:paraId="2684FF7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highlight w:val="none"/>
          <w:u w:val="none"/>
          <w:lang w:eastAsia="zh-CN"/>
        </w:rPr>
      </w:pPr>
      <w:bookmarkStart w:id="15" w:name="_Toc28359005"/>
      <w:bookmarkStart w:id="16" w:name="_Toc35393793"/>
      <w:bookmarkStart w:id="17" w:name="_Toc28359082"/>
      <w:bookmarkStart w:id="18" w:name="_Toc35393624"/>
      <w:r>
        <w:rPr>
          <w:rFonts w:hint="eastAsia" w:ascii="宋体" w:hAnsi="宋体" w:eastAsia="宋体" w:cs="宋体"/>
          <w:i w:val="0"/>
          <w:iCs w:val="0"/>
          <w:color w:val="auto"/>
          <w:sz w:val="24"/>
          <w:highlight w:val="none"/>
          <w:u w:val="none"/>
          <w:lang w:eastAsia="zh-CN"/>
        </w:rPr>
        <w:t>时间：</w:t>
      </w:r>
      <w:r>
        <w:rPr>
          <w:rFonts w:hint="eastAsia" w:ascii="宋体" w:hAnsi="宋体" w:cs="宋体"/>
          <w:i w:val="0"/>
          <w:iCs w:val="0"/>
          <w:color w:val="auto"/>
          <w:sz w:val="24"/>
          <w:highlight w:val="none"/>
          <w:u w:val="none"/>
          <w:lang w:eastAsia="zh-CN"/>
        </w:rPr>
        <w:t>2026年</w:t>
      </w:r>
      <w:r>
        <w:rPr>
          <w:rFonts w:hint="eastAsia" w:ascii="宋体" w:hAnsi="宋体" w:cs="宋体"/>
          <w:i w:val="0"/>
          <w:iCs w:val="0"/>
          <w:color w:val="auto"/>
          <w:sz w:val="24"/>
          <w:highlight w:val="none"/>
          <w:u w:val="none"/>
          <w:lang w:val="en-US" w:eastAsia="zh-CN"/>
        </w:rPr>
        <w:t>05</w:t>
      </w:r>
      <w:r>
        <w:rPr>
          <w:rFonts w:hint="eastAsia" w:ascii="宋体" w:hAnsi="宋体" w:eastAsia="宋体" w:cs="宋体"/>
          <w:i w:val="0"/>
          <w:iCs w:val="0"/>
          <w:color w:val="auto"/>
          <w:sz w:val="24"/>
          <w:highlight w:val="none"/>
          <w:u w:val="none"/>
          <w:lang w:eastAsia="zh-CN"/>
        </w:rPr>
        <w:t>月</w:t>
      </w:r>
      <w:r>
        <w:rPr>
          <w:rFonts w:hint="eastAsia" w:ascii="宋体" w:hAnsi="宋体" w:cs="宋体"/>
          <w:i w:val="0"/>
          <w:iCs w:val="0"/>
          <w:color w:val="auto"/>
          <w:sz w:val="24"/>
          <w:highlight w:val="none"/>
          <w:u w:val="none"/>
          <w:lang w:val="en-US" w:eastAsia="zh-CN"/>
        </w:rPr>
        <w:t>25</w:t>
      </w:r>
      <w:r>
        <w:rPr>
          <w:rFonts w:hint="eastAsia" w:ascii="宋体" w:hAnsi="宋体" w:eastAsia="宋体" w:cs="宋体"/>
          <w:i w:val="0"/>
          <w:iCs w:val="0"/>
          <w:color w:val="auto"/>
          <w:sz w:val="24"/>
          <w:highlight w:val="none"/>
          <w:u w:val="none"/>
          <w:lang w:eastAsia="zh-CN"/>
        </w:rPr>
        <w:t>日至</w:t>
      </w:r>
      <w:r>
        <w:rPr>
          <w:rFonts w:hint="eastAsia" w:ascii="宋体" w:hAnsi="宋体" w:cs="宋体"/>
          <w:i w:val="0"/>
          <w:iCs w:val="0"/>
          <w:color w:val="auto"/>
          <w:sz w:val="24"/>
          <w:highlight w:val="none"/>
          <w:u w:val="none"/>
          <w:lang w:eastAsia="zh-CN"/>
        </w:rPr>
        <w:t>2026年</w:t>
      </w:r>
      <w:r>
        <w:rPr>
          <w:rFonts w:hint="eastAsia" w:ascii="宋体" w:hAnsi="宋体" w:cs="宋体"/>
          <w:i w:val="0"/>
          <w:iCs w:val="0"/>
          <w:color w:val="auto"/>
          <w:sz w:val="24"/>
          <w:highlight w:val="none"/>
          <w:u w:val="none"/>
          <w:lang w:val="en-US" w:eastAsia="zh-CN"/>
        </w:rPr>
        <w:t>06</w:t>
      </w:r>
      <w:r>
        <w:rPr>
          <w:rFonts w:hint="eastAsia" w:ascii="宋体" w:hAnsi="宋体" w:eastAsia="宋体" w:cs="宋体"/>
          <w:i w:val="0"/>
          <w:iCs w:val="0"/>
          <w:color w:val="auto"/>
          <w:sz w:val="24"/>
          <w:highlight w:val="none"/>
          <w:u w:val="none"/>
          <w:lang w:eastAsia="zh-CN"/>
        </w:rPr>
        <w:t>月</w:t>
      </w:r>
      <w:r>
        <w:rPr>
          <w:rFonts w:hint="eastAsia" w:ascii="宋体" w:hAnsi="宋体" w:cs="宋体"/>
          <w:i w:val="0"/>
          <w:iCs w:val="0"/>
          <w:color w:val="auto"/>
          <w:sz w:val="24"/>
          <w:highlight w:val="none"/>
          <w:u w:val="none"/>
          <w:lang w:val="en-US" w:eastAsia="zh-CN"/>
        </w:rPr>
        <w:t>01</w:t>
      </w:r>
      <w:r>
        <w:rPr>
          <w:rFonts w:hint="eastAsia" w:ascii="宋体" w:hAnsi="宋体" w:eastAsia="宋体" w:cs="宋体"/>
          <w:i w:val="0"/>
          <w:iCs w:val="0"/>
          <w:color w:val="auto"/>
          <w:sz w:val="24"/>
          <w:highlight w:val="none"/>
          <w:u w:val="none"/>
          <w:lang w:eastAsia="zh-CN"/>
        </w:rPr>
        <w:t>日，每天上午00:00至12:00，下午12:00至23:59（北京时间，法定节假日除外）</w:t>
      </w:r>
    </w:p>
    <w:p w14:paraId="585F121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highlight w:val="none"/>
          <w:u w:val="none"/>
          <w:lang w:eastAsia="zh-CN"/>
        </w:rPr>
      </w:pPr>
      <w:r>
        <w:rPr>
          <w:rFonts w:hint="eastAsia" w:ascii="宋体" w:hAnsi="宋体" w:eastAsia="宋体" w:cs="宋体"/>
          <w:i w:val="0"/>
          <w:iCs w:val="0"/>
          <w:color w:val="auto"/>
          <w:sz w:val="24"/>
          <w:highlight w:val="none"/>
          <w:u w:val="none"/>
          <w:lang w:eastAsia="zh-CN"/>
        </w:rPr>
        <w:t>地点：政采云平台线上获取</w:t>
      </w:r>
    </w:p>
    <w:p w14:paraId="3725928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highlight w:val="none"/>
          <w:u w:val="none"/>
          <w:lang w:eastAsia="zh-CN"/>
        </w:rPr>
      </w:pPr>
      <w:r>
        <w:rPr>
          <w:rFonts w:hint="eastAsia" w:ascii="宋体" w:hAnsi="宋体" w:eastAsia="宋体" w:cs="宋体"/>
          <w:i w:val="0"/>
          <w:iCs w:val="0"/>
          <w:color w:val="auto"/>
          <w:sz w:val="24"/>
          <w:highlight w:val="none"/>
          <w:u w:val="none"/>
          <w:lang w:eastAsia="zh-CN"/>
        </w:rPr>
        <w:t>方式：在线获取</w:t>
      </w:r>
    </w:p>
    <w:p w14:paraId="2CE88AA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highlight w:val="none"/>
          <w:u w:val="none"/>
          <w:lang w:eastAsia="zh-CN"/>
        </w:rPr>
      </w:pPr>
      <w:r>
        <w:rPr>
          <w:rFonts w:hint="eastAsia" w:ascii="宋体" w:hAnsi="宋体" w:eastAsia="宋体" w:cs="宋体"/>
          <w:i w:val="0"/>
          <w:iCs w:val="0"/>
          <w:color w:val="auto"/>
          <w:sz w:val="24"/>
          <w:highlight w:val="none"/>
          <w:u w:val="none"/>
          <w:lang w:eastAsia="zh-CN"/>
        </w:rPr>
        <w:t>售价（元）：0</w:t>
      </w:r>
    </w:p>
    <w:bookmarkEnd w:id="15"/>
    <w:bookmarkEnd w:id="16"/>
    <w:bookmarkEnd w:id="17"/>
    <w:bookmarkEnd w:id="18"/>
    <w:p w14:paraId="64D642B9">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bookmarkStart w:id="19" w:name="_Toc35393625"/>
      <w:bookmarkStart w:id="20" w:name="_Toc28359084"/>
      <w:bookmarkStart w:id="21" w:name="_Toc28359007"/>
      <w:bookmarkStart w:id="22" w:name="_Toc35393794"/>
      <w:r>
        <w:rPr>
          <w:rFonts w:hint="eastAsia" w:ascii="宋体" w:hAnsi="宋体" w:eastAsia="宋体" w:cs="宋体"/>
          <w:b/>
          <w:bCs/>
          <w:color w:val="auto"/>
          <w:sz w:val="24"/>
          <w:highlight w:val="none"/>
        </w:rPr>
        <w:t>四、提交投标文件截止时间、开标时间和地点</w:t>
      </w:r>
    </w:p>
    <w:p w14:paraId="013B2F7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提交投标文件截止时间：</w:t>
      </w:r>
      <w:r>
        <w:rPr>
          <w:rFonts w:hint="eastAsia" w:ascii="宋体" w:hAnsi="宋体" w:cs="宋体"/>
          <w:color w:val="auto"/>
          <w:kern w:val="0"/>
          <w:sz w:val="24"/>
          <w:highlight w:val="none"/>
          <w:lang w:eastAsia="zh-CN"/>
        </w:rPr>
        <w:t>2026年</w:t>
      </w:r>
      <w:r>
        <w:rPr>
          <w:rFonts w:hint="eastAsia" w:ascii="宋体" w:hAnsi="宋体" w:cs="宋体"/>
          <w:color w:val="auto"/>
          <w:kern w:val="0"/>
          <w:sz w:val="24"/>
          <w:highlight w:val="none"/>
          <w:lang w:val="en-US" w:eastAsia="zh-CN"/>
        </w:rPr>
        <w:t>06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15</w:t>
      </w:r>
      <w:r>
        <w:rPr>
          <w:rFonts w:hint="eastAsia" w:ascii="宋体" w:hAnsi="宋体" w:eastAsia="宋体" w:cs="宋体"/>
          <w:color w:val="auto"/>
          <w:kern w:val="0"/>
          <w:sz w:val="24"/>
          <w:highlight w:val="none"/>
        </w:rPr>
        <w:t>日09:30（北京时间）</w:t>
      </w:r>
    </w:p>
    <w:p w14:paraId="2AC5755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投标地点（网址）：请登录政采云投标客户端投标</w:t>
      </w:r>
    </w:p>
    <w:p w14:paraId="0294552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开标时间：</w:t>
      </w:r>
      <w:r>
        <w:rPr>
          <w:rFonts w:hint="eastAsia" w:ascii="宋体" w:hAnsi="宋体" w:cs="宋体"/>
          <w:color w:val="auto"/>
          <w:kern w:val="0"/>
          <w:sz w:val="24"/>
          <w:highlight w:val="none"/>
          <w:lang w:eastAsia="zh-CN"/>
        </w:rPr>
        <w:t>2026年</w:t>
      </w:r>
      <w:r>
        <w:rPr>
          <w:rFonts w:hint="eastAsia" w:ascii="宋体" w:hAnsi="宋体" w:cs="宋体"/>
          <w:color w:val="auto"/>
          <w:kern w:val="0"/>
          <w:sz w:val="24"/>
          <w:highlight w:val="none"/>
          <w:lang w:val="en-US" w:eastAsia="zh-CN"/>
        </w:rPr>
        <w:t>06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15</w:t>
      </w:r>
      <w:r>
        <w:rPr>
          <w:rFonts w:hint="eastAsia" w:ascii="宋体" w:hAnsi="宋体" w:eastAsia="宋体" w:cs="宋体"/>
          <w:color w:val="auto"/>
          <w:kern w:val="0"/>
          <w:sz w:val="24"/>
          <w:highlight w:val="none"/>
        </w:rPr>
        <w:t>日09:30</w:t>
      </w:r>
    </w:p>
    <w:p w14:paraId="2209D0B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开标地点：山西省太原市小店区太原市政历史展陈馆会议室（太原市小店区滨河东路入口与汾东大街辅路交叉口西20米）市政会议室</w:t>
      </w:r>
    </w:p>
    <w:p w14:paraId="51FBB63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五、公告期限</w:t>
      </w:r>
      <w:bookmarkEnd w:id="19"/>
      <w:bookmarkEnd w:id="20"/>
      <w:bookmarkEnd w:id="21"/>
      <w:bookmarkEnd w:id="22"/>
    </w:p>
    <w:p w14:paraId="5341FC0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117FE253">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bookmarkStart w:id="23" w:name="_Toc35393626"/>
      <w:bookmarkStart w:id="24" w:name="_Toc35393795"/>
      <w:r>
        <w:rPr>
          <w:rFonts w:hint="eastAsia" w:ascii="宋体" w:hAnsi="宋体" w:cs="宋体"/>
          <w:b/>
          <w:bCs/>
          <w:color w:val="auto"/>
          <w:sz w:val="24"/>
          <w:highlight w:val="none"/>
          <w:lang w:val="en-US" w:eastAsia="zh-CN"/>
        </w:rPr>
        <w:t>六</w:t>
      </w:r>
      <w:r>
        <w:rPr>
          <w:rFonts w:hint="eastAsia" w:ascii="宋体" w:hAnsi="宋体" w:eastAsia="宋体" w:cs="宋体"/>
          <w:b/>
          <w:bCs/>
          <w:color w:val="auto"/>
          <w:sz w:val="24"/>
          <w:highlight w:val="none"/>
        </w:rPr>
        <w:t>、其他补充事宜</w:t>
      </w:r>
      <w:bookmarkEnd w:id="23"/>
      <w:bookmarkEnd w:id="24"/>
    </w:p>
    <w:p w14:paraId="0775ED38">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25" w:name="_Toc28359085"/>
      <w:bookmarkStart w:id="26" w:name="_Toc35393627"/>
      <w:bookmarkStart w:id="27" w:name="_Toc35393796"/>
      <w:bookmarkStart w:id="28" w:name="_Toc28359008"/>
      <w:r>
        <w:rPr>
          <w:rFonts w:hint="eastAsia" w:ascii="宋体" w:hAnsi="宋体" w:eastAsia="宋体" w:cs="宋体"/>
          <w:color w:val="auto"/>
          <w:kern w:val="0"/>
          <w:sz w:val="24"/>
          <w:szCs w:val="24"/>
          <w:highlight w:val="none"/>
          <w:lang w:val="en-US" w:eastAsia="zh-CN" w:bidi="ar-SA"/>
        </w:rPr>
        <w:t>针对本项目的质疑需一次性提出，多次提出将不予受理。供应商参与山西省政府采购项目时，符合法定质疑条件的，通过政府采购平台进入“项目质疑管理”栏目向采购人、采购代理机构在线提起质疑。</w:t>
      </w:r>
    </w:p>
    <w:p w14:paraId="4782F7D6">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代理费支付方式：供应商支付</w:t>
      </w:r>
    </w:p>
    <w:p w14:paraId="42300098">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代理费收费标准：采购代理服务费参照原国家发展计划委员会发布的计价格【2002】1980号《招标代理服务收费管理暂行办法》文件、及发改办价格[2003]857号文件和发改价格[2011]534号文件规定的收费标准价格的100%（含增值税）向中标供应商计取代理服务费，取费基数为中标金额。</w:t>
      </w:r>
    </w:p>
    <w:p w14:paraId="4941CFE6">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代理费收费金额（元）：/</w:t>
      </w:r>
      <w:r>
        <w:rPr>
          <w:rFonts w:hint="eastAsia" w:ascii="宋体" w:hAnsi="宋体" w:cs="宋体"/>
          <w:color w:val="auto"/>
          <w:kern w:val="0"/>
          <w:sz w:val="24"/>
          <w:szCs w:val="24"/>
          <w:highlight w:val="none"/>
          <w:lang w:val="en-US" w:eastAsia="zh-CN" w:bidi="ar-SA"/>
        </w:rPr>
        <w:tab/>
      </w:r>
    </w:p>
    <w:p w14:paraId="17C7A39A">
      <w:pPr>
        <w:pStyle w:val="58"/>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、对本次</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提出询问，请按以下方式联系。</w:t>
      </w:r>
      <w:bookmarkEnd w:id="25"/>
      <w:bookmarkEnd w:id="26"/>
      <w:bookmarkEnd w:id="27"/>
      <w:bookmarkEnd w:id="28"/>
    </w:p>
    <w:p w14:paraId="4D0D7618">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29" w:name="_Toc3994"/>
      <w:r>
        <w:rPr>
          <w:rFonts w:hint="eastAsia" w:ascii="宋体" w:hAnsi="宋体" w:eastAsia="宋体" w:cs="宋体"/>
          <w:color w:val="auto"/>
          <w:kern w:val="0"/>
          <w:sz w:val="24"/>
          <w:szCs w:val="24"/>
          <w:highlight w:val="none"/>
          <w:lang w:val="en-US" w:eastAsia="zh-CN" w:bidi="ar-SA"/>
        </w:rPr>
        <w:t>1.采购人信息</w:t>
      </w:r>
      <w:bookmarkEnd w:id="29"/>
    </w:p>
    <w:p w14:paraId="37CDD8DA">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30" w:name="_Toc31910"/>
      <w:r>
        <w:rPr>
          <w:rFonts w:hint="eastAsia" w:ascii="宋体" w:hAnsi="宋体" w:eastAsia="宋体" w:cs="宋体"/>
          <w:color w:val="auto"/>
          <w:kern w:val="0"/>
          <w:sz w:val="24"/>
          <w:szCs w:val="24"/>
          <w:highlight w:val="none"/>
          <w:lang w:val="en-US" w:eastAsia="zh-CN" w:bidi="ar-SA"/>
        </w:rPr>
        <w:t>名称：</w:t>
      </w:r>
      <w:bookmarkEnd w:id="30"/>
      <w:r>
        <w:rPr>
          <w:rFonts w:hint="eastAsia" w:ascii="宋体" w:hAnsi="宋体" w:eastAsia="宋体" w:cs="宋体"/>
          <w:color w:val="auto"/>
          <w:kern w:val="0"/>
          <w:sz w:val="24"/>
          <w:szCs w:val="24"/>
          <w:highlight w:val="none"/>
          <w:lang w:val="en-US" w:eastAsia="zh-CN" w:bidi="ar-SA"/>
        </w:rPr>
        <w:t>太原市市政公共设施建设管理中心</w:t>
      </w:r>
    </w:p>
    <w:p w14:paraId="16908885">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31" w:name="_Toc201"/>
      <w:r>
        <w:rPr>
          <w:rFonts w:hint="eastAsia" w:ascii="宋体" w:hAnsi="宋体" w:eastAsia="宋体" w:cs="宋体"/>
          <w:color w:val="auto"/>
          <w:kern w:val="0"/>
          <w:sz w:val="24"/>
          <w:szCs w:val="24"/>
          <w:highlight w:val="none"/>
          <w:lang w:val="en-US" w:eastAsia="zh-CN" w:bidi="ar-SA"/>
        </w:rPr>
        <w:t>地址：</w:t>
      </w:r>
      <w:bookmarkEnd w:id="31"/>
      <w:r>
        <w:rPr>
          <w:rFonts w:hint="eastAsia" w:ascii="宋体" w:hAnsi="宋体" w:eastAsia="宋体" w:cs="宋体"/>
          <w:color w:val="auto"/>
          <w:kern w:val="0"/>
          <w:sz w:val="24"/>
          <w:szCs w:val="24"/>
          <w:highlight w:val="none"/>
          <w:lang w:val="en-US" w:eastAsia="zh-CN" w:bidi="ar-SA"/>
        </w:rPr>
        <w:t>太原市迎泽区新建路38号</w:t>
      </w:r>
    </w:p>
    <w:p w14:paraId="2C62D88A">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bookmarkStart w:id="32" w:name="_Toc21626"/>
      <w:r>
        <w:rPr>
          <w:rFonts w:hint="eastAsia" w:ascii="宋体" w:hAnsi="宋体" w:eastAsia="宋体" w:cs="宋体"/>
          <w:color w:val="auto"/>
          <w:kern w:val="0"/>
          <w:sz w:val="24"/>
          <w:szCs w:val="24"/>
          <w:highlight w:val="none"/>
          <w:lang w:val="en-US" w:eastAsia="zh-CN" w:bidi="ar-SA"/>
        </w:rPr>
        <w:t>联系方式：</w:t>
      </w:r>
      <w:bookmarkEnd w:id="32"/>
      <w:bookmarkStart w:id="33" w:name="_Toc28359009"/>
      <w:bookmarkStart w:id="34" w:name="_Toc28359086"/>
      <w:r>
        <w:rPr>
          <w:rFonts w:hint="eastAsia" w:ascii="宋体" w:hAnsi="宋体" w:eastAsia="宋体" w:cs="宋体"/>
          <w:color w:val="auto"/>
          <w:kern w:val="0"/>
          <w:sz w:val="24"/>
          <w:szCs w:val="24"/>
          <w:highlight w:val="none"/>
          <w:lang w:val="en-US" w:eastAsia="zh-CN" w:bidi="ar-SA"/>
        </w:rPr>
        <w:t>0351-4032</w:t>
      </w:r>
      <w:r>
        <w:rPr>
          <w:rFonts w:hint="eastAsia" w:ascii="宋体" w:hAnsi="宋体" w:cs="宋体"/>
          <w:color w:val="auto"/>
          <w:kern w:val="0"/>
          <w:sz w:val="24"/>
          <w:szCs w:val="24"/>
          <w:highlight w:val="none"/>
          <w:lang w:val="en-US" w:eastAsia="zh-CN" w:bidi="ar-SA"/>
        </w:rPr>
        <w:t>945</w:t>
      </w:r>
    </w:p>
    <w:p w14:paraId="69AFA49E">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35" w:name="_Toc13133"/>
      <w:r>
        <w:rPr>
          <w:rFonts w:hint="eastAsia" w:ascii="宋体" w:hAnsi="宋体" w:eastAsia="宋体" w:cs="宋体"/>
          <w:color w:val="auto"/>
          <w:kern w:val="0"/>
          <w:sz w:val="24"/>
          <w:szCs w:val="24"/>
          <w:highlight w:val="none"/>
          <w:lang w:val="en-US" w:eastAsia="zh-CN" w:bidi="ar-SA"/>
        </w:rPr>
        <w:t>2.采购代理机构信息</w:t>
      </w:r>
      <w:bookmarkEnd w:id="33"/>
      <w:bookmarkEnd w:id="34"/>
      <w:bookmarkEnd w:id="35"/>
    </w:p>
    <w:p w14:paraId="1DD8ECCB">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36" w:name="_Toc23185"/>
      <w:r>
        <w:rPr>
          <w:rFonts w:hint="eastAsia" w:ascii="宋体" w:hAnsi="宋体" w:eastAsia="宋体" w:cs="宋体"/>
          <w:color w:val="auto"/>
          <w:kern w:val="0"/>
          <w:sz w:val="24"/>
          <w:szCs w:val="24"/>
          <w:highlight w:val="none"/>
          <w:lang w:val="en-US" w:eastAsia="zh-CN" w:bidi="ar-SA"/>
        </w:rPr>
        <w:t>名称：</w:t>
      </w:r>
      <w:bookmarkEnd w:id="36"/>
      <w:r>
        <w:rPr>
          <w:rFonts w:hint="eastAsia" w:ascii="宋体" w:hAnsi="宋体" w:cs="宋体"/>
          <w:color w:val="auto"/>
          <w:kern w:val="0"/>
          <w:sz w:val="24"/>
          <w:szCs w:val="24"/>
          <w:highlight w:val="none"/>
          <w:lang w:val="en-US" w:eastAsia="zh-CN" w:bidi="ar-SA"/>
        </w:rPr>
        <w:t>山西麟辉项目管理有限公司</w:t>
      </w:r>
    </w:p>
    <w:p w14:paraId="599B4E7D">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w:t>
      </w:r>
      <w:r>
        <w:rPr>
          <w:rFonts w:hint="eastAsia" w:ascii="宋体" w:hAnsi="宋体" w:cs="宋体"/>
          <w:color w:val="auto"/>
          <w:kern w:val="0"/>
          <w:sz w:val="24"/>
          <w:szCs w:val="24"/>
          <w:highlight w:val="none"/>
          <w:lang w:val="en-US" w:eastAsia="zh-CN" w:bidi="ar-SA"/>
        </w:rPr>
        <w:t>山西省太原市小店区黄陵路77号天悦国际大厦1001室</w:t>
      </w:r>
    </w:p>
    <w:p w14:paraId="2794A5BF">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w:t>
      </w:r>
      <w:r>
        <w:rPr>
          <w:rFonts w:hint="eastAsia" w:ascii="宋体" w:hAnsi="宋体" w:cs="宋体"/>
          <w:color w:val="auto"/>
          <w:kern w:val="0"/>
          <w:sz w:val="24"/>
          <w:szCs w:val="24"/>
          <w:highlight w:val="none"/>
          <w:lang w:val="en-US" w:eastAsia="zh-CN" w:bidi="ar-SA"/>
        </w:rPr>
        <w:t>13403453655</w:t>
      </w:r>
    </w:p>
    <w:p w14:paraId="324C2A1C">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37" w:name="_Toc28359087"/>
      <w:bookmarkStart w:id="38" w:name="_Toc28359010"/>
      <w:r>
        <w:rPr>
          <w:rFonts w:hint="eastAsia" w:ascii="宋体" w:hAnsi="宋体" w:eastAsia="宋体" w:cs="宋体"/>
          <w:color w:val="auto"/>
          <w:kern w:val="0"/>
          <w:sz w:val="24"/>
          <w:szCs w:val="24"/>
          <w:highlight w:val="none"/>
          <w:lang w:val="en-US" w:eastAsia="zh-CN" w:bidi="ar-SA"/>
        </w:rPr>
        <w:t>3.项目联系方式</w:t>
      </w:r>
      <w:bookmarkEnd w:id="37"/>
      <w:bookmarkEnd w:id="38"/>
    </w:p>
    <w:p w14:paraId="5EBBA2BF">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bookmarkStart w:id="39" w:name="_Toc25911"/>
      <w:r>
        <w:rPr>
          <w:rFonts w:hint="eastAsia" w:ascii="宋体" w:hAnsi="宋体" w:eastAsia="宋体" w:cs="宋体"/>
          <w:color w:val="auto"/>
          <w:kern w:val="0"/>
          <w:sz w:val="24"/>
          <w:szCs w:val="24"/>
          <w:highlight w:val="none"/>
          <w:lang w:val="en-US" w:eastAsia="zh-CN" w:bidi="ar-SA"/>
        </w:rPr>
        <w:t>项目联系人：</w:t>
      </w:r>
      <w:bookmarkEnd w:id="39"/>
      <w:r>
        <w:rPr>
          <w:rFonts w:hint="eastAsia" w:ascii="宋体" w:hAnsi="宋体" w:cs="宋体"/>
          <w:color w:val="auto"/>
          <w:kern w:val="0"/>
          <w:sz w:val="24"/>
          <w:szCs w:val="24"/>
          <w:highlight w:val="none"/>
          <w:lang w:val="en-US" w:eastAsia="zh-CN" w:bidi="ar-SA"/>
        </w:rPr>
        <w:t>张冬恺</w:t>
      </w:r>
    </w:p>
    <w:p w14:paraId="2CE67B99">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w:t>
      </w:r>
      <w:r>
        <w:rPr>
          <w:rFonts w:hint="eastAsia" w:ascii="宋体" w:hAnsi="宋体" w:cs="宋体"/>
          <w:color w:val="auto"/>
          <w:kern w:val="0"/>
          <w:sz w:val="24"/>
          <w:szCs w:val="24"/>
          <w:highlight w:val="none"/>
          <w:lang w:val="en-US" w:eastAsia="zh-CN" w:bidi="ar-SA"/>
        </w:rPr>
        <w:t>13403453655</w:t>
      </w:r>
    </w:p>
    <w:p w14:paraId="308BBF67">
      <w:pPr>
        <w:pStyle w:val="58"/>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p>
    <w:p w14:paraId="0F7C757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p>
    <w:p w14:paraId="0F7178E0">
      <w:pPr>
        <w:keepNext w:val="0"/>
        <w:keepLines w:val="0"/>
        <w:pageBreakBefore w:val="0"/>
        <w:widowControl/>
        <w:kinsoku/>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6"/>
          <w:szCs w:val="36"/>
          <w:highlight w:val="none"/>
        </w:rPr>
        <w:sectPr>
          <w:footerReference r:id="rId8" w:type="first"/>
          <w:footerReference r:id="rId7" w:type="default"/>
          <w:pgSz w:w="11906" w:h="16838"/>
          <w:pgMar w:top="1417" w:right="1247" w:bottom="1417" w:left="1247" w:header="851" w:footer="992" w:gutter="0"/>
          <w:pgBorders>
            <w:top w:val="none" w:sz="0" w:space="0"/>
            <w:left w:val="none" w:sz="0" w:space="0"/>
            <w:bottom w:val="none" w:sz="0" w:space="0"/>
            <w:right w:val="none" w:sz="0" w:space="0"/>
          </w:pgBorders>
          <w:pgNumType w:fmt="decimal" w:start="1"/>
          <w:cols w:space="0" w:num="1"/>
          <w:titlePg/>
          <w:rtlGutter w:val="0"/>
          <w:docGrid w:linePitch="312" w:charSpace="0"/>
        </w:sectPr>
      </w:pPr>
    </w:p>
    <w:p w14:paraId="04C29FA8">
      <w:pPr>
        <w:widowControl/>
        <w:snapToGrid w:val="0"/>
        <w:spacing w:line="360" w:lineRule="auto"/>
        <w:jc w:val="center"/>
        <w:outlineLvl w:val="0"/>
        <w:rPr>
          <w:rFonts w:hint="eastAsia" w:ascii="宋体" w:hAnsi="宋体" w:eastAsia="宋体" w:cs="宋体"/>
          <w:b/>
          <w:color w:val="auto"/>
          <w:kern w:val="0"/>
          <w:sz w:val="36"/>
          <w:szCs w:val="36"/>
          <w:highlight w:val="none"/>
        </w:rPr>
      </w:pPr>
      <w:bookmarkStart w:id="40" w:name="_Toc10289"/>
      <w:r>
        <w:rPr>
          <w:rFonts w:hint="eastAsia" w:ascii="宋体" w:hAnsi="宋体" w:eastAsia="宋体" w:cs="宋体"/>
          <w:b/>
          <w:color w:val="auto"/>
          <w:kern w:val="0"/>
          <w:sz w:val="36"/>
          <w:szCs w:val="36"/>
          <w:highlight w:val="none"/>
        </w:rPr>
        <w:t>第二部分  投标人须知前附表</w:t>
      </w:r>
      <w:bookmarkEnd w:id="40"/>
    </w:p>
    <w:tbl>
      <w:tblPr>
        <w:tblStyle w:val="33"/>
        <w:tblW w:w="52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986"/>
        <w:gridCol w:w="7353"/>
      </w:tblGrid>
      <w:tr w14:paraId="3771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48" w:type="pct"/>
            <w:vAlign w:val="center"/>
          </w:tcPr>
          <w:p w14:paraId="13C6A007">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bCs/>
                <w:color w:val="auto"/>
                <w:sz w:val="24"/>
                <w:highlight w:val="none"/>
              </w:rPr>
            </w:pPr>
            <w:bookmarkStart w:id="41" w:name="_Toc175644016"/>
            <w:bookmarkStart w:id="42" w:name="_Toc86202581"/>
            <w:r>
              <w:rPr>
                <w:rFonts w:hint="eastAsia" w:ascii="宋体" w:hAnsi="宋体" w:eastAsia="宋体" w:cs="宋体"/>
                <w:b/>
                <w:bCs/>
                <w:color w:val="auto"/>
                <w:sz w:val="24"/>
                <w:highlight w:val="none"/>
              </w:rPr>
              <w:t>序号</w:t>
            </w:r>
          </w:p>
        </w:tc>
        <w:tc>
          <w:tcPr>
            <w:tcW w:w="989" w:type="pct"/>
            <w:vAlign w:val="center"/>
          </w:tcPr>
          <w:p w14:paraId="5F6AD4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c>
          <w:tcPr>
            <w:tcW w:w="3662" w:type="pct"/>
            <w:vAlign w:val="center"/>
          </w:tcPr>
          <w:p w14:paraId="16AD69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说明与要求</w:t>
            </w:r>
          </w:p>
        </w:tc>
      </w:tr>
      <w:tr w14:paraId="2D85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 w:type="pct"/>
            <w:vAlign w:val="center"/>
          </w:tcPr>
          <w:p w14:paraId="45C4155F">
            <w:pPr>
              <w:pageBreakBefore w:val="0"/>
              <w:kinsoku/>
              <w:overflowPunct/>
              <w:bidi w:val="0"/>
              <w:adjustRightInd/>
              <w:snapToGrid/>
              <w:spacing w:line="24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2"/>
                <w:sz w:val="24"/>
                <w:szCs w:val="24"/>
                <w:highlight w:val="none"/>
                <w:lang w:val="en-US" w:eastAsia="zh-CN" w:bidi="ar-SA"/>
              </w:rPr>
              <w:t>1</w:t>
            </w:r>
          </w:p>
        </w:tc>
        <w:tc>
          <w:tcPr>
            <w:tcW w:w="989" w:type="pct"/>
            <w:vAlign w:val="center"/>
          </w:tcPr>
          <w:p w14:paraId="33753474">
            <w:pPr>
              <w:pStyle w:val="54"/>
              <w:keepNext w:val="0"/>
              <w:keepLines w:val="0"/>
              <w:pageBreakBefore w:val="0"/>
              <w:kinsoku/>
              <w:wordWrap/>
              <w:overflowPunct/>
              <w:bidi w:val="0"/>
              <w:adjustRightInd/>
              <w:snapToGrid/>
              <w:spacing w:before="0" w:after="0"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本项目预算金额及最高限价</w:t>
            </w:r>
          </w:p>
        </w:tc>
        <w:tc>
          <w:tcPr>
            <w:tcW w:w="3662" w:type="pct"/>
            <w:vAlign w:val="center"/>
          </w:tcPr>
          <w:p w14:paraId="6546C4DD">
            <w:pPr>
              <w:pStyle w:val="54"/>
              <w:keepNext w:val="0"/>
              <w:keepLines w:val="0"/>
              <w:pageBreakBefore w:val="0"/>
              <w:widowControl w:val="0"/>
              <w:kinsoku/>
              <w:wordWrap/>
              <w:overflowPunct/>
              <w:topLinePunct w:val="0"/>
              <w:autoSpaceDE/>
              <w:autoSpaceDN/>
              <w:bidi w:val="0"/>
              <w:adjustRightInd/>
              <w:snapToGrid/>
              <w:spacing w:before="0" w:after="0" w:line="340" w:lineRule="exact"/>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预算金额：</w:t>
            </w:r>
            <w:r>
              <w:rPr>
                <w:rFonts w:hint="eastAsia" w:ascii="宋体" w:hAnsi="宋体" w:cs="宋体"/>
                <w:b w:val="0"/>
                <w:bCs w:val="0"/>
                <w:color w:val="auto"/>
                <w:sz w:val="24"/>
                <w:highlight w:val="none"/>
                <w:lang w:val="en-US" w:eastAsia="zh-CN"/>
              </w:rPr>
              <w:t>791501.88</w:t>
            </w:r>
            <w:r>
              <w:rPr>
                <w:rFonts w:hint="eastAsia" w:ascii="宋体" w:hAnsi="宋体" w:eastAsia="宋体" w:cs="宋体"/>
                <w:b w:val="0"/>
                <w:bCs w:val="0"/>
                <w:color w:val="auto"/>
                <w:sz w:val="24"/>
                <w:highlight w:val="none"/>
                <w:lang w:val="en-US" w:eastAsia="zh-CN"/>
              </w:rPr>
              <w:t>元</w:t>
            </w:r>
          </w:p>
          <w:p w14:paraId="7AF618E3">
            <w:pPr>
              <w:pStyle w:val="54"/>
              <w:keepNext w:val="0"/>
              <w:keepLines w:val="0"/>
              <w:pageBreakBefore w:val="0"/>
              <w:widowControl w:val="0"/>
              <w:kinsoku/>
              <w:wordWrap/>
              <w:overflowPunct/>
              <w:topLinePunct w:val="0"/>
              <w:autoSpaceDE/>
              <w:autoSpaceDN/>
              <w:bidi w:val="0"/>
              <w:adjustRightInd/>
              <w:snapToGrid/>
              <w:spacing w:before="0" w:after="0" w:line="340" w:lineRule="exact"/>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最高限价：</w:t>
            </w:r>
            <w:r>
              <w:rPr>
                <w:rFonts w:hint="eastAsia" w:ascii="宋体" w:hAnsi="宋体" w:cs="宋体"/>
                <w:b w:val="0"/>
                <w:bCs w:val="0"/>
                <w:color w:val="auto"/>
                <w:sz w:val="24"/>
                <w:highlight w:val="none"/>
                <w:lang w:val="en-US" w:eastAsia="zh-CN"/>
              </w:rPr>
              <w:t>791501.88</w:t>
            </w:r>
            <w:r>
              <w:rPr>
                <w:rFonts w:hint="eastAsia" w:ascii="宋体" w:hAnsi="宋体" w:eastAsia="宋体" w:cs="宋体"/>
                <w:b w:val="0"/>
                <w:bCs w:val="0"/>
                <w:color w:val="auto"/>
                <w:sz w:val="24"/>
                <w:highlight w:val="none"/>
                <w:lang w:val="en-US" w:eastAsia="zh-CN"/>
              </w:rPr>
              <w:t>元</w:t>
            </w:r>
          </w:p>
          <w:p w14:paraId="38EB6C3D">
            <w:pPr>
              <w:pStyle w:val="54"/>
              <w:keepNext w:val="0"/>
              <w:keepLines w:val="0"/>
              <w:pageBreakBefore w:val="0"/>
              <w:widowControl w:val="0"/>
              <w:kinsoku/>
              <w:wordWrap/>
              <w:overflowPunct/>
              <w:topLinePunct w:val="0"/>
              <w:autoSpaceDE/>
              <w:autoSpaceDN/>
              <w:bidi w:val="0"/>
              <w:adjustRightInd/>
              <w:snapToGrid/>
              <w:spacing w:before="0" w:after="0" w:line="340" w:lineRule="exact"/>
              <w:jc w:val="left"/>
              <w:textAlignment w:val="auto"/>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注：投标人的投标报价不得超过最高限价，否则投标无效。</w:t>
            </w:r>
          </w:p>
        </w:tc>
      </w:tr>
      <w:tr w14:paraId="3F0D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 w:type="pct"/>
            <w:vAlign w:val="center"/>
          </w:tcPr>
          <w:p w14:paraId="29A58569">
            <w:pPr>
              <w:pageBreakBefore w:val="0"/>
              <w:kinsoku/>
              <w:overflowPunct/>
              <w:bidi w:val="0"/>
              <w:adjustRightInd/>
              <w:snapToGrid/>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989" w:type="pct"/>
            <w:vAlign w:val="center"/>
          </w:tcPr>
          <w:p w14:paraId="7DF89FDA">
            <w:pPr>
              <w:keepNext w:val="0"/>
              <w:keepLines w:val="0"/>
              <w:pageBreakBefore w:val="0"/>
              <w:kinsoku/>
              <w:wordWrap/>
              <w:overflowPunct/>
              <w:topLinePunct/>
              <w:autoSpaceDE w:val="0"/>
              <w:autoSpaceDN w:val="0"/>
              <w:bidi w:val="0"/>
              <w:adjustRightInd/>
              <w:snapToGrid/>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highlight w:val="none"/>
              </w:rPr>
              <w:t>是否允许代理商投标</w:t>
            </w:r>
          </w:p>
        </w:tc>
        <w:tc>
          <w:tcPr>
            <w:tcW w:w="3662" w:type="pct"/>
            <w:vAlign w:val="center"/>
          </w:tcPr>
          <w:p w14:paraId="6270CF0F">
            <w:pPr>
              <w:pStyle w:val="54"/>
              <w:keepNext w:val="0"/>
              <w:keepLines w:val="0"/>
              <w:pageBreakBefore w:val="0"/>
              <w:widowControl w:val="0"/>
              <w:kinsoku/>
              <w:wordWrap/>
              <w:overflowPunct/>
              <w:topLinePunct w:val="0"/>
              <w:autoSpaceDE/>
              <w:autoSpaceDN/>
              <w:bidi w:val="0"/>
              <w:adjustRightInd/>
              <w:snapToGrid/>
              <w:spacing w:before="0" w:after="0" w:line="36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否</w:t>
            </w:r>
          </w:p>
        </w:tc>
      </w:tr>
      <w:tr w14:paraId="7014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 w:type="pct"/>
            <w:vAlign w:val="center"/>
          </w:tcPr>
          <w:p w14:paraId="313D0B75">
            <w:pPr>
              <w:pageBreakBefore w:val="0"/>
              <w:kinsoku/>
              <w:overflowPunct/>
              <w:bidi w:val="0"/>
              <w:adjustRightInd/>
              <w:snapToGrid/>
              <w:spacing w:line="240" w:lineRule="auto"/>
              <w:jc w:val="center"/>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3</w:t>
            </w:r>
          </w:p>
        </w:tc>
        <w:tc>
          <w:tcPr>
            <w:tcW w:w="989" w:type="pct"/>
            <w:vAlign w:val="center"/>
          </w:tcPr>
          <w:p w14:paraId="0FB4958C">
            <w:pPr>
              <w:keepNext w:val="0"/>
              <w:keepLines w:val="0"/>
              <w:pageBreakBefore w:val="0"/>
              <w:kinsoku/>
              <w:wordWrap/>
              <w:overflowPunct/>
              <w:topLinePunct/>
              <w:autoSpaceDE w:val="0"/>
              <w:autoSpaceDN w:val="0"/>
              <w:bidi w:val="0"/>
              <w:adjustRightInd/>
              <w:snapToGrid/>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是否允许联合体投标</w:t>
            </w:r>
          </w:p>
        </w:tc>
        <w:tc>
          <w:tcPr>
            <w:tcW w:w="3662" w:type="pct"/>
            <w:vAlign w:val="center"/>
          </w:tcPr>
          <w:p w14:paraId="4556EA31">
            <w:pPr>
              <w:pStyle w:val="20"/>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4"/>
                <w:szCs w:val="24"/>
                <w:highlight w:val="none"/>
                <w:lang w:eastAsia="zh-CN"/>
              </w:rPr>
            </w:pPr>
            <w:r>
              <w:rPr>
                <w:rFonts w:hint="eastAsia" w:hAnsi="宋体" w:cs="宋体"/>
                <w:bCs/>
                <w:color w:val="auto"/>
                <w:sz w:val="24"/>
                <w:highlight w:val="none"/>
                <w:lang w:val="en-US" w:eastAsia="zh-CN"/>
              </w:rPr>
              <w:t>否</w:t>
            </w:r>
          </w:p>
        </w:tc>
      </w:tr>
      <w:tr w14:paraId="3DC1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 w:type="pct"/>
            <w:vAlign w:val="center"/>
          </w:tcPr>
          <w:p w14:paraId="35C7AA5B">
            <w:pPr>
              <w:pageBreakBefore w:val="0"/>
              <w:kinsoku/>
              <w:overflowPunct/>
              <w:bidi w:val="0"/>
              <w:adjustRightInd/>
              <w:snapToGrid/>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4</w:t>
            </w:r>
          </w:p>
        </w:tc>
        <w:tc>
          <w:tcPr>
            <w:tcW w:w="989" w:type="pct"/>
            <w:vAlign w:val="center"/>
          </w:tcPr>
          <w:p w14:paraId="45B134E7">
            <w:pPr>
              <w:keepNext w:val="0"/>
              <w:keepLines w:val="0"/>
              <w:pageBreakBefore w:val="0"/>
              <w:kinsoku/>
              <w:wordWrap/>
              <w:overflowPunct/>
              <w:topLinePunct/>
              <w:autoSpaceDE w:val="0"/>
              <w:autoSpaceDN w:val="0"/>
              <w:bidi w:val="0"/>
              <w:adjustRightInd/>
              <w:snapToGrid/>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投标文件份数、加密要求及解密时长</w:t>
            </w:r>
          </w:p>
        </w:tc>
        <w:tc>
          <w:tcPr>
            <w:tcW w:w="3662" w:type="pct"/>
            <w:vAlign w:val="center"/>
          </w:tcPr>
          <w:p w14:paraId="49EEEF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1.投标文件份数：</w:t>
            </w:r>
          </w:p>
          <w:p w14:paraId="6FBE5E78">
            <w:pPr>
              <w:keepNext w:val="0"/>
              <w:keepLines w:val="0"/>
              <w:pageBreakBefore w:val="0"/>
              <w:widowControl/>
              <w:suppressLineNumbers w:val="0"/>
              <w:shd w:val="clea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投标人需在政采云系统上传加密电子投标文件壹份；</w:t>
            </w:r>
          </w:p>
          <w:p w14:paraId="085522B5">
            <w:pPr>
              <w:keepNext w:val="0"/>
              <w:keepLines w:val="0"/>
              <w:pageBreakBefore w:val="0"/>
              <w:widowControl/>
              <w:suppressLineNumbers w:val="0"/>
              <w:shd w:val="clea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2.上传截止时间：</w:t>
            </w:r>
            <w:r>
              <w:rPr>
                <w:rFonts w:hint="eastAsia" w:ascii="宋体" w:hAnsi="宋体" w:cs="宋体"/>
                <w:color w:val="auto"/>
                <w:kern w:val="0"/>
                <w:sz w:val="24"/>
                <w:szCs w:val="24"/>
                <w:highlight w:val="none"/>
                <w:lang w:val="en-US" w:eastAsia="zh-CN" w:bidi="ar"/>
              </w:rPr>
              <w:t>2026年06</w:t>
            </w:r>
            <w:r>
              <w:rPr>
                <w:rFonts w:hint="eastAsia" w:ascii="宋体" w:hAnsi="宋体" w:eastAsia="宋体" w:cs="宋体"/>
                <w:color w:val="auto"/>
                <w:kern w:val="0"/>
                <w:sz w:val="24"/>
                <w:szCs w:val="24"/>
                <w:highlight w:val="none"/>
                <w:lang w:val="en-US" w:eastAsia="zh-CN" w:bidi="ar"/>
              </w:rPr>
              <w:t>月</w:t>
            </w:r>
            <w:r>
              <w:rPr>
                <w:rFonts w:hint="eastAsia" w:ascii="宋体" w:hAnsi="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日9点</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0分止。</w:t>
            </w:r>
          </w:p>
          <w:p w14:paraId="37355F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3.解密时长：</w:t>
            </w:r>
            <w:r>
              <w:rPr>
                <w:rFonts w:hint="eastAsia" w:ascii="宋体" w:hAnsi="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val="en-US" w:eastAsia="zh-CN" w:bidi="ar"/>
              </w:rPr>
              <w:t>分钟。</w:t>
            </w:r>
          </w:p>
          <w:p w14:paraId="70E991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解密截止时间未进行解密的，视为未递交投标文件。</w:t>
            </w:r>
          </w:p>
          <w:p w14:paraId="393347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sz w:val="24"/>
                <w:highlight w:val="none"/>
              </w:rPr>
            </w:pPr>
            <w:r>
              <w:rPr>
                <w:rFonts w:hint="eastAsia" w:ascii="宋体" w:hAnsi="宋体" w:eastAsia="宋体" w:cs="宋体"/>
                <w:color w:val="auto"/>
                <w:kern w:val="0"/>
                <w:sz w:val="24"/>
                <w:szCs w:val="24"/>
                <w:highlight w:val="none"/>
                <w:lang w:val="en-US" w:eastAsia="zh-CN" w:bidi="ar"/>
              </w:rPr>
              <w:t>注：投标人需自备电脑进行解密（可远程解密）</w:t>
            </w:r>
          </w:p>
        </w:tc>
      </w:tr>
      <w:tr w14:paraId="37FF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 w:type="pct"/>
            <w:vAlign w:val="center"/>
          </w:tcPr>
          <w:p w14:paraId="7B61979A">
            <w:pPr>
              <w:pageBreakBefore w:val="0"/>
              <w:kinsoku/>
              <w:overflowPunct/>
              <w:bidi w:val="0"/>
              <w:adjustRightInd/>
              <w:snapToGrid/>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5</w:t>
            </w:r>
          </w:p>
        </w:tc>
        <w:tc>
          <w:tcPr>
            <w:tcW w:w="989" w:type="pct"/>
            <w:vAlign w:val="center"/>
          </w:tcPr>
          <w:p w14:paraId="67348C1B">
            <w:pPr>
              <w:keepNext w:val="0"/>
              <w:keepLines w:val="0"/>
              <w:pageBreakBefore w:val="0"/>
              <w:kinsoku/>
              <w:wordWrap/>
              <w:overflowPunct/>
              <w:bidi w:val="0"/>
              <w:adjustRightInd/>
              <w:snapToGrid/>
              <w:spacing w:line="240" w:lineRule="auto"/>
              <w:ind w:left="-101" w:leftChars="-48" w:right="-94" w:rightChars="-45" w:firstLine="132" w:firstLineChars="5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投标人应提交的资格证明文件</w:t>
            </w:r>
          </w:p>
        </w:tc>
        <w:tc>
          <w:tcPr>
            <w:tcW w:w="3662" w:type="pct"/>
            <w:vAlign w:val="center"/>
          </w:tcPr>
          <w:p w14:paraId="311CA975">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信用承诺书</w:t>
            </w:r>
            <w:r>
              <w:rPr>
                <w:rFonts w:hint="eastAsia" w:ascii="宋体" w:hAnsi="宋体" w:eastAsia="宋体" w:cs="宋体"/>
                <w:color w:val="auto"/>
                <w:kern w:val="2"/>
                <w:sz w:val="24"/>
                <w:szCs w:val="24"/>
                <w:highlight w:val="none"/>
                <w:lang w:val="en-US" w:eastAsia="zh-CN" w:bidi="ar-SA"/>
              </w:rPr>
              <w:t>（见‘投标文件格式’）；</w:t>
            </w:r>
          </w:p>
          <w:p w14:paraId="3B2886A2">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kern w:val="2"/>
                <w:sz w:val="24"/>
                <w:szCs w:val="24"/>
                <w:highlight w:val="none"/>
                <w:lang w:val="en-US" w:eastAsia="zh-CN" w:bidi="ar-SA"/>
              </w:rPr>
              <w:t>具有良好的商业信誉和健全的财务会计制度的</w:t>
            </w:r>
            <w:r>
              <w:rPr>
                <w:rFonts w:hint="eastAsia" w:ascii="宋体" w:hAnsi="宋体" w:cs="宋体"/>
                <w:color w:val="auto"/>
                <w:sz w:val="24"/>
                <w:szCs w:val="24"/>
                <w:highlight w:val="none"/>
                <w:lang w:val="en-US" w:eastAsia="zh-CN"/>
              </w:rPr>
              <w:t>信用承诺书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w:t>
            </w:r>
          </w:p>
          <w:p w14:paraId="487AF43F">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具有履行合同所必需的设备和专业技术能力的</w:t>
            </w:r>
            <w:r>
              <w:rPr>
                <w:rFonts w:hint="eastAsia" w:ascii="宋体" w:hAnsi="宋体" w:cs="宋体"/>
                <w:color w:val="auto"/>
                <w:sz w:val="24"/>
                <w:szCs w:val="24"/>
                <w:highlight w:val="none"/>
                <w:lang w:val="en-US" w:eastAsia="zh-CN"/>
              </w:rPr>
              <w:t>信用承诺书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格式’）；</w:t>
            </w:r>
          </w:p>
          <w:p w14:paraId="476650C5">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2"/>
                <w:sz w:val="24"/>
                <w:szCs w:val="24"/>
                <w:highlight w:val="none"/>
                <w:lang w:val="en-US" w:eastAsia="zh-CN" w:bidi="ar-SA"/>
              </w:rPr>
              <w:t>有依法缴纳税收和社会保障资金的良好记录的</w:t>
            </w:r>
            <w:r>
              <w:rPr>
                <w:rFonts w:hint="eastAsia" w:ascii="宋体" w:hAnsi="宋体" w:cs="宋体"/>
                <w:color w:val="auto"/>
                <w:sz w:val="24"/>
                <w:szCs w:val="24"/>
                <w:highlight w:val="none"/>
                <w:lang w:val="en-US" w:eastAsia="zh-CN"/>
              </w:rPr>
              <w:t>信用承诺书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eastAsia="zh-CN"/>
              </w:rPr>
              <w:t>；</w:t>
            </w:r>
          </w:p>
          <w:p w14:paraId="4CA0E02B">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kern w:val="2"/>
                <w:sz w:val="24"/>
                <w:szCs w:val="24"/>
                <w:highlight w:val="none"/>
                <w:lang w:val="en-US" w:eastAsia="zh-CN" w:bidi="ar-SA"/>
              </w:rPr>
              <w:t>参加政府采购活动前三年内，在经营活动中没有重大违法记录的</w:t>
            </w:r>
            <w:r>
              <w:rPr>
                <w:rFonts w:hint="eastAsia" w:ascii="宋体" w:hAnsi="宋体" w:cs="宋体"/>
                <w:color w:val="auto"/>
                <w:sz w:val="24"/>
                <w:szCs w:val="24"/>
                <w:highlight w:val="none"/>
                <w:lang w:val="en-US" w:eastAsia="zh-CN"/>
              </w:rPr>
              <w:t>信用承诺书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格式’）；</w:t>
            </w:r>
          </w:p>
          <w:p w14:paraId="671247C2">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eastAsia="宋体" w:cs="宋体"/>
                <w:b w:val="0"/>
                <w:bCs w:val="0"/>
                <w:color w:val="auto"/>
                <w:sz w:val="24"/>
                <w:szCs w:val="24"/>
                <w:highlight w:val="none"/>
                <w:lang w:val="en-US" w:eastAsia="zh-CN"/>
              </w:rPr>
              <w:t>.单位负责人为同一人或者存在直接控股、管理关系的不同投标人，不得参加同一合同项下的政府招标活动的承诺函</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格式’）</w:t>
            </w:r>
          </w:p>
          <w:p w14:paraId="7DD06613">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7.投标人廉洁自律承诺书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格式’）</w:t>
            </w:r>
            <w:r>
              <w:rPr>
                <w:rFonts w:hint="eastAsia" w:ascii="宋体" w:hAnsi="宋体" w:eastAsia="宋体" w:cs="宋体"/>
                <w:color w:val="auto"/>
                <w:kern w:val="2"/>
                <w:sz w:val="24"/>
                <w:szCs w:val="24"/>
                <w:highlight w:val="none"/>
                <w:lang w:val="en-US" w:eastAsia="zh-CN" w:bidi="ar-SA"/>
              </w:rPr>
              <w:t>；</w:t>
            </w:r>
          </w:p>
          <w:p w14:paraId="5187F9E1">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凭证（</w:t>
            </w:r>
            <w:r>
              <w:rPr>
                <w:rFonts w:hint="eastAsia" w:ascii="宋体" w:hAnsi="宋体" w:eastAsia="宋体" w:cs="宋体"/>
                <w:color w:val="auto"/>
                <w:sz w:val="24"/>
                <w:szCs w:val="24"/>
                <w:highlight w:val="none"/>
                <w:lang w:eastAsia="zh-CN"/>
              </w:rPr>
              <w:t>影印件或扫描件</w:t>
            </w:r>
            <w:r>
              <w:rPr>
                <w:rFonts w:hint="eastAsia" w:ascii="宋体" w:hAnsi="宋体" w:eastAsia="宋体" w:cs="宋体"/>
                <w:color w:val="auto"/>
                <w:sz w:val="24"/>
                <w:szCs w:val="24"/>
                <w:highlight w:val="none"/>
              </w:rPr>
              <w:t>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5415AF46">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投标保证金金额及提交要求：</w:t>
            </w:r>
          </w:p>
          <w:p w14:paraId="5336BB9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投标保证金金额：</w:t>
            </w:r>
          </w:p>
          <w:p w14:paraId="44BFFE5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r>
              <w:rPr>
                <w:rFonts w:hint="eastAsia" w:ascii="宋体" w:hAnsi="宋体" w:cs="宋体"/>
                <w:color w:val="auto"/>
                <w:sz w:val="24"/>
                <w:szCs w:val="24"/>
                <w:highlight w:val="none"/>
                <w:lang w:val="en-US" w:eastAsia="zh-CN"/>
              </w:rPr>
              <w:t>柒仟玖佰</w:t>
            </w:r>
            <w:r>
              <w:rPr>
                <w:rFonts w:hint="eastAsia" w:ascii="宋体" w:hAnsi="宋体" w:eastAsia="宋体" w:cs="宋体"/>
                <w:color w:val="auto"/>
                <w:sz w:val="24"/>
                <w:szCs w:val="24"/>
                <w:highlight w:val="none"/>
                <w:lang w:val="en-US" w:eastAsia="zh-CN"/>
              </w:rPr>
              <w:t>元整（￥</w:t>
            </w:r>
            <w:r>
              <w:rPr>
                <w:rFonts w:hint="eastAsia" w:ascii="宋体" w:hAnsi="宋体" w:cs="宋体"/>
                <w:color w:val="auto"/>
                <w:sz w:val="24"/>
                <w:szCs w:val="24"/>
                <w:highlight w:val="none"/>
                <w:lang w:val="en-US" w:eastAsia="zh-CN"/>
              </w:rPr>
              <w:t>79</w:t>
            </w:r>
            <w:r>
              <w:rPr>
                <w:rFonts w:hint="eastAsia" w:ascii="宋体" w:hAnsi="宋体" w:eastAsia="宋体" w:cs="宋体"/>
                <w:color w:val="auto"/>
                <w:sz w:val="24"/>
                <w:szCs w:val="24"/>
                <w:highlight w:val="none"/>
                <w:lang w:val="en-US" w:eastAsia="zh-CN"/>
              </w:rPr>
              <w:t>00元）</w:t>
            </w:r>
          </w:p>
          <w:p w14:paraId="7B207BFD">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rightChars="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kern w:val="0"/>
                <w:sz w:val="24"/>
                <w:highlight w:val="none"/>
                <w:lang w:eastAsia="zh-CN"/>
              </w:rPr>
              <w:t>投标人</w:t>
            </w:r>
            <w:r>
              <w:rPr>
                <w:rFonts w:hint="eastAsia" w:ascii="宋体" w:hAnsi="宋体" w:eastAsia="宋体" w:cs="宋体"/>
                <w:b w:val="0"/>
                <w:color w:val="auto"/>
                <w:kern w:val="0"/>
                <w:sz w:val="24"/>
                <w:highlight w:val="none"/>
              </w:rPr>
              <w:t>在</w:t>
            </w:r>
            <w:r>
              <w:rPr>
                <w:rFonts w:hint="eastAsia" w:ascii="宋体" w:hAnsi="宋体" w:eastAsia="宋体" w:cs="宋体"/>
                <w:b w:val="0"/>
                <w:color w:val="auto"/>
                <w:kern w:val="0"/>
                <w:sz w:val="24"/>
                <w:highlight w:val="none"/>
                <w:lang w:eastAsia="zh-CN"/>
              </w:rPr>
              <w:t>投标文件</w:t>
            </w:r>
            <w:r>
              <w:rPr>
                <w:rFonts w:hint="eastAsia" w:ascii="宋体" w:hAnsi="宋体" w:eastAsia="宋体" w:cs="宋体"/>
                <w:b w:val="0"/>
                <w:color w:val="auto"/>
                <w:kern w:val="0"/>
                <w:sz w:val="24"/>
                <w:highlight w:val="none"/>
              </w:rPr>
              <w:t>开启前</w:t>
            </w:r>
            <w:r>
              <w:rPr>
                <w:rFonts w:hint="eastAsia" w:ascii="宋体" w:hAnsi="宋体" w:eastAsia="宋体" w:cs="宋体"/>
                <w:b w:val="0"/>
                <w:color w:val="auto"/>
                <w:sz w:val="24"/>
                <w:szCs w:val="24"/>
                <w:highlight w:val="none"/>
              </w:rPr>
              <w:t>，须将</w:t>
            </w:r>
            <w:r>
              <w:rPr>
                <w:rFonts w:hint="eastAsia" w:ascii="宋体" w:hAnsi="宋体" w:eastAsia="宋体" w:cs="宋体"/>
                <w:b w:val="0"/>
                <w:color w:val="auto"/>
                <w:sz w:val="24"/>
                <w:szCs w:val="24"/>
                <w:highlight w:val="none"/>
                <w:lang w:eastAsia="zh-CN"/>
              </w:rPr>
              <w:t>投标保证金</w:t>
            </w:r>
            <w:r>
              <w:rPr>
                <w:rFonts w:hint="eastAsia" w:ascii="宋体" w:hAnsi="宋体" w:eastAsia="宋体" w:cs="宋体"/>
                <w:b w:val="0"/>
                <w:color w:val="auto"/>
                <w:sz w:val="24"/>
                <w:szCs w:val="24"/>
                <w:highlight w:val="none"/>
              </w:rPr>
              <w:t>采用支票（或网银转账）、汇票、本票或者金融机构、担保机构出具的保函等非现金形式提交。采用支票提交的，由</w:t>
            </w:r>
            <w:r>
              <w:rPr>
                <w:rFonts w:hint="eastAsia" w:ascii="宋体" w:hAnsi="宋体" w:eastAsia="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开出（付款行为对公账户）；采用网银转账的，由</w:t>
            </w:r>
            <w:r>
              <w:rPr>
                <w:rFonts w:hint="eastAsia" w:ascii="宋体" w:hAnsi="宋体" w:eastAsia="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通过对公账户网上银行转出；采用汇票、本票提交的，须从</w:t>
            </w:r>
            <w:r>
              <w:rPr>
                <w:rFonts w:hint="eastAsia" w:ascii="宋体" w:hAnsi="宋体" w:eastAsia="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的对公账户银行开出；采用金融机构出具保函的，由从事金融业有关的金融中介机构开出；采用担保机构出具保函的，由银行或代办</w:t>
            </w:r>
            <w:r>
              <w:rPr>
                <w:rFonts w:hint="eastAsia" w:ascii="宋体" w:hAnsi="宋体" w:eastAsia="宋体" w:cs="宋体"/>
                <w:b w:val="0"/>
                <w:color w:val="auto"/>
                <w:sz w:val="24"/>
                <w:szCs w:val="24"/>
                <w:highlight w:val="none"/>
                <w:lang w:eastAsia="zh-CN"/>
              </w:rPr>
              <w:t>投标</w:t>
            </w:r>
            <w:r>
              <w:rPr>
                <w:rFonts w:hint="eastAsia" w:ascii="宋体" w:hAnsi="宋体" w:eastAsia="宋体" w:cs="宋体"/>
                <w:b w:val="0"/>
                <w:color w:val="auto"/>
                <w:sz w:val="24"/>
                <w:szCs w:val="24"/>
                <w:highlight w:val="none"/>
              </w:rPr>
              <w:t>保函的担保公司开出。确保在</w:t>
            </w:r>
            <w:r>
              <w:rPr>
                <w:rFonts w:hint="eastAsia" w:ascii="宋体" w:hAnsi="宋体" w:eastAsia="宋体" w:cs="宋体"/>
                <w:b w:val="0"/>
                <w:color w:val="auto"/>
                <w:sz w:val="24"/>
                <w:szCs w:val="24"/>
                <w:highlight w:val="none"/>
                <w:lang w:eastAsia="zh-CN"/>
              </w:rPr>
              <w:t>投标文件</w:t>
            </w:r>
            <w:r>
              <w:rPr>
                <w:rFonts w:hint="eastAsia" w:ascii="宋体" w:hAnsi="宋体" w:eastAsia="宋体" w:cs="宋体"/>
                <w:b w:val="0"/>
                <w:color w:val="auto"/>
                <w:sz w:val="24"/>
                <w:szCs w:val="24"/>
                <w:highlight w:val="none"/>
              </w:rPr>
              <w:t>开启之前递交到采购代理机构。</w:t>
            </w:r>
            <w:bookmarkStart w:id="43" w:name="_Toc565"/>
            <w:bookmarkStart w:id="44" w:name="_Toc13263"/>
            <w:bookmarkStart w:id="45" w:name="_Toc22238"/>
            <w:bookmarkStart w:id="46" w:name="_Toc119979170"/>
          </w:p>
          <w:p w14:paraId="258FC82A">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rightChars="0"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收款账户名称：山西麟辉项目管理有限公司</w:t>
            </w:r>
          </w:p>
          <w:p w14:paraId="61052BF0">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rightChars="0"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开户行：平安银行太原分行营业部</w:t>
            </w:r>
          </w:p>
          <w:p w14:paraId="0A4BCD3A">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rightChars="0"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账号：15011655300082</w:t>
            </w:r>
          </w:p>
          <w:p w14:paraId="30ED3C28">
            <w:pPr>
              <w:pStyle w:val="54"/>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rightChars="0"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开户行号：307161022012</w:t>
            </w:r>
          </w:p>
          <w:p w14:paraId="2FE8D5CE">
            <w:pPr>
              <w:keepNext w:val="0"/>
              <w:keepLines w:val="0"/>
              <w:pageBreakBefore w:val="0"/>
              <w:widowControl w:val="0"/>
              <w:kinsoku/>
              <w:wordWrap/>
              <w:overflowPunct/>
              <w:topLinePunct w:val="0"/>
              <w:bidi w:val="0"/>
              <w:adjustRightInd/>
              <w:snapToGrid/>
              <w:spacing w:line="360" w:lineRule="exact"/>
              <w:ind w:left="40" w:leftChars="0" w:right="4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bookmarkEnd w:id="43"/>
            <w:bookmarkEnd w:id="44"/>
            <w:bookmarkEnd w:id="45"/>
            <w:bookmarkEnd w:id="46"/>
            <w:bookmarkStart w:id="47" w:name="_Toc119979171"/>
            <w:bookmarkStart w:id="48" w:name="_Toc22198"/>
            <w:bookmarkStart w:id="49" w:name="_Toc29106"/>
            <w:bookmarkStart w:id="50" w:name="_Toc2353"/>
            <w:r>
              <w:rPr>
                <w:rFonts w:hint="eastAsia" w:ascii="宋体" w:hAnsi="宋体" w:eastAsia="宋体" w:cs="宋体"/>
                <w:b/>
                <w:bCs/>
                <w:color w:val="auto"/>
                <w:sz w:val="24"/>
                <w:szCs w:val="24"/>
                <w:highlight w:val="none"/>
              </w:rPr>
              <w:t>未按前述要求提交</w:t>
            </w: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保证金或未足额提交</w:t>
            </w: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保证金的，将被视为无效</w:t>
            </w: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w:t>
            </w:r>
            <w:bookmarkEnd w:id="47"/>
            <w:bookmarkEnd w:id="48"/>
            <w:bookmarkEnd w:id="49"/>
            <w:bookmarkEnd w:id="50"/>
          </w:p>
          <w:p w14:paraId="79FDE4E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9.本项目的特定资格要求证明材料：</w:t>
            </w:r>
            <w:r>
              <w:rPr>
                <w:rFonts w:hint="eastAsia" w:ascii="宋体" w:hAnsi="宋体" w:cs="宋体"/>
                <w:color w:val="auto"/>
                <w:sz w:val="24"/>
                <w:szCs w:val="24"/>
                <w:highlight w:val="none"/>
                <w:lang w:val="en-US" w:eastAsia="zh-CN"/>
              </w:rPr>
              <w:t>无</w:t>
            </w:r>
          </w:p>
          <w:p w14:paraId="704FD7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9.1具有法律、法规规定的其他资格要求：无</w:t>
            </w:r>
          </w:p>
          <w:p w14:paraId="2DB6998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9.2本项目的特定资格要求证明文件：</w:t>
            </w:r>
            <w:r>
              <w:rPr>
                <w:rFonts w:hint="eastAsia" w:ascii="宋体" w:hAnsi="宋体" w:cs="宋体"/>
                <w:color w:val="auto"/>
                <w:sz w:val="24"/>
                <w:szCs w:val="24"/>
                <w:highlight w:val="none"/>
                <w:lang w:val="en-US" w:eastAsia="zh-CN"/>
              </w:rPr>
              <w:t>无</w:t>
            </w:r>
          </w:p>
          <w:p w14:paraId="12F6A81F">
            <w:pPr>
              <w:spacing w:line="430" w:lineRule="exact"/>
              <w:ind w:right="105" w:rightChars="50"/>
              <w:rPr>
                <w:rFonts w:hint="default"/>
                <w:color w:val="auto"/>
                <w:highlight w:val="none"/>
                <w:lang w:val="en-US" w:eastAsia="zh-CN"/>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u w:val="none"/>
                <w:lang w:val="en-US" w:eastAsia="zh-CN"/>
              </w:rPr>
              <w:t>提供</w:t>
            </w:r>
            <w:r>
              <w:rPr>
                <w:rFonts w:hint="eastAsia" w:ascii="宋体" w:hAnsi="宋体" w:cs="宋体"/>
                <w:color w:val="auto"/>
                <w:sz w:val="24"/>
                <w:highlight w:val="none"/>
                <w:u w:val="none"/>
                <w:lang w:val="en-US" w:eastAsia="zh-CN"/>
              </w:rPr>
              <w:t>联合体协议书（如有）</w:t>
            </w:r>
          </w:p>
          <w:p w14:paraId="57C27362">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以上资格证明文件，若有一项未提供或无效，将导致其不具备</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资格，且不允许在</w:t>
            </w:r>
            <w:r>
              <w:rPr>
                <w:rFonts w:hint="eastAsia" w:ascii="宋体" w:hAnsi="宋体" w:eastAsia="宋体" w:cs="宋体"/>
                <w:b/>
                <w:bCs/>
                <w:color w:val="auto"/>
                <w:sz w:val="24"/>
                <w:szCs w:val="24"/>
                <w:highlight w:val="none"/>
                <w:lang w:val="en-US" w:eastAsia="zh-CN"/>
              </w:rPr>
              <w:t>开标</w:t>
            </w:r>
            <w:r>
              <w:rPr>
                <w:rFonts w:hint="eastAsia" w:ascii="宋体" w:hAnsi="宋体" w:eastAsia="宋体" w:cs="宋体"/>
                <w:b/>
                <w:bCs/>
                <w:color w:val="auto"/>
                <w:sz w:val="24"/>
                <w:szCs w:val="24"/>
                <w:highlight w:val="none"/>
              </w:rPr>
              <w:t>后补正。</w:t>
            </w:r>
          </w:p>
          <w:p w14:paraId="722C06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r>
              <w:rPr>
                <w:rFonts w:hint="eastAsia" w:ascii="宋体" w:hAnsi="宋体" w:cs="宋体"/>
                <w:color w:val="auto"/>
                <w:sz w:val="24"/>
                <w:szCs w:val="24"/>
                <w:highlight w:val="none"/>
                <w:lang w:val="en-US" w:eastAsia="zh-CN"/>
              </w:rPr>
              <w:t>资格审查小组</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会议开始后对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的信用信息进行查询，通过“信用中国”网站（http://www.creditchina.gov.cn）、中国政府采购网（http://www.ccgp.gov.cn）查询相关主体信用记录</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违规处罚情况</w:t>
            </w:r>
            <w:r>
              <w:rPr>
                <w:rFonts w:hint="eastAsia" w:ascii="宋体" w:hAnsi="宋体" w:eastAsia="宋体" w:cs="宋体"/>
                <w:color w:val="auto"/>
                <w:sz w:val="24"/>
                <w:szCs w:val="24"/>
                <w:highlight w:val="none"/>
              </w:rPr>
              <w:t>，截止时间为</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当日；</w:t>
            </w:r>
            <w:r>
              <w:rPr>
                <w:rFonts w:hint="eastAsia" w:ascii="宋体" w:hAnsi="宋体" w:eastAsia="宋体" w:cs="宋体"/>
                <w:color w:val="auto"/>
                <w:kern w:val="0"/>
                <w:sz w:val="24"/>
                <w:szCs w:val="24"/>
                <w:highlight w:val="none"/>
                <w:lang w:val="en-US" w:eastAsia="zh-CN" w:bidi="ar-SA"/>
              </w:rPr>
              <w:t>查询内容为“信用中国”网上的</w:t>
            </w:r>
            <w:r>
              <w:rPr>
                <w:rFonts w:hint="eastAsia" w:ascii="宋体" w:hAnsi="宋体" w:eastAsia="宋体" w:cs="宋体"/>
                <w:color w:val="auto"/>
                <w:kern w:val="2"/>
                <w:sz w:val="24"/>
                <w:szCs w:val="24"/>
                <w:highlight w:val="none"/>
                <w:lang w:val="en-US" w:eastAsia="zh-CN" w:bidi="ar-SA"/>
              </w:rPr>
              <w:t>失信被执行人</w:t>
            </w:r>
            <w:r>
              <w:rPr>
                <w:rFonts w:hint="eastAsia" w:ascii="宋体" w:hAnsi="宋体" w:cs="宋体"/>
                <w:color w:val="auto"/>
                <w:kern w:val="2"/>
                <w:sz w:val="24"/>
                <w:szCs w:val="24"/>
                <w:highlight w:val="none"/>
                <w:lang w:val="en-US" w:eastAsia="zh-CN" w:bidi="ar-SA"/>
              </w:rPr>
              <w:t>、重大税收违法失信主体</w:t>
            </w:r>
            <w:r>
              <w:rPr>
                <w:rFonts w:hint="eastAsia" w:ascii="宋体" w:hAnsi="宋体" w:eastAsia="宋体" w:cs="宋体"/>
                <w:color w:val="auto"/>
                <w:kern w:val="0"/>
                <w:sz w:val="24"/>
                <w:szCs w:val="24"/>
                <w:highlight w:val="none"/>
                <w:lang w:val="en-US" w:eastAsia="zh-CN" w:bidi="ar-SA"/>
              </w:rPr>
              <w:t>情况，中国政府采购网上的政府采购严重违法失信行为信息记录情况，</w:t>
            </w:r>
            <w:r>
              <w:rPr>
                <w:rFonts w:hint="eastAsia" w:ascii="宋体" w:hAnsi="宋体" w:eastAsia="宋体" w:cs="宋体"/>
                <w:color w:val="auto"/>
                <w:sz w:val="24"/>
                <w:szCs w:val="24"/>
                <w:highlight w:val="none"/>
              </w:rPr>
              <w:t>查询记录与其他采购文件一并保存。查询后存在问题的将对</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文件做无效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处理。（此项资格证明文件无需</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w:t>
            </w:r>
          </w:p>
        </w:tc>
      </w:tr>
      <w:tr w14:paraId="4EF5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 w:type="pct"/>
            <w:vAlign w:val="center"/>
          </w:tcPr>
          <w:p w14:paraId="35243D83">
            <w:pPr>
              <w:pageBreakBefore w:val="0"/>
              <w:kinsoku/>
              <w:overflowPunct/>
              <w:bidi w:val="0"/>
              <w:adjustRightInd/>
              <w:snapToGrid/>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6</w:t>
            </w:r>
          </w:p>
        </w:tc>
        <w:tc>
          <w:tcPr>
            <w:tcW w:w="989" w:type="pct"/>
            <w:vAlign w:val="center"/>
          </w:tcPr>
          <w:p w14:paraId="46BDCC97">
            <w:pPr>
              <w:keepNext w:val="0"/>
              <w:keepLines w:val="0"/>
              <w:pageBreakBefore w:val="0"/>
              <w:kinsoku/>
              <w:wordWrap/>
              <w:overflowPunct/>
              <w:bidi w:val="0"/>
              <w:adjustRightInd/>
              <w:snapToGrid/>
              <w:spacing w:line="240" w:lineRule="auto"/>
              <w:ind w:left="-101" w:leftChars="-48" w:right="-94" w:rightChars="-45" w:firstLine="132" w:firstLineChars="5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投标人应提交的商务、技术文件</w:t>
            </w:r>
          </w:p>
        </w:tc>
        <w:tc>
          <w:tcPr>
            <w:tcW w:w="3662" w:type="pct"/>
            <w:vAlign w:val="center"/>
          </w:tcPr>
          <w:p w14:paraId="06B00D2A">
            <w:pPr>
              <w:keepNext w:val="0"/>
              <w:keepLines w:val="0"/>
              <w:pageBreakBefore w:val="0"/>
              <w:widowControl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★1.法定代表人（负责人）身份证明书(见‘响应文件格式’)； </w:t>
            </w:r>
          </w:p>
          <w:p w14:paraId="7BE938F5">
            <w:pPr>
              <w:keepNext w:val="0"/>
              <w:keepLines w:val="0"/>
              <w:pageBreakBefore w:val="0"/>
              <w:widowControl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★2.法定代表人（负责人）授权委托书(见‘响应文件格式’，若授权代表为法定代表人（负责人）的可不提供)；</w:t>
            </w:r>
          </w:p>
          <w:p w14:paraId="190632DD">
            <w:pPr>
              <w:keepNext w:val="0"/>
              <w:keepLines w:val="0"/>
              <w:pageBreakBefore w:val="0"/>
              <w:widowControl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★3.投标函(见‘响应文件格式’)；</w:t>
            </w:r>
          </w:p>
          <w:p w14:paraId="6A750385">
            <w:pPr>
              <w:keepNext w:val="0"/>
              <w:keepLines w:val="0"/>
              <w:pageBreakBefore w:val="0"/>
              <w:widowControl w:val="0"/>
              <w:kinsoku/>
              <w:wordWrap/>
              <w:overflowPunct/>
              <w:bidi w:val="0"/>
              <w:adjustRightInd/>
              <w:snapToGrid/>
              <w:spacing w:line="3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eastAsia="zh-CN"/>
              </w:rPr>
              <w:t>★4.开标一览表(见‘响应文件格式’)；</w:t>
            </w:r>
          </w:p>
          <w:p w14:paraId="0A0E99B1">
            <w:pPr>
              <w:keepNext w:val="0"/>
              <w:keepLines w:val="0"/>
              <w:pageBreakBefore w:val="0"/>
              <w:widowControl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★5.商务条款响应表(见‘响应文件格式’)；</w:t>
            </w:r>
          </w:p>
          <w:p w14:paraId="18D9975D">
            <w:pPr>
              <w:keepNext w:val="0"/>
              <w:keepLines w:val="0"/>
              <w:pageBreakBefore w:val="0"/>
              <w:widowControl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★6.技术规范响应及偏离表(见‘响应文件格式’)；</w:t>
            </w:r>
          </w:p>
          <w:p w14:paraId="1016C826">
            <w:pPr>
              <w:keepNext w:val="0"/>
              <w:keepLines w:val="0"/>
              <w:pageBreakBefore w:val="0"/>
              <w:widowControl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.投标文件提交截止时间前三年内同类项目合同案例列表及相关证明资料；</w:t>
            </w:r>
          </w:p>
          <w:p w14:paraId="33649644">
            <w:pPr>
              <w:keepNext w:val="0"/>
              <w:keepLines w:val="0"/>
              <w:pageBreakBefore w:val="0"/>
              <w:widowControl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eastAsia="zh-CN"/>
              </w:rPr>
              <w:t>人员配备情况；</w:t>
            </w:r>
          </w:p>
          <w:p w14:paraId="77DB2168">
            <w:pPr>
              <w:keepNext w:val="0"/>
              <w:keepLines w:val="0"/>
              <w:pageBreakBefore w:val="0"/>
              <w:widowControl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eastAsia="zh-CN"/>
              </w:rPr>
              <w:t>服务方案及承诺；</w:t>
            </w:r>
          </w:p>
          <w:p w14:paraId="73A349AC">
            <w:pPr>
              <w:keepNext w:val="0"/>
              <w:keepLines w:val="0"/>
              <w:pageBreakBefore w:val="0"/>
              <w:widowControl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lang w:eastAsia="zh-CN"/>
              </w:rPr>
              <w:t>认为需要提供的其他商务</w:t>
            </w:r>
            <w:r>
              <w:rPr>
                <w:rFonts w:hint="eastAsia" w:ascii="宋体" w:hAnsi="宋体" w:cs="宋体"/>
                <w:color w:val="auto"/>
                <w:sz w:val="24"/>
                <w:highlight w:val="none"/>
                <w:lang w:val="en-US" w:eastAsia="zh-CN"/>
              </w:rPr>
              <w:t>技术</w:t>
            </w:r>
            <w:r>
              <w:rPr>
                <w:rFonts w:hint="eastAsia" w:ascii="宋体" w:hAnsi="宋体" w:eastAsia="宋体" w:cs="宋体"/>
                <w:color w:val="auto"/>
                <w:sz w:val="24"/>
                <w:highlight w:val="none"/>
                <w:lang w:eastAsia="zh-CN"/>
              </w:rPr>
              <w:t>材料；</w:t>
            </w:r>
          </w:p>
          <w:p w14:paraId="1B3CE0F3">
            <w:pPr>
              <w:keepNext w:val="0"/>
              <w:keepLines w:val="0"/>
              <w:pageBreakBefore w:val="0"/>
              <w:widowControl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.政策性要求（如有）。</w:t>
            </w:r>
          </w:p>
          <w:p w14:paraId="1105AADB">
            <w:pPr>
              <w:keepNext w:val="0"/>
              <w:keepLines w:val="0"/>
              <w:pageBreakBefore w:val="0"/>
              <w:widowControl w:val="0"/>
              <w:kinsoku/>
              <w:wordWrap/>
              <w:overflowPunct/>
              <w:topLinePunct w:val="0"/>
              <w:autoSpaceDE/>
              <w:autoSpaceDN/>
              <w:bidi w:val="0"/>
              <w:adjustRightInd/>
              <w:snapToGrid/>
              <w:spacing w:after="100" w:line="36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rPr>
              <w:t>加</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kern w:val="0"/>
                <w:sz w:val="24"/>
                <w:szCs w:val="24"/>
                <w:highlight w:val="none"/>
              </w:rPr>
              <w:t>的商务、技术文件若有一项未提供或无效，将导致其不具备</w:t>
            </w:r>
            <w:r>
              <w:rPr>
                <w:rFonts w:hint="eastAsia" w:ascii="宋体" w:hAnsi="宋体" w:eastAsia="宋体" w:cs="宋体"/>
                <w:b/>
                <w:color w:val="auto"/>
                <w:kern w:val="0"/>
                <w:sz w:val="24"/>
                <w:szCs w:val="24"/>
                <w:highlight w:val="none"/>
                <w:lang w:val="en-US" w:eastAsia="zh-CN"/>
              </w:rPr>
              <w:t>投标</w:t>
            </w:r>
            <w:r>
              <w:rPr>
                <w:rFonts w:hint="eastAsia" w:ascii="宋体" w:hAnsi="宋体" w:eastAsia="宋体" w:cs="宋体"/>
                <w:b/>
                <w:color w:val="auto"/>
                <w:kern w:val="0"/>
                <w:sz w:val="24"/>
                <w:szCs w:val="24"/>
                <w:highlight w:val="none"/>
              </w:rPr>
              <w:t>资格，且不允许在</w:t>
            </w:r>
            <w:r>
              <w:rPr>
                <w:rFonts w:hint="eastAsia" w:ascii="宋体" w:hAnsi="宋体" w:eastAsia="宋体" w:cs="宋体"/>
                <w:b/>
                <w:color w:val="auto"/>
                <w:kern w:val="0"/>
                <w:sz w:val="24"/>
                <w:szCs w:val="24"/>
                <w:highlight w:val="none"/>
                <w:lang w:val="en-US" w:eastAsia="zh-CN"/>
              </w:rPr>
              <w:t>开标</w:t>
            </w:r>
            <w:r>
              <w:rPr>
                <w:rFonts w:hint="eastAsia" w:ascii="宋体" w:hAnsi="宋体" w:eastAsia="宋体" w:cs="宋体"/>
                <w:b/>
                <w:color w:val="auto"/>
                <w:kern w:val="0"/>
                <w:sz w:val="24"/>
                <w:szCs w:val="24"/>
                <w:highlight w:val="none"/>
              </w:rPr>
              <w:t>后补正。</w:t>
            </w:r>
          </w:p>
        </w:tc>
      </w:tr>
      <w:tr w14:paraId="3FD4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 w:type="pct"/>
            <w:vAlign w:val="center"/>
          </w:tcPr>
          <w:p w14:paraId="703B4970">
            <w:pPr>
              <w:pageBreakBefore w:val="0"/>
              <w:kinsoku/>
              <w:overflowPunct/>
              <w:bidi w:val="0"/>
              <w:adjustRightInd/>
              <w:snapToGrid/>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7</w:t>
            </w:r>
          </w:p>
        </w:tc>
        <w:tc>
          <w:tcPr>
            <w:tcW w:w="989" w:type="pct"/>
            <w:vAlign w:val="center"/>
          </w:tcPr>
          <w:p w14:paraId="3D697001">
            <w:pPr>
              <w:keepNext w:val="0"/>
              <w:keepLines w:val="0"/>
              <w:pageBreakBefore w:val="0"/>
              <w:kinsoku/>
              <w:wordWrap/>
              <w:overflowPunct/>
              <w:bidi w:val="0"/>
              <w:adjustRightInd/>
              <w:snapToGrid/>
              <w:spacing w:line="240" w:lineRule="auto"/>
              <w:ind w:left="-101" w:leftChars="-48" w:right="-94" w:rightChars="-45" w:firstLine="132" w:firstLineChars="5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政府采购相关政策要求</w:t>
            </w:r>
          </w:p>
        </w:tc>
        <w:tc>
          <w:tcPr>
            <w:tcW w:w="3662" w:type="pct"/>
            <w:vAlign w:val="center"/>
          </w:tcPr>
          <w:p w14:paraId="1ECD64F8">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货物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的进口产品，如果有能够满足采购需求的国产产品参与，应当按照公平竞争的原则进行评审。</w:t>
            </w:r>
          </w:p>
          <w:p w14:paraId="3D8BCC1C">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270F375B">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3．采购项目中如含有计算机，必须预装正版操作系统软件产品；项目中所采购的其它软件必须为正版软件。</w:t>
            </w:r>
          </w:p>
          <w:p w14:paraId="35087D5A">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参加本次采购活动，如涉及上述1-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项要求，均应作出实质性响应，否则将导致响应无效。</w:t>
            </w:r>
            <w:r>
              <w:rPr>
                <w:rFonts w:hint="eastAsia" w:ascii="宋体" w:hAnsi="宋体" w:eastAsia="宋体" w:cs="宋体"/>
                <w:b/>
                <w:bCs/>
                <w:color w:val="auto"/>
                <w:sz w:val="24"/>
                <w:highlight w:val="none"/>
              </w:rPr>
              <w:t>如项目不涉及，可不提供。</w:t>
            </w:r>
          </w:p>
          <w:p w14:paraId="0F7E532A">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63" w:leftChars="30" w:firstLine="4" w:firstLineChars="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.中小微企业参加本项目：</w:t>
            </w:r>
          </w:p>
          <w:p w14:paraId="1C283BA6">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63" w:leftChars="30" w:firstLine="4" w:firstLineChars="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须按照财政部、工业和信息化部发布的《关于印发&lt;政府采购促进中小企业发展管理办法&gt;的通知》(财库〔2020〕46号），并依据工信部联【2011】300号《中小企业划型标准规定》的标准，如实填写《中小企业声明函》。且适用晋财购[2022]6号《关于进一步加大政府采购支持中小企业力度助力扎实稳住经济的通知》优惠政策。</w:t>
            </w:r>
          </w:p>
          <w:p w14:paraId="78823E64">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63" w:leftChars="30" w:firstLine="4" w:firstLineChars="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．残疾人福利单位参加本项目：</w:t>
            </w:r>
          </w:p>
          <w:p w14:paraId="7A3E2A3B">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63" w:leftChars="30" w:firstLine="4" w:firstLineChars="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依据《三部门联合发布关于促进残疾人就业政府采购政策的通知》（财库[2017]141号）第三条规定，需附残疾人福利性单位声明函。</w:t>
            </w:r>
          </w:p>
          <w:p w14:paraId="5DBF8F59">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63" w:leftChars="30" w:firstLine="4" w:firstLineChars="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．监狱企业参加本项目：</w:t>
            </w:r>
          </w:p>
          <w:p w14:paraId="57FE5302">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63" w:leftChars="30" w:firstLine="4" w:firstLineChars="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依据《财政部司法部关于政府采购支持监狱企业发展有关问题的通知》(财库〔2014〕68号)规定，须提供相关证明材料。</w:t>
            </w:r>
          </w:p>
          <w:p w14:paraId="3E74FE1D">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63" w:leftChars="30" w:firstLine="4" w:firstLineChars="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.联合体参加本项目：</w:t>
            </w:r>
          </w:p>
          <w:p w14:paraId="6E65ABC2">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63" w:leftChars="30" w:firstLine="4" w:firstLineChars="2"/>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如本项目为接受大中型企业与小微企业组成联合体或者允许大中型企业向一家或者多家小微企业分包的采购项目，需附《联合体投标协议书》。</w:t>
            </w:r>
          </w:p>
          <w:p w14:paraId="644448B0">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5" w:firstLineChars="2"/>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5392431D">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如本项目（包）是专门面向小微企业或残疾人企业或监狱企业或需要由联合体</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的采购项目，本项第</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项应作为资格证明文件与本表第5项内容一并提交，否则</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无效。</w:t>
            </w:r>
          </w:p>
          <w:p w14:paraId="18BFDD65">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highlight w:val="none"/>
              </w:rPr>
              <w:t>本项目涉及创新产品、创新服务的要求：</w:t>
            </w:r>
          </w:p>
          <w:p w14:paraId="49B685D8">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（1）投报产品或服务属于《山西省创新产品和服务推荐清单》中创新产品或创新服务的，在评审时</w:t>
            </w:r>
            <w:r>
              <w:rPr>
                <w:rFonts w:hint="eastAsia" w:ascii="宋体" w:hAnsi="宋体" w:eastAsia="宋体" w:cs="宋体"/>
                <w:bCs/>
                <w:color w:val="auto"/>
                <w:sz w:val="24"/>
                <w:highlight w:val="none"/>
              </w:rPr>
              <w:t>，享受投报产品6%的价格折扣</w:t>
            </w:r>
            <w:r>
              <w:rPr>
                <w:rFonts w:hint="eastAsia" w:ascii="宋体" w:hAnsi="宋体" w:eastAsia="宋体" w:cs="宋体"/>
                <w:color w:val="auto"/>
                <w:sz w:val="24"/>
                <w:highlight w:val="none"/>
              </w:rPr>
              <w:t>。</w:t>
            </w:r>
          </w:p>
          <w:p w14:paraId="3224B045">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（2）投报创新产品或创新服务的，</w:t>
            </w:r>
            <w:r>
              <w:rPr>
                <w:rFonts w:hint="eastAsia" w:ascii="宋体" w:hAnsi="宋体" w:eastAsia="宋体" w:cs="宋体"/>
                <w:color w:val="auto"/>
                <w:sz w:val="24"/>
                <w:highlight w:val="none"/>
                <w:lang w:val="en-US" w:eastAsia="zh-CN"/>
              </w:rPr>
              <w:t>需</w:t>
            </w:r>
            <w:r>
              <w:rPr>
                <w:rFonts w:hint="eastAsia" w:ascii="宋体" w:hAnsi="宋体" w:eastAsia="宋体" w:cs="宋体"/>
                <w:color w:val="auto"/>
                <w:sz w:val="24"/>
                <w:highlight w:val="none"/>
              </w:rPr>
              <w:t>在响应文件中提供《山西省创新产品和服务推荐清单》，并填写《创新产品或创新服务明细表》。</w:t>
            </w:r>
          </w:p>
          <w:p w14:paraId="309DA4C5">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（3）创新产品或创新服务的价格折扣政策可与其他政府采购政策叠加。</w:t>
            </w:r>
          </w:p>
          <w:p w14:paraId="5A5A1A7D">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本项目涉及商品包装和快递包装的要求：</w:t>
            </w:r>
          </w:p>
          <w:p w14:paraId="242B38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color w:val="auto"/>
                <w:sz w:val="24"/>
                <w:highlight w:val="none"/>
              </w:rPr>
              <w:t>本文件列出商品包装和快递包装要求的，需填写商品包装和快递包装承诺函，承诺商品包装符合《商品包装政府采购需求标准（试行）》，快递包装符合《快递包装政府采购需求标准（试行）》。</w:t>
            </w:r>
          </w:p>
        </w:tc>
      </w:tr>
      <w:tr w14:paraId="0A2B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8" w:type="pct"/>
            <w:vAlign w:val="center"/>
          </w:tcPr>
          <w:p w14:paraId="4F2ED6C9">
            <w:pPr>
              <w:pageBreakBefore w:val="0"/>
              <w:kinsoku/>
              <w:overflowPunct/>
              <w:bidi w:val="0"/>
              <w:adjustRightInd/>
              <w:snapToGrid/>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8</w:t>
            </w:r>
          </w:p>
        </w:tc>
        <w:tc>
          <w:tcPr>
            <w:tcW w:w="989" w:type="pct"/>
            <w:vAlign w:val="center"/>
          </w:tcPr>
          <w:p w14:paraId="1500BA1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投标有效期</w:t>
            </w:r>
          </w:p>
        </w:tc>
        <w:tc>
          <w:tcPr>
            <w:tcW w:w="3662" w:type="pct"/>
            <w:vAlign w:val="center"/>
          </w:tcPr>
          <w:p w14:paraId="32FF8BBF">
            <w:pPr>
              <w:pageBreakBefore w:val="0"/>
              <w:kinsoku/>
              <w:overflowPunct/>
              <w:bidi w:val="0"/>
              <w:adjustRightInd/>
              <w:snapToGrid/>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highlight w:val="none"/>
              </w:rPr>
              <w:t>90日历天（从提交投标文件截止之日起计算）</w:t>
            </w:r>
          </w:p>
        </w:tc>
      </w:tr>
      <w:tr w14:paraId="32C5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8" w:type="pct"/>
            <w:vAlign w:val="center"/>
          </w:tcPr>
          <w:p w14:paraId="5CA35FC0">
            <w:pPr>
              <w:pageBreakBefore w:val="0"/>
              <w:kinsoku/>
              <w:overflowPunct/>
              <w:bidi w:val="0"/>
              <w:adjustRightInd/>
              <w:snapToGrid/>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9</w:t>
            </w:r>
          </w:p>
        </w:tc>
        <w:tc>
          <w:tcPr>
            <w:tcW w:w="989" w:type="pct"/>
            <w:vAlign w:val="center"/>
          </w:tcPr>
          <w:p w14:paraId="178246BA">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评标委员会构成</w:t>
            </w:r>
          </w:p>
        </w:tc>
        <w:tc>
          <w:tcPr>
            <w:tcW w:w="3662" w:type="pct"/>
            <w:vAlign w:val="center"/>
          </w:tcPr>
          <w:p w14:paraId="03BAC926">
            <w:pPr>
              <w:pStyle w:val="65"/>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b w:val="0"/>
                <w:bCs w:val="0"/>
                <w:color w:val="auto"/>
                <w:kern w:val="2"/>
                <w:sz w:val="24"/>
                <w:szCs w:val="24"/>
                <w:highlight w:val="none"/>
                <w:lang w:val="en-US" w:eastAsia="zh-CN" w:bidi="ar-SA"/>
              </w:rPr>
            </w:pPr>
            <w:bookmarkStart w:id="51" w:name="_Toc3409"/>
            <w:bookmarkStart w:id="52" w:name="_Toc23119"/>
            <w:r>
              <w:rPr>
                <w:rFonts w:hint="eastAsia" w:ascii="宋体" w:hAnsi="宋体" w:eastAsia="宋体" w:cs="宋体"/>
                <w:bCs/>
                <w:color w:val="auto"/>
                <w:sz w:val="24"/>
                <w:szCs w:val="24"/>
                <w:highlight w:val="none"/>
              </w:rPr>
              <w:t>本</w:t>
            </w:r>
            <w:r>
              <w:rPr>
                <w:rFonts w:hint="eastAsia" w:ascii="宋体" w:hAnsi="宋体" w:eastAsia="宋体" w:cs="宋体"/>
                <w:bCs/>
                <w:color w:val="auto"/>
                <w:sz w:val="24"/>
                <w:szCs w:val="24"/>
                <w:highlight w:val="none"/>
                <w:lang w:eastAsia="zh-CN"/>
              </w:rPr>
              <w:t>招标</w:t>
            </w:r>
            <w:r>
              <w:rPr>
                <w:rFonts w:hint="eastAsia" w:ascii="宋体" w:hAnsi="宋体" w:eastAsia="宋体" w:cs="宋体"/>
                <w:bCs/>
                <w:color w:val="auto"/>
                <w:sz w:val="24"/>
                <w:szCs w:val="24"/>
                <w:highlight w:val="none"/>
              </w:rPr>
              <w:t>项目的</w:t>
            </w:r>
            <w:r>
              <w:rPr>
                <w:rFonts w:hint="eastAsia" w:ascii="宋体" w:hAnsi="宋体" w:eastAsia="宋体" w:cs="宋体"/>
                <w:color w:val="auto"/>
                <w:kern w:val="2"/>
                <w:sz w:val="24"/>
                <w:szCs w:val="24"/>
                <w:highlight w:val="none"/>
                <w:lang w:val="en-US" w:eastAsia="zh-CN" w:bidi="ar-SA"/>
              </w:rPr>
              <w:t>评标委员会</w:t>
            </w:r>
            <w:r>
              <w:rPr>
                <w:rFonts w:hint="eastAsia" w:ascii="宋体" w:hAnsi="宋体" w:eastAsia="宋体" w:cs="宋体"/>
                <w:bCs/>
                <w:color w:val="auto"/>
                <w:sz w:val="24"/>
                <w:szCs w:val="24"/>
                <w:highlight w:val="none"/>
              </w:rPr>
              <w:t>成员由</w:t>
            </w:r>
            <w:r>
              <w:rPr>
                <w:rFonts w:hint="eastAsia" w:ascii="宋体" w:hAnsi="宋体" w:eastAsia="宋体" w:cs="宋体"/>
                <w:bCs/>
                <w:color w:val="auto"/>
                <w:sz w:val="24"/>
                <w:szCs w:val="24"/>
                <w:highlight w:val="none"/>
                <w:u w:val="single"/>
              </w:rPr>
              <w:t xml:space="preserve"> </w:t>
            </w:r>
            <w:r>
              <w:rPr>
                <w:rFonts w:hint="eastAsia"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人组成，其中评审专家</w:t>
            </w:r>
            <w:r>
              <w:rPr>
                <w:rFonts w:hint="eastAsia" w:ascii="宋体" w:hAnsi="宋体" w:eastAsia="宋体" w:cs="宋体"/>
                <w:bCs/>
                <w:color w:val="auto"/>
                <w:sz w:val="24"/>
                <w:szCs w:val="24"/>
                <w:highlight w:val="none"/>
                <w:u w:val="single"/>
              </w:rPr>
              <w:t xml:space="preserve"> </w:t>
            </w:r>
            <w:r>
              <w:rPr>
                <w:rFonts w:hint="eastAsia"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代表</w:t>
            </w:r>
            <w:r>
              <w:rPr>
                <w:rFonts w:hint="eastAsia" w:ascii="宋体" w:hAnsi="宋体" w:eastAsia="宋体" w:cs="宋体"/>
                <w:bCs/>
                <w:color w:val="auto"/>
                <w:sz w:val="24"/>
                <w:szCs w:val="24"/>
                <w:highlight w:val="none"/>
                <w:u w:val="single"/>
              </w:rPr>
              <w:t xml:space="preserve"> </w:t>
            </w:r>
            <w:r>
              <w:rPr>
                <w:rFonts w:hint="eastAsia"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人。</w:t>
            </w:r>
            <w:bookmarkEnd w:id="51"/>
            <w:bookmarkEnd w:id="52"/>
          </w:p>
        </w:tc>
      </w:tr>
      <w:tr w14:paraId="4631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8" w:type="pct"/>
            <w:vAlign w:val="center"/>
          </w:tcPr>
          <w:p w14:paraId="6A6743F6">
            <w:pPr>
              <w:pageBreakBefore w:val="0"/>
              <w:kinsoku/>
              <w:overflowPunct/>
              <w:bidi w:val="0"/>
              <w:adjustRightInd/>
              <w:snapToGrid/>
              <w:spacing w:line="240" w:lineRule="auto"/>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w:t>
            </w:r>
          </w:p>
        </w:tc>
        <w:tc>
          <w:tcPr>
            <w:tcW w:w="989" w:type="pct"/>
            <w:vAlign w:val="center"/>
          </w:tcPr>
          <w:p w14:paraId="1B26B51C">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确定中标人</w:t>
            </w:r>
          </w:p>
        </w:tc>
        <w:tc>
          <w:tcPr>
            <w:tcW w:w="3662" w:type="pct"/>
            <w:vAlign w:val="center"/>
          </w:tcPr>
          <w:p w14:paraId="34E99EF0">
            <w:pPr>
              <w:pStyle w:val="65"/>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bCs/>
                <w:color w:val="auto"/>
                <w:sz w:val="24"/>
                <w:szCs w:val="24"/>
                <w:highlight w:val="none"/>
              </w:rPr>
            </w:pPr>
            <w:bookmarkStart w:id="53" w:name="_Toc11911"/>
            <w:r>
              <w:rPr>
                <w:rFonts w:hint="eastAsia" w:ascii="宋体" w:hAnsi="宋体" w:eastAsia="宋体" w:cs="宋体"/>
                <w:bCs/>
                <w:color w:val="auto"/>
                <w:sz w:val="24"/>
                <w:szCs w:val="24"/>
                <w:highlight w:val="none"/>
              </w:rPr>
              <w:t>本项目采用综合评分法，授权评标委员会直接确定中标人。</w:t>
            </w:r>
            <w:bookmarkEnd w:id="53"/>
          </w:p>
        </w:tc>
      </w:tr>
      <w:tr w14:paraId="1E14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8" w:type="pct"/>
            <w:vAlign w:val="center"/>
          </w:tcPr>
          <w:p w14:paraId="4EF4D731">
            <w:pPr>
              <w:pageBreakBefore w:val="0"/>
              <w:kinsoku/>
              <w:overflowPunct/>
              <w:bidi w:val="0"/>
              <w:adjustRightInd/>
              <w:snapToGrid/>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11</w:t>
            </w:r>
          </w:p>
        </w:tc>
        <w:tc>
          <w:tcPr>
            <w:tcW w:w="989" w:type="pct"/>
            <w:vAlign w:val="center"/>
          </w:tcPr>
          <w:p w14:paraId="6638F288">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现场勘查</w:t>
            </w:r>
          </w:p>
        </w:tc>
        <w:tc>
          <w:tcPr>
            <w:tcW w:w="3662" w:type="pct"/>
            <w:vAlign w:val="center"/>
          </w:tcPr>
          <w:p w14:paraId="1B520A31">
            <w:pPr>
              <w:pStyle w:val="65"/>
              <w:keepNext w:val="0"/>
              <w:keepLines w:val="0"/>
              <w:pageBreakBefore w:val="0"/>
              <w:kinsoku/>
              <w:overflowPunct/>
              <w:bidi w:val="0"/>
              <w:adjustRightInd/>
              <w:snapToGrid/>
              <w:spacing w:before="0" w:after="0" w:line="240" w:lineRule="auto"/>
              <w:rPr>
                <w:rFonts w:hint="eastAsia" w:ascii="宋体" w:hAnsi="宋体" w:eastAsia="宋体" w:cs="宋体"/>
                <w:b w:val="0"/>
                <w:bCs/>
                <w:color w:val="auto"/>
                <w:kern w:val="2"/>
                <w:sz w:val="24"/>
                <w:szCs w:val="24"/>
                <w:highlight w:val="none"/>
                <w:lang w:val="en-US" w:eastAsia="zh-CN" w:bidi="ar-SA"/>
              </w:rPr>
            </w:pPr>
            <w:bookmarkStart w:id="54" w:name="_Toc7892"/>
            <w:r>
              <w:rPr>
                <w:rFonts w:hint="eastAsia" w:ascii="宋体" w:hAnsi="宋体" w:eastAsia="宋体" w:cs="宋体"/>
                <w:b w:val="0"/>
                <w:bCs/>
                <w:color w:val="auto"/>
                <w:kern w:val="2"/>
                <w:sz w:val="24"/>
                <w:szCs w:val="24"/>
                <w:highlight w:val="none"/>
                <w:lang w:val="en-US" w:eastAsia="zh-CN" w:bidi="ar-SA"/>
              </w:rPr>
              <w:sym w:font="Wingdings" w:char="00A8"/>
            </w:r>
            <w:r>
              <w:rPr>
                <w:rFonts w:hint="eastAsia" w:ascii="宋体" w:hAnsi="宋体" w:eastAsia="宋体" w:cs="宋体"/>
                <w:b w:val="0"/>
                <w:bCs/>
                <w:color w:val="auto"/>
                <w:kern w:val="2"/>
                <w:sz w:val="24"/>
                <w:szCs w:val="24"/>
                <w:highlight w:val="none"/>
                <w:lang w:val="en-US" w:eastAsia="zh-CN" w:bidi="ar-SA"/>
              </w:rPr>
              <w:t xml:space="preserve">是    </w:t>
            </w:r>
            <w:r>
              <w:rPr>
                <w:rFonts w:hint="eastAsia" w:ascii="宋体" w:hAnsi="宋体" w:eastAsia="宋体" w:cs="宋体"/>
                <w:b w:val="0"/>
                <w:bCs/>
                <w:color w:val="auto"/>
                <w:kern w:val="2"/>
                <w:sz w:val="24"/>
                <w:szCs w:val="24"/>
                <w:highlight w:val="none"/>
                <w:lang w:val="en-US" w:eastAsia="zh-CN" w:bidi="ar-SA"/>
              </w:rPr>
              <w:sym w:font="Wingdings" w:char="00FE"/>
            </w:r>
            <w:r>
              <w:rPr>
                <w:rFonts w:hint="eastAsia" w:ascii="宋体" w:hAnsi="宋体" w:eastAsia="宋体" w:cs="宋体"/>
                <w:b w:val="0"/>
                <w:bCs/>
                <w:color w:val="auto"/>
                <w:kern w:val="2"/>
                <w:sz w:val="24"/>
                <w:szCs w:val="24"/>
                <w:highlight w:val="none"/>
                <w:lang w:val="en-US" w:eastAsia="zh-CN" w:bidi="ar-SA"/>
              </w:rPr>
              <w:t>否</w:t>
            </w:r>
            <w:bookmarkEnd w:id="54"/>
          </w:p>
        </w:tc>
      </w:tr>
      <w:tr w14:paraId="6671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8" w:type="pct"/>
            <w:vAlign w:val="center"/>
          </w:tcPr>
          <w:p w14:paraId="1DC43FA9">
            <w:pPr>
              <w:pageBreakBefore w:val="0"/>
              <w:kinsoku/>
              <w:overflowPunct/>
              <w:bidi w:val="0"/>
              <w:adjustRightInd/>
              <w:snapToGrid/>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12</w:t>
            </w:r>
          </w:p>
        </w:tc>
        <w:tc>
          <w:tcPr>
            <w:tcW w:w="989" w:type="pct"/>
            <w:vAlign w:val="center"/>
          </w:tcPr>
          <w:p w14:paraId="1DE88DAA">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标前答疑</w:t>
            </w:r>
          </w:p>
        </w:tc>
        <w:tc>
          <w:tcPr>
            <w:tcW w:w="3662" w:type="pct"/>
            <w:vAlign w:val="center"/>
          </w:tcPr>
          <w:p w14:paraId="296AE6EE">
            <w:pPr>
              <w:pStyle w:val="65"/>
              <w:keepNext w:val="0"/>
              <w:keepLines w:val="0"/>
              <w:pageBreakBefore w:val="0"/>
              <w:kinsoku/>
              <w:overflowPunct/>
              <w:bidi w:val="0"/>
              <w:adjustRightInd/>
              <w:snapToGrid/>
              <w:spacing w:before="0" w:after="0" w:line="240" w:lineRule="auto"/>
              <w:rPr>
                <w:rFonts w:hint="eastAsia" w:ascii="宋体" w:hAnsi="宋体" w:eastAsia="宋体" w:cs="宋体"/>
                <w:b w:val="0"/>
                <w:bCs/>
                <w:color w:val="auto"/>
                <w:kern w:val="2"/>
                <w:sz w:val="24"/>
                <w:szCs w:val="24"/>
                <w:highlight w:val="none"/>
                <w:lang w:val="en-US" w:eastAsia="zh-CN" w:bidi="ar-SA"/>
              </w:rPr>
            </w:pPr>
            <w:bookmarkStart w:id="55" w:name="_Toc23576"/>
            <w:bookmarkStart w:id="56" w:name="_Toc16655"/>
            <w:r>
              <w:rPr>
                <w:rFonts w:hint="eastAsia" w:ascii="宋体" w:hAnsi="宋体" w:eastAsia="宋体" w:cs="宋体"/>
                <w:color w:val="auto"/>
                <w:kern w:val="0"/>
                <w:sz w:val="24"/>
                <w:highlight w:val="none"/>
              </w:rPr>
              <w:t>招标文件提供期限截止后，如需要，书面通知</w:t>
            </w:r>
            <w:bookmarkEnd w:id="55"/>
            <w:bookmarkEnd w:id="56"/>
          </w:p>
        </w:tc>
      </w:tr>
      <w:tr w14:paraId="24E7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8" w:type="pct"/>
            <w:vAlign w:val="center"/>
          </w:tcPr>
          <w:p w14:paraId="434EA233">
            <w:pPr>
              <w:pageBreakBefore w:val="0"/>
              <w:kinsoku/>
              <w:overflowPunct/>
              <w:bidi w:val="0"/>
              <w:adjustRightInd/>
              <w:snapToGrid/>
              <w:spacing w:line="240" w:lineRule="auto"/>
              <w:ind w:left="-105" w:leftChars="-50" w:right="-105" w:rightChars="-50"/>
              <w:jc w:val="center"/>
              <w:textAlignment w:val="baseline"/>
              <w:rPr>
                <w:rFonts w:hint="eastAsia" w:ascii="宋体" w:hAnsi="宋体" w:eastAsia="宋体" w:cs="宋体"/>
                <w:b w:val="0"/>
                <w:bCs w:val="0"/>
                <w:color w:val="auto"/>
                <w:kern w:val="2"/>
                <w:sz w:val="24"/>
                <w:szCs w:val="24"/>
                <w:highlight w:val="none"/>
                <w:lang w:val="en-US" w:eastAsia="zh-CN" w:bidi="ar-SA"/>
              </w:rPr>
            </w:pPr>
            <w:r>
              <w:rPr>
                <w:rStyle w:val="45"/>
                <w:rFonts w:hint="eastAsia" w:ascii="宋体" w:hAnsi="宋体" w:eastAsia="宋体" w:cs="宋体"/>
                <w:b w:val="0"/>
                <w:bCs w:val="0"/>
                <w:color w:val="auto"/>
                <w:sz w:val="24"/>
                <w:highlight w:val="none"/>
                <w:lang w:val="en-US" w:eastAsia="zh-CN"/>
              </w:rPr>
              <w:t>13</w:t>
            </w:r>
          </w:p>
        </w:tc>
        <w:tc>
          <w:tcPr>
            <w:tcW w:w="989" w:type="pct"/>
            <w:vAlign w:val="center"/>
          </w:tcPr>
          <w:p w14:paraId="48D45AA8">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33A5D115">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发出的方式</w:t>
            </w:r>
          </w:p>
        </w:tc>
        <w:tc>
          <w:tcPr>
            <w:tcW w:w="3662" w:type="pct"/>
            <w:vAlign w:val="center"/>
          </w:tcPr>
          <w:p w14:paraId="5C4099D1">
            <w:pPr>
              <w:pStyle w:val="70"/>
              <w:pageBreakBefore w:val="0"/>
              <w:widowControl/>
              <w:kinsoku/>
              <w:wordWrap w:val="0"/>
              <w:overflowPunct/>
              <w:topLinePunct w:val="0"/>
              <w:autoSpaceDE/>
              <w:autoSpaceDN/>
              <w:bidi w:val="0"/>
              <w:adjustRightInd/>
              <w:snapToGrid/>
              <w:spacing w:before="0" w:after="0" w:line="360" w:lineRule="exact"/>
              <w:rPr>
                <w:rFonts w:hint="eastAsia" w:ascii="宋体" w:hAnsi="宋体" w:eastAsia="宋体" w:cs="宋体"/>
                <w:b w:val="0"/>
                <w:bCs w:val="0"/>
                <w:color w:val="auto"/>
                <w:kern w:val="0"/>
                <w:sz w:val="24"/>
                <w:szCs w:val="32"/>
                <w:highlight w:val="none"/>
                <w:lang w:val="en-US" w:eastAsia="zh-CN" w:bidi="ar-SA"/>
              </w:rPr>
            </w:pPr>
            <w:r>
              <w:rPr>
                <w:rFonts w:hint="eastAsia" w:ascii="宋体" w:hAnsi="宋体" w:eastAsia="宋体" w:cs="宋体"/>
                <w:color w:val="auto"/>
                <w:sz w:val="24"/>
                <w:szCs w:val="24"/>
                <w:highlight w:val="none"/>
              </w:rPr>
              <w:t>招标文件在山西政府采购平台（https://login.sxzfcg.zcygov.cn/user-login/#/login）发布，投标人应及时获取。因投标人自身原因未及时获取招标文件导致的任何后果，由投标人自行承担。</w:t>
            </w:r>
          </w:p>
        </w:tc>
      </w:tr>
      <w:tr w14:paraId="554F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8" w:type="pct"/>
            <w:vAlign w:val="center"/>
          </w:tcPr>
          <w:p w14:paraId="0B1C6FCF">
            <w:pPr>
              <w:pageBreakBefore w:val="0"/>
              <w:kinsoku/>
              <w:overflowPunct/>
              <w:bidi w:val="0"/>
              <w:adjustRightInd/>
              <w:snapToGrid/>
              <w:spacing w:line="240" w:lineRule="auto"/>
              <w:ind w:left="-105" w:leftChars="-50" w:right="-105" w:rightChars="-50"/>
              <w:jc w:val="center"/>
              <w:textAlignment w:val="baseline"/>
              <w:rPr>
                <w:rStyle w:val="45"/>
                <w:rFonts w:hint="eastAsia" w:ascii="宋体" w:hAnsi="宋体" w:eastAsia="宋体" w:cs="宋体"/>
                <w:b w:val="0"/>
                <w:bCs w:val="0"/>
                <w:color w:val="auto"/>
                <w:sz w:val="24"/>
                <w:highlight w:val="none"/>
                <w:lang w:val="en-US" w:eastAsia="zh-CN"/>
              </w:rPr>
            </w:pPr>
            <w:r>
              <w:rPr>
                <w:rStyle w:val="45"/>
                <w:rFonts w:hint="eastAsia" w:ascii="宋体" w:hAnsi="宋体" w:eastAsia="宋体" w:cs="宋体"/>
                <w:b w:val="0"/>
                <w:bCs w:val="0"/>
                <w:color w:val="auto"/>
                <w:sz w:val="24"/>
                <w:highlight w:val="none"/>
                <w:lang w:val="en-US" w:eastAsia="zh-CN"/>
              </w:rPr>
              <w:t>14</w:t>
            </w:r>
          </w:p>
        </w:tc>
        <w:tc>
          <w:tcPr>
            <w:tcW w:w="989" w:type="pct"/>
            <w:vAlign w:val="center"/>
          </w:tcPr>
          <w:p w14:paraId="4A1C1A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项目所属行业</w:t>
            </w:r>
          </w:p>
        </w:tc>
        <w:tc>
          <w:tcPr>
            <w:tcW w:w="3662" w:type="pct"/>
            <w:vAlign w:val="center"/>
          </w:tcPr>
          <w:p w14:paraId="08DFB2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4"/>
                <w:highlight w:val="none"/>
              </w:rPr>
            </w:pPr>
            <w:r>
              <w:rPr>
                <w:rFonts w:hint="eastAsia" w:ascii="宋体" w:hAnsi="宋体" w:eastAsia="宋体" w:cs="宋体"/>
                <w:b w:val="0"/>
                <w:bCs w:val="0"/>
                <w:color w:val="auto"/>
                <w:kern w:val="0"/>
                <w:sz w:val="24"/>
                <w:highlight w:val="none"/>
              </w:rPr>
              <w:t>根据中小企业划型标准，本项目属</w:t>
            </w:r>
            <w:r>
              <w:rPr>
                <w:rFonts w:hint="eastAsia" w:ascii="宋体" w:hAnsi="宋体" w:eastAsia="宋体" w:cs="宋体"/>
                <w:b w:val="0"/>
                <w:bCs w:val="0"/>
                <w:color w:val="auto"/>
                <w:kern w:val="0"/>
                <w:sz w:val="24"/>
                <w:highlight w:val="none"/>
                <w:u w:val="single"/>
              </w:rPr>
              <w:t xml:space="preserve"> 其他未列明行业 </w:t>
            </w:r>
            <w:r>
              <w:rPr>
                <w:rFonts w:hint="eastAsia" w:ascii="宋体" w:hAnsi="宋体" w:eastAsia="宋体" w:cs="宋体"/>
                <w:b w:val="0"/>
                <w:bCs w:val="0"/>
                <w:color w:val="auto"/>
                <w:kern w:val="0"/>
                <w:sz w:val="24"/>
                <w:highlight w:val="none"/>
                <w:u w:val="none"/>
                <w:lang w:eastAsia="zh-CN"/>
              </w:rPr>
              <w:t>行业</w:t>
            </w:r>
            <w:r>
              <w:rPr>
                <w:rFonts w:hint="eastAsia" w:ascii="宋体" w:hAnsi="宋体" w:eastAsia="宋体" w:cs="宋体"/>
                <w:b w:val="0"/>
                <w:bCs w:val="0"/>
                <w:color w:val="auto"/>
                <w:kern w:val="0"/>
                <w:sz w:val="24"/>
                <w:highlight w:val="none"/>
              </w:rPr>
              <w:t>。</w:t>
            </w:r>
          </w:p>
        </w:tc>
      </w:tr>
      <w:tr w14:paraId="55D6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 w:type="pct"/>
            <w:vAlign w:val="center"/>
          </w:tcPr>
          <w:p w14:paraId="268F4CAC">
            <w:pPr>
              <w:pageBreakBefore w:val="0"/>
              <w:kinsoku/>
              <w:overflowPunct/>
              <w:bidi w:val="0"/>
              <w:adjustRightInd/>
              <w:snapToGrid/>
              <w:spacing w:line="240" w:lineRule="auto"/>
              <w:ind w:left="-105" w:leftChars="-50" w:right="-105" w:rightChars="-50"/>
              <w:jc w:val="center"/>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15</w:t>
            </w:r>
          </w:p>
        </w:tc>
        <w:tc>
          <w:tcPr>
            <w:tcW w:w="989" w:type="pct"/>
            <w:vAlign w:val="center"/>
          </w:tcPr>
          <w:p w14:paraId="261FB5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其他补充事宜</w:t>
            </w:r>
          </w:p>
        </w:tc>
        <w:tc>
          <w:tcPr>
            <w:tcW w:w="3662" w:type="pct"/>
            <w:vAlign w:val="center"/>
          </w:tcPr>
          <w:p w14:paraId="4483477F">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当本</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须知前附表和</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须知中的内容和条款有冲突或不一致时，以本</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须知前附表为准。</w:t>
            </w:r>
          </w:p>
          <w:p w14:paraId="3F6B04EC">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lang w:val="en-US" w:eastAsia="zh-CN"/>
              </w:rPr>
              <w:t>2、投标人在法定质疑期内一次性提出针对同一采购程序环节的质疑。</w:t>
            </w:r>
          </w:p>
        </w:tc>
      </w:tr>
    </w:tbl>
    <w:p w14:paraId="74E6931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96FB95">
      <w:pPr>
        <w:spacing w:line="360" w:lineRule="auto"/>
        <w:jc w:val="center"/>
        <w:rPr>
          <w:rFonts w:hint="eastAsia" w:ascii="宋体" w:hAnsi="宋体" w:eastAsia="宋体" w:cs="宋体"/>
          <w:b/>
          <w:bCs/>
          <w:color w:val="auto"/>
          <w:spacing w:val="20"/>
          <w:kern w:val="0"/>
          <w:sz w:val="32"/>
          <w:szCs w:val="32"/>
          <w:highlight w:val="none"/>
        </w:rPr>
      </w:pPr>
      <w:r>
        <w:rPr>
          <w:rFonts w:hint="eastAsia" w:ascii="宋体" w:hAnsi="宋体" w:eastAsia="宋体" w:cs="宋体"/>
          <w:b/>
          <w:bCs/>
          <w:color w:val="auto"/>
          <w:spacing w:val="20"/>
          <w:kern w:val="0"/>
          <w:sz w:val="32"/>
          <w:szCs w:val="32"/>
          <w:highlight w:val="none"/>
        </w:rPr>
        <w:t>电子</w:t>
      </w:r>
      <w:r>
        <w:rPr>
          <w:rFonts w:hint="eastAsia" w:ascii="宋体" w:hAnsi="宋体" w:eastAsia="宋体" w:cs="宋体"/>
          <w:b/>
          <w:bCs/>
          <w:color w:val="auto"/>
          <w:spacing w:val="20"/>
          <w:kern w:val="0"/>
          <w:sz w:val="32"/>
          <w:szCs w:val="32"/>
          <w:highlight w:val="none"/>
          <w:lang w:val="en-US" w:eastAsia="zh-CN"/>
        </w:rPr>
        <w:t>响应</w:t>
      </w:r>
      <w:r>
        <w:rPr>
          <w:rFonts w:hint="eastAsia" w:ascii="宋体" w:hAnsi="宋体" w:eastAsia="宋体" w:cs="宋体"/>
          <w:b/>
          <w:bCs/>
          <w:color w:val="auto"/>
          <w:spacing w:val="20"/>
          <w:kern w:val="0"/>
          <w:sz w:val="32"/>
          <w:szCs w:val="32"/>
          <w:highlight w:val="none"/>
        </w:rPr>
        <w:t>须知附表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814"/>
        <w:gridCol w:w="7057"/>
      </w:tblGrid>
      <w:tr w14:paraId="32E3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7" w:type="dxa"/>
            <w:vAlign w:val="center"/>
          </w:tcPr>
          <w:p w14:paraId="6B867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序号</w:t>
            </w:r>
          </w:p>
        </w:tc>
        <w:tc>
          <w:tcPr>
            <w:tcW w:w="1814" w:type="dxa"/>
            <w:vAlign w:val="center"/>
          </w:tcPr>
          <w:p w14:paraId="4E8968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条款名称</w:t>
            </w:r>
          </w:p>
        </w:tc>
        <w:tc>
          <w:tcPr>
            <w:tcW w:w="7057" w:type="dxa"/>
            <w:vAlign w:val="center"/>
          </w:tcPr>
          <w:p w14:paraId="2CFE6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编列内容</w:t>
            </w:r>
          </w:p>
        </w:tc>
      </w:tr>
      <w:tr w14:paraId="488A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5C1EC7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814" w:type="dxa"/>
            <w:vAlign w:val="center"/>
          </w:tcPr>
          <w:p w14:paraId="31187D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编制</w:t>
            </w:r>
          </w:p>
        </w:tc>
        <w:tc>
          <w:tcPr>
            <w:tcW w:w="7057" w:type="dxa"/>
            <w:vAlign w:val="center"/>
          </w:tcPr>
          <w:p w14:paraId="41BFEA63">
            <w:pPr>
              <w:pStyle w:val="53"/>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1.1投标人应使用政采云系统的投标文件编制工具，按照操作手册编制电子投标文件，并使用数字证书（CA）按照招标文件规定签字、盖章。同时使用数字证书（CA）对投标文件进行加密。</w:t>
            </w:r>
          </w:p>
          <w:p w14:paraId="5E7F07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1.2在上传电子投标文件时，需对应系统中每个模块要求，形成独立的PDF格式文件，按照指定对应模块，逐条完成上传，保存后提交。</w:t>
            </w:r>
          </w:p>
          <w:p w14:paraId="76023F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1.3电子投标文件所附各类证件、证书、证明，均随投标文件统一编排页码进行上传。</w:t>
            </w:r>
          </w:p>
        </w:tc>
      </w:tr>
      <w:tr w14:paraId="4C94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05ACDC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814" w:type="dxa"/>
            <w:vAlign w:val="center"/>
          </w:tcPr>
          <w:p w14:paraId="57FB59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电子投标文件解密</w:t>
            </w:r>
          </w:p>
        </w:tc>
        <w:tc>
          <w:tcPr>
            <w:tcW w:w="7057" w:type="dxa"/>
            <w:vAlign w:val="center"/>
          </w:tcPr>
          <w:p w14:paraId="46FA77D6">
            <w:pPr>
              <w:pStyle w:val="53"/>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在招标文件规定的开标时间后，采购代理机构会在政采云系统发出解密指令，投标人在收到解密指令后，须使用加密投标文件时所使用的数字证书（CA）对已递交（上传）的电子投标文件进行解密（可远程解密）。</w:t>
            </w:r>
          </w:p>
          <w:p w14:paraId="3C0252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2.2电子投标文件解密时间：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p>
          <w:p w14:paraId="5822A15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2.3电子投标文件解密流程：使用用户名密码或电子CA登录政采云系统→项目采购→开标评标→找到对应项目→解密→输入CA密码→开始下载→解密完成。</w:t>
            </w:r>
          </w:p>
          <w:p w14:paraId="7DE6479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2.4因投标人原因造成投标文件未解密的，视为撤销其投标文件，包括以下情形：</w:t>
            </w:r>
          </w:p>
          <w:p w14:paraId="199F09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（1)投标人未在规定时间内解密投标文件的；</w:t>
            </w:r>
          </w:p>
          <w:p w14:paraId="745201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（2)投标人使用非本次投标加密用CA数字证书解密的；</w:t>
            </w:r>
          </w:p>
          <w:p w14:paraId="5B1540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（3)投标人使用的CA数字证书属于注销或无效或损坏的。</w:t>
            </w:r>
          </w:p>
        </w:tc>
      </w:tr>
      <w:tr w14:paraId="13DE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2B219D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814" w:type="dxa"/>
            <w:vAlign w:val="center"/>
          </w:tcPr>
          <w:p w14:paraId="7241AF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电子化采购项目视为串通情形的认定</w:t>
            </w:r>
          </w:p>
        </w:tc>
        <w:tc>
          <w:tcPr>
            <w:tcW w:w="7057" w:type="dxa"/>
            <w:vAlign w:val="center"/>
          </w:tcPr>
          <w:p w14:paraId="307CDC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50F40B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系统记录的参加同一项目的不同投标人编制电子投标文件使用的计算机或上传电子投标文件使用的计算机网卡MAC地址、IP地址一致的，属于《政府采购货物和服务招标投标管理办法》(财政部令第87号)第三十七条第(一)项“不同投标人的投标文件由同一单位或者个人编制”的情形。</w:t>
            </w:r>
          </w:p>
          <w:p w14:paraId="41AB47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51C780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3.4出现上述情形的，属于《中华人民共和国政府采购法实施条例》第七十四条第(七)项“投标人与采购人或者采购代理机构之间、投标人相互之间，为谋求特定投标人中标、成交或者排斥其他投标人的其他串通行为”。</w:t>
            </w:r>
          </w:p>
        </w:tc>
      </w:tr>
      <w:tr w14:paraId="1B24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4A21F9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814" w:type="dxa"/>
            <w:vAlign w:val="center"/>
          </w:tcPr>
          <w:p w14:paraId="4A8C87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其他</w:t>
            </w:r>
          </w:p>
        </w:tc>
        <w:tc>
          <w:tcPr>
            <w:tcW w:w="7057" w:type="dxa"/>
            <w:vAlign w:val="center"/>
          </w:tcPr>
          <w:p w14:paraId="0357079A">
            <w:pPr>
              <w:pStyle w:val="53"/>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4.1本项目采购活动的全过程，均采用电子形式进行。在评审过程中，当政采云系统出现异常情形时，经请示财政部门同意后，采购代理机构可采用其他方式进行评审活动。</w:t>
            </w:r>
          </w:p>
          <w:p w14:paraId="11443C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4.2待系统恢复后，采购代理机构须把线下开启、评审结果数据录入政采云系统。</w:t>
            </w:r>
          </w:p>
        </w:tc>
      </w:tr>
    </w:tbl>
    <w:p w14:paraId="61315E4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color w:val="auto"/>
          <w:highlight w:val="none"/>
        </w:rPr>
      </w:pPr>
      <w:bookmarkStart w:id="57" w:name="_Toc21360"/>
      <w:bookmarkStart w:id="58" w:name="_Toc20141"/>
      <w:bookmarkStart w:id="59" w:name="_Toc2961"/>
      <w:r>
        <w:rPr>
          <w:rFonts w:hint="eastAsia" w:ascii="宋体" w:hAnsi="宋体" w:eastAsia="宋体" w:cs="宋体"/>
          <w:color w:val="auto"/>
          <w:sz w:val="24"/>
          <w:szCs w:val="24"/>
          <w:highlight w:val="none"/>
        </w:rPr>
        <w:t>注：本表内容与</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须知内容不一致的，以本表内容为准。</w:t>
      </w:r>
      <w:bookmarkEnd w:id="57"/>
      <w:bookmarkEnd w:id="58"/>
      <w:bookmarkEnd w:id="59"/>
      <w:r>
        <w:rPr>
          <w:rFonts w:hint="eastAsia" w:ascii="宋体" w:hAnsi="宋体" w:eastAsia="宋体" w:cs="宋体"/>
          <w:color w:val="auto"/>
          <w:sz w:val="24"/>
          <w:szCs w:val="24"/>
          <w:highlight w:val="none"/>
          <w:lang w:val="en-US" w:eastAsia="zh-CN"/>
        </w:rPr>
        <w:t>解密流程与本表不一致的，以政采云解密流程为准。</w:t>
      </w:r>
    </w:p>
    <w:p w14:paraId="6E1808FD">
      <w:pPr>
        <w:rPr>
          <w:rFonts w:hint="eastAsia" w:ascii="宋体" w:hAnsi="宋体" w:eastAsia="宋体" w:cs="宋体"/>
          <w:color w:val="auto"/>
          <w:highlight w:val="none"/>
        </w:rPr>
      </w:pPr>
    </w:p>
    <w:p w14:paraId="582165A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294FB53">
      <w:pPr>
        <w:widowControl/>
        <w:snapToGrid w:val="0"/>
        <w:spacing w:line="360" w:lineRule="auto"/>
        <w:ind w:firstLine="301" w:firstLineChars="100"/>
        <w:jc w:val="center"/>
        <w:outlineLvl w:val="0"/>
        <w:rPr>
          <w:rFonts w:hint="eastAsia" w:ascii="宋体" w:hAnsi="宋体" w:eastAsia="宋体" w:cs="宋体"/>
          <w:b/>
          <w:color w:val="auto"/>
          <w:kern w:val="0"/>
          <w:sz w:val="30"/>
          <w:szCs w:val="30"/>
          <w:highlight w:val="none"/>
        </w:rPr>
      </w:pPr>
      <w:bookmarkStart w:id="60" w:name="_Toc29734"/>
      <w:r>
        <w:rPr>
          <w:rFonts w:hint="eastAsia" w:ascii="宋体" w:hAnsi="宋体" w:eastAsia="宋体" w:cs="宋体"/>
          <w:b/>
          <w:color w:val="auto"/>
          <w:kern w:val="0"/>
          <w:sz w:val="30"/>
          <w:szCs w:val="30"/>
          <w:highlight w:val="none"/>
        </w:rPr>
        <w:t>第三部分  投标人须知</w:t>
      </w:r>
      <w:bookmarkEnd w:id="60"/>
    </w:p>
    <w:bookmarkEnd w:id="41"/>
    <w:bookmarkEnd w:id="42"/>
    <w:p w14:paraId="2EA15309">
      <w:pPr>
        <w:keepNext w:val="0"/>
        <w:keepLines w:val="0"/>
        <w:pageBreakBefore w:val="0"/>
        <w:kinsoku/>
        <w:wordWrap/>
        <w:overflowPunct/>
        <w:topLinePunct w:val="0"/>
        <w:autoSpaceDE/>
        <w:autoSpaceDN/>
        <w:bidi w:val="0"/>
        <w:adjustRightInd/>
        <w:snapToGrid/>
        <w:spacing w:line="348" w:lineRule="auto"/>
        <w:ind w:firstLine="241" w:firstLineChars="100"/>
        <w:textAlignment w:val="auto"/>
        <w:outlineLvl w:val="1"/>
        <w:rPr>
          <w:rFonts w:hint="eastAsia" w:ascii="宋体" w:hAnsi="宋体" w:eastAsia="宋体" w:cs="宋体"/>
          <w:b/>
          <w:color w:val="auto"/>
          <w:kern w:val="0"/>
          <w:sz w:val="24"/>
          <w:highlight w:val="none"/>
        </w:rPr>
      </w:pPr>
      <w:bookmarkStart w:id="61" w:name="_Toc9096"/>
      <w:bookmarkStart w:id="62" w:name="_Toc29693"/>
      <w:bookmarkStart w:id="63" w:name="_Toc175644026"/>
      <w:r>
        <w:rPr>
          <w:rFonts w:hint="eastAsia" w:ascii="宋体" w:hAnsi="宋体" w:eastAsia="宋体" w:cs="宋体"/>
          <w:b/>
          <w:color w:val="auto"/>
          <w:kern w:val="0"/>
          <w:sz w:val="24"/>
          <w:highlight w:val="none"/>
        </w:rPr>
        <w:t>一、总则</w:t>
      </w:r>
      <w:bookmarkEnd w:id="61"/>
      <w:bookmarkEnd w:id="62"/>
    </w:p>
    <w:p w14:paraId="2393E483">
      <w:pPr>
        <w:keepNext w:val="0"/>
        <w:keepLines w:val="0"/>
        <w:pageBreakBefore w:val="0"/>
        <w:tabs>
          <w:tab w:val="left" w:pos="737"/>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 适用范围</w:t>
      </w:r>
    </w:p>
    <w:p w14:paraId="3A0A4D31">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本招标文件适用于本次招标活动的全过程。</w:t>
      </w:r>
    </w:p>
    <w:p w14:paraId="5EEB017C">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 定义</w:t>
      </w:r>
    </w:p>
    <w:p w14:paraId="0003FC4A">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2.1采购人：指依法进行本次招标活动的采购单位，即</w:t>
      </w:r>
      <w:r>
        <w:rPr>
          <w:rFonts w:hint="eastAsia" w:ascii="宋体" w:hAnsi="宋体" w:cs="宋体"/>
          <w:color w:val="auto"/>
          <w:kern w:val="0"/>
          <w:sz w:val="24"/>
          <w:highlight w:val="none"/>
          <w:lang w:eastAsia="zh-CN"/>
        </w:rPr>
        <w:t>“太原市市政公共设施建设管理中心”</w:t>
      </w:r>
      <w:r>
        <w:rPr>
          <w:rFonts w:hint="eastAsia" w:ascii="宋体" w:hAnsi="宋体" w:eastAsia="宋体" w:cs="宋体"/>
          <w:color w:val="auto"/>
          <w:kern w:val="0"/>
          <w:sz w:val="24"/>
          <w:highlight w:val="none"/>
        </w:rPr>
        <w:t>。</w:t>
      </w:r>
    </w:p>
    <w:p w14:paraId="3E53EDD9">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kern w:val="0"/>
          <w:sz w:val="24"/>
          <w:highlight w:val="none"/>
        </w:rPr>
        <w:t>采购代理机构：指在采购人委托的范围内依法开展采购活动，组织本次招标活动的执行机构，即“</w:t>
      </w:r>
      <w:r>
        <w:rPr>
          <w:rFonts w:hint="eastAsia" w:ascii="宋体" w:hAnsi="宋体" w:cs="宋体"/>
          <w:color w:val="auto"/>
          <w:kern w:val="0"/>
          <w:sz w:val="24"/>
          <w:highlight w:val="none"/>
          <w:lang w:eastAsia="zh-CN"/>
        </w:rPr>
        <w:t>山西麟辉项目管理有限公司</w:t>
      </w:r>
      <w:r>
        <w:rPr>
          <w:rFonts w:hint="eastAsia" w:ascii="宋体" w:hAnsi="宋体" w:eastAsia="宋体" w:cs="宋体"/>
          <w:color w:val="auto"/>
          <w:kern w:val="0"/>
          <w:sz w:val="24"/>
          <w:highlight w:val="none"/>
        </w:rPr>
        <w:t>”。</w:t>
      </w:r>
    </w:p>
    <w:p w14:paraId="4B4EC810">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2.3投标人：指响应本招标文件规定并按期提供投标文件参加投标竞争的法人、其他组织或者自然人。</w:t>
      </w:r>
    </w:p>
    <w:p w14:paraId="2C55E34D">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2.4潜在投标人：指符合本招标文件各项规定的</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w:t>
      </w:r>
    </w:p>
    <w:p w14:paraId="5ADF15B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2.5货物：指投标人按招标文件商务技术要求，向采购人有偿提供的各种物品及其他有关技术资料和材料。</w:t>
      </w:r>
    </w:p>
    <w:p w14:paraId="34343F61">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5FBB1D87">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493B64F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2.8投标文件：是指投标人应招标文件的条件和要求，按规定编制并按时递交的文件。</w:t>
      </w:r>
    </w:p>
    <w:p w14:paraId="7BA68030">
      <w:pPr>
        <w:keepNext w:val="0"/>
        <w:keepLines w:val="0"/>
        <w:pageBreakBefore w:val="0"/>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3.合格投标人的条件</w:t>
      </w:r>
    </w:p>
    <w:p w14:paraId="517EA52D">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符合《中华人民共和国政府采购法》第二十二条投标人参加政府采购活动应当具备的条件及其他有关法律、法规关于投标人的有关规定，有能力提供招标采购货物的投标人。需按投标人须知前附表第5项要求提供有效资格证明文件。</w:t>
      </w:r>
    </w:p>
    <w:p w14:paraId="60352678">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3.2为本项目提供整体设计、规范编制或者项目管理、监理、检测等服务的投标人，不得再参加本项目的投标。</w:t>
      </w:r>
    </w:p>
    <w:p w14:paraId="43EC6EB9">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3.3关于是否允许代理商参加投标（见前附表第2项）。</w:t>
      </w:r>
    </w:p>
    <w:p w14:paraId="333ABA3D">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3.4关于是否允许联合体投标（见前附表第3项）。</w:t>
      </w:r>
    </w:p>
    <w:p w14:paraId="17CA6CF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若《投标邀请函》接受联合体投标的：</w:t>
      </w:r>
    </w:p>
    <w:p w14:paraId="2493541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（1）两个以上的法人或者其他组织或自然人可以组成一个联合体，以一个投标人的身份共同参加投标。</w:t>
      </w:r>
    </w:p>
    <w:p w14:paraId="6BFE4C58">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各方均应当符合《政府采购法》第二十二条第一款规定的条件，根据采购项目的特殊要求规定投标人特定条件的，联合体各方中至少应当有一方符合《投标邀请函》规定的投标人资格条件（实质性要求）。</w:t>
      </w:r>
    </w:p>
    <w:p w14:paraId="17CB5EA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（3）联合体各方均应当提供投标人须知前附表第5项中要求的有效的资格证明文件。</w:t>
      </w:r>
    </w:p>
    <w:p w14:paraId="7E2FBCB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部分投标文件格式。</w:t>
      </w:r>
    </w:p>
    <w:p w14:paraId="2518DB4C">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（5）下载招标文件时，应以联合体协议中确定的主体方名义下载。</w:t>
      </w:r>
    </w:p>
    <w:p w14:paraId="4FA82FE1">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（6）联合体投标的，应以主体方名义提交投标保证金（如有），对联合体各方均具有约束力。</w:t>
      </w:r>
    </w:p>
    <w:p w14:paraId="5E86A33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（7）由同一专业的单位组成的联合体，按照同一项资质等级较低的单位确定资质等级。业绩等有关</w:t>
      </w:r>
      <w:r>
        <w:rPr>
          <w:rFonts w:hint="eastAsia" w:ascii="宋体" w:hAnsi="宋体" w:eastAsia="宋体" w:cs="宋体"/>
          <w:color w:val="auto"/>
          <w:kern w:val="0"/>
          <w:sz w:val="24"/>
          <w:highlight w:val="none"/>
          <w:lang w:eastAsia="zh-CN"/>
        </w:rPr>
        <w:t>评分</w:t>
      </w:r>
      <w:r>
        <w:rPr>
          <w:rFonts w:hint="eastAsia" w:ascii="宋体" w:hAnsi="宋体" w:eastAsia="宋体" w:cs="宋体"/>
          <w:color w:val="auto"/>
          <w:kern w:val="0"/>
          <w:sz w:val="24"/>
          <w:highlight w:val="none"/>
        </w:rPr>
        <w:t>内容根据共同投标协议约定的各方承担的工作和相应责任，确定一方打分，不累加打分；评审标准无明确或难以明确对应哪一方的打分内容按主体方打分。</w:t>
      </w:r>
    </w:p>
    <w:p w14:paraId="6BF168FD">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（8）联合体中任意一方为中小企业的，该方应提供《中小企业声明函》。</w:t>
      </w:r>
    </w:p>
    <w:p w14:paraId="3EC35E97">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（9）联合体各方应当共同与采购人签订采购合同，就采购合同约定的事项对采购人承担连带责任。</w:t>
      </w:r>
    </w:p>
    <w:p w14:paraId="7BE2F254">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3.5关于关联企业</w:t>
      </w:r>
    </w:p>
    <w:p w14:paraId="16832E7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除联合体外，法定代表人或单位负责人为同一个人或者存在直接控股、管理关系的不同投标人，不得同时参加同一项目或同一子项目的投标。如同时参加，则评审时将同时被拒绝。</w:t>
      </w:r>
    </w:p>
    <w:p w14:paraId="3C97FFFD">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3.6关于中小微企业参与投标</w:t>
      </w:r>
    </w:p>
    <w:p w14:paraId="520D02F3">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中小微企业是指符合《政府采购促进中小企业发展管理办法》（财库[2020]46号）规定的投标人。中小微企业参与投标应提供《中小企业声明函》。</w:t>
      </w:r>
    </w:p>
    <w:p w14:paraId="4EF31DFB">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监狱企业投标时，提供由省级以上监狱管理局、戒毒管理局（含新疆生产建设兵团）出具的属于监狱企业的证明文件，不再提供《中小企业声明函》。</w:t>
      </w:r>
    </w:p>
    <w:p w14:paraId="304A4B59">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残疾人福利性单位视同为小型、微型企业。</w:t>
      </w:r>
    </w:p>
    <w:p w14:paraId="452B163C">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3.7关于分公司投标</w:t>
      </w:r>
    </w:p>
    <w:p w14:paraId="6C2E852A">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分公司作为投标人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2BA21CFC">
      <w:pPr>
        <w:keepNext w:val="0"/>
        <w:keepLines w:val="0"/>
        <w:pageBreakBefore w:val="0"/>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4.合格的服务</w:t>
      </w:r>
    </w:p>
    <w:p w14:paraId="46906DFD">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4.1投标人所提供的货物应当没有侵犯任何第三方的知识产权、技术秘密等合法权利。</w:t>
      </w:r>
    </w:p>
    <w:p w14:paraId="271D402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4.2投标人提供的货物应当符合招标文件的要求，并且其质量完全符合国家标准、行业标准或地方标准。</w:t>
      </w:r>
    </w:p>
    <w:p w14:paraId="3B7AE1C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4.3系统软件、通用软件必须是具有在中国境内的合法使用权或版权的正版软件，涉及到第三方提出侵权或知识产权的起诉及支付版税等费用由投标人承担所有责任及费用。</w:t>
      </w:r>
    </w:p>
    <w:p w14:paraId="56C1F310">
      <w:pPr>
        <w:keepNext w:val="0"/>
        <w:keepLines w:val="0"/>
        <w:pageBreakBefore w:val="0"/>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5.投标费用</w:t>
      </w:r>
    </w:p>
    <w:p w14:paraId="436494E2">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5.1投标人应承担准备和参加投标有关的所有费用，采购代理机构和采购人在任何情况下均无义务和责任承担这些费用。</w:t>
      </w:r>
    </w:p>
    <w:p w14:paraId="428BCF54">
      <w:pPr>
        <w:keepNext w:val="0"/>
        <w:keepLines w:val="0"/>
        <w:pageBreakBefore w:val="0"/>
        <w:tabs>
          <w:tab w:val="left" w:pos="567"/>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6.招标要求</w:t>
      </w:r>
    </w:p>
    <w:p w14:paraId="08EB8F9D">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6.1投标人所提供的货物、所需服务与技术方案被采购人采用时，中标人</w:t>
      </w:r>
      <w:r>
        <w:rPr>
          <w:rFonts w:hint="eastAsia" w:ascii="宋体" w:hAnsi="宋体" w:eastAsia="宋体" w:cs="宋体"/>
          <w:snapToGrid w:val="0"/>
          <w:color w:val="auto"/>
          <w:kern w:val="0"/>
          <w:sz w:val="24"/>
          <w:highlight w:val="none"/>
        </w:rPr>
        <w:t>所提供的服务及相关内容必须符合本《招标文件》的要求且按要求实施，</w:t>
      </w:r>
      <w:r>
        <w:rPr>
          <w:rFonts w:hint="eastAsia" w:ascii="宋体" w:hAnsi="宋体" w:eastAsia="宋体" w:cs="宋体"/>
          <w:color w:val="auto"/>
          <w:kern w:val="0"/>
          <w:sz w:val="24"/>
          <w:highlight w:val="none"/>
        </w:rPr>
        <w:t>并认真履行合同规定的相关条款。</w:t>
      </w:r>
    </w:p>
    <w:p w14:paraId="44915858">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6.2采购代理机构或者采购人可以在招标文件提供期限截止后，组织已获取招标文件的潜在投标人现场勘查或者召开标前答疑会。是否组织现场勘查或者召开答疑会的，详见投标人前附表第11、12项。而无论本项目（包）是否安排踏勘现场，潜在投标人均应当将相关的因素作为投标所应当考虑或依据的因素。</w:t>
      </w:r>
    </w:p>
    <w:p w14:paraId="33628FD8">
      <w:pPr>
        <w:keepNext w:val="0"/>
        <w:keepLines w:val="0"/>
        <w:pageBreakBefore w:val="0"/>
        <w:tabs>
          <w:tab w:val="left" w:pos="567"/>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7.通知</w:t>
      </w:r>
    </w:p>
    <w:p w14:paraId="0117B2D8">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对与本项目有关的通知，采购代理机构将在山西政府采购平台政采云系统中发出（视同书面通知），因线路故障导致通知延迟或无法查看，采购代理机构或采购人将不承担任何责任，有关的招标活动可以继续有效地进行。</w:t>
      </w:r>
    </w:p>
    <w:p w14:paraId="6EBBB443">
      <w:pPr>
        <w:keepNext w:val="0"/>
        <w:keepLines w:val="0"/>
        <w:pageBreakBefore w:val="0"/>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8.解释权</w:t>
      </w:r>
    </w:p>
    <w:p w14:paraId="13ED22D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8.1本次招投标的最终解释权归为采购人、采购代理机构。</w:t>
      </w:r>
    </w:p>
    <w:p w14:paraId="27FF7B0C">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8.2当对一个问题有多种解释时以采购人、采购代理机构的解释为准。</w:t>
      </w:r>
    </w:p>
    <w:p w14:paraId="6329D367">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8.3本文件未作须知明示，而又有相关法律、法规规定的，采购人、采购代理机构将依据相关法律法规的规定进行解释。</w:t>
      </w:r>
    </w:p>
    <w:p w14:paraId="398F13CE">
      <w:pPr>
        <w:keepNext w:val="0"/>
        <w:keepLines w:val="0"/>
        <w:pageBreakBefore w:val="0"/>
        <w:kinsoku/>
        <w:wordWrap/>
        <w:overflowPunct/>
        <w:topLinePunct w:val="0"/>
        <w:autoSpaceDE/>
        <w:autoSpaceDN/>
        <w:bidi w:val="0"/>
        <w:adjustRightInd/>
        <w:snapToGrid/>
        <w:spacing w:line="348" w:lineRule="auto"/>
        <w:ind w:firstLine="482" w:firstLineChars="200"/>
        <w:textAlignment w:val="auto"/>
        <w:outlineLvl w:val="1"/>
        <w:rPr>
          <w:rFonts w:hint="eastAsia" w:ascii="宋体" w:hAnsi="宋体" w:eastAsia="宋体" w:cs="宋体"/>
          <w:b/>
          <w:color w:val="auto"/>
          <w:kern w:val="0"/>
          <w:sz w:val="24"/>
          <w:highlight w:val="none"/>
        </w:rPr>
      </w:pPr>
      <w:bookmarkStart w:id="64" w:name="_Toc13782"/>
      <w:bookmarkStart w:id="65" w:name="_Toc32547"/>
      <w:r>
        <w:rPr>
          <w:rFonts w:hint="eastAsia" w:ascii="宋体" w:hAnsi="宋体" w:eastAsia="宋体" w:cs="宋体"/>
          <w:b/>
          <w:color w:val="auto"/>
          <w:kern w:val="0"/>
          <w:sz w:val="24"/>
          <w:highlight w:val="none"/>
        </w:rPr>
        <w:t>二、招标文件组成、澄清和修改</w:t>
      </w:r>
      <w:bookmarkEnd w:id="64"/>
      <w:bookmarkEnd w:id="65"/>
    </w:p>
    <w:p w14:paraId="158B1B17">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9.招标文件的内容</w:t>
      </w:r>
    </w:p>
    <w:p w14:paraId="00E833E4">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9.1招标文件由下列</w:t>
      </w: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部分内容组成：</w:t>
      </w:r>
    </w:p>
    <w:p w14:paraId="6E87773D">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第一部分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eastAsia="zh-CN"/>
        </w:rPr>
        <w:t>招标公告</w:t>
      </w:r>
      <w:r>
        <w:rPr>
          <w:rFonts w:hint="eastAsia" w:ascii="宋体" w:hAnsi="宋体" w:eastAsia="宋体" w:cs="宋体"/>
          <w:color w:val="auto"/>
          <w:kern w:val="0"/>
          <w:sz w:val="24"/>
          <w:highlight w:val="none"/>
        </w:rPr>
        <w:t>；</w:t>
      </w:r>
    </w:p>
    <w:p w14:paraId="7722F334">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第二部分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投标人须知前附表；</w:t>
      </w:r>
    </w:p>
    <w:p w14:paraId="623D48E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第三部分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投标</w:t>
      </w:r>
      <w:r>
        <w:rPr>
          <w:rFonts w:hint="eastAsia" w:ascii="宋体" w:hAnsi="宋体" w:eastAsia="宋体" w:cs="宋体"/>
          <w:color w:val="auto"/>
          <w:kern w:val="0"/>
          <w:sz w:val="24"/>
          <w:highlight w:val="none"/>
          <w:lang w:eastAsia="zh-CN"/>
        </w:rPr>
        <w:t>人</w:t>
      </w:r>
      <w:r>
        <w:rPr>
          <w:rFonts w:hint="eastAsia" w:ascii="宋体" w:hAnsi="宋体" w:eastAsia="宋体" w:cs="宋体"/>
          <w:color w:val="auto"/>
          <w:kern w:val="0"/>
          <w:sz w:val="24"/>
          <w:highlight w:val="none"/>
        </w:rPr>
        <w:t>须知；</w:t>
      </w:r>
    </w:p>
    <w:p w14:paraId="12E369BB">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第四部分</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评标标准和评标方法；</w:t>
      </w:r>
    </w:p>
    <w:p w14:paraId="7BB61A5A">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第五部分</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商务、技术要求；</w:t>
      </w:r>
    </w:p>
    <w:p w14:paraId="45C3BF1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第六部分</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合同</w:t>
      </w:r>
      <w:r>
        <w:rPr>
          <w:rFonts w:hint="eastAsia" w:ascii="宋体" w:hAnsi="宋体" w:eastAsia="宋体" w:cs="宋体"/>
          <w:color w:val="auto"/>
          <w:kern w:val="0"/>
          <w:sz w:val="24"/>
          <w:highlight w:val="none"/>
          <w:lang w:eastAsia="zh-CN"/>
        </w:rPr>
        <w:t>范本</w:t>
      </w:r>
      <w:r>
        <w:rPr>
          <w:rFonts w:hint="eastAsia" w:ascii="宋体" w:hAnsi="宋体" w:eastAsia="宋体" w:cs="宋体"/>
          <w:color w:val="auto"/>
          <w:kern w:val="0"/>
          <w:sz w:val="24"/>
          <w:highlight w:val="none"/>
        </w:rPr>
        <w:t>；</w:t>
      </w:r>
    </w:p>
    <w:p w14:paraId="392D863E">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第七部分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投标文件格式；</w:t>
      </w:r>
    </w:p>
    <w:p w14:paraId="21CDA71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9.2投标人应详细阅读招标文件的全部内容，如果没有按照招标文件要求提交全部资料或者没有对招标文件在各方面都做出实质性响应，有可能被确定为无效投标。</w:t>
      </w:r>
    </w:p>
    <w:p w14:paraId="0A1D4244">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9.3除非特殊要求，招标文件不单独提供招标项目使用地的自然环境、气候条件、公用设施等情况，投标人被视为熟悉上述与履行合同有关的一切情况。</w:t>
      </w:r>
    </w:p>
    <w:p w14:paraId="6056559B">
      <w:pPr>
        <w:keepNext w:val="0"/>
        <w:keepLines w:val="0"/>
        <w:pageBreakBefore w:val="0"/>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10．招标文件的澄清和修改</w:t>
      </w:r>
    </w:p>
    <w:p w14:paraId="580EEB99">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10.1澄清、修改时间：</w:t>
      </w:r>
      <w:r>
        <w:rPr>
          <w:rFonts w:hint="eastAsia" w:ascii="宋体" w:hAnsi="宋体" w:eastAsia="宋体" w:cs="宋体"/>
          <w:color w:val="auto"/>
          <w:sz w:val="24"/>
          <w:highlight w:val="none"/>
        </w:rPr>
        <w:t>上传投标文件截止日之前，</w:t>
      </w:r>
      <w:r>
        <w:rPr>
          <w:rFonts w:hint="eastAsia" w:ascii="宋体" w:hAnsi="宋体" w:eastAsia="宋体" w:cs="宋体"/>
          <w:color w:val="auto"/>
          <w:kern w:val="0"/>
          <w:sz w:val="24"/>
          <w:highlight w:val="none"/>
        </w:rPr>
        <w:t>采购代理机构或者采购人可以对已发出的招标文件进行必要的澄清或者修改，</w:t>
      </w:r>
      <w:r>
        <w:rPr>
          <w:rFonts w:hint="eastAsia" w:ascii="宋体" w:hAnsi="宋体" w:eastAsia="宋体" w:cs="宋体"/>
          <w:color w:val="auto"/>
          <w:sz w:val="24"/>
          <w:highlight w:val="none"/>
        </w:rPr>
        <w:t>其内容作为招标文件的组成部分</w:t>
      </w:r>
      <w:r>
        <w:rPr>
          <w:rFonts w:hint="eastAsia" w:ascii="宋体" w:hAnsi="宋体" w:eastAsia="宋体" w:cs="宋体"/>
          <w:color w:val="auto"/>
          <w:kern w:val="0"/>
          <w:sz w:val="24"/>
          <w:highlight w:val="none"/>
        </w:rPr>
        <w:t>。澄清或者修改的内容可能影响投标文件编制的，</w:t>
      </w:r>
      <w:r>
        <w:rPr>
          <w:rFonts w:hint="eastAsia" w:ascii="宋体" w:hAnsi="宋体" w:eastAsia="宋体" w:cs="宋体"/>
          <w:color w:val="auto"/>
          <w:sz w:val="24"/>
          <w:highlight w:val="none"/>
        </w:rPr>
        <w:t>采购代理机构或采购人</w:t>
      </w:r>
      <w:r>
        <w:rPr>
          <w:rFonts w:hint="eastAsia" w:ascii="宋体" w:hAnsi="宋体" w:eastAsia="宋体" w:cs="宋体"/>
          <w:color w:val="auto"/>
          <w:kern w:val="0"/>
          <w:sz w:val="24"/>
          <w:highlight w:val="none"/>
        </w:rPr>
        <w:t>应当在投标截止时间至少15日前，</w:t>
      </w:r>
      <w:r>
        <w:rPr>
          <w:rFonts w:hint="eastAsia" w:ascii="宋体" w:hAnsi="宋体" w:eastAsia="宋体" w:cs="宋体"/>
          <w:color w:val="auto"/>
          <w:sz w:val="24"/>
          <w:highlight w:val="none"/>
        </w:rPr>
        <w:t>采购代理机构将在中国政府采购网山西分网发布更正公告；不足15日的，采购代理机构或采购人应当顺延提交（上传）投标文件的截止时间。</w:t>
      </w:r>
    </w:p>
    <w:p w14:paraId="33236759">
      <w:pPr>
        <w:pStyle w:val="56"/>
        <w:keepNext w:val="0"/>
        <w:keepLines w:val="0"/>
        <w:pageBreakBefore w:val="0"/>
        <w:kinsoku/>
        <w:wordWrap/>
        <w:overflowPunct/>
        <w:topLinePunct w:val="0"/>
        <w:autoSpaceDE/>
        <w:autoSpaceDN/>
        <w:bidi w:val="0"/>
        <w:adjustRightInd/>
        <w:snapToGrid/>
        <w:spacing w:line="348"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10.2澄清修改的补充文件中包括原提出的问题及问题的说明意见，但不包括问题的来源。</w:t>
      </w:r>
    </w:p>
    <w:p w14:paraId="0663EAA5">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10.3投标人澄清要求的提交：投标人认为招标文件使自己的权益受到损害的，可以在知道或应当知其权益受到损害之日起7个工作日内，以书面形式向采购代理机构提出质疑和询问。投标人提出的询问，采购代理机构应当在3个工作日内对投标人依法提出的询问做出答复。投标人提出的质疑，采购代理机构应当在收到投标人的书面质疑后7个工作日内，做出答复，但答复的内容不涉及商业秘密。</w:t>
      </w:r>
    </w:p>
    <w:p w14:paraId="42283C00">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10.4澄清、修改及其它答复的效力：采购代理机构或者采购人一旦对招标文件做出澄清、修改或进行其它答复，即刻发生效力，有关的补充文件，应当作为招标文件的组成部分，对所有潜在投标人均具有约束力。</w:t>
      </w:r>
    </w:p>
    <w:p w14:paraId="2CDD33B0">
      <w:pPr>
        <w:keepNext w:val="0"/>
        <w:keepLines w:val="0"/>
        <w:pageBreakBefore w:val="0"/>
        <w:kinsoku/>
        <w:wordWrap/>
        <w:overflowPunct/>
        <w:topLinePunct w:val="0"/>
        <w:autoSpaceDE/>
        <w:autoSpaceDN/>
        <w:bidi w:val="0"/>
        <w:adjustRightInd/>
        <w:snapToGrid/>
        <w:spacing w:line="348" w:lineRule="auto"/>
        <w:ind w:firstLine="482" w:firstLineChars="200"/>
        <w:textAlignment w:val="auto"/>
        <w:outlineLvl w:val="1"/>
        <w:rPr>
          <w:rFonts w:hint="eastAsia" w:ascii="宋体" w:hAnsi="宋体" w:eastAsia="宋体" w:cs="宋体"/>
          <w:b/>
          <w:color w:val="auto"/>
          <w:kern w:val="0"/>
          <w:sz w:val="24"/>
          <w:highlight w:val="none"/>
        </w:rPr>
      </w:pPr>
      <w:bookmarkStart w:id="66" w:name="_Toc17953"/>
      <w:bookmarkStart w:id="67" w:name="_Toc5439"/>
      <w:r>
        <w:rPr>
          <w:rFonts w:hint="eastAsia" w:ascii="宋体" w:hAnsi="宋体" w:eastAsia="宋体" w:cs="宋体"/>
          <w:b/>
          <w:color w:val="auto"/>
          <w:kern w:val="0"/>
          <w:sz w:val="24"/>
          <w:highlight w:val="none"/>
        </w:rPr>
        <w:t>三、投标文件组成与要求</w:t>
      </w:r>
      <w:bookmarkEnd w:id="66"/>
      <w:bookmarkEnd w:id="67"/>
    </w:p>
    <w:p w14:paraId="6D9B1A4E">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11.投标文件的组成及相关要求</w:t>
      </w:r>
    </w:p>
    <w:p w14:paraId="53CFC2DB">
      <w:pPr>
        <w:keepNext w:val="0"/>
        <w:keepLines w:val="0"/>
        <w:pageBreakBefore w:val="0"/>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11.1投标文件由资格证明文件和商务技术文件两部分组成</w:t>
      </w:r>
    </w:p>
    <w:p w14:paraId="77C6E093">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资格证明文件：指投标人提交的证明其有资格参加本项目（包）投标的证明文件。</w:t>
      </w:r>
    </w:p>
    <w:p w14:paraId="4D440003">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商务技术文件：指投标人提交的能够证明其中标后有能力履行合同的文件和提供的技术、服务符合本招标文件规定和政策性要求的证明文件。</w:t>
      </w:r>
    </w:p>
    <w:p w14:paraId="23152AA7">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应按投标人须知前附表要求，提交资格证明文件和商务技术文件及投标人自行编写的其他文件。前附表第5项资格证明文件、第6项商务技术文件中的加“★”项、本文件第五部分商务、技术要求中加“★”项、政策性要求中国家强制性因素等若有缺失或无效或商务技术文件未实质上响应招标文件要求，将作无效投标处理。</w:t>
      </w:r>
    </w:p>
    <w:p w14:paraId="204A0973">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12.</w:t>
      </w:r>
      <w:r>
        <w:rPr>
          <w:rFonts w:hint="eastAsia" w:ascii="宋体" w:hAnsi="宋体" w:eastAsia="宋体" w:cs="宋体"/>
          <w:b/>
          <w:color w:val="auto"/>
          <w:kern w:val="0"/>
          <w:sz w:val="24"/>
          <w:highlight w:val="none"/>
          <w:lang w:eastAsia="zh-CN"/>
        </w:rPr>
        <w:t>投标文件</w:t>
      </w:r>
      <w:r>
        <w:rPr>
          <w:rFonts w:hint="eastAsia" w:ascii="宋体" w:hAnsi="宋体" w:eastAsia="宋体" w:cs="宋体"/>
          <w:b/>
          <w:color w:val="auto"/>
          <w:kern w:val="0"/>
          <w:sz w:val="24"/>
          <w:highlight w:val="none"/>
        </w:rPr>
        <w:t>的其他要求</w:t>
      </w:r>
    </w:p>
    <w:p w14:paraId="6843F948">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12.1投标文件的语言和计量单位</w:t>
      </w:r>
    </w:p>
    <w:p w14:paraId="2AD5AE0B">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12.1.1投标人提交的投标文件（包括商务、技术文件和资料中的说明等）以及投标人与采购代理机构就有关投标的所有往来函电均应使用中文简体字。</w:t>
      </w:r>
    </w:p>
    <w:p w14:paraId="6AC4040D">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12.1.2除在招标文件中另有规定，投标文件所使用的计量单位均应使用中华人民共和国法定计量单位。</w:t>
      </w:r>
    </w:p>
    <w:p w14:paraId="0FA72AED">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4636CAF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原版为外文的证书类、证明类文件，与投标人名称或其它实际情况不符的，投标人应当提供相关证明文件。</w:t>
      </w:r>
    </w:p>
    <w:p w14:paraId="30611418">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12.2编排要求</w:t>
      </w:r>
    </w:p>
    <w:p w14:paraId="143FB88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规格幅面（A4）；按照招标文件第七部分要求和编排顺序，统一编目、正序编排页码（投标文件中扫描件或影印件及彩色宣传资料等均须与投标文件正文一起逐页编排页码）。由于编排混乱导致投标文件被误读或查找不到，其责任应当由投标人承担。</w:t>
      </w:r>
    </w:p>
    <w:p w14:paraId="35546BFD">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12.3格式要求</w:t>
      </w:r>
    </w:p>
    <w:p w14:paraId="650B91E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本招标文件第七部分已提供“投标文件格式”的，应按照格式要求编制（投标人可以对所提供的格式进行扩展，但不得减少格式中要求的内容，否则投标无效），没有提供格式的，投标人自拟。</w:t>
      </w:r>
    </w:p>
    <w:p w14:paraId="4F58318E">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如投标人参加多包投标的，要求按包分别独立制作投标文件。</w:t>
      </w:r>
    </w:p>
    <w:p w14:paraId="39F5DE3E">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12.4投标文件的份数、加密</w:t>
      </w:r>
    </w:p>
    <w:p w14:paraId="2F12F6D8">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12.4.1投标文件的份数</w:t>
      </w:r>
    </w:p>
    <w:p w14:paraId="779DDA98">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
          <w:color w:val="auto"/>
          <w:kern w:val="0"/>
          <w:sz w:val="24"/>
          <w:highlight w:val="none"/>
          <w:u w:val="single"/>
        </w:rPr>
      </w:pPr>
      <w:r>
        <w:rPr>
          <w:rFonts w:hint="eastAsia" w:ascii="宋体" w:hAnsi="宋体" w:eastAsia="宋体" w:cs="宋体"/>
          <w:color w:val="auto"/>
          <w:kern w:val="0"/>
          <w:sz w:val="24"/>
          <w:highlight w:val="none"/>
        </w:rPr>
        <w:t>本次招标须递交的投标文件份数详见投标人须知前附表。</w:t>
      </w:r>
    </w:p>
    <w:p w14:paraId="4716413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12.4.2投标文件加密</w:t>
      </w:r>
    </w:p>
    <w:p w14:paraId="00CBC58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系统中上传的电子投标文件须使用数字电子CA（单位、法人或个人）进行加密。</w:t>
      </w:r>
    </w:p>
    <w:p w14:paraId="15E7C192">
      <w:pPr>
        <w:keepNext w:val="0"/>
        <w:keepLines w:val="0"/>
        <w:pageBreakBefore w:val="0"/>
        <w:tabs>
          <w:tab w:val="left" w:pos="567"/>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12.5投标保证金</w:t>
      </w:r>
    </w:p>
    <w:p w14:paraId="1B4444DD">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12.5.1本项目是否需要提交投标保证金（详见前附表前附表第5条）。如需提交，投标人应按前附表第5条规定的提交方式在规定时间内足额提交投标保证金，否则</w:t>
      </w:r>
      <w:r>
        <w:rPr>
          <w:rFonts w:hint="eastAsia" w:ascii="宋体" w:hAnsi="宋体" w:eastAsia="宋体" w:cs="宋体"/>
          <w:b/>
          <w:color w:val="auto"/>
          <w:kern w:val="0"/>
          <w:sz w:val="24"/>
          <w:highlight w:val="none"/>
        </w:rPr>
        <w:t>投标无效。</w:t>
      </w:r>
    </w:p>
    <w:p w14:paraId="352A8A7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12.5.2投标人在投标截止时间前撤回已提交的投标文件的，采购代理机构应当自收到投标人书面撤回通知之日起5个工作日内，退还已收取的投标保证金，但因投标人自身原因导致无法及时退还的除外。</w:t>
      </w:r>
    </w:p>
    <w:p w14:paraId="4C101DA4">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12.5.3采购代理机构应当自中标通知书发出</w:t>
      </w:r>
      <w:r>
        <w:rPr>
          <w:rFonts w:hint="eastAsia" w:ascii="宋体" w:hAnsi="宋体" w:eastAsia="宋体" w:cs="宋体"/>
          <w:bCs/>
          <w:color w:val="auto"/>
          <w:kern w:val="0"/>
          <w:sz w:val="24"/>
          <w:highlight w:val="none"/>
        </w:rPr>
        <w:t>之日起</w:t>
      </w:r>
      <w:r>
        <w:rPr>
          <w:rFonts w:hint="eastAsia" w:ascii="宋体" w:hAnsi="宋体" w:eastAsia="宋体" w:cs="宋体"/>
          <w:color w:val="auto"/>
          <w:kern w:val="0"/>
          <w:sz w:val="24"/>
          <w:highlight w:val="none"/>
        </w:rPr>
        <w:t>5个工作日内退还未中标人的投标保证金，自采购合同签订</w:t>
      </w:r>
      <w:r>
        <w:rPr>
          <w:rFonts w:hint="eastAsia" w:ascii="宋体" w:hAnsi="宋体" w:eastAsia="宋体" w:cs="宋体"/>
          <w:bCs/>
          <w:color w:val="auto"/>
          <w:kern w:val="0"/>
          <w:sz w:val="24"/>
          <w:highlight w:val="none"/>
        </w:rPr>
        <w:t>之日起</w:t>
      </w:r>
      <w:r>
        <w:rPr>
          <w:rFonts w:hint="eastAsia" w:ascii="宋体" w:hAnsi="宋体" w:eastAsia="宋体" w:cs="宋体"/>
          <w:color w:val="auto"/>
          <w:kern w:val="0"/>
          <w:sz w:val="24"/>
          <w:highlight w:val="none"/>
        </w:rPr>
        <w:t>5个工作日内退还中标人的投标保证金</w:t>
      </w:r>
      <w:r>
        <w:rPr>
          <w:rFonts w:hint="eastAsia" w:ascii="宋体" w:hAnsi="宋体" w:eastAsia="宋体" w:cs="宋体"/>
          <w:bCs/>
          <w:color w:val="auto"/>
          <w:kern w:val="0"/>
          <w:sz w:val="24"/>
          <w:highlight w:val="none"/>
        </w:rPr>
        <w:t>，但因投标人自身原因导致无法及时退还的除外。</w:t>
      </w:r>
    </w:p>
    <w:p w14:paraId="47C8A9C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12.5.4</w:t>
      </w:r>
      <w:r>
        <w:rPr>
          <w:rFonts w:hint="eastAsia" w:ascii="宋体" w:hAnsi="宋体" w:eastAsia="宋体" w:cs="宋体"/>
          <w:bCs/>
          <w:color w:val="auto"/>
          <w:kern w:val="0"/>
          <w:sz w:val="24"/>
          <w:highlight w:val="none"/>
        </w:rPr>
        <w:t>有下列情形之一的，投标保证金不予退还：</w:t>
      </w:r>
    </w:p>
    <w:p w14:paraId="7986176E">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12.5.4.1</w:t>
      </w:r>
      <w:r>
        <w:rPr>
          <w:rFonts w:hint="eastAsia" w:ascii="宋体" w:hAnsi="宋体" w:eastAsia="宋体" w:cs="宋体"/>
          <w:color w:val="auto"/>
          <w:kern w:val="0"/>
          <w:sz w:val="24"/>
          <w:highlight w:val="none"/>
        </w:rPr>
        <w:t>投标人在投标文件中提供虚假材料的；</w:t>
      </w:r>
    </w:p>
    <w:p w14:paraId="1502D2D8">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12.5.4.2除因不可抗力或招标文件认可的情形外，中标人不与采购人签订合同的；</w:t>
      </w:r>
    </w:p>
    <w:p w14:paraId="25D07AC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12.5.4.3投标人与采购人、其他投标人或者采购代理机构恶意串通的；</w:t>
      </w:r>
    </w:p>
    <w:p w14:paraId="3A53C72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12.5.4.4投标有效期内撤回投标文件的；</w:t>
      </w:r>
    </w:p>
    <w:p w14:paraId="7E9594D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12.5.4.5招标文件规定的其他情形。</w:t>
      </w:r>
    </w:p>
    <w:p w14:paraId="76E1D092">
      <w:pPr>
        <w:keepNext w:val="0"/>
        <w:keepLines w:val="0"/>
        <w:pageBreakBefore w:val="0"/>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12.6投标报价</w:t>
      </w:r>
    </w:p>
    <w:p w14:paraId="430FC98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12.6.1所有报价均以人民币“元”为计算单位。</w:t>
      </w:r>
    </w:p>
    <w:p w14:paraId="62520A5A">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12.6.2国产货物报价</w:t>
      </w:r>
    </w:p>
    <w:p w14:paraId="45AAF3E5">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只要投报了一个确定数额的总价，无论分项价格是否全部填报了相应的金额或免费字样，报价应被视为已经包含但不限于该项目货物价格、运输、装卸、安装调试、技术验收费用与所供货物的人员技术培训、货物维修维护等免费配套服务费用及相关税费等所有相关费用。</w:t>
      </w:r>
    </w:p>
    <w:p w14:paraId="6A8AE7D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12.6.3进口货物报价</w:t>
      </w:r>
    </w:p>
    <w:p w14:paraId="13EBF86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只要投报了一个确定数额的总价，无论分项价格是否全部填报了相应的金额或免费字样，报价应被视为已经包含包含但不限于：</w:t>
      </w:r>
    </w:p>
    <w:p w14:paraId="624E33A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（1）成交进口货物到岸价（即CIF价格）；</w:t>
      </w:r>
    </w:p>
    <w:p w14:paraId="7DA210CC">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（2）货物进口环节在国内发生的所有相关费用（包含但不限于：外贸代理服务、银行手续、报关、卫检、动植物检验检疫、商检、仓储、软件认证等费用）；</w:t>
      </w:r>
    </w:p>
    <w:p w14:paraId="55C654D5">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（3）货物到岸后，将货物运送至甲方指定地点所发生的运输、装卸、安装调试与技术检验费用；</w:t>
      </w:r>
    </w:p>
    <w:p w14:paraId="284C3EBE">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（4）安装调试检验合格后所发生的人员技术培训、货物维修维护等配套服务费用；</w:t>
      </w:r>
    </w:p>
    <w:p w14:paraId="3C10B4D7">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（5）国内发生费用所需缴纳的所有相关税费。</w:t>
      </w:r>
    </w:p>
    <w:p w14:paraId="02BC2F1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中华人民共和国海关总署公告2021年第44号《“十四五”期间进口科学研究、科技开发和教学用品免税清单》（第一批）第一项外进口货物的进口关税、进口环节增值税、消费税等。不包含该清单内进口货物的进口关税、进口环节增值税和消费税。</w:t>
      </w:r>
    </w:p>
    <w:p w14:paraId="0A7B85F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注：进口货物在进口过程中，若需向海关提交报关等手续，采购人负责提供相关材料。</w:t>
      </w:r>
    </w:p>
    <w:p w14:paraId="6CB58D48">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12.6.4</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应按报价要求的内容认真填报“报价一览表”。在其它情况下，由于分项报价填报不完整、不清楚或存在其它任何失误，所导致的任何不利后果均应当由</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自行承担。</w:t>
      </w:r>
    </w:p>
    <w:p w14:paraId="35166E59">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12.6.5</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投报多包的，应对每包整包内容分别填报，不得拆包分项报价。</w:t>
      </w:r>
    </w:p>
    <w:p w14:paraId="6F331AA7">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12.6.6本次项目不接受可选择方案的报价。</w:t>
      </w:r>
    </w:p>
    <w:p w14:paraId="1AB22D07">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12.6.7</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对</w:t>
      </w:r>
      <w:r>
        <w:rPr>
          <w:rFonts w:hint="eastAsia" w:ascii="宋体" w:hAnsi="宋体" w:eastAsia="宋体" w:cs="宋体"/>
          <w:color w:val="auto"/>
          <w:kern w:val="0"/>
          <w:sz w:val="24"/>
          <w:highlight w:val="none"/>
          <w:lang w:eastAsia="zh-CN"/>
        </w:rPr>
        <w:t>投标</w:t>
      </w:r>
      <w:r>
        <w:rPr>
          <w:rFonts w:hint="eastAsia" w:ascii="宋体" w:hAnsi="宋体" w:eastAsia="宋体" w:cs="宋体"/>
          <w:color w:val="auto"/>
          <w:kern w:val="0"/>
          <w:sz w:val="24"/>
          <w:highlight w:val="none"/>
        </w:rPr>
        <w:t>报价若有说明应在报价一览表显著处注明。</w:t>
      </w:r>
    </w:p>
    <w:p w14:paraId="4B5B1EE4">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xml:space="preserve">13.投标内容填写说明 </w:t>
      </w:r>
    </w:p>
    <w:p w14:paraId="40CC8C39">
      <w:pPr>
        <w:keepNext w:val="0"/>
        <w:keepLines w:val="0"/>
        <w:pageBreakBefore w:val="0"/>
        <w:kinsoku/>
        <w:wordWrap/>
        <w:overflowPunct/>
        <w:topLinePunct w:val="0"/>
        <w:autoSpaceDE/>
        <w:autoSpaceDN/>
        <w:bidi w:val="0"/>
        <w:adjustRightInd/>
        <w:snapToGrid/>
        <w:spacing w:line="348" w:lineRule="auto"/>
        <w:ind w:firstLine="494" w:firstLineChars="206"/>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13.1投标人应详细阅读招标文件的全部内容，投标文件应对本招标文件中的内容做出实质性和完整性的响应。</w:t>
      </w:r>
    </w:p>
    <w:p w14:paraId="3F443EF7">
      <w:pPr>
        <w:keepNext w:val="0"/>
        <w:keepLines w:val="0"/>
        <w:pageBreakBefore w:val="0"/>
        <w:kinsoku/>
        <w:wordWrap/>
        <w:overflowPunct/>
        <w:topLinePunct w:val="0"/>
        <w:autoSpaceDE/>
        <w:autoSpaceDN/>
        <w:bidi w:val="0"/>
        <w:adjustRightInd/>
        <w:snapToGrid/>
        <w:spacing w:line="348" w:lineRule="auto"/>
        <w:ind w:firstLine="494" w:firstLineChars="206"/>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13.2投标文件应按招标文件第七部分提供的统一格式逐项填写；</w:t>
      </w:r>
      <w:r>
        <w:rPr>
          <w:rFonts w:hint="eastAsia" w:ascii="宋体" w:hAnsi="宋体" w:eastAsia="宋体" w:cs="宋体"/>
          <w:color w:val="auto"/>
          <w:sz w:val="24"/>
          <w:highlight w:val="none"/>
        </w:rPr>
        <w:t>不准有空项、缺项；</w:t>
      </w:r>
      <w:r>
        <w:rPr>
          <w:rFonts w:hint="eastAsia" w:ascii="宋体" w:hAnsi="宋体" w:eastAsia="宋体" w:cs="宋体"/>
          <w:color w:val="auto"/>
          <w:kern w:val="0"/>
          <w:sz w:val="24"/>
          <w:highlight w:val="none"/>
        </w:rPr>
        <w:t>无相应内容可填的项，填写“无”、“未测试”、“没有相应指标”、“/”等明确的回答。</w:t>
      </w:r>
      <w:r>
        <w:rPr>
          <w:rFonts w:hint="eastAsia" w:ascii="宋体" w:hAnsi="宋体" w:eastAsia="宋体" w:cs="宋体"/>
          <w:color w:val="auto"/>
          <w:sz w:val="24"/>
          <w:highlight w:val="none"/>
        </w:rPr>
        <w:t>投标文件未按规定提交或留有空项，将被视为不完整响应的投标文件，其投标文件有可能被拒绝。</w:t>
      </w:r>
    </w:p>
    <w:p w14:paraId="2430FD2B">
      <w:pPr>
        <w:keepNext w:val="0"/>
        <w:keepLines w:val="0"/>
        <w:pageBreakBefore w:val="0"/>
        <w:kinsoku/>
        <w:wordWrap/>
        <w:overflowPunct/>
        <w:topLinePunct w:val="0"/>
        <w:autoSpaceDE/>
        <w:autoSpaceDN/>
        <w:bidi w:val="0"/>
        <w:adjustRightInd/>
        <w:snapToGrid/>
        <w:spacing w:line="348" w:lineRule="auto"/>
        <w:ind w:firstLine="494" w:firstLineChars="206"/>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13.3开标一览表为在开标仪式上唱标的内容，要求统一填写，除不得自行增减表头内容外，可根据填报情况变换表格格式（指横排或竖排）和增减行。</w:t>
      </w:r>
    </w:p>
    <w:p w14:paraId="3525A25E">
      <w:pPr>
        <w:keepNext w:val="0"/>
        <w:keepLines w:val="0"/>
        <w:pageBreakBefore w:val="0"/>
        <w:kinsoku/>
        <w:wordWrap/>
        <w:overflowPunct/>
        <w:topLinePunct w:val="0"/>
        <w:autoSpaceDE/>
        <w:autoSpaceDN/>
        <w:bidi w:val="0"/>
        <w:adjustRightInd/>
        <w:snapToGrid/>
        <w:spacing w:line="348" w:lineRule="auto"/>
        <w:ind w:firstLine="494" w:firstLineChars="206"/>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13.4投标人必须保证投标文件所提供的全部资料真实有效，并接受评标委员会对其中任何资料进一步审查的要求，且承担相应的法律责任。</w:t>
      </w:r>
    </w:p>
    <w:p w14:paraId="59409137">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13.5因投标文件字迹潦草、提交资料不清晰或表达不清楚所引起的不利后果由投标人承担。</w:t>
      </w:r>
    </w:p>
    <w:p w14:paraId="4BBCDEEA">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13.6为提倡诚实信用的投标行为，特别要求投标人应本着诚信原则，在本次投标文件的偏离表中（若本次招标文件中没有提供偏离表或其它偏离文件样本，投标人亦应当自制偏离表并附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38C7F057">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14.投标文件的有效期</w:t>
      </w:r>
    </w:p>
    <w:p w14:paraId="460BF82E">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14.1本项目投标文件的有效期见投标人须知前附表第8项。有效期短于该规定期限的投标文件投标无效。</w:t>
      </w:r>
    </w:p>
    <w:p w14:paraId="5A9161C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14.2投标有效期从提交投标文件的截止之日起算。</w:t>
      </w:r>
    </w:p>
    <w:p w14:paraId="64067574">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5F99E7BE">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15. 投标文件的签署及规定</w:t>
      </w:r>
    </w:p>
    <w:p w14:paraId="4DEFE55D">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15.1组成投标文件的各项文件均应遵守本条规定。</w:t>
      </w:r>
    </w:p>
    <w:p w14:paraId="3C9C6C0B">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15.2投标人在投标文件及相关文件的签订、履行、通知等事项的书面文件中的“单位盖章”、“印章”、“公章”等处均仅指与投标人名称全称相一致的</w:t>
      </w:r>
      <w:r>
        <w:rPr>
          <w:rFonts w:hint="eastAsia" w:ascii="宋体" w:hAnsi="宋体" w:eastAsia="宋体" w:cs="宋体"/>
          <w:color w:val="auto"/>
          <w:sz w:val="24"/>
          <w:highlight w:val="none"/>
        </w:rPr>
        <w:t>电子CA章</w:t>
      </w:r>
      <w:r>
        <w:rPr>
          <w:rFonts w:hint="eastAsia" w:ascii="宋体" w:hAnsi="宋体" w:eastAsia="宋体" w:cs="宋体"/>
          <w:color w:val="auto"/>
          <w:kern w:val="0"/>
          <w:sz w:val="24"/>
          <w:highlight w:val="none"/>
        </w:rPr>
        <w:t>，不得使用其它（如带有“专用章”等字样）的印章，否则按无效投标处理。</w:t>
      </w:r>
    </w:p>
    <w:p w14:paraId="7E580837">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15.3投标人应在投标文件中按照招标文件要求，在指定的位置进行签署，否则作为无效投标处理。</w:t>
      </w:r>
    </w:p>
    <w:p w14:paraId="1DE72ECA">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15.4投标文件应字迹清楚、内容齐全、不得涂改或增删。如有修改和增删，必须加盖投标人</w:t>
      </w:r>
      <w:r>
        <w:rPr>
          <w:rFonts w:hint="eastAsia" w:ascii="宋体" w:hAnsi="宋体" w:eastAsia="宋体" w:cs="宋体"/>
          <w:color w:val="auto"/>
          <w:sz w:val="24"/>
          <w:highlight w:val="none"/>
        </w:rPr>
        <w:t>电子CA章或法定代表人或其授权的投标人授权代表签署</w:t>
      </w:r>
      <w:r>
        <w:rPr>
          <w:rFonts w:hint="eastAsia" w:ascii="宋体" w:hAnsi="宋体" w:eastAsia="宋体" w:cs="宋体"/>
          <w:color w:val="auto"/>
          <w:kern w:val="0"/>
          <w:sz w:val="24"/>
          <w:highlight w:val="none"/>
        </w:rPr>
        <w:t>。</w:t>
      </w:r>
    </w:p>
    <w:p w14:paraId="784C0A9C">
      <w:pPr>
        <w:keepNext w:val="0"/>
        <w:keepLines w:val="0"/>
        <w:pageBreakBefore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15.5因投标文件字迹潦草或表达不清所引起的不利后果由投标人承担。</w:t>
      </w:r>
    </w:p>
    <w:p w14:paraId="796FD363">
      <w:pPr>
        <w:keepNext w:val="0"/>
        <w:keepLines w:val="0"/>
        <w:pageBreakBefore w:val="0"/>
        <w:kinsoku/>
        <w:wordWrap/>
        <w:overflowPunct/>
        <w:topLinePunct w:val="0"/>
        <w:autoSpaceDE/>
        <w:autoSpaceDN/>
        <w:bidi w:val="0"/>
        <w:adjustRightInd/>
        <w:snapToGrid/>
        <w:spacing w:line="348" w:lineRule="auto"/>
        <w:ind w:firstLine="482" w:firstLineChars="200"/>
        <w:textAlignment w:val="auto"/>
        <w:outlineLvl w:val="1"/>
        <w:rPr>
          <w:rFonts w:hint="eastAsia" w:ascii="宋体" w:hAnsi="宋体" w:eastAsia="宋体" w:cs="宋体"/>
          <w:b/>
          <w:color w:val="auto"/>
          <w:kern w:val="0"/>
          <w:sz w:val="24"/>
          <w:highlight w:val="none"/>
        </w:rPr>
      </w:pPr>
      <w:bookmarkStart w:id="68" w:name="_Toc1514"/>
      <w:bookmarkStart w:id="69" w:name="_Toc16148"/>
      <w:r>
        <w:rPr>
          <w:rFonts w:hint="eastAsia" w:ascii="宋体" w:hAnsi="宋体" w:eastAsia="宋体" w:cs="宋体"/>
          <w:b/>
          <w:color w:val="auto"/>
          <w:kern w:val="0"/>
          <w:sz w:val="24"/>
          <w:highlight w:val="none"/>
        </w:rPr>
        <w:t>四、投标文件上传截止时间、解密及其他</w:t>
      </w:r>
      <w:bookmarkEnd w:id="68"/>
      <w:bookmarkEnd w:id="69"/>
    </w:p>
    <w:p w14:paraId="1C01B3DD">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16.</w:t>
      </w:r>
      <w:r>
        <w:rPr>
          <w:rFonts w:hint="eastAsia" w:ascii="宋体" w:hAnsi="宋体" w:eastAsia="宋体" w:cs="宋体"/>
          <w:b/>
          <w:color w:val="auto"/>
          <w:kern w:val="0"/>
          <w:sz w:val="24"/>
          <w:highlight w:val="none"/>
        </w:rPr>
        <w:t>投标文件上传截止时间</w:t>
      </w:r>
    </w:p>
    <w:p w14:paraId="3C703925">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16.1投标</w:t>
      </w:r>
      <w:r>
        <w:rPr>
          <w:rFonts w:hint="eastAsia" w:ascii="宋体" w:hAnsi="宋体" w:eastAsia="宋体" w:cs="宋体"/>
          <w:color w:val="auto"/>
          <w:kern w:val="0"/>
          <w:sz w:val="24"/>
          <w:highlight w:val="none"/>
        </w:rPr>
        <w:t>人应当在招标文件要求上传投标文件的截止时间前（详见前附表），将加密电子投标文件及补充修改文件（如有的话）在“</w:t>
      </w:r>
      <w:r>
        <w:rPr>
          <w:rFonts w:hint="eastAsia" w:ascii="宋体" w:hAnsi="宋体" w:eastAsia="宋体" w:cs="宋体"/>
          <w:color w:val="auto"/>
          <w:sz w:val="24"/>
          <w:highlight w:val="none"/>
        </w:rPr>
        <w:t>政采云系统</w:t>
      </w:r>
      <w:r>
        <w:rPr>
          <w:rFonts w:hint="eastAsia" w:ascii="宋体" w:hAnsi="宋体" w:eastAsia="宋体" w:cs="宋体"/>
          <w:color w:val="auto"/>
          <w:kern w:val="0"/>
          <w:sz w:val="24"/>
          <w:highlight w:val="none"/>
        </w:rPr>
        <w:t>”完成上传。任何单位和个人不得在开标前解密投标文件。</w:t>
      </w:r>
    </w:p>
    <w:p w14:paraId="670E0E8B">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17.投标文件解密及其他</w:t>
      </w:r>
    </w:p>
    <w:p w14:paraId="3666CC9C">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17.1采购代理机构在解密开始时间发出解密指令，投标人接到解密信息后，在规定的解密时间内使用加密电子文件时的电子CA进行</w:t>
      </w:r>
      <w:r>
        <w:rPr>
          <w:rFonts w:hint="eastAsia" w:ascii="宋体" w:hAnsi="宋体" w:eastAsia="宋体" w:cs="宋体"/>
          <w:bCs/>
          <w:color w:val="auto"/>
          <w:kern w:val="0"/>
          <w:sz w:val="24"/>
          <w:highlight w:val="none"/>
        </w:rPr>
        <w:t>解密（可远程解密）。</w:t>
      </w:r>
    </w:p>
    <w:p w14:paraId="0E4D44CD">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17.2由于投标人原因，未在规定时间内完成电子投标文件解密的，视为未递交投标文件，投标无效。</w:t>
      </w:r>
    </w:p>
    <w:p w14:paraId="6D919FA7">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17.3</w:t>
      </w:r>
      <w:r>
        <w:rPr>
          <w:rFonts w:hint="eastAsia" w:ascii="宋体" w:hAnsi="宋体" w:eastAsia="宋体" w:cs="宋体"/>
          <w:bCs/>
          <w:color w:val="auto"/>
          <w:kern w:val="0"/>
          <w:sz w:val="24"/>
          <w:highlight w:val="none"/>
        </w:rPr>
        <w:t>解密截止时间后，投标人将无法对投标文件进行解密。除特殊情形需请示财政部门采用其他方式外，采购代理机构不得以任何理由延长解密时间。</w:t>
      </w:r>
    </w:p>
    <w:p w14:paraId="26305D76">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17.4在投标文件解密截止时间，完成解密的投标人不足法定家数时，不得进行下一步评审程序。</w:t>
      </w:r>
    </w:p>
    <w:p w14:paraId="35B8314D">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18. 投标文件的补充、修改和撤回</w:t>
      </w:r>
    </w:p>
    <w:p w14:paraId="0C259753">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18.1投标人在投标文件上传截止时间前，可以对投标文件进行补充、修改，补充、修改的内容作为投标文件的组成部分。补充、修改内容需在“</w:t>
      </w:r>
      <w:r>
        <w:rPr>
          <w:rFonts w:hint="eastAsia" w:ascii="宋体" w:hAnsi="宋体" w:eastAsia="宋体" w:cs="宋体"/>
          <w:color w:val="auto"/>
          <w:sz w:val="24"/>
          <w:highlight w:val="none"/>
        </w:rPr>
        <w:t>政采云系统</w:t>
      </w:r>
      <w:r>
        <w:rPr>
          <w:rFonts w:hint="eastAsia" w:ascii="宋体" w:hAnsi="宋体" w:eastAsia="宋体" w:cs="宋体"/>
          <w:color w:val="auto"/>
          <w:kern w:val="0"/>
          <w:sz w:val="24"/>
          <w:highlight w:val="none"/>
        </w:rPr>
        <w:t>”中加密上传，未进行上传的补充、修改内容无效。</w:t>
      </w:r>
    </w:p>
    <w:p w14:paraId="7E89CF31">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18.2补充、修改的内容应当按照招标文件要求签署、盖章，否则，按无效处理。</w:t>
      </w:r>
    </w:p>
    <w:p w14:paraId="02EB5577">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18.3在投标文件上传截止时间之后，投标人不得对其递交的投标文件（含补充、修改文件）进行撤回。</w:t>
      </w:r>
    </w:p>
    <w:p w14:paraId="252EC7FA">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19.开标及其有关事项</w:t>
      </w:r>
    </w:p>
    <w:p w14:paraId="18C2DB4D">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19.1上传投标文件截止时间后，由采购代理机构发出解密指令，</w:t>
      </w:r>
      <w:r>
        <w:rPr>
          <w:rFonts w:hint="eastAsia" w:ascii="宋体" w:hAnsi="宋体" w:eastAsia="宋体" w:cs="宋体"/>
          <w:bCs/>
          <w:color w:val="auto"/>
          <w:kern w:val="0"/>
          <w:sz w:val="24"/>
          <w:highlight w:val="none"/>
        </w:rPr>
        <w:t>并且对开标现场活动进行全程录音录像。录音录像应当清晰可辨，音像资料作为采购文件一并存档。</w:t>
      </w:r>
    </w:p>
    <w:p w14:paraId="5DBC6876">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19.2</w:t>
      </w:r>
      <w:r>
        <w:rPr>
          <w:rFonts w:hint="eastAsia" w:ascii="宋体" w:hAnsi="宋体" w:eastAsia="宋体" w:cs="宋体"/>
          <w:bCs/>
          <w:color w:val="auto"/>
          <w:kern w:val="0"/>
          <w:sz w:val="24"/>
          <w:highlight w:val="none"/>
        </w:rPr>
        <w:t>评标委员会成员和参与评标的采购人代表不得参加开标活动。</w:t>
      </w:r>
    </w:p>
    <w:p w14:paraId="7468CE0E">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19.3</w:t>
      </w:r>
      <w:r>
        <w:rPr>
          <w:rFonts w:hint="eastAsia" w:ascii="宋体" w:hAnsi="宋体" w:eastAsia="宋体" w:cs="宋体"/>
          <w:color w:val="auto"/>
          <w:kern w:val="0"/>
          <w:sz w:val="24"/>
          <w:highlight w:val="none"/>
        </w:rPr>
        <w:t>参加开标活动的授权代表必须在投标人签到表上签到以证明其出席。</w:t>
      </w:r>
    </w:p>
    <w:p w14:paraId="52B4D2C0">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19.4</w:t>
      </w:r>
      <w:r>
        <w:rPr>
          <w:rFonts w:hint="eastAsia" w:ascii="宋体" w:hAnsi="宋体" w:eastAsia="宋体" w:cs="宋体"/>
          <w:color w:val="auto"/>
          <w:kern w:val="0"/>
          <w:sz w:val="24"/>
          <w:highlight w:val="none"/>
        </w:rPr>
        <w:t>解密结束后，投标人在“政采云”系统中对其报价进行确认，采购代理机构打印报价结果。</w:t>
      </w:r>
    </w:p>
    <w:p w14:paraId="3A81C20E">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w:t>
      </w:r>
      <w:r>
        <w:rPr>
          <w:rFonts w:hint="eastAsia" w:ascii="宋体" w:hAnsi="宋体" w:eastAsia="宋体" w:cs="宋体"/>
          <w:bCs/>
          <w:color w:val="auto"/>
          <w:kern w:val="0"/>
          <w:sz w:val="24"/>
          <w:highlight w:val="none"/>
        </w:rPr>
        <w:t>“开标一览表”中内容存在空白的；未按招标文件格式要求进行填报的；存在缺项、漏项的；存在投标报价超过本包最高限价的；存在报价标的与采购标的不一致的等情形，均将导致投标无效。</w:t>
      </w:r>
    </w:p>
    <w:p w14:paraId="18CCF778">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19.6投标人未对投标报价进行确认的，视同认可开标结果。</w:t>
      </w:r>
    </w:p>
    <w:p w14:paraId="5ABA6F1F">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19.7“报价结果”</w:t>
      </w:r>
      <w:r>
        <w:rPr>
          <w:rFonts w:hint="eastAsia" w:ascii="宋体" w:hAnsi="宋体" w:eastAsia="宋体" w:cs="宋体"/>
          <w:color w:val="auto"/>
          <w:kern w:val="0"/>
          <w:sz w:val="24"/>
          <w:highlight w:val="none"/>
        </w:rPr>
        <w:t>随采购文件一并存档。</w:t>
      </w:r>
    </w:p>
    <w:p w14:paraId="4117BFA2">
      <w:pPr>
        <w:keepNext w:val="0"/>
        <w:keepLines w:val="0"/>
        <w:pageBreakBefore w:val="0"/>
        <w:kinsoku/>
        <w:wordWrap/>
        <w:overflowPunct/>
        <w:topLinePunct w:val="0"/>
        <w:autoSpaceDE/>
        <w:autoSpaceDN/>
        <w:bidi w:val="0"/>
        <w:adjustRightInd/>
        <w:snapToGrid/>
        <w:spacing w:line="348" w:lineRule="auto"/>
        <w:ind w:firstLine="482" w:firstLineChars="200"/>
        <w:textAlignment w:val="auto"/>
        <w:outlineLvl w:val="1"/>
        <w:rPr>
          <w:rFonts w:hint="eastAsia" w:ascii="宋体" w:hAnsi="宋体" w:eastAsia="宋体" w:cs="宋体"/>
          <w:b/>
          <w:bCs/>
          <w:color w:val="auto"/>
          <w:kern w:val="0"/>
          <w:sz w:val="24"/>
          <w:highlight w:val="none"/>
        </w:rPr>
      </w:pPr>
      <w:bookmarkStart w:id="70" w:name="_Toc24061"/>
      <w:bookmarkStart w:id="71" w:name="_Toc2122"/>
      <w:r>
        <w:rPr>
          <w:rFonts w:hint="eastAsia" w:ascii="宋体" w:hAnsi="宋体" w:eastAsia="宋体" w:cs="宋体"/>
          <w:b/>
          <w:color w:val="auto"/>
          <w:kern w:val="0"/>
          <w:sz w:val="24"/>
          <w:highlight w:val="none"/>
        </w:rPr>
        <w:t>五、资格审查小组、评标委员会组成与职责</w:t>
      </w:r>
      <w:bookmarkEnd w:id="70"/>
      <w:bookmarkEnd w:id="71"/>
    </w:p>
    <w:p w14:paraId="4A31AD08">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20.资格审查小组和</w:t>
      </w:r>
      <w:r>
        <w:rPr>
          <w:rFonts w:hint="eastAsia" w:ascii="宋体" w:hAnsi="宋体" w:eastAsia="宋体" w:cs="宋体"/>
          <w:color w:val="auto"/>
          <w:kern w:val="0"/>
          <w:sz w:val="24"/>
          <w:highlight w:val="none"/>
        </w:rPr>
        <w:t>评标委员会组成</w:t>
      </w:r>
    </w:p>
    <w:p w14:paraId="07FF7B0D">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20.1资格审查小组组成</w:t>
      </w:r>
    </w:p>
    <w:p w14:paraId="0DD202A2">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根据委托协议要求，资格审查小组由</w:t>
      </w:r>
      <w:r>
        <w:rPr>
          <w:rFonts w:hint="eastAsia" w:ascii="宋体" w:hAnsi="宋体" w:eastAsia="宋体" w:cs="宋体"/>
          <w:bCs/>
          <w:color w:val="auto"/>
          <w:kern w:val="0"/>
          <w:sz w:val="24"/>
          <w:highlight w:val="none"/>
          <w:lang w:eastAsia="zh-CN"/>
        </w:rPr>
        <w:t>采购人</w:t>
      </w:r>
      <w:r>
        <w:rPr>
          <w:rFonts w:hint="eastAsia" w:ascii="宋体" w:hAnsi="宋体" w:eastAsia="宋体" w:cs="宋体"/>
          <w:bCs/>
          <w:color w:val="auto"/>
          <w:kern w:val="0"/>
          <w:sz w:val="24"/>
          <w:highlight w:val="none"/>
        </w:rPr>
        <w:t>组成。</w:t>
      </w:r>
    </w:p>
    <w:p w14:paraId="0CF7DCD9">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20.2评标委员会组成</w:t>
      </w:r>
    </w:p>
    <w:p w14:paraId="3E078922">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20.2.1采购代理机构根据相关法律法规和本招标文件的规定，结合本招标项目的特点组建评标委员会，评标委员会由采购人代表和评审专家共五人以上单数组成，其中评审专家不得少于成员总数的三分之二。</w:t>
      </w:r>
    </w:p>
    <w:p w14:paraId="797FC59E">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20.2.2评审专家对本单位的采购项目只能作为采购人代表参与评标，法律规定的情形除外。</w:t>
      </w:r>
    </w:p>
    <w:p w14:paraId="15CCF178">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20.2.3采购代理机构工作人员不得参加由本机构代理的政府采购项目的评标。</w:t>
      </w:r>
    </w:p>
    <w:p w14:paraId="0833A3FC">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20.2.4评标委员会成员名单在评标结果公告前应当保密。</w:t>
      </w:r>
    </w:p>
    <w:p w14:paraId="2A22AF39">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20.2.5评审专家由采购代理机构从</w:t>
      </w:r>
      <w:r>
        <w:rPr>
          <w:rFonts w:hint="eastAsia" w:ascii="宋体" w:hAnsi="宋体" w:eastAsia="宋体" w:cs="宋体"/>
          <w:color w:val="auto"/>
          <w:kern w:val="0"/>
          <w:sz w:val="24"/>
          <w:highlight w:val="none"/>
          <w:u w:val="single"/>
        </w:rPr>
        <w:t>山西省财政厅专家库管理系统</w:t>
      </w:r>
      <w:r>
        <w:rPr>
          <w:rFonts w:hint="eastAsia" w:ascii="宋体" w:hAnsi="宋体" w:eastAsia="宋体" w:cs="宋体"/>
          <w:color w:val="auto"/>
          <w:kern w:val="0"/>
          <w:sz w:val="24"/>
          <w:highlight w:val="none"/>
        </w:rPr>
        <w:t>中，通过随机方式抽取。对技术复杂、专业性强的采购项目，通过随机方式难以确定合适评审专家的，</w:t>
      </w:r>
      <w:r>
        <w:rPr>
          <w:rFonts w:hint="eastAsia" w:ascii="宋体" w:hAnsi="宋体" w:eastAsia="宋体" w:cs="宋体"/>
          <w:bCs/>
          <w:color w:val="auto"/>
          <w:kern w:val="0"/>
          <w:sz w:val="24"/>
          <w:highlight w:val="none"/>
        </w:rPr>
        <w:t>经主管预算单位同意，采购人可以自行选定相应专业领域的评审专家。</w:t>
      </w:r>
    </w:p>
    <w:p w14:paraId="5ED09B57">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20.2.6评标中因评标委员会成员缺席、回避或者健康等特殊原因导致评标委员会组成不符合相关法律规定的，采购代理机构应当依法补足后继续评标。被更换的评标委员会成员所作出的评标意见无效。</w:t>
      </w:r>
    </w:p>
    <w:p w14:paraId="59169E69">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20.2.7无法及时补足评标委员会成员的，采购代理机构应当停止评标活动，封存所有投标文件和开标、评标资料，依法重新组建评标委员会进行评标。原评标委员会所作出的评标意见无效。</w:t>
      </w:r>
    </w:p>
    <w:p w14:paraId="638E7850">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20.2.8采购代理机构应当将变更、重新组建评标委员会的情况予以记录，并随采购文件一并存档。</w:t>
      </w:r>
    </w:p>
    <w:p w14:paraId="11D5A709">
      <w:pPr>
        <w:keepNext w:val="0"/>
        <w:keepLines w:val="0"/>
        <w:pageBreakBefore w:val="0"/>
        <w:widowControl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20.3审查小组和</w:t>
      </w:r>
      <w:r>
        <w:rPr>
          <w:rFonts w:hint="eastAsia" w:ascii="宋体" w:hAnsi="宋体" w:cs="宋体"/>
          <w:b/>
          <w:color w:val="auto"/>
          <w:kern w:val="0"/>
          <w:sz w:val="24"/>
          <w:highlight w:val="none"/>
          <w:lang w:eastAsia="zh-CN"/>
        </w:rPr>
        <w:t>评标委员会</w:t>
      </w:r>
      <w:r>
        <w:rPr>
          <w:rFonts w:hint="eastAsia" w:ascii="宋体" w:hAnsi="宋体" w:eastAsia="宋体" w:cs="宋体"/>
          <w:b/>
          <w:color w:val="auto"/>
          <w:kern w:val="0"/>
          <w:sz w:val="24"/>
          <w:highlight w:val="none"/>
        </w:rPr>
        <w:t>职责</w:t>
      </w:r>
    </w:p>
    <w:p w14:paraId="4871AD23">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20.3.1资格审查小组按照本项目第四部分的“评审方法与评审标准”对投标人的资格证明文件的有效性、符合性进行审核。</w:t>
      </w:r>
    </w:p>
    <w:p w14:paraId="6B2FB1C9">
      <w:pPr>
        <w:keepNext w:val="0"/>
        <w:keepLines w:val="0"/>
        <w:pageBreakBefore w:val="0"/>
        <w:widowControl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20.3.2评标委员会对3家及以上资格性审查合格投标人的商务技术文件按照本项目第四部分的“评审方法与评审标准”进行符合性审查，并对符合性审查合格的3家及以上投标人的商务技术文件，按照招标文件中规定的评标标准和评标办法进行评估和比较。</w:t>
      </w:r>
    </w:p>
    <w:p w14:paraId="25D58970">
      <w:pPr>
        <w:keepNext w:val="0"/>
        <w:keepLines w:val="0"/>
        <w:pageBreakBefore w:val="0"/>
        <w:widowControl w:val="0"/>
        <w:tabs>
          <w:tab w:val="left" w:pos="737"/>
          <w:tab w:val="left" w:pos="1200"/>
        </w:tabs>
        <w:kinsoku/>
        <w:wordWrap/>
        <w:overflowPunct/>
        <w:topLinePunct w:val="0"/>
        <w:autoSpaceDE/>
        <w:autoSpaceDN/>
        <w:bidi w:val="0"/>
        <w:adjustRightInd/>
        <w:snapToGrid/>
        <w:spacing w:line="348" w:lineRule="auto"/>
        <w:ind w:firstLine="482" w:firstLineChars="200"/>
        <w:jc w:val="left"/>
        <w:textAlignment w:val="auto"/>
        <w:outlineLvl w:val="1"/>
        <w:rPr>
          <w:rFonts w:hint="eastAsia" w:ascii="宋体" w:hAnsi="宋体" w:eastAsia="宋体" w:cs="宋体"/>
          <w:b/>
          <w:color w:val="auto"/>
          <w:kern w:val="0"/>
          <w:sz w:val="24"/>
          <w:highlight w:val="none"/>
        </w:rPr>
      </w:pPr>
      <w:bookmarkStart w:id="72" w:name="_Toc30458"/>
      <w:bookmarkStart w:id="73" w:name="_Toc4909"/>
      <w:bookmarkStart w:id="74" w:name="_Toc5453"/>
      <w:r>
        <w:rPr>
          <w:rFonts w:hint="eastAsia" w:ascii="宋体" w:hAnsi="宋体" w:eastAsia="宋体" w:cs="宋体"/>
          <w:b/>
          <w:color w:val="auto"/>
          <w:kern w:val="0"/>
          <w:sz w:val="24"/>
          <w:highlight w:val="none"/>
        </w:rPr>
        <w:t>六、资格、商务技术评审</w:t>
      </w:r>
      <w:bookmarkEnd w:id="72"/>
      <w:bookmarkEnd w:id="73"/>
      <w:bookmarkEnd w:id="74"/>
    </w:p>
    <w:p w14:paraId="6994B4B8">
      <w:pPr>
        <w:keepNext w:val="0"/>
        <w:keepLines w:val="0"/>
        <w:pageBreakBefore w:val="0"/>
        <w:widowControl w:val="0"/>
        <w:tabs>
          <w:tab w:val="left" w:pos="737"/>
          <w:tab w:val="left" w:pos="1200"/>
        </w:tabs>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采购代理机构沟通并作书面记录。采购代理机构确认后，应当修改招标文件，重新组织采购活动。</w:t>
      </w:r>
    </w:p>
    <w:p w14:paraId="1640E576">
      <w:pPr>
        <w:keepNext w:val="0"/>
        <w:keepLines w:val="0"/>
        <w:pageBreakBefore w:val="0"/>
        <w:widowControl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21.1资格证明文件的评审</w:t>
      </w:r>
    </w:p>
    <w:p w14:paraId="2FCFF9BC">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21.1.1</w:t>
      </w:r>
      <w:r>
        <w:rPr>
          <w:rFonts w:hint="eastAsia" w:ascii="宋体" w:hAnsi="宋体" w:eastAsia="宋体" w:cs="宋体"/>
          <w:color w:val="auto"/>
          <w:kern w:val="0"/>
          <w:sz w:val="24"/>
          <w:highlight w:val="none"/>
        </w:rPr>
        <w:t>解密结束后，采购代理机构依法按照招标文件中规定的“评审标准和评审办法”对投标人的资格证明文件的有效性、符合性进行审查，以确定各投标人是否是符合招标文件要求的合格投标人。合格投标人不足3家的，不得进入商务技术评审。</w:t>
      </w:r>
    </w:p>
    <w:p w14:paraId="0F7969C9">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21.1.2资格审查人员对投标文件的判定，只依据投标人的资格性证明文件内容本身（需要进行网上查询核实的证明材料除外）。</w:t>
      </w:r>
    </w:p>
    <w:p w14:paraId="0973A7D4">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21.1.3对前附表第5项中有资格证明文件不合格的或未对其要求做出明确响应的，</w:t>
      </w:r>
      <w:r>
        <w:rPr>
          <w:rFonts w:hint="eastAsia" w:ascii="宋体" w:hAnsi="宋体" w:eastAsia="宋体" w:cs="宋体"/>
          <w:b/>
          <w:color w:val="auto"/>
          <w:kern w:val="0"/>
          <w:sz w:val="24"/>
          <w:highlight w:val="none"/>
        </w:rPr>
        <w:t>将作无效投标处理。</w:t>
      </w:r>
    </w:p>
    <w:p w14:paraId="0443782D">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21.1.4为保证投标的公开、公正、公平，投标人资格证明文件若有缺失或不符，开标后不允许补正或修正，且投标无效。</w:t>
      </w:r>
    </w:p>
    <w:p w14:paraId="435138D8">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21.1.5对模糊不清的或存在疑问的资格性证明文件，在不影响投标有效性的前提下，须经投标人进行澄清或说明。</w:t>
      </w:r>
    </w:p>
    <w:p w14:paraId="5F9A4684">
      <w:pPr>
        <w:keepNext w:val="0"/>
        <w:keepLines w:val="0"/>
        <w:pageBreakBefore w:val="0"/>
        <w:widowControl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21.1.6评审结束，审查结果意见不一致时，遵循少数服从多数的原则，确定各</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是否具备</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资格。未实质上响应招标文件要求的投标文件按</w:t>
      </w:r>
      <w:r>
        <w:rPr>
          <w:rFonts w:hint="eastAsia" w:ascii="宋体" w:hAnsi="宋体" w:eastAsia="宋体" w:cs="宋体"/>
          <w:color w:val="auto"/>
          <w:kern w:val="0"/>
          <w:sz w:val="24"/>
          <w:highlight w:val="none"/>
          <w:lang w:eastAsia="zh-CN"/>
        </w:rPr>
        <w:t>投标无效</w:t>
      </w:r>
      <w:r>
        <w:rPr>
          <w:rFonts w:hint="eastAsia" w:ascii="宋体" w:hAnsi="宋体" w:eastAsia="宋体" w:cs="宋体"/>
          <w:color w:val="auto"/>
          <w:kern w:val="0"/>
          <w:sz w:val="24"/>
          <w:highlight w:val="none"/>
        </w:rPr>
        <w:t>处理，审查小组应当告知有关</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w:t>
      </w:r>
    </w:p>
    <w:p w14:paraId="46AB6982">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21.1.7采购代理机构对投标人的资格证明文件进行审查、编写资格证明文件审查报告，并签字确认，与采购文件一并存档。</w:t>
      </w:r>
    </w:p>
    <w:p w14:paraId="584C4FB4">
      <w:pPr>
        <w:keepNext w:val="0"/>
        <w:keepLines w:val="0"/>
        <w:pageBreakBefore w:val="0"/>
        <w:tabs>
          <w:tab w:val="left" w:pos="567"/>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21.2商务技术文件的评审</w:t>
      </w:r>
    </w:p>
    <w:p w14:paraId="30B06BE2">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61A39604">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21.2.2评标委员会应当各自对3家及以上资格性审查合格投标人的商务技术文件，依据招标文件确定的“评审标准和评审办法”进行符合性审查，审查投标人商务技术文件（含项目需要对样品或演示内容进行符合性审查的情形）是否对招标文件的商务技术文件做出实质性响应。是否对政策性因素做出了实质性响应。</w:t>
      </w:r>
    </w:p>
    <w:p w14:paraId="7D075E05">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21.2.3合格的商务技术文件：指投标人的商务技术文件中的签署、盖章、商务技术响应、与招标文件的要求相符，并对政策性要求做出了完整性响应，经评标委员会认定没有重大偏离或保留的商务技术文件。</w:t>
      </w:r>
    </w:p>
    <w:p w14:paraId="01C1AA96">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21.2.4重大偏离系指商务技术文件：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4650CC5F">
      <w:pPr>
        <w:keepNext w:val="0"/>
        <w:keepLines w:val="0"/>
        <w:pageBreakBefore w:val="0"/>
        <w:tabs>
          <w:tab w:val="left" w:pos="737"/>
          <w:tab w:val="left" w:pos="120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A．对“投标人须知前附表”第6条中带★号的商务技术要求及第五部分商务、技术要求中带★号商务技术指标未实质性响应的；</w:t>
      </w:r>
    </w:p>
    <w:p w14:paraId="74246AA9">
      <w:pPr>
        <w:keepNext w:val="0"/>
        <w:keepLines w:val="0"/>
        <w:pageBreakBefore w:val="0"/>
        <w:tabs>
          <w:tab w:val="left" w:pos="737"/>
          <w:tab w:val="left" w:pos="120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B．未按招标文件的规定签署、盖章的；</w:t>
      </w:r>
    </w:p>
    <w:p w14:paraId="518F5C8B">
      <w:pPr>
        <w:keepNext w:val="0"/>
        <w:keepLines w:val="0"/>
        <w:pageBreakBefore w:val="0"/>
        <w:tabs>
          <w:tab w:val="left" w:pos="737"/>
          <w:tab w:val="left" w:pos="120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C．未按照招标文件规定报价的；报价超过招标文件中规定的最高限价的；</w:t>
      </w:r>
    </w:p>
    <w:p w14:paraId="22B2469F">
      <w:pPr>
        <w:keepNext w:val="0"/>
        <w:keepLines w:val="0"/>
        <w:pageBreakBefore w:val="0"/>
        <w:tabs>
          <w:tab w:val="left" w:pos="737"/>
          <w:tab w:val="left" w:pos="120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D．执行标准、交货时间、交货地点、款项支付方式、履约保证金及验收标准等不满足招标文件中的相关要求或技术指标超出采购人可接受的负偏差范围的；</w:t>
      </w:r>
    </w:p>
    <w:p w14:paraId="15293108">
      <w:pPr>
        <w:keepNext w:val="0"/>
        <w:keepLines w:val="0"/>
        <w:pageBreakBefore w:val="0"/>
        <w:tabs>
          <w:tab w:val="left" w:pos="737"/>
          <w:tab w:val="left" w:pos="120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E．不符合招标文件中有关分包、转包规定的；</w:t>
      </w:r>
    </w:p>
    <w:p w14:paraId="2F5E2EDB">
      <w:pPr>
        <w:keepNext w:val="0"/>
        <w:keepLines w:val="0"/>
        <w:pageBreakBefore w:val="0"/>
        <w:tabs>
          <w:tab w:val="left" w:pos="737"/>
          <w:tab w:val="left" w:pos="120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F．投标文件含有采购人不能接受的附加条件的；</w:t>
      </w:r>
    </w:p>
    <w:p w14:paraId="69E8E6E0">
      <w:pPr>
        <w:keepNext w:val="0"/>
        <w:keepLines w:val="0"/>
        <w:pageBreakBefore w:val="0"/>
        <w:tabs>
          <w:tab w:val="left" w:pos="737"/>
          <w:tab w:val="left" w:pos="120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G．投标文件有效期不足的；</w:t>
      </w:r>
    </w:p>
    <w:p w14:paraId="17FF3E0A">
      <w:pPr>
        <w:keepNext w:val="0"/>
        <w:keepLines w:val="0"/>
        <w:pageBreakBefore w:val="0"/>
        <w:tabs>
          <w:tab w:val="left" w:pos="737"/>
          <w:tab w:val="left" w:pos="120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H.不符合招标文件中规定的其他实质性要求。</w:t>
      </w:r>
    </w:p>
    <w:p w14:paraId="00C98181">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21.2.5重大偏离不允许在开标后修正。</w:t>
      </w:r>
    </w:p>
    <w:p w14:paraId="6E3076B4">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21.2.6如果投标人的商务技术文件没有实质上响应招标文件的要求，评标委员会将作无效投标处理，投标人不得再对其进行任何修正从而使其投标成为实质上响应的投标。</w:t>
      </w:r>
    </w:p>
    <w:p w14:paraId="6ECCE971">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6DFE1300">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21.2.8采用最低评标价法评标时，除了算术修正外，不能对投标人的投标价格进行任何调整。</w:t>
      </w:r>
    </w:p>
    <w:p w14:paraId="5CE16014">
      <w:pPr>
        <w:keepNext w:val="0"/>
        <w:keepLines w:val="0"/>
        <w:pageBreakBefore w:val="0"/>
        <w:tabs>
          <w:tab w:val="left" w:pos="567"/>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21.3澄清或者说明</w:t>
      </w:r>
      <w:r>
        <w:rPr>
          <w:rFonts w:hint="eastAsia" w:ascii="宋体" w:hAnsi="宋体" w:eastAsia="宋体" w:cs="宋体"/>
          <w:color w:val="auto"/>
          <w:kern w:val="0"/>
          <w:sz w:val="24"/>
          <w:highlight w:val="none"/>
        </w:rPr>
        <w:t>。</w:t>
      </w:r>
    </w:p>
    <w:p w14:paraId="565A9CDA">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21.3.1对于投标人商务技术文件中含义不明确、同类问题表述不一致或者有明显文字和计算错误的内容，评标委员会应当以书面形式要求投标人作出必要的澄清、说明或者补正。</w:t>
      </w:r>
    </w:p>
    <w:p w14:paraId="2E636585">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21.3.2投标人的澄清、说明或者补正应当采用书面形式，并加盖公章，或者由法定代表人或其授权的代表签字。投标人的澄清、说明或者补正不得超出其的投标范围或者改变其商务技术文件的实质性内容。</w:t>
      </w:r>
    </w:p>
    <w:p w14:paraId="0DAB4BDE">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21.3.3评标委员会将允许投标人澄清、说明或者补正商务技术文件中不构成重大偏离、微小的、非正规、不一致或不规则的地方，但这些修改不能影响其他投标人的名次排列。</w:t>
      </w:r>
    </w:p>
    <w:p w14:paraId="7021C7B1">
      <w:pPr>
        <w:keepNext w:val="0"/>
        <w:keepLines w:val="0"/>
        <w:pageBreakBefore w:val="0"/>
        <w:widowControl/>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21.4报价审核</w:t>
      </w:r>
    </w:p>
    <w:p w14:paraId="156F79E9">
      <w:pPr>
        <w:keepNext w:val="0"/>
        <w:keepLines w:val="0"/>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21.4.1根据本文件第四部分“评审方法和评审标准”对投标报价进行符合性审查。</w:t>
      </w:r>
    </w:p>
    <w:p w14:paraId="60C3D6E1">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21.4.2投标报价出现前后不一致的，按照下列规定修正：</w:t>
      </w:r>
    </w:p>
    <w:p w14:paraId="02835066">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（1）投标文件中开标一览表内容与投标文件中相应内容不一致的，以开标一览表为准；</w:t>
      </w:r>
    </w:p>
    <w:p w14:paraId="1C4403FB">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（2）大写金额和小写金额不一致的，以大写金额为准；</w:t>
      </w:r>
    </w:p>
    <w:p w14:paraId="73FE9E4E">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（3）单价金额小数点或者百分比有明显错位的，以开标一览表的总价为准，并修改单价；</w:t>
      </w:r>
    </w:p>
    <w:p w14:paraId="75658E58">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（4）总价金额与按单价汇总金额不一致的，以单价金额计算结果为准。</w:t>
      </w:r>
    </w:p>
    <w:p w14:paraId="31EF6CCA">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同时出现两种以上不一致的，按照前款规定的顺序修正。修正后的报价经投标人确认后产生约束力，投标人不确认的，其投标无效。</w:t>
      </w:r>
    </w:p>
    <w:p w14:paraId="1627578C">
      <w:pPr>
        <w:keepNext w:val="0"/>
        <w:keepLines w:val="0"/>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21.4.3经审查，合格投标人数量符合法定投标人家数时，对符合政策性要求优惠的各投标人的投标报价，按照21.5进行政策性因素价格扣除后，形成各投标人最终评标价格。</w:t>
      </w:r>
    </w:p>
    <w:p w14:paraId="04218EAC">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21.4.4采用最低评标价法评标时，除了算术修正和按照21.5落实政府采购政策需进行的价格扣除外，不能对投标人的投标价格进行任何调整。</w:t>
      </w:r>
    </w:p>
    <w:p w14:paraId="71C3A226">
      <w:pPr>
        <w:keepNext w:val="0"/>
        <w:keepLines w:val="0"/>
        <w:pageBreakBefore w:val="0"/>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color w:val="auto"/>
          <w:sz w:val="24"/>
          <w:highlight w:val="none"/>
        </w:rPr>
        <w:t>21.5</w:t>
      </w:r>
      <w:r>
        <w:rPr>
          <w:rFonts w:hint="eastAsia" w:ascii="宋体" w:hAnsi="宋体" w:eastAsia="宋体" w:cs="宋体"/>
          <w:b/>
          <w:bCs/>
          <w:color w:val="auto"/>
          <w:sz w:val="24"/>
          <w:highlight w:val="none"/>
        </w:rPr>
        <w:t>政策性因素价格扣除</w:t>
      </w:r>
    </w:p>
    <w:p w14:paraId="1727CA2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21.5.1依据政府采购的相关规定，如果投标人或所提供的货物满足下述要求并经评标委员会全体成员集体认定通过，予以考虑执行。</w:t>
      </w:r>
    </w:p>
    <w:p w14:paraId="3D173349">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21.5.2中小微企业参加本项目：</w:t>
      </w:r>
    </w:p>
    <w:p w14:paraId="55411F74">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0C1DC047">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2022〕19号）及《山西省财政厅关于进一步加大政府采购支持中小企业力度助力扎实稳住经济的通知》（晋财购〔2022〕6号）规定，对小微企业报价给予15%的扣除，用扣除后的价格参加评审。</w:t>
      </w:r>
    </w:p>
    <w:p w14:paraId="23238F8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21.5.3残疾人福利单位参加本项目：</w:t>
      </w:r>
    </w:p>
    <w:p w14:paraId="7606344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报价给予15%的扣除，用扣除后的价格参加评审。</w:t>
      </w:r>
    </w:p>
    <w:p w14:paraId="69EB5E54">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21.5.4监狱企业参加本项目：</w:t>
      </w:r>
    </w:p>
    <w:p w14:paraId="4105B7EB">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据《财政部司法部关于政府采购支持监狱企业发展有关问题的通知》(财库〔2014〕68号)规定，监狱企业视同小型、微型企业，享受预留份额、评审中价格扣除等政府采购促进中小企业发展的政府采购政策。报价给予15%的扣除，用扣除后的价格参加评审。</w:t>
      </w:r>
    </w:p>
    <w:p w14:paraId="642171F9">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21.5.5联合体参加本项目：</w:t>
      </w:r>
    </w:p>
    <w:p w14:paraId="2268D47B">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按照《关于进一步加大政府采购支持中小企业力度的通知》(财库〔2022〕19号）给予</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%的扣除，用扣除后的价格参加评审。</w:t>
      </w:r>
    </w:p>
    <w:p w14:paraId="12B2EE8C">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1"/>
          <w:highlight w:val="none"/>
        </w:rPr>
        <w:t>21.5.6</w:t>
      </w:r>
      <w:r>
        <w:rPr>
          <w:rFonts w:hint="eastAsia" w:ascii="宋体" w:hAnsi="宋体" w:eastAsia="宋体" w:cs="宋体"/>
          <w:color w:val="auto"/>
          <w:sz w:val="24"/>
          <w:highlight w:val="none"/>
        </w:rPr>
        <w:t>创新产品参加本项目</w:t>
      </w:r>
    </w:p>
    <w:p w14:paraId="5EBC263B">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根据《政府采购支持创新产品和服务实施细则》（晋财购【2019】19号）第十三条规定，对符合创新要求的货物或服务的报价给予6%的扣除，用扣除后的价格参加评审；</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投报创新产品或创新服务的，应在</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文件中填写《创新产品或创新服务明细表》，并提供《山西省创新产品和服务推荐清单》；创新产品或创新服务的价格折扣政策可与其他政府采购政策叠加。</w:t>
      </w:r>
    </w:p>
    <w:p w14:paraId="68262476">
      <w:pPr>
        <w:keepNext w:val="0"/>
        <w:keepLines w:val="0"/>
        <w:pageBreakBefore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存在下列情况之一者将视为投标无效：</w:t>
      </w:r>
    </w:p>
    <w:p w14:paraId="66821678">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（1）未在开标一览表中按照招标文件要求签章的；</w:t>
      </w:r>
    </w:p>
    <w:p w14:paraId="6C64C58C">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（2）未按招标文件进行签署的；</w:t>
      </w:r>
    </w:p>
    <w:p w14:paraId="32964F39">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（3）未按招标文件要求进行填报或报价表填报不完整，存在可空项、漏项、缺项的；</w:t>
      </w:r>
    </w:p>
    <w:p w14:paraId="6E342017">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4）评标委员会一致认为投标人的报价明显低于其他通过符合性审查投标人的报价，有可能影响产品质量或者不能诚信履约的，应当要求其在合理的时间内通过“政采云系统”提供书面说明，必要时提交相关证明材料；投标人不能证明其报价合理性的，评标委员会应当将其作为无效投标处理。</w:t>
      </w:r>
    </w:p>
    <w:p w14:paraId="5C2EA5A8">
      <w:pPr>
        <w:keepNext w:val="0"/>
        <w:keepLines w:val="0"/>
        <w:pageBreakBefore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经审查，合格投标人数量不符合法定投标人家数时，需依法重新组织招标活动。</w:t>
      </w:r>
    </w:p>
    <w:p w14:paraId="7F0E2FA9">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w:t>
      </w:r>
      <w:r>
        <w:rPr>
          <w:rFonts w:hint="eastAsia" w:ascii="宋体" w:hAnsi="宋体" w:eastAsia="宋体" w:cs="宋体"/>
          <w:color w:val="auto"/>
          <w:kern w:val="0"/>
          <w:sz w:val="24"/>
          <w:highlight w:val="none"/>
          <w:lang w:val="en-US" w:eastAsia="zh-CN"/>
        </w:rPr>
        <w:t>8</w:t>
      </w:r>
      <w:r>
        <w:rPr>
          <w:rFonts w:hint="eastAsia" w:ascii="宋体" w:hAnsi="宋体" w:eastAsia="宋体" w:cs="宋体"/>
          <w:b/>
          <w:bCs/>
          <w:color w:val="auto"/>
          <w:kern w:val="0"/>
          <w:sz w:val="24"/>
          <w:highlight w:val="none"/>
        </w:rPr>
        <w:t>对投标人的商务技术文件进行比较和评价</w:t>
      </w:r>
    </w:p>
    <w:p w14:paraId="365A4CA9">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.1本项目采用综合评分法，</w:t>
      </w:r>
      <w:r>
        <w:rPr>
          <w:rFonts w:hint="eastAsia" w:ascii="宋体" w:hAnsi="宋体" w:eastAsia="宋体" w:cs="宋体"/>
          <w:color w:val="auto"/>
          <w:sz w:val="24"/>
          <w:highlight w:val="none"/>
        </w:rPr>
        <w:t>对各包投标人商务技术文件符合性审查后，合格投标人数量符合法定数量的，</w:t>
      </w:r>
      <w:r>
        <w:rPr>
          <w:rFonts w:hint="eastAsia" w:ascii="宋体" w:hAnsi="宋体" w:eastAsia="宋体" w:cs="宋体"/>
          <w:color w:val="auto"/>
          <w:kern w:val="0"/>
          <w:sz w:val="24"/>
          <w:highlight w:val="none"/>
        </w:rPr>
        <w:t>评标委员会应当按照招标文件中规定的“评分细则”，对合格投标人的投标文件进行商务和技术评估，综合比较与评价。</w:t>
      </w:r>
    </w:p>
    <w:p w14:paraId="4F0A897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3B2B0BCB">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22.评审复核</w:t>
      </w:r>
    </w:p>
    <w:p w14:paraId="75CF6D86">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22.1评标结果汇总完成后，除下列情形外，任何人不得修改评标结果：</w:t>
      </w:r>
    </w:p>
    <w:p w14:paraId="01E2D662">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（一）分值汇总计算错误的；</w:t>
      </w:r>
    </w:p>
    <w:p w14:paraId="681D0D87">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（二）分项评分超出评分标准范围的；</w:t>
      </w:r>
    </w:p>
    <w:p w14:paraId="460B8116">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（三）评标委员会成员对客观评审因素评分不一致的；</w:t>
      </w:r>
    </w:p>
    <w:p w14:paraId="44307BBC">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（四）经评标委员会认定评分畸高、畸低的。</w:t>
      </w:r>
    </w:p>
    <w:p w14:paraId="5E821FD8">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757509CF">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22.3投标人对本条第一款情形提出质疑的，采购代理机构可以组织原评标委员会进行重新评审，重新评审改变评标结果的，应当书面报告本级财政部门。</w:t>
      </w:r>
    </w:p>
    <w:p w14:paraId="1DAA8E95">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23.推荐中标候选人</w:t>
      </w:r>
    </w:p>
    <w:p w14:paraId="560AF455">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w:t>
      </w:r>
      <w:r>
        <w:rPr>
          <w:rFonts w:hint="eastAsia" w:ascii="宋体" w:hAnsi="宋体" w:eastAsia="宋体" w:cs="宋体"/>
          <w:color w:val="auto"/>
          <w:sz w:val="24"/>
          <w:highlight w:val="none"/>
        </w:rPr>
        <w:t>推荐中标候选人顺序须</w:t>
      </w:r>
      <w:r>
        <w:rPr>
          <w:rFonts w:hint="eastAsia" w:ascii="宋体" w:hAnsi="宋体" w:eastAsia="宋体" w:cs="宋体"/>
          <w:color w:val="auto"/>
          <w:kern w:val="0"/>
          <w:sz w:val="24"/>
          <w:highlight w:val="none"/>
        </w:rPr>
        <w:t>遵循下列原则：</w:t>
      </w:r>
    </w:p>
    <w:p w14:paraId="7F199908">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23.1.1采用综合评分法的，遵循下列原则：</w:t>
      </w:r>
    </w:p>
    <w:p w14:paraId="2F678BBC">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23.1.1.1</w:t>
      </w:r>
      <w:r>
        <w:rPr>
          <w:rFonts w:hint="eastAsia" w:ascii="宋体" w:hAnsi="宋体" w:eastAsia="宋体" w:cs="宋体"/>
          <w:b/>
          <w:bCs/>
          <w:color w:val="auto"/>
          <w:kern w:val="0"/>
          <w:sz w:val="24"/>
          <w:highlight w:val="none"/>
        </w:rPr>
        <w:t>按评审后投标人的综合得分由高到低顺序排列。</w:t>
      </w:r>
    </w:p>
    <w:p w14:paraId="47A0976D">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23.1.1.2综合得分相同的，按投标报价由低到高顺序排列。</w:t>
      </w:r>
    </w:p>
    <w:p w14:paraId="1FDD3252">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23.1.1.3综合得分且投标报价相同的按照技术、服务等因素得分较高顺序排列。</w:t>
      </w:r>
    </w:p>
    <w:p w14:paraId="3E762326">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23.1.1.4对于提供相同品牌产品的</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，在推荐成交候选人时需遵循以下原则：</w:t>
      </w:r>
    </w:p>
    <w:p w14:paraId="7DE68972">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23.1.1.4.1对于单一产品采购项目，投标人提供相同品牌产品且通过符合性审查的不同</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参加同一合同项下投标的，按一家投标人计算投标人数量。评审后得分最高的同品牌</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获得成交候选人推荐资格；评审得分相同的，由评标委员会主任当众采取随机抽取方式确定一个投标人获得中标候选人推荐资格，其他同品牌投标人的投标无效。</w:t>
      </w:r>
    </w:p>
    <w:p w14:paraId="07F82C1B">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23.1.1.4.2对于非单一产品采购项目，多家投标人提供的投标文件用“*”标明的采购人在采购项目中依据技术构成、产品价格比重等合理确定的核心产品为相同品牌的，推荐中标候选人时按23.1.1.4.1规定处理。</w:t>
      </w:r>
    </w:p>
    <w:p w14:paraId="6EE48AEE">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23.1.1.5评标委员会应当根据综合得分情况，按照综合得分由高到低的顺序推荐3名中标候选人。</w:t>
      </w:r>
    </w:p>
    <w:p w14:paraId="16E3901E">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23.1.1.6评审得分最高的投标人为第一的中标候选人。</w:t>
      </w:r>
    </w:p>
    <w:p w14:paraId="6AA171D1">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23.1.2采用最低评标价法的，遵循下列原则：</w:t>
      </w:r>
    </w:p>
    <w:p w14:paraId="029B35CA">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23.1.2.1</w:t>
      </w:r>
      <w:r>
        <w:rPr>
          <w:rFonts w:hint="eastAsia" w:ascii="宋体" w:hAnsi="宋体" w:eastAsia="宋体" w:cs="宋体"/>
          <w:b/>
          <w:bCs/>
          <w:color w:val="auto"/>
          <w:kern w:val="0"/>
          <w:sz w:val="24"/>
          <w:highlight w:val="none"/>
        </w:rPr>
        <w:t>按评审后</w:t>
      </w:r>
      <w:r>
        <w:rPr>
          <w:rFonts w:hint="eastAsia" w:ascii="宋体" w:hAnsi="宋体" w:eastAsia="宋体" w:cs="宋体"/>
          <w:color w:val="auto"/>
          <w:kern w:val="0"/>
          <w:sz w:val="24"/>
          <w:highlight w:val="none"/>
        </w:rPr>
        <w:t>按投标报价由低到高顺序排列。</w:t>
      </w:r>
    </w:p>
    <w:p w14:paraId="4296A15E">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23.1.2.2投标报价相同的，按照技术、服务等因素的优劣进行排列。</w:t>
      </w:r>
    </w:p>
    <w:p w14:paraId="048A066E">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23.1.2.3对于提供相同品牌产品的</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，在推荐成交候选人时需遵循以下原则：</w:t>
      </w:r>
    </w:p>
    <w:p w14:paraId="055FDB27">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23.1.2.3.1对于单一产品采购项目，投标人提供相同品牌产品且通过符合性审查的不同</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参加同一合同项下投标的，按一家投标人计算投标人数量。评审后报价最低的同品牌</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获得成交候选人推荐资格；报价相同的，由评标委员会主任当众采取随机抽取方式确定一个投标人获得中标候选人推荐资格，其他同品牌投标人的投标无效。</w:t>
      </w:r>
    </w:p>
    <w:p w14:paraId="6BA25ABD">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23.1.2.3.2对于非单一产品采购项目，多家投标人提供的投标文件用“*”标明的采购人在采购项目中依据技术构成、产品价格比重等合理确定的核心产品为相同品牌的，推荐中标候选人时按21.1.2.3.1规定处理。</w:t>
      </w:r>
    </w:p>
    <w:p w14:paraId="6B6D3658">
      <w:pPr>
        <w:pStyle w:val="29"/>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23.1.2.4评标委员会认为投标人的报价明显低于其他通过符合性审查投标人的报价，有可能影响产品质量或者不能诚信履约的，应当要求其在合理的时间内通过政采云平台提供书面说明，必要时提交投标人与自身全部合作出版社签订的低折扣营销协议等相关证明材料；投标人不能证明其报价合理性的，评标委员会应当将其作为无效投标处理。</w:t>
      </w:r>
    </w:p>
    <w:p w14:paraId="70050A9D">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24.确定中标人</w:t>
      </w:r>
    </w:p>
    <w:p w14:paraId="5F9D0706">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本次招标，授权评标委员会按照中标候选人排序，优先直接确定排名第一的投标人为中标人。</w:t>
      </w:r>
    </w:p>
    <w:p w14:paraId="49E9B810">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25.编写评标报告</w:t>
      </w:r>
    </w:p>
    <w:p w14:paraId="63583468">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25.1评标委员会根据全体成员签字的原始评标记录和评标结果编写商务技术文件评标报告。评标报告应当包括以下内容：</w:t>
      </w:r>
    </w:p>
    <w:p w14:paraId="740C58CF">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（一）招标公告刊登的媒体名称、开标日期和地点；</w:t>
      </w:r>
    </w:p>
    <w:p w14:paraId="0E348387">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r>
        <w:rPr>
          <w:rFonts w:hint="eastAsia" w:ascii="宋体" w:hAnsi="宋体" w:eastAsia="宋体" w:cs="宋体"/>
          <w:bCs/>
          <w:color w:val="auto"/>
          <w:kern w:val="0"/>
          <w:sz w:val="24"/>
          <w:highlight w:val="none"/>
        </w:rPr>
        <w:t>投标人名单</w:t>
      </w:r>
      <w:r>
        <w:rPr>
          <w:rFonts w:hint="eastAsia" w:ascii="宋体" w:hAnsi="宋体" w:eastAsia="宋体" w:cs="宋体"/>
          <w:color w:val="auto"/>
          <w:kern w:val="0"/>
          <w:sz w:val="24"/>
          <w:highlight w:val="none"/>
        </w:rPr>
        <w:t>和评标委员会成员名单；</w:t>
      </w:r>
    </w:p>
    <w:p w14:paraId="1D7897AE">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（三）评标方法和标准；</w:t>
      </w:r>
    </w:p>
    <w:p w14:paraId="25C6A479">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（四）开标记录和评标情况及说明，包括无效投标人名单及原因；</w:t>
      </w:r>
    </w:p>
    <w:p w14:paraId="2C2F4CAD">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（五）评标结果，</w:t>
      </w:r>
      <w:r>
        <w:rPr>
          <w:rFonts w:hint="eastAsia" w:ascii="宋体" w:hAnsi="宋体" w:eastAsia="宋体" w:cs="宋体"/>
          <w:bCs/>
          <w:color w:val="auto"/>
          <w:kern w:val="0"/>
          <w:sz w:val="24"/>
          <w:highlight w:val="none"/>
        </w:rPr>
        <w:t>确定的中标候选人名单、经采购人委托直接确定的中标人；</w:t>
      </w:r>
    </w:p>
    <w:p w14:paraId="70A54625">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 xml:space="preserve">（六）其他需要说明的情况，包括评标过程中投标人根据评标委员会要求进行的澄清、说明或者补正，评标委员会成员的更换等。 </w:t>
      </w:r>
    </w:p>
    <w:p w14:paraId="5DAFFD26">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25.2评标委员会成员对需要共同认定的事项存在争议的，应当按照少数服从多数的原则作出结论。持不同意见的评标委员会成员应当在评标报告上签署不同意见及理由，否则视为同意评标报告。</w:t>
      </w:r>
    </w:p>
    <w:p w14:paraId="6EEA596E">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25.3评标报告应当由全体评标成员共同签字确认。</w:t>
      </w:r>
    </w:p>
    <w:p w14:paraId="4863C1BD">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26.评标过程保密</w:t>
      </w:r>
    </w:p>
    <w:p w14:paraId="32E270F1">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26.1采购人、采购代理机构应当采取必要措施，保证评标在严格保密的情况下进行。除采购人代表、评标现场组织人员，采购人的其他工作人员以及与评标工作无关的人员不得进入评标现场。</w:t>
      </w:r>
    </w:p>
    <w:p w14:paraId="08515C60">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26.2开标之后，直到授予中标人合同止，凡是属于审查、澄清、评价和比较投标的有关资料以及授标意向等，均不得向投标人或其他与评标无关的人员透露。</w:t>
      </w:r>
      <w:r>
        <w:rPr>
          <w:rFonts w:hint="eastAsia" w:ascii="宋体" w:hAnsi="宋体" w:eastAsia="宋体" w:cs="宋体"/>
          <w:b/>
          <w:bCs/>
          <w:color w:val="auto"/>
          <w:kern w:val="0"/>
          <w:sz w:val="24"/>
          <w:highlight w:val="none"/>
        </w:rPr>
        <w:t>有关人员对评标情况以及在评标过程中获悉的国家秘密、商业秘密负有保密责任。</w:t>
      </w:r>
    </w:p>
    <w:p w14:paraId="31A0ADEA">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27.关于投标人非实质性响应滞后发现的处理规则</w:t>
      </w:r>
    </w:p>
    <w:p w14:paraId="5119FA65">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无论基于何种原因，各项本应做拒绝投标处理的情形，即便未被及时发现而使该投标人进入评审或其它后续程序，包括已经签约的情形。一旦被发现存在上述情形，采购人或采购代理机构均有权依法决定取消该投标人的此前评议结果，或决定对该投标予以拒绝，并有权采取相应的补救及纠正措施。</w:t>
      </w:r>
    </w:p>
    <w:p w14:paraId="6F76593E">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28.无效投标与无效评标</w:t>
      </w:r>
    </w:p>
    <w:p w14:paraId="287BB10F">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28.1投标人存在下列情况之一的，投标无效:</w:t>
      </w:r>
    </w:p>
    <w:p w14:paraId="780C241B">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（一）未按照招标文件的规定提交投标保证金的；</w:t>
      </w:r>
    </w:p>
    <w:p w14:paraId="04D99B3E">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（二）投标文件未按招标文件要求签署、盖章的；</w:t>
      </w:r>
    </w:p>
    <w:p w14:paraId="4C67074B">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（三）不具备招标文件中规定的资格要求的；</w:t>
      </w:r>
    </w:p>
    <w:p w14:paraId="3C4098D8">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（四）报价超过招标文件中规定的预算金额或者最高限价的；</w:t>
      </w:r>
    </w:p>
    <w:p w14:paraId="486B76F8">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（五）投标文件含有采购人不能接受的附加条件的;</w:t>
      </w:r>
    </w:p>
    <w:p w14:paraId="2469A46E">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（六）法律、法规和招标文件规定的其他无效情形。</w:t>
      </w:r>
    </w:p>
    <w:p w14:paraId="3D66FF5E">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28.2有下列情形之一的，视为投标人串通投标，其投标无效：</w:t>
      </w:r>
    </w:p>
    <w:p w14:paraId="711B765A">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（一）不同投标人的投标文件由同一单位或者个人编制；</w:t>
      </w:r>
    </w:p>
    <w:p w14:paraId="35E41F7B">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（二）不同投标人委托同一单位或者个人办理投标事宜；</w:t>
      </w:r>
    </w:p>
    <w:p w14:paraId="3071D3FC">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（三）不同投标人的投标文件载明的项目管理成员或者联系人员为同一人；</w:t>
      </w:r>
    </w:p>
    <w:p w14:paraId="76E10A5A">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（四）不同投标人的投标文件异常一致或者投标报价呈规律性差异；</w:t>
      </w:r>
    </w:p>
    <w:p w14:paraId="21D8906D">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（五）不同投标人的投标文件相互混装；</w:t>
      </w:r>
    </w:p>
    <w:p w14:paraId="4E9A34AF">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（六）不同投标人的投标保证金从同一单位或者个人的账户转出。</w:t>
      </w:r>
    </w:p>
    <w:p w14:paraId="18436737">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28.3评标委员会或者其成员存在下列情形导致评标结果无效的，采购人、采购代理机构可以重新组建评标委员会进行评标，并书面报告本级财政部门，但采购合同已经履行的除外：</w:t>
      </w:r>
    </w:p>
    <w:p w14:paraId="2713F515">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（一）评标委员会组成不符合《政府采购货物和服务招标投标管理办法》规定的；</w:t>
      </w:r>
    </w:p>
    <w:p w14:paraId="49C8DF2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（二）有《政府采购货物和服务招标投标管理办法》第六十二条第一至五项情形的；</w:t>
      </w:r>
    </w:p>
    <w:p w14:paraId="6E7629CE">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（三）评标委员会及其成员独立评标受到非法干预的；</w:t>
      </w:r>
    </w:p>
    <w:p w14:paraId="3FF93E73">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（四）有《中华人民共和国政府采购法实施条例》第七十五条规定的违法行为的。</w:t>
      </w:r>
    </w:p>
    <w:p w14:paraId="562B3DEC">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有违法违规行为的原评标委员会成员不得参加重新组建的评标委员会。</w:t>
      </w:r>
    </w:p>
    <w:p w14:paraId="20434D27">
      <w:pPr>
        <w:keepNext w:val="0"/>
        <w:keepLines w:val="0"/>
        <w:pageBreakBefore w:val="0"/>
        <w:tabs>
          <w:tab w:val="left" w:pos="567"/>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29．采购项目终止与处理</w:t>
      </w:r>
    </w:p>
    <w:p w14:paraId="189D1685">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29.1采购人、采购代理机构在发布招标公告、资格预审公告或者发出投标邀请书后，除因重大变故采购任务取消情况外，不得擅自终止招标活动。</w:t>
      </w:r>
    </w:p>
    <w:p w14:paraId="5164F035">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终止招标的，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63F2F048">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29.2公开招标数额标准以上的采购项目（如分包按包计），投标截止后投标人不足3家或者通过资格审查或符合性审查的投标人不足3家的，除采购任务取消情形外，按照以下方式处理：</w:t>
      </w:r>
    </w:p>
    <w:p w14:paraId="1CDAE6EE">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（一）招标文件存在不合理条款或者招标程序不符合规定的，采购人、采购代理机构改正后依法重新招标；</w:t>
      </w:r>
    </w:p>
    <w:p w14:paraId="2E237548">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（二）招标文件没有不合理条款、招标程序符合规定，需要采用其他</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式采购的，采购人应当依法报财政部门批准。</w:t>
      </w:r>
    </w:p>
    <w:p w14:paraId="1F8CF611">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采购项目（按包计）终止后，评标委员会应做出书面报告；采购代理机构应当将废标原因通知所有投标人，并依法重新组织采购活动。</w:t>
      </w:r>
    </w:p>
    <w:p w14:paraId="4DECA05A">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29.3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5F90317F">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30. 中标结果公告与中标通知</w:t>
      </w:r>
    </w:p>
    <w:p w14:paraId="6E3D3E41">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30.1采购代理机构应当自中标人确定之日起2个工作日内，在</w:t>
      </w:r>
      <w:r>
        <w:rPr>
          <w:rFonts w:hint="eastAsia" w:ascii="宋体" w:hAnsi="宋体" w:eastAsia="宋体" w:cs="宋体"/>
          <w:b/>
          <w:bCs/>
          <w:color w:val="auto"/>
          <w:kern w:val="0"/>
          <w:sz w:val="24"/>
          <w:highlight w:val="none"/>
        </w:rPr>
        <w:t>中国政府采购网山西分网上</w:t>
      </w:r>
      <w:r>
        <w:rPr>
          <w:rFonts w:hint="eastAsia" w:ascii="宋体" w:hAnsi="宋体" w:eastAsia="宋体" w:cs="宋体"/>
          <w:color w:val="auto"/>
          <w:kern w:val="0"/>
          <w:sz w:val="24"/>
          <w:highlight w:val="none"/>
        </w:rPr>
        <w:t>公告中标结果，招标文件应当随中标结果同时公告。</w:t>
      </w:r>
    </w:p>
    <w:p w14:paraId="23498500">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30.2中标结果公告内容应当包括采购人及其委托的采购代理机构的名称、地址、联系方式，项目名称和项目编号，中标人名称、地址</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中标金额</w:t>
      </w:r>
      <w:r>
        <w:rPr>
          <w:rFonts w:hint="eastAsia" w:ascii="宋体" w:hAnsi="宋体" w:eastAsia="宋体" w:cs="宋体"/>
          <w:color w:val="auto"/>
          <w:kern w:val="0"/>
          <w:sz w:val="24"/>
          <w:highlight w:val="none"/>
          <w:lang w:eastAsia="zh-CN"/>
        </w:rPr>
        <w:t>和评审总得分</w:t>
      </w:r>
      <w:r>
        <w:rPr>
          <w:rFonts w:hint="eastAsia" w:ascii="宋体" w:hAnsi="宋体" w:eastAsia="宋体" w:cs="宋体"/>
          <w:color w:val="auto"/>
          <w:kern w:val="0"/>
          <w:sz w:val="24"/>
          <w:highlight w:val="none"/>
        </w:rPr>
        <w:t>，主要中标标的的名称、品牌（如有）、规格型号、数量、单价，中标公告期限以及评审专家名单。</w:t>
      </w:r>
    </w:p>
    <w:p w14:paraId="10504805">
      <w:pPr>
        <w:keepNext w:val="0"/>
        <w:keepLines w:val="0"/>
        <w:pageBreakBefore w:val="0"/>
        <w:tabs>
          <w:tab w:val="left" w:pos="567"/>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bCs w:val="0"/>
          <w:color w:val="auto"/>
          <w:kern w:val="0"/>
          <w:sz w:val="24"/>
          <w:highlight w:val="none"/>
        </w:rPr>
      </w:pPr>
      <w:r>
        <w:rPr>
          <w:rFonts w:hint="eastAsia" w:ascii="宋体" w:hAnsi="宋体" w:eastAsia="宋体" w:cs="宋体"/>
          <w:b/>
          <w:bCs w:val="0"/>
          <w:color w:val="auto"/>
          <w:kern w:val="0"/>
          <w:sz w:val="24"/>
          <w:highlight w:val="none"/>
        </w:rPr>
        <w:t>如非面向中小企业的采购项目，</w:t>
      </w:r>
      <w:r>
        <w:rPr>
          <w:rFonts w:hint="eastAsia" w:ascii="宋体" w:hAnsi="宋体" w:eastAsia="宋体" w:cs="宋体"/>
          <w:b/>
          <w:bCs w:val="0"/>
          <w:color w:val="auto"/>
          <w:kern w:val="0"/>
          <w:sz w:val="24"/>
          <w:highlight w:val="none"/>
          <w:lang w:eastAsia="zh-CN"/>
        </w:rPr>
        <w:t>中标人</w:t>
      </w:r>
      <w:r>
        <w:rPr>
          <w:rFonts w:hint="eastAsia" w:ascii="宋体" w:hAnsi="宋体" w:eastAsia="宋体" w:cs="宋体"/>
          <w:b/>
          <w:bCs w:val="0"/>
          <w:color w:val="auto"/>
          <w:kern w:val="0"/>
          <w:sz w:val="24"/>
          <w:highlight w:val="none"/>
        </w:rPr>
        <w:t>所报产品为中小企业产品，须同时上传中小企业声明函。</w:t>
      </w:r>
    </w:p>
    <w:p w14:paraId="35C0D055">
      <w:pPr>
        <w:keepNext w:val="0"/>
        <w:keepLines w:val="0"/>
        <w:pageBreakBefore w:val="0"/>
        <w:tabs>
          <w:tab w:val="left" w:pos="0"/>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30.3中标公告期限为1个工作日。</w:t>
      </w:r>
    </w:p>
    <w:p w14:paraId="4031D9BF">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b w:val="0"/>
          <w:bCs/>
          <w:color w:val="auto"/>
          <w:kern w:val="0"/>
          <w:sz w:val="24"/>
          <w:highlight w:val="none"/>
        </w:rPr>
        <w:t>30.4在公告中标结果的同时，采购代理机构应当向中标人发出中标通知书；对未通过</w:t>
      </w:r>
      <w:r>
        <w:rPr>
          <w:rFonts w:hint="eastAsia" w:ascii="宋体" w:hAnsi="宋体" w:eastAsia="宋体" w:cs="宋体"/>
          <w:color w:val="auto"/>
          <w:kern w:val="0"/>
          <w:sz w:val="24"/>
          <w:highlight w:val="none"/>
        </w:rPr>
        <w:t>资格审查的投标人，应当告知其未通过的原因；采用综合评分法评审的，还应当告知未中标人本人的评审得分与排序。</w:t>
      </w:r>
    </w:p>
    <w:p w14:paraId="0DBF9D1C">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30.5中标通知书发出后，采购人不得违法改变中标结果，中标人无正当理由不得放弃中标。</w:t>
      </w:r>
    </w:p>
    <w:p w14:paraId="0E88D7A2">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30.6中标通知书是合同的组成部分。</w:t>
      </w:r>
    </w:p>
    <w:p w14:paraId="0BCD92DD">
      <w:pPr>
        <w:keepNext w:val="0"/>
        <w:keepLines w:val="0"/>
        <w:pageBreakBefore w:val="0"/>
        <w:tabs>
          <w:tab w:val="left" w:pos="0"/>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31.中标服务费</w:t>
      </w:r>
    </w:p>
    <w:p w14:paraId="77EB592F">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 收费标准</w:t>
      </w:r>
    </w:p>
    <w:p w14:paraId="29C658EF">
      <w:pPr>
        <w:pStyle w:val="49"/>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31.1采购代理机构以委托项目中每包的</w:t>
      </w:r>
      <w:r>
        <w:rPr>
          <w:rFonts w:hint="eastAsia" w:ascii="宋体" w:hAnsi="宋体" w:cs="宋体"/>
          <w:color w:val="auto"/>
          <w:kern w:val="0"/>
          <w:sz w:val="24"/>
          <w:highlight w:val="none"/>
          <w:lang w:val="en-US" w:eastAsia="zh-CN"/>
        </w:rPr>
        <w:t>中标</w:t>
      </w:r>
      <w:r>
        <w:rPr>
          <w:rFonts w:hint="eastAsia" w:ascii="宋体" w:hAnsi="宋体" w:eastAsia="宋体" w:cs="宋体"/>
          <w:color w:val="auto"/>
          <w:kern w:val="0"/>
          <w:sz w:val="24"/>
          <w:highlight w:val="none"/>
        </w:rPr>
        <w:t>金额为计费依据，参照《</w:t>
      </w:r>
      <w:r>
        <w:rPr>
          <w:rFonts w:hint="eastAsia" w:ascii="宋体" w:hAnsi="宋体" w:cs="宋体"/>
          <w:color w:val="auto"/>
          <w:kern w:val="0"/>
          <w:sz w:val="24"/>
          <w:highlight w:val="none"/>
          <w:lang w:val="en-US" w:eastAsia="zh-CN"/>
        </w:rPr>
        <w:t>招标</w:t>
      </w:r>
      <w:r>
        <w:rPr>
          <w:rFonts w:hint="eastAsia" w:ascii="宋体" w:hAnsi="宋体" w:eastAsia="宋体" w:cs="宋体"/>
          <w:color w:val="auto"/>
          <w:kern w:val="0"/>
          <w:sz w:val="24"/>
          <w:highlight w:val="none"/>
        </w:rPr>
        <w:t>代理服务收费管理暂行办法》（计价格[2002]1980号）文件的规定，按差额定率累进法计算后，向</w:t>
      </w:r>
      <w:r>
        <w:rPr>
          <w:rFonts w:hint="eastAsia" w:ascii="宋体" w:hAnsi="宋体" w:eastAsia="宋体" w:cs="宋体"/>
          <w:color w:val="auto"/>
          <w:kern w:val="0"/>
          <w:sz w:val="24"/>
          <w:highlight w:val="none"/>
          <w:lang w:eastAsia="zh-CN"/>
        </w:rPr>
        <w:t>中</w:t>
      </w:r>
      <w:r>
        <w:rPr>
          <w:rFonts w:hint="eastAsia" w:ascii="宋体" w:hAnsi="宋体" w:eastAsia="宋体" w:cs="宋体"/>
          <w:color w:val="auto"/>
          <w:kern w:val="0"/>
          <w:sz w:val="24"/>
          <w:highlight w:val="none"/>
        </w:rPr>
        <w:t>标人收取采购代理服务费。</w:t>
      </w:r>
    </w:p>
    <w:p w14:paraId="216E63E0">
      <w:pPr>
        <w:pStyle w:val="49"/>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31.2 在中标通知书发出后，中标人向采购代理机构一次性付清</w:t>
      </w:r>
      <w:r>
        <w:rPr>
          <w:rFonts w:hint="eastAsia" w:ascii="宋体" w:hAnsi="宋体" w:eastAsia="宋体" w:cs="宋体"/>
          <w:color w:val="auto"/>
          <w:kern w:val="0"/>
          <w:sz w:val="24"/>
          <w:highlight w:val="none"/>
          <w:lang w:eastAsia="zh-CN"/>
        </w:rPr>
        <w:t>招标代理</w:t>
      </w:r>
      <w:r>
        <w:rPr>
          <w:rFonts w:hint="eastAsia" w:ascii="宋体" w:hAnsi="宋体" w:eastAsia="宋体" w:cs="宋体"/>
          <w:color w:val="auto"/>
          <w:kern w:val="0"/>
          <w:sz w:val="24"/>
          <w:highlight w:val="none"/>
        </w:rPr>
        <w:t>费。</w:t>
      </w:r>
    </w:p>
    <w:p w14:paraId="01692A5D">
      <w:pPr>
        <w:keepNext w:val="0"/>
        <w:keepLines w:val="0"/>
        <w:pageBreakBefore w:val="0"/>
        <w:kinsoku/>
        <w:wordWrap/>
        <w:overflowPunct/>
        <w:topLinePunct w:val="0"/>
        <w:autoSpaceDE/>
        <w:autoSpaceDN/>
        <w:bidi w:val="0"/>
        <w:adjustRightInd/>
        <w:snapToGrid/>
        <w:spacing w:line="348" w:lineRule="auto"/>
        <w:ind w:firstLine="482" w:firstLineChars="200"/>
        <w:textAlignment w:val="auto"/>
        <w:outlineLvl w:val="1"/>
        <w:rPr>
          <w:rFonts w:hint="eastAsia" w:ascii="宋体" w:hAnsi="宋体" w:eastAsia="宋体" w:cs="宋体"/>
          <w:b/>
          <w:color w:val="auto"/>
          <w:kern w:val="0"/>
          <w:sz w:val="24"/>
          <w:highlight w:val="none"/>
        </w:rPr>
      </w:pPr>
      <w:bookmarkStart w:id="75" w:name="_Toc12453"/>
      <w:bookmarkStart w:id="76" w:name="_Toc28756"/>
      <w:r>
        <w:rPr>
          <w:rFonts w:hint="eastAsia" w:ascii="宋体" w:hAnsi="宋体" w:eastAsia="宋体" w:cs="宋体"/>
          <w:b/>
          <w:color w:val="auto"/>
          <w:kern w:val="0"/>
          <w:sz w:val="24"/>
          <w:highlight w:val="none"/>
        </w:rPr>
        <w:t>七、签订合同</w:t>
      </w:r>
      <w:bookmarkEnd w:id="75"/>
      <w:bookmarkEnd w:id="76"/>
    </w:p>
    <w:p w14:paraId="71C9F740">
      <w:pPr>
        <w:keepNext w:val="0"/>
        <w:keepLines w:val="0"/>
        <w:pageBreakBefore w:val="0"/>
        <w:tabs>
          <w:tab w:val="left" w:pos="567"/>
        </w:tabs>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32.签订合同</w:t>
      </w:r>
    </w:p>
    <w:p w14:paraId="56C4DE2F">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691A4E34">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32.2采购人不得向中标人提出任何不合理的要求作为签订合同的条件。</w:t>
      </w:r>
    </w:p>
    <w:p w14:paraId="57D3F6FD">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32.3在合同履行中，采购人如需追加与合同标的相同的货物，在不改变合同其他条款的前提下，采购人可与中标人协商签订补充合同，但所有补充合同的采购金额不得超过原合同金额的百分之十。 </w:t>
      </w:r>
    </w:p>
    <w:p w14:paraId="0DA40720">
      <w:pPr>
        <w:pStyle w:val="68"/>
        <w:keepNext w:val="0"/>
        <w:keepLines w:val="0"/>
        <w:pageBreakBefore w:val="0"/>
        <w:kinsoku/>
        <w:wordWrap/>
        <w:overflowPunct/>
        <w:topLinePunct w:val="0"/>
        <w:autoSpaceDE/>
        <w:autoSpaceDN/>
        <w:bidi w:val="0"/>
        <w:adjustRightInd/>
        <w:snapToGrid/>
        <w:spacing w:line="348"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0B25D5F5">
      <w:pPr>
        <w:pStyle w:val="68"/>
        <w:keepNext w:val="0"/>
        <w:keepLines w:val="0"/>
        <w:pageBreakBefore w:val="0"/>
        <w:kinsoku/>
        <w:wordWrap/>
        <w:overflowPunct/>
        <w:topLinePunct w:val="0"/>
        <w:autoSpaceDE/>
        <w:autoSpaceDN/>
        <w:bidi w:val="0"/>
        <w:adjustRightInd/>
        <w:snapToGrid/>
        <w:spacing w:line="348"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5C844C20">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32.6采购人与中标人应当根据合同的约定依法履行合同义务。</w:t>
      </w:r>
    </w:p>
    <w:p w14:paraId="73FC012A">
      <w:pPr>
        <w:keepNext w:val="0"/>
        <w:keepLines w:val="0"/>
        <w:pageBreakBefore w:val="0"/>
        <w:tabs>
          <w:tab w:val="left" w:pos="567"/>
        </w:tabs>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32.7中标人应当自合同或补充合同签订之日起五个工作日内，将合同副本一份报采购代理机构存档，采购人自合同签订之日起2个工作日内在</w:t>
      </w:r>
      <w:r>
        <w:rPr>
          <w:rFonts w:hint="eastAsia" w:ascii="宋体" w:hAnsi="宋体" w:eastAsia="宋体" w:cs="宋体"/>
          <w:b w:val="0"/>
          <w:bCs/>
          <w:color w:val="auto"/>
          <w:kern w:val="0"/>
          <w:sz w:val="24"/>
          <w:highlight w:val="none"/>
        </w:rPr>
        <w:t>中国政府采购网山西分网</w:t>
      </w:r>
      <w:r>
        <w:rPr>
          <w:rFonts w:hint="eastAsia" w:ascii="宋体" w:hAnsi="宋体" w:eastAsia="宋体" w:cs="宋体"/>
          <w:color w:val="auto"/>
          <w:kern w:val="0"/>
          <w:sz w:val="24"/>
          <w:highlight w:val="none"/>
        </w:rPr>
        <w:t>进行公示。</w:t>
      </w:r>
    </w:p>
    <w:p w14:paraId="73E41B27">
      <w:pPr>
        <w:keepNext w:val="0"/>
        <w:keepLines w:val="0"/>
        <w:pageBreakBefore w:val="0"/>
        <w:kinsoku/>
        <w:wordWrap/>
        <w:overflowPunct/>
        <w:topLinePunct w:val="0"/>
        <w:autoSpaceDE/>
        <w:autoSpaceDN/>
        <w:bidi w:val="0"/>
        <w:adjustRightInd/>
        <w:snapToGrid/>
        <w:spacing w:line="348" w:lineRule="auto"/>
        <w:ind w:firstLine="482" w:firstLineChars="200"/>
        <w:textAlignment w:val="auto"/>
        <w:outlineLvl w:val="1"/>
        <w:rPr>
          <w:rFonts w:hint="eastAsia" w:ascii="宋体" w:hAnsi="宋体" w:eastAsia="宋体" w:cs="宋体"/>
          <w:b/>
          <w:color w:val="auto"/>
          <w:kern w:val="0"/>
          <w:sz w:val="24"/>
          <w:highlight w:val="none"/>
        </w:rPr>
      </w:pPr>
      <w:bookmarkStart w:id="77" w:name="_Toc1122"/>
      <w:bookmarkStart w:id="78" w:name="_Toc1003"/>
      <w:r>
        <w:rPr>
          <w:rFonts w:hint="eastAsia" w:ascii="宋体" w:hAnsi="宋体" w:eastAsia="宋体" w:cs="宋体"/>
          <w:b/>
          <w:color w:val="auto"/>
          <w:kern w:val="0"/>
          <w:sz w:val="24"/>
          <w:highlight w:val="none"/>
        </w:rPr>
        <w:t>八、保密和披露</w:t>
      </w:r>
      <w:bookmarkEnd w:id="77"/>
      <w:bookmarkEnd w:id="78"/>
    </w:p>
    <w:p w14:paraId="5142CBE2">
      <w:pPr>
        <w:keepNext w:val="0"/>
        <w:keepLines w:val="0"/>
        <w:pageBreakBefore w:val="0"/>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33.保密</w:t>
      </w:r>
    </w:p>
    <w:p w14:paraId="43D18EF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33.1潜在投标人自领取招标文件之日起，须承诺承担本招标项目项下保密义务，不得将因本次招标获得的信息向第三人外传。</w:t>
      </w:r>
    </w:p>
    <w:p w14:paraId="3286214E">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33.2有关人员对评标情况以及在评标过程中获悉的国家秘密、商业秘密负有保密责任。</w:t>
      </w:r>
    </w:p>
    <w:p w14:paraId="45621369">
      <w:pPr>
        <w:keepNext w:val="0"/>
        <w:keepLines w:val="0"/>
        <w:pageBreakBefore w:val="0"/>
        <w:kinsoku/>
        <w:wordWrap/>
        <w:overflowPunct/>
        <w:topLinePunct w:val="0"/>
        <w:autoSpaceDE/>
        <w:autoSpaceDN/>
        <w:bidi w:val="0"/>
        <w:adjustRightInd/>
        <w:snapToGrid/>
        <w:spacing w:line="348" w:lineRule="auto"/>
        <w:ind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34.披露</w:t>
      </w:r>
    </w:p>
    <w:p w14:paraId="66294E6D">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34.1采购人或采购代理机构有权将投标人提供的所有资料向政府有关部门或评审标书的有关人员披露。</w:t>
      </w:r>
    </w:p>
    <w:p w14:paraId="2067B527">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3CDDA39F">
      <w:pPr>
        <w:keepNext w:val="0"/>
        <w:keepLines w:val="0"/>
        <w:pageBreakBefore w:val="0"/>
        <w:kinsoku/>
        <w:wordWrap/>
        <w:overflowPunct/>
        <w:topLinePunct w:val="0"/>
        <w:autoSpaceDE/>
        <w:autoSpaceDN/>
        <w:bidi w:val="0"/>
        <w:adjustRightInd/>
        <w:snapToGrid/>
        <w:spacing w:line="348" w:lineRule="auto"/>
        <w:ind w:firstLine="482" w:firstLineChars="200"/>
        <w:textAlignment w:val="auto"/>
        <w:outlineLvl w:val="1"/>
        <w:rPr>
          <w:rFonts w:hint="eastAsia" w:ascii="宋体" w:hAnsi="宋体" w:eastAsia="宋体" w:cs="宋体"/>
          <w:b/>
          <w:color w:val="auto"/>
          <w:kern w:val="0"/>
          <w:sz w:val="24"/>
          <w:highlight w:val="none"/>
        </w:rPr>
      </w:pPr>
      <w:bookmarkStart w:id="79" w:name="_Toc9330"/>
      <w:bookmarkStart w:id="80" w:name="_Toc4388"/>
      <w:r>
        <w:rPr>
          <w:rFonts w:hint="eastAsia" w:ascii="宋体" w:hAnsi="宋体" w:eastAsia="宋体" w:cs="宋体"/>
          <w:b/>
          <w:color w:val="auto"/>
          <w:kern w:val="0"/>
          <w:sz w:val="24"/>
          <w:highlight w:val="none"/>
        </w:rPr>
        <w:t>九、询问和质疑</w:t>
      </w:r>
      <w:bookmarkEnd w:id="79"/>
      <w:bookmarkEnd w:id="80"/>
    </w:p>
    <w:p w14:paraId="27052A1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程序受本文件及相关法律法规的约束，并受到上级主管部门严格的监督，为确保授予合同过程的公平公正，</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有权就本</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项目事宜按以下要求提出询问或质疑。</w:t>
      </w:r>
    </w:p>
    <w:p w14:paraId="6608D7EC">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对本</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活动事项有疑问的，应通过山西省政府采购平台中的“项目质疑管理”程序在线向采购人或采购代理机构提出询问或质疑。</w:t>
      </w:r>
    </w:p>
    <w:p w14:paraId="0E6CBA75">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在质疑期内，应当一次性提出针对同一</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程序环节的质疑；</w:t>
      </w:r>
    </w:p>
    <w:p w14:paraId="1BB50EC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认为本</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过程、中标或者成交结果使自己的合法权益受到损害的，可以在知道或者应知其权益受到损害之日起7个工作日内提出；</w:t>
      </w:r>
    </w:p>
    <w:p w14:paraId="2219619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.4提出质疑的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应当是参与本项目</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w:t>
      </w:r>
    </w:p>
    <w:p w14:paraId="78B2D83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潜在</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已依法获取其可质疑的</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文件的，可以对该文件提出质疑。对</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文件提出质疑的，应当在获取</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文件或者</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公告期限届满之日起7个工作日内提出；</w:t>
      </w:r>
    </w:p>
    <w:p w14:paraId="5C0CCDAD">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.5提出质疑的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为自然人的，应当由本人签字；为法人或者其他组织的，应当由法定代表人、主要负责人或者参加本</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项目的授权代表或授权委托代理人签字或者盖章，并加盖公章；</w:t>
      </w:r>
    </w:p>
    <w:p w14:paraId="2CD4EA81">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提出质疑应当提交质疑函和必要的证明材料。质疑函应当包括以下主要内容：</w:t>
      </w:r>
    </w:p>
    <w:p w14:paraId="13C04265">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.6.1</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的姓名或者名称、地址、邮编、联系人及联系电话；</w:t>
      </w:r>
    </w:p>
    <w:p w14:paraId="016BEFC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.6.2质疑项目名称、编号、包号；</w:t>
      </w:r>
    </w:p>
    <w:p w14:paraId="4A7CD6BC">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.6.3具体、明确的质疑事项和与质疑事项相关的请求；</w:t>
      </w:r>
    </w:p>
    <w:p w14:paraId="7E91A293">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.6.4事实依据；</w:t>
      </w:r>
    </w:p>
    <w:p w14:paraId="69C9F063">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.6.5必要的法律依据；</w:t>
      </w:r>
    </w:p>
    <w:p w14:paraId="7E175DC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.6.6提出质疑的日期。</w:t>
      </w:r>
    </w:p>
    <w:p w14:paraId="60EC2E3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在线提起质疑应如实填写“项目质疑管理”程序“质疑列表”中有关质疑事项的全部内容，并按系统要求的文件格式上传必要的证明材料扫描件或图片；在线质疑由</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委托代理人提起的，还需上传授权委托书及被委托人身份证明，授权委托书应当载明委托人及被委托人的姓名或名称、代理事项、具体权限、期限等。</w:t>
      </w:r>
    </w:p>
    <w:p w14:paraId="12C19AE3">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.8有下列情形之一的，采购代理机构或采购人应当在山西省政府采购平台的“项目质疑管理”程序中的“受理内容”处标明“退回补正”，并说明“原因”：</w:t>
      </w:r>
    </w:p>
    <w:p w14:paraId="00BBCCD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.8.1质疑未按3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.7的要求提出的；</w:t>
      </w:r>
    </w:p>
    <w:p w14:paraId="392726A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.8.2质疑未按3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.5要求签字或盖章的；</w:t>
      </w:r>
    </w:p>
    <w:p w14:paraId="41E49A2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.8.3其它不符合要求的质疑情形。</w:t>
      </w:r>
    </w:p>
    <w:p w14:paraId="375F07B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.9存在以下情形的，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的质疑采购代理机构或采购人不予受理：</w:t>
      </w:r>
    </w:p>
    <w:p w14:paraId="13AA1B0B">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.9.1潜在</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未依法获取其可质疑的</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文件，对</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文件进行质疑的；</w:t>
      </w:r>
    </w:p>
    <w:p w14:paraId="1F74F831">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在法定质疑期内针对同一</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程序环节重复提出的质疑；</w:t>
      </w:r>
    </w:p>
    <w:p w14:paraId="6A0C6EF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.9.3未参加本项目</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针对</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过程、中标或者成交结果提出质疑的；</w:t>
      </w:r>
    </w:p>
    <w:p w14:paraId="5509213E">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.9.4超过3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.4规定质疑期发出的质疑。</w:t>
      </w:r>
    </w:p>
    <w:p w14:paraId="1C2211E1">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35.10代理机构或</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不得拒收质疑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在法定质疑期内发出的质疑函，应当在收到质疑函后7个工作日内做出答复，并以书面形式通知质疑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和其他有关</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w:t>
      </w:r>
    </w:p>
    <w:p w14:paraId="31E515AB">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35.11</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过程、成交结果提出质疑的，代理机构或</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可以组织原</w:t>
      </w:r>
      <w:r>
        <w:rPr>
          <w:rFonts w:hint="eastAsia" w:ascii="宋体" w:hAnsi="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协助答复质疑。</w:t>
      </w:r>
    </w:p>
    <w:p w14:paraId="6503DCBE">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35.12质疑答复应当包含以下内容：</w:t>
      </w:r>
    </w:p>
    <w:p w14:paraId="5B56BB28">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的姓名或者名称；收到质疑函的日期、质疑项目名称及编号；质疑事项、质疑答复的具体内容、事实依据和法律依据；告知质疑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依法投诉的权利；质疑答复人名称；答复质疑的日期。质疑答复的内容不得涉及商业秘密。</w:t>
      </w:r>
    </w:p>
    <w:p w14:paraId="34F493C8">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35.13</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、代理机构认为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质疑不成立，或者成立但未对成交结果构成影响的，继续开展</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活动；认为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质疑成立且影响或者可能影响成交结果的，按照下列情况处理：</w:t>
      </w:r>
    </w:p>
    <w:p w14:paraId="3C7D9C1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35.13.1对</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文件提出的质疑，通过澄清或者修改可以继续开展</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活动；否则应当修改</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文件后重新开展活动。</w:t>
      </w:r>
    </w:p>
    <w:p w14:paraId="19A9A2C5">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35.13.2对</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过程、成交结果提出的质疑，合格</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符合规定数量时，可以从合格的</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候选人中另行确定</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的，应当另行确定</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；否则应当重新开展</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活动。</w:t>
      </w:r>
    </w:p>
    <w:p w14:paraId="343E0BA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质疑答复导致成交结果改变的，代理机构应当将有关情况书面报告相关部门。</w:t>
      </w:r>
    </w:p>
    <w:p w14:paraId="29C14314">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35.14质疑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、代理机构的答复不满意，或者代理机构未在规定的时间内做出答复的，可以在答复期满后15个工作日内向相关部门投诉。</w:t>
      </w:r>
    </w:p>
    <w:p w14:paraId="6CE2BDD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35.15接收质疑函的联系方式</w:t>
      </w:r>
    </w:p>
    <w:p w14:paraId="12524E58">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联系单位：</w:t>
      </w:r>
      <w:r>
        <w:rPr>
          <w:rFonts w:hint="eastAsia" w:ascii="宋体" w:hAnsi="宋体" w:cs="宋体"/>
          <w:color w:val="auto"/>
          <w:kern w:val="0"/>
          <w:sz w:val="24"/>
          <w:highlight w:val="none"/>
          <w:lang w:eastAsia="zh-CN"/>
        </w:rPr>
        <w:t>山西麟辉项目管理有限公司</w:t>
      </w:r>
    </w:p>
    <w:p w14:paraId="562FB57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单位地址：</w:t>
      </w:r>
      <w:r>
        <w:rPr>
          <w:rFonts w:hint="eastAsia" w:ascii="宋体" w:hAnsi="宋体" w:eastAsia="宋体" w:cs="宋体"/>
          <w:color w:val="auto"/>
          <w:kern w:val="0"/>
          <w:sz w:val="24"/>
          <w:highlight w:val="none"/>
          <w:lang w:eastAsia="zh-CN"/>
        </w:rPr>
        <w:t>山西省太原市小店区黄陵路77号天悦国际大厦</w:t>
      </w:r>
      <w:r>
        <w:rPr>
          <w:rFonts w:hint="eastAsia" w:ascii="宋体" w:hAnsi="宋体" w:cs="宋体"/>
          <w:color w:val="auto"/>
          <w:kern w:val="0"/>
          <w:sz w:val="24"/>
          <w:highlight w:val="none"/>
          <w:lang w:val="en-US" w:eastAsia="zh-CN"/>
        </w:rPr>
        <w:t>1001</w:t>
      </w:r>
      <w:r>
        <w:rPr>
          <w:rFonts w:hint="eastAsia" w:ascii="宋体" w:hAnsi="宋体" w:eastAsia="宋体" w:cs="宋体"/>
          <w:color w:val="auto"/>
          <w:kern w:val="0"/>
          <w:sz w:val="24"/>
          <w:highlight w:val="none"/>
          <w:lang w:eastAsia="zh-CN"/>
        </w:rPr>
        <w:t>室</w:t>
      </w:r>
    </w:p>
    <w:p w14:paraId="2485F3F3">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联系人：</w:t>
      </w:r>
      <w:r>
        <w:rPr>
          <w:rFonts w:hint="eastAsia" w:ascii="宋体" w:hAnsi="宋体" w:cs="宋体"/>
          <w:color w:val="auto"/>
          <w:kern w:val="0"/>
          <w:sz w:val="24"/>
          <w:highlight w:val="none"/>
          <w:lang w:val="en-US" w:eastAsia="zh-CN"/>
        </w:rPr>
        <w:t>张冬恺</w:t>
      </w:r>
    </w:p>
    <w:p w14:paraId="1A68352B">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联系方式：0351-6849716、13403453655</w:t>
      </w:r>
    </w:p>
    <w:p w14:paraId="227972FD">
      <w:pPr>
        <w:keepNext w:val="0"/>
        <w:keepLines w:val="0"/>
        <w:pageBreakBefore w:val="0"/>
        <w:kinsoku/>
        <w:wordWrap/>
        <w:overflowPunct/>
        <w:topLinePunct w:val="0"/>
        <w:autoSpaceDE/>
        <w:autoSpaceDN/>
        <w:bidi w:val="0"/>
        <w:adjustRightInd/>
        <w:snapToGrid/>
        <w:spacing w:line="348" w:lineRule="auto"/>
        <w:ind w:firstLine="482" w:firstLineChars="200"/>
        <w:textAlignment w:val="auto"/>
        <w:outlineLvl w:val="1"/>
        <w:rPr>
          <w:rFonts w:hint="eastAsia" w:ascii="宋体" w:hAnsi="宋体" w:eastAsia="宋体" w:cs="宋体"/>
          <w:b/>
          <w:color w:val="auto"/>
          <w:kern w:val="0"/>
          <w:sz w:val="24"/>
          <w:highlight w:val="none"/>
        </w:rPr>
      </w:pPr>
      <w:bookmarkStart w:id="81" w:name="_Toc29792"/>
      <w:bookmarkStart w:id="82" w:name="_Toc23468"/>
      <w:r>
        <w:rPr>
          <w:rFonts w:hint="eastAsia" w:ascii="宋体" w:hAnsi="宋体" w:eastAsia="宋体" w:cs="宋体"/>
          <w:b/>
          <w:color w:val="auto"/>
          <w:kern w:val="0"/>
          <w:sz w:val="24"/>
          <w:highlight w:val="none"/>
        </w:rPr>
        <w:t>十、相关政府采购政策要求</w:t>
      </w:r>
      <w:bookmarkEnd w:id="81"/>
      <w:bookmarkEnd w:id="82"/>
    </w:p>
    <w:p w14:paraId="4703DBDE">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36.进口货物及政策要求</w:t>
      </w:r>
    </w:p>
    <w:p w14:paraId="2A30154D">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本招标文件涉及的采购</w:t>
      </w:r>
      <w:r>
        <w:rPr>
          <w:rFonts w:hint="eastAsia" w:ascii="宋体" w:hAnsi="宋体" w:eastAsia="宋体" w:cs="宋体"/>
          <w:color w:val="auto"/>
          <w:kern w:val="0"/>
          <w:sz w:val="24"/>
          <w:highlight w:val="none"/>
          <w:lang w:eastAsia="zh-CN"/>
        </w:rPr>
        <w:t>货物</w:t>
      </w:r>
      <w:r>
        <w:rPr>
          <w:rFonts w:hint="eastAsia" w:ascii="宋体" w:hAnsi="宋体" w:eastAsia="宋体" w:cs="宋体"/>
          <w:color w:val="auto"/>
          <w:kern w:val="0"/>
          <w:sz w:val="24"/>
          <w:highlight w:val="none"/>
        </w:rPr>
        <w:t>如含有货物及软件服务，</w:t>
      </w:r>
      <w:r>
        <w:rPr>
          <w:rFonts w:hint="eastAsia" w:ascii="宋体" w:hAnsi="宋体" w:eastAsia="宋体" w:cs="宋体"/>
          <w:color w:val="auto"/>
          <w:sz w:val="24"/>
          <w:highlight w:val="none"/>
        </w:rPr>
        <w:t>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的进口产品，如果有能够满足采购需求的国产产品参与，应当按照公平竞争的原则进行评审。</w:t>
      </w:r>
    </w:p>
    <w:p w14:paraId="1CF97243">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37.国家强制产品</w:t>
      </w:r>
    </w:p>
    <w:p w14:paraId="4BF2FD6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w:t>
      </w:r>
      <w:r>
        <w:rPr>
          <w:rFonts w:hint="eastAsia" w:ascii="宋体" w:hAnsi="宋体" w:eastAsia="宋体" w:cs="宋体"/>
          <w:color w:val="auto"/>
          <w:kern w:val="0"/>
          <w:sz w:val="24"/>
          <w:highlight w:val="none"/>
          <w:lang w:eastAsia="zh-CN"/>
        </w:rPr>
        <w:t>货物</w:t>
      </w:r>
      <w:r>
        <w:rPr>
          <w:rFonts w:hint="eastAsia" w:ascii="宋体" w:hAnsi="宋体" w:eastAsia="宋体" w:cs="宋体"/>
          <w:color w:val="auto"/>
          <w:kern w:val="0"/>
          <w:sz w:val="24"/>
          <w:highlight w:val="none"/>
        </w:rPr>
        <w:t>如含有货物</w:t>
      </w:r>
      <w:r>
        <w:rPr>
          <w:rFonts w:hint="eastAsia" w:ascii="宋体" w:hAnsi="宋体" w:eastAsia="宋体" w:cs="宋体"/>
          <w:color w:val="auto"/>
          <w:kern w:val="0"/>
          <w:sz w:val="24"/>
          <w:highlight w:val="none"/>
          <w:lang w:eastAsia="zh-CN"/>
        </w:rPr>
        <w:t>为</w:t>
      </w:r>
      <w:r>
        <w:rPr>
          <w:rFonts w:hint="eastAsia" w:ascii="宋体" w:hAnsi="宋体" w:eastAsia="宋体" w:cs="宋体"/>
          <w:color w:val="auto"/>
          <w:kern w:val="0"/>
          <w:sz w:val="24"/>
          <w:highlight w:val="none"/>
        </w:rPr>
        <w:t>“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p>
    <w:p w14:paraId="1ED35275">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kern w:val="0"/>
          <w:sz w:val="24"/>
          <w:highlight w:val="none"/>
        </w:rPr>
        <w:t>38.</w:t>
      </w:r>
      <w:r>
        <w:rPr>
          <w:rFonts w:hint="eastAsia" w:ascii="宋体" w:hAnsi="宋体" w:eastAsia="宋体" w:cs="宋体"/>
          <w:color w:val="auto"/>
          <w:sz w:val="24"/>
          <w:highlight w:val="none"/>
        </w:rPr>
        <w:t>投报环境标志产品政府采购品目清单中的产品，</w:t>
      </w:r>
      <w:r>
        <w:rPr>
          <w:rFonts w:hint="eastAsia" w:ascii="宋体" w:hAnsi="宋体" w:eastAsia="宋体" w:cs="宋体"/>
          <w:color w:val="auto"/>
          <w:sz w:val="24"/>
          <w:szCs w:val="28"/>
          <w:highlight w:val="none"/>
        </w:rPr>
        <w:t>且</w:t>
      </w:r>
      <w:r>
        <w:rPr>
          <w:rFonts w:hint="eastAsia" w:ascii="宋体" w:hAnsi="宋体" w:eastAsia="宋体" w:cs="宋体"/>
          <w:color w:val="auto"/>
          <w:sz w:val="24"/>
          <w:highlight w:val="none"/>
        </w:rPr>
        <w:t>提供所投产品获得国家确定的认证机构出具的、处于有效期之内的环境标志产品认证证书的</w:t>
      </w:r>
      <w:r>
        <w:rPr>
          <w:rFonts w:hint="eastAsia" w:ascii="宋体" w:hAnsi="宋体" w:eastAsia="宋体" w:cs="宋体"/>
          <w:color w:val="auto"/>
          <w:sz w:val="24"/>
          <w:szCs w:val="28"/>
          <w:highlight w:val="none"/>
        </w:rPr>
        <w:t>。</w:t>
      </w:r>
    </w:p>
    <w:p w14:paraId="12730F64">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39.采购</w:t>
      </w:r>
      <w:r>
        <w:rPr>
          <w:rFonts w:hint="eastAsia" w:ascii="宋体" w:hAnsi="宋体" w:eastAsia="宋体" w:cs="宋体"/>
          <w:color w:val="auto"/>
          <w:sz w:val="24"/>
          <w:highlight w:val="none"/>
          <w:lang w:eastAsia="zh-CN"/>
        </w:rPr>
        <w:t>货物</w:t>
      </w:r>
      <w:r>
        <w:rPr>
          <w:rFonts w:hint="eastAsia" w:ascii="宋体" w:hAnsi="宋体" w:eastAsia="宋体" w:cs="宋体"/>
          <w:color w:val="auto"/>
          <w:sz w:val="24"/>
          <w:highlight w:val="none"/>
        </w:rPr>
        <w:t>如含有</w:t>
      </w:r>
      <w:r>
        <w:rPr>
          <w:rFonts w:hint="eastAsia" w:ascii="宋体" w:hAnsi="宋体" w:eastAsia="宋体" w:cs="宋体"/>
          <w:color w:val="auto"/>
          <w:sz w:val="24"/>
          <w:highlight w:val="none"/>
          <w:lang w:eastAsia="zh-CN"/>
        </w:rPr>
        <w:t>货物为</w:t>
      </w:r>
      <w:r>
        <w:rPr>
          <w:rFonts w:hint="eastAsia" w:ascii="宋体" w:hAnsi="宋体" w:eastAsia="宋体" w:cs="宋体"/>
          <w:color w:val="auto"/>
          <w:sz w:val="24"/>
          <w:highlight w:val="none"/>
        </w:rPr>
        <w:t>计算机，必须预装正版操作系统软件产品；项目中所采购的其它软件必须为正版软件。</w:t>
      </w:r>
    </w:p>
    <w:p w14:paraId="4AF7B20A">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.中小微企业参加本项目：</w:t>
      </w:r>
    </w:p>
    <w:p w14:paraId="7B7279F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7D4C9CC2">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．残疾人福利单位参加本项目：</w:t>
      </w:r>
    </w:p>
    <w:p w14:paraId="57DB438D">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依据《三部门联合发布关于促进残疾人就业政府采购政策的通知》（财库[2017]141号）第三条规定，需附残疾人福利性单位声明函。</w:t>
      </w:r>
    </w:p>
    <w:p w14:paraId="09890591">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．监狱企业参加本项目：</w:t>
      </w:r>
    </w:p>
    <w:p w14:paraId="66357B2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依据《财政部司法部关于政府采购支持监狱企业发展有关问题的通知》(财库〔2014〕68号)规定，须提供相关证明材料。</w:t>
      </w:r>
    </w:p>
    <w:p w14:paraId="245AEAA9">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.联合体参加本项目：</w:t>
      </w:r>
    </w:p>
    <w:p w14:paraId="4975DFC4">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如本项目为接受大中型企业与小微企业组成联合体或者允许大中型企业向一家或者多家小微企业分包的采购项目，需附《联合体投标协议书》。</w:t>
      </w:r>
    </w:p>
    <w:p w14:paraId="4C1887E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.环保节能产品参加的项目：</w:t>
      </w:r>
    </w:p>
    <w:p w14:paraId="4F540C07">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4F7D294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投报环境标志产品政府采购品目清单中的产品，且提供所投产品获得国家确定的认证机构出具的、处于有效期之内的环境标志产品认证证书的，将给予同等价格优先采购。</w:t>
      </w:r>
    </w:p>
    <w:p w14:paraId="546B9D8C">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.创新产品参加的项目</w:t>
      </w:r>
    </w:p>
    <w:p w14:paraId="3F00A9C3">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根据《政府采购支持创新产品和服务实施细则》（晋财购【2019】19号），需在投标文件中提供《山西省创新产品和服务推荐清单》，并填写《创新产品或创新服务明细表》。</w:t>
      </w:r>
    </w:p>
    <w:p w14:paraId="380C67E1">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.商品包装和快递包装</w:t>
      </w:r>
    </w:p>
    <w:p w14:paraId="2F02B2E3">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本文件列出商品包装和快递包装要求的，投标人需填写商品包装和快递包装承诺函，</w:t>
      </w:r>
    </w:p>
    <w:p w14:paraId="7979E12B">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承诺商品包装符合《商品包装政府采购需求标准（试行）》，快递包装符合《快递包装政府采购需求标准（试行）》。</w:t>
      </w:r>
    </w:p>
    <w:p w14:paraId="7C658E9A">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47.采购异常低价审查</w:t>
      </w:r>
    </w:p>
    <w:p w14:paraId="75B19C66">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依据项目特点、结合实际情况，根据《关于推动解决政府采购异常低价问题的通知》（财库[2026]2号）文件规定，评审中出现下列情形之一的，评标委员会应当启动异常低价投标（响应）审查程序：</w:t>
      </w:r>
    </w:p>
    <w:p w14:paraId="3DCC863B">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3213CC5E">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01477AB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3.投标（响应）报价低于采购项目最高限价</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5%的，即投标（响应）报价&lt;采购项目最高限价×</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5%；</w:t>
      </w:r>
    </w:p>
    <w:p w14:paraId="0D631213">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4.评标委员会基于专业判断，认为供应商报价过低，有可能影响产品质量或者不能诚信履约的其他情形。</w:t>
      </w:r>
    </w:p>
    <w:p w14:paraId="6D404B1C">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bookmarkEnd w:id="63"/>
    <w:p w14:paraId="0D7C0BB8">
      <w:pPr>
        <w:widowControl/>
        <w:snapToGrid w:val="0"/>
        <w:spacing w:line="360" w:lineRule="auto"/>
        <w:ind w:left="420" w:leftChars="0" w:firstLine="420" w:firstLineChars="0"/>
        <w:jc w:val="center"/>
        <w:outlineLvl w:val="0"/>
        <w:rPr>
          <w:rFonts w:hint="eastAsia" w:ascii="宋体" w:hAnsi="宋体" w:eastAsia="宋体" w:cs="宋体"/>
          <w:b/>
          <w:color w:val="auto"/>
          <w:kern w:val="0"/>
          <w:sz w:val="30"/>
          <w:szCs w:val="30"/>
          <w:highlight w:val="none"/>
        </w:rPr>
      </w:pPr>
      <w:bookmarkStart w:id="83" w:name="_Toc11136"/>
      <w:r>
        <w:rPr>
          <w:rFonts w:hint="eastAsia" w:ascii="宋体" w:hAnsi="宋体" w:eastAsia="宋体" w:cs="宋体"/>
          <w:b/>
          <w:color w:val="auto"/>
          <w:kern w:val="0"/>
          <w:sz w:val="30"/>
          <w:szCs w:val="30"/>
          <w:highlight w:val="none"/>
        </w:rPr>
        <w:t>第四部分  评标标准和评标方法</w:t>
      </w:r>
      <w:bookmarkEnd w:id="83"/>
    </w:p>
    <w:p w14:paraId="575B356E">
      <w:pPr>
        <w:widowControl/>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一、资格审查内容及标准</w:t>
      </w:r>
    </w:p>
    <w:tbl>
      <w:tblPr>
        <w:tblStyle w:val="33"/>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290"/>
        <w:gridCol w:w="2526"/>
        <w:gridCol w:w="5443"/>
      </w:tblGrid>
      <w:tr w14:paraId="1E05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24" w:type="pct"/>
            <w:noWrap w:val="0"/>
            <w:vAlign w:val="center"/>
          </w:tcPr>
          <w:p w14:paraId="58BB7F8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651" w:type="pct"/>
            <w:noWrap w:val="0"/>
            <w:vAlign w:val="center"/>
          </w:tcPr>
          <w:p w14:paraId="2AB6728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类型</w:t>
            </w:r>
          </w:p>
        </w:tc>
        <w:tc>
          <w:tcPr>
            <w:tcW w:w="1275" w:type="pct"/>
            <w:noWrap w:val="0"/>
            <w:vAlign w:val="center"/>
          </w:tcPr>
          <w:p w14:paraId="3C72E42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审查要求</w:t>
            </w:r>
          </w:p>
        </w:tc>
        <w:tc>
          <w:tcPr>
            <w:tcW w:w="2748" w:type="pct"/>
            <w:noWrap w:val="0"/>
            <w:vAlign w:val="center"/>
          </w:tcPr>
          <w:p w14:paraId="55F18EE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要求说明</w:t>
            </w:r>
          </w:p>
        </w:tc>
      </w:tr>
      <w:tr w14:paraId="02B3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24" w:type="pct"/>
            <w:noWrap w:val="0"/>
            <w:vAlign w:val="center"/>
          </w:tcPr>
          <w:p w14:paraId="149D04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51" w:type="pct"/>
            <w:noWrap w:val="0"/>
            <w:vAlign w:val="center"/>
          </w:tcPr>
          <w:p w14:paraId="4593D28A">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营业执照</w:t>
            </w:r>
          </w:p>
        </w:tc>
        <w:tc>
          <w:tcPr>
            <w:tcW w:w="1275" w:type="pct"/>
            <w:noWrap w:val="0"/>
            <w:vAlign w:val="center"/>
          </w:tcPr>
          <w:p w14:paraId="282ED9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2748" w:type="pct"/>
            <w:noWrap w:val="0"/>
            <w:vAlign w:val="center"/>
          </w:tcPr>
          <w:p w14:paraId="054A8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信用承诺书。</w:t>
            </w:r>
          </w:p>
          <w:p w14:paraId="066A21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以上证明材料须符合要求、有效、完整。否则，响应无效。</w:t>
            </w:r>
          </w:p>
        </w:tc>
      </w:tr>
      <w:tr w14:paraId="11EB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24" w:type="pct"/>
            <w:noWrap w:val="0"/>
            <w:vAlign w:val="center"/>
          </w:tcPr>
          <w:p w14:paraId="6ECD6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51" w:type="pct"/>
            <w:noWrap w:val="0"/>
            <w:vAlign w:val="center"/>
          </w:tcPr>
          <w:p w14:paraId="1E60A2E1">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财务报告</w:t>
            </w:r>
          </w:p>
        </w:tc>
        <w:tc>
          <w:tcPr>
            <w:tcW w:w="1275" w:type="pct"/>
            <w:noWrap w:val="0"/>
            <w:vAlign w:val="center"/>
          </w:tcPr>
          <w:p w14:paraId="2689C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2748" w:type="pct"/>
            <w:noWrap w:val="0"/>
            <w:vAlign w:val="center"/>
          </w:tcPr>
          <w:p w14:paraId="679793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信用承诺书。</w:t>
            </w:r>
          </w:p>
          <w:p w14:paraId="76E44F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以上证明材料须符合要求、有效、完整。否则，响应无效。</w:t>
            </w:r>
          </w:p>
        </w:tc>
      </w:tr>
      <w:tr w14:paraId="7DA8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24" w:type="pct"/>
            <w:noWrap w:val="0"/>
            <w:vAlign w:val="center"/>
          </w:tcPr>
          <w:p w14:paraId="473EDD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51" w:type="pct"/>
            <w:noWrap w:val="0"/>
            <w:vAlign w:val="center"/>
          </w:tcPr>
          <w:p w14:paraId="448171AC">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基本资质</w:t>
            </w:r>
          </w:p>
        </w:tc>
        <w:tc>
          <w:tcPr>
            <w:tcW w:w="1275" w:type="pct"/>
            <w:noWrap w:val="0"/>
            <w:vAlign w:val="center"/>
          </w:tcPr>
          <w:p w14:paraId="0F15EE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tc>
        <w:tc>
          <w:tcPr>
            <w:tcW w:w="2748" w:type="pct"/>
            <w:noWrap w:val="0"/>
            <w:vAlign w:val="center"/>
          </w:tcPr>
          <w:p w14:paraId="62701C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信用承诺书。</w:t>
            </w:r>
          </w:p>
          <w:p w14:paraId="476265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以上证明材料须符合要求、有效、完整。否则，响应无效。</w:t>
            </w:r>
          </w:p>
        </w:tc>
      </w:tr>
      <w:tr w14:paraId="1F54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24" w:type="pct"/>
            <w:noWrap w:val="0"/>
            <w:vAlign w:val="center"/>
          </w:tcPr>
          <w:p w14:paraId="2F846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51" w:type="pct"/>
            <w:noWrap w:val="0"/>
            <w:vAlign w:val="center"/>
          </w:tcPr>
          <w:p w14:paraId="55AF5C9E">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基本资质</w:t>
            </w:r>
          </w:p>
        </w:tc>
        <w:tc>
          <w:tcPr>
            <w:tcW w:w="1275" w:type="pct"/>
            <w:noWrap w:val="0"/>
            <w:vAlign w:val="center"/>
          </w:tcPr>
          <w:p w14:paraId="57740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2748" w:type="pct"/>
            <w:noWrap w:val="0"/>
            <w:vAlign w:val="center"/>
          </w:tcPr>
          <w:p w14:paraId="3E941F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信用承诺书。</w:t>
            </w:r>
          </w:p>
          <w:p w14:paraId="32FDE0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以上证明材料须符合要求、有效、完整。否则，响应无效。</w:t>
            </w:r>
          </w:p>
        </w:tc>
      </w:tr>
      <w:tr w14:paraId="0EF6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24" w:type="pct"/>
            <w:noWrap w:val="0"/>
            <w:vAlign w:val="center"/>
          </w:tcPr>
          <w:p w14:paraId="44A6D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51" w:type="pct"/>
            <w:noWrap w:val="0"/>
            <w:vAlign w:val="center"/>
          </w:tcPr>
          <w:p w14:paraId="4F2D06E3">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基本资质</w:t>
            </w:r>
          </w:p>
        </w:tc>
        <w:tc>
          <w:tcPr>
            <w:tcW w:w="1275" w:type="pct"/>
            <w:noWrap w:val="0"/>
            <w:vAlign w:val="center"/>
          </w:tcPr>
          <w:p w14:paraId="74E8F3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参加政府采购活动前三年内</w:t>
            </w:r>
            <w:r>
              <w:rPr>
                <w:rFonts w:hint="eastAsia" w:ascii="宋体" w:hAnsi="宋体" w:eastAsia="宋体" w:cs="宋体"/>
                <w:color w:val="auto"/>
                <w:sz w:val="21"/>
                <w:szCs w:val="21"/>
                <w:highlight w:val="none"/>
              </w:rPr>
              <w:t>，在经营活动中没有重大违法记录</w:t>
            </w:r>
          </w:p>
        </w:tc>
        <w:tc>
          <w:tcPr>
            <w:tcW w:w="2748" w:type="pct"/>
            <w:noWrap w:val="0"/>
            <w:vAlign w:val="center"/>
          </w:tcPr>
          <w:p w14:paraId="7D6E8E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信用承诺书。</w:t>
            </w:r>
          </w:p>
          <w:p w14:paraId="4E03AD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以上证明材料须符合要求、有效、完整。否则，响应无效。</w:t>
            </w:r>
          </w:p>
        </w:tc>
      </w:tr>
      <w:tr w14:paraId="264C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24" w:type="pct"/>
            <w:noWrap w:val="0"/>
            <w:vAlign w:val="center"/>
          </w:tcPr>
          <w:p w14:paraId="68F6DD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651" w:type="pct"/>
            <w:noWrap w:val="0"/>
            <w:vAlign w:val="center"/>
          </w:tcPr>
          <w:p w14:paraId="1B9D5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基本资质</w:t>
            </w:r>
          </w:p>
        </w:tc>
        <w:tc>
          <w:tcPr>
            <w:tcW w:w="1275" w:type="pct"/>
            <w:noWrap w:val="0"/>
            <w:vAlign w:val="center"/>
          </w:tcPr>
          <w:p w14:paraId="5B652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提供的单位负责人为同一人或者存在直接控股、管理关系的不同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，不得参加同一合同项下的采购活动的承诺函进行审查</w:t>
            </w:r>
          </w:p>
        </w:tc>
        <w:tc>
          <w:tcPr>
            <w:tcW w:w="2748" w:type="pct"/>
            <w:noWrap w:val="0"/>
            <w:vAlign w:val="center"/>
          </w:tcPr>
          <w:p w14:paraId="38E78A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承诺函须按招标文件要求填写，且内容完整、准确、真实、有效。</w:t>
            </w:r>
          </w:p>
          <w:p w14:paraId="281D1D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承诺函须按招标文件要求签字、盖章。</w:t>
            </w:r>
          </w:p>
          <w:p w14:paraId="0D67D6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不符合以上要求的或未提供的，响应无效。</w:t>
            </w:r>
          </w:p>
        </w:tc>
      </w:tr>
      <w:tr w14:paraId="6645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24" w:type="pct"/>
            <w:noWrap w:val="0"/>
            <w:vAlign w:val="center"/>
          </w:tcPr>
          <w:p w14:paraId="12921A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651" w:type="pct"/>
            <w:noWrap w:val="0"/>
            <w:vAlign w:val="center"/>
          </w:tcPr>
          <w:p w14:paraId="723B65D8">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基本资质</w:t>
            </w:r>
          </w:p>
        </w:tc>
        <w:tc>
          <w:tcPr>
            <w:tcW w:w="1275" w:type="pct"/>
            <w:noWrap w:val="0"/>
            <w:vAlign w:val="center"/>
          </w:tcPr>
          <w:p w14:paraId="0D18AA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提供的廉洁自律承诺书审查</w:t>
            </w:r>
          </w:p>
        </w:tc>
        <w:tc>
          <w:tcPr>
            <w:tcW w:w="2748" w:type="pct"/>
            <w:noWrap w:val="0"/>
            <w:vAlign w:val="center"/>
          </w:tcPr>
          <w:p w14:paraId="098D3D8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承诺书须按招标文件</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填写，且内容完整、准确、真实、有效。</w:t>
            </w:r>
          </w:p>
          <w:p w14:paraId="4AF37C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承诺书须按招标文件要求签字、盖章。</w:t>
            </w:r>
          </w:p>
          <w:p w14:paraId="340C931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不符合以上要求的或未提供的，响应无效。</w:t>
            </w:r>
          </w:p>
        </w:tc>
      </w:tr>
      <w:tr w14:paraId="034B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24" w:type="pct"/>
            <w:noWrap w:val="0"/>
            <w:vAlign w:val="center"/>
          </w:tcPr>
          <w:p w14:paraId="605535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651" w:type="pct"/>
            <w:noWrap w:val="0"/>
            <w:vAlign w:val="center"/>
          </w:tcPr>
          <w:p w14:paraId="77CA5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基本资质</w:t>
            </w:r>
          </w:p>
        </w:tc>
        <w:tc>
          <w:tcPr>
            <w:tcW w:w="1275" w:type="pct"/>
            <w:noWrap w:val="0"/>
            <w:vAlign w:val="center"/>
          </w:tcPr>
          <w:p w14:paraId="39ECF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对投标人提交的投标保证金凭证进行审查</w:t>
            </w:r>
          </w:p>
        </w:tc>
        <w:tc>
          <w:tcPr>
            <w:tcW w:w="2748" w:type="pct"/>
            <w:noWrap w:val="0"/>
            <w:vAlign w:val="center"/>
          </w:tcPr>
          <w:p w14:paraId="721B274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保证金凭证落款时间须在递交投标文件截止时间前。</w:t>
            </w:r>
          </w:p>
          <w:p w14:paraId="3E8ECBC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保证金金额须符合招标文件要求。</w:t>
            </w:r>
          </w:p>
          <w:p w14:paraId="78FA7D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不符合以上要求的或未提供的，响应无效。</w:t>
            </w:r>
          </w:p>
        </w:tc>
      </w:tr>
    </w:tbl>
    <w:p w14:paraId="65C5B6A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1D38B097">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除上述内容外，投标人提供的其他材料，不作为资格审查的内容。</w:t>
      </w:r>
    </w:p>
    <w:p w14:paraId="4175776E">
      <w:pPr>
        <w:pStyle w:val="68"/>
        <w:snapToGrid w:val="0"/>
        <w:spacing w:line="360" w:lineRule="auto"/>
        <w:ind w:firstLine="241" w:firstLineChars="100"/>
        <w:jc w:val="left"/>
        <w:rPr>
          <w:rFonts w:hint="eastAsia" w:ascii="宋体" w:hAnsi="宋体" w:eastAsia="宋体" w:cs="宋体"/>
          <w:b/>
          <w:color w:val="auto"/>
          <w:sz w:val="24"/>
          <w:szCs w:val="24"/>
          <w:highlight w:val="none"/>
        </w:rPr>
        <w:sectPr>
          <w:pgSz w:w="11906" w:h="16838"/>
          <w:pgMar w:top="1417" w:right="1247" w:bottom="1417" w:left="124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3B2F25F">
      <w:pPr>
        <w:pStyle w:val="68"/>
        <w:snapToGrid w:val="0"/>
        <w:spacing w:line="360" w:lineRule="auto"/>
        <w:ind w:firstLine="241" w:firstLineChars="1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二、符合性审查的内容及标准</w:t>
      </w:r>
    </w:p>
    <w:tbl>
      <w:tblPr>
        <w:tblStyle w:val="33"/>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511"/>
        <w:gridCol w:w="2071"/>
        <w:gridCol w:w="5802"/>
      </w:tblGrid>
      <w:tr w14:paraId="7237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9" w:type="pct"/>
            <w:vAlign w:val="center"/>
          </w:tcPr>
          <w:p w14:paraId="045A15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755" w:type="pct"/>
            <w:vAlign w:val="center"/>
          </w:tcPr>
          <w:p w14:paraId="4B4689E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类型</w:t>
            </w:r>
          </w:p>
        </w:tc>
        <w:tc>
          <w:tcPr>
            <w:tcW w:w="1035" w:type="pct"/>
            <w:vAlign w:val="center"/>
          </w:tcPr>
          <w:p w14:paraId="1322E0C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要求</w:t>
            </w:r>
          </w:p>
        </w:tc>
        <w:tc>
          <w:tcPr>
            <w:tcW w:w="2899" w:type="pct"/>
            <w:vAlign w:val="center"/>
          </w:tcPr>
          <w:p w14:paraId="7C2E34B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要求说明</w:t>
            </w:r>
          </w:p>
        </w:tc>
      </w:tr>
      <w:tr w14:paraId="31BA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9" w:type="pct"/>
            <w:vAlign w:val="center"/>
          </w:tcPr>
          <w:p w14:paraId="343A9FD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1</w:t>
            </w:r>
          </w:p>
        </w:tc>
        <w:tc>
          <w:tcPr>
            <w:tcW w:w="755" w:type="pct"/>
            <w:vAlign w:val="center"/>
          </w:tcPr>
          <w:p w14:paraId="6D050FB6">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Style w:val="45"/>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商务</w:t>
            </w:r>
          </w:p>
        </w:tc>
        <w:tc>
          <w:tcPr>
            <w:tcW w:w="1035" w:type="pct"/>
            <w:vAlign w:val="center"/>
          </w:tcPr>
          <w:p w14:paraId="09B6BA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5"/>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对投标人提供的法定代表人（负责人）身份证明文件进行审查</w:t>
            </w:r>
          </w:p>
        </w:tc>
        <w:tc>
          <w:tcPr>
            <w:tcW w:w="2899" w:type="pct"/>
            <w:vAlign w:val="center"/>
          </w:tcPr>
          <w:p w14:paraId="3B38AE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1.1证明文件须按招标文件要求填写，且内容完整、准确、真实、有效。</w:t>
            </w:r>
          </w:p>
          <w:p w14:paraId="4A799D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1.2证明文件须按招标文件要求签字、盖章。</w:t>
            </w:r>
          </w:p>
          <w:p w14:paraId="13C9E7F7">
            <w:pPr>
              <w:keepNext w:val="0"/>
              <w:keepLines w:val="0"/>
              <w:pageBreakBefore w:val="0"/>
              <w:widowControl w:val="0"/>
              <w:kinsoku/>
              <w:wordWrap/>
              <w:overflowPunct/>
              <w:topLinePunct w:val="0"/>
              <w:autoSpaceDE/>
              <w:autoSpaceDN/>
              <w:bidi w:val="0"/>
              <w:adjustRightInd/>
              <w:snapToGrid/>
              <w:spacing w:line="360" w:lineRule="exact"/>
              <w:textAlignment w:val="auto"/>
              <w:rPr>
                <w:rStyle w:val="45"/>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1.3不符合以上要求的或未提供的，投标无效。</w:t>
            </w:r>
          </w:p>
        </w:tc>
      </w:tr>
      <w:tr w14:paraId="08F9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09" w:type="pct"/>
            <w:vAlign w:val="center"/>
          </w:tcPr>
          <w:p w14:paraId="04692B4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p>
        </w:tc>
        <w:tc>
          <w:tcPr>
            <w:tcW w:w="755" w:type="pct"/>
            <w:vAlign w:val="center"/>
          </w:tcPr>
          <w:p w14:paraId="3E18251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商务</w:t>
            </w:r>
          </w:p>
        </w:tc>
        <w:tc>
          <w:tcPr>
            <w:tcW w:w="1035" w:type="pct"/>
            <w:vAlign w:val="center"/>
          </w:tcPr>
          <w:p w14:paraId="1623FE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对投标人提供的法定代表人（负责人）授权委托书证明文件进行审查</w:t>
            </w:r>
          </w:p>
        </w:tc>
        <w:tc>
          <w:tcPr>
            <w:tcW w:w="2899" w:type="pct"/>
            <w:vAlign w:val="center"/>
          </w:tcPr>
          <w:p w14:paraId="5025EC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2.1证明文件须按招标文件要求填写，且内容完整、准确、真实、有效。</w:t>
            </w:r>
          </w:p>
          <w:p w14:paraId="32A032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2.2证明文件须按招标文件要求签字、盖章。</w:t>
            </w:r>
          </w:p>
          <w:p w14:paraId="581E82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2.3不符合以上要求的或未提供的，投标无效。</w:t>
            </w:r>
          </w:p>
        </w:tc>
      </w:tr>
      <w:tr w14:paraId="71D8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09" w:type="pct"/>
            <w:vAlign w:val="center"/>
          </w:tcPr>
          <w:p w14:paraId="7DEC073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755" w:type="pct"/>
            <w:vAlign w:val="center"/>
          </w:tcPr>
          <w:p w14:paraId="62303FF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商务</w:t>
            </w:r>
          </w:p>
        </w:tc>
        <w:tc>
          <w:tcPr>
            <w:tcW w:w="1035" w:type="pct"/>
            <w:vAlign w:val="center"/>
          </w:tcPr>
          <w:p w14:paraId="6CE75A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对投标人提供的投标函进行审查</w:t>
            </w:r>
          </w:p>
        </w:tc>
        <w:tc>
          <w:tcPr>
            <w:tcW w:w="2899" w:type="pct"/>
            <w:vAlign w:val="center"/>
          </w:tcPr>
          <w:p w14:paraId="74D32E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3.1投标函须按招标文件要求填写，且内容完整、准确、真实、有效。</w:t>
            </w:r>
          </w:p>
          <w:p w14:paraId="07E5D5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3.2投标函须按招标文件要求签字、盖章。</w:t>
            </w:r>
          </w:p>
          <w:p w14:paraId="5ACCDF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3.3不符合以上要求的或未提供的，投标无效。</w:t>
            </w:r>
          </w:p>
        </w:tc>
      </w:tr>
      <w:tr w14:paraId="4F41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309" w:type="pct"/>
            <w:vAlign w:val="center"/>
          </w:tcPr>
          <w:p w14:paraId="4A8355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755" w:type="pct"/>
            <w:vAlign w:val="center"/>
          </w:tcPr>
          <w:p w14:paraId="5B6983E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报价</w:t>
            </w:r>
          </w:p>
        </w:tc>
        <w:tc>
          <w:tcPr>
            <w:tcW w:w="1035" w:type="pct"/>
            <w:vAlign w:val="center"/>
          </w:tcPr>
          <w:p w14:paraId="55A503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对投标人提供的开标一览表进行审查</w:t>
            </w:r>
          </w:p>
        </w:tc>
        <w:tc>
          <w:tcPr>
            <w:tcW w:w="2899" w:type="pct"/>
            <w:vAlign w:val="center"/>
          </w:tcPr>
          <w:p w14:paraId="5838BF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4.1开标一览表须按招标文件要求填写，且内容完整、准确、无漏项、无缺项、无</w:t>
            </w:r>
            <w:r>
              <w:rPr>
                <w:rFonts w:hint="eastAsia" w:ascii="宋体" w:hAnsi="宋体" w:eastAsia="宋体" w:cs="宋体"/>
                <w:color w:val="auto"/>
                <w:sz w:val="21"/>
                <w:szCs w:val="21"/>
                <w:highlight w:val="none"/>
              </w:rPr>
              <w:t>可选择或可调整报价</w:t>
            </w:r>
            <w:r>
              <w:rPr>
                <w:rFonts w:hint="eastAsia" w:ascii="宋体" w:hAnsi="宋体" w:eastAsia="宋体" w:cs="宋体"/>
                <w:color w:val="auto"/>
                <w:sz w:val="21"/>
                <w:szCs w:val="21"/>
                <w:highlight w:val="none"/>
                <w:lang w:val="en-US" w:eastAsia="zh-CN"/>
              </w:rPr>
              <w:t>。</w:t>
            </w:r>
          </w:p>
          <w:p w14:paraId="3C419B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4.2开标一览表须按招标文件要求签字、盖章。</w:t>
            </w:r>
          </w:p>
          <w:p w14:paraId="6414F0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4.3不符合以上要求的，投标无效。</w:t>
            </w:r>
          </w:p>
        </w:tc>
      </w:tr>
      <w:tr w14:paraId="5702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09" w:type="pct"/>
            <w:vAlign w:val="center"/>
          </w:tcPr>
          <w:p w14:paraId="0FA9E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5</w:t>
            </w:r>
          </w:p>
        </w:tc>
        <w:tc>
          <w:tcPr>
            <w:tcW w:w="755" w:type="pct"/>
            <w:vAlign w:val="center"/>
          </w:tcPr>
          <w:p w14:paraId="64BC2D4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商务</w:t>
            </w:r>
          </w:p>
        </w:tc>
        <w:tc>
          <w:tcPr>
            <w:tcW w:w="1035" w:type="pct"/>
            <w:vAlign w:val="center"/>
          </w:tcPr>
          <w:p w14:paraId="2CB24F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对投标人提供的商务条款响应表的响应情况进行审查</w:t>
            </w:r>
          </w:p>
        </w:tc>
        <w:tc>
          <w:tcPr>
            <w:tcW w:w="2899" w:type="pct"/>
            <w:vAlign w:val="center"/>
          </w:tcPr>
          <w:p w14:paraId="05D889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5.1响应表须按招标文件要求填写，且响应内容完整、准确、真实、有效，无空项、漏项。</w:t>
            </w:r>
          </w:p>
          <w:p w14:paraId="26B78F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5.2响应表须按招标文件要求签字、盖章。</w:t>
            </w:r>
          </w:p>
          <w:p w14:paraId="754CD8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第五部分的</w:t>
            </w:r>
            <w:r>
              <w:rPr>
                <w:rFonts w:hint="eastAsia" w:ascii="宋体" w:hAnsi="宋体" w:eastAsia="宋体" w:cs="宋体"/>
                <w:color w:val="auto"/>
                <w:sz w:val="21"/>
                <w:szCs w:val="21"/>
                <w:highlight w:val="none"/>
                <w:lang w:val="en-US" w:eastAsia="zh-CN"/>
              </w:rPr>
              <w:t>各包的“商务要求”全部</w:t>
            </w:r>
            <w:r>
              <w:rPr>
                <w:rFonts w:hint="eastAsia" w:ascii="宋体" w:hAnsi="宋体" w:eastAsia="宋体" w:cs="宋体"/>
                <w:color w:val="auto"/>
                <w:sz w:val="21"/>
                <w:szCs w:val="21"/>
                <w:highlight w:val="none"/>
              </w:rPr>
              <w:t>做出实质性响应。</w:t>
            </w:r>
          </w:p>
          <w:p w14:paraId="350937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5.4不符合以上要求的或未提供的，投标无效。</w:t>
            </w:r>
          </w:p>
        </w:tc>
      </w:tr>
      <w:tr w14:paraId="5910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9" w:type="pct"/>
            <w:vAlign w:val="center"/>
          </w:tcPr>
          <w:p w14:paraId="4E83A3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755" w:type="pct"/>
            <w:vAlign w:val="center"/>
          </w:tcPr>
          <w:p w14:paraId="7801BE3A">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技术</w:t>
            </w:r>
          </w:p>
        </w:tc>
        <w:tc>
          <w:tcPr>
            <w:tcW w:w="1035" w:type="pct"/>
            <w:vAlign w:val="center"/>
          </w:tcPr>
          <w:p w14:paraId="355C75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对投标人提供的技术规范响应及偏离表的响应情况进行审查</w:t>
            </w:r>
          </w:p>
        </w:tc>
        <w:tc>
          <w:tcPr>
            <w:tcW w:w="2899" w:type="pct"/>
            <w:vAlign w:val="center"/>
          </w:tcPr>
          <w:p w14:paraId="6503AD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6.1技术规范响应及偏离表须按招标文件要求填写，且响应内容完整、准确、真实、有效，无空项、漏项。</w:t>
            </w:r>
          </w:p>
          <w:p w14:paraId="7938E7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6.2技术规范响应及偏离表须按招标文件要求签字、盖章。</w:t>
            </w:r>
          </w:p>
          <w:p w14:paraId="009AE8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6.3对招标文件第五部分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各包的“技术要求”中的内容作出实质性响应。</w:t>
            </w:r>
          </w:p>
          <w:p w14:paraId="587E34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6.4不符合以上要求的，或负偏离响应内容经评标委员会共同认定属重大技术负偏离的，或未提供偏离表的，响应均无效。</w:t>
            </w:r>
          </w:p>
        </w:tc>
      </w:tr>
      <w:tr w14:paraId="2CA6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9" w:type="pct"/>
            <w:vAlign w:val="center"/>
          </w:tcPr>
          <w:p w14:paraId="5FC3BE1A">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755" w:type="pct"/>
            <w:vAlign w:val="center"/>
          </w:tcPr>
          <w:p w14:paraId="1BA2B5AE">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w:t>
            </w:r>
          </w:p>
        </w:tc>
        <w:tc>
          <w:tcPr>
            <w:tcW w:w="1035" w:type="pct"/>
            <w:vAlign w:val="center"/>
          </w:tcPr>
          <w:p w14:paraId="240726E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3" w:leftChars="-30" w:right="-63" w:rightChars="-3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其他</w:t>
            </w:r>
          </w:p>
        </w:tc>
        <w:tc>
          <w:tcPr>
            <w:tcW w:w="2899" w:type="pct"/>
            <w:vAlign w:val="center"/>
          </w:tcPr>
          <w:p w14:paraId="791234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对其他实质性要求进行审查：</w:t>
            </w:r>
          </w:p>
          <w:p w14:paraId="5C2890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7.1不存在可选择投标方案的情形；</w:t>
            </w:r>
          </w:p>
          <w:p w14:paraId="1DCFA7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7.2符合招标文件中有关分包、转包规定的要求；</w:t>
            </w:r>
          </w:p>
          <w:p w14:paraId="125E6B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7.3投标文件未附有采购人不能接受的条件；</w:t>
            </w:r>
          </w:p>
          <w:p w14:paraId="03421B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7.4符合政府采购国家强制性因素要求的条件；</w:t>
            </w:r>
          </w:p>
          <w:p w14:paraId="1D5542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7.5满足招标文件的其他实质性要求。</w:t>
            </w:r>
          </w:p>
        </w:tc>
      </w:tr>
    </w:tbl>
    <w:p w14:paraId="1F20701C">
      <w:pPr>
        <w:pStyle w:val="68"/>
        <w:keepNext w:val="0"/>
        <w:keepLines w:val="0"/>
        <w:pageBreakBefore w:val="0"/>
        <w:kinsoku/>
        <w:wordWrap/>
        <w:overflowPunct/>
        <w:topLinePunct w:val="0"/>
        <w:autoSpaceDE/>
        <w:autoSpaceDN/>
        <w:bidi w:val="0"/>
        <w:adjustRightInd/>
        <w:snapToGrid/>
        <w:spacing w:line="360" w:lineRule="auto"/>
        <w:ind w:left="1080" w:hanging="1080" w:hangingChars="4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5551C2A9">
      <w:pPr>
        <w:pStyle w:val="68"/>
        <w:keepNext w:val="0"/>
        <w:keepLines w:val="0"/>
        <w:pageBreakBefore w:val="0"/>
        <w:kinsoku/>
        <w:wordWrap/>
        <w:overflowPunct/>
        <w:topLinePunct w:val="0"/>
        <w:autoSpaceDE/>
        <w:autoSpaceDN/>
        <w:bidi w:val="0"/>
        <w:adjustRightInd/>
        <w:snapToGrid/>
        <w:spacing w:line="360" w:lineRule="auto"/>
        <w:ind w:left="2" w:firstLine="420" w:firstLineChars="175"/>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1.符合性审查的内容，经</w:t>
      </w:r>
      <w:r>
        <w:rPr>
          <w:rFonts w:hint="eastAsia" w:cs="宋体"/>
          <w:color w:val="auto"/>
          <w:spacing w:val="0"/>
          <w:sz w:val="24"/>
          <w:szCs w:val="24"/>
          <w:highlight w:val="none"/>
          <w:lang w:eastAsia="zh-CN"/>
        </w:rPr>
        <w:t>评标委员会</w:t>
      </w:r>
      <w:r>
        <w:rPr>
          <w:rFonts w:hint="eastAsia" w:ascii="宋体" w:hAnsi="宋体" w:eastAsia="宋体" w:cs="宋体"/>
          <w:color w:val="auto"/>
          <w:spacing w:val="0"/>
          <w:sz w:val="24"/>
          <w:szCs w:val="24"/>
          <w:highlight w:val="none"/>
        </w:rPr>
        <w:t>共同认定没有做出实质性、符合性响应的，将导致投标无效。</w:t>
      </w:r>
    </w:p>
    <w:p w14:paraId="00892D0F">
      <w:pPr>
        <w:pStyle w:val="68"/>
        <w:keepNext w:val="0"/>
        <w:keepLines w:val="0"/>
        <w:pageBreakBefore w:val="0"/>
        <w:kinsoku/>
        <w:wordWrap/>
        <w:overflowPunct/>
        <w:topLinePunct w:val="0"/>
        <w:autoSpaceDE/>
        <w:autoSpaceDN/>
        <w:bidi w:val="0"/>
        <w:adjustRightInd/>
        <w:snapToGrid/>
        <w:spacing w:line="360" w:lineRule="auto"/>
        <w:ind w:left="2" w:firstLine="420" w:firstLineChars="175"/>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2.审查时，存在第三部分投标人须知第28条无效投标的情形的，按无效投标处理。</w:t>
      </w:r>
    </w:p>
    <w:p w14:paraId="133611DD">
      <w:pPr>
        <w:pStyle w:val="6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三、落实政府采购政策性要求的评审内容及标准</w:t>
      </w:r>
    </w:p>
    <w:p w14:paraId="53CBF68C">
      <w:pPr>
        <w:pStyle w:val="68"/>
        <w:keepNext w:val="0"/>
        <w:keepLines w:val="0"/>
        <w:pageBreakBefore w:val="0"/>
        <w:kinsoku/>
        <w:wordWrap/>
        <w:overflowPunct/>
        <w:topLinePunct w:val="0"/>
        <w:autoSpaceDE/>
        <w:autoSpaceDN/>
        <w:bidi w:val="0"/>
        <w:adjustRightInd/>
        <w:snapToGrid/>
        <w:spacing w:line="360" w:lineRule="auto"/>
        <w:ind w:left="2" w:firstLine="422" w:firstLineChars="175"/>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1.进口货物评审标准</w:t>
      </w:r>
    </w:p>
    <w:p w14:paraId="3A2129F4">
      <w:pPr>
        <w:pStyle w:val="68"/>
        <w:keepNext w:val="0"/>
        <w:keepLines w:val="0"/>
        <w:pageBreakBefore w:val="0"/>
        <w:kinsoku/>
        <w:wordWrap/>
        <w:overflowPunct/>
        <w:topLinePunct w:val="0"/>
        <w:autoSpaceDE/>
        <w:autoSpaceDN/>
        <w:bidi w:val="0"/>
        <w:adjustRightInd/>
        <w:snapToGrid/>
        <w:spacing w:line="360" w:lineRule="auto"/>
        <w:ind w:left="2"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0CC86E65">
      <w:pPr>
        <w:pStyle w:val="68"/>
        <w:keepNext w:val="0"/>
        <w:keepLines w:val="0"/>
        <w:pageBreakBefore w:val="0"/>
        <w:kinsoku/>
        <w:wordWrap/>
        <w:overflowPunct/>
        <w:topLinePunct w:val="0"/>
        <w:autoSpaceDE/>
        <w:autoSpaceDN/>
        <w:bidi w:val="0"/>
        <w:adjustRightInd/>
        <w:snapToGrid/>
        <w:spacing w:line="360" w:lineRule="auto"/>
        <w:ind w:left="2" w:firstLine="422" w:firstLineChars="175"/>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2.国家强制产品评审标准</w:t>
      </w:r>
    </w:p>
    <w:p w14:paraId="77D835A2">
      <w:pPr>
        <w:pStyle w:val="68"/>
        <w:keepNext w:val="0"/>
        <w:keepLines w:val="0"/>
        <w:pageBreakBefore w:val="0"/>
        <w:kinsoku/>
        <w:wordWrap/>
        <w:overflowPunct/>
        <w:topLinePunct w:val="0"/>
        <w:autoSpaceDE/>
        <w:autoSpaceDN/>
        <w:bidi w:val="0"/>
        <w:adjustRightInd/>
        <w:snapToGrid/>
        <w:spacing w:line="360" w:lineRule="auto"/>
        <w:ind w:left="2"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否则，投标无效。</w:t>
      </w:r>
    </w:p>
    <w:p w14:paraId="0736E00A">
      <w:pPr>
        <w:pStyle w:val="68"/>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2.2本项目所采购的货物中如包含计算机，必须预装正版操作系统软件产品；所采购的其它软件必须为正版软件。需提供正版软件承诺书，否则，投标无效。</w:t>
      </w:r>
    </w:p>
    <w:p w14:paraId="6A0875AE">
      <w:pPr>
        <w:pStyle w:val="68"/>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3.企业性质评审标准</w:t>
      </w:r>
    </w:p>
    <w:p w14:paraId="02D3A9D6">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依据政府采购的相关规定，如果投标人或所提供的服务满足下述要求并经评标委员会全体成员集体认定通过，予以考虑执行。</w:t>
      </w:r>
    </w:p>
    <w:p w14:paraId="018429B4">
      <w:pPr>
        <w:pStyle w:val="68"/>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3.1中小微企业参加本项目的评审标准</w:t>
      </w:r>
    </w:p>
    <w:p w14:paraId="128324A2">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须按照财政部、工业和信息化部发布的《关于印发&lt;政府采购促进中小企业发展管理办法&gt;的通知》(财库〔2020〕46号），并依据工信部联【2011】300号《中小企业划型标准规定》的标准，如实填写《中小企业声明函》。否则，不予认可。</w:t>
      </w:r>
    </w:p>
    <w:p w14:paraId="6AB55A8F">
      <w:pPr>
        <w:pStyle w:val="68"/>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3.2残疾人福利性单位参加本项目的评审标准</w:t>
      </w:r>
    </w:p>
    <w:p w14:paraId="7E4F261E">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须根据财库【2017】141号《关于促进残疾人就业政府采购政策的通知》的要求，如实填写残疾人福利性单位声明函（格式见第七部分），否则，不予认可。</w:t>
      </w:r>
    </w:p>
    <w:p w14:paraId="5EB2992C">
      <w:pPr>
        <w:pStyle w:val="68"/>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3.2.1享受政府采购支持政策的残疾人福利性单位应当同时满足以下条件：</w:t>
      </w:r>
    </w:p>
    <w:p w14:paraId="61CDB6B0">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A.安置的残疾人占本单位在职职工人数的比例不低于25%（含25%），并且安置的残疾人人数不少于10人（含10人）；</w:t>
      </w:r>
    </w:p>
    <w:p w14:paraId="2C393BA3">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B.依法与安置的每位残疾人签订了一年以上（含一年）的劳动合同或服务协议；</w:t>
      </w:r>
    </w:p>
    <w:p w14:paraId="7964ABAF">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C.为安置的每位残疾人按月足额缴纳了基本养老保险、基本医疗保险、失业保险、工伤保险和生育保险等社会保险费；</w:t>
      </w:r>
    </w:p>
    <w:p w14:paraId="6FF191B8">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D.通过银行等金融机构向安置的每位残疾人，按月支付了不低于单位所在区县适用的经省级人民政府批准的月最低工资标准的工资；</w:t>
      </w:r>
    </w:p>
    <w:p w14:paraId="37AE4E0D">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6C39B765">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0DDD75F">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3.2.2投标人提供的《残疾人福利性单位声明函》与事实不符的，依照《政府采购法》第七十七条第一款的规定追究法律责任。</w:t>
      </w:r>
    </w:p>
    <w:p w14:paraId="42094D06">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F1C2F5B">
      <w:pPr>
        <w:pStyle w:val="68"/>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3.3监狱企业参加本项目的评审标准</w:t>
      </w:r>
    </w:p>
    <w:p w14:paraId="70B1CDE5">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监狱企业参加投标视同小微企业，提供由省级以上监狱管理局、戒毒管理局出具的属于监狱企业的证明文件。否则，不予认可。</w:t>
      </w:r>
    </w:p>
    <w:p w14:paraId="01EEFE16">
      <w:pPr>
        <w:pStyle w:val="68"/>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3.4联合体企业参加本项目的评审标准</w:t>
      </w:r>
    </w:p>
    <w:p w14:paraId="60905E05">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如本项目为接受大中型企业与小微企业组成联合体或者允许大中型企业向一家或者多家小微企业分包的采购项目，需提供联合体投标协议书，否则，投标无效。</w:t>
      </w:r>
    </w:p>
    <w:p w14:paraId="68159DB9">
      <w:pPr>
        <w:pStyle w:val="68"/>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环保节能产品参加本项目的评审标准</w:t>
      </w:r>
    </w:p>
    <w:p w14:paraId="5C2DCD7E">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4.1投报节能产品政府采购品目清单中强制性采购产品以外的其它节能产品，且提供所投产品获得国家确定的认证机构出具的、处于有效期之内的节能产品认证证书。</w:t>
      </w:r>
    </w:p>
    <w:p w14:paraId="537A7FF8">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4.2投报环境标志产品政府采购品目清单中的产品，且提供所投产品获得国家确定的认证机构出具的、处于有效期之内的环境标志产品认证证书。</w:t>
      </w:r>
    </w:p>
    <w:p w14:paraId="284B9E92">
      <w:pPr>
        <w:pStyle w:val="68"/>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创新产品参加本项目的评审标准</w:t>
      </w:r>
    </w:p>
    <w:p w14:paraId="7BA7E90D">
      <w:pPr>
        <w:pStyle w:val="6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根据《政府采购支持创新产品和服务实施细则》（晋财购【2019】19号），需在投标文件中提供《山西省创新产品和服务推荐清单》，并填写《创新产品或创新服务明细表》。否则，不予认可。</w:t>
      </w:r>
    </w:p>
    <w:p w14:paraId="0F241EF0">
      <w:pPr>
        <w:pStyle w:val="68"/>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本项目（包）如属于专门面向中小企业采购的采购包，不再执行价格评审优惠的扶持政策。</w:t>
      </w:r>
    </w:p>
    <w:p w14:paraId="09FCDDAB">
      <w:pPr>
        <w:pStyle w:val="68"/>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四、无效投标的情形</w:t>
      </w:r>
    </w:p>
    <w:p w14:paraId="60AE07E4">
      <w:pPr>
        <w:pStyle w:val="6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未通过资格性、符合性审查的投标文件为无效投标。</w:t>
      </w:r>
    </w:p>
    <w:p w14:paraId="468C3E6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color w:val="auto"/>
          <w:sz w:val="24"/>
          <w:highlight w:val="none"/>
        </w:rPr>
        <w:t>五、</w:t>
      </w:r>
      <w:r>
        <w:rPr>
          <w:rFonts w:hint="eastAsia" w:ascii="宋体" w:hAnsi="宋体" w:eastAsia="宋体" w:cs="宋体"/>
          <w:b/>
          <w:bCs/>
          <w:color w:val="auto"/>
          <w:kern w:val="0"/>
          <w:sz w:val="24"/>
          <w:highlight w:val="none"/>
        </w:rPr>
        <w:t>评分细则</w:t>
      </w:r>
    </w:p>
    <w:p w14:paraId="20BB70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评标采用综合评分法，投标文件满足招标文件全部实质性要求，且按照评分细则的量化指标进行评审（具体评分见综合评分法评分细则），由评标委员会按照得分进行排序，推荐第一名为中标人。若发生得分相同的情况，报价低者排名在前，如果报价也相同，技术部分得分高者排名在前。</w:t>
      </w:r>
    </w:p>
    <w:p w14:paraId="50CEA33E">
      <w:pPr>
        <w:widowControl/>
        <w:snapToGrid w:val="0"/>
        <w:spacing w:line="360" w:lineRule="auto"/>
        <w:ind w:firstLine="482" w:firstLineChars="20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综合评分法评分细则</w:t>
      </w:r>
    </w:p>
    <w:tbl>
      <w:tblPr>
        <w:tblStyle w:val="33"/>
        <w:tblW w:w="49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9"/>
        <w:gridCol w:w="1002"/>
      </w:tblGrid>
      <w:tr w14:paraId="5063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center"/>
          </w:tcPr>
          <w:p w14:paraId="5672B5E0">
            <w:pPr>
              <w:keepNext w:val="0"/>
              <w:keepLines w:val="0"/>
              <w:pageBreakBefore w:val="0"/>
              <w:widowControl w:val="0"/>
              <w:shd w:val="clear" w:color="auto" w:fill="auto"/>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评 </w:t>
            </w:r>
            <w:r>
              <w:rPr>
                <w:rFonts w:hint="eastAsia" w:ascii="宋体" w:hAnsi="宋体" w:eastAsia="宋体" w:cs="宋体"/>
                <w:b/>
                <w:color w:val="auto"/>
                <w:sz w:val="21"/>
                <w:szCs w:val="21"/>
                <w:highlight w:val="none"/>
                <w:lang w:eastAsia="zh-CN"/>
              </w:rPr>
              <w:t>审</w:t>
            </w:r>
            <w:r>
              <w:rPr>
                <w:rFonts w:hint="eastAsia" w:ascii="宋体" w:hAnsi="宋体" w:eastAsia="宋体" w:cs="宋体"/>
                <w:b/>
                <w:color w:val="auto"/>
                <w:sz w:val="21"/>
                <w:szCs w:val="21"/>
                <w:highlight w:val="none"/>
              </w:rPr>
              <w:t xml:space="preserve"> 内 容 及 标 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264087B3">
            <w:pPr>
              <w:keepNext w:val="0"/>
              <w:keepLines w:val="0"/>
              <w:pageBreakBefore w:val="0"/>
              <w:widowControl w:val="0"/>
              <w:shd w:val="clear" w:color="auto" w:fill="auto"/>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得分</w:t>
            </w:r>
          </w:p>
        </w:tc>
      </w:tr>
      <w:tr w14:paraId="7D8D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2CEBA507">
            <w:pPr>
              <w:keepNext w:val="0"/>
              <w:keepLines w:val="0"/>
              <w:pageBreakBefore w:val="0"/>
              <w:widowControl w:val="0"/>
              <w:shd w:val="clear" w:color="auto" w:fill="auto"/>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一、商务部分</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r>
              <w:rPr>
                <w:rFonts w:hint="eastAsia" w:ascii="宋体" w:hAnsi="宋体" w:eastAsia="宋体" w:cs="宋体"/>
                <w:b/>
                <w:bCs/>
                <w:color w:val="auto"/>
                <w:sz w:val="21"/>
                <w:szCs w:val="21"/>
                <w:highlight w:val="none"/>
              </w:rPr>
              <w:t>(由评标委员会共同认定)</w:t>
            </w:r>
          </w:p>
        </w:tc>
      </w:tr>
      <w:tr w14:paraId="3243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center"/>
          </w:tcPr>
          <w:p w14:paraId="04BB6665">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1、供应商业绩（7.5分）</w:t>
            </w:r>
          </w:p>
          <w:p w14:paraId="53B9B51F">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供应商近三年内已完成的类似项目案例，每有一个得1.5分，满分7.5分。</w:t>
            </w:r>
          </w:p>
          <w:p w14:paraId="22D94EFF">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69FF359B">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（1）近三年指以响应文件提交截止时间往前推三年。</w:t>
            </w:r>
          </w:p>
          <w:p w14:paraId="6E44CC7A">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类似项目案例：指生命线安全风险评估类项目（例如：“生命线安全工程风险评估”，“生命线风险评估”“安全工程风险评估”等），时间以合同（协议书）签订时间为准。类似项目案例指供应商自身的项目案例，即项目案例合同（协议书）的乙方必须与供应商的名称完全一致，如公司名称发生变更，必须提供工商部门的证明文件。</w:t>
            </w:r>
          </w:p>
          <w:p w14:paraId="360400D5">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（3）业绩（案例）证明材料须提供合同（协议书）扫描件，合同（协议书）须提供合同首页、合同金额所在页、签字盖章页等关键页为证明；</w:t>
            </w:r>
          </w:p>
          <w:p w14:paraId="797CBB56">
            <w:pPr>
              <w:pStyle w:val="16"/>
              <w:tabs>
                <w:tab w:val="left" w:pos="600"/>
              </w:tabs>
              <w:spacing w:line="400" w:lineRule="exact"/>
              <w:ind w:firstLine="420" w:firstLineChars="200"/>
              <w:jc w:val="left"/>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（4）业绩（案例）证明材料扫描件不完整或不符合以上内容要求或不清晰，导致无法判断是否符合以上要求的，均不得分。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6A51A46B">
            <w:pPr>
              <w:keepNext w:val="0"/>
              <w:keepLines w:val="0"/>
              <w:pageBreakBefore w:val="0"/>
              <w:shd w:val="clear" w:color="auto" w:fill="auto"/>
              <w:kinsoku/>
              <w:wordWrap/>
              <w:overflowPunct/>
              <w:topLinePunct w:val="0"/>
              <w:autoSpaceDE w:val="0"/>
              <w:autoSpaceDN w:val="0"/>
              <w:bidi w:val="0"/>
              <w:adjustRightInd/>
              <w:snapToGrid/>
              <w:spacing w:line="420" w:lineRule="exact"/>
              <w:ind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7.5分</w:t>
            </w:r>
          </w:p>
        </w:tc>
      </w:tr>
      <w:tr w14:paraId="7C59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center"/>
          </w:tcPr>
          <w:p w14:paraId="7DA1806E">
            <w:pPr>
              <w:pStyle w:val="16"/>
              <w:tabs>
                <w:tab w:val="left" w:pos="600"/>
              </w:tabs>
              <w:spacing w:line="40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2、供应商综合实力（6分）</w:t>
            </w:r>
          </w:p>
          <w:p w14:paraId="60C44791">
            <w:pPr>
              <w:pStyle w:val="16"/>
              <w:tabs>
                <w:tab w:val="left" w:pos="600"/>
              </w:tabs>
              <w:spacing w:line="40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供应商具备信息安全应急处理服务二级及以上资质、信息安全风险评估服务二级及以上资质、DCSC信息系统交付能力（量化级及以上）资质、测绘乙级及以上资质。每提供一个得1.5分，最高得6分。</w:t>
            </w:r>
          </w:p>
          <w:p w14:paraId="75D5EE9C">
            <w:pPr>
              <w:pStyle w:val="16"/>
              <w:tabs>
                <w:tab w:val="left" w:pos="600"/>
              </w:tabs>
              <w:spacing w:line="400" w:lineRule="exact"/>
              <w:ind w:firstLine="420" w:firstLineChars="200"/>
              <w:jc w:val="left"/>
              <w:rPr>
                <w:rFonts w:hint="eastAsia"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注：响应文件中须提供有效期内的相关证书扫描件加盖投标人公章进行佐证，未提供或未按要求提供不得分。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6C005A5E">
            <w:pPr>
              <w:keepNext w:val="0"/>
              <w:keepLines w:val="0"/>
              <w:pageBreakBefore w:val="0"/>
              <w:shd w:val="clear" w:color="auto" w:fill="auto"/>
              <w:kinsoku/>
              <w:wordWrap/>
              <w:overflowPunct/>
              <w:topLinePunct w:val="0"/>
              <w:autoSpaceDE w:val="0"/>
              <w:autoSpaceDN w:val="0"/>
              <w:bidi w:val="0"/>
              <w:adjustRightInd/>
              <w:snapToGrid/>
              <w:spacing w:line="420" w:lineRule="exact"/>
              <w:ind w:firstLine="0" w:firstLineChars="0"/>
              <w:jc w:val="center"/>
              <w:textAlignment w:val="auto"/>
              <w:rPr>
                <w:rFonts w:hint="default" w:ascii="宋体" w:hAnsi="宋体" w:eastAsia="宋体" w:cs="宋体"/>
                <w:bCs/>
                <w:color w:val="auto"/>
                <w:sz w:val="21"/>
                <w:szCs w:val="21"/>
                <w:highlight w:val="yellow"/>
                <w:lang w:val="en-US" w:eastAsia="zh-CN"/>
              </w:rPr>
            </w:pPr>
            <w:r>
              <w:rPr>
                <w:rFonts w:hint="eastAsia" w:ascii="宋体" w:hAnsi="宋体" w:cs="宋体"/>
                <w:bCs/>
                <w:color w:val="auto"/>
                <w:sz w:val="21"/>
                <w:szCs w:val="21"/>
                <w:highlight w:val="none"/>
                <w:lang w:val="en-US" w:eastAsia="zh-CN"/>
              </w:rPr>
              <w:t>6分</w:t>
            </w:r>
          </w:p>
        </w:tc>
      </w:tr>
      <w:tr w14:paraId="64F9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center"/>
          </w:tcPr>
          <w:p w14:paraId="1E72F342">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3、项目经理（6分）</w:t>
            </w:r>
          </w:p>
          <w:p w14:paraId="247EBA00">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供应商拟派项目经理具备以下能力，每满足1项得2分，本项最高得6分：</w:t>
            </w:r>
          </w:p>
          <w:p w14:paraId="24D07270">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（1）市政公用工程专业一级注册建造师证书；</w:t>
            </w:r>
          </w:p>
          <w:p w14:paraId="76082140">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（2）系统分析师（高级）；</w:t>
            </w:r>
          </w:p>
          <w:p w14:paraId="2EE5DAE2">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（3）信息系统项目管理师（高级）。</w:t>
            </w:r>
          </w:p>
          <w:p w14:paraId="0934BCD2">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注：响应文件中须提供相关证书扫描件和项目经理开标前6个月内任意1个月供应商为其缴纳的社保缴纳证明材料（社保管理单位出具）并加盖供应商公章。</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5376E3B3">
            <w:pPr>
              <w:keepNext w:val="0"/>
              <w:keepLines w:val="0"/>
              <w:pageBreakBefore w:val="0"/>
              <w:shd w:val="clear" w:color="auto" w:fill="auto"/>
              <w:kinsoku/>
              <w:wordWrap/>
              <w:overflowPunct/>
              <w:topLinePunct w:val="0"/>
              <w:autoSpaceDE w:val="0"/>
              <w:autoSpaceDN w:val="0"/>
              <w:bidi w:val="0"/>
              <w:adjustRightInd/>
              <w:snapToGrid/>
              <w:spacing w:line="420" w:lineRule="exact"/>
              <w:ind w:firstLine="0" w:firstLineChars="0"/>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6分</w:t>
            </w:r>
          </w:p>
        </w:tc>
      </w:tr>
      <w:tr w14:paraId="0993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center"/>
          </w:tcPr>
          <w:p w14:paraId="2104B234">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4、技术负责人（6分）</w:t>
            </w:r>
          </w:p>
          <w:p w14:paraId="6452F3F5">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供应商拟派技术负责人（与项目经理不为同一人）具备以下能力，每满足1项得2分，本项最高得6分：</w:t>
            </w:r>
          </w:p>
          <w:p w14:paraId="6AA1FFDE">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（1）系统规划与管理师（高级）；</w:t>
            </w:r>
          </w:p>
          <w:p w14:paraId="50D238EC">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（2）注册信息安全工程师；</w:t>
            </w:r>
          </w:p>
          <w:p w14:paraId="364C8CEE">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（3）大数据分析师（高级）。</w:t>
            </w:r>
          </w:p>
          <w:p w14:paraId="4F223635">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注：响应文件中须提供相关证书扫描件和技术负责人开标前6个月内任意1个月供应商为其缴纳的社保缴纳证明材料（社保管理单位出具）并加盖供应商公章。</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053E8390">
            <w:pPr>
              <w:keepNext w:val="0"/>
              <w:keepLines w:val="0"/>
              <w:pageBreakBefore w:val="0"/>
              <w:shd w:val="clear" w:color="auto" w:fill="auto"/>
              <w:kinsoku/>
              <w:wordWrap/>
              <w:overflowPunct/>
              <w:topLinePunct w:val="0"/>
              <w:autoSpaceDE w:val="0"/>
              <w:autoSpaceDN w:val="0"/>
              <w:bidi w:val="0"/>
              <w:adjustRightInd/>
              <w:snapToGrid/>
              <w:spacing w:line="420" w:lineRule="exact"/>
              <w:ind w:firstLine="0" w:firstLineChars="0"/>
              <w:jc w:val="center"/>
              <w:textAlignment w:val="auto"/>
              <w:rPr>
                <w:rFonts w:hint="eastAsia" w:ascii="宋体" w:hAnsi="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r>
      <w:tr w14:paraId="3F6D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center"/>
          </w:tcPr>
          <w:p w14:paraId="6350F3AE">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5、项目团队（4.5分）</w:t>
            </w:r>
          </w:p>
          <w:p w14:paraId="1401AFF1">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针对本项目投入的项目团队人员（项目经理、技术负责人除外）具有系统分析师的每提供1个得1.5分，最高得1.5分；具有系统规划与管理师的每提供1个得1.5分，最高得1.5分；具有大数据分析师的每提供1个得1.5分，最高得1.5分。本项最高得4.5分。</w:t>
            </w:r>
          </w:p>
          <w:p w14:paraId="78FAAAE1">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6B0B1C5A">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（1）响应文件中须提供相关证书扫描件和项目团队人员开标前6个月内任意1个月供应商为其缴纳的社保缴纳证明材料（社保管理单位出具）并加盖供应商公章。</w:t>
            </w:r>
          </w:p>
          <w:p w14:paraId="3B3DBC61">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（2）项目团队中若一人同时具有多项证书，不重复计分。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44BFC551">
            <w:pPr>
              <w:keepNext w:val="0"/>
              <w:keepLines w:val="0"/>
              <w:pageBreakBefore w:val="0"/>
              <w:shd w:val="clear" w:color="auto" w:fill="auto"/>
              <w:kinsoku/>
              <w:wordWrap/>
              <w:overflowPunct/>
              <w:topLinePunct w:val="0"/>
              <w:autoSpaceDE w:val="0"/>
              <w:autoSpaceDN w:val="0"/>
              <w:bidi w:val="0"/>
              <w:adjustRightInd/>
              <w:snapToGrid/>
              <w:spacing w:line="420" w:lineRule="exact"/>
              <w:ind w:firstLine="0" w:firstLineChars="0"/>
              <w:jc w:val="center"/>
              <w:textAlignment w:val="auto"/>
              <w:rPr>
                <w:rFonts w:hint="eastAsia" w:ascii="宋体" w:hAnsi="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4.5分</w:t>
            </w:r>
          </w:p>
        </w:tc>
      </w:tr>
      <w:tr w14:paraId="5EDD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708DC822">
            <w:pPr>
              <w:keepNext w:val="0"/>
              <w:keepLines w:val="0"/>
              <w:pageBreakBefore w:val="0"/>
              <w:widowControl w:val="0"/>
              <w:shd w:val="clear" w:color="auto" w:fill="auto"/>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二、技术部分</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60</w:t>
            </w:r>
            <w:r>
              <w:rPr>
                <w:rFonts w:hint="eastAsia" w:ascii="宋体" w:hAnsi="宋体" w:eastAsia="宋体" w:cs="宋体"/>
                <w:b/>
                <w:bCs/>
                <w:color w:val="auto"/>
                <w:sz w:val="21"/>
                <w:szCs w:val="21"/>
                <w:highlight w:val="none"/>
              </w:rPr>
              <w:t>分</w:t>
            </w:r>
            <w:r>
              <w:rPr>
                <w:rFonts w:hint="eastAsia" w:ascii="宋体" w:hAnsi="宋体" w:cs="宋体"/>
                <w:b/>
                <w:bCs/>
                <w:color w:val="auto"/>
                <w:sz w:val="21"/>
                <w:szCs w:val="21"/>
                <w:highlight w:val="none"/>
                <w:lang w:eastAsia="zh-CN"/>
              </w:rPr>
              <w:t>）</w:t>
            </w:r>
          </w:p>
        </w:tc>
      </w:tr>
      <w:tr w14:paraId="3F02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center"/>
          </w:tcPr>
          <w:p w14:paraId="42E50593">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1、项目现状与需求分析（6分）</w:t>
            </w:r>
          </w:p>
          <w:p w14:paraId="5804F0BC">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根据供应商针对本项目提供的项目现状及需求分析进行评价,包括但不限于以下核心内容：</w:t>
            </w:r>
          </w:p>
          <w:p w14:paraId="374CEE1C">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①建设背景；</w:t>
            </w:r>
          </w:p>
          <w:p w14:paraId="6D62AEED">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②现状分析；</w:t>
            </w:r>
          </w:p>
          <w:p w14:paraId="007F6E98">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③需求分析。</w:t>
            </w:r>
          </w:p>
          <w:p w14:paraId="6BF3539F">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w:t>
            </w:r>
          </w:p>
          <w:p w14:paraId="0A5595B4">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以上内容中缺少1项内容扣2分（其中“项”指上述条款中①②③条内容）。内容存在缺陷扣1分，内容存在偏差扣0.5分。</w:t>
            </w:r>
          </w:p>
          <w:p w14:paraId="55BE90B4">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“内容存在缺陷”是指生搬硬造；或引用标准错误；或表述错误；或内容不适用项目实际情况；或对采购需求理解混乱；或内容凭空编造、存在逻辑漏洞。</w:t>
            </w:r>
          </w:p>
          <w:p w14:paraId="58B1D425">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28AD5DEB">
            <w:pPr>
              <w:pStyle w:val="16"/>
              <w:tabs>
                <w:tab w:val="left" w:pos="600"/>
              </w:tabs>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分</w:t>
            </w:r>
          </w:p>
        </w:tc>
      </w:tr>
      <w:tr w14:paraId="12C4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center"/>
          </w:tcPr>
          <w:p w14:paraId="7E2A419C">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2、总体技术方案（14分）</w:t>
            </w:r>
          </w:p>
          <w:p w14:paraId="56A4C9BB">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根据供应商针对本项目提供的总体技术方案进行评价，包括但不限于以下等核心内容：</w:t>
            </w:r>
          </w:p>
          <w:p w14:paraId="210498BB">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①计划与准备；</w:t>
            </w:r>
          </w:p>
          <w:p w14:paraId="0E622C82">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②风险辨识；</w:t>
            </w:r>
          </w:p>
          <w:p w14:paraId="24F79D54">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③风险分析；</w:t>
            </w:r>
          </w:p>
          <w:p w14:paraId="2C7E3BF9">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④风险评价；</w:t>
            </w:r>
          </w:p>
          <w:p w14:paraId="7368BAE1">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⑤风险管控建议；</w:t>
            </w:r>
          </w:p>
          <w:p w14:paraId="42E2FCF1">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⑥评估成果；</w:t>
            </w:r>
          </w:p>
          <w:p w14:paraId="2E19E5A6">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⑦风险评估指标体系。</w:t>
            </w:r>
          </w:p>
          <w:p w14:paraId="0012FF63">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w:t>
            </w:r>
          </w:p>
          <w:p w14:paraId="4E85F697">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以上内容中缺少1项内容扣2分（其中“项”指上述条款中①②③④⑤⑥⑦条内容）。内容存在缺陷扣1分，内容存在偏差扣0.5分。</w:t>
            </w:r>
          </w:p>
          <w:p w14:paraId="63213F06">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“内容存在缺陷”是指生搬硬造；或引用标准错误；或表述错误；或内容不适用项目实际情况；或对采购需求理解混乱；或内容凭空编造、存在逻辑漏洞。</w:t>
            </w:r>
          </w:p>
          <w:p w14:paraId="3499F65A">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6086620F">
            <w:pPr>
              <w:pStyle w:val="16"/>
              <w:tabs>
                <w:tab w:val="left" w:pos="600"/>
              </w:tabs>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r>
              <w:rPr>
                <w:rFonts w:hint="default" w:ascii="宋体" w:hAnsi="宋体" w:eastAsia="宋体" w:cs="宋体"/>
                <w:color w:val="auto"/>
                <w:sz w:val="21"/>
                <w:szCs w:val="21"/>
                <w:highlight w:val="none"/>
                <w:lang w:val="en-US" w:eastAsia="zh-CN"/>
              </w:rPr>
              <w:t>分</w:t>
            </w:r>
          </w:p>
        </w:tc>
      </w:tr>
      <w:tr w14:paraId="6671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center"/>
          </w:tcPr>
          <w:p w14:paraId="720D650A">
            <w:pPr>
              <w:pStyle w:val="16"/>
              <w:tabs>
                <w:tab w:val="left" w:pos="600"/>
              </w:tabs>
              <w:spacing w:line="40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3、风险评估实施流程方案（12分）</w:t>
            </w:r>
          </w:p>
          <w:p w14:paraId="1090D2D2">
            <w:pPr>
              <w:pStyle w:val="16"/>
              <w:tabs>
                <w:tab w:val="left" w:pos="600"/>
              </w:tabs>
              <w:spacing w:line="40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根据供应商针对本项目提供的风险评估实施流程方案进行评价，包括但不限于以下等核心内容：</w:t>
            </w:r>
          </w:p>
          <w:p w14:paraId="5F69BF0E">
            <w:pPr>
              <w:pStyle w:val="16"/>
              <w:tabs>
                <w:tab w:val="left" w:pos="600"/>
              </w:tabs>
              <w:spacing w:line="40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①桥隧风险评估实施流程；</w:t>
            </w:r>
          </w:p>
          <w:p w14:paraId="45D7D46F">
            <w:pPr>
              <w:pStyle w:val="16"/>
              <w:tabs>
                <w:tab w:val="left" w:pos="600"/>
              </w:tabs>
              <w:spacing w:line="40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②排水风险评估实施流程；</w:t>
            </w:r>
          </w:p>
          <w:p w14:paraId="738F3A95">
            <w:pPr>
              <w:pStyle w:val="16"/>
              <w:tabs>
                <w:tab w:val="left" w:pos="600"/>
              </w:tabs>
              <w:spacing w:line="40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③燃气风险评估实施流程；</w:t>
            </w:r>
          </w:p>
          <w:p w14:paraId="0881752D">
            <w:pPr>
              <w:pStyle w:val="16"/>
              <w:tabs>
                <w:tab w:val="left" w:pos="600"/>
              </w:tabs>
              <w:spacing w:line="40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④供水风险评估实施流程；</w:t>
            </w:r>
          </w:p>
          <w:p w14:paraId="0D7FC984">
            <w:pPr>
              <w:pStyle w:val="16"/>
              <w:tabs>
                <w:tab w:val="left" w:pos="600"/>
              </w:tabs>
              <w:spacing w:line="40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⑤供热风险评估实施流程；</w:t>
            </w:r>
          </w:p>
          <w:p w14:paraId="7CA9A1C9">
            <w:pPr>
              <w:pStyle w:val="16"/>
              <w:tabs>
                <w:tab w:val="left" w:pos="600"/>
              </w:tabs>
              <w:spacing w:line="40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⑥综合管廊风险评估实施流程。</w:t>
            </w:r>
          </w:p>
          <w:p w14:paraId="7944E2D8">
            <w:pPr>
              <w:pStyle w:val="16"/>
              <w:tabs>
                <w:tab w:val="left" w:pos="600"/>
              </w:tabs>
              <w:spacing w:line="40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w:t>
            </w:r>
          </w:p>
          <w:p w14:paraId="2F76515B">
            <w:pPr>
              <w:pStyle w:val="16"/>
              <w:tabs>
                <w:tab w:val="left" w:pos="600"/>
              </w:tabs>
              <w:spacing w:line="40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以上内容中缺少1项内容扣2分（其中“项”指上述条款中①②③④⑤⑥条内容）。内容存在缺陷扣1分，内容存在偏差扣0.5分。</w:t>
            </w:r>
          </w:p>
          <w:p w14:paraId="1041E3F4">
            <w:pPr>
              <w:pStyle w:val="16"/>
              <w:tabs>
                <w:tab w:val="left" w:pos="600"/>
              </w:tabs>
              <w:spacing w:line="40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“内容存在缺陷”是指生搬硬造；或引用标准错误；或表述错误；或内容不适用项目实际情况；或对采购需求理解混乱；或内容凭空编造、存在逻辑漏洞。</w:t>
            </w:r>
          </w:p>
          <w:p w14:paraId="0132A5D4">
            <w:pPr>
              <w:pStyle w:val="16"/>
              <w:tabs>
                <w:tab w:val="left" w:pos="600"/>
              </w:tabs>
              <w:spacing w:line="400" w:lineRule="exact"/>
              <w:jc w:val="lef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189F0186">
            <w:pPr>
              <w:pStyle w:val="16"/>
              <w:tabs>
                <w:tab w:val="left" w:pos="600"/>
              </w:tabs>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default" w:ascii="宋体" w:hAnsi="宋体" w:eastAsia="宋体" w:cs="宋体"/>
                <w:color w:val="auto"/>
                <w:sz w:val="21"/>
                <w:szCs w:val="21"/>
                <w:highlight w:val="none"/>
                <w:lang w:val="en-US" w:eastAsia="zh-CN"/>
              </w:rPr>
              <w:t>分</w:t>
            </w:r>
          </w:p>
        </w:tc>
      </w:tr>
      <w:tr w14:paraId="0DBC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center"/>
          </w:tcPr>
          <w:p w14:paraId="5BF4F3C3">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4、进度计划与保证措施（4分）</w:t>
            </w:r>
          </w:p>
          <w:p w14:paraId="7F9D09E2">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根据供应商针对本项目提供的进度计划与保证措施进行评价，包括但不限于以下等核心内容：</w:t>
            </w:r>
          </w:p>
          <w:p w14:paraId="734076FB">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①工作进度计划；</w:t>
            </w:r>
          </w:p>
          <w:p w14:paraId="6EFDF435">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②进度保证措施。</w:t>
            </w:r>
          </w:p>
          <w:p w14:paraId="2CD950B7">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w:t>
            </w:r>
          </w:p>
          <w:p w14:paraId="45298CAB">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以上内容中缺少1项内容扣2分（其中“项”指上述条款中①②条内容）。内容存在缺陷扣1分，内容存在偏差扣0.5分。</w:t>
            </w:r>
          </w:p>
          <w:p w14:paraId="0AD2E35F">
            <w:pPr>
              <w:pStyle w:val="16"/>
              <w:tabs>
                <w:tab w:val="left" w:pos="600"/>
              </w:tabs>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“内容存在缺陷”是指生搬硬造；或引用标准错误；或表述错误；或内容不适用项目实际情况；或对采购需求理解混乱；或内容凭空编造、存在逻辑漏洞。</w:t>
            </w:r>
          </w:p>
          <w:p w14:paraId="791EA0C2">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6EF27622">
            <w:pPr>
              <w:pStyle w:val="16"/>
              <w:tabs>
                <w:tab w:val="left" w:pos="600"/>
              </w:tabs>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分</w:t>
            </w:r>
          </w:p>
        </w:tc>
      </w:tr>
      <w:tr w14:paraId="0263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top"/>
          </w:tcPr>
          <w:p w14:paraId="1422D598">
            <w:pPr>
              <w:pStyle w:val="16"/>
              <w:tabs>
                <w:tab w:val="left" w:pos="600"/>
              </w:tabs>
              <w:spacing w:line="400" w:lineRule="exact"/>
              <w:ind w:left="0" w:leftChars="0"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5、质量管理体系与保证措施（6分）</w:t>
            </w:r>
          </w:p>
          <w:p w14:paraId="6D69393F">
            <w:pPr>
              <w:pStyle w:val="16"/>
              <w:tabs>
                <w:tab w:val="left" w:pos="600"/>
              </w:tabs>
              <w:spacing w:line="400" w:lineRule="exact"/>
              <w:ind w:left="0" w:leftChars="0"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根据供应商针对本项目提供的质量管理体系与保证措施进行评价，包括但不限于以下等核心内容：</w:t>
            </w:r>
          </w:p>
          <w:p w14:paraId="664A2401">
            <w:pPr>
              <w:pStyle w:val="16"/>
              <w:tabs>
                <w:tab w:val="left" w:pos="600"/>
              </w:tabs>
              <w:spacing w:line="400" w:lineRule="exact"/>
              <w:ind w:left="0" w:leftChars="0"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①质量管理体系；</w:t>
            </w:r>
          </w:p>
          <w:p w14:paraId="33A1E6A7">
            <w:pPr>
              <w:pStyle w:val="16"/>
              <w:tabs>
                <w:tab w:val="left" w:pos="600"/>
              </w:tabs>
              <w:spacing w:line="400" w:lineRule="exact"/>
              <w:ind w:left="0" w:leftChars="0"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②质量保证措施；</w:t>
            </w:r>
          </w:p>
          <w:p w14:paraId="393FFBDF">
            <w:pPr>
              <w:pStyle w:val="16"/>
              <w:tabs>
                <w:tab w:val="left" w:pos="600"/>
              </w:tabs>
              <w:spacing w:line="400" w:lineRule="exact"/>
              <w:ind w:left="0" w:leftChars="0"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③安全保障措施。</w:t>
            </w:r>
          </w:p>
          <w:p w14:paraId="2FDAFBA8">
            <w:pPr>
              <w:pStyle w:val="16"/>
              <w:tabs>
                <w:tab w:val="left" w:pos="600"/>
              </w:tabs>
              <w:spacing w:line="400" w:lineRule="exact"/>
              <w:ind w:left="0" w:leftChars="0"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w:t>
            </w:r>
          </w:p>
          <w:p w14:paraId="509031C5">
            <w:pPr>
              <w:pStyle w:val="16"/>
              <w:tabs>
                <w:tab w:val="left" w:pos="600"/>
              </w:tabs>
              <w:spacing w:line="400" w:lineRule="exact"/>
              <w:ind w:left="0" w:leftChars="0"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以上内容中缺少1项内容扣2分（其中“项”指上述条款中①②③条内容）。内容存在缺陷扣1分，内容存在偏差扣0.5分。</w:t>
            </w:r>
          </w:p>
          <w:p w14:paraId="78A618E2">
            <w:pPr>
              <w:pStyle w:val="16"/>
              <w:tabs>
                <w:tab w:val="left" w:pos="600"/>
              </w:tabs>
              <w:spacing w:line="400" w:lineRule="exact"/>
              <w:ind w:left="0" w:leftChars="0"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“内容存在缺陷”是指生搬硬造；或引用标准错误；或表述错误；或内容不适用项目实际情况；或对采购需求理解混乱；或内容凭空编造、存在逻辑漏洞。</w:t>
            </w:r>
          </w:p>
          <w:p w14:paraId="12D4A4D0">
            <w:pPr>
              <w:pStyle w:val="16"/>
              <w:tabs>
                <w:tab w:val="left" w:pos="600"/>
              </w:tabs>
              <w:spacing w:line="400" w:lineRule="exact"/>
              <w:ind w:left="0" w:leftChars="0" w:firstLine="420" w:firstLineChars="200"/>
              <w:jc w:val="lef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54D20163">
            <w:pPr>
              <w:pStyle w:val="16"/>
              <w:tabs>
                <w:tab w:val="left" w:pos="600"/>
              </w:tabs>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分</w:t>
            </w:r>
          </w:p>
        </w:tc>
      </w:tr>
      <w:tr w14:paraId="3E76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top"/>
          </w:tcPr>
          <w:p w14:paraId="08510B86">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6、项目风险管控及应急预案（8分）</w:t>
            </w:r>
          </w:p>
          <w:p w14:paraId="58E4AF2C">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根据供应商针对本项目提供的项目风险管控及应急预案进行评价，包括但不限于以下等核心内容：</w:t>
            </w:r>
          </w:p>
          <w:p w14:paraId="408274FD">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①项目风险识别；</w:t>
            </w:r>
          </w:p>
          <w:p w14:paraId="4940F446">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②风险量化说明；</w:t>
            </w:r>
          </w:p>
          <w:p w14:paraId="0F397914">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③风险对策研究及风险对策；</w:t>
            </w:r>
          </w:p>
          <w:p w14:paraId="25D6190B">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④应急预案措施。</w:t>
            </w:r>
          </w:p>
          <w:p w14:paraId="1661120C">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p>
          <w:p w14:paraId="4ADB944C">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以上内容中缺少1项内容扣2分（其中“项”指上述条款中①②③④条内容）。内容存在缺陷扣1分，内容存在偏差扣0.5分。</w:t>
            </w:r>
          </w:p>
          <w:p w14:paraId="7251C2FF">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“内容存在缺陷”是指生搬硬造；或引用标准错误；或表述错误；或内容不适用项目实际情况；或对采购需求理解混乱；或内容凭空编造、存在逻辑漏洞。</w:t>
            </w:r>
          </w:p>
          <w:p w14:paraId="308F9ABF">
            <w:pPr>
              <w:pStyle w:val="16"/>
              <w:tabs>
                <w:tab w:val="left" w:pos="600"/>
              </w:tabs>
              <w:spacing w:line="400" w:lineRule="exact"/>
              <w:ind w:left="0" w:leftChars="0"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774126E6">
            <w:pPr>
              <w:pStyle w:val="16"/>
              <w:tabs>
                <w:tab w:val="left" w:pos="600"/>
              </w:tabs>
              <w:spacing w:line="4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8分</w:t>
            </w:r>
          </w:p>
        </w:tc>
      </w:tr>
      <w:tr w14:paraId="632A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top"/>
          </w:tcPr>
          <w:p w14:paraId="593C1A2A">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7、项目团队配置（6分）</w:t>
            </w:r>
          </w:p>
          <w:p w14:paraId="67A10A1A">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根据供应商针对本项目提供的项目团队配置进行评价，包括但不限于以下等核心内容：</w:t>
            </w:r>
          </w:p>
          <w:p w14:paraId="185C6492">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①人员分布计划；</w:t>
            </w:r>
          </w:p>
          <w:p w14:paraId="6496AAC3">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②岗位职责分工情况；</w:t>
            </w:r>
          </w:p>
          <w:p w14:paraId="37D3511D">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③工作时间安排。</w:t>
            </w:r>
          </w:p>
          <w:p w14:paraId="5B651D7D">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p>
          <w:p w14:paraId="1FDE01F0">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以上内容中缺少1项内容扣2分（其中“项”指上述条款中①②③条内容）。内容存在缺陷扣1分，内容存在偏差扣0.5分。</w:t>
            </w:r>
          </w:p>
          <w:p w14:paraId="01914F29">
            <w:pPr>
              <w:pStyle w:val="16"/>
              <w:tabs>
                <w:tab w:val="left" w:pos="600"/>
              </w:tabs>
              <w:spacing w:line="400" w:lineRule="exact"/>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“内容存在缺陷”是指生搬硬造；或引用标准错误；或表述错误；或内容不适用项目实际情况；或对采购需求理解混乱；或内容凭空编造、存在逻辑漏洞。</w:t>
            </w:r>
          </w:p>
          <w:p w14:paraId="444E0492">
            <w:pPr>
              <w:pStyle w:val="16"/>
              <w:tabs>
                <w:tab w:val="left" w:pos="600"/>
              </w:tabs>
              <w:spacing w:line="400" w:lineRule="exact"/>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4B7DB89A">
            <w:pPr>
              <w:pStyle w:val="16"/>
              <w:tabs>
                <w:tab w:val="left" w:pos="600"/>
              </w:tabs>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分</w:t>
            </w:r>
          </w:p>
        </w:tc>
      </w:tr>
      <w:tr w14:paraId="6995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center"/>
          </w:tcPr>
          <w:p w14:paraId="7223F044">
            <w:pPr>
              <w:pStyle w:val="16"/>
              <w:tabs>
                <w:tab w:val="left" w:pos="600"/>
              </w:tabs>
              <w:spacing w:line="40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8、后续服务承诺及合理化建议（4分）</w:t>
            </w:r>
          </w:p>
          <w:p w14:paraId="6BB7174F">
            <w:pPr>
              <w:pStyle w:val="16"/>
              <w:tabs>
                <w:tab w:val="left" w:pos="600"/>
              </w:tabs>
              <w:spacing w:line="40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根据供应商针对本项目提供的后续服务承诺及合理化建议进行评价，包括但不限于以下等核心内容：</w:t>
            </w:r>
          </w:p>
          <w:p w14:paraId="514E8E21">
            <w:pPr>
              <w:pStyle w:val="16"/>
              <w:tabs>
                <w:tab w:val="left" w:pos="600"/>
              </w:tabs>
              <w:spacing w:line="40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①后续服务方案及承诺；</w:t>
            </w:r>
          </w:p>
          <w:p w14:paraId="0639102F">
            <w:pPr>
              <w:pStyle w:val="16"/>
              <w:tabs>
                <w:tab w:val="left" w:pos="600"/>
              </w:tabs>
              <w:spacing w:line="40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②提高效率、服务质量、节约成本的合理化建议。</w:t>
            </w:r>
          </w:p>
          <w:p w14:paraId="5F47D919">
            <w:pPr>
              <w:pStyle w:val="16"/>
              <w:tabs>
                <w:tab w:val="left" w:pos="600"/>
              </w:tabs>
              <w:spacing w:line="40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p>
          <w:p w14:paraId="2CF0145E">
            <w:pPr>
              <w:pStyle w:val="16"/>
              <w:tabs>
                <w:tab w:val="left" w:pos="600"/>
              </w:tabs>
              <w:spacing w:line="40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以上内容中缺少1项内容扣2分（其中“项”指上述条款中①②条内容）。内容存在缺陷扣1分，内容存在偏差扣0.5分。</w:t>
            </w:r>
          </w:p>
          <w:p w14:paraId="0A7E1A82">
            <w:pPr>
              <w:pStyle w:val="16"/>
              <w:tabs>
                <w:tab w:val="left" w:pos="600"/>
              </w:tabs>
              <w:spacing w:line="40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“内容存在缺陷”是指生搬硬造；或引用标准错误；或表述错误；或内容不适用项目实际情况；或对采购需求理解混乱；或内容凭空编造、存在逻辑漏洞。</w:t>
            </w:r>
          </w:p>
          <w:p w14:paraId="00024C29">
            <w:pPr>
              <w:pStyle w:val="16"/>
              <w:tabs>
                <w:tab w:val="left" w:pos="600"/>
              </w:tabs>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7976BBB4">
            <w:pPr>
              <w:pStyle w:val="16"/>
              <w:tabs>
                <w:tab w:val="left" w:pos="600"/>
              </w:tabs>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分</w:t>
            </w:r>
          </w:p>
        </w:tc>
      </w:tr>
      <w:tr w14:paraId="316A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6B041AD5">
            <w:pPr>
              <w:keepNext w:val="0"/>
              <w:keepLines w:val="0"/>
              <w:pageBreakBefore w:val="0"/>
              <w:shd w:val="clear" w:color="auto" w:fill="auto"/>
              <w:kinsoku/>
              <w:wordWrap/>
              <w:overflowPunct/>
              <w:topLinePunct w:val="0"/>
              <w:autoSpaceDE w:val="0"/>
              <w:autoSpaceDN w:val="0"/>
              <w:bidi w:val="0"/>
              <w:adjustRightInd/>
              <w:snapToGrid/>
              <w:spacing w:line="420" w:lineRule="exact"/>
              <w:ind w:left="211" w:hanging="211" w:hanging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三、价格</w:t>
            </w:r>
            <w:r>
              <w:rPr>
                <w:rFonts w:hint="eastAsia" w:ascii="宋体" w:hAnsi="宋体" w:eastAsia="宋体" w:cs="宋体"/>
                <w:b/>
                <w:bCs/>
                <w:color w:val="auto"/>
                <w:sz w:val="21"/>
                <w:szCs w:val="21"/>
                <w:highlight w:val="none"/>
                <w:lang w:eastAsia="zh-CN"/>
              </w:rPr>
              <w:t>部分（</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0分</w:t>
            </w:r>
            <w:r>
              <w:rPr>
                <w:rFonts w:hint="eastAsia" w:ascii="宋体" w:hAnsi="宋体" w:eastAsia="宋体" w:cs="宋体"/>
                <w:b/>
                <w:bCs/>
                <w:color w:val="auto"/>
                <w:sz w:val="21"/>
                <w:szCs w:val="21"/>
                <w:highlight w:val="none"/>
                <w:lang w:eastAsia="zh-CN"/>
              </w:rPr>
              <w:t>）</w:t>
            </w:r>
          </w:p>
        </w:tc>
      </w:tr>
      <w:tr w14:paraId="4F1C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0" w:hRule="atLeast"/>
          <w:jc w:val="center"/>
        </w:trPr>
        <w:tc>
          <w:tcPr>
            <w:tcW w:w="4473" w:type="pct"/>
            <w:tcBorders>
              <w:top w:val="single" w:color="auto" w:sz="4" w:space="0"/>
              <w:left w:val="single" w:color="auto" w:sz="4" w:space="0"/>
              <w:bottom w:val="single" w:color="auto" w:sz="4" w:space="0"/>
              <w:right w:val="single" w:color="auto" w:sz="4" w:space="0"/>
            </w:tcBorders>
            <w:noWrap w:val="0"/>
            <w:vAlign w:val="center"/>
          </w:tcPr>
          <w:p w14:paraId="5D4ED89A">
            <w:pPr>
              <w:keepNext w:val="0"/>
              <w:keepLines w:val="0"/>
              <w:pageBreakBefore w:val="0"/>
              <w:widowControl/>
              <w:shd w:val="clear" w:color="auto" w:fill="auto"/>
              <w:kinsoku/>
              <w:wordWrap/>
              <w:overflowPunct/>
              <w:topLinePunct w:val="0"/>
              <w:autoSpaceDE w:val="0"/>
              <w:autoSpaceDN w:val="0"/>
              <w:bidi w:val="0"/>
              <w:adjustRightInd/>
              <w:snapToGrid/>
              <w:spacing w:line="400" w:lineRule="exact"/>
              <w:ind w:firstLine="442"/>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以所有有效投标</w:t>
            </w:r>
            <w:r>
              <w:rPr>
                <w:rFonts w:hint="eastAsia" w:ascii="宋体" w:hAnsi="宋体" w:eastAsia="宋体" w:cs="宋体"/>
                <w:color w:val="auto"/>
                <w:spacing w:val="6"/>
                <w:sz w:val="21"/>
                <w:szCs w:val="21"/>
                <w:highlight w:val="none"/>
                <w:lang w:eastAsia="zh-CN"/>
              </w:rPr>
              <w:t>报价</w:t>
            </w:r>
            <w:r>
              <w:rPr>
                <w:rFonts w:hint="eastAsia" w:ascii="宋体" w:hAnsi="宋体" w:eastAsia="宋体" w:cs="宋体"/>
                <w:color w:val="auto"/>
                <w:spacing w:val="6"/>
                <w:sz w:val="21"/>
                <w:szCs w:val="21"/>
                <w:highlight w:val="none"/>
              </w:rPr>
              <w:t>的最低报价为评标基准价，其价格分最高</w:t>
            </w:r>
            <w:r>
              <w:rPr>
                <w:rFonts w:hint="eastAsia" w:ascii="宋体" w:hAnsi="宋体" w:eastAsia="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0分。其他投标人的报价得分依据下列公式计算：</w:t>
            </w:r>
          </w:p>
          <w:p w14:paraId="689975F1">
            <w:pPr>
              <w:keepNext w:val="0"/>
              <w:keepLines w:val="0"/>
              <w:pageBreakBefore w:val="0"/>
              <w:widowControl/>
              <w:shd w:val="clear" w:color="auto" w:fill="auto"/>
              <w:kinsoku/>
              <w:wordWrap/>
              <w:overflowPunct/>
              <w:topLinePunct w:val="0"/>
              <w:autoSpaceDE w:val="0"/>
              <w:autoSpaceDN w:val="0"/>
              <w:bidi w:val="0"/>
              <w:adjustRightInd/>
              <w:snapToGrid/>
              <w:spacing w:line="400" w:lineRule="exact"/>
              <w:ind w:firstLine="442"/>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投标报价得分=（评标基准价/投标报价）×</w:t>
            </w:r>
            <w:r>
              <w:rPr>
                <w:rFonts w:hint="eastAsia" w:ascii="宋体" w:hAnsi="宋体" w:cs="宋体"/>
                <w:color w:val="auto"/>
                <w:spacing w:val="6"/>
                <w:sz w:val="21"/>
                <w:szCs w:val="21"/>
                <w:highlight w:val="none"/>
                <w:lang w:val="en-US" w:eastAsia="zh-CN"/>
              </w:rPr>
              <w:t>10</w:t>
            </w:r>
            <w:r>
              <w:rPr>
                <w:rFonts w:hint="eastAsia" w:ascii="宋体" w:hAnsi="宋体" w:eastAsia="宋体" w:cs="宋体"/>
                <w:color w:val="auto"/>
                <w:spacing w:val="6"/>
                <w:sz w:val="21"/>
                <w:szCs w:val="21"/>
                <w:highlight w:val="none"/>
              </w:rPr>
              <w:t>。</w:t>
            </w:r>
          </w:p>
          <w:p w14:paraId="1E87BD4C">
            <w:pPr>
              <w:keepNext w:val="0"/>
              <w:keepLines w:val="0"/>
              <w:pageBreakBefore w:val="0"/>
              <w:widowControl/>
              <w:shd w:val="clear" w:color="auto" w:fill="auto"/>
              <w:kinsoku/>
              <w:wordWrap/>
              <w:overflowPunct/>
              <w:topLinePunct w:val="0"/>
              <w:autoSpaceDE w:val="0"/>
              <w:autoSpaceDN w:val="0"/>
              <w:bidi w:val="0"/>
              <w:adjustRightInd/>
              <w:snapToGrid/>
              <w:spacing w:line="400" w:lineRule="exact"/>
              <w:ind w:firstLine="442"/>
              <w:textAlignment w:val="auto"/>
              <w:rPr>
                <w:rFonts w:hint="eastAsia" w:ascii="宋体" w:hAnsi="宋体" w:eastAsia="宋体" w:cs="宋体"/>
                <w:b w:val="0"/>
                <w:bCs w:val="0"/>
                <w:color w:val="auto"/>
                <w:spacing w:val="6"/>
                <w:sz w:val="21"/>
                <w:szCs w:val="21"/>
                <w:highlight w:val="none"/>
                <w:lang w:val="en-US" w:eastAsia="zh-CN"/>
              </w:rPr>
            </w:pPr>
            <w:r>
              <w:rPr>
                <w:rFonts w:hint="eastAsia" w:ascii="宋体" w:hAnsi="宋体" w:eastAsia="宋体" w:cs="宋体"/>
                <w:b w:val="0"/>
                <w:bCs w:val="0"/>
                <w:color w:val="auto"/>
                <w:spacing w:val="6"/>
                <w:sz w:val="21"/>
                <w:szCs w:val="21"/>
                <w:highlight w:val="none"/>
                <w:lang w:val="en-US" w:eastAsia="zh-CN"/>
              </w:rPr>
              <w:t>注：</w:t>
            </w:r>
          </w:p>
          <w:p w14:paraId="23727370">
            <w:pPr>
              <w:keepNext w:val="0"/>
              <w:keepLines w:val="0"/>
              <w:pageBreakBefore w:val="0"/>
              <w:widowControl/>
              <w:shd w:val="clear" w:color="auto" w:fill="auto"/>
              <w:kinsoku/>
              <w:wordWrap/>
              <w:overflowPunct/>
              <w:topLinePunct w:val="0"/>
              <w:autoSpaceDE w:val="0"/>
              <w:autoSpaceDN w:val="0"/>
              <w:bidi w:val="0"/>
              <w:adjustRightInd/>
              <w:snapToGrid/>
              <w:spacing w:line="400" w:lineRule="exact"/>
              <w:ind w:firstLine="442"/>
              <w:textAlignment w:val="auto"/>
              <w:rPr>
                <w:rFonts w:hint="eastAsia" w:ascii="宋体" w:hAnsi="宋体" w:eastAsia="宋体" w:cs="宋体"/>
                <w:b w:val="0"/>
                <w:bCs w:val="0"/>
                <w:color w:val="auto"/>
                <w:spacing w:val="6"/>
                <w:sz w:val="21"/>
                <w:szCs w:val="21"/>
                <w:highlight w:val="none"/>
                <w:lang w:val="en-US" w:eastAsia="zh-CN"/>
              </w:rPr>
            </w:pPr>
            <w:r>
              <w:rPr>
                <w:rFonts w:hint="eastAsia" w:ascii="宋体" w:hAnsi="宋体" w:eastAsia="宋体" w:cs="宋体"/>
                <w:b w:val="0"/>
                <w:bCs w:val="0"/>
                <w:color w:val="auto"/>
                <w:spacing w:val="6"/>
                <w:sz w:val="21"/>
                <w:szCs w:val="21"/>
                <w:highlight w:val="none"/>
                <w:lang w:val="en-US" w:eastAsia="zh-CN"/>
              </w:rPr>
              <w:t>1、因落实政府采购政策进行价格调整的，以调整后的价格计算评标基准价和投标人报价。</w:t>
            </w:r>
          </w:p>
          <w:p w14:paraId="6C768CEE">
            <w:pPr>
              <w:keepNext w:val="0"/>
              <w:keepLines w:val="0"/>
              <w:pageBreakBefore w:val="0"/>
              <w:widowControl/>
              <w:shd w:val="clear" w:color="auto" w:fill="auto"/>
              <w:kinsoku/>
              <w:wordWrap/>
              <w:overflowPunct/>
              <w:topLinePunct w:val="0"/>
              <w:autoSpaceDE w:val="0"/>
              <w:autoSpaceDN w:val="0"/>
              <w:bidi w:val="0"/>
              <w:adjustRightInd/>
              <w:snapToGrid/>
              <w:spacing w:line="400" w:lineRule="exact"/>
              <w:ind w:firstLine="442"/>
              <w:textAlignment w:val="auto"/>
              <w:rPr>
                <w:rFonts w:hint="eastAsia" w:ascii="宋体" w:hAnsi="宋体" w:eastAsia="宋体" w:cs="宋体"/>
                <w:b w:val="0"/>
                <w:bCs w:val="0"/>
                <w:color w:val="auto"/>
                <w:spacing w:val="6"/>
                <w:sz w:val="21"/>
                <w:szCs w:val="21"/>
                <w:highlight w:val="none"/>
                <w:lang w:val="en-US" w:eastAsia="zh-CN"/>
              </w:rPr>
            </w:pPr>
            <w:r>
              <w:rPr>
                <w:rFonts w:hint="eastAsia" w:ascii="宋体" w:hAnsi="宋体" w:eastAsia="宋体" w:cs="宋体"/>
                <w:b w:val="0"/>
                <w:bCs w:val="0"/>
                <w:color w:val="auto"/>
                <w:spacing w:val="6"/>
                <w:sz w:val="21"/>
                <w:szCs w:val="21"/>
                <w:highlight w:val="none"/>
                <w:lang w:val="en-US" w:eastAsia="zh-CN"/>
              </w:rPr>
              <w:t>2、小微企业价格折扣：在本项目中满足采购需求的情况下，对属于小微企业、残疾人福利性单位、监狱企业单位的报价给予15％的扣除，用扣除后的价格参与评审；</w:t>
            </w:r>
          </w:p>
          <w:p w14:paraId="4CBD28F7">
            <w:pPr>
              <w:keepNext w:val="0"/>
              <w:keepLines w:val="0"/>
              <w:pageBreakBefore w:val="0"/>
              <w:widowControl/>
              <w:shd w:val="clear" w:color="auto" w:fill="auto"/>
              <w:kinsoku/>
              <w:wordWrap/>
              <w:overflowPunct/>
              <w:topLinePunct w:val="0"/>
              <w:autoSpaceDE w:val="0"/>
              <w:autoSpaceDN w:val="0"/>
              <w:bidi w:val="0"/>
              <w:adjustRightInd/>
              <w:snapToGrid/>
              <w:spacing w:line="400" w:lineRule="exact"/>
              <w:ind w:firstLine="442"/>
              <w:textAlignment w:val="auto"/>
              <w:rPr>
                <w:rFonts w:hint="eastAsia" w:ascii="宋体" w:hAnsi="宋体" w:eastAsia="宋体" w:cs="宋体"/>
                <w:b w:val="0"/>
                <w:bCs w:val="0"/>
                <w:color w:val="auto"/>
                <w:spacing w:val="6"/>
                <w:sz w:val="21"/>
                <w:szCs w:val="21"/>
                <w:highlight w:val="none"/>
                <w:lang w:val="en-US" w:eastAsia="zh-CN"/>
              </w:rPr>
            </w:pPr>
            <w:r>
              <w:rPr>
                <w:rFonts w:hint="eastAsia" w:ascii="宋体" w:hAnsi="宋体" w:eastAsia="宋体" w:cs="宋体"/>
                <w:b w:val="0"/>
                <w:bCs w:val="0"/>
                <w:color w:val="auto"/>
                <w:spacing w:val="6"/>
                <w:sz w:val="21"/>
                <w:szCs w:val="21"/>
                <w:highlight w:val="none"/>
                <w:lang w:val="en-US" w:eastAsia="zh-CN"/>
              </w:rPr>
              <w:t>3、联合体价格折扣：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6%的扣除，用扣除后的价格参与评审。</w:t>
            </w:r>
          </w:p>
          <w:p w14:paraId="5039E3F1">
            <w:pPr>
              <w:keepNext w:val="0"/>
              <w:keepLines w:val="0"/>
              <w:pageBreakBefore w:val="0"/>
              <w:widowControl/>
              <w:shd w:val="clear" w:color="auto" w:fill="auto"/>
              <w:kinsoku/>
              <w:wordWrap/>
              <w:overflowPunct/>
              <w:topLinePunct w:val="0"/>
              <w:autoSpaceDE w:val="0"/>
              <w:autoSpaceDN w:val="0"/>
              <w:bidi w:val="0"/>
              <w:adjustRightInd/>
              <w:snapToGrid/>
              <w:spacing w:line="400" w:lineRule="exact"/>
              <w:ind w:firstLine="442"/>
              <w:textAlignment w:val="auto"/>
              <w:rPr>
                <w:rFonts w:hint="eastAsia"/>
                <w:color w:val="auto"/>
                <w:highlight w:val="none"/>
              </w:rPr>
            </w:pPr>
            <w:r>
              <w:rPr>
                <w:rFonts w:hint="eastAsia" w:ascii="宋体" w:hAnsi="宋体" w:eastAsia="宋体" w:cs="宋体"/>
                <w:b w:val="0"/>
                <w:bCs w:val="0"/>
                <w:color w:val="auto"/>
                <w:spacing w:val="6"/>
                <w:sz w:val="21"/>
                <w:szCs w:val="21"/>
                <w:highlight w:val="none"/>
                <w:lang w:val="en-US" w:eastAsia="zh-CN"/>
              </w:rPr>
              <w:t>4、</w:t>
            </w:r>
            <w:r>
              <w:rPr>
                <w:rFonts w:hint="eastAsia" w:ascii="宋体" w:hAnsi="宋体" w:cs="宋体"/>
                <w:b w:val="0"/>
                <w:bCs w:val="0"/>
                <w:color w:val="auto"/>
                <w:spacing w:val="6"/>
                <w:sz w:val="21"/>
                <w:szCs w:val="21"/>
                <w:highlight w:val="none"/>
                <w:lang w:val="en-US" w:eastAsia="zh-CN"/>
              </w:rPr>
              <w:t>投标人</w:t>
            </w:r>
            <w:r>
              <w:rPr>
                <w:rFonts w:hint="eastAsia" w:ascii="宋体" w:hAnsi="宋体" w:eastAsia="宋体" w:cs="宋体"/>
                <w:b w:val="0"/>
                <w:bCs w:val="0"/>
                <w:color w:val="auto"/>
                <w:spacing w:val="6"/>
                <w:sz w:val="21"/>
                <w:szCs w:val="21"/>
                <w:highlight w:val="none"/>
                <w:lang w:val="en-US" w:eastAsia="zh-CN"/>
              </w:rPr>
              <w:t>既属残疾人福利性单位或监狱企业，又属于小型、微型企业的，不重复享受优惠政策。</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1E6A8A91">
            <w:pPr>
              <w:keepNext w:val="0"/>
              <w:keepLines w:val="0"/>
              <w:pageBreakBefore w:val="0"/>
              <w:shd w:val="clear" w:color="auto" w:fill="auto"/>
              <w:kinsoku/>
              <w:wordWrap/>
              <w:overflowPunct/>
              <w:topLinePunct w:val="0"/>
              <w:autoSpaceDE w:val="0"/>
              <w:autoSpaceDN w:val="0"/>
              <w:bidi w:val="0"/>
              <w:adjustRightInd/>
              <w:snapToGrid/>
              <w:spacing w:line="42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分</w:t>
            </w:r>
          </w:p>
        </w:tc>
      </w:tr>
    </w:tbl>
    <w:p w14:paraId="1E868E2F">
      <w:pPr>
        <w:pStyle w:val="12"/>
        <w:rPr>
          <w:rFonts w:hint="eastAsia" w:ascii="宋体" w:hAnsi="宋体" w:eastAsia="宋体" w:cs="宋体"/>
          <w:color w:val="auto"/>
          <w:sz w:val="21"/>
          <w:szCs w:val="21"/>
          <w:highlight w:val="none"/>
        </w:rPr>
      </w:pPr>
    </w:p>
    <w:p w14:paraId="41D2B13A">
      <w:pPr>
        <w:keepNext w:val="0"/>
        <w:keepLines w:val="0"/>
        <w:pageBreakBefore w:val="0"/>
        <w:widowControl/>
        <w:numPr>
          <w:ilvl w:val="0"/>
          <w:numId w:val="0"/>
        </w:numPr>
        <w:kinsoku/>
        <w:wordWrap/>
        <w:overflowPunct/>
        <w:topLinePunct w:val="0"/>
        <w:autoSpaceDE/>
        <w:autoSpaceDN/>
        <w:bidi w:val="0"/>
        <w:adjustRightInd/>
        <w:snapToGrid/>
        <w:spacing w:before="157" w:beforeLines="50" w:line="400" w:lineRule="atLeast"/>
        <w:ind w:firstLine="422" w:firstLineChars="200"/>
        <w:jc w:val="both"/>
        <w:textAlignment w:val="center"/>
        <w:outlineLvl w:val="9"/>
        <w:rPr>
          <w:rStyle w:val="45"/>
          <w:rFonts w:hint="eastAsia" w:ascii="宋体" w:hAnsi="宋体" w:eastAsia="宋体" w:cs="宋体"/>
          <w:b/>
          <w:bCs/>
          <w:color w:val="auto"/>
          <w:kern w:val="0"/>
          <w:sz w:val="32"/>
          <w:szCs w:val="32"/>
          <w:highlight w:val="none"/>
        </w:rPr>
        <w:sectPr>
          <w:headerReference r:id="rId9" w:type="first"/>
          <w:footerReference r:id="rId11" w:type="first"/>
          <w:footerReference r:id="rId10" w:type="default"/>
          <w:pgSz w:w="11906" w:h="16838"/>
          <w:pgMar w:top="1417" w:right="1247" w:bottom="1417" w:left="124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b/>
          <w:bCs/>
          <w:color w:val="auto"/>
          <w:kern w:val="0"/>
          <w:sz w:val="21"/>
          <w:szCs w:val="21"/>
          <w:highlight w:val="none"/>
        </w:rPr>
        <w:t>注：招标文件内没有规定的评标标准不得作为评审的依据。</w:t>
      </w:r>
    </w:p>
    <w:p w14:paraId="1CB1AD7D">
      <w:pPr>
        <w:keepNext w:val="0"/>
        <w:keepLines w:val="0"/>
        <w:pageBreakBefore w:val="0"/>
        <w:widowControl/>
        <w:numPr>
          <w:ilvl w:val="0"/>
          <w:numId w:val="0"/>
        </w:numPr>
        <w:kinsoku/>
        <w:wordWrap/>
        <w:overflowPunct/>
        <w:topLinePunct w:val="0"/>
        <w:autoSpaceDE/>
        <w:autoSpaceDN/>
        <w:bidi w:val="0"/>
        <w:adjustRightInd/>
        <w:snapToGrid/>
        <w:spacing w:after="469" w:afterLines="150" w:line="240" w:lineRule="auto"/>
        <w:jc w:val="center"/>
        <w:textAlignment w:val="center"/>
        <w:outlineLvl w:val="0"/>
        <w:rPr>
          <w:rStyle w:val="45"/>
          <w:rFonts w:hint="eastAsia" w:ascii="宋体" w:hAnsi="宋体" w:eastAsia="宋体" w:cs="宋体"/>
          <w:b/>
          <w:bCs/>
          <w:color w:val="auto"/>
          <w:kern w:val="0"/>
          <w:sz w:val="32"/>
          <w:szCs w:val="32"/>
          <w:highlight w:val="none"/>
        </w:rPr>
      </w:pPr>
      <w:bookmarkStart w:id="84" w:name="_Toc11164"/>
      <w:r>
        <w:rPr>
          <w:rStyle w:val="45"/>
          <w:rFonts w:hint="eastAsia" w:ascii="宋体" w:hAnsi="宋体" w:eastAsia="宋体" w:cs="宋体"/>
          <w:b/>
          <w:bCs/>
          <w:color w:val="auto"/>
          <w:kern w:val="0"/>
          <w:sz w:val="32"/>
          <w:szCs w:val="32"/>
          <w:highlight w:val="none"/>
          <w:lang w:eastAsia="zh-CN"/>
        </w:rPr>
        <w:t>第五部分</w:t>
      </w:r>
      <w:r>
        <w:rPr>
          <w:rStyle w:val="45"/>
          <w:rFonts w:hint="eastAsia" w:ascii="宋体" w:hAnsi="宋体" w:eastAsia="宋体" w:cs="宋体"/>
          <w:b/>
          <w:bCs/>
          <w:color w:val="auto"/>
          <w:kern w:val="0"/>
          <w:sz w:val="32"/>
          <w:szCs w:val="32"/>
          <w:highlight w:val="none"/>
          <w:lang w:val="en-US" w:eastAsia="zh-CN"/>
        </w:rPr>
        <w:t xml:space="preserve"> </w:t>
      </w:r>
      <w:r>
        <w:rPr>
          <w:rStyle w:val="45"/>
          <w:rFonts w:hint="eastAsia" w:ascii="宋体" w:hAnsi="宋体" w:eastAsia="宋体" w:cs="宋体"/>
          <w:b/>
          <w:bCs/>
          <w:color w:val="auto"/>
          <w:kern w:val="0"/>
          <w:sz w:val="32"/>
          <w:szCs w:val="32"/>
          <w:highlight w:val="none"/>
        </w:rPr>
        <w:t xml:space="preserve"> 商务、</w:t>
      </w:r>
      <w:r>
        <w:rPr>
          <w:rStyle w:val="45"/>
          <w:rFonts w:hint="eastAsia" w:ascii="宋体" w:hAnsi="宋体" w:eastAsia="宋体" w:cs="宋体"/>
          <w:b/>
          <w:bCs/>
          <w:color w:val="auto"/>
          <w:kern w:val="0"/>
          <w:sz w:val="32"/>
          <w:szCs w:val="32"/>
          <w:highlight w:val="none"/>
          <w:lang w:eastAsia="zh-CN"/>
        </w:rPr>
        <w:t>技术</w:t>
      </w:r>
      <w:r>
        <w:rPr>
          <w:rStyle w:val="45"/>
          <w:rFonts w:hint="eastAsia" w:ascii="宋体" w:hAnsi="宋体" w:eastAsia="宋体" w:cs="宋体"/>
          <w:b/>
          <w:bCs/>
          <w:color w:val="auto"/>
          <w:kern w:val="0"/>
          <w:sz w:val="32"/>
          <w:szCs w:val="32"/>
          <w:highlight w:val="none"/>
        </w:rPr>
        <w:t>要求</w:t>
      </w:r>
      <w:bookmarkEnd w:id="84"/>
    </w:p>
    <w:p w14:paraId="2066E3D4">
      <w:pPr>
        <w:widowControl/>
        <w:spacing w:line="360" w:lineRule="auto"/>
        <w:ind w:firstLine="482" w:firstLineChars="200"/>
        <w:rPr>
          <w:rFonts w:hint="default" w:ascii="Times New Roman" w:hAnsi="Times New Roman" w:cs="Times New Roman"/>
          <w:b/>
          <w:color w:val="auto"/>
          <w:kern w:val="0"/>
          <w:sz w:val="24"/>
          <w:highlight w:val="none"/>
        </w:rPr>
      </w:pPr>
      <w:bookmarkStart w:id="85" w:name="_Toc25432"/>
      <w:r>
        <w:rPr>
          <w:rFonts w:hint="eastAsia" w:ascii="Times New Roman" w:hAnsi="Times New Roman" w:cs="Times New Roman"/>
          <w:b/>
          <w:color w:val="auto"/>
          <w:kern w:val="0"/>
          <w:sz w:val="24"/>
          <w:highlight w:val="none"/>
          <w:lang w:val="en-US" w:eastAsia="zh-CN"/>
        </w:rPr>
        <w:t>一</w:t>
      </w:r>
      <w:r>
        <w:rPr>
          <w:rFonts w:hint="default" w:ascii="Times New Roman" w:hAnsi="Times New Roman" w:cs="Times New Roman"/>
          <w:b/>
          <w:color w:val="auto"/>
          <w:kern w:val="0"/>
          <w:sz w:val="24"/>
          <w:highlight w:val="none"/>
        </w:rPr>
        <w:t>、商务要求</w:t>
      </w:r>
    </w:p>
    <w:p w14:paraId="2C773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1、合同履约期限（服务期限）：自合同签订之日起120日历天</w:t>
      </w:r>
      <w:r>
        <w:rPr>
          <w:rFonts w:hint="default" w:ascii="宋体" w:hAnsi="宋体" w:eastAsia="宋体" w:cs="宋体"/>
          <w:sz w:val="24"/>
          <w:szCs w:val="24"/>
          <w:lang w:val="en-US" w:eastAsia="zh-CN"/>
        </w:rPr>
        <w:t>。</w:t>
      </w:r>
    </w:p>
    <w:p w14:paraId="5C7AFC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cs="宋体"/>
          <w:sz w:val="24"/>
          <w:szCs w:val="24"/>
          <w:lang w:val="en-US" w:eastAsia="zh-CN"/>
        </w:rPr>
        <w:t>服务</w:t>
      </w:r>
      <w:r>
        <w:rPr>
          <w:rFonts w:hint="default" w:ascii="宋体" w:hAnsi="宋体" w:eastAsia="宋体" w:cs="宋体"/>
          <w:sz w:val="24"/>
          <w:szCs w:val="24"/>
          <w:lang w:val="en-US" w:eastAsia="zh-CN"/>
        </w:rPr>
        <w:t>地点：</w:t>
      </w:r>
      <w:r>
        <w:rPr>
          <w:rFonts w:hint="eastAsia" w:ascii="宋体" w:hAnsi="宋体" w:cs="宋体"/>
          <w:sz w:val="24"/>
          <w:szCs w:val="24"/>
          <w:lang w:val="en-US" w:eastAsia="zh-CN"/>
        </w:rPr>
        <w:t>山西省</w:t>
      </w:r>
      <w:r>
        <w:rPr>
          <w:rFonts w:hint="eastAsia" w:ascii="宋体" w:hAnsi="宋体" w:eastAsia="宋体" w:cs="宋体"/>
          <w:sz w:val="24"/>
          <w:szCs w:val="24"/>
          <w:lang w:val="en-US" w:eastAsia="zh-CN"/>
        </w:rPr>
        <w:t>太原市</w:t>
      </w:r>
      <w:r>
        <w:rPr>
          <w:rFonts w:hint="default" w:ascii="宋体" w:hAnsi="宋体" w:eastAsia="宋体" w:cs="宋体"/>
          <w:sz w:val="24"/>
          <w:szCs w:val="24"/>
          <w:lang w:val="en-US" w:eastAsia="zh-CN"/>
        </w:rPr>
        <w:t>。</w:t>
      </w:r>
    </w:p>
    <w:p w14:paraId="6FD72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3、服务标准：满足国家现有技术规范和标准要求，并能通过政府相关部门评审或审批。</w:t>
      </w:r>
    </w:p>
    <w:p w14:paraId="422869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yellow"/>
          <w:lang w:val="en-US" w:eastAsia="zh-CN"/>
        </w:rPr>
      </w:pPr>
      <w:r>
        <w:rPr>
          <w:rFonts w:hint="default" w:ascii="宋体" w:hAnsi="宋体" w:eastAsia="宋体" w:cs="宋体"/>
          <w:sz w:val="24"/>
          <w:szCs w:val="24"/>
          <w:lang w:val="en-US" w:eastAsia="zh-CN"/>
        </w:rPr>
        <w:t>4、验收标准：</w:t>
      </w:r>
    </w:p>
    <w:p w14:paraId="4F0CFB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（1）乙方完成技术服务工作的形式：完成城市生命线安全风险评估并通过验收。</w:t>
      </w:r>
    </w:p>
    <w:p w14:paraId="73454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（2）技术服务工作成果的验收标准：完成城市生命线安全风险评估，并能通过甲方相关部门评审。</w:t>
      </w:r>
    </w:p>
    <w:p w14:paraId="4F3D4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（3）技术服务工作成果的验收方法：现场验收。</w:t>
      </w:r>
    </w:p>
    <w:p w14:paraId="4167C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（4）验收的时间和地点：根据甲方指定。</w:t>
      </w:r>
    </w:p>
    <w:p w14:paraId="14137E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（5）成果要求</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成果的有关要求内容必须符合国家相关标准。成果纸质和电子版本、版权归采购人所有。</w:t>
      </w:r>
    </w:p>
    <w:p w14:paraId="35E38E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5、付款方式：本项目验收合格后，结算经太原市相关审核部门审核后，发包人按照太原市政府的安排，在市财政局下达建设资金后统一进行资金支付。</w:t>
      </w:r>
    </w:p>
    <w:p w14:paraId="5AC2C218">
      <w:pPr>
        <w:widowControl/>
        <w:spacing w:line="360" w:lineRule="auto"/>
        <w:ind w:firstLine="482" w:firstLineChars="200"/>
        <w:rPr>
          <w:rFonts w:hint="default" w:ascii="Times New Roman" w:hAnsi="Times New Roman" w:cs="Times New Roman"/>
          <w:b/>
          <w:color w:val="auto"/>
          <w:kern w:val="0"/>
          <w:sz w:val="24"/>
          <w:szCs w:val="24"/>
          <w:highlight w:val="none"/>
        </w:rPr>
      </w:pPr>
      <w:r>
        <w:rPr>
          <w:rFonts w:hint="eastAsia" w:ascii="Times New Roman" w:hAnsi="Times New Roman" w:cs="Times New Roman"/>
          <w:b/>
          <w:color w:val="auto"/>
          <w:kern w:val="0"/>
          <w:sz w:val="24"/>
          <w:szCs w:val="24"/>
          <w:highlight w:val="none"/>
          <w:lang w:val="en-US" w:eastAsia="zh-CN"/>
        </w:rPr>
        <w:t>二</w:t>
      </w:r>
      <w:r>
        <w:rPr>
          <w:rFonts w:hint="default" w:ascii="Times New Roman" w:hAnsi="Times New Roman" w:cs="Times New Roman"/>
          <w:b/>
          <w:color w:val="auto"/>
          <w:kern w:val="0"/>
          <w:sz w:val="24"/>
          <w:szCs w:val="24"/>
          <w:highlight w:val="none"/>
        </w:rPr>
        <w:t>、技术服务要求</w:t>
      </w:r>
    </w:p>
    <w:p w14:paraId="4FB1B5CD">
      <w:pPr>
        <w:spacing w:line="312" w:lineRule="auto"/>
        <w:ind w:firstLine="482" w:firstLineChars="200"/>
        <w:rPr>
          <w:rFonts w:hint="eastAsia" w:ascii="宋体" w:hAnsi="宋体" w:eastAsia="宋体" w:cs="宋体"/>
          <w:b/>
          <w:bCs/>
          <w:color w:val="36363D"/>
          <w:kern w:val="0"/>
          <w:sz w:val="24"/>
          <w:highlight w:val="none"/>
        </w:rPr>
      </w:pPr>
      <w:r>
        <w:rPr>
          <w:rFonts w:hint="eastAsia" w:ascii="宋体" w:hAnsi="宋体" w:eastAsia="宋体" w:cs="宋体"/>
          <w:b/>
          <w:bCs/>
          <w:color w:val="36363D"/>
          <w:kern w:val="0"/>
          <w:sz w:val="24"/>
          <w:highlight w:val="none"/>
          <w:lang w:val="en-US" w:eastAsia="zh-CN"/>
        </w:rPr>
        <w:t>1.</w:t>
      </w:r>
      <w:r>
        <w:rPr>
          <w:rFonts w:hint="eastAsia" w:ascii="宋体" w:hAnsi="宋体" w:eastAsia="宋体" w:cs="宋体"/>
          <w:b/>
          <w:bCs/>
          <w:color w:val="36363D"/>
          <w:kern w:val="0"/>
          <w:sz w:val="24"/>
          <w:highlight w:val="none"/>
        </w:rPr>
        <w:t>目标</w:t>
      </w:r>
    </w:p>
    <w:p w14:paraId="3440CBFC">
      <w:pPr>
        <w:spacing w:line="312" w:lineRule="auto"/>
        <w:ind w:firstLine="480" w:firstLineChars="200"/>
        <w:rPr>
          <w:rFonts w:hint="eastAsia" w:ascii="宋体" w:hAnsi="宋体" w:eastAsia="宋体" w:cs="宋体"/>
          <w:color w:val="36363D"/>
          <w:kern w:val="0"/>
          <w:sz w:val="24"/>
          <w:highlight w:val="none"/>
        </w:rPr>
      </w:pPr>
      <w:r>
        <w:rPr>
          <w:rFonts w:hint="eastAsia" w:ascii="宋体" w:hAnsi="宋体" w:eastAsia="宋体" w:cs="宋体"/>
          <w:color w:val="36363D"/>
          <w:kern w:val="0"/>
          <w:sz w:val="24"/>
          <w:highlight w:val="none"/>
        </w:rPr>
        <w:t>城市生命线安全风险评估工作是为了全面掌握城市安全风险底数，为后续的整改管控或持续监测提供科学依据及针对性措施，全面提升城市市政基础设施领域安全防范水平和应急处置能力。具体来说，城市生命线安全风险评估的目标包括以下几个方面：</w:t>
      </w:r>
    </w:p>
    <w:p w14:paraId="34DE6048">
      <w:pPr>
        <w:spacing w:line="312" w:lineRule="auto"/>
        <w:ind w:firstLine="482" w:firstLineChars="200"/>
        <w:rPr>
          <w:rFonts w:hint="eastAsia" w:ascii="宋体" w:hAnsi="宋体" w:eastAsia="宋体" w:cs="宋体"/>
          <w:color w:val="36363D"/>
          <w:kern w:val="0"/>
          <w:sz w:val="24"/>
          <w:highlight w:val="none"/>
        </w:rPr>
      </w:pPr>
      <w:r>
        <w:rPr>
          <w:rFonts w:hint="eastAsia" w:ascii="宋体" w:hAnsi="宋体" w:eastAsia="宋体" w:cs="宋体"/>
          <w:b/>
          <w:bCs/>
          <w:color w:val="36363D"/>
          <w:kern w:val="0"/>
          <w:sz w:val="24"/>
          <w:highlight w:val="none"/>
        </w:rPr>
        <w:t>摸清风险底数：</w:t>
      </w:r>
      <w:r>
        <w:rPr>
          <w:rFonts w:hint="eastAsia" w:ascii="宋体" w:hAnsi="宋体" w:eastAsia="宋体" w:cs="宋体"/>
          <w:color w:val="36363D"/>
          <w:kern w:val="0"/>
          <w:sz w:val="24"/>
          <w:highlight w:val="none"/>
        </w:rPr>
        <w:t>风险评估通过系统全面摸排</w:t>
      </w:r>
      <w:r>
        <w:rPr>
          <w:rFonts w:hint="eastAsia" w:ascii="宋体" w:hAnsi="宋体" w:eastAsia="宋体" w:cs="宋体"/>
          <w:color w:val="36363D"/>
          <w:kern w:val="0"/>
          <w:sz w:val="24"/>
          <w:highlight w:val="none"/>
          <w:lang w:val="en-US" w:eastAsia="zh-CN"/>
        </w:rPr>
        <w:t>太原市建成区</w:t>
      </w:r>
      <w:r>
        <w:rPr>
          <w:rFonts w:hint="eastAsia" w:ascii="宋体" w:hAnsi="宋体" w:eastAsia="宋体" w:cs="宋体"/>
          <w:color w:val="36363D"/>
          <w:kern w:val="0"/>
          <w:sz w:val="24"/>
          <w:highlight w:val="none"/>
        </w:rPr>
        <w:t>的风险隐患，进一步掌握城市安全风险底数，为后续的整改管控或持续监测提供科学依据。</w:t>
      </w:r>
    </w:p>
    <w:p w14:paraId="52208CE9">
      <w:pPr>
        <w:spacing w:line="312" w:lineRule="auto"/>
        <w:ind w:firstLine="482" w:firstLineChars="200"/>
        <w:rPr>
          <w:rFonts w:hint="eastAsia" w:ascii="宋体" w:hAnsi="宋体" w:eastAsia="宋体" w:cs="宋体"/>
          <w:color w:val="36363D"/>
          <w:kern w:val="0"/>
          <w:sz w:val="24"/>
          <w:highlight w:val="none"/>
        </w:rPr>
      </w:pPr>
      <w:r>
        <w:rPr>
          <w:rFonts w:hint="eastAsia" w:ascii="宋体" w:hAnsi="宋体" w:eastAsia="宋体" w:cs="宋体"/>
          <w:b/>
          <w:bCs/>
          <w:color w:val="36363D"/>
          <w:kern w:val="0"/>
          <w:sz w:val="24"/>
          <w:highlight w:val="none"/>
        </w:rPr>
        <w:t>制定针对性措施：</w:t>
      </w:r>
      <w:r>
        <w:rPr>
          <w:rFonts w:hint="eastAsia" w:ascii="宋体" w:hAnsi="宋体" w:eastAsia="宋体" w:cs="宋体"/>
          <w:color w:val="36363D"/>
          <w:kern w:val="0"/>
          <w:sz w:val="24"/>
          <w:highlight w:val="none"/>
        </w:rPr>
        <w:t>风险评估结果为后续的整改管控或持续监测提供了科学依据及针对性措施。通过对风险点的精准识别和评估，可以制定出更加有效的风险管理策略，提高城市生命线系统的安全防范水平和应急处置能力。</w:t>
      </w:r>
    </w:p>
    <w:p w14:paraId="45CAAFEB">
      <w:pPr>
        <w:spacing w:line="312" w:lineRule="auto"/>
        <w:ind w:firstLine="482" w:firstLineChars="200"/>
        <w:rPr>
          <w:rFonts w:hint="eastAsia" w:ascii="宋体" w:hAnsi="宋体" w:eastAsia="宋体" w:cs="宋体"/>
          <w:color w:val="36363D"/>
          <w:kern w:val="0"/>
          <w:sz w:val="24"/>
          <w:highlight w:val="none"/>
        </w:rPr>
      </w:pPr>
      <w:r>
        <w:rPr>
          <w:rFonts w:hint="eastAsia" w:ascii="宋体" w:hAnsi="宋体" w:eastAsia="宋体" w:cs="宋体"/>
          <w:b/>
          <w:bCs/>
          <w:color w:val="36363D"/>
          <w:kern w:val="0"/>
          <w:sz w:val="24"/>
          <w:highlight w:val="none"/>
        </w:rPr>
        <w:t>提升城市安全防范水平：</w:t>
      </w:r>
      <w:r>
        <w:rPr>
          <w:rFonts w:hint="eastAsia" w:ascii="宋体" w:hAnsi="宋体" w:eastAsia="宋体" w:cs="宋体"/>
          <w:color w:val="36363D"/>
          <w:kern w:val="0"/>
          <w:sz w:val="24"/>
          <w:highlight w:val="none"/>
        </w:rPr>
        <w:t>城市生命线风险评估是城市安全管理工作的重要组成部分。通过风险评估，可以发现城市安全管理工作中存在的问题和不足，推动相关部门和单位加强安全管理、完善应急预案、提高应急响应能力。同时，风险评估还可以促进城市生命线系统与其他相关系统的信息共享和数据交换，提高整个系统的综合能力，进一步提升城市安全管理水平。</w:t>
      </w:r>
    </w:p>
    <w:p w14:paraId="22B2FCDC">
      <w:pPr>
        <w:spacing w:line="312" w:lineRule="auto"/>
        <w:ind w:firstLine="482" w:firstLineChars="200"/>
        <w:rPr>
          <w:rFonts w:hint="eastAsia" w:ascii="宋体" w:hAnsi="宋体" w:eastAsia="宋体" w:cs="宋体"/>
          <w:color w:val="36363D"/>
          <w:kern w:val="0"/>
          <w:sz w:val="24"/>
          <w:highlight w:val="none"/>
        </w:rPr>
      </w:pPr>
      <w:r>
        <w:rPr>
          <w:rFonts w:hint="eastAsia" w:ascii="宋体" w:hAnsi="宋体" w:eastAsia="宋体" w:cs="宋体"/>
          <w:b/>
          <w:bCs/>
          <w:color w:val="36363D"/>
          <w:kern w:val="0"/>
          <w:sz w:val="24"/>
          <w:highlight w:val="none"/>
        </w:rPr>
        <w:t>保障城市正常运行和可持续发展</w:t>
      </w:r>
      <w:r>
        <w:rPr>
          <w:rFonts w:hint="eastAsia" w:ascii="宋体" w:hAnsi="宋体" w:eastAsia="宋体" w:cs="宋体"/>
          <w:color w:val="36363D"/>
          <w:kern w:val="0"/>
          <w:sz w:val="24"/>
          <w:highlight w:val="none"/>
        </w:rPr>
        <w:t>：城市生命线担负着城市的信息传递、能源输送、排涝减灾等重要任务，是维系城市正常运行、满足群众生产生活需要的重要基础设施。风险评估能够及时发现并处理潜在的安全隐患，避免或减轻安全事故对城市运行的影响。通过建立城市生命线监测预警体系，实现对城市生命线的实时监测和预警管理，提高城市安全生产管理水平，改善城市安全管理工作水平。</w:t>
      </w:r>
    </w:p>
    <w:p w14:paraId="60BF63C5">
      <w:pPr>
        <w:spacing w:line="312" w:lineRule="auto"/>
        <w:ind w:firstLine="482" w:firstLineChars="200"/>
        <w:rPr>
          <w:rFonts w:hint="eastAsia" w:ascii="宋体" w:hAnsi="宋体" w:eastAsia="宋体" w:cs="宋体"/>
          <w:b/>
          <w:bCs/>
          <w:color w:val="36363D"/>
          <w:kern w:val="0"/>
          <w:sz w:val="24"/>
          <w:highlight w:val="none"/>
        </w:rPr>
      </w:pPr>
      <w:r>
        <w:rPr>
          <w:rFonts w:hint="eastAsia" w:ascii="宋体" w:hAnsi="宋体" w:eastAsia="宋体" w:cs="宋体"/>
          <w:b/>
          <w:bCs/>
          <w:color w:val="36363D"/>
          <w:kern w:val="0"/>
          <w:sz w:val="24"/>
          <w:highlight w:val="none"/>
          <w:lang w:val="en-US" w:eastAsia="zh-CN"/>
        </w:rPr>
        <w:t>2.</w:t>
      </w:r>
      <w:r>
        <w:rPr>
          <w:rFonts w:hint="eastAsia" w:ascii="宋体" w:hAnsi="宋体" w:eastAsia="宋体" w:cs="宋体"/>
          <w:b/>
          <w:bCs/>
          <w:color w:val="36363D"/>
          <w:kern w:val="0"/>
          <w:sz w:val="24"/>
          <w:highlight w:val="none"/>
        </w:rPr>
        <w:t>采购内容及需求</w:t>
      </w:r>
    </w:p>
    <w:p w14:paraId="0FD01501">
      <w:pPr>
        <w:spacing w:line="312" w:lineRule="auto"/>
        <w:ind w:firstLine="480" w:firstLineChars="200"/>
        <w:rPr>
          <w:rFonts w:hint="eastAsia" w:ascii="宋体" w:hAnsi="宋体" w:eastAsia="宋体" w:cs="宋体"/>
          <w:color w:val="36363D"/>
          <w:kern w:val="0"/>
          <w:sz w:val="24"/>
          <w:highlight w:val="none"/>
          <w:lang w:eastAsia="zh-CN"/>
        </w:rPr>
      </w:pPr>
      <w:r>
        <w:rPr>
          <w:rFonts w:hint="eastAsia" w:ascii="宋体" w:hAnsi="宋体" w:eastAsia="宋体" w:cs="宋体"/>
          <w:color w:val="36363D"/>
          <w:kern w:val="0"/>
          <w:sz w:val="24"/>
          <w:highlight w:val="none"/>
        </w:rPr>
        <w:t>本次太原市城市基础设施生命线安全风险评估范围覆盖太原市建成区，对区域内535平方公里范围内的桥隧、排水、燃气、供水、供热、综合管廊行业进行风险评估，运用城市体检工作方法，开展行业风险评估，找准城市基础设施的风险源，摸清风险点，特别是新型风险、复杂风险、耦合风险，分析风险成因，评估潜在后果，形成城市基础设施生命线安全风险清单和风险评估电子四色图，提出安全风险分级管控措施，切实增强安全风险防范化解能力，提升城市生命线安全风险防控水平。详细风险评估范围如下</w:t>
      </w:r>
      <w:r>
        <w:rPr>
          <w:rFonts w:hint="eastAsia" w:ascii="宋体" w:hAnsi="宋体" w:eastAsia="宋体" w:cs="宋体"/>
          <w:color w:val="36363D"/>
          <w:kern w:val="0"/>
          <w:sz w:val="24"/>
          <w:highlight w:val="none"/>
          <w:lang w:val="en-US" w:eastAsia="zh-CN"/>
        </w:rPr>
        <w:t>表</w:t>
      </w:r>
      <w:r>
        <w:rPr>
          <w:rFonts w:hint="eastAsia" w:ascii="宋体" w:hAnsi="宋体" w:eastAsia="宋体" w:cs="宋体"/>
          <w:color w:val="36363D"/>
          <w:kern w:val="0"/>
          <w:sz w:val="24"/>
          <w:highlight w:val="none"/>
          <w:lang w:eastAsia="zh-CN"/>
        </w:rPr>
        <w:t>：</w:t>
      </w:r>
    </w:p>
    <w:p w14:paraId="039956E0">
      <w:pPr>
        <w:spacing w:line="312" w:lineRule="auto"/>
        <w:ind w:firstLine="480" w:firstLineChars="200"/>
        <w:rPr>
          <w:rFonts w:hint="eastAsia" w:ascii="宋体" w:hAnsi="宋体" w:eastAsia="宋体" w:cs="宋体"/>
          <w:color w:val="36363D"/>
          <w:kern w:val="0"/>
          <w:sz w:val="24"/>
          <w:highlight w:val="none"/>
          <w:lang w:eastAsia="zh-CN"/>
        </w:rPr>
      </w:pPr>
    </w:p>
    <w:tbl>
      <w:tblPr>
        <w:tblStyle w:val="34"/>
        <w:tblpPr w:leftFromText="180" w:rightFromText="180" w:vertAnchor="text" w:horzAnchor="page" w:tblpX="1812" w:tblpY="126"/>
        <w:tblOverlap w:val="never"/>
        <w:tblW w:w="8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6952"/>
      </w:tblGrid>
      <w:tr w14:paraId="7D51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450" w:type="dxa"/>
            <w:vAlign w:val="center"/>
          </w:tcPr>
          <w:p w14:paraId="01BB7B5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color w:val="36363D"/>
                <w:kern w:val="2"/>
                <w:sz w:val="24"/>
                <w:szCs w:val="24"/>
                <w:highlight w:val="none"/>
                <w14:ligatures w14:val="none"/>
              </w:rPr>
            </w:pPr>
            <w:r>
              <w:rPr>
                <w:rFonts w:hint="eastAsia" w:ascii="宋体" w:hAnsi="宋体" w:eastAsia="宋体" w:cs="宋体"/>
                <w:b/>
                <w:bCs/>
                <w:color w:val="36363D"/>
                <w:kern w:val="2"/>
                <w:sz w:val="24"/>
                <w:szCs w:val="24"/>
                <w:highlight w:val="none"/>
                <w14:ligatures w14:val="none"/>
              </w:rPr>
              <w:t>行业</w:t>
            </w:r>
          </w:p>
        </w:tc>
        <w:tc>
          <w:tcPr>
            <w:tcW w:w="6952" w:type="dxa"/>
            <w:vAlign w:val="center"/>
          </w:tcPr>
          <w:p w14:paraId="393DCD49">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bCs/>
                <w:color w:val="36363D"/>
                <w:kern w:val="2"/>
                <w:sz w:val="24"/>
                <w:szCs w:val="24"/>
                <w:highlight w:val="none"/>
                <w14:ligatures w14:val="none"/>
              </w:rPr>
            </w:pPr>
            <w:r>
              <w:rPr>
                <w:rFonts w:hint="eastAsia" w:ascii="宋体" w:hAnsi="宋体" w:eastAsia="宋体" w:cs="宋体"/>
                <w:b/>
                <w:bCs/>
                <w:color w:val="36363D"/>
                <w:kern w:val="2"/>
                <w:sz w:val="24"/>
                <w:szCs w:val="24"/>
                <w:highlight w:val="none"/>
                <w14:ligatures w14:val="none"/>
              </w:rPr>
              <w:t>风险评估量</w:t>
            </w:r>
          </w:p>
        </w:tc>
      </w:tr>
      <w:tr w14:paraId="1018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450" w:type="dxa"/>
            <w:vAlign w:val="center"/>
          </w:tcPr>
          <w:p w14:paraId="36874D7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36363D"/>
                <w:kern w:val="2"/>
                <w:sz w:val="24"/>
                <w:szCs w:val="24"/>
                <w:highlight w:val="none"/>
                <w14:ligatures w14:val="none"/>
              </w:rPr>
            </w:pPr>
            <w:r>
              <w:rPr>
                <w:rFonts w:hint="eastAsia" w:ascii="宋体" w:hAnsi="宋体" w:eastAsia="宋体" w:cs="宋体"/>
                <w:color w:val="36363D"/>
                <w:kern w:val="2"/>
                <w:sz w:val="24"/>
                <w:szCs w:val="24"/>
                <w:highlight w:val="none"/>
                <w14:ligatures w14:val="none"/>
              </w:rPr>
              <w:t>燃气</w:t>
            </w:r>
          </w:p>
        </w:tc>
        <w:tc>
          <w:tcPr>
            <w:tcW w:w="6952" w:type="dxa"/>
            <w:vAlign w:val="center"/>
          </w:tcPr>
          <w:p w14:paraId="28808913">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36363D"/>
                <w:kern w:val="2"/>
                <w:sz w:val="24"/>
                <w:szCs w:val="24"/>
                <w:highlight w:val="none"/>
                <w:lang w:eastAsia="zh-CN"/>
                <w14:ligatures w14:val="none"/>
              </w:rPr>
            </w:pPr>
            <w:r>
              <w:rPr>
                <w:rFonts w:hint="eastAsia" w:ascii="宋体" w:hAnsi="宋体" w:eastAsia="宋体" w:cs="宋体"/>
                <w:color w:val="36363D"/>
                <w:kern w:val="2"/>
                <w:sz w:val="24"/>
                <w:szCs w:val="24"/>
                <w:highlight w:val="none"/>
                <w14:ligatures w14:val="none"/>
              </w:rPr>
              <w:t>燃气管网约10130</w:t>
            </w:r>
            <w:r>
              <w:rPr>
                <w:rFonts w:hint="eastAsia" w:ascii="宋体" w:hAnsi="宋体" w:eastAsia="宋体" w:cs="宋体"/>
                <w:color w:val="36363D"/>
                <w:kern w:val="2"/>
                <w:sz w:val="24"/>
                <w:szCs w:val="24"/>
                <w:highlight w:val="none"/>
                <w:lang w:val="en-US" w:eastAsia="zh-CN"/>
                <w14:ligatures w14:val="none"/>
              </w:rPr>
              <w:t>公里</w:t>
            </w:r>
            <w:r>
              <w:rPr>
                <w:rFonts w:hint="eastAsia" w:ascii="宋体" w:hAnsi="宋体" w:eastAsia="宋体" w:cs="宋体"/>
                <w:color w:val="36363D"/>
                <w:kern w:val="2"/>
                <w:sz w:val="24"/>
                <w:szCs w:val="24"/>
                <w:highlight w:val="none"/>
                <w14:ligatures w14:val="none"/>
              </w:rPr>
              <w:t>，其中高压管线240</w:t>
            </w:r>
            <w:r>
              <w:rPr>
                <w:rFonts w:hint="eastAsia" w:ascii="宋体" w:hAnsi="宋体" w:eastAsia="宋体" w:cs="宋体"/>
                <w:color w:val="36363D"/>
                <w:kern w:val="2"/>
                <w:sz w:val="24"/>
                <w:szCs w:val="24"/>
                <w:highlight w:val="none"/>
                <w:lang w:val="en-US" w:eastAsia="zh-CN"/>
                <w14:ligatures w14:val="none"/>
              </w:rPr>
              <w:t>公里</w:t>
            </w:r>
            <w:r>
              <w:rPr>
                <w:rFonts w:hint="eastAsia" w:ascii="宋体" w:hAnsi="宋体" w:eastAsia="宋体" w:cs="宋体"/>
                <w:color w:val="36363D"/>
                <w:kern w:val="2"/>
                <w:sz w:val="24"/>
                <w:szCs w:val="24"/>
                <w:highlight w:val="none"/>
                <w14:ligatures w14:val="none"/>
              </w:rPr>
              <w:t>，中压管线2971</w:t>
            </w:r>
            <w:r>
              <w:rPr>
                <w:rFonts w:hint="eastAsia" w:ascii="宋体" w:hAnsi="宋体" w:eastAsia="宋体" w:cs="宋体"/>
                <w:color w:val="36363D"/>
                <w:kern w:val="2"/>
                <w:sz w:val="24"/>
                <w:szCs w:val="24"/>
                <w:highlight w:val="none"/>
                <w:lang w:val="en-US" w:eastAsia="zh-CN"/>
                <w14:ligatures w14:val="none"/>
              </w:rPr>
              <w:t>公里</w:t>
            </w:r>
            <w:r>
              <w:rPr>
                <w:rFonts w:hint="eastAsia" w:ascii="宋体" w:hAnsi="宋体" w:eastAsia="宋体" w:cs="宋体"/>
                <w:color w:val="36363D"/>
                <w:kern w:val="2"/>
                <w:sz w:val="24"/>
                <w:szCs w:val="24"/>
                <w:highlight w:val="none"/>
                <w14:ligatures w14:val="none"/>
              </w:rPr>
              <w:t>，低压管线6919</w:t>
            </w:r>
            <w:r>
              <w:rPr>
                <w:rFonts w:hint="eastAsia" w:ascii="宋体" w:hAnsi="宋体" w:eastAsia="宋体" w:cs="宋体"/>
                <w:color w:val="36363D"/>
                <w:kern w:val="2"/>
                <w:sz w:val="24"/>
                <w:szCs w:val="24"/>
                <w:highlight w:val="none"/>
                <w:lang w:val="en-US" w:eastAsia="zh-CN"/>
                <w14:ligatures w14:val="none"/>
              </w:rPr>
              <w:t>公里</w:t>
            </w:r>
            <w:r>
              <w:rPr>
                <w:rFonts w:hint="eastAsia" w:ascii="宋体" w:hAnsi="宋体" w:eastAsia="宋体" w:cs="宋体"/>
                <w:color w:val="36363D"/>
                <w:kern w:val="2"/>
                <w:sz w:val="24"/>
                <w:szCs w:val="24"/>
                <w:highlight w:val="none"/>
                <w14:ligatures w14:val="none"/>
              </w:rPr>
              <w:t>，燃气阀门井1179个，过汾管线6条，10座门站、11座高中压站、10座中压站以及其他各类调压站(柜)4819座，8个液化气储备，13个汽车加气站</w:t>
            </w:r>
            <w:r>
              <w:rPr>
                <w:rFonts w:hint="eastAsia" w:ascii="宋体" w:hAnsi="宋体" w:eastAsia="宋体" w:cs="宋体"/>
                <w:color w:val="36363D"/>
                <w:kern w:val="2"/>
                <w:sz w:val="24"/>
                <w:szCs w:val="24"/>
                <w:highlight w:val="none"/>
                <w:lang w:eastAsia="zh-CN"/>
                <w14:ligatures w14:val="none"/>
              </w:rPr>
              <w:t>。</w:t>
            </w:r>
          </w:p>
        </w:tc>
      </w:tr>
      <w:tr w14:paraId="5F70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50" w:type="dxa"/>
            <w:vAlign w:val="center"/>
          </w:tcPr>
          <w:p w14:paraId="5472AC6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36363D"/>
                <w:kern w:val="2"/>
                <w:sz w:val="24"/>
                <w:szCs w:val="24"/>
                <w:highlight w:val="none"/>
                <w14:ligatures w14:val="none"/>
              </w:rPr>
            </w:pPr>
            <w:r>
              <w:rPr>
                <w:rFonts w:hint="eastAsia" w:ascii="宋体" w:hAnsi="宋体" w:eastAsia="宋体" w:cs="宋体"/>
                <w:color w:val="36363D"/>
                <w:kern w:val="2"/>
                <w:sz w:val="24"/>
                <w:szCs w:val="24"/>
                <w:highlight w:val="none"/>
                <w14:ligatures w14:val="none"/>
              </w:rPr>
              <w:t>供水</w:t>
            </w:r>
          </w:p>
        </w:tc>
        <w:tc>
          <w:tcPr>
            <w:tcW w:w="6952" w:type="dxa"/>
            <w:vAlign w:val="center"/>
          </w:tcPr>
          <w:p w14:paraId="681A11AC">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36363D"/>
                <w:kern w:val="2"/>
                <w:sz w:val="24"/>
                <w:szCs w:val="24"/>
                <w:highlight w:val="none"/>
                <w:lang w:eastAsia="zh-CN"/>
                <w14:ligatures w14:val="none"/>
              </w:rPr>
            </w:pPr>
            <w:r>
              <w:rPr>
                <w:rFonts w:hint="eastAsia" w:ascii="宋体" w:hAnsi="宋体" w:eastAsia="宋体" w:cs="宋体"/>
                <w:color w:val="36363D"/>
                <w:kern w:val="2"/>
                <w:sz w:val="24"/>
                <w:szCs w:val="24"/>
                <w:highlight w:val="none"/>
                <w14:ligatures w14:val="none"/>
              </w:rPr>
              <w:t>水厂8座，1800座低压调压站，供水管网4484</w:t>
            </w:r>
            <w:r>
              <w:rPr>
                <w:rFonts w:hint="eastAsia" w:ascii="宋体" w:hAnsi="宋体" w:eastAsia="宋体" w:cs="宋体"/>
                <w:color w:val="36363D"/>
                <w:kern w:val="2"/>
                <w:sz w:val="24"/>
                <w:szCs w:val="24"/>
                <w:highlight w:val="none"/>
                <w:lang w:val="en-US" w:eastAsia="zh-CN"/>
                <w14:ligatures w14:val="none"/>
              </w:rPr>
              <w:t>公里</w:t>
            </w:r>
            <w:r>
              <w:rPr>
                <w:rFonts w:hint="eastAsia" w:ascii="宋体" w:hAnsi="宋体" w:eastAsia="宋体" w:cs="宋体"/>
                <w:color w:val="36363D"/>
                <w:kern w:val="2"/>
                <w:sz w:val="24"/>
                <w:szCs w:val="24"/>
                <w:highlight w:val="none"/>
                <w:lang w:eastAsia="zh-CN"/>
                <w14:ligatures w14:val="none"/>
              </w:rPr>
              <w:t>。</w:t>
            </w:r>
          </w:p>
        </w:tc>
      </w:tr>
      <w:tr w14:paraId="38EA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50" w:type="dxa"/>
            <w:vAlign w:val="center"/>
          </w:tcPr>
          <w:p w14:paraId="0A21F29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36363D"/>
                <w:kern w:val="2"/>
                <w:sz w:val="24"/>
                <w:szCs w:val="24"/>
                <w:highlight w:val="none"/>
                <w14:ligatures w14:val="none"/>
              </w:rPr>
            </w:pPr>
            <w:r>
              <w:rPr>
                <w:rFonts w:hint="eastAsia" w:ascii="宋体" w:hAnsi="宋体" w:eastAsia="宋体" w:cs="宋体"/>
                <w:color w:val="36363D"/>
                <w:kern w:val="2"/>
                <w:sz w:val="24"/>
                <w:szCs w:val="24"/>
                <w:highlight w:val="none"/>
                <w14:ligatures w14:val="none"/>
              </w:rPr>
              <w:t>供热</w:t>
            </w:r>
          </w:p>
        </w:tc>
        <w:tc>
          <w:tcPr>
            <w:tcW w:w="6952" w:type="dxa"/>
            <w:vAlign w:val="center"/>
          </w:tcPr>
          <w:p w14:paraId="0B3608B3">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36363D"/>
                <w:kern w:val="2"/>
                <w:sz w:val="24"/>
                <w:szCs w:val="24"/>
                <w:highlight w:val="none"/>
                <w:lang w:eastAsia="zh-CN"/>
                <w14:ligatures w14:val="none"/>
              </w:rPr>
            </w:pPr>
            <w:r>
              <w:rPr>
                <w:rFonts w:hint="eastAsia" w:ascii="宋体" w:hAnsi="宋体" w:eastAsia="宋体" w:cs="宋体"/>
                <w:color w:val="36363D"/>
                <w:kern w:val="2"/>
                <w:sz w:val="24"/>
                <w:szCs w:val="24"/>
                <w:highlight w:val="none"/>
                <w14:ligatures w14:val="none"/>
              </w:rPr>
              <w:t>管网1990</w:t>
            </w:r>
            <w:r>
              <w:rPr>
                <w:rFonts w:hint="eastAsia" w:ascii="宋体" w:hAnsi="宋体" w:eastAsia="宋体" w:cs="宋体"/>
                <w:color w:val="36363D"/>
                <w:kern w:val="2"/>
                <w:sz w:val="24"/>
                <w:szCs w:val="24"/>
                <w:highlight w:val="none"/>
                <w:lang w:val="en-US" w:eastAsia="zh-CN"/>
                <w14:ligatures w14:val="none"/>
              </w:rPr>
              <w:t>公里</w:t>
            </w:r>
            <w:r>
              <w:rPr>
                <w:rFonts w:hint="eastAsia" w:ascii="宋体" w:hAnsi="宋体" w:eastAsia="宋体" w:cs="宋体"/>
                <w:color w:val="36363D"/>
                <w:kern w:val="2"/>
                <w:sz w:val="24"/>
                <w:szCs w:val="24"/>
                <w:highlight w:val="none"/>
                <w14:ligatures w14:val="none"/>
              </w:rPr>
              <w:t>，热力站2724座，热力井室8173座</w:t>
            </w:r>
            <w:r>
              <w:rPr>
                <w:rFonts w:hint="eastAsia" w:ascii="宋体" w:hAnsi="宋体" w:eastAsia="宋体" w:cs="宋体"/>
                <w:color w:val="36363D"/>
                <w:kern w:val="2"/>
                <w:sz w:val="24"/>
                <w:szCs w:val="24"/>
                <w:highlight w:val="none"/>
                <w:lang w:eastAsia="zh-CN"/>
                <w14:ligatures w14:val="none"/>
              </w:rPr>
              <w:t>。</w:t>
            </w:r>
          </w:p>
        </w:tc>
      </w:tr>
      <w:tr w14:paraId="3098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50" w:type="dxa"/>
            <w:vAlign w:val="center"/>
          </w:tcPr>
          <w:p w14:paraId="133ADAC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36363D"/>
                <w:kern w:val="2"/>
                <w:sz w:val="24"/>
                <w:szCs w:val="24"/>
                <w:highlight w:val="none"/>
                <w14:ligatures w14:val="none"/>
              </w:rPr>
            </w:pPr>
            <w:r>
              <w:rPr>
                <w:rFonts w:hint="eastAsia" w:ascii="宋体" w:hAnsi="宋体" w:eastAsia="宋体" w:cs="宋体"/>
                <w:color w:val="36363D"/>
                <w:kern w:val="2"/>
                <w:sz w:val="24"/>
                <w:szCs w:val="24"/>
                <w:highlight w:val="none"/>
                <w14:ligatures w14:val="none"/>
              </w:rPr>
              <w:t>排水</w:t>
            </w:r>
          </w:p>
        </w:tc>
        <w:tc>
          <w:tcPr>
            <w:tcW w:w="6952" w:type="dxa"/>
            <w:vAlign w:val="center"/>
          </w:tcPr>
          <w:p w14:paraId="7B47C8B5">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36363D"/>
                <w:kern w:val="2"/>
                <w:sz w:val="24"/>
                <w:szCs w:val="24"/>
                <w:highlight w:val="none"/>
                <w14:ligatures w14:val="none"/>
              </w:rPr>
            </w:pPr>
            <w:r>
              <w:rPr>
                <w:rFonts w:hint="eastAsia" w:ascii="宋体" w:hAnsi="宋体" w:eastAsia="宋体" w:cs="宋体"/>
                <w:color w:val="36363D"/>
                <w:kern w:val="2"/>
                <w:sz w:val="24"/>
                <w:szCs w:val="24"/>
                <w:highlight w:val="none"/>
                <w14:ligatures w14:val="none"/>
              </w:rPr>
              <w:t>排水管网长度4940</w:t>
            </w:r>
            <w:r>
              <w:rPr>
                <w:rFonts w:hint="eastAsia" w:ascii="宋体" w:hAnsi="宋体" w:eastAsia="宋体" w:cs="宋体"/>
                <w:color w:val="36363D"/>
                <w:kern w:val="2"/>
                <w:sz w:val="24"/>
                <w:szCs w:val="24"/>
                <w:highlight w:val="none"/>
                <w:lang w:val="en-US" w:eastAsia="zh-CN"/>
                <w14:ligatures w14:val="none"/>
              </w:rPr>
              <w:t>公里</w:t>
            </w:r>
            <w:r>
              <w:rPr>
                <w:rFonts w:hint="eastAsia" w:ascii="宋体" w:hAnsi="宋体" w:eastAsia="宋体" w:cs="宋体"/>
                <w:color w:val="36363D"/>
                <w:kern w:val="2"/>
                <w:sz w:val="24"/>
                <w:szCs w:val="24"/>
                <w:highlight w:val="none"/>
                <w14:ligatures w14:val="none"/>
              </w:rPr>
              <w:t>，104座雨污泵站，5座城市生活污水处理厂。</w:t>
            </w:r>
          </w:p>
        </w:tc>
      </w:tr>
      <w:tr w14:paraId="5166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50" w:type="dxa"/>
            <w:vAlign w:val="center"/>
          </w:tcPr>
          <w:p w14:paraId="2FC7612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36363D"/>
                <w:kern w:val="2"/>
                <w:sz w:val="24"/>
                <w:szCs w:val="24"/>
                <w:highlight w:val="none"/>
                <w14:ligatures w14:val="none"/>
              </w:rPr>
            </w:pPr>
            <w:r>
              <w:rPr>
                <w:rFonts w:hint="eastAsia" w:ascii="宋体" w:hAnsi="宋体" w:eastAsia="宋体" w:cs="宋体"/>
                <w:color w:val="36363D"/>
                <w:kern w:val="2"/>
                <w:sz w:val="24"/>
                <w:szCs w:val="24"/>
                <w:highlight w:val="none"/>
                <w14:ligatures w14:val="none"/>
              </w:rPr>
              <w:t>桥隧</w:t>
            </w:r>
          </w:p>
        </w:tc>
        <w:tc>
          <w:tcPr>
            <w:tcW w:w="6952" w:type="dxa"/>
            <w:vAlign w:val="center"/>
          </w:tcPr>
          <w:p w14:paraId="13A99B60">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36363D"/>
                <w:kern w:val="2"/>
                <w:sz w:val="24"/>
                <w:szCs w:val="24"/>
                <w:highlight w:val="none"/>
                <w:lang w:eastAsia="zh-CN"/>
                <w14:ligatures w14:val="none"/>
              </w:rPr>
            </w:pPr>
            <w:r>
              <w:rPr>
                <w:rFonts w:hint="eastAsia" w:ascii="宋体" w:hAnsi="宋体" w:eastAsia="宋体" w:cs="宋体"/>
                <w:color w:val="36363D"/>
                <w:kern w:val="2"/>
                <w:sz w:val="24"/>
                <w:szCs w:val="24"/>
                <w:highlight w:val="none"/>
                <w14:ligatures w14:val="none"/>
              </w:rPr>
              <w:t>桥隧847座、隧道133座</w:t>
            </w:r>
            <w:r>
              <w:rPr>
                <w:rFonts w:hint="eastAsia" w:ascii="宋体" w:hAnsi="宋体" w:eastAsia="宋体" w:cs="宋体"/>
                <w:color w:val="36363D"/>
                <w:kern w:val="2"/>
                <w:sz w:val="24"/>
                <w:szCs w:val="24"/>
                <w:highlight w:val="none"/>
                <w:lang w:eastAsia="zh-CN"/>
                <w14:ligatures w14:val="none"/>
              </w:rPr>
              <w:t>。</w:t>
            </w:r>
          </w:p>
        </w:tc>
      </w:tr>
      <w:tr w14:paraId="6089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450" w:type="dxa"/>
            <w:vAlign w:val="center"/>
          </w:tcPr>
          <w:p w14:paraId="5FFD48A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36363D"/>
                <w:kern w:val="2"/>
                <w:sz w:val="24"/>
                <w:szCs w:val="24"/>
                <w:highlight w:val="none"/>
                <w14:ligatures w14:val="none"/>
              </w:rPr>
            </w:pPr>
            <w:r>
              <w:rPr>
                <w:rFonts w:hint="eastAsia" w:ascii="宋体" w:hAnsi="宋体" w:eastAsia="宋体" w:cs="宋体"/>
                <w:color w:val="36363D"/>
                <w:kern w:val="2"/>
                <w:sz w:val="24"/>
                <w:szCs w:val="24"/>
                <w:highlight w:val="none"/>
                <w14:ligatures w14:val="none"/>
              </w:rPr>
              <w:t>综合管廊</w:t>
            </w:r>
          </w:p>
        </w:tc>
        <w:tc>
          <w:tcPr>
            <w:tcW w:w="6952" w:type="dxa"/>
            <w:vAlign w:val="center"/>
          </w:tcPr>
          <w:p w14:paraId="3C76F7BE">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36363D"/>
                <w:kern w:val="2"/>
                <w:sz w:val="24"/>
                <w:szCs w:val="24"/>
                <w:highlight w:val="none"/>
                <w14:ligatures w14:val="none"/>
              </w:rPr>
            </w:pPr>
            <w:r>
              <w:rPr>
                <w:rFonts w:hint="eastAsia" w:ascii="宋体" w:hAnsi="宋体" w:eastAsia="宋体" w:cs="宋体"/>
                <w:color w:val="36363D"/>
                <w:kern w:val="2"/>
                <w:sz w:val="24"/>
                <w:szCs w:val="24"/>
                <w:highlight w:val="none"/>
                <w14:ligatures w14:val="none"/>
              </w:rPr>
              <w:t>综合管廊10.15</w:t>
            </w:r>
            <w:r>
              <w:rPr>
                <w:rFonts w:hint="eastAsia" w:ascii="宋体" w:hAnsi="宋体" w:eastAsia="宋体" w:cs="宋体"/>
                <w:color w:val="36363D"/>
                <w:kern w:val="2"/>
                <w:sz w:val="24"/>
                <w:szCs w:val="24"/>
                <w:highlight w:val="none"/>
                <w:lang w:val="en-US" w:eastAsia="zh-CN"/>
                <w14:ligatures w14:val="none"/>
              </w:rPr>
              <w:t>公里。</w:t>
            </w:r>
          </w:p>
        </w:tc>
      </w:tr>
    </w:tbl>
    <w:p w14:paraId="25536BBF">
      <w:pPr>
        <w:spacing w:line="312" w:lineRule="auto"/>
        <w:ind w:firstLine="482" w:firstLineChars="200"/>
        <w:rPr>
          <w:rFonts w:hint="eastAsia" w:ascii="宋体" w:hAnsi="宋体" w:eastAsia="宋体" w:cs="宋体"/>
          <w:b/>
          <w:bCs/>
          <w:color w:val="36363D"/>
          <w:kern w:val="0"/>
          <w:sz w:val="24"/>
          <w:highlight w:val="none"/>
        </w:rPr>
      </w:pPr>
      <w:r>
        <w:rPr>
          <w:rFonts w:hint="eastAsia" w:ascii="宋体" w:hAnsi="宋体" w:eastAsia="宋体" w:cs="宋体"/>
          <w:b/>
          <w:bCs/>
          <w:color w:val="36363D"/>
          <w:kern w:val="0"/>
          <w:sz w:val="24"/>
          <w:highlight w:val="none"/>
          <w:lang w:val="en-US" w:eastAsia="zh-CN"/>
        </w:rPr>
        <w:t>3.</w:t>
      </w:r>
      <w:r>
        <w:rPr>
          <w:rFonts w:hint="eastAsia" w:ascii="宋体" w:hAnsi="宋体" w:eastAsia="宋体" w:cs="宋体"/>
          <w:b/>
          <w:bCs/>
          <w:color w:val="36363D"/>
          <w:kern w:val="0"/>
          <w:sz w:val="24"/>
          <w:highlight w:val="none"/>
        </w:rPr>
        <w:t>技术要求</w:t>
      </w:r>
    </w:p>
    <w:p w14:paraId="28B5E576">
      <w:pPr>
        <w:spacing w:line="312" w:lineRule="auto"/>
        <w:ind w:firstLine="480" w:firstLineChars="200"/>
        <w:rPr>
          <w:rFonts w:hint="eastAsia" w:ascii="宋体" w:hAnsi="宋体" w:eastAsia="宋体" w:cs="宋体"/>
          <w:color w:val="36363D"/>
          <w:kern w:val="0"/>
          <w:sz w:val="24"/>
          <w:highlight w:val="none"/>
        </w:rPr>
      </w:pPr>
      <w:r>
        <w:rPr>
          <w:rFonts w:hint="eastAsia" w:ascii="宋体" w:hAnsi="宋体" w:eastAsia="宋体" w:cs="宋体"/>
          <w:color w:val="36363D"/>
          <w:kern w:val="0"/>
          <w:sz w:val="24"/>
          <w:highlight w:val="none"/>
        </w:rPr>
        <w:t>遵循国家、行业及地方现行标准规范，包括但不限于城市生命线安全工程相关标准、风险评估标准、数据共享与安全规范等，确保评估工作合规、科学、可追溯。</w:t>
      </w:r>
    </w:p>
    <w:p w14:paraId="6530B9B4">
      <w:pPr>
        <w:spacing w:line="312" w:lineRule="auto"/>
        <w:ind w:firstLine="480" w:firstLineChars="200"/>
        <w:rPr>
          <w:rFonts w:hint="eastAsia" w:ascii="宋体" w:hAnsi="宋体" w:eastAsia="宋体" w:cs="宋体"/>
          <w:color w:val="36363D"/>
          <w:kern w:val="0"/>
          <w:sz w:val="24"/>
          <w:highlight w:val="none"/>
        </w:rPr>
      </w:pPr>
      <w:r>
        <w:rPr>
          <w:rFonts w:hint="eastAsia" w:ascii="宋体" w:hAnsi="宋体" w:eastAsia="宋体" w:cs="宋体"/>
          <w:color w:val="36363D"/>
          <w:kern w:val="0"/>
          <w:sz w:val="24"/>
          <w:highlight w:val="none"/>
        </w:rPr>
        <w:t>覆盖供水、排水、燃气、热力、桥梁、隧道、综合管廊等全部城市生命线设施，实现全要素、全流程、全空间风险评估。</w:t>
      </w:r>
    </w:p>
    <w:p w14:paraId="1951266E">
      <w:pPr>
        <w:spacing w:line="312" w:lineRule="auto"/>
        <w:ind w:firstLine="480" w:firstLineChars="200"/>
        <w:rPr>
          <w:rFonts w:hint="eastAsia" w:ascii="宋体" w:hAnsi="宋体" w:eastAsia="宋体" w:cs="宋体"/>
          <w:color w:val="36363D"/>
          <w:kern w:val="0"/>
          <w:sz w:val="24"/>
          <w:highlight w:val="none"/>
        </w:rPr>
      </w:pPr>
      <w:r>
        <w:rPr>
          <w:rFonts w:hint="eastAsia" w:ascii="宋体" w:hAnsi="宋体" w:eastAsia="宋体" w:cs="宋体"/>
          <w:color w:val="36363D"/>
          <w:kern w:val="0"/>
          <w:sz w:val="24"/>
          <w:highlight w:val="none"/>
        </w:rPr>
        <w:t>采用资料分析+现场踏勘+检测监测+模型分析+专家论证相结合的综合评估方法，保证结果真实、精准、可落地。</w:t>
      </w:r>
    </w:p>
    <w:p w14:paraId="281B67EC">
      <w:pPr>
        <w:spacing w:line="312" w:lineRule="auto"/>
        <w:ind w:firstLine="480" w:firstLineChars="200"/>
        <w:rPr>
          <w:rFonts w:hint="eastAsia" w:ascii="宋体" w:hAnsi="宋体" w:eastAsia="宋体" w:cs="宋体"/>
          <w:color w:val="36363D"/>
          <w:kern w:val="0"/>
          <w:sz w:val="24"/>
          <w:highlight w:val="none"/>
        </w:rPr>
      </w:pPr>
      <w:r>
        <w:rPr>
          <w:rFonts w:hint="eastAsia" w:ascii="宋体" w:hAnsi="宋体" w:eastAsia="宋体" w:cs="宋体"/>
          <w:color w:val="36363D"/>
          <w:kern w:val="0"/>
          <w:sz w:val="24"/>
          <w:highlight w:val="none"/>
        </w:rPr>
        <w:t>评估成果需满足政府监管、工程建设、监测预警、应急处置等多场景应用要求，具备标准化、可视化、可更新特性。</w:t>
      </w:r>
    </w:p>
    <w:p w14:paraId="31397898">
      <w:pPr>
        <w:spacing w:line="312" w:lineRule="auto"/>
        <w:ind w:firstLine="480" w:firstLineChars="200"/>
        <w:rPr>
          <w:rFonts w:hint="eastAsia" w:ascii="宋体" w:hAnsi="宋体" w:eastAsia="宋体" w:cs="宋体"/>
          <w:color w:val="36363D"/>
          <w:kern w:val="0"/>
          <w:sz w:val="24"/>
          <w:highlight w:val="none"/>
          <w:lang w:eastAsia="zh-CN"/>
        </w:rPr>
      </w:pPr>
      <w:r>
        <w:rPr>
          <w:rFonts w:hint="eastAsia" w:ascii="宋体" w:hAnsi="宋体" w:eastAsia="宋体" w:cs="宋体"/>
          <w:color w:val="36363D"/>
          <w:kern w:val="0"/>
          <w:sz w:val="24"/>
          <w:highlight w:val="none"/>
        </w:rPr>
        <w:t>各行业专项风险评估详细技术要求如下表</w:t>
      </w:r>
      <w:r>
        <w:rPr>
          <w:rFonts w:hint="eastAsia" w:ascii="宋体" w:hAnsi="宋体" w:eastAsia="宋体" w:cs="宋体"/>
          <w:color w:val="36363D"/>
          <w:kern w:val="0"/>
          <w:sz w:val="24"/>
          <w:highlight w:val="none"/>
          <w:lang w:eastAsia="zh-CN"/>
        </w:rPr>
        <w:t>：</w:t>
      </w:r>
    </w:p>
    <w:tbl>
      <w:tblPr>
        <w:tblStyle w:val="33"/>
        <w:tblW w:w="9020" w:type="dxa"/>
        <w:jc w:val="center"/>
        <w:tblLayout w:type="autofit"/>
        <w:tblCellMar>
          <w:top w:w="0" w:type="dxa"/>
          <w:left w:w="108" w:type="dxa"/>
          <w:bottom w:w="0" w:type="dxa"/>
          <w:right w:w="108" w:type="dxa"/>
        </w:tblCellMar>
      </w:tblPr>
      <w:tblGrid>
        <w:gridCol w:w="849"/>
        <w:gridCol w:w="637"/>
        <w:gridCol w:w="637"/>
        <w:gridCol w:w="2694"/>
        <w:gridCol w:w="4203"/>
      </w:tblGrid>
      <w:tr w14:paraId="0672FF76">
        <w:tblPrEx>
          <w:tblCellMar>
            <w:top w:w="0" w:type="dxa"/>
            <w:left w:w="108" w:type="dxa"/>
            <w:bottom w:w="0" w:type="dxa"/>
            <w:right w:w="108" w:type="dxa"/>
          </w:tblCellMar>
        </w:tblPrEx>
        <w:trPr>
          <w:trHeight w:val="521"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33FDB4C1">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序号</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270C1FEA">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名称</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73118A5">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类目</w:t>
            </w:r>
          </w:p>
        </w:tc>
        <w:tc>
          <w:tcPr>
            <w:tcW w:w="2694" w:type="dxa"/>
            <w:vMerge w:val="restart"/>
            <w:tcBorders>
              <w:top w:val="single" w:color="auto" w:sz="4" w:space="0"/>
              <w:left w:val="single" w:color="auto" w:sz="4" w:space="0"/>
              <w:bottom w:val="single" w:color="000000" w:sz="4" w:space="0"/>
              <w:right w:val="single" w:color="auto" w:sz="4" w:space="0"/>
            </w:tcBorders>
            <w:vAlign w:val="center"/>
          </w:tcPr>
          <w:p w14:paraId="518B341A">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技术说明</w:t>
            </w:r>
          </w:p>
        </w:tc>
        <w:tc>
          <w:tcPr>
            <w:tcW w:w="4204" w:type="dxa"/>
            <w:vMerge w:val="restart"/>
            <w:tcBorders>
              <w:top w:val="single" w:color="auto" w:sz="4" w:space="0"/>
              <w:left w:val="single" w:color="auto" w:sz="4" w:space="0"/>
              <w:bottom w:val="single" w:color="000000" w:sz="4" w:space="0"/>
              <w:right w:val="single" w:color="auto" w:sz="4" w:space="0"/>
            </w:tcBorders>
            <w:vAlign w:val="center"/>
          </w:tcPr>
          <w:p w14:paraId="645AB231">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技术要求内容</w:t>
            </w:r>
          </w:p>
        </w:tc>
      </w:tr>
      <w:tr w14:paraId="1068AF1B">
        <w:tblPrEx>
          <w:tblCellMar>
            <w:top w:w="0" w:type="dxa"/>
            <w:left w:w="108" w:type="dxa"/>
            <w:bottom w:w="0" w:type="dxa"/>
            <w:right w:w="108" w:type="dxa"/>
          </w:tblCellMar>
        </w:tblPrEx>
        <w:trPr>
          <w:trHeight w:val="4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BEF670">
            <w:pPr>
              <w:widowControl/>
              <w:spacing w:after="0" w:line="240" w:lineRule="auto"/>
              <w:jc w:val="both"/>
              <w:rPr>
                <w:rFonts w:hint="eastAsia" w:ascii="宋体" w:hAnsi="宋体" w:eastAsia="宋体" w:cs="宋体"/>
                <w:b/>
                <w:bCs/>
                <w:color w:val="36363D"/>
                <w:kern w:val="0"/>
                <w:szCs w:val="22"/>
                <w:highlight w:val="none"/>
                <w14:ligatures w14: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00CC61">
            <w:pPr>
              <w:widowControl/>
              <w:spacing w:after="0" w:line="240" w:lineRule="auto"/>
              <w:jc w:val="both"/>
              <w:rPr>
                <w:rFonts w:hint="eastAsia" w:ascii="宋体" w:hAnsi="宋体" w:eastAsia="宋体" w:cs="宋体"/>
                <w:b/>
                <w:bCs/>
                <w:color w:val="36363D"/>
                <w:kern w:val="0"/>
                <w:szCs w:val="22"/>
                <w:highlight w:val="none"/>
                <w14:ligatures w14: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AD66BB">
            <w:pPr>
              <w:widowControl/>
              <w:spacing w:after="0" w:line="240" w:lineRule="auto"/>
              <w:jc w:val="both"/>
              <w:rPr>
                <w:rFonts w:hint="eastAsia" w:ascii="宋体" w:hAnsi="宋体" w:eastAsia="宋体" w:cs="宋体"/>
                <w:b/>
                <w:bCs/>
                <w:color w:val="36363D"/>
                <w:kern w:val="0"/>
                <w:szCs w:val="22"/>
                <w:highlight w:val="none"/>
                <w14:ligatures w14:val="none"/>
              </w:rPr>
            </w:pPr>
          </w:p>
        </w:tc>
        <w:tc>
          <w:tcPr>
            <w:tcW w:w="2694" w:type="dxa"/>
            <w:vMerge w:val="continue"/>
            <w:tcBorders>
              <w:top w:val="single" w:color="auto" w:sz="4" w:space="0"/>
              <w:left w:val="single" w:color="auto" w:sz="4" w:space="0"/>
              <w:bottom w:val="single" w:color="000000" w:sz="4" w:space="0"/>
              <w:right w:val="single" w:color="auto" w:sz="4" w:space="0"/>
            </w:tcBorders>
            <w:vAlign w:val="center"/>
          </w:tcPr>
          <w:p w14:paraId="214ABDF8">
            <w:pPr>
              <w:widowControl/>
              <w:spacing w:after="0" w:line="240" w:lineRule="auto"/>
              <w:jc w:val="both"/>
              <w:rPr>
                <w:rFonts w:hint="eastAsia" w:ascii="宋体" w:hAnsi="宋体" w:eastAsia="宋体" w:cs="宋体"/>
                <w:b/>
                <w:bCs/>
                <w:color w:val="36363D"/>
                <w:kern w:val="0"/>
                <w:szCs w:val="22"/>
                <w:highlight w:val="none"/>
                <w14:ligatures w14:val="none"/>
              </w:rPr>
            </w:pPr>
          </w:p>
        </w:tc>
        <w:tc>
          <w:tcPr>
            <w:tcW w:w="4204" w:type="dxa"/>
            <w:vMerge w:val="continue"/>
            <w:tcBorders>
              <w:top w:val="single" w:color="auto" w:sz="4" w:space="0"/>
              <w:left w:val="single" w:color="auto" w:sz="4" w:space="0"/>
              <w:bottom w:val="single" w:color="000000" w:sz="4" w:space="0"/>
              <w:right w:val="single" w:color="auto" w:sz="4" w:space="0"/>
            </w:tcBorders>
            <w:vAlign w:val="center"/>
          </w:tcPr>
          <w:p w14:paraId="4B66A91C">
            <w:pPr>
              <w:widowControl/>
              <w:spacing w:after="0" w:line="240" w:lineRule="auto"/>
              <w:jc w:val="both"/>
              <w:rPr>
                <w:rFonts w:hint="eastAsia" w:ascii="宋体" w:hAnsi="宋体" w:eastAsia="宋体" w:cs="宋体"/>
                <w:b/>
                <w:bCs/>
                <w:color w:val="36363D"/>
                <w:kern w:val="0"/>
                <w:szCs w:val="22"/>
                <w:highlight w:val="none"/>
                <w14:ligatures w14:val="none"/>
              </w:rPr>
            </w:pPr>
          </w:p>
        </w:tc>
      </w:tr>
      <w:tr w14:paraId="5F7C3E09">
        <w:tblPrEx>
          <w:tblCellMar>
            <w:top w:w="0" w:type="dxa"/>
            <w:left w:w="108" w:type="dxa"/>
            <w:bottom w:w="0" w:type="dxa"/>
            <w:right w:w="108" w:type="dxa"/>
          </w:tblCellMar>
        </w:tblPrEx>
        <w:trPr>
          <w:trHeight w:val="560" w:hRule="atLeast"/>
          <w:jc w:val="center"/>
        </w:trPr>
        <w:tc>
          <w:tcPr>
            <w:tcW w:w="9020" w:type="dxa"/>
            <w:gridSpan w:val="5"/>
            <w:tcBorders>
              <w:top w:val="single" w:color="auto" w:sz="4" w:space="0"/>
              <w:left w:val="single" w:color="auto" w:sz="4" w:space="0"/>
              <w:bottom w:val="single" w:color="auto" w:sz="4" w:space="0"/>
              <w:right w:val="single" w:color="auto" w:sz="4" w:space="0"/>
            </w:tcBorders>
            <w:vAlign w:val="center"/>
          </w:tcPr>
          <w:p w14:paraId="1B1259EE">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城市生命线风险评估</w:t>
            </w:r>
          </w:p>
        </w:tc>
      </w:tr>
      <w:tr w14:paraId="29A9F122">
        <w:tblPrEx>
          <w:tblCellMar>
            <w:top w:w="0" w:type="dxa"/>
            <w:left w:w="108" w:type="dxa"/>
            <w:bottom w:w="0" w:type="dxa"/>
            <w:right w:w="108" w:type="dxa"/>
          </w:tblCellMar>
        </w:tblPrEx>
        <w:trPr>
          <w:trHeight w:val="400" w:hRule="atLeast"/>
          <w:jc w:val="center"/>
        </w:trPr>
        <w:tc>
          <w:tcPr>
            <w:tcW w:w="0" w:type="auto"/>
            <w:tcBorders>
              <w:top w:val="nil"/>
              <w:left w:val="single" w:color="auto" w:sz="4" w:space="0"/>
              <w:bottom w:val="single" w:color="auto" w:sz="4" w:space="0"/>
              <w:right w:val="single" w:color="auto" w:sz="4" w:space="0"/>
            </w:tcBorders>
            <w:noWrap/>
            <w:vAlign w:val="center"/>
          </w:tcPr>
          <w:p w14:paraId="3C64D3B5">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（一）</w:t>
            </w:r>
          </w:p>
        </w:tc>
        <w:tc>
          <w:tcPr>
            <w:tcW w:w="8144" w:type="dxa"/>
            <w:gridSpan w:val="4"/>
            <w:tcBorders>
              <w:top w:val="single" w:color="auto" w:sz="4" w:space="0"/>
              <w:left w:val="nil"/>
              <w:bottom w:val="single" w:color="auto" w:sz="4" w:space="0"/>
              <w:right w:val="single" w:color="000000" w:sz="4" w:space="0"/>
            </w:tcBorders>
            <w:vAlign w:val="center"/>
          </w:tcPr>
          <w:p w14:paraId="031AAAF0">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燃气专项风险评估</w:t>
            </w:r>
          </w:p>
        </w:tc>
      </w:tr>
      <w:tr w14:paraId="206287C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794718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w:t>
            </w:r>
          </w:p>
        </w:tc>
        <w:tc>
          <w:tcPr>
            <w:tcW w:w="0" w:type="auto"/>
            <w:vMerge w:val="restart"/>
            <w:tcBorders>
              <w:top w:val="nil"/>
              <w:left w:val="single" w:color="auto" w:sz="4" w:space="0"/>
              <w:bottom w:val="nil"/>
              <w:right w:val="single" w:color="auto" w:sz="4" w:space="0"/>
            </w:tcBorders>
            <w:vAlign w:val="center"/>
          </w:tcPr>
          <w:p w14:paraId="14D5240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燃气专项风险评估小计</w:t>
            </w:r>
          </w:p>
        </w:tc>
        <w:tc>
          <w:tcPr>
            <w:tcW w:w="0" w:type="auto"/>
            <w:vMerge w:val="restart"/>
            <w:tcBorders>
              <w:top w:val="nil"/>
              <w:left w:val="single" w:color="auto" w:sz="4" w:space="0"/>
              <w:bottom w:val="single" w:color="auto" w:sz="4" w:space="0"/>
              <w:right w:val="single" w:color="auto" w:sz="4" w:space="0"/>
            </w:tcBorders>
            <w:vAlign w:val="center"/>
          </w:tcPr>
          <w:p w14:paraId="4FD34F3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燃气专项调研设计</w:t>
            </w:r>
          </w:p>
        </w:tc>
        <w:tc>
          <w:tcPr>
            <w:tcW w:w="2694" w:type="dxa"/>
            <w:vMerge w:val="restart"/>
            <w:tcBorders>
              <w:top w:val="nil"/>
              <w:left w:val="single" w:color="auto" w:sz="4" w:space="0"/>
              <w:bottom w:val="single" w:color="000000" w:sz="4" w:space="0"/>
              <w:right w:val="single" w:color="auto" w:sz="4" w:space="0"/>
            </w:tcBorders>
            <w:vAlign w:val="center"/>
          </w:tcPr>
          <w:p w14:paraId="7893FAA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针对燃气专项进行调研设计，并输出《燃气专项调研表》</w:t>
            </w:r>
          </w:p>
        </w:tc>
        <w:tc>
          <w:tcPr>
            <w:tcW w:w="4204" w:type="dxa"/>
            <w:tcBorders>
              <w:top w:val="nil"/>
              <w:left w:val="nil"/>
              <w:bottom w:val="single" w:color="auto" w:sz="4" w:space="0"/>
              <w:right w:val="single" w:color="auto" w:sz="4" w:space="0"/>
            </w:tcBorders>
            <w:vAlign w:val="center"/>
          </w:tcPr>
          <w:p w14:paraId="6003BF8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燃气管线基础数据梳理</w:t>
            </w:r>
          </w:p>
        </w:tc>
      </w:tr>
      <w:tr w14:paraId="46033D6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F00354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w:t>
            </w:r>
          </w:p>
        </w:tc>
        <w:tc>
          <w:tcPr>
            <w:tcW w:w="0" w:type="auto"/>
            <w:vMerge w:val="continue"/>
            <w:tcBorders>
              <w:top w:val="nil"/>
              <w:left w:val="single" w:color="auto" w:sz="4" w:space="0"/>
              <w:bottom w:val="nil"/>
              <w:right w:val="single" w:color="auto" w:sz="4" w:space="0"/>
            </w:tcBorders>
            <w:vAlign w:val="center"/>
          </w:tcPr>
          <w:p w14:paraId="460A0B3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A5E009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349B47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D9D0CA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燃气设施基础属性梳理</w:t>
            </w:r>
          </w:p>
        </w:tc>
      </w:tr>
      <w:tr w14:paraId="6C92A39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557B98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w:t>
            </w:r>
          </w:p>
        </w:tc>
        <w:tc>
          <w:tcPr>
            <w:tcW w:w="0" w:type="auto"/>
            <w:vMerge w:val="continue"/>
            <w:tcBorders>
              <w:top w:val="nil"/>
              <w:left w:val="single" w:color="auto" w:sz="4" w:space="0"/>
              <w:bottom w:val="nil"/>
              <w:right w:val="single" w:color="auto" w:sz="4" w:space="0"/>
            </w:tcBorders>
            <w:vAlign w:val="center"/>
          </w:tcPr>
          <w:p w14:paraId="1174C4A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7A95AB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709F7B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471347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燃气设施运行监测数据梳理</w:t>
            </w:r>
          </w:p>
        </w:tc>
      </w:tr>
      <w:tr w14:paraId="13EB755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09A4CB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w:t>
            </w:r>
          </w:p>
        </w:tc>
        <w:tc>
          <w:tcPr>
            <w:tcW w:w="0" w:type="auto"/>
            <w:vMerge w:val="continue"/>
            <w:tcBorders>
              <w:top w:val="nil"/>
              <w:left w:val="single" w:color="auto" w:sz="4" w:space="0"/>
              <w:bottom w:val="nil"/>
              <w:right w:val="single" w:color="auto" w:sz="4" w:space="0"/>
            </w:tcBorders>
            <w:vAlign w:val="center"/>
          </w:tcPr>
          <w:p w14:paraId="4A7CF9B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785C6E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22BDCA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7BC41D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燃气设施周边环境风险数据梳理</w:t>
            </w:r>
          </w:p>
        </w:tc>
      </w:tr>
      <w:tr w14:paraId="68DE3C5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B00E2D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w:t>
            </w:r>
          </w:p>
        </w:tc>
        <w:tc>
          <w:tcPr>
            <w:tcW w:w="0" w:type="auto"/>
            <w:vMerge w:val="continue"/>
            <w:tcBorders>
              <w:top w:val="nil"/>
              <w:left w:val="single" w:color="auto" w:sz="4" w:space="0"/>
              <w:bottom w:val="nil"/>
              <w:right w:val="single" w:color="auto" w:sz="4" w:space="0"/>
            </w:tcBorders>
            <w:vAlign w:val="center"/>
          </w:tcPr>
          <w:p w14:paraId="7C0A5AD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44AFD8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BED431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834A14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燃气设施历史隐患事件记录梳理</w:t>
            </w:r>
          </w:p>
        </w:tc>
      </w:tr>
      <w:tr w14:paraId="2F5D141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0BEDB2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w:t>
            </w:r>
          </w:p>
        </w:tc>
        <w:tc>
          <w:tcPr>
            <w:tcW w:w="0" w:type="auto"/>
            <w:vMerge w:val="continue"/>
            <w:tcBorders>
              <w:top w:val="nil"/>
              <w:left w:val="single" w:color="auto" w:sz="4" w:space="0"/>
              <w:bottom w:val="nil"/>
              <w:right w:val="single" w:color="auto" w:sz="4" w:space="0"/>
            </w:tcBorders>
            <w:vAlign w:val="center"/>
          </w:tcPr>
          <w:p w14:paraId="24EA74C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18F020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64DE3E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52C8CC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燃气调研表字段细化</w:t>
            </w:r>
          </w:p>
        </w:tc>
      </w:tr>
      <w:tr w14:paraId="4689152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0D8161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w:t>
            </w:r>
          </w:p>
        </w:tc>
        <w:tc>
          <w:tcPr>
            <w:tcW w:w="0" w:type="auto"/>
            <w:vMerge w:val="continue"/>
            <w:tcBorders>
              <w:top w:val="nil"/>
              <w:left w:val="single" w:color="auto" w:sz="4" w:space="0"/>
              <w:bottom w:val="nil"/>
              <w:right w:val="single" w:color="auto" w:sz="4" w:space="0"/>
            </w:tcBorders>
            <w:vAlign w:val="center"/>
          </w:tcPr>
          <w:p w14:paraId="1CD332A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D4A745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C5E721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E4ADA3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燃气调研表设计</w:t>
            </w:r>
          </w:p>
        </w:tc>
      </w:tr>
      <w:tr w14:paraId="1EB187B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3FD074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w:t>
            </w:r>
          </w:p>
        </w:tc>
        <w:tc>
          <w:tcPr>
            <w:tcW w:w="0" w:type="auto"/>
            <w:vMerge w:val="continue"/>
            <w:tcBorders>
              <w:top w:val="nil"/>
              <w:left w:val="single" w:color="auto" w:sz="4" w:space="0"/>
              <w:bottom w:val="nil"/>
              <w:right w:val="single" w:color="auto" w:sz="4" w:space="0"/>
            </w:tcBorders>
            <w:vAlign w:val="center"/>
          </w:tcPr>
          <w:p w14:paraId="6D0C282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066D03F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燃气专项资料收集</w:t>
            </w:r>
          </w:p>
        </w:tc>
        <w:tc>
          <w:tcPr>
            <w:tcW w:w="2694" w:type="dxa"/>
            <w:vMerge w:val="restart"/>
            <w:tcBorders>
              <w:top w:val="nil"/>
              <w:left w:val="single" w:color="auto" w:sz="4" w:space="0"/>
              <w:bottom w:val="single" w:color="000000" w:sz="4" w:space="0"/>
              <w:right w:val="single" w:color="auto" w:sz="4" w:space="0"/>
            </w:tcBorders>
            <w:vAlign w:val="center"/>
          </w:tcPr>
          <w:p w14:paraId="1F3EADC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根据《燃气专项调研表》进行资料搜集并录入</w:t>
            </w:r>
          </w:p>
        </w:tc>
        <w:tc>
          <w:tcPr>
            <w:tcW w:w="4204" w:type="dxa"/>
            <w:tcBorders>
              <w:top w:val="nil"/>
              <w:left w:val="nil"/>
              <w:bottom w:val="single" w:color="auto" w:sz="4" w:space="0"/>
              <w:right w:val="single" w:color="auto" w:sz="4" w:space="0"/>
            </w:tcBorders>
            <w:vAlign w:val="center"/>
          </w:tcPr>
          <w:p w14:paraId="429E170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燃气相关法律、法规、规章、标准和文件</w:t>
            </w:r>
          </w:p>
        </w:tc>
      </w:tr>
      <w:tr w14:paraId="18B6BEE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BAF600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w:t>
            </w:r>
          </w:p>
        </w:tc>
        <w:tc>
          <w:tcPr>
            <w:tcW w:w="0" w:type="auto"/>
            <w:vMerge w:val="continue"/>
            <w:tcBorders>
              <w:top w:val="nil"/>
              <w:left w:val="single" w:color="auto" w:sz="4" w:space="0"/>
              <w:bottom w:val="nil"/>
              <w:right w:val="single" w:color="auto" w:sz="4" w:space="0"/>
            </w:tcBorders>
            <w:vAlign w:val="center"/>
          </w:tcPr>
          <w:p w14:paraId="3204A8E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7D0085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2DC154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029C07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国内相关研究报告、技术标准、文献</w:t>
            </w:r>
          </w:p>
        </w:tc>
      </w:tr>
      <w:tr w14:paraId="2B321C0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5C6930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w:t>
            </w:r>
          </w:p>
        </w:tc>
        <w:tc>
          <w:tcPr>
            <w:tcW w:w="0" w:type="auto"/>
            <w:vMerge w:val="continue"/>
            <w:tcBorders>
              <w:top w:val="nil"/>
              <w:left w:val="single" w:color="auto" w:sz="4" w:space="0"/>
              <w:bottom w:val="nil"/>
              <w:right w:val="single" w:color="auto" w:sz="4" w:space="0"/>
            </w:tcBorders>
            <w:vAlign w:val="center"/>
          </w:tcPr>
          <w:p w14:paraId="1E03A86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D60FD2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CDC39F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7A8F4E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国内外相关灾害事故案例及调查分析资料</w:t>
            </w:r>
          </w:p>
        </w:tc>
      </w:tr>
      <w:tr w14:paraId="7159FFF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C6B328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w:t>
            </w:r>
          </w:p>
        </w:tc>
        <w:tc>
          <w:tcPr>
            <w:tcW w:w="0" w:type="auto"/>
            <w:vMerge w:val="continue"/>
            <w:tcBorders>
              <w:top w:val="nil"/>
              <w:left w:val="single" w:color="auto" w:sz="4" w:space="0"/>
              <w:bottom w:val="nil"/>
              <w:right w:val="single" w:color="auto" w:sz="4" w:space="0"/>
            </w:tcBorders>
            <w:vAlign w:val="center"/>
          </w:tcPr>
          <w:p w14:paraId="777F59E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BA82D4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DDF136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1F933C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燃气安全风险源相关资料</w:t>
            </w:r>
          </w:p>
        </w:tc>
      </w:tr>
      <w:tr w14:paraId="2CABD1E1">
        <w:tblPrEx>
          <w:tblCellMar>
            <w:top w:w="0" w:type="dxa"/>
            <w:left w:w="108" w:type="dxa"/>
            <w:bottom w:w="0" w:type="dxa"/>
            <w:right w:w="108" w:type="dxa"/>
          </w:tblCellMar>
        </w:tblPrEx>
        <w:trPr>
          <w:trHeight w:val="1120" w:hRule="atLeast"/>
          <w:jc w:val="center"/>
        </w:trPr>
        <w:tc>
          <w:tcPr>
            <w:tcW w:w="0" w:type="auto"/>
            <w:tcBorders>
              <w:top w:val="nil"/>
              <w:left w:val="single" w:color="auto" w:sz="4" w:space="0"/>
              <w:bottom w:val="single" w:color="auto" w:sz="4" w:space="0"/>
              <w:right w:val="single" w:color="auto" w:sz="4" w:space="0"/>
            </w:tcBorders>
            <w:noWrap/>
            <w:vAlign w:val="center"/>
          </w:tcPr>
          <w:p w14:paraId="24BCFB4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w:t>
            </w:r>
          </w:p>
        </w:tc>
        <w:tc>
          <w:tcPr>
            <w:tcW w:w="0" w:type="auto"/>
            <w:vMerge w:val="continue"/>
            <w:tcBorders>
              <w:top w:val="nil"/>
              <w:left w:val="single" w:color="auto" w:sz="4" w:space="0"/>
              <w:bottom w:val="nil"/>
              <w:right w:val="single" w:color="auto" w:sz="4" w:space="0"/>
            </w:tcBorders>
            <w:vAlign w:val="center"/>
          </w:tcPr>
          <w:p w14:paraId="010078C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A266E0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F5775B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94C69F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气候、遥感影像、测绘地理信息及地理实体、区域经济、人口等社会基本信息，及安全规划、产业发展规划等发展规划相关数据资料信息；</w:t>
            </w:r>
          </w:p>
        </w:tc>
      </w:tr>
      <w:tr w14:paraId="69BCF07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69F654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13</w:t>
            </w:r>
          </w:p>
        </w:tc>
        <w:tc>
          <w:tcPr>
            <w:tcW w:w="0" w:type="auto"/>
            <w:vMerge w:val="continue"/>
            <w:tcBorders>
              <w:top w:val="nil"/>
              <w:left w:val="single" w:color="auto" w:sz="4" w:space="0"/>
              <w:bottom w:val="nil"/>
              <w:right w:val="single" w:color="auto" w:sz="4" w:space="0"/>
            </w:tcBorders>
            <w:vAlign w:val="center"/>
          </w:tcPr>
          <w:p w14:paraId="3BFC312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4F6640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B686FF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09BD6C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应急资源调查报告</w:t>
            </w:r>
          </w:p>
        </w:tc>
      </w:tr>
      <w:tr w14:paraId="2E6D9A2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062EB8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14</w:t>
            </w:r>
          </w:p>
        </w:tc>
        <w:tc>
          <w:tcPr>
            <w:tcW w:w="0" w:type="auto"/>
            <w:vMerge w:val="continue"/>
            <w:tcBorders>
              <w:top w:val="nil"/>
              <w:left w:val="single" w:color="auto" w:sz="4" w:space="0"/>
              <w:bottom w:val="nil"/>
              <w:right w:val="single" w:color="auto" w:sz="4" w:space="0"/>
            </w:tcBorders>
            <w:vAlign w:val="center"/>
          </w:tcPr>
          <w:p w14:paraId="3DF2D7D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84F0A4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B492D7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161FD8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防护目标资料</w:t>
            </w:r>
          </w:p>
        </w:tc>
      </w:tr>
      <w:tr w14:paraId="28B7220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DC01B2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15</w:t>
            </w:r>
          </w:p>
        </w:tc>
        <w:tc>
          <w:tcPr>
            <w:tcW w:w="0" w:type="auto"/>
            <w:vMerge w:val="continue"/>
            <w:tcBorders>
              <w:top w:val="nil"/>
              <w:left w:val="single" w:color="auto" w:sz="4" w:space="0"/>
              <w:bottom w:val="nil"/>
              <w:right w:val="single" w:color="auto" w:sz="4" w:space="0"/>
            </w:tcBorders>
            <w:vAlign w:val="center"/>
          </w:tcPr>
          <w:p w14:paraId="0DDE24C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E357A9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4AD220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0FFA70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管线历史上加固、修复、变更等情况</w:t>
            </w:r>
          </w:p>
        </w:tc>
      </w:tr>
      <w:tr w14:paraId="0E5C0F7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4A14EC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16</w:t>
            </w:r>
          </w:p>
        </w:tc>
        <w:tc>
          <w:tcPr>
            <w:tcW w:w="0" w:type="auto"/>
            <w:vMerge w:val="continue"/>
            <w:tcBorders>
              <w:top w:val="nil"/>
              <w:left w:val="single" w:color="auto" w:sz="4" w:space="0"/>
              <w:bottom w:val="nil"/>
              <w:right w:val="single" w:color="auto" w:sz="4" w:space="0"/>
            </w:tcBorders>
            <w:vAlign w:val="center"/>
          </w:tcPr>
          <w:p w14:paraId="0B57A87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CE5DED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9A2347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EC2D38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燃气内部管理规定、制度</w:t>
            </w:r>
          </w:p>
        </w:tc>
      </w:tr>
      <w:tr w14:paraId="17956CE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CCA64A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17</w:t>
            </w:r>
          </w:p>
        </w:tc>
        <w:tc>
          <w:tcPr>
            <w:tcW w:w="0" w:type="auto"/>
            <w:vMerge w:val="continue"/>
            <w:tcBorders>
              <w:top w:val="nil"/>
              <w:left w:val="single" w:color="auto" w:sz="4" w:space="0"/>
              <w:bottom w:val="nil"/>
              <w:right w:val="single" w:color="auto" w:sz="4" w:space="0"/>
            </w:tcBorders>
            <w:vAlign w:val="center"/>
          </w:tcPr>
          <w:p w14:paraId="7B854B3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3A44FE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1995A2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3248E3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燃气系统设计/竣工</w:t>
            </w:r>
          </w:p>
        </w:tc>
      </w:tr>
      <w:tr w14:paraId="2E3D097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A7F21C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18</w:t>
            </w:r>
          </w:p>
        </w:tc>
        <w:tc>
          <w:tcPr>
            <w:tcW w:w="0" w:type="auto"/>
            <w:vMerge w:val="continue"/>
            <w:tcBorders>
              <w:top w:val="nil"/>
              <w:left w:val="single" w:color="auto" w:sz="4" w:space="0"/>
              <w:bottom w:val="nil"/>
              <w:right w:val="single" w:color="auto" w:sz="4" w:space="0"/>
            </w:tcBorders>
            <w:vAlign w:val="center"/>
          </w:tcPr>
          <w:p w14:paraId="5A40671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3BF272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74F036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D424B4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运行情况记录、管理资料</w:t>
            </w:r>
          </w:p>
        </w:tc>
      </w:tr>
      <w:tr w14:paraId="2D12A88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6A0B3E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19</w:t>
            </w:r>
          </w:p>
        </w:tc>
        <w:tc>
          <w:tcPr>
            <w:tcW w:w="0" w:type="auto"/>
            <w:vMerge w:val="continue"/>
            <w:tcBorders>
              <w:top w:val="nil"/>
              <w:left w:val="single" w:color="auto" w:sz="4" w:space="0"/>
              <w:bottom w:val="nil"/>
              <w:right w:val="single" w:color="auto" w:sz="4" w:space="0"/>
            </w:tcBorders>
            <w:vAlign w:val="center"/>
          </w:tcPr>
          <w:p w14:paraId="0E2396E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66166C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1AFA22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9EB7F5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突发事件应急预案</w:t>
            </w:r>
          </w:p>
        </w:tc>
      </w:tr>
      <w:tr w14:paraId="446FA0D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FD8108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20</w:t>
            </w:r>
          </w:p>
        </w:tc>
        <w:tc>
          <w:tcPr>
            <w:tcW w:w="0" w:type="auto"/>
            <w:vMerge w:val="continue"/>
            <w:tcBorders>
              <w:top w:val="nil"/>
              <w:left w:val="single" w:color="auto" w:sz="4" w:space="0"/>
              <w:bottom w:val="nil"/>
              <w:right w:val="single" w:color="auto" w:sz="4" w:space="0"/>
            </w:tcBorders>
            <w:vAlign w:val="center"/>
          </w:tcPr>
          <w:p w14:paraId="5EFE911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711D45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20CAA8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AF8015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周边环境</w:t>
            </w:r>
          </w:p>
        </w:tc>
      </w:tr>
      <w:tr w14:paraId="5833CA9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979D5A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21</w:t>
            </w:r>
          </w:p>
        </w:tc>
        <w:tc>
          <w:tcPr>
            <w:tcW w:w="0" w:type="auto"/>
            <w:vMerge w:val="continue"/>
            <w:tcBorders>
              <w:top w:val="nil"/>
              <w:left w:val="single" w:color="auto" w:sz="4" w:space="0"/>
              <w:bottom w:val="nil"/>
              <w:right w:val="single" w:color="auto" w:sz="4" w:space="0"/>
            </w:tcBorders>
            <w:vAlign w:val="center"/>
          </w:tcPr>
          <w:p w14:paraId="220581E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855D49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FC94B8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862FCA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燃气管道检测报告</w:t>
            </w:r>
          </w:p>
        </w:tc>
      </w:tr>
      <w:tr w14:paraId="0B3CC0A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5EFC2F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22</w:t>
            </w:r>
          </w:p>
        </w:tc>
        <w:tc>
          <w:tcPr>
            <w:tcW w:w="0" w:type="auto"/>
            <w:vMerge w:val="continue"/>
            <w:tcBorders>
              <w:top w:val="nil"/>
              <w:left w:val="single" w:color="auto" w:sz="4" w:space="0"/>
              <w:bottom w:val="nil"/>
              <w:right w:val="single" w:color="auto" w:sz="4" w:space="0"/>
            </w:tcBorders>
            <w:vAlign w:val="center"/>
          </w:tcPr>
          <w:p w14:paraId="6A1876B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78E5E2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BBE258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8B28A7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阀门井</w:t>
            </w:r>
          </w:p>
        </w:tc>
      </w:tr>
      <w:tr w14:paraId="77A9ED3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4B7856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23</w:t>
            </w:r>
          </w:p>
        </w:tc>
        <w:tc>
          <w:tcPr>
            <w:tcW w:w="0" w:type="auto"/>
            <w:vMerge w:val="continue"/>
            <w:tcBorders>
              <w:top w:val="nil"/>
              <w:left w:val="single" w:color="auto" w:sz="4" w:space="0"/>
              <w:bottom w:val="nil"/>
              <w:right w:val="single" w:color="auto" w:sz="4" w:space="0"/>
            </w:tcBorders>
            <w:vAlign w:val="center"/>
          </w:tcPr>
          <w:p w14:paraId="7F84DBB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6EDD08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C6584D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DA4FB2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天然气场站</w:t>
            </w:r>
          </w:p>
        </w:tc>
      </w:tr>
      <w:tr w14:paraId="0EDA4FB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CFEC74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24</w:t>
            </w:r>
          </w:p>
        </w:tc>
        <w:tc>
          <w:tcPr>
            <w:tcW w:w="0" w:type="auto"/>
            <w:vMerge w:val="continue"/>
            <w:tcBorders>
              <w:top w:val="nil"/>
              <w:left w:val="single" w:color="auto" w:sz="4" w:space="0"/>
              <w:bottom w:val="nil"/>
              <w:right w:val="single" w:color="auto" w:sz="4" w:space="0"/>
            </w:tcBorders>
            <w:vAlign w:val="center"/>
          </w:tcPr>
          <w:p w14:paraId="652FB65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273601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F39C0B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5A4455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门站</w:t>
            </w:r>
          </w:p>
        </w:tc>
      </w:tr>
      <w:tr w14:paraId="1D63DAC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8306A9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25</w:t>
            </w:r>
          </w:p>
        </w:tc>
        <w:tc>
          <w:tcPr>
            <w:tcW w:w="0" w:type="auto"/>
            <w:vMerge w:val="continue"/>
            <w:tcBorders>
              <w:top w:val="nil"/>
              <w:left w:val="single" w:color="auto" w:sz="4" w:space="0"/>
              <w:bottom w:val="nil"/>
              <w:right w:val="single" w:color="auto" w:sz="4" w:space="0"/>
            </w:tcBorders>
            <w:vAlign w:val="center"/>
          </w:tcPr>
          <w:p w14:paraId="2475A6D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08DDE8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D9F57E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4FD32B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液化气站、储配站、加气站</w:t>
            </w:r>
          </w:p>
        </w:tc>
      </w:tr>
      <w:tr w14:paraId="2775000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ACBF86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26</w:t>
            </w:r>
          </w:p>
        </w:tc>
        <w:tc>
          <w:tcPr>
            <w:tcW w:w="0" w:type="auto"/>
            <w:vMerge w:val="continue"/>
            <w:tcBorders>
              <w:top w:val="nil"/>
              <w:left w:val="single" w:color="auto" w:sz="4" w:space="0"/>
              <w:bottom w:val="nil"/>
              <w:right w:val="single" w:color="auto" w:sz="4" w:space="0"/>
            </w:tcBorders>
            <w:vAlign w:val="center"/>
          </w:tcPr>
          <w:p w14:paraId="1E055C8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EBBDAC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7C5949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1E1F51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调压箱</w:t>
            </w:r>
          </w:p>
        </w:tc>
      </w:tr>
      <w:tr w14:paraId="0AD446B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E8DDDF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27</w:t>
            </w:r>
          </w:p>
        </w:tc>
        <w:tc>
          <w:tcPr>
            <w:tcW w:w="0" w:type="auto"/>
            <w:vMerge w:val="continue"/>
            <w:tcBorders>
              <w:top w:val="nil"/>
              <w:left w:val="single" w:color="auto" w:sz="4" w:space="0"/>
              <w:bottom w:val="nil"/>
              <w:right w:val="single" w:color="auto" w:sz="4" w:space="0"/>
            </w:tcBorders>
            <w:vAlign w:val="center"/>
          </w:tcPr>
          <w:p w14:paraId="3388F7A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89211A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6BCAFF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FB6ED8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信息化建设情况</w:t>
            </w:r>
          </w:p>
        </w:tc>
      </w:tr>
      <w:tr w14:paraId="0EA1007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CAA8BD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28</w:t>
            </w:r>
          </w:p>
        </w:tc>
        <w:tc>
          <w:tcPr>
            <w:tcW w:w="0" w:type="auto"/>
            <w:vMerge w:val="continue"/>
            <w:tcBorders>
              <w:top w:val="nil"/>
              <w:left w:val="single" w:color="auto" w:sz="4" w:space="0"/>
              <w:bottom w:val="nil"/>
              <w:right w:val="single" w:color="auto" w:sz="4" w:space="0"/>
            </w:tcBorders>
            <w:vAlign w:val="center"/>
          </w:tcPr>
          <w:p w14:paraId="05C28B8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136F48C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燃气数据收集核查</w:t>
            </w:r>
          </w:p>
        </w:tc>
        <w:tc>
          <w:tcPr>
            <w:tcW w:w="2694" w:type="dxa"/>
            <w:vMerge w:val="restart"/>
            <w:tcBorders>
              <w:top w:val="nil"/>
              <w:left w:val="single" w:color="auto" w:sz="4" w:space="0"/>
              <w:bottom w:val="single" w:color="000000" w:sz="4" w:space="0"/>
              <w:right w:val="single" w:color="auto" w:sz="4" w:space="0"/>
            </w:tcBorders>
            <w:vAlign w:val="center"/>
          </w:tcPr>
          <w:p w14:paraId="2F48D85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对采集来的数据进行数据核查输出《燃气专项数据核查表》并进行数据修正</w:t>
            </w:r>
          </w:p>
        </w:tc>
        <w:tc>
          <w:tcPr>
            <w:tcW w:w="4204" w:type="dxa"/>
            <w:tcBorders>
              <w:top w:val="nil"/>
              <w:left w:val="nil"/>
              <w:bottom w:val="single" w:color="auto" w:sz="4" w:space="0"/>
              <w:right w:val="single" w:color="auto" w:sz="4" w:space="0"/>
            </w:tcBorders>
            <w:vAlign w:val="center"/>
          </w:tcPr>
          <w:p w14:paraId="18A10CE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燃气管道管材</w:t>
            </w:r>
          </w:p>
        </w:tc>
      </w:tr>
      <w:tr w14:paraId="7C54D14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19BF50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29</w:t>
            </w:r>
          </w:p>
        </w:tc>
        <w:tc>
          <w:tcPr>
            <w:tcW w:w="0" w:type="auto"/>
            <w:vMerge w:val="continue"/>
            <w:tcBorders>
              <w:top w:val="nil"/>
              <w:left w:val="single" w:color="auto" w:sz="4" w:space="0"/>
              <w:bottom w:val="nil"/>
              <w:right w:val="single" w:color="auto" w:sz="4" w:space="0"/>
            </w:tcBorders>
            <w:vAlign w:val="center"/>
          </w:tcPr>
          <w:p w14:paraId="6714DE6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6A5A1E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B40545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DF03D0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燃气管道管径</w:t>
            </w:r>
          </w:p>
        </w:tc>
      </w:tr>
      <w:tr w14:paraId="3ED7755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CECFE2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30</w:t>
            </w:r>
          </w:p>
        </w:tc>
        <w:tc>
          <w:tcPr>
            <w:tcW w:w="0" w:type="auto"/>
            <w:vMerge w:val="continue"/>
            <w:tcBorders>
              <w:top w:val="nil"/>
              <w:left w:val="single" w:color="auto" w:sz="4" w:space="0"/>
              <w:bottom w:val="nil"/>
              <w:right w:val="single" w:color="auto" w:sz="4" w:space="0"/>
            </w:tcBorders>
            <w:vAlign w:val="center"/>
          </w:tcPr>
          <w:p w14:paraId="0ADE55D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E90CE4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445A50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ED9ACD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燃气管道管龄</w:t>
            </w:r>
          </w:p>
        </w:tc>
      </w:tr>
      <w:tr w14:paraId="484319C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ABC923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31</w:t>
            </w:r>
          </w:p>
        </w:tc>
        <w:tc>
          <w:tcPr>
            <w:tcW w:w="0" w:type="auto"/>
            <w:vMerge w:val="continue"/>
            <w:tcBorders>
              <w:top w:val="nil"/>
              <w:left w:val="single" w:color="auto" w:sz="4" w:space="0"/>
              <w:bottom w:val="nil"/>
              <w:right w:val="single" w:color="auto" w:sz="4" w:space="0"/>
            </w:tcBorders>
            <w:vAlign w:val="center"/>
          </w:tcPr>
          <w:p w14:paraId="5F4165F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AF1EB2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DD828D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8A4888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燃气管道管压</w:t>
            </w:r>
          </w:p>
        </w:tc>
      </w:tr>
      <w:tr w14:paraId="372219B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13FD30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32</w:t>
            </w:r>
          </w:p>
        </w:tc>
        <w:tc>
          <w:tcPr>
            <w:tcW w:w="0" w:type="auto"/>
            <w:vMerge w:val="continue"/>
            <w:tcBorders>
              <w:top w:val="nil"/>
              <w:left w:val="single" w:color="auto" w:sz="4" w:space="0"/>
              <w:bottom w:val="nil"/>
              <w:right w:val="single" w:color="auto" w:sz="4" w:space="0"/>
            </w:tcBorders>
            <w:vAlign w:val="center"/>
          </w:tcPr>
          <w:p w14:paraId="188EE20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C81C20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8FDECD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0750EC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燃气站场基础信息</w:t>
            </w:r>
          </w:p>
        </w:tc>
      </w:tr>
      <w:tr w14:paraId="44577F5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240D59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33</w:t>
            </w:r>
          </w:p>
        </w:tc>
        <w:tc>
          <w:tcPr>
            <w:tcW w:w="0" w:type="auto"/>
            <w:vMerge w:val="continue"/>
            <w:tcBorders>
              <w:top w:val="nil"/>
              <w:left w:val="single" w:color="auto" w:sz="4" w:space="0"/>
              <w:bottom w:val="nil"/>
              <w:right w:val="single" w:color="auto" w:sz="4" w:space="0"/>
            </w:tcBorders>
            <w:vAlign w:val="center"/>
          </w:tcPr>
          <w:p w14:paraId="7C4E314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EC6736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E46DA4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F3028F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加气站信息</w:t>
            </w:r>
          </w:p>
        </w:tc>
      </w:tr>
      <w:tr w14:paraId="5A2C2C1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BBDF11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34</w:t>
            </w:r>
          </w:p>
        </w:tc>
        <w:tc>
          <w:tcPr>
            <w:tcW w:w="0" w:type="auto"/>
            <w:vMerge w:val="continue"/>
            <w:tcBorders>
              <w:top w:val="nil"/>
              <w:left w:val="single" w:color="auto" w:sz="4" w:space="0"/>
              <w:bottom w:val="nil"/>
              <w:right w:val="single" w:color="auto" w:sz="4" w:space="0"/>
            </w:tcBorders>
            <w:vAlign w:val="center"/>
          </w:tcPr>
          <w:p w14:paraId="70D8000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986481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F8866B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ED90B1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阀门井位置信息</w:t>
            </w:r>
          </w:p>
        </w:tc>
      </w:tr>
      <w:tr w14:paraId="0ABD82F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BA3DB1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35</w:t>
            </w:r>
          </w:p>
        </w:tc>
        <w:tc>
          <w:tcPr>
            <w:tcW w:w="0" w:type="auto"/>
            <w:vMerge w:val="continue"/>
            <w:tcBorders>
              <w:top w:val="nil"/>
              <w:left w:val="single" w:color="auto" w:sz="4" w:space="0"/>
              <w:bottom w:val="nil"/>
              <w:right w:val="single" w:color="auto" w:sz="4" w:space="0"/>
            </w:tcBorders>
            <w:vAlign w:val="center"/>
          </w:tcPr>
          <w:p w14:paraId="0819342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9F1E57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FFD4D1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383480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燃气管道应急抢修队伍</w:t>
            </w:r>
          </w:p>
        </w:tc>
      </w:tr>
      <w:tr w14:paraId="7993282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3568D4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36</w:t>
            </w:r>
          </w:p>
        </w:tc>
        <w:tc>
          <w:tcPr>
            <w:tcW w:w="0" w:type="auto"/>
            <w:vMerge w:val="continue"/>
            <w:tcBorders>
              <w:top w:val="nil"/>
              <w:left w:val="single" w:color="auto" w:sz="4" w:space="0"/>
              <w:bottom w:val="nil"/>
              <w:right w:val="single" w:color="auto" w:sz="4" w:space="0"/>
            </w:tcBorders>
            <w:vAlign w:val="center"/>
          </w:tcPr>
          <w:p w14:paraId="4A76E28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DDDAAB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BEBEFF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562F39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燃气管道监测设备</w:t>
            </w:r>
          </w:p>
        </w:tc>
      </w:tr>
      <w:tr w14:paraId="6834D45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D78589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37</w:t>
            </w:r>
          </w:p>
        </w:tc>
        <w:tc>
          <w:tcPr>
            <w:tcW w:w="0" w:type="auto"/>
            <w:vMerge w:val="continue"/>
            <w:tcBorders>
              <w:top w:val="nil"/>
              <w:left w:val="single" w:color="auto" w:sz="4" w:space="0"/>
              <w:bottom w:val="nil"/>
              <w:right w:val="single" w:color="auto" w:sz="4" w:space="0"/>
            </w:tcBorders>
            <w:vAlign w:val="center"/>
          </w:tcPr>
          <w:p w14:paraId="2CEAFBB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DC735B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E642A4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3B6071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燃气相邻地下空间位置、名称、用途信息</w:t>
            </w:r>
          </w:p>
        </w:tc>
      </w:tr>
      <w:tr w14:paraId="5B30201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DC3E65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38</w:t>
            </w:r>
          </w:p>
        </w:tc>
        <w:tc>
          <w:tcPr>
            <w:tcW w:w="0" w:type="auto"/>
            <w:vMerge w:val="continue"/>
            <w:tcBorders>
              <w:top w:val="nil"/>
              <w:left w:val="single" w:color="auto" w:sz="4" w:space="0"/>
              <w:bottom w:val="nil"/>
              <w:right w:val="single" w:color="auto" w:sz="4" w:space="0"/>
            </w:tcBorders>
            <w:vAlign w:val="center"/>
          </w:tcPr>
          <w:p w14:paraId="6F68DA1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4849F6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EE4A2B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4430DF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储配站信息</w:t>
            </w:r>
          </w:p>
        </w:tc>
      </w:tr>
      <w:tr w14:paraId="2AD0C92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04D0B6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39</w:t>
            </w:r>
          </w:p>
        </w:tc>
        <w:tc>
          <w:tcPr>
            <w:tcW w:w="0" w:type="auto"/>
            <w:vMerge w:val="continue"/>
            <w:tcBorders>
              <w:top w:val="nil"/>
              <w:left w:val="single" w:color="auto" w:sz="4" w:space="0"/>
              <w:bottom w:val="nil"/>
              <w:right w:val="single" w:color="auto" w:sz="4" w:space="0"/>
            </w:tcBorders>
            <w:vAlign w:val="center"/>
          </w:tcPr>
          <w:p w14:paraId="06BAFC2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E67610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F02C1C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7D0E6E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应急资源</w:t>
            </w:r>
          </w:p>
        </w:tc>
      </w:tr>
      <w:tr w14:paraId="359B233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6C219C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40</w:t>
            </w:r>
          </w:p>
        </w:tc>
        <w:tc>
          <w:tcPr>
            <w:tcW w:w="0" w:type="auto"/>
            <w:vMerge w:val="continue"/>
            <w:tcBorders>
              <w:top w:val="nil"/>
              <w:left w:val="single" w:color="auto" w:sz="4" w:space="0"/>
              <w:bottom w:val="nil"/>
              <w:right w:val="single" w:color="auto" w:sz="4" w:space="0"/>
            </w:tcBorders>
            <w:vAlign w:val="center"/>
          </w:tcPr>
          <w:p w14:paraId="7F632EF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B0CE35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87A49F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674358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企业相关信息</w:t>
            </w:r>
          </w:p>
        </w:tc>
      </w:tr>
      <w:tr w14:paraId="4C3C1C3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BA2EE9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41</w:t>
            </w:r>
          </w:p>
        </w:tc>
        <w:tc>
          <w:tcPr>
            <w:tcW w:w="0" w:type="auto"/>
            <w:vMerge w:val="continue"/>
            <w:tcBorders>
              <w:top w:val="nil"/>
              <w:left w:val="single" w:color="auto" w:sz="4" w:space="0"/>
              <w:bottom w:val="nil"/>
              <w:right w:val="single" w:color="auto" w:sz="4" w:space="0"/>
            </w:tcBorders>
            <w:vAlign w:val="center"/>
          </w:tcPr>
          <w:p w14:paraId="54A7E92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8A75B6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76A2BA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F1A5A9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燃气监管信息化平台</w:t>
            </w:r>
          </w:p>
        </w:tc>
      </w:tr>
      <w:tr w14:paraId="1026AF2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9145A0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42</w:t>
            </w:r>
          </w:p>
        </w:tc>
        <w:tc>
          <w:tcPr>
            <w:tcW w:w="0" w:type="auto"/>
            <w:vMerge w:val="continue"/>
            <w:tcBorders>
              <w:top w:val="nil"/>
              <w:left w:val="single" w:color="auto" w:sz="4" w:space="0"/>
              <w:bottom w:val="nil"/>
              <w:right w:val="single" w:color="auto" w:sz="4" w:space="0"/>
            </w:tcBorders>
            <w:vAlign w:val="center"/>
          </w:tcPr>
          <w:p w14:paraId="5CCEA0C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7DFAAAC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划分风险辨识单元</w:t>
            </w:r>
          </w:p>
        </w:tc>
        <w:tc>
          <w:tcPr>
            <w:tcW w:w="2694" w:type="dxa"/>
            <w:vMerge w:val="restart"/>
            <w:tcBorders>
              <w:top w:val="nil"/>
              <w:left w:val="single" w:color="auto" w:sz="4" w:space="0"/>
              <w:bottom w:val="single" w:color="000000" w:sz="4" w:space="0"/>
              <w:right w:val="single" w:color="auto" w:sz="4" w:space="0"/>
            </w:tcBorders>
            <w:vAlign w:val="center"/>
          </w:tcPr>
          <w:p w14:paraId="1476DF9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针对单个评估单元进行划分，便于后期现场调查</w:t>
            </w:r>
          </w:p>
        </w:tc>
        <w:tc>
          <w:tcPr>
            <w:tcW w:w="4204" w:type="dxa"/>
            <w:tcBorders>
              <w:top w:val="nil"/>
              <w:left w:val="nil"/>
              <w:bottom w:val="single" w:color="auto" w:sz="4" w:space="0"/>
              <w:right w:val="single" w:color="auto" w:sz="4" w:space="0"/>
            </w:tcBorders>
            <w:vAlign w:val="center"/>
          </w:tcPr>
          <w:p w14:paraId="2F6BDC4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燃气专项评估单元划分方案数据梳理</w:t>
            </w:r>
          </w:p>
        </w:tc>
      </w:tr>
      <w:tr w14:paraId="577EAC4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719EB5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43</w:t>
            </w:r>
          </w:p>
        </w:tc>
        <w:tc>
          <w:tcPr>
            <w:tcW w:w="0" w:type="auto"/>
            <w:vMerge w:val="continue"/>
            <w:tcBorders>
              <w:top w:val="nil"/>
              <w:left w:val="single" w:color="auto" w:sz="4" w:space="0"/>
              <w:bottom w:val="nil"/>
              <w:right w:val="single" w:color="auto" w:sz="4" w:space="0"/>
            </w:tcBorders>
            <w:vAlign w:val="center"/>
          </w:tcPr>
          <w:p w14:paraId="78656A3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5A8165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C6D21E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1BB6EA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燃气专项评估单元划分</w:t>
            </w:r>
          </w:p>
        </w:tc>
      </w:tr>
      <w:tr w14:paraId="6099F1C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1A4D26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44</w:t>
            </w:r>
          </w:p>
        </w:tc>
        <w:tc>
          <w:tcPr>
            <w:tcW w:w="0" w:type="auto"/>
            <w:vMerge w:val="continue"/>
            <w:tcBorders>
              <w:top w:val="nil"/>
              <w:left w:val="single" w:color="auto" w:sz="4" w:space="0"/>
              <w:bottom w:val="nil"/>
              <w:right w:val="single" w:color="auto" w:sz="4" w:space="0"/>
            </w:tcBorders>
            <w:vAlign w:val="center"/>
          </w:tcPr>
          <w:p w14:paraId="1B28776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A78CCC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754065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D85208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燃气专项单元边界确认</w:t>
            </w:r>
          </w:p>
        </w:tc>
      </w:tr>
      <w:tr w14:paraId="21BC597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CDE207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45</w:t>
            </w:r>
          </w:p>
        </w:tc>
        <w:tc>
          <w:tcPr>
            <w:tcW w:w="0" w:type="auto"/>
            <w:vMerge w:val="continue"/>
            <w:tcBorders>
              <w:top w:val="nil"/>
              <w:left w:val="single" w:color="auto" w:sz="4" w:space="0"/>
              <w:bottom w:val="nil"/>
              <w:right w:val="single" w:color="auto" w:sz="4" w:space="0"/>
            </w:tcBorders>
            <w:vAlign w:val="center"/>
          </w:tcPr>
          <w:p w14:paraId="408F2FC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029670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F630B3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5B1AD8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燃气专项单元属性配置</w:t>
            </w:r>
          </w:p>
        </w:tc>
      </w:tr>
      <w:tr w14:paraId="3BE49E3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1C070A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46</w:t>
            </w:r>
          </w:p>
        </w:tc>
        <w:tc>
          <w:tcPr>
            <w:tcW w:w="0" w:type="auto"/>
            <w:vMerge w:val="continue"/>
            <w:tcBorders>
              <w:top w:val="nil"/>
              <w:left w:val="single" w:color="auto" w:sz="4" w:space="0"/>
              <w:bottom w:val="nil"/>
              <w:right w:val="single" w:color="auto" w:sz="4" w:space="0"/>
            </w:tcBorders>
            <w:vAlign w:val="center"/>
          </w:tcPr>
          <w:p w14:paraId="5EAFD69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AC86A1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59A211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4F5109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燃气专项单元管理与维护</w:t>
            </w:r>
          </w:p>
        </w:tc>
      </w:tr>
      <w:tr w14:paraId="1D362F2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C95652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47</w:t>
            </w:r>
          </w:p>
        </w:tc>
        <w:tc>
          <w:tcPr>
            <w:tcW w:w="0" w:type="auto"/>
            <w:vMerge w:val="continue"/>
            <w:tcBorders>
              <w:top w:val="nil"/>
              <w:left w:val="single" w:color="auto" w:sz="4" w:space="0"/>
              <w:bottom w:val="nil"/>
              <w:right w:val="single" w:color="auto" w:sz="4" w:space="0"/>
            </w:tcBorders>
            <w:vAlign w:val="center"/>
          </w:tcPr>
          <w:p w14:paraId="1A55D76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A35E65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0D2292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98110E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供水专项评估单元划分方案数据梳理</w:t>
            </w:r>
          </w:p>
        </w:tc>
      </w:tr>
      <w:tr w14:paraId="39C485A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2BBF3B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48</w:t>
            </w:r>
          </w:p>
        </w:tc>
        <w:tc>
          <w:tcPr>
            <w:tcW w:w="0" w:type="auto"/>
            <w:vMerge w:val="continue"/>
            <w:tcBorders>
              <w:top w:val="nil"/>
              <w:left w:val="single" w:color="auto" w:sz="4" w:space="0"/>
              <w:bottom w:val="nil"/>
              <w:right w:val="single" w:color="auto" w:sz="4" w:space="0"/>
            </w:tcBorders>
            <w:vAlign w:val="center"/>
          </w:tcPr>
          <w:p w14:paraId="3F807ED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F8E675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51ED2F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A90123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供水专项评估单元划分</w:t>
            </w:r>
          </w:p>
        </w:tc>
      </w:tr>
      <w:tr w14:paraId="3513B37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348C7A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49</w:t>
            </w:r>
          </w:p>
        </w:tc>
        <w:tc>
          <w:tcPr>
            <w:tcW w:w="0" w:type="auto"/>
            <w:vMerge w:val="continue"/>
            <w:tcBorders>
              <w:top w:val="nil"/>
              <w:left w:val="single" w:color="auto" w:sz="4" w:space="0"/>
              <w:bottom w:val="nil"/>
              <w:right w:val="single" w:color="auto" w:sz="4" w:space="0"/>
            </w:tcBorders>
            <w:vAlign w:val="center"/>
          </w:tcPr>
          <w:p w14:paraId="5A2096B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F4352D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4CD997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E85F74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供水专项单元边界确认</w:t>
            </w:r>
          </w:p>
        </w:tc>
      </w:tr>
      <w:tr w14:paraId="3F9FD2A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FD904F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50</w:t>
            </w:r>
          </w:p>
        </w:tc>
        <w:tc>
          <w:tcPr>
            <w:tcW w:w="0" w:type="auto"/>
            <w:vMerge w:val="continue"/>
            <w:tcBorders>
              <w:top w:val="nil"/>
              <w:left w:val="single" w:color="auto" w:sz="4" w:space="0"/>
              <w:bottom w:val="nil"/>
              <w:right w:val="single" w:color="auto" w:sz="4" w:space="0"/>
            </w:tcBorders>
            <w:vAlign w:val="center"/>
          </w:tcPr>
          <w:p w14:paraId="53A07A0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E7659E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D62BF7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05810F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供水专项单元属性配置</w:t>
            </w:r>
          </w:p>
        </w:tc>
      </w:tr>
      <w:tr w14:paraId="203EDC5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160F2E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51</w:t>
            </w:r>
          </w:p>
        </w:tc>
        <w:tc>
          <w:tcPr>
            <w:tcW w:w="0" w:type="auto"/>
            <w:vMerge w:val="continue"/>
            <w:tcBorders>
              <w:top w:val="nil"/>
              <w:left w:val="single" w:color="auto" w:sz="4" w:space="0"/>
              <w:bottom w:val="nil"/>
              <w:right w:val="single" w:color="auto" w:sz="4" w:space="0"/>
            </w:tcBorders>
            <w:vAlign w:val="center"/>
          </w:tcPr>
          <w:p w14:paraId="2F53AED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867FC1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83E29B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3D2150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供水专项单元管理与维护</w:t>
            </w:r>
          </w:p>
        </w:tc>
      </w:tr>
      <w:tr w14:paraId="4D7317E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697932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52</w:t>
            </w:r>
          </w:p>
        </w:tc>
        <w:tc>
          <w:tcPr>
            <w:tcW w:w="0" w:type="auto"/>
            <w:vMerge w:val="continue"/>
            <w:tcBorders>
              <w:top w:val="nil"/>
              <w:left w:val="single" w:color="auto" w:sz="4" w:space="0"/>
              <w:bottom w:val="nil"/>
              <w:right w:val="single" w:color="auto" w:sz="4" w:space="0"/>
            </w:tcBorders>
            <w:vAlign w:val="center"/>
          </w:tcPr>
          <w:p w14:paraId="1FF4223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3D09D6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533259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6364CC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排水专项评估单元划分方案数据梳理</w:t>
            </w:r>
          </w:p>
        </w:tc>
      </w:tr>
      <w:tr w14:paraId="3B4542B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369ECD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53</w:t>
            </w:r>
          </w:p>
        </w:tc>
        <w:tc>
          <w:tcPr>
            <w:tcW w:w="0" w:type="auto"/>
            <w:vMerge w:val="continue"/>
            <w:tcBorders>
              <w:top w:val="nil"/>
              <w:left w:val="single" w:color="auto" w:sz="4" w:space="0"/>
              <w:bottom w:val="nil"/>
              <w:right w:val="single" w:color="auto" w:sz="4" w:space="0"/>
            </w:tcBorders>
            <w:vAlign w:val="center"/>
          </w:tcPr>
          <w:p w14:paraId="21B0A73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10C978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B1E74C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A73DD5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排水专项评估单元划分</w:t>
            </w:r>
          </w:p>
        </w:tc>
      </w:tr>
      <w:tr w14:paraId="18A0FD6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B1D84C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54</w:t>
            </w:r>
          </w:p>
        </w:tc>
        <w:tc>
          <w:tcPr>
            <w:tcW w:w="0" w:type="auto"/>
            <w:vMerge w:val="continue"/>
            <w:tcBorders>
              <w:top w:val="nil"/>
              <w:left w:val="single" w:color="auto" w:sz="4" w:space="0"/>
              <w:bottom w:val="nil"/>
              <w:right w:val="single" w:color="auto" w:sz="4" w:space="0"/>
            </w:tcBorders>
            <w:vAlign w:val="center"/>
          </w:tcPr>
          <w:p w14:paraId="667CA54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6DCA75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A0BE68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597BEE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排水专项单元边界确认</w:t>
            </w:r>
          </w:p>
        </w:tc>
      </w:tr>
      <w:tr w14:paraId="36D29E3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32725D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55</w:t>
            </w:r>
          </w:p>
        </w:tc>
        <w:tc>
          <w:tcPr>
            <w:tcW w:w="0" w:type="auto"/>
            <w:vMerge w:val="continue"/>
            <w:tcBorders>
              <w:top w:val="nil"/>
              <w:left w:val="single" w:color="auto" w:sz="4" w:space="0"/>
              <w:bottom w:val="nil"/>
              <w:right w:val="single" w:color="auto" w:sz="4" w:space="0"/>
            </w:tcBorders>
            <w:vAlign w:val="center"/>
          </w:tcPr>
          <w:p w14:paraId="3FE3DB3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35D775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3B729F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4D1531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排水专项单元属性配置</w:t>
            </w:r>
          </w:p>
        </w:tc>
      </w:tr>
      <w:tr w14:paraId="6242828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90BEAB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56</w:t>
            </w:r>
          </w:p>
        </w:tc>
        <w:tc>
          <w:tcPr>
            <w:tcW w:w="0" w:type="auto"/>
            <w:vMerge w:val="continue"/>
            <w:tcBorders>
              <w:top w:val="nil"/>
              <w:left w:val="single" w:color="auto" w:sz="4" w:space="0"/>
              <w:bottom w:val="nil"/>
              <w:right w:val="single" w:color="auto" w:sz="4" w:space="0"/>
            </w:tcBorders>
            <w:vAlign w:val="center"/>
          </w:tcPr>
          <w:p w14:paraId="693910D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D47696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7A2C2A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A1313C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排水专项单元风险汇总分析</w:t>
            </w:r>
          </w:p>
        </w:tc>
      </w:tr>
      <w:tr w14:paraId="5C31F9D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C97559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57</w:t>
            </w:r>
          </w:p>
        </w:tc>
        <w:tc>
          <w:tcPr>
            <w:tcW w:w="0" w:type="auto"/>
            <w:vMerge w:val="continue"/>
            <w:tcBorders>
              <w:top w:val="nil"/>
              <w:left w:val="single" w:color="auto" w:sz="4" w:space="0"/>
              <w:bottom w:val="nil"/>
              <w:right w:val="single" w:color="auto" w:sz="4" w:space="0"/>
            </w:tcBorders>
            <w:vAlign w:val="center"/>
          </w:tcPr>
          <w:p w14:paraId="44BB005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5098AF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A25BCE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4CD2EE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排水专项单元管理与维护</w:t>
            </w:r>
          </w:p>
        </w:tc>
      </w:tr>
      <w:tr w14:paraId="14F34A5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44AA05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58</w:t>
            </w:r>
          </w:p>
        </w:tc>
        <w:tc>
          <w:tcPr>
            <w:tcW w:w="0" w:type="auto"/>
            <w:vMerge w:val="continue"/>
            <w:tcBorders>
              <w:top w:val="nil"/>
              <w:left w:val="single" w:color="auto" w:sz="4" w:space="0"/>
              <w:bottom w:val="nil"/>
              <w:right w:val="single" w:color="auto" w:sz="4" w:space="0"/>
            </w:tcBorders>
            <w:vAlign w:val="center"/>
          </w:tcPr>
          <w:p w14:paraId="3DF637B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9C563D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493231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BB50A5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供热专项评估单元划分方案数据梳理</w:t>
            </w:r>
          </w:p>
        </w:tc>
      </w:tr>
      <w:tr w14:paraId="25D24AA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476CA0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59</w:t>
            </w:r>
          </w:p>
        </w:tc>
        <w:tc>
          <w:tcPr>
            <w:tcW w:w="0" w:type="auto"/>
            <w:vMerge w:val="continue"/>
            <w:tcBorders>
              <w:top w:val="nil"/>
              <w:left w:val="single" w:color="auto" w:sz="4" w:space="0"/>
              <w:bottom w:val="nil"/>
              <w:right w:val="single" w:color="auto" w:sz="4" w:space="0"/>
            </w:tcBorders>
            <w:vAlign w:val="center"/>
          </w:tcPr>
          <w:p w14:paraId="6C3289F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9E3FE3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A9C0EB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FEC9B8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供热专项评估单元划分</w:t>
            </w:r>
          </w:p>
        </w:tc>
      </w:tr>
      <w:tr w14:paraId="6DC4A26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F86DF5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60</w:t>
            </w:r>
          </w:p>
        </w:tc>
        <w:tc>
          <w:tcPr>
            <w:tcW w:w="0" w:type="auto"/>
            <w:vMerge w:val="continue"/>
            <w:tcBorders>
              <w:top w:val="nil"/>
              <w:left w:val="single" w:color="auto" w:sz="4" w:space="0"/>
              <w:bottom w:val="nil"/>
              <w:right w:val="single" w:color="auto" w:sz="4" w:space="0"/>
            </w:tcBorders>
            <w:vAlign w:val="center"/>
          </w:tcPr>
          <w:p w14:paraId="4433751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5207ED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AAF363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EBF4DE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供热专项单元边界确认</w:t>
            </w:r>
          </w:p>
        </w:tc>
      </w:tr>
      <w:tr w14:paraId="15C3F77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B974F7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61</w:t>
            </w:r>
          </w:p>
        </w:tc>
        <w:tc>
          <w:tcPr>
            <w:tcW w:w="0" w:type="auto"/>
            <w:vMerge w:val="continue"/>
            <w:tcBorders>
              <w:top w:val="nil"/>
              <w:left w:val="single" w:color="auto" w:sz="4" w:space="0"/>
              <w:bottom w:val="nil"/>
              <w:right w:val="single" w:color="auto" w:sz="4" w:space="0"/>
            </w:tcBorders>
            <w:vAlign w:val="center"/>
          </w:tcPr>
          <w:p w14:paraId="66D0606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30FE10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339BD6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924517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供热专项单元属性配置</w:t>
            </w:r>
          </w:p>
        </w:tc>
      </w:tr>
      <w:tr w14:paraId="01D6CAC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9F98C6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62</w:t>
            </w:r>
          </w:p>
        </w:tc>
        <w:tc>
          <w:tcPr>
            <w:tcW w:w="0" w:type="auto"/>
            <w:vMerge w:val="continue"/>
            <w:tcBorders>
              <w:top w:val="nil"/>
              <w:left w:val="single" w:color="auto" w:sz="4" w:space="0"/>
              <w:bottom w:val="nil"/>
              <w:right w:val="single" w:color="auto" w:sz="4" w:space="0"/>
            </w:tcBorders>
            <w:vAlign w:val="center"/>
          </w:tcPr>
          <w:p w14:paraId="158B8AF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55F90E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E47DAD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5A2746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供热专项单元管理与维护</w:t>
            </w:r>
          </w:p>
        </w:tc>
      </w:tr>
      <w:tr w14:paraId="14ABFB3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82CCDA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63</w:t>
            </w:r>
          </w:p>
        </w:tc>
        <w:tc>
          <w:tcPr>
            <w:tcW w:w="0" w:type="auto"/>
            <w:vMerge w:val="continue"/>
            <w:tcBorders>
              <w:top w:val="nil"/>
              <w:left w:val="single" w:color="auto" w:sz="4" w:space="0"/>
              <w:bottom w:val="nil"/>
              <w:right w:val="single" w:color="auto" w:sz="4" w:space="0"/>
            </w:tcBorders>
            <w:vAlign w:val="center"/>
          </w:tcPr>
          <w:p w14:paraId="59DAC92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963B83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19E975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C2055B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桥隧专项评估单元划分方案数据梳理</w:t>
            </w:r>
          </w:p>
        </w:tc>
      </w:tr>
      <w:tr w14:paraId="4A5B21D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4D2087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64</w:t>
            </w:r>
          </w:p>
        </w:tc>
        <w:tc>
          <w:tcPr>
            <w:tcW w:w="0" w:type="auto"/>
            <w:vMerge w:val="continue"/>
            <w:tcBorders>
              <w:top w:val="nil"/>
              <w:left w:val="single" w:color="auto" w:sz="4" w:space="0"/>
              <w:bottom w:val="nil"/>
              <w:right w:val="single" w:color="auto" w:sz="4" w:space="0"/>
            </w:tcBorders>
            <w:vAlign w:val="center"/>
          </w:tcPr>
          <w:p w14:paraId="289A69C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6D9073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EF739A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D6B7FA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桥隧专项评估单元划分</w:t>
            </w:r>
          </w:p>
        </w:tc>
      </w:tr>
      <w:tr w14:paraId="25CC4A5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52F3BE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65</w:t>
            </w:r>
          </w:p>
        </w:tc>
        <w:tc>
          <w:tcPr>
            <w:tcW w:w="0" w:type="auto"/>
            <w:vMerge w:val="continue"/>
            <w:tcBorders>
              <w:top w:val="nil"/>
              <w:left w:val="single" w:color="auto" w:sz="4" w:space="0"/>
              <w:bottom w:val="nil"/>
              <w:right w:val="single" w:color="auto" w:sz="4" w:space="0"/>
            </w:tcBorders>
            <w:vAlign w:val="center"/>
          </w:tcPr>
          <w:p w14:paraId="201B041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77885A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5AD14D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C05518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桥隧专项单元边界确认</w:t>
            </w:r>
          </w:p>
        </w:tc>
      </w:tr>
      <w:tr w14:paraId="004B2BF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94C7D5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66</w:t>
            </w:r>
          </w:p>
        </w:tc>
        <w:tc>
          <w:tcPr>
            <w:tcW w:w="0" w:type="auto"/>
            <w:vMerge w:val="continue"/>
            <w:tcBorders>
              <w:top w:val="nil"/>
              <w:left w:val="single" w:color="auto" w:sz="4" w:space="0"/>
              <w:bottom w:val="nil"/>
              <w:right w:val="single" w:color="auto" w:sz="4" w:space="0"/>
            </w:tcBorders>
            <w:vAlign w:val="center"/>
          </w:tcPr>
          <w:p w14:paraId="7672347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654D29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F1EC3D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A4BEDA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桥隧专项单元属性配置</w:t>
            </w:r>
          </w:p>
        </w:tc>
      </w:tr>
      <w:tr w14:paraId="0D1D9BA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EE3951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67</w:t>
            </w:r>
          </w:p>
        </w:tc>
        <w:tc>
          <w:tcPr>
            <w:tcW w:w="0" w:type="auto"/>
            <w:vMerge w:val="continue"/>
            <w:tcBorders>
              <w:top w:val="nil"/>
              <w:left w:val="single" w:color="auto" w:sz="4" w:space="0"/>
              <w:bottom w:val="nil"/>
              <w:right w:val="single" w:color="auto" w:sz="4" w:space="0"/>
            </w:tcBorders>
            <w:vAlign w:val="center"/>
          </w:tcPr>
          <w:p w14:paraId="5BDBDA8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C5ADA8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47E98C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7B7F06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桥隧专项单元管理与维护</w:t>
            </w:r>
          </w:p>
        </w:tc>
      </w:tr>
      <w:tr w14:paraId="75DB236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3E8A18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68</w:t>
            </w:r>
          </w:p>
        </w:tc>
        <w:tc>
          <w:tcPr>
            <w:tcW w:w="0" w:type="auto"/>
            <w:vMerge w:val="continue"/>
            <w:tcBorders>
              <w:top w:val="nil"/>
              <w:left w:val="single" w:color="auto" w:sz="4" w:space="0"/>
              <w:bottom w:val="nil"/>
              <w:right w:val="single" w:color="auto" w:sz="4" w:space="0"/>
            </w:tcBorders>
            <w:vAlign w:val="center"/>
          </w:tcPr>
          <w:p w14:paraId="4E8934F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0C1FD2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D1908E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477299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综合管廊专项评估单元划分方案数据梳理</w:t>
            </w:r>
          </w:p>
        </w:tc>
      </w:tr>
      <w:tr w14:paraId="7DED91C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2E9A5F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69</w:t>
            </w:r>
          </w:p>
        </w:tc>
        <w:tc>
          <w:tcPr>
            <w:tcW w:w="0" w:type="auto"/>
            <w:vMerge w:val="continue"/>
            <w:tcBorders>
              <w:top w:val="nil"/>
              <w:left w:val="single" w:color="auto" w:sz="4" w:space="0"/>
              <w:bottom w:val="nil"/>
              <w:right w:val="single" w:color="auto" w:sz="4" w:space="0"/>
            </w:tcBorders>
            <w:vAlign w:val="center"/>
          </w:tcPr>
          <w:p w14:paraId="0890F1A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B92CC4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9B2FC3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2825D3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综合管廊专项评估单元划分</w:t>
            </w:r>
          </w:p>
        </w:tc>
      </w:tr>
      <w:tr w14:paraId="30B5203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DFD5FB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70</w:t>
            </w:r>
          </w:p>
        </w:tc>
        <w:tc>
          <w:tcPr>
            <w:tcW w:w="0" w:type="auto"/>
            <w:vMerge w:val="continue"/>
            <w:tcBorders>
              <w:top w:val="nil"/>
              <w:left w:val="single" w:color="auto" w:sz="4" w:space="0"/>
              <w:bottom w:val="nil"/>
              <w:right w:val="single" w:color="auto" w:sz="4" w:space="0"/>
            </w:tcBorders>
            <w:vAlign w:val="center"/>
          </w:tcPr>
          <w:p w14:paraId="1C4D0DB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313644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9FB6A0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D1FBE7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综合管廊专项单元边界确认</w:t>
            </w:r>
          </w:p>
        </w:tc>
      </w:tr>
      <w:tr w14:paraId="42360E8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FA0CE7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71</w:t>
            </w:r>
          </w:p>
        </w:tc>
        <w:tc>
          <w:tcPr>
            <w:tcW w:w="0" w:type="auto"/>
            <w:vMerge w:val="continue"/>
            <w:tcBorders>
              <w:top w:val="nil"/>
              <w:left w:val="single" w:color="auto" w:sz="4" w:space="0"/>
              <w:bottom w:val="nil"/>
              <w:right w:val="single" w:color="auto" w:sz="4" w:space="0"/>
            </w:tcBorders>
            <w:vAlign w:val="center"/>
          </w:tcPr>
          <w:p w14:paraId="471E97A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BADDB3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7C04B4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7151C3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综合管廊专项单元属性配置</w:t>
            </w:r>
          </w:p>
        </w:tc>
      </w:tr>
      <w:tr w14:paraId="5543CE6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ED93D7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72</w:t>
            </w:r>
          </w:p>
        </w:tc>
        <w:tc>
          <w:tcPr>
            <w:tcW w:w="0" w:type="auto"/>
            <w:vMerge w:val="continue"/>
            <w:tcBorders>
              <w:top w:val="nil"/>
              <w:left w:val="single" w:color="auto" w:sz="4" w:space="0"/>
              <w:bottom w:val="nil"/>
              <w:right w:val="single" w:color="auto" w:sz="4" w:space="0"/>
            </w:tcBorders>
            <w:vAlign w:val="center"/>
          </w:tcPr>
          <w:p w14:paraId="5F18F7C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BE70B9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9B4D92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9FB8E9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综合管廊专项单元管理与维护</w:t>
            </w:r>
          </w:p>
        </w:tc>
      </w:tr>
      <w:tr w14:paraId="4F0858F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552131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73</w:t>
            </w:r>
          </w:p>
        </w:tc>
        <w:tc>
          <w:tcPr>
            <w:tcW w:w="0" w:type="auto"/>
            <w:vMerge w:val="continue"/>
            <w:tcBorders>
              <w:top w:val="nil"/>
              <w:left w:val="single" w:color="auto" w:sz="4" w:space="0"/>
              <w:bottom w:val="nil"/>
              <w:right w:val="single" w:color="auto" w:sz="4" w:space="0"/>
            </w:tcBorders>
            <w:vAlign w:val="center"/>
          </w:tcPr>
          <w:p w14:paraId="58B4649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1B8447B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燃气专项现场调查</w:t>
            </w:r>
          </w:p>
        </w:tc>
        <w:tc>
          <w:tcPr>
            <w:tcW w:w="2694" w:type="dxa"/>
            <w:vMerge w:val="restart"/>
            <w:tcBorders>
              <w:top w:val="nil"/>
              <w:left w:val="single" w:color="auto" w:sz="4" w:space="0"/>
              <w:bottom w:val="single" w:color="000000" w:sz="4" w:space="0"/>
              <w:right w:val="single" w:color="auto" w:sz="4" w:space="0"/>
            </w:tcBorders>
            <w:vAlign w:val="center"/>
          </w:tcPr>
          <w:p w14:paraId="3CBFA37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对各个燃气管网进行现场调查</w:t>
            </w:r>
          </w:p>
        </w:tc>
        <w:tc>
          <w:tcPr>
            <w:tcW w:w="4204" w:type="dxa"/>
            <w:tcBorders>
              <w:top w:val="nil"/>
              <w:left w:val="nil"/>
              <w:bottom w:val="single" w:color="auto" w:sz="4" w:space="0"/>
              <w:right w:val="single" w:color="auto" w:sz="4" w:space="0"/>
            </w:tcBorders>
            <w:vAlign w:val="center"/>
          </w:tcPr>
          <w:p w14:paraId="1EEF460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燃气风险源调查</w:t>
            </w:r>
          </w:p>
        </w:tc>
      </w:tr>
      <w:tr w14:paraId="027F887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E491DB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74</w:t>
            </w:r>
          </w:p>
        </w:tc>
        <w:tc>
          <w:tcPr>
            <w:tcW w:w="0" w:type="auto"/>
            <w:vMerge w:val="continue"/>
            <w:tcBorders>
              <w:top w:val="nil"/>
              <w:left w:val="single" w:color="auto" w:sz="4" w:space="0"/>
              <w:bottom w:val="nil"/>
              <w:right w:val="single" w:color="auto" w:sz="4" w:space="0"/>
            </w:tcBorders>
            <w:vAlign w:val="center"/>
          </w:tcPr>
          <w:p w14:paraId="2605111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B6CF6D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E45A5D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0F8E56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燃气重点防护目标调查</w:t>
            </w:r>
          </w:p>
        </w:tc>
      </w:tr>
      <w:tr w14:paraId="00677FD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1A31F1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75</w:t>
            </w:r>
          </w:p>
        </w:tc>
        <w:tc>
          <w:tcPr>
            <w:tcW w:w="0" w:type="auto"/>
            <w:vMerge w:val="continue"/>
            <w:tcBorders>
              <w:top w:val="nil"/>
              <w:left w:val="single" w:color="auto" w:sz="4" w:space="0"/>
              <w:bottom w:val="nil"/>
              <w:right w:val="single" w:color="auto" w:sz="4" w:space="0"/>
            </w:tcBorders>
            <w:vAlign w:val="center"/>
          </w:tcPr>
          <w:p w14:paraId="19EC716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EC64D5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890BCF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3AD635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燃气应急资源调查</w:t>
            </w:r>
          </w:p>
        </w:tc>
      </w:tr>
      <w:tr w14:paraId="5271259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D9F22E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76</w:t>
            </w:r>
          </w:p>
        </w:tc>
        <w:tc>
          <w:tcPr>
            <w:tcW w:w="0" w:type="auto"/>
            <w:vMerge w:val="continue"/>
            <w:tcBorders>
              <w:top w:val="nil"/>
              <w:left w:val="single" w:color="auto" w:sz="4" w:space="0"/>
              <w:bottom w:val="nil"/>
              <w:right w:val="single" w:color="auto" w:sz="4" w:space="0"/>
            </w:tcBorders>
            <w:vAlign w:val="center"/>
          </w:tcPr>
          <w:p w14:paraId="7D0BF28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E642D1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42385F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1D7BCD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燃气安全管理调查</w:t>
            </w:r>
          </w:p>
        </w:tc>
      </w:tr>
      <w:tr w14:paraId="47CC585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9BCF94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77</w:t>
            </w:r>
          </w:p>
        </w:tc>
        <w:tc>
          <w:tcPr>
            <w:tcW w:w="0" w:type="auto"/>
            <w:vMerge w:val="continue"/>
            <w:tcBorders>
              <w:top w:val="nil"/>
              <w:left w:val="single" w:color="auto" w:sz="4" w:space="0"/>
              <w:bottom w:val="nil"/>
              <w:right w:val="single" w:color="auto" w:sz="4" w:space="0"/>
            </w:tcBorders>
            <w:vAlign w:val="center"/>
          </w:tcPr>
          <w:p w14:paraId="41B44C0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CD5483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D411FA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6674AA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燃气专项安全生产责任制数据梳理</w:t>
            </w:r>
          </w:p>
        </w:tc>
      </w:tr>
      <w:tr w14:paraId="7F61535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566D25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78</w:t>
            </w:r>
          </w:p>
        </w:tc>
        <w:tc>
          <w:tcPr>
            <w:tcW w:w="0" w:type="auto"/>
            <w:vMerge w:val="continue"/>
            <w:tcBorders>
              <w:top w:val="nil"/>
              <w:left w:val="single" w:color="auto" w:sz="4" w:space="0"/>
              <w:bottom w:val="nil"/>
              <w:right w:val="single" w:color="auto" w:sz="4" w:space="0"/>
            </w:tcBorders>
            <w:vAlign w:val="center"/>
          </w:tcPr>
          <w:p w14:paraId="549FEBF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62BF11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ECDE0F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B3B5D9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燃气专项安全管理制度录入</w:t>
            </w:r>
          </w:p>
        </w:tc>
      </w:tr>
      <w:tr w14:paraId="05898F4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3C6116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79</w:t>
            </w:r>
          </w:p>
        </w:tc>
        <w:tc>
          <w:tcPr>
            <w:tcW w:w="0" w:type="auto"/>
            <w:vMerge w:val="continue"/>
            <w:tcBorders>
              <w:top w:val="nil"/>
              <w:left w:val="single" w:color="auto" w:sz="4" w:space="0"/>
              <w:bottom w:val="nil"/>
              <w:right w:val="single" w:color="auto" w:sz="4" w:space="0"/>
            </w:tcBorders>
            <w:vAlign w:val="center"/>
          </w:tcPr>
          <w:p w14:paraId="7095B70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A9BDDB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89487E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52D552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燃气专项安全巡查记录数据梳理</w:t>
            </w:r>
          </w:p>
        </w:tc>
      </w:tr>
      <w:tr w14:paraId="2A7B77E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94A594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80</w:t>
            </w:r>
          </w:p>
        </w:tc>
        <w:tc>
          <w:tcPr>
            <w:tcW w:w="0" w:type="auto"/>
            <w:vMerge w:val="continue"/>
            <w:tcBorders>
              <w:top w:val="nil"/>
              <w:left w:val="single" w:color="auto" w:sz="4" w:space="0"/>
              <w:bottom w:val="nil"/>
              <w:right w:val="single" w:color="auto" w:sz="4" w:space="0"/>
            </w:tcBorders>
            <w:vAlign w:val="center"/>
          </w:tcPr>
          <w:p w14:paraId="044EF0E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37B882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5243F8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AA4F5D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燃气专项安全巡查数据录入</w:t>
            </w:r>
          </w:p>
        </w:tc>
      </w:tr>
      <w:tr w14:paraId="0591B8B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DB2A8A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81</w:t>
            </w:r>
          </w:p>
        </w:tc>
        <w:tc>
          <w:tcPr>
            <w:tcW w:w="0" w:type="auto"/>
            <w:vMerge w:val="continue"/>
            <w:tcBorders>
              <w:top w:val="nil"/>
              <w:left w:val="single" w:color="auto" w:sz="4" w:space="0"/>
              <w:bottom w:val="nil"/>
              <w:right w:val="single" w:color="auto" w:sz="4" w:space="0"/>
            </w:tcBorders>
            <w:vAlign w:val="center"/>
          </w:tcPr>
          <w:p w14:paraId="29FE396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8EC4F7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CB0C95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529E5C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燃气专项隐患排查计划数据梳理</w:t>
            </w:r>
          </w:p>
        </w:tc>
      </w:tr>
      <w:tr w14:paraId="2767E79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268136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82</w:t>
            </w:r>
          </w:p>
        </w:tc>
        <w:tc>
          <w:tcPr>
            <w:tcW w:w="0" w:type="auto"/>
            <w:vMerge w:val="continue"/>
            <w:tcBorders>
              <w:top w:val="nil"/>
              <w:left w:val="single" w:color="auto" w:sz="4" w:space="0"/>
              <w:bottom w:val="nil"/>
              <w:right w:val="single" w:color="auto" w:sz="4" w:space="0"/>
            </w:tcBorders>
            <w:vAlign w:val="center"/>
          </w:tcPr>
          <w:p w14:paraId="2DBC545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CFC813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DF6259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70D39C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燃气专项隐患排查数据录入</w:t>
            </w:r>
          </w:p>
        </w:tc>
      </w:tr>
      <w:tr w14:paraId="308B27A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82BC34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83</w:t>
            </w:r>
          </w:p>
        </w:tc>
        <w:tc>
          <w:tcPr>
            <w:tcW w:w="0" w:type="auto"/>
            <w:vMerge w:val="continue"/>
            <w:tcBorders>
              <w:top w:val="nil"/>
              <w:left w:val="single" w:color="auto" w:sz="4" w:space="0"/>
              <w:bottom w:val="nil"/>
              <w:right w:val="single" w:color="auto" w:sz="4" w:space="0"/>
            </w:tcBorders>
            <w:vAlign w:val="center"/>
          </w:tcPr>
          <w:p w14:paraId="21EE47B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D420CA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9ED107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69E0B0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燃气应急资源数据梳理</w:t>
            </w:r>
          </w:p>
        </w:tc>
      </w:tr>
      <w:tr w14:paraId="453F4E9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57C6B9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84</w:t>
            </w:r>
          </w:p>
        </w:tc>
        <w:tc>
          <w:tcPr>
            <w:tcW w:w="0" w:type="auto"/>
            <w:vMerge w:val="continue"/>
            <w:tcBorders>
              <w:top w:val="nil"/>
              <w:left w:val="single" w:color="auto" w:sz="4" w:space="0"/>
              <w:bottom w:val="nil"/>
              <w:right w:val="single" w:color="auto" w:sz="4" w:space="0"/>
            </w:tcBorders>
            <w:vAlign w:val="center"/>
          </w:tcPr>
          <w:p w14:paraId="71391FE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788DD4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89D748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B8B944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燃气应急资源信息录入</w:t>
            </w:r>
          </w:p>
        </w:tc>
      </w:tr>
      <w:tr w14:paraId="6E50277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8B77A6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85</w:t>
            </w:r>
          </w:p>
        </w:tc>
        <w:tc>
          <w:tcPr>
            <w:tcW w:w="0" w:type="auto"/>
            <w:vMerge w:val="continue"/>
            <w:tcBorders>
              <w:top w:val="nil"/>
              <w:left w:val="single" w:color="auto" w:sz="4" w:space="0"/>
              <w:bottom w:val="nil"/>
              <w:right w:val="single" w:color="auto" w:sz="4" w:space="0"/>
            </w:tcBorders>
            <w:vAlign w:val="center"/>
          </w:tcPr>
          <w:p w14:paraId="21DFC96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13EB4F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DB1FA5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FDDD0C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燃气专项应急预案信息数据梳理</w:t>
            </w:r>
          </w:p>
        </w:tc>
      </w:tr>
      <w:tr w14:paraId="5A0C8A7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40730F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86</w:t>
            </w:r>
          </w:p>
        </w:tc>
        <w:tc>
          <w:tcPr>
            <w:tcW w:w="0" w:type="auto"/>
            <w:vMerge w:val="continue"/>
            <w:tcBorders>
              <w:top w:val="nil"/>
              <w:left w:val="single" w:color="auto" w:sz="4" w:space="0"/>
              <w:bottom w:val="nil"/>
              <w:right w:val="single" w:color="auto" w:sz="4" w:space="0"/>
            </w:tcBorders>
            <w:vAlign w:val="center"/>
          </w:tcPr>
          <w:p w14:paraId="72EF204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AB5C00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995633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30B895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燃气专项应急预案录入</w:t>
            </w:r>
          </w:p>
        </w:tc>
      </w:tr>
      <w:tr w14:paraId="1E2EB68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E299C9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87</w:t>
            </w:r>
          </w:p>
        </w:tc>
        <w:tc>
          <w:tcPr>
            <w:tcW w:w="0" w:type="auto"/>
            <w:vMerge w:val="continue"/>
            <w:tcBorders>
              <w:top w:val="nil"/>
              <w:left w:val="single" w:color="auto" w:sz="4" w:space="0"/>
              <w:bottom w:val="nil"/>
              <w:right w:val="single" w:color="auto" w:sz="4" w:space="0"/>
            </w:tcBorders>
            <w:vAlign w:val="center"/>
          </w:tcPr>
          <w:p w14:paraId="0D6891F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FB46D0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7C847A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9722A9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燃气专项应急资源能力评估数据梳理</w:t>
            </w:r>
          </w:p>
        </w:tc>
      </w:tr>
      <w:tr w14:paraId="2353B86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11C7D0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88</w:t>
            </w:r>
          </w:p>
        </w:tc>
        <w:tc>
          <w:tcPr>
            <w:tcW w:w="0" w:type="auto"/>
            <w:vMerge w:val="continue"/>
            <w:tcBorders>
              <w:top w:val="nil"/>
              <w:left w:val="single" w:color="auto" w:sz="4" w:space="0"/>
              <w:bottom w:val="nil"/>
              <w:right w:val="single" w:color="auto" w:sz="4" w:space="0"/>
            </w:tcBorders>
            <w:vAlign w:val="center"/>
          </w:tcPr>
          <w:p w14:paraId="3CF573A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F6275A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F49795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0C1C6D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燃气专项应急响应资源数据录入</w:t>
            </w:r>
          </w:p>
        </w:tc>
      </w:tr>
      <w:tr w14:paraId="5AA5D7D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DD6B4C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89</w:t>
            </w:r>
          </w:p>
        </w:tc>
        <w:tc>
          <w:tcPr>
            <w:tcW w:w="0" w:type="auto"/>
            <w:vMerge w:val="continue"/>
            <w:tcBorders>
              <w:top w:val="nil"/>
              <w:left w:val="single" w:color="auto" w:sz="4" w:space="0"/>
              <w:bottom w:val="nil"/>
              <w:right w:val="single" w:color="auto" w:sz="4" w:space="0"/>
            </w:tcBorders>
            <w:vAlign w:val="center"/>
          </w:tcPr>
          <w:p w14:paraId="10E2940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F54D66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4B2512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7DF812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燃气专项重大危险源识别数据梳理</w:t>
            </w:r>
          </w:p>
        </w:tc>
      </w:tr>
      <w:tr w14:paraId="12F2D74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7554B6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90</w:t>
            </w:r>
          </w:p>
        </w:tc>
        <w:tc>
          <w:tcPr>
            <w:tcW w:w="0" w:type="auto"/>
            <w:vMerge w:val="continue"/>
            <w:tcBorders>
              <w:top w:val="nil"/>
              <w:left w:val="single" w:color="auto" w:sz="4" w:space="0"/>
              <w:bottom w:val="nil"/>
              <w:right w:val="single" w:color="auto" w:sz="4" w:space="0"/>
            </w:tcBorders>
            <w:vAlign w:val="center"/>
          </w:tcPr>
          <w:p w14:paraId="0E3AD6D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25175F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A282A0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1E0199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燃气专项重大危险源数据录入</w:t>
            </w:r>
          </w:p>
        </w:tc>
      </w:tr>
      <w:tr w14:paraId="5004B4C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93873F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91</w:t>
            </w:r>
          </w:p>
        </w:tc>
        <w:tc>
          <w:tcPr>
            <w:tcW w:w="0" w:type="auto"/>
            <w:vMerge w:val="continue"/>
            <w:tcBorders>
              <w:top w:val="nil"/>
              <w:left w:val="single" w:color="auto" w:sz="4" w:space="0"/>
              <w:bottom w:val="nil"/>
              <w:right w:val="single" w:color="auto" w:sz="4" w:space="0"/>
            </w:tcBorders>
            <w:vAlign w:val="center"/>
          </w:tcPr>
          <w:p w14:paraId="55C589A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63F552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6B20EC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7ED09A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燃气专项重大危险源等级分类</w:t>
            </w:r>
          </w:p>
        </w:tc>
      </w:tr>
      <w:tr w14:paraId="1AAC94F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F97432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92</w:t>
            </w:r>
          </w:p>
        </w:tc>
        <w:tc>
          <w:tcPr>
            <w:tcW w:w="0" w:type="auto"/>
            <w:vMerge w:val="continue"/>
            <w:tcBorders>
              <w:top w:val="nil"/>
              <w:left w:val="single" w:color="auto" w:sz="4" w:space="0"/>
              <w:bottom w:val="nil"/>
              <w:right w:val="single" w:color="auto" w:sz="4" w:space="0"/>
            </w:tcBorders>
            <w:vAlign w:val="center"/>
          </w:tcPr>
          <w:p w14:paraId="48F71BD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AF49CB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52CF17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83966E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燃气专项社会经济敏感目标数据梳理</w:t>
            </w:r>
          </w:p>
        </w:tc>
      </w:tr>
      <w:tr w14:paraId="1591B16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9DBE09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93</w:t>
            </w:r>
          </w:p>
        </w:tc>
        <w:tc>
          <w:tcPr>
            <w:tcW w:w="0" w:type="auto"/>
            <w:vMerge w:val="continue"/>
            <w:tcBorders>
              <w:top w:val="nil"/>
              <w:left w:val="single" w:color="auto" w:sz="4" w:space="0"/>
              <w:bottom w:val="nil"/>
              <w:right w:val="single" w:color="auto" w:sz="4" w:space="0"/>
            </w:tcBorders>
            <w:vAlign w:val="center"/>
          </w:tcPr>
          <w:p w14:paraId="3343A2F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4CF108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6BAEDF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C487A3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燃气专项敏感区域信息录入</w:t>
            </w:r>
          </w:p>
        </w:tc>
      </w:tr>
      <w:tr w14:paraId="1AF8C94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14F90B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94</w:t>
            </w:r>
          </w:p>
        </w:tc>
        <w:tc>
          <w:tcPr>
            <w:tcW w:w="0" w:type="auto"/>
            <w:vMerge w:val="continue"/>
            <w:tcBorders>
              <w:top w:val="nil"/>
              <w:left w:val="single" w:color="auto" w:sz="4" w:space="0"/>
              <w:bottom w:val="nil"/>
              <w:right w:val="single" w:color="auto" w:sz="4" w:space="0"/>
            </w:tcBorders>
            <w:vAlign w:val="center"/>
          </w:tcPr>
          <w:p w14:paraId="346F7D3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3423A4C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燃气专项数据分析处理</w:t>
            </w:r>
          </w:p>
        </w:tc>
        <w:tc>
          <w:tcPr>
            <w:tcW w:w="2694" w:type="dxa"/>
            <w:vMerge w:val="restart"/>
            <w:tcBorders>
              <w:top w:val="nil"/>
              <w:left w:val="single" w:color="auto" w:sz="4" w:space="0"/>
              <w:bottom w:val="single" w:color="000000" w:sz="4" w:space="0"/>
              <w:right w:val="single" w:color="auto" w:sz="4" w:space="0"/>
            </w:tcBorders>
            <w:vAlign w:val="center"/>
          </w:tcPr>
          <w:p w14:paraId="56758BE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针对采集的数据、现场调查数据进行数据录入，根据数据模型进行预处理</w:t>
            </w:r>
          </w:p>
        </w:tc>
        <w:tc>
          <w:tcPr>
            <w:tcW w:w="4204" w:type="dxa"/>
            <w:tcBorders>
              <w:top w:val="nil"/>
              <w:left w:val="nil"/>
              <w:bottom w:val="single" w:color="auto" w:sz="4" w:space="0"/>
              <w:right w:val="single" w:color="auto" w:sz="4" w:space="0"/>
            </w:tcBorders>
            <w:vAlign w:val="center"/>
          </w:tcPr>
          <w:p w14:paraId="7684474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燃气专项风险评估数据复核数据梳理</w:t>
            </w:r>
          </w:p>
        </w:tc>
      </w:tr>
      <w:tr w14:paraId="50935FF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54DE28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95</w:t>
            </w:r>
          </w:p>
        </w:tc>
        <w:tc>
          <w:tcPr>
            <w:tcW w:w="0" w:type="auto"/>
            <w:vMerge w:val="continue"/>
            <w:tcBorders>
              <w:top w:val="nil"/>
              <w:left w:val="single" w:color="auto" w:sz="4" w:space="0"/>
              <w:bottom w:val="nil"/>
              <w:right w:val="single" w:color="auto" w:sz="4" w:space="0"/>
            </w:tcBorders>
            <w:vAlign w:val="center"/>
          </w:tcPr>
          <w:p w14:paraId="27F786E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DFEC7B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240D77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C964F6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燃气专项风险评估数据核查</w:t>
            </w:r>
          </w:p>
        </w:tc>
      </w:tr>
      <w:tr w14:paraId="60C9906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0D6620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96</w:t>
            </w:r>
          </w:p>
        </w:tc>
        <w:tc>
          <w:tcPr>
            <w:tcW w:w="0" w:type="auto"/>
            <w:vMerge w:val="continue"/>
            <w:tcBorders>
              <w:top w:val="nil"/>
              <w:left w:val="single" w:color="auto" w:sz="4" w:space="0"/>
              <w:bottom w:val="nil"/>
              <w:right w:val="single" w:color="auto" w:sz="4" w:space="0"/>
            </w:tcBorders>
            <w:vAlign w:val="center"/>
          </w:tcPr>
          <w:p w14:paraId="7B7B565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5AC69D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264A73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A706BA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燃气专项风险评估结果修正数据梳理</w:t>
            </w:r>
          </w:p>
        </w:tc>
      </w:tr>
      <w:tr w14:paraId="552ACFD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FB66AE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97</w:t>
            </w:r>
          </w:p>
        </w:tc>
        <w:tc>
          <w:tcPr>
            <w:tcW w:w="0" w:type="auto"/>
            <w:vMerge w:val="continue"/>
            <w:tcBorders>
              <w:top w:val="nil"/>
              <w:left w:val="single" w:color="auto" w:sz="4" w:space="0"/>
              <w:bottom w:val="nil"/>
              <w:right w:val="single" w:color="auto" w:sz="4" w:space="0"/>
            </w:tcBorders>
            <w:vAlign w:val="center"/>
          </w:tcPr>
          <w:p w14:paraId="043020C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566F5C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9EF613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F71E60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燃气专项风险评估修正录入</w:t>
            </w:r>
          </w:p>
        </w:tc>
      </w:tr>
      <w:tr w14:paraId="6B92AA5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6751CA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98</w:t>
            </w:r>
          </w:p>
        </w:tc>
        <w:tc>
          <w:tcPr>
            <w:tcW w:w="0" w:type="auto"/>
            <w:vMerge w:val="continue"/>
            <w:tcBorders>
              <w:top w:val="nil"/>
              <w:left w:val="single" w:color="auto" w:sz="4" w:space="0"/>
              <w:bottom w:val="nil"/>
              <w:right w:val="single" w:color="auto" w:sz="4" w:space="0"/>
            </w:tcBorders>
            <w:vAlign w:val="center"/>
          </w:tcPr>
          <w:p w14:paraId="35D9754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274341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EFF9C1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F1405A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燃气专项数据清洗规则配置梳理</w:t>
            </w:r>
          </w:p>
        </w:tc>
      </w:tr>
      <w:tr w14:paraId="05D1FAB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49CF2F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99</w:t>
            </w:r>
          </w:p>
        </w:tc>
        <w:tc>
          <w:tcPr>
            <w:tcW w:w="0" w:type="auto"/>
            <w:vMerge w:val="continue"/>
            <w:tcBorders>
              <w:top w:val="nil"/>
              <w:left w:val="single" w:color="auto" w:sz="4" w:space="0"/>
              <w:bottom w:val="nil"/>
              <w:right w:val="single" w:color="auto" w:sz="4" w:space="0"/>
            </w:tcBorders>
            <w:vAlign w:val="center"/>
          </w:tcPr>
          <w:p w14:paraId="4421CC3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FA435C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9AF8D9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ED807E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燃气专项缺失值填充处理</w:t>
            </w:r>
          </w:p>
        </w:tc>
      </w:tr>
      <w:tr w14:paraId="615688F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38CF1F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100</w:t>
            </w:r>
          </w:p>
        </w:tc>
        <w:tc>
          <w:tcPr>
            <w:tcW w:w="0" w:type="auto"/>
            <w:vMerge w:val="continue"/>
            <w:tcBorders>
              <w:top w:val="nil"/>
              <w:left w:val="single" w:color="auto" w:sz="4" w:space="0"/>
              <w:bottom w:val="nil"/>
              <w:right w:val="single" w:color="auto" w:sz="4" w:space="0"/>
            </w:tcBorders>
            <w:vAlign w:val="center"/>
          </w:tcPr>
          <w:p w14:paraId="312C3BC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8FDCBA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B79E23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DE9169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燃气专项数据转换标准规则梳理</w:t>
            </w:r>
          </w:p>
        </w:tc>
      </w:tr>
      <w:tr w14:paraId="2A6BB36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FD0BFB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101</w:t>
            </w:r>
          </w:p>
        </w:tc>
        <w:tc>
          <w:tcPr>
            <w:tcW w:w="0" w:type="auto"/>
            <w:vMerge w:val="continue"/>
            <w:tcBorders>
              <w:top w:val="nil"/>
              <w:left w:val="single" w:color="auto" w:sz="4" w:space="0"/>
              <w:bottom w:val="nil"/>
              <w:right w:val="single" w:color="auto" w:sz="4" w:space="0"/>
            </w:tcBorders>
            <w:vAlign w:val="center"/>
          </w:tcPr>
          <w:p w14:paraId="1658EAB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C3035C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08C1D5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A4D500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燃气专项数据格式转换</w:t>
            </w:r>
          </w:p>
        </w:tc>
      </w:tr>
      <w:tr w14:paraId="2FAAB1A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0CF282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102</w:t>
            </w:r>
          </w:p>
        </w:tc>
        <w:tc>
          <w:tcPr>
            <w:tcW w:w="0" w:type="auto"/>
            <w:vMerge w:val="continue"/>
            <w:tcBorders>
              <w:top w:val="nil"/>
              <w:left w:val="single" w:color="auto" w:sz="4" w:space="0"/>
              <w:bottom w:val="nil"/>
              <w:right w:val="single" w:color="auto" w:sz="4" w:space="0"/>
            </w:tcBorders>
            <w:vAlign w:val="center"/>
          </w:tcPr>
          <w:p w14:paraId="2643311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ABDF9B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521008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E1F5CE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燃气专项数据标准化建模规则梳理</w:t>
            </w:r>
          </w:p>
        </w:tc>
      </w:tr>
      <w:tr w14:paraId="7D519E3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26DCBB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103</w:t>
            </w:r>
          </w:p>
        </w:tc>
        <w:tc>
          <w:tcPr>
            <w:tcW w:w="0" w:type="auto"/>
            <w:vMerge w:val="continue"/>
            <w:tcBorders>
              <w:top w:val="nil"/>
              <w:left w:val="single" w:color="auto" w:sz="4" w:space="0"/>
              <w:bottom w:val="nil"/>
              <w:right w:val="single" w:color="auto" w:sz="4" w:space="0"/>
            </w:tcBorders>
            <w:vAlign w:val="center"/>
          </w:tcPr>
          <w:p w14:paraId="092D6EA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EFB76A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002D68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7ECE34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燃气专项数据标准化处理</w:t>
            </w:r>
          </w:p>
        </w:tc>
      </w:tr>
      <w:tr w14:paraId="2D6729F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F2F3A8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104</w:t>
            </w:r>
          </w:p>
        </w:tc>
        <w:tc>
          <w:tcPr>
            <w:tcW w:w="0" w:type="auto"/>
            <w:vMerge w:val="continue"/>
            <w:tcBorders>
              <w:top w:val="nil"/>
              <w:left w:val="single" w:color="auto" w:sz="4" w:space="0"/>
              <w:bottom w:val="nil"/>
              <w:right w:val="single" w:color="auto" w:sz="4" w:space="0"/>
            </w:tcBorders>
            <w:vAlign w:val="center"/>
          </w:tcPr>
          <w:p w14:paraId="11E5672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8B3CED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511D48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8125BF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燃气专项预处理结果数据梳理</w:t>
            </w:r>
          </w:p>
        </w:tc>
      </w:tr>
      <w:tr w14:paraId="43ED108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9C178D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105</w:t>
            </w:r>
          </w:p>
        </w:tc>
        <w:tc>
          <w:tcPr>
            <w:tcW w:w="0" w:type="auto"/>
            <w:vMerge w:val="continue"/>
            <w:tcBorders>
              <w:top w:val="nil"/>
              <w:left w:val="single" w:color="auto" w:sz="4" w:space="0"/>
              <w:bottom w:val="nil"/>
              <w:right w:val="single" w:color="auto" w:sz="4" w:space="0"/>
            </w:tcBorders>
            <w:vAlign w:val="center"/>
          </w:tcPr>
          <w:p w14:paraId="3E45ABF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1E3171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FF9D0E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DD112C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燃气专项预处理结果输出</w:t>
            </w:r>
          </w:p>
        </w:tc>
      </w:tr>
      <w:tr w14:paraId="78C6D42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89F850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106</w:t>
            </w:r>
          </w:p>
        </w:tc>
        <w:tc>
          <w:tcPr>
            <w:tcW w:w="0" w:type="auto"/>
            <w:vMerge w:val="continue"/>
            <w:tcBorders>
              <w:top w:val="nil"/>
              <w:left w:val="single" w:color="auto" w:sz="4" w:space="0"/>
              <w:bottom w:val="nil"/>
              <w:right w:val="single" w:color="auto" w:sz="4" w:space="0"/>
            </w:tcBorders>
            <w:vAlign w:val="center"/>
          </w:tcPr>
          <w:p w14:paraId="1AC0092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42D123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021708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DE7822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燃气专项预处理结果验证</w:t>
            </w:r>
          </w:p>
        </w:tc>
      </w:tr>
      <w:tr w14:paraId="64AE70E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EC5043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107</w:t>
            </w:r>
          </w:p>
        </w:tc>
        <w:tc>
          <w:tcPr>
            <w:tcW w:w="0" w:type="auto"/>
            <w:vMerge w:val="continue"/>
            <w:tcBorders>
              <w:top w:val="nil"/>
              <w:left w:val="single" w:color="auto" w:sz="4" w:space="0"/>
              <w:bottom w:val="nil"/>
              <w:right w:val="single" w:color="auto" w:sz="4" w:space="0"/>
            </w:tcBorders>
            <w:vAlign w:val="center"/>
          </w:tcPr>
          <w:p w14:paraId="673F0F7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9401FB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C0D9C2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12B602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燃气专项预处理结果报告生成</w:t>
            </w:r>
          </w:p>
        </w:tc>
      </w:tr>
      <w:tr w14:paraId="254950F7">
        <w:tblPrEx>
          <w:tblCellMar>
            <w:top w:w="0" w:type="dxa"/>
            <w:left w:w="108" w:type="dxa"/>
            <w:bottom w:w="0" w:type="dxa"/>
            <w:right w:w="108" w:type="dxa"/>
          </w:tblCellMar>
        </w:tblPrEx>
        <w:trPr>
          <w:trHeight w:val="1920" w:hRule="atLeast"/>
          <w:jc w:val="center"/>
        </w:trPr>
        <w:tc>
          <w:tcPr>
            <w:tcW w:w="0" w:type="auto"/>
            <w:tcBorders>
              <w:top w:val="nil"/>
              <w:left w:val="single" w:color="auto" w:sz="4" w:space="0"/>
              <w:bottom w:val="single" w:color="auto" w:sz="4" w:space="0"/>
              <w:right w:val="single" w:color="auto" w:sz="4" w:space="0"/>
            </w:tcBorders>
            <w:noWrap/>
            <w:vAlign w:val="center"/>
          </w:tcPr>
          <w:p w14:paraId="132D32A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108</w:t>
            </w:r>
          </w:p>
        </w:tc>
        <w:tc>
          <w:tcPr>
            <w:tcW w:w="0" w:type="auto"/>
            <w:vMerge w:val="continue"/>
            <w:tcBorders>
              <w:top w:val="nil"/>
              <w:left w:val="single" w:color="auto" w:sz="4" w:space="0"/>
              <w:bottom w:val="nil"/>
              <w:right w:val="single" w:color="auto" w:sz="4" w:space="0"/>
            </w:tcBorders>
            <w:vAlign w:val="center"/>
          </w:tcPr>
          <w:p w14:paraId="47FD962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6676FDD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燃气评估指标体系</w:t>
            </w:r>
          </w:p>
        </w:tc>
        <w:tc>
          <w:tcPr>
            <w:tcW w:w="2694" w:type="dxa"/>
            <w:vMerge w:val="restart"/>
            <w:tcBorders>
              <w:top w:val="nil"/>
              <w:left w:val="single" w:color="auto" w:sz="4" w:space="0"/>
              <w:bottom w:val="single" w:color="000000" w:sz="4" w:space="0"/>
              <w:right w:val="single" w:color="auto" w:sz="4" w:space="0"/>
            </w:tcBorders>
            <w:vAlign w:val="center"/>
          </w:tcPr>
          <w:p w14:paraId="7DF4CB2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本阶段的工作流程如下：首先，对录入风险评估软件的数据进行梳理，构建太原市风险评估指标体系，并编制涵盖计算指标项、权重及计算方法和公式的风险评估模型算法；其次，依据太原市风险评估指标体系与计算公式，对模型算法进行针对性调整优化，确保算法逻辑与太原市风险评估指标体系、计算公式完全匹配；最后，依托调整完善后的模型算法及风险评估软件，开展风险评估分析工作。风险评估模型算法由评估单位提供。</w:t>
            </w:r>
          </w:p>
        </w:tc>
        <w:tc>
          <w:tcPr>
            <w:tcW w:w="4204" w:type="dxa"/>
            <w:tcBorders>
              <w:top w:val="nil"/>
              <w:left w:val="nil"/>
              <w:bottom w:val="single" w:color="auto" w:sz="4" w:space="0"/>
              <w:right w:val="single" w:color="auto" w:sz="4" w:space="0"/>
            </w:tcBorders>
            <w:vAlign w:val="center"/>
          </w:tcPr>
          <w:p w14:paraId="3321FA1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燃气管线风险评估体系</w:t>
            </w:r>
          </w:p>
        </w:tc>
      </w:tr>
      <w:tr w14:paraId="4D9FB624">
        <w:tblPrEx>
          <w:tblCellMar>
            <w:top w:w="0" w:type="dxa"/>
            <w:left w:w="108" w:type="dxa"/>
            <w:bottom w:w="0" w:type="dxa"/>
            <w:right w:w="108" w:type="dxa"/>
          </w:tblCellMar>
        </w:tblPrEx>
        <w:trPr>
          <w:trHeight w:val="1920" w:hRule="atLeast"/>
          <w:jc w:val="center"/>
        </w:trPr>
        <w:tc>
          <w:tcPr>
            <w:tcW w:w="0" w:type="auto"/>
            <w:tcBorders>
              <w:top w:val="nil"/>
              <w:left w:val="single" w:color="auto" w:sz="4" w:space="0"/>
              <w:bottom w:val="single" w:color="auto" w:sz="4" w:space="0"/>
              <w:right w:val="single" w:color="auto" w:sz="4" w:space="0"/>
            </w:tcBorders>
            <w:noWrap/>
            <w:vAlign w:val="center"/>
          </w:tcPr>
          <w:p w14:paraId="08B3CED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109</w:t>
            </w:r>
          </w:p>
        </w:tc>
        <w:tc>
          <w:tcPr>
            <w:tcW w:w="0" w:type="auto"/>
            <w:vMerge w:val="continue"/>
            <w:tcBorders>
              <w:top w:val="nil"/>
              <w:left w:val="single" w:color="auto" w:sz="4" w:space="0"/>
              <w:bottom w:val="nil"/>
              <w:right w:val="single" w:color="auto" w:sz="4" w:space="0"/>
            </w:tcBorders>
            <w:vAlign w:val="center"/>
          </w:tcPr>
          <w:p w14:paraId="751340B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EA7475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2687C6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D78F38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天然气站场风险评估体系</w:t>
            </w:r>
          </w:p>
        </w:tc>
      </w:tr>
      <w:tr w14:paraId="1F99AE04">
        <w:tblPrEx>
          <w:tblCellMar>
            <w:top w:w="0" w:type="dxa"/>
            <w:left w:w="108" w:type="dxa"/>
            <w:bottom w:w="0" w:type="dxa"/>
            <w:right w:w="108" w:type="dxa"/>
          </w:tblCellMar>
        </w:tblPrEx>
        <w:trPr>
          <w:trHeight w:val="1920" w:hRule="atLeast"/>
          <w:jc w:val="center"/>
        </w:trPr>
        <w:tc>
          <w:tcPr>
            <w:tcW w:w="0" w:type="auto"/>
            <w:tcBorders>
              <w:top w:val="nil"/>
              <w:left w:val="single" w:color="auto" w:sz="4" w:space="0"/>
              <w:bottom w:val="single" w:color="auto" w:sz="4" w:space="0"/>
              <w:right w:val="single" w:color="auto" w:sz="4" w:space="0"/>
            </w:tcBorders>
            <w:noWrap/>
            <w:vAlign w:val="center"/>
          </w:tcPr>
          <w:p w14:paraId="031B576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110</w:t>
            </w:r>
          </w:p>
        </w:tc>
        <w:tc>
          <w:tcPr>
            <w:tcW w:w="0" w:type="auto"/>
            <w:vMerge w:val="continue"/>
            <w:tcBorders>
              <w:top w:val="nil"/>
              <w:left w:val="single" w:color="auto" w:sz="4" w:space="0"/>
              <w:bottom w:val="nil"/>
              <w:right w:val="single" w:color="auto" w:sz="4" w:space="0"/>
            </w:tcBorders>
            <w:vAlign w:val="center"/>
          </w:tcPr>
          <w:p w14:paraId="4AF3BE9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3E4647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BEF8C3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FE1EE8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燃气指标分级标准制定</w:t>
            </w:r>
          </w:p>
        </w:tc>
      </w:tr>
      <w:tr w14:paraId="122A3FD5">
        <w:tblPrEx>
          <w:tblCellMar>
            <w:top w:w="0" w:type="dxa"/>
            <w:left w:w="108" w:type="dxa"/>
            <w:bottom w:w="0" w:type="dxa"/>
            <w:right w:w="108" w:type="dxa"/>
          </w:tblCellMar>
        </w:tblPrEx>
        <w:trPr>
          <w:trHeight w:val="1920" w:hRule="atLeast"/>
          <w:jc w:val="center"/>
        </w:trPr>
        <w:tc>
          <w:tcPr>
            <w:tcW w:w="0" w:type="auto"/>
            <w:tcBorders>
              <w:top w:val="nil"/>
              <w:left w:val="single" w:color="auto" w:sz="4" w:space="0"/>
              <w:bottom w:val="single" w:color="auto" w:sz="4" w:space="0"/>
              <w:right w:val="single" w:color="auto" w:sz="4" w:space="0"/>
            </w:tcBorders>
            <w:noWrap/>
            <w:vAlign w:val="center"/>
          </w:tcPr>
          <w:p w14:paraId="65B59BC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111</w:t>
            </w:r>
          </w:p>
        </w:tc>
        <w:tc>
          <w:tcPr>
            <w:tcW w:w="0" w:type="auto"/>
            <w:vMerge w:val="continue"/>
            <w:tcBorders>
              <w:top w:val="nil"/>
              <w:left w:val="single" w:color="auto" w:sz="4" w:space="0"/>
              <w:bottom w:val="nil"/>
              <w:right w:val="single" w:color="auto" w:sz="4" w:space="0"/>
            </w:tcBorders>
            <w:vAlign w:val="center"/>
          </w:tcPr>
          <w:p w14:paraId="03270B3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BE5637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A24BD9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E895A8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燃气指标计算公式录入</w:t>
            </w:r>
          </w:p>
        </w:tc>
      </w:tr>
      <w:tr w14:paraId="2968BA24">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79DF8F9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112</w:t>
            </w:r>
          </w:p>
        </w:tc>
        <w:tc>
          <w:tcPr>
            <w:tcW w:w="0" w:type="auto"/>
            <w:vMerge w:val="continue"/>
            <w:tcBorders>
              <w:top w:val="nil"/>
              <w:left w:val="single" w:color="auto" w:sz="4" w:space="0"/>
              <w:bottom w:val="nil"/>
              <w:right w:val="single" w:color="auto" w:sz="4" w:space="0"/>
            </w:tcBorders>
            <w:vAlign w:val="center"/>
          </w:tcPr>
          <w:p w14:paraId="1093889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06EAE2E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燃气专项风险分析</w:t>
            </w:r>
          </w:p>
        </w:tc>
        <w:tc>
          <w:tcPr>
            <w:tcW w:w="2694" w:type="dxa"/>
            <w:vMerge w:val="restart"/>
            <w:tcBorders>
              <w:top w:val="nil"/>
              <w:left w:val="single" w:color="auto" w:sz="4" w:space="0"/>
              <w:bottom w:val="single" w:color="000000" w:sz="4" w:space="0"/>
              <w:right w:val="single" w:color="auto" w:sz="4" w:space="0"/>
            </w:tcBorders>
            <w:vAlign w:val="center"/>
          </w:tcPr>
          <w:p w14:paraId="7C0F11D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1、数据项映射工作</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建立绑定关系：在风险评估软件中，将实际的数据库字段与风险计算公式中的变量进行“一一对应”配置，确保软件能“读懂”并抓取正确的位置和数据。</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2、批量计算与结果核对</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执行运算：操作软件进行不同类别燃气进行风险评估计算。</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输出检查：逐一或抽样检查每座燃气是否都生成了分析结果，核对输出结果的完整性（无遗漏）。</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3、异常排查与配置修正</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识别异常：定位分析结果输出异常（如结果为空、数值明显偏离常识、计算报错）的桥隧。</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诊断原因：分析是公式配置错误、数据调用失败还是原始数据异常导致的问题。</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重新配置：针对异常情况，修正计算公式的参数设置，或者重新调整数据调用的映射关系，然后进行复算。</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4、结果关联标注</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将最终确认无误的风险评估结果关联到每一个评估的设施上，确保点击设施的标柱时，可以查看详细的风险分数和主要影响因子。</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5、数据审核</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辅助审核：整理评估结果列表和关联标注成果，提交给审核方，并对异常数据的处理过程进行解释。</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过程归档：记录数据项绑定方案、异常问题处理清单以及最终的配置参数，形成工作记录。</w:t>
            </w:r>
          </w:p>
        </w:tc>
        <w:tc>
          <w:tcPr>
            <w:tcW w:w="4204" w:type="dxa"/>
            <w:tcBorders>
              <w:top w:val="nil"/>
              <w:left w:val="nil"/>
              <w:bottom w:val="single" w:color="auto" w:sz="4" w:space="0"/>
              <w:right w:val="single" w:color="auto" w:sz="4" w:space="0"/>
            </w:tcBorders>
            <w:vAlign w:val="center"/>
          </w:tcPr>
          <w:p w14:paraId="692CCDE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高压、次高压管线和人口密集区中低压主干管线；</w:t>
            </w:r>
          </w:p>
        </w:tc>
      </w:tr>
      <w:tr w14:paraId="6AB5220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1B9B33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113</w:t>
            </w:r>
          </w:p>
        </w:tc>
        <w:tc>
          <w:tcPr>
            <w:tcW w:w="0" w:type="auto"/>
            <w:vMerge w:val="continue"/>
            <w:tcBorders>
              <w:top w:val="nil"/>
              <w:left w:val="single" w:color="auto" w:sz="4" w:space="0"/>
              <w:bottom w:val="nil"/>
              <w:right w:val="single" w:color="auto" w:sz="4" w:space="0"/>
            </w:tcBorders>
            <w:vAlign w:val="center"/>
          </w:tcPr>
          <w:p w14:paraId="3C1E4C4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16047A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5AAD7E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629456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天然气门站、调压站、瓶装液化气供应站等；</w:t>
            </w:r>
          </w:p>
        </w:tc>
      </w:tr>
      <w:tr w14:paraId="7353E2C7">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41E7582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114</w:t>
            </w:r>
          </w:p>
        </w:tc>
        <w:tc>
          <w:tcPr>
            <w:tcW w:w="0" w:type="auto"/>
            <w:vMerge w:val="continue"/>
            <w:tcBorders>
              <w:top w:val="nil"/>
              <w:left w:val="single" w:color="auto" w:sz="4" w:space="0"/>
              <w:bottom w:val="nil"/>
              <w:right w:val="single" w:color="auto" w:sz="4" w:space="0"/>
            </w:tcBorders>
            <w:vAlign w:val="center"/>
          </w:tcPr>
          <w:p w14:paraId="632CF84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F3D932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8435DC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B71FCA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燃气阀门井，燃气管线相邻的雨污水、电力、通信等管线及地下阀室；</w:t>
            </w:r>
          </w:p>
        </w:tc>
      </w:tr>
      <w:tr w14:paraId="0F6738E2">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742FD43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115</w:t>
            </w:r>
          </w:p>
        </w:tc>
        <w:tc>
          <w:tcPr>
            <w:tcW w:w="0" w:type="auto"/>
            <w:vMerge w:val="continue"/>
            <w:tcBorders>
              <w:top w:val="nil"/>
              <w:left w:val="single" w:color="auto" w:sz="4" w:space="0"/>
              <w:bottom w:val="nil"/>
              <w:right w:val="single" w:color="auto" w:sz="4" w:space="0"/>
            </w:tcBorders>
            <w:vAlign w:val="center"/>
          </w:tcPr>
          <w:p w14:paraId="69ED3FC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DB4DAF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E40DA2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8FDA1E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有燃气管线穿越的密闭和半密闭空间和其他燃气泄漏后易通过土壤和管线扩散聚集的空间；</w:t>
            </w:r>
          </w:p>
        </w:tc>
      </w:tr>
      <w:tr w14:paraId="05C75E5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5FDECC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116</w:t>
            </w:r>
          </w:p>
        </w:tc>
        <w:tc>
          <w:tcPr>
            <w:tcW w:w="0" w:type="auto"/>
            <w:vMerge w:val="continue"/>
            <w:tcBorders>
              <w:top w:val="nil"/>
              <w:left w:val="single" w:color="auto" w:sz="4" w:space="0"/>
              <w:bottom w:val="nil"/>
              <w:right w:val="single" w:color="auto" w:sz="4" w:space="0"/>
            </w:tcBorders>
            <w:vAlign w:val="center"/>
          </w:tcPr>
          <w:p w14:paraId="79723EE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EE2FF6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56BE43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71EB96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人口密集区用气餐饮场所；</w:t>
            </w:r>
          </w:p>
        </w:tc>
      </w:tr>
      <w:tr w14:paraId="20ED9E44">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4C7B0E3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117</w:t>
            </w:r>
          </w:p>
        </w:tc>
        <w:tc>
          <w:tcPr>
            <w:tcW w:w="0" w:type="auto"/>
            <w:vMerge w:val="continue"/>
            <w:tcBorders>
              <w:top w:val="nil"/>
              <w:left w:val="single" w:color="auto" w:sz="4" w:space="0"/>
              <w:bottom w:val="nil"/>
              <w:right w:val="single" w:color="auto" w:sz="4" w:space="0"/>
            </w:tcBorders>
            <w:vAlign w:val="center"/>
          </w:tcPr>
          <w:p w14:paraId="27DE23D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0109A6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7FF87C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109BA6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燃气爆炸后易产生较大人员伤亡、生态环境破坏等严重后果的空间；</w:t>
            </w:r>
          </w:p>
        </w:tc>
      </w:tr>
      <w:tr w14:paraId="57E12D39">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56DD5CE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118</w:t>
            </w:r>
          </w:p>
        </w:tc>
        <w:tc>
          <w:tcPr>
            <w:tcW w:w="0" w:type="auto"/>
            <w:vMerge w:val="continue"/>
            <w:tcBorders>
              <w:top w:val="nil"/>
              <w:left w:val="single" w:color="auto" w:sz="4" w:space="0"/>
              <w:bottom w:val="nil"/>
              <w:right w:val="single" w:color="auto" w:sz="4" w:space="0"/>
            </w:tcBorders>
            <w:vAlign w:val="center"/>
          </w:tcPr>
          <w:p w14:paraId="0542380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86D29A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EE3F13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9A8B28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超期服役的以及存在安全运行隐患的老旧燃气管线；</w:t>
            </w:r>
          </w:p>
        </w:tc>
      </w:tr>
      <w:tr w14:paraId="2E944A7A">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7490BDD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119</w:t>
            </w:r>
          </w:p>
        </w:tc>
        <w:tc>
          <w:tcPr>
            <w:tcW w:w="0" w:type="auto"/>
            <w:vMerge w:val="continue"/>
            <w:tcBorders>
              <w:top w:val="nil"/>
              <w:left w:val="single" w:color="auto" w:sz="4" w:space="0"/>
              <w:bottom w:val="nil"/>
              <w:right w:val="single" w:color="auto" w:sz="4" w:space="0"/>
            </w:tcBorders>
            <w:vAlign w:val="center"/>
          </w:tcPr>
          <w:p w14:paraId="6FCFF50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7F7638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8B14FF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555732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存在各工程交叉相关影响、地质灾害影响的燃气管线。</w:t>
            </w:r>
          </w:p>
        </w:tc>
      </w:tr>
      <w:tr w14:paraId="0015B54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9F9FEC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120</w:t>
            </w:r>
          </w:p>
        </w:tc>
        <w:tc>
          <w:tcPr>
            <w:tcW w:w="0" w:type="auto"/>
            <w:vMerge w:val="continue"/>
            <w:tcBorders>
              <w:top w:val="nil"/>
              <w:left w:val="single" w:color="auto" w:sz="4" w:space="0"/>
              <w:bottom w:val="nil"/>
              <w:right w:val="single" w:color="auto" w:sz="4" w:space="0"/>
            </w:tcBorders>
            <w:vAlign w:val="center"/>
          </w:tcPr>
          <w:p w14:paraId="56AF73E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3FD4DF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7A3C9C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181A09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燃气风险源识别逻辑模型设计</w:t>
            </w:r>
          </w:p>
        </w:tc>
      </w:tr>
      <w:tr w14:paraId="039C38C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BD8490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121</w:t>
            </w:r>
          </w:p>
        </w:tc>
        <w:tc>
          <w:tcPr>
            <w:tcW w:w="0" w:type="auto"/>
            <w:vMerge w:val="continue"/>
            <w:tcBorders>
              <w:top w:val="nil"/>
              <w:left w:val="single" w:color="auto" w:sz="4" w:space="0"/>
              <w:bottom w:val="nil"/>
              <w:right w:val="single" w:color="auto" w:sz="4" w:space="0"/>
            </w:tcBorders>
            <w:vAlign w:val="center"/>
          </w:tcPr>
          <w:p w14:paraId="13772C8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DF4E08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655B96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1B6D75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燃气专项隐患图形标注展示</w:t>
            </w:r>
          </w:p>
        </w:tc>
      </w:tr>
      <w:tr w14:paraId="382E352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B3AA3D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122</w:t>
            </w:r>
          </w:p>
        </w:tc>
        <w:tc>
          <w:tcPr>
            <w:tcW w:w="0" w:type="auto"/>
            <w:vMerge w:val="continue"/>
            <w:tcBorders>
              <w:top w:val="nil"/>
              <w:left w:val="single" w:color="auto" w:sz="4" w:space="0"/>
              <w:bottom w:val="nil"/>
              <w:right w:val="single" w:color="auto" w:sz="4" w:space="0"/>
            </w:tcBorders>
            <w:vAlign w:val="center"/>
          </w:tcPr>
          <w:p w14:paraId="33ACA43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124601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B864BB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A134F4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燃气专项交叉施工风险数据梳理</w:t>
            </w:r>
          </w:p>
        </w:tc>
      </w:tr>
      <w:tr w14:paraId="1AD5F84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FBAB75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123</w:t>
            </w:r>
          </w:p>
        </w:tc>
        <w:tc>
          <w:tcPr>
            <w:tcW w:w="0" w:type="auto"/>
            <w:vMerge w:val="continue"/>
            <w:tcBorders>
              <w:top w:val="nil"/>
              <w:left w:val="single" w:color="auto" w:sz="4" w:space="0"/>
              <w:bottom w:val="nil"/>
              <w:right w:val="single" w:color="auto" w:sz="4" w:space="0"/>
            </w:tcBorders>
            <w:vAlign w:val="center"/>
          </w:tcPr>
          <w:p w14:paraId="1917929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385E8CF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评估结果汇总完善</w:t>
            </w:r>
          </w:p>
        </w:tc>
        <w:tc>
          <w:tcPr>
            <w:tcW w:w="2694" w:type="dxa"/>
            <w:vMerge w:val="restart"/>
            <w:tcBorders>
              <w:top w:val="nil"/>
              <w:left w:val="single" w:color="auto" w:sz="4" w:space="0"/>
              <w:bottom w:val="single" w:color="000000" w:sz="4" w:space="0"/>
              <w:right w:val="single" w:color="auto" w:sz="4" w:space="0"/>
            </w:tcBorders>
            <w:vAlign w:val="center"/>
          </w:tcPr>
          <w:p w14:paraId="1E535DE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包括成果汇总管理数据、成果录入、成果分类管理、成果自动统计与输出工作，该部分核心工作为对专项风险分析已经分析出的结果数据进行整理，将不同类型的燃气的分析结果数据进行分类，按不用类别进行录入到文档及成果管理系统，按类别进行统计。</w:t>
            </w:r>
          </w:p>
        </w:tc>
        <w:tc>
          <w:tcPr>
            <w:tcW w:w="4204" w:type="dxa"/>
            <w:tcBorders>
              <w:top w:val="nil"/>
              <w:left w:val="nil"/>
              <w:bottom w:val="single" w:color="auto" w:sz="4" w:space="0"/>
              <w:right w:val="single" w:color="auto" w:sz="4" w:space="0"/>
            </w:tcBorders>
            <w:vAlign w:val="center"/>
          </w:tcPr>
          <w:p w14:paraId="7F45AC1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燃气专项成果汇总管理数据梳理</w:t>
            </w:r>
          </w:p>
        </w:tc>
      </w:tr>
      <w:tr w14:paraId="32AA37E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DA23CD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124</w:t>
            </w:r>
          </w:p>
        </w:tc>
        <w:tc>
          <w:tcPr>
            <w:tcW w:w="0" w:type="auto"/>
            <w:vMerge w:val="continue"/>
            <w:tcBorders>
              <w:top w:val="nil"/>
              <w:left w:val="single" w:color="auto" w:sz="4" w:space="0"/>
              <w:bottom w:val="nil"/>
              <w:right w:val="single" w:color="auto" w:sz="4" w:space="0"/>
            </w:tcBorders>
            <w:vAlign w:val="center"/>
          </w:tcPr>
          <w:p w14:paraId="7404F2C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CE27AA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787777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2FFB9C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燃气专项评估成果成果录入</w:t>
            </w:r>
          </w:p>
        </w:tc>
      </w:tr>
      <w:tr w14:paraId="25D9654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730500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125</w:t>
            </w:r>
          </w:p>
        </w:tc>
        <w:tc>
          <w:tcPr>
            <w:tcW w:w="0" w:type="auto"/>
            <w:vMerge w:val="continue"/>
            <w:tcBorders>
              <w:top w:val="nil"/>
              <w:left w:val="single" w:color="auto" w:sz="4" w:space="0"/>
              <w:bottom w:val="nil"/>
              <w:right w:val="single" w:color="auto" w:sz="4" w:space="0"/>
            </w:tcBorders>
            <w:vAlign w:val="center"/>
          </w:tcPr>
          <w:p w14:paraId="237AB04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4C8585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4F1302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3D15DB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燃气专项评估成果分类管理</w:t>
            </w:r>
          </w:p>
        </w:tc>
      </w:tr>
      <w:tr w14:paraId="75375CB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010274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126</w:t>
            </w:r>
          </w:p>
        </w:tc>
        <w:tc>
          <w:tcPr>
            <w:tcW w:w="0" w:type="auto"/>
            <w:vMerge w:val="continue"/>
            <w:tcBorders>
              <w:top w:val="nil"/>
              <w:left w:val="single" w:color="auto" w:sz="4" w:space="0"/>
              <w:bottom w:val="nil"/>
              <w:right w:val="single" w:color="auto" w:sz="4" w:space="0"/>
            </w:tcBorders>
            <w:vAlign w:val="center"/>
          </w:tcPr>
          <w:p w14:paraId="26BE786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41EAD9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7F631F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AE81F9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燃气专项成果自动统计与输出</w:t>
            </w:r>
          </w:p>
        </w:tc>
      </w:tr>
      <w:tr w14:paraId="7E33725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7ECFD2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127</w:t>
            </w:r>
          </w:p>
        </w:tc>
        <w:tc>
          <w:tcPr>
            <w:tcW w:w="0" w:type="auto"/>
            <w:vMerge w:val="continue"/>
            <w:tcBorders>
              <w:top w:val="nil"/>
              <w:left w:val="single" w:color="auto" w:sz="4" w:space="0"/>
              <w:bottom w:val="nil"/>
              <w:right w:val="single" w:color="auto" w:sz="4" w:space="0"/>
            </w:tcBorders>
            <w:vAlign w:val="center"/>
          </w:tcPr>
          <w:p w14:paraId="09B9646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284E11C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风险四色图</w:t>
            </w:r>
          </w:p>
        </w:tc>
        <w:tc>
          <w:tcPr>
            <w:tcW w:w="2694" w:type="dxa"/>
            <w:vMerge w:val="restart"/>
            <w:tcBorders>
              <w:top w:val="nil"/>
              <w:left w:val="single" w:color="auto" w:sz="4" w:space="0"/>
              <w:bottom w:val="single" w:color="000000" w:sz="4" w:space="0"/>
              <w:right w:val="single" w:color="auto" w:sz="4" w:space="0"/>
            </w:tcBorders>
            <w:vAlign w:val="center"/>
          </w:tcPr>
          <w:p w14:paraId="560C958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1、、风险电子四色图：制作地图，生成包含桥隧及其风险等级的GIS地图，用不同的颜色或符号直观地表示出不同级别的风险区域。</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2、风险清单：包括类别、风险源名称、位置、风险分析、潜在事故类型、风险等级、管控措施、责任人、“三高”区域点位界定、备注等。</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3、报告文档：编写详细的分析报告，说明分析结果以及建议措施（工程技术措施、管理措施、应急措施）。</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4、城市生命线安全建议监测布点点位：包括各个风险点位的建议监测设备布放建议。</w:t>
            </w:r>
          </w:p>
        </w:tc>
        <w:tc>
          <w:tcPr>
            <w:tcW w:w="4204" w:type="dxa"/>
            <w:tcBorders>
              <w:top w:val="nil"/>
              <w:left w:val="nil"/>
              <w:bottom w:val="single" w:color="auto" w:sz="4" w:space="0"/>
              <w:right w:val="single" w:color="auto" w:sz="4" w:space="0"/>
            </w:tcBorders>
            <w:vAlign w:val="center"/>
          </w:tcPr>
          <w:p w14:paraId="3BD1F3A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燃气专项风险四色图制作</w:t>
            </w:r>
          </w:p>
        </w:tc>
      </w:tr>
      <w:tr w14:paraId="4B3286B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6B76AA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128</w:t>
            </w:r>
          </w:p>
        </w:tc>
        <w:tc>
          <w:tcPr>
            <w:tcW w:w="0" w:type="auto"/>
            <w:vMerge w:val="continue"/>
            <w:tcBorders>
              <w:top w:val="nil"/>
              <w:left w:val="single" w:color="auto" w:sz="4" w:space="0"/>
              <w:bottom w:val="nil"/>
              <w:right w:val="single" w:color="auto" w:sz="4" w:space="0"/>
            </w:tcBorders>
            <w:vAlign w:val="center"/>
          </w:tcPr>
          <w:p w14:paraId="15823F7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0CA5D3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E664F9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608E49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燃气专项风险四色图审核</w:t>
            </w:r>
          </w:p>
        </w:tc>
      </w:tr>
      <w:tr w14:paraId="6435091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C67EF0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129</w:t>
            </w:r>
          </w:p>
        </w:tc>
        <w:tc>
          <w:tcPr>
            <w:tcW w:w="0" w:type="auto"/>
            <w:vMerge w:val="continue"/>
            <w:tcBorders>
              <w:top w:val="nil"/>
              <w:left w:val="single" w:color="auto" w:sz="4" w:space="0"/>
              <w:bottom w:val="nil"/>
              <w:right w:val="single" w:color="auto" w:sz="4" w:space="0"/>
            </w:tcBorders>
            <w:vAlign w:val="center"/>
          </w:tcPr>
          <w:p w14:paraId="6A49CEB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2C8CF16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风险清单</w:t>
            </w:r>
          </w:p>
        </w:tc>
        <w:tc>
          <w:tcPr>
            <w:tcW w:w="2694" w:type="dxa"/>
            <w:vMerge w:val="continue"/>
            <w:tcBorders>
              <w:top w:val="nil"/>
              <w:left w:val="single" w:color="auto" w:sz="4" w:space="0"/>
              <w:bottom w:val="single" w:color="000000" w:sz="4" w:space="0"/>
              <w:right w:val="single" w:color="auto" w:sz="4" w:space="0"/>
            </w:tcBorders>
            <w:vAlign w:val="center"/>
          </w:tcPr>
          <w:p w14:paraId="361657A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22DB44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燃气风险清单</w:t>
            </w:r>
          </w:p>
        </w:tc>
      </w:tr>
      <w:tr w14:paraId="19A303A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1A9AEE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130</w:t>
            </w:r>
          </w:p>
        </w:tc>
        <w:tc>
          <w:tcPr>
            <w:tcW w:w="0" w:type="auto"/>
            <w:vMerge w:val="continue"/>
            <w:tcBorders>
              <w:top w:val="nil"/>
              <w:left w:val="single" w:color="auto" w:sz="4" w:space="0"/>
              <w:bottom w:val="nil"/>
              <w:right w:val="single" w:color="auto" w:sz="4" w:space="0"/>
            </w:tcBorders>
            <w:vAlign w:val="center"/>
          </w:tcPr>
          <w:p w14:paraId="45A8036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997495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BE4FD3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AD3482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燃气风险清单审核</w:t>
            </w:r>
          </w:p>
        </w:tc>
      </w:tr>
      <w:tr w14:paraId="7188CFE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DD090B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131</w:t>
            </w:r>
          </w:p>
        </w:tc>
        <w:tc>
          <w:tcPr>
            <w:tcW w:w="0" w:type="auto"/>
            <w:vMerge w:val="continue"/>
            <w:tcBorders>
              <w:top w:val="nil"/>
              <w:left w:val="single" w:color="auto" w:sz="4" w:space="0"/>
              <w:bottom w:val="nil"/>
              <w:right w:val="single" w:color="auto" w:sz="4" w:space="0"/>
            </w:tcBorders>
            <w:vAlign w:val="center"/>
          </w:tcPr>
          <w:p w14:paraId="654D5F6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6452BE5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风险评估报告</w:t>
            </w:r>
          </w:p>
        </w:tc>
        <w:tc>
          <w:tcPr>
            <w:tcW w:w="2694" w:type="dxa"/>
            <w:vMerge w:val="continue"/>
            <w:tcBorders>
              <w:top w:val="nil"/>
              <w:left w:val="single" w:color="auto" w:sz="4" w:space="0"/>
              <w:bottom w:val="single" w:color="000000" w:sz="4" w:space="0"/>
              <w:right w:val="single" w:color="auto" w:sz="4" w:space="0"/>
            </w:tcBorders>
            <w:vAlign w:val="center"/>
          </w:tcPr>
          <w:p w14:paraId="555D4FC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7CB1B6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燃气专项总结报告制作</w:t>
            </w:r>
          </w:p>
        </w:tc>
      </w:tr>
      <w:tr w14:paraId="3978022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89BD4B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132</w:t>
            </w:r>
          </w:p>
        </w:tc>
        <w:tc>
          <w:tcPr>
            <w:tcW w:w="0" w:type="auto"/>
            <w:vMerge w:val="continue"/>
            <w:tcBorders>
              <w:top w:val="nil"/>
              <w:left w:val="single" w:color="auto" w:sz="4" w:space="0"/>
              <w:bottom w:val="nil"/>
              <w:right w:val="single" w:color="auto" w:sz="4" w:space="0"/>
            </w:tcBorders>
            <w:vAlign w:val="center"/>
          </w:tcPr>
          <w:p w14:paraId="7D3B37C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3D7D74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A6BE20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7CA980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燃气专项总结报告审核</w:t>
            </w:r>
          </w:p>
        </w:tc>
      </w:tr>
      <w:tr w14:paraId="452A124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BF6630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133</w:t>
            </w:r>
          </w:p>
        </w:tc>
        <w:tc>
          <w:tcPr>
            <w:tcW w:w="0" w:type="auto"/>
            <w:vMerge w:val="continue"/>
            <w:tcBorders>
              <w:top w:val="nil"/>
              <w:left w:val="single" w:color="auto" w:sz="4" w:space="0"/>
              <w:bottom w:val="nil"/>
              <w:right w:val="single" w:color="auto" w:sz="4" w:space="0"/>
            </w:tcBorders>
            <w:vAlign w:val="center"/>
          </w:tcPr>
          <w:p w14:paraId="464323B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18BD371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监测布点方案</w:t>
            </w:r>
          </w:p>
        </w:tc>
        <w:tc>
          <w:tcPr>
            <w:tcW w:w="2694" w:type="dxa"/>
            <w:vMerge w:val="continue"/>
            <w:tcBorders>
              <w:top w:val="nil"/>
              <w:left w:val="single" w:color="auto" w:sz="4" w:space="0"/>
              <w:bottom w:val="single" w:color="000000" w:sz="4" w:space="0"/>
              <w:right w:val="single" w:color="auto" w:sz="4" w:space="0"/>
            </w:tcBorders>
            <w:vAlign w:val="center"/>
          </w:tcPr>
          <w:p w14:paraId="2DF61AA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569819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燃气专项监测布点方案设计</w:t>
            </w:r>
          </w:p>
        </w:tc>
      </w:tr>
      <w:tr w14:paraId="2500F3C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A0C277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134</w:t>
            </w:r>
          </w:p>
        </w:tc>
        <w:tc>
          <w:tcPr>
            <w:tcW w:w="0" w:type="auto"/>
            <w:vMerge w:val="continue"/>
            <w:tcBorders>
              <w:top w:val="nil"/>
              <w:left w:val="single" w:color="auto" w:sz="4" w:space="0"/>
              <w:bottom w:val="nil"/>
              <w:right w:val="single" w:color="auto" w:sz="4" w:space="0"/>
            </w:tcBorders>
            <w:vAlign w:val="center"/>
          </w:tcPr>
          <w:p w14:paraId="3F534C8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9ACF0A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A99F7C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FC4ADD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燃气专项监测布点方案审核</w:t>
            </w:r>
          </w:p>
        </w:tc>
      </w:tr>
      <w:tr w14:paraId="78DF55A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0960D1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135</w:t>
            </w:r>
          </w:p>
        </w:tc>
        <w:tc>
          <w:tcPr>
            <w:tcW w:w="0" w:type="auto"/>
            <w:vMerge w:val="continue"/>
            <w:tcBorders>
              <w:top w:val="nil"/>
              <w:left w:val="single" w:color="auto" w:sz="4" w:space="0"/>
              <w:bottom w:val="nil"/>
              <w:right w:val="single" w:color="auto" w:sz="4" w:space="0"/>
            </w:tcBorders>
            <w:vAlign w:val="center"/>
          </w:tcPr>
          <w:p w14:paraId="0780EA6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77AC0F2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电子成果物</w:t>
            </w:r>
          </w:p>
        </w:tc>
        <w:tc>
          <w:tcPr>
            <w:tcW w:w="2694" w:type="dxa"/>
            <w:vMerge w:val="continue"/>
            <w:tcBorders>
              <w:top w:val="nil"/>
              <w:left w:val="single" w:color="auto" w:sz="4" w:space="0"/>
              <w:bottom w:val="single" w:color="000000" w:sz="4" w:space="0"/>
              <w:right w:val="single" w:color="auto" w:sz="4" w:space="0"/>
            </w:tcBorders>
            <w:vAlign w:val="center"/>
          </w:tcPr>
          <w:p w14:paraId="1ECD764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B3F3D1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燃气专项评估成果电子档案数据梳理</w:t>
            </w:r>
          </w:p>
        </w:tc>
      </w:tr>
      <w:tr w14:paraId="2637013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AE6C30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136</w:t>
            </w:r>
          </w:p>
        </w:tc>
        <w:tc>
          <w:tcPr>
            <w:tcW w:w="0" w:type="auto"/>
            <w:vMerge w:val="continue"/>
            <w:tcBorders>
              <w:top w:val="nil"/>
              <w:left w:val="single" w:color="auto" w:sz="4" w:space="0"/>
              <w:bottom w:val="nil"/>
              <w:right w:val="single" w:color="auto" w:sz="4" w:space="0"/>
            </w:tcBorders>
            <w:vAlign w:val="center"/>
          </w:tcPr>
          <w:p w14:paraId="71D50D6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570202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98E5C3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573D6D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燃气专项电子档案资料更新维护</w:t>
            </w:r>
          </w:p>
        </w:tc>
      </w:tr>
      <w:tr w14:paraId="413F6330">
        <w:tblPrEx>
          <w:tblCellMar>
            <w:top w:w="0" w:type="dxa"/>
            <w:left w:w="108" w:type="dxa"/>
            <w:bottom w:w="0" w:type="dxa"/>
            <w:right w:w="108" w:type="dxa"/>
          </w:tblCellMar>
        </w:tblPrEx>
        <w:trPr>
          <w:trHeight w:val="400" w:hRule="atLeast"/>
          <w:jc w:val="center"/>
        </w:trPr>
        <w:tc>
          <w:tcPr>
            <w:tcW w:w="0" w:type="auto"/>
            <w:tcBorders>
              <w:top w:val="nil"/>
              <w:left w:val="single" w:color="auto" w:sz="4" w:space="0"/>
              <w:bottom w:val="single" w:color="auto" w:sz="4" w:space="0"/>
              <w:right w:val="single" w:color="auto" w:sz="4" w:space="0"/>
            </w:tcBorders>
            <w:noWrap/>
            <w:vAlign w:val="center"/>
          </w:tcPr>
          <w:p w14:paraId="27367A84">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（二）</w:t>
            </w:r>
          </w:p>
        </w:tc>
        <w:tc>
          <w:tcPr>
            <w:tcW w:w="8144" w:type="dxa"/>
            <w:gridSpan w:val="4"/>
            <w:tcBorders>
              <w:top w:val="single" w:color="auto" w:sz="4" w:space="0"/>
              <w:left w:val="nil"/>
              <w:bottom w:val="single" w:color="auto" w:sz="4" w:space="0"/>
              <w:right w:val="single" w:color="000000" w:sz="4" w:space="0"/>
            </w:tcBorders>
            <w:vAlign w:val="center"/>
          </w:tcPr>
          <w:p w14:paraId="7006E421">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供水专项风险评估</w:t>
            </w:r>
          </w:p>
        </w:tc>
      </w:tr>
      <w:tr w14:paraId="0BDAA45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7CCFC0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w:t>
            </w:r>
          </w:p>
        </w:tc>
        <w:tc>
          <w:tcPr>
            <w:tcW w:w="0" w:type="auto"/>
            <w:vMerge w:val="restart"/>
            <w:tcBorders>
              <w:top w:val="nil"/>
              <w:left w:val="single" w:color="auto" w:sz="4" w:space="0"/>
              <w:bottom w:val="nil"/>
              <w:right w:val="single" w:color="auto" w:sz="4" w:space="0"/>
            </w:tcBorders>
            <w:vAlign w:val="center"/>
          </w:tcPr>
          <w:p w14:paraId="4DEE9A3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供水专项风险评估</w:t>
            </w:r>
          </w:p>
        </w:tc>
        <w:tc>
          <w:tcPr>
            <w:tcW w:w="0" w:type="auto"/>
            <w:vMerge w:val="restart"/>
            <w:tcBorders>
              <w:top w:val="nil"/>
              <w:left w:val="single" w:color="auto" w:sz="4" w:space="0"/>
              <w:bottom w:val="single" w:color="auto" w:sz="4" w:space="0"/>
              <w:right w:val="single" w:color="auto" w:sz="4" w:space="0"/>
            </w:tcBorders>
            <w:vAlign w:val="center"/>
          </w:tcPr>
          <w:p w14:paraId="559E6CB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供水专项调研设计</w:t>
            </w:r>
          </w:p>
        </w:tc>
        <w:tc>
          <w:tcPr>
            <w:tcW w:w="2694" w:type="dxa"/>
            <w:vMerge w:val="restart"/>
            <w:tcBorders>
              <w:top w:val="nil"/>
              <w:left w:val="single" w:color="auto" w:sz="4" w:space="0"/>
              <w:bottom w:val="single" w:color="000000" w:sz="4" w:space="0"/>
              <w:right w:val="single" w:color="auto" w:sz="4" w:space="0"/>
            </w:tcBorders>
            <w:vAlign w:val="center"/>
          </w:tcPr>
          <w:p w14:paraId="39BCBE2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针对供水专项进行调研设计，并输出《供水专项调研表》</w:t>
            </w:r>
          </w:p>
        </w:tc>
        <w:tc>
          <w:tcPr>
            <w:tcW w:w="4204" w:type="dxa"/>
            <w:tcBorders>
              <w:top w:val="nil"/>
              <w:left w:val="nil"/>
              <w:bottom w:val="single" w:color="auto" w:sz="4" w:space="0"/>
              <w:right w:val="single" w:color="auto" w:sz="4" w:space="0"/>
            </w:tcBorders>
            <w:vAlign w:val="center"/>
          </w:tcPr>
          <w:p w14:paraId="18D7E80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供水管线基础数据梳理</w:t>
            </w:r>
          </w:p>
        </w:tc>
      </w:tr>
      <w:tr w14:paraId="0CF1AA9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DE0359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w:t>
            </w:r>
          </w:p>
        </w:tc>
        <w:tc>
          <w:tcPr>
            <w:tcW w:w="0" w:type="auto"/>
            <w:vMerge w:val="continue"/>
            <w:tcBorders>
              <w:top w:val="nil"/>
              <w:left w:val="single" w:color="auto" w:sz="4" w:space="0"/>
              <w:bottom w:val="nil"/>
              <w:right w:val="single" w:color="auto" w:sz="4" w:space="0"/>
            </w:tcBorders>
            <w:vAlign w:val="center"/>
          </w:tcPr>
          <w:p w14:paraId="7D7599D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39C4DE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E64C38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AADBF2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供水设施基础属性梳理</w:t>
            </w:r>
          </w:p>
        </w:tc>
      </w:tr>
      <w:tr w14:paraId="57BADA5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E2A5DF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w:t>
            </w:r>
          </w:p>
        </w:tc>
        <w:tc>
          <w:tcPr>
            <w:tcW w:w="0" w:type="auto"/>
            <w:vMerge w:val="continue"/>
            <w:tcBorders>
              <w:top w:val="nil"/>
              <w:left w:val="single" w:color="auto" w:sz="4" w:space="0"/>
              <w:bottom w:val="nil"/>
              <w:right w:val="single" w:color="auto" w:sz="4" w:space="0"/>
            </w:tcBorders>
            <w:vAlign w:val="center"/>
          </w:tcPr>
          <w:p w14:paraId="2A6390E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8BB461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37C951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D7101D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供水设施运行监测数据梳理</w:t>
            </w:r>
          </w:p>
        </w:tc>
      </w:tr>
      <w:tr w14:paraId="150F5F3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657BF9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w:t>
            </w:r>
          </w:p>
        </w:tc>
        <w:tc>
          <w:tcPr>
            <w:tcW w:w="0" w:type="auto"/>
            <w:vMerge w:val="continue"/>
            <w:tcBorders>
              <w:top w:val="nil"/>
              <w:left w:val="single" w:color="auto" w:sz="4" w:space="0"/>
              <w:bottom w:val="nil"/>
              <w:right w:val="single" w:color="auto" w:sz="4" w:space="0"/>
            </w:tcBorders>
            <w:vAlign w:val="center"/>
          </w:tcPr>
          <w:p w14:paraId="5F5E826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7BCEB1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593334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B243DC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供水设施周边环境风险数据梳理</w:t>
            </w:r>
          </w:p>
        </w:tc>
      </w:tr>
      <w:tr w14:paraId="1DCEC55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9C5020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w:t>
            </w:r>
          </w:p>
        </w:tc>
        <w:tc>
          <w:tcPr>
            <w:tcW w:w="0" w:type="auto"/>
            <w:vMerge w:val="continue"/>
            <w:tcBorders>
              <w:top w:val="nil"/>
              <w:left w:val="single" w:color="auto" w:sz="4" w:space="0"/>
              <w:bottom w:val="nil"/>
              <w:right w:val="single" w:color="auto" w:sz="4" w:space="0"/>
            </w:tcBorders>
            <w:vAlign w:val="center"/>
          </w:tcPr>
          <w:p w14:paraId="65EA69E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CECB93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089B8E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E87A55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供水设施历史隐患事件记录梳理</w:t>
            </w:r>
          </w:p>
        </w:tc>
      </w:tr>
      <w:tr w14:paraId="44E39D5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07521F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w:t>
            </w:r>
          </w:p>
        </w:tc>
        <w:tc>
          <w:tcPr>
            <w:tcW w:w="0" w:type="auto"/>
            <w:vMerge w:val="continue"/>
            <w:tcBorders>
              <w:top w:val="nil"/>
              <w:left w:val="single" w:color="auto" w:sz="4" w:space="0"/>
              <w:bottom w:val="nil"/>
              <w:right w:val="single" w:color="auto" w:sz="4" w:space="0"/>
            </w:tcBorders>
            <w:vAlign w:val="center"/>
          </w:tcPr>
          <w:p w14:paraId="48A4397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F3DBAC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E32A29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793FC8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供水调研表字段细化</w:t>
            </w:r>
          </w:p>
        </w:tc>
      </w:tr>
      <w:tr w14:paraId="01FA430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B17346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w:t>
            </w:r>
          </w:p>
        </w:tc>
        <w:tc>
          <w:tcPr>
            <w:tcW w:w="0" w:type="auto"/>
            <w:vMerge w:val="continue"/>
            <w:tcBorders>
              <w:top w:val="nil"/>
              <w:left w:val="single" w:color="auto" w:sz="4" w:space="0"/>
              <w:bottom w:val="nil"/>
              <w:right w:val="single" w:color="auto" w:sz="4" w:space="0"/>
            </w:tcBorders>
            <w:vAlign w:val="center"/>
          </w:tcPr>
          <w:p w14:paraId="7442E0B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4B3791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43837A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BBBB72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供水调研表设计</w:t>
            </w:r>
          </w:p>
        </w:tc>
      </w:tr>
      <w:tr w14:paraId="271793F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8EB02A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w:t>
            </w:r>
          </w:p>
        </w:tc>
        <w:tc>
          <w:tcPr>
            <w:tcW w:w="0" w:type="auto"/>
            <w:vMerge w:val="continue"/>
            <w:tcBorders>
              <w:top w:val="nil"/>
              <w:left w:val="single" w:color="auto" w:sz="4" w:space="0"/>
              <w:bottom w:val="nil"/>
              <w:right w:val="single" w:color="auto" w:sz="4" w:space="0"/>
            </w:tcBorders>
            <w:vAlign w:val="center"/>
          </w:tcPr>
          <w:p w14:paraId="6AD235C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1D6549F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供水专项资料收集</w:t>
            </w:r>
          </w:p>
        </w:tc>
        <w:tc>
          <w:tcPr>
            <w:tcW w:w="2694" w:type="dxa"/>
            <w:vMerge w:val="restart"/>
            <w:tcBorders>
              <w:top w:val="nil"/>
              <w:left w:val="single" w:color="auto" w:sz="4" w:space="0"/>
              <w:bottom w:val="single" w:color="000000" w:sz="4" w:space="0"/>
              <w:right w:val="single" w:color="auto" w:sz="4" w:space="0"/>
            </w:tcBorders>
            <w:vAlign w:val="center"/>
          </w:tcPr>
          <w:p w14:paraId="51D25CC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根据《供水专项调研表》进行资料搜集并录入，形成《供水资料收集清单》</w:t>
            </w:r>
          </w:p>
        </w:tc>
        <w:tc>
          <w:tcPr>
            <w:tcW w:w="4204" w:type="dxa"/>
            <w:tcBorders>
              <w:top w:val="nil"/>
              <w:left w:val="nil"/>
              <w:bottom w:val="single" w:color="auto" w:sz="4" w:space="0"/>
              <w:right w:val="single" w:color="auto" w:sz="4" w:space="0"/>
            </w:tcBorders>
            <w:vAlign w:val="center"/>
          </w:tcPr>
          <w:p w14:paraId="0E3DD09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供水相关法律、法规、规章、标准和文件</w:t>
            </w:r>
          </w:p>
        </w:tc>
      </w:tr>
      <w:tr w14:paraId="66F0039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E9512C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w:t>
            </w:r>
          </w:p>
        </w:tc>
        <w:tc>
          <w:tcPr>
            <w:tcW w:w="0" w:type="auto"/>
            <w:vMerge w:val="continue"/>
            <w:tcBorders>
              <w:top w:val="nil"/>
              <w:left w:val="single" w:color="auto" w:sz="4" w:space="0"/>
              <w:bottom w:val="nil"/>
              <w:right w:val="single" w:color="auto" w:sz="4" w:space="0"/>
            </w:tcBorders>
            <w:vAlign w:val="center"/>
          </w:tcPr>
          <w:p w14:paraId="47FE02C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6BE809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558D07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B423F5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国内相关研究报告、技术标准、文献</w:t>
            </w:r>
          </w:p>
        </w:tc>
      </w:tr>
      <w:tr w14:paraId="02B3C28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0C5C7D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w:t>
            </w:r>
          </w:p>
        </w:tc>
        <w:tc>
          <w:tcPr>
            <w:tcW w:w="0" w:type="auto"/>
            <w:vMerge w:val="continue"/>
            <w:tcBorders>
              <w:top w:val="nil"/>
              <w:left w:val="single" w:color="auto" w:sz="4" w:space="0"/>
              <w:bottom w:val="nil"/>
              <w:right w:val="single" w:color="auto" w:sz="4" w:space="0"/>
            </w:tcBorders>
            <w:vAlign w:val="center"/>
          </w:tcPr>
          <w:p w14:paraId="5E9047B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01D062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48321D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5B572F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国内外相关灾害事故案例及调查分析资料</w:t>
            </w:r>
          </w:p>
        </w:tc>
      </w:tr>
      <w:tr w14:paraId="5E16A15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53A502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w:t>
            </w:r>
          </w:p>
        </w:tc>
        <w:tc>
          <w:tcPr>
            <w:tcW w:w="0" w:type="auto"/>
            <w:vMerge w:val="continue"/>
            <w:tcBorders>
              <w:top w:val="nil"/>
              <w:left w:val="single" w:color="auto" w:sz="4" w:space="0"/>
              <w:bottom w:val="nil"/>
              <w:right w:val="single" w:color="auto" w:sz="4" w:space="0"/>
            </w:tcBorders>
            <w:vAlign w:val="center"/>
          </w:tcPr>
          <w:p w14:paraId="6922520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4B176D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728D49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470B7C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供水安全风险源相关资料</w:t>
            </w:r>
          </w:p>
        </w:tc>
      </w:tr>
      <w:tr w14:paraId="39AA83E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5377F9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w:t>
            </w:r>
          </w:p>
        </w:tc>
        <w:tc>
          <w:tcPr>
            <w:tcW w:w="0" w:type="auto"/>
            <w:vMerge w:val="continue"/>
            <w:tcBorders>
              <w:top w:val="nil"/>
              <w:left w:val="single" w:color="auto" w:sz="4" w:space="0"/>
              <w:bottom w:val="nil"/>
              <w:right w:val="single" w:color="auto" w:sz="4" w:space="0"/>
            </w:tcBorders>
            <w:vAlign w:val="center"/>
          </w:tcPr>
          <w:p w14:paraId="5D266B3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5EB1E8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7FDFD5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5EC376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应急资源调查报告</w:t>
            </w:r>
          </w:p>
        </w:tc>
      </w:tr>
      <w:tr w14:paraId="5F7E13F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D94066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13</w:t>
            </w:r>
          </w:p>
        </w:tc>
        <w:tc>
          <w:tcPr>
            <w:tcW w:w="0" w:type="auto"/>
            <w:vMerge w:val="continue"/>
            <w:tcBorders>
              <w:top w:val="nil"/>
              <w:left w:val="single" w:color="auto" w:sz="4" w:space="0"/>
              <w:bottom w:val="nil"/>
              <w:right w:val="single" w:color="auto" w:sz="4" w:space="0"/>
            </w:tcBorders>
            <w:vAlign w:val="center"/>
          </w:tcPr>
          <w:p w14:paraId="12C645B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B6DE62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2227FF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09409D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防护目标资料</w:t>
            </w:r>
          </w:p>
        </w:tc>
      </w:tr>
      <w:tr w14:paraId="45B6936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2D0279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14</w:t>
            </w:r>
          </w:p>
        </w:tc>
        <w:tc>
          <w:tcPr>
            <w:tcW w:w="0" w:type="auto"/>
            <w:vMerge w:val="continue"/>
            <w:tcBorders>
              <w:top w:val="nil"/>
              <w:left w:val="single" w:color="auto" w:sz="4" w:space="0"/>
              <w:bottom w:val="nil"/>
              <w:right w:val="single" w:color="auto" w:sz="4" w:space="0"/>
            </w:tcBorders>
            <w:vAlign w:val="center"/>
          </w:tcPr>
          <w:p w14:paraId="068BD5A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D901C9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CA4E0A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C4B262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管线、供水厂历史上加固、修复、变更等情况</w:t>
            </w:r>
          </w:p>
        </w:tc>
      </w:tr>
      <w:tr w14:paraId="1806DCD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842C6C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15</w:t>
            </w:r>
          </w:p>
        </w:tc>
        <w:tc>
          <w:tcPr>
            <w:tcW w:w="0" w:type="auto"/>
            <w:vMerge w:val="continue"/>
            <w:tcBorders>
              <w:top w:val="nil"/>
              <w:left w:val="single" w:color="auto" w:sz="4" w:space="0"/>
              <w:bottom w:val="nil"/>
              <w:right w:val="single" w:color="auto" w:sz="4" w:space="0"/>
            </w:tcBorders>
            <w:vAlign w:val="center"/>
          </w:tcPr>
          <w:p w14:paraId="04D024F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026264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297BE9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276D12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供水内部管理规定、制度</w:t>
            </w:r>
          </w:p>
        </w:tc>
      </w:tr>
      <w:tr w14:paraId="07FDA9F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A51C3F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16</w:t>
            </w:r>
          </w:p>
        </w:tc>
        <w:tc>
          <w:tcPr>
            <w:tcW w:w="0" w:type="auto"/>
            <w:vMerge w:val="continue"/>
            <w:tcBorders>
              <w:top w:val="nil"/>
              <w:left w:val="single" w:color="auto" w:sz="4" w:space="0"/>
              <w:bottom w:val="nil"/>
              <w:right w:val="single" w:color="auto" w:sz="4" w:space="0"/>
            </w:tcBorders>
            <w:vAlign w:val="center"/>
          </w:tcPr>
          <w:p w14:paraId="0DD8F37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700F04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A0F8C2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181316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供水系统设计/竣工</w:t>
            </w:r>
          </w:p>
        </w:tc>
      </w:tr>
      <w:tr w14:paraId="618964D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96EDC0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17</w:t>
            </w:r>
          </w:p>
        </w:tc>
        <w:tc>
          <w:tcPr>
            <w:tcW w:w="0" w:type="auto"/>
            <w:vMerge w:val="continue"/>
            <w:tcBorders>
              <w:top w:val="nil"/>
              <w:left w:val="single" w:color="auto" w:sz="4" w:space="0"/>
              <w:bottom w:val="nil"/>
              <w:right w:val="single" w:color="auto" w:sz="4" w:space="0"/>
            </w:tcBorders>
            <w:vAlign w:val="center"/>
          </w:tcPr>
          <w:p w14:paraId="1CFBA3D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CC9BB9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22E37B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21C599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运行情况记录、管理资料</w:t>
            </w:r>
          </w:p>
        </w:tc>
      </w:tr>
      <w:tr w14:paraId="13888B1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EEE13E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18</w:t>
            </w:r>
          </w:p>
        </w:tc>
        <w:tc>
          <w:tcPr>
            <w:tcW w:w="0" w:type="auto"/>
            <w:vMerge w:val="continue"/>
            <w:tcBorders>
              <w:top w:val="nil"/>
              <w:left w:val="single" w:color="auto" w:sz="4" w:space="0"/>
              <w:bottom w:val="nil"/>
              <w:right w:val="single" w:color="auto" w:sz="4" w:space="0"/>
            </w:tcBorders>
            <w:vAlign w:val="center"/>
          </w:tcPr>
          <w:p w14:paraId="3E7E343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AA553A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3881B2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7871C1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突发事件应急预案</w:t>
            </w:r>
          </w:p>
        </w:tc>
      </w:tr>
      <w:tr w14:paraId="3FE2BA4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84DD45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19</w:t>
            </w:r>
          </w:p>
        </w:tc>
        <w:tc>
          <w:tcPr>
            <w:tcW w:w="0" w:type="auto"/>
            <w:vMerge w:val="continue"/>
            <w:tcBorders>
              <w:top w:val="nil"/>
              <w:left w:val="single" w:color="auto" w:sz="4" w:space="0"/>
              <w:bottom w:val="nil"/>
              <w:right w:val="single" w:color="auto" w:sz="4" w:space="0"/>
            </w:tcBorders>
            <w:vAlign w:val="center"/>
          </w:tcPr>
          <w:p w14:paraId="5CD8E52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7DBDC4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89DE10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BCF094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周边环境</w:t>
            </w:r>
          </w:p>
        </w:tc>
      </w:tr>
      <w:tr w14:paraId="502AC37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810D00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20</w:t>
            </w:r>
          </w:p>
        </w:tc>
        <w:tc>
          <w:tcPr>
            <w:tcW w:w="0" w:type="auto"/>
            <w:vMerge w:val="continue"/>
            <w:tcBorders>
              <w:top w:val="nil"/>
              <w:left w:val="single" w:color="auto" w:sz="4" w:space="0"/>
              <w:bottom w:val="nil"/>
              <w:right w:val="single" w:color="auto" w:sz="4" w:space="0"/>
            </w:tcBorders>
            <w:vAlign w:val="center"/>
          </w:tcPr>
          <w:p w14:paraId="3809195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01D3FF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D2BFD7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BA8699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供水管道检测报告</w:t>
            </w:r>
          </w:p>
        </w:tc>
      </w:tr>
      <w:tr w14:paraId="1440E09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398FAA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21</w:t>
            </w:r>
          </w:p>
        </w:tc>
        <w:tc>
          <w:tcPr>
            <w:tcW w:w="0" w:type="auto"/>
            <w:vMerge w:val="continue"/>
            <w:tcBorders>
              <w:top w:val="nil"/>
              <w:left w:val="single" w:color="auto" w:sz="4" w:space="0"/>
              <w:bottom w:val="nil"/>
              <w:right w:val="single" w:color="auto" w:sz="4" w:space="0"/>
            </w:tcBorders>
            <w:vAlign w:val="center"/>
          </w:tcPr>
          <w:p w14:paraId="6ED3C2E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CE8547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7FDE09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19E5FB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供水厂</w:t>
            </w:r>
          </w:p>
        </w:tc>
      </w:tr>
      <w:tr w14:paraId="537CDDB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7F3A8F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22</w:t>
            </w:r>
          </w:p>
        </w:tc>
        <w:tc>
          <w:tcPr>
            <w:tcW w:w="0" w:type="auto"/>
            <w:vMerge w:val="continue"/>
            <w:tcBorders>
              <w:top w:val="nil"/>
              <w:left w:val="single" w:color="auto" w:sz="4" w:space="0"/>
              <w:bottom w:val="nil"/>
              <w:right w:val="single" w:color="auto" w:sz="4" w:space="0"/>
            </w:tcBorders>
            <w:vAlign w:val="center"/>
          </w:tcPr>
          <w:p w14:paraId="79A6BFF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D200AB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14855D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F12E66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供水泵站</w:t>
            </w:r>
          </w:p>
        </w:tc>
      </w:tr>
      <w:tr w14:paraId="04463DB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852CCF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23</w:t>
            </w:r>
          </w:p>
        </w:tc>
        <w:tc>
          <w:tcPr>
            <w:tcW w:w="0" w:type="auto"/>
            <w:vMerge w:val="continue"/>
            <w:tcBorders>
              <w:top w:val="nil"/>
              <w:left w:val="single" w:color="auto" w:sz="4" w:space="0"/>
              <w:bottom w:val="nil"/>
              <w:right w:val="single" w:color="auto" w:sz="4" w:space="0"/>
            </w:tcBorders>
            <w:vAlign w:val="center"/>
          </w:tcPr>
          <w:p w14:paraId="1B8EC40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F030A5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2B0CEF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400193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信息化建设情况</w:t>
            </w:r>
          </w:p>
        </w:tc>
      </w:tr>
      <w:tr w14:paraId="256FB98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5BB6BC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24</w:t>
            </w:r>
          </w:p>
        </w:tc>
        <w:tc>
          <w:tcPr>
            <w:tcW w:w="0" w:type="auto"/>
            <w:vMerge w:val="continue"/>
            <w:tcBorders>
              <w:top w:val="nil"/>
              <w:left w:val="single" w:color="auto" w:sz="4" w:space="0"/>
              <w:bottom w:val="nil"/>
              <w:right w:val="single" w:color="auto" w:sz="4" w:space="0"/>
            </w:tcBorders>
            <w:vAlign w:val="center"/>
          </w:tcPr>
          <w:p w14:paraId="52219AC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6E3B07E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供水数据收集核查</w:t>
            </w:r>
          </w:p>
        </w:tc>
        <w:tc>
          <w:tcPr>
            <w:tcW w:w="2694" w:type="dxa"/>
            <w:vMerge w:val="restart"/>
            <w:tcBorders>
              <w:top w:val="nil"/>
              <w:left w:val="single" w:color="auto" w:sz="4" w:space="0"/>
              <w:bottom w:val="single" w:color="000000" w:sz="4" w:space="0"/>
              <w:right w:val="single" w:color="auto" w:sz="4" w:space="0"/>
            </w:tcBorders>
            <w:vAlign w:val="center"/>
          </w:tcPr>
          <w:p w14:paraId="69AAF35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对采集来的数据进行数据核查输出《供水专项数据核查表》并进行数据修正</w:t>
            </w:r>
          </w:p>
        </w:tc>
        <w:tc>
          <w:tcPr>
            <w:tcW w:w="4204" w:type="dxa"/>
            <w:tcBorders>
              <w:top w:val="nil"/>
              <w:left w:val="nil"/>
              <w:bottom w:val="single" w:color="auto" w:sz="4" w:space="0"/>
              <w:right w:val="single" w:color="auto" w:sz="4" w:space="0"/>
            </w:tcBorders>
            <w:vAlign w:val="center"/>
          </w:tcPr>
          <w:p w14:paraId="5E4578D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供水管道管材</w:t>
            </w:r>
          </w:p>
        </w:tc>
      </w:tr>
      <w:tr w14:paraId="711FBF9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A2C9F4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25</w:t>
            </w:r>
          </w:p>
        </w:tc>
        <w:tc>
          <w:tcPr>
            <w:tcW w:w="0" w:type="auto"/>
            <w:vMerge w:val="continue"/>
            <w:tcBorders>
              <w:top w:val="nil"/>
              <w:left w:val="single" w:color="auto" w:sz="4" w:space="0"/>
              <w:bottom w:val="nil"/>
              <w:right w:val="single" w:color="auto" w:sz="4" w:space="0"/>
            </w:tcBorders>
            <w:vAlign w:val="center"/>
          </w:tcPr>
          <w:p w14:paraId="2CE6FB4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441904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248DF5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0ABF30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供水管道管径</w:t>
            </w:r>
          </w:p>
        </w:tc>
      </w:tr>
      <w:tr w14:paraId="099CB8A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A06E90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26</w:t>
            </w:r>
          </w:p>
        </w:tc>
        <w:tc>
          <w:tcPr>
            <w:tcW w:w="0" w:type="auto"/>
            <w:vMerge w:val="continue"/>
            <w:tcBorders>
              <w:top w:val="nil"/>
              <w:left w:val="single" w:color="auto" w:sz="4" w:space="0"/>
              <w:bottom w:val="nil"/>
              <w:right w:val="single" w:color="auto" w:sz="4" w:space="0"/>
            </w:tcBorders>
            <w:vAlign w:val="center"/>
          </w:tcPr>
          <w:p w14:paraId="2626F9F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050C16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517DD6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F96EFC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供水管道管龄</w:t>
            </w:r>
          </w:p>
        </w:tc>
      </w:tr>
      <w:tr w14:paraId="55A504B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C6428C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27</w:t>
            </w:r>
          </w:p>
        </w:tc>
        <w:tc>
          <w:tcPr>
            <w:tcW w:w="0" w:type="auto"/>
            <w:vMerge w:val="continue"/>
            <w:tcBorders>
              <w:top w:val="nil"/>
              <w:left w:val="single" w:color="auto" w:sz="4" w:space="0"/>
              <w:bottom w:val="nil"/>
              <w:right w:val="single" w:color="auto" w:sz="4" w:space="0"/>
            </w:tcBorders>
            <w:vAlign w:val="center"/>
          </w:tcPr>
          <w:p w14:paraId="097DDCF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C920AA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9AF813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CFDA91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供水管道周边环境</w:t>
            </w:r>
          </w:p>
        </w:tc>
      </w:tr>
      <w:tr w14:paraId="7F484F0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6B1DB8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28</w:t>
            </w:r>
          </w:p>
        </w:tc>
        <w:tc>
          <w:tcPr>
            <w:tcW w:w="0" w:type="auto"/>
            <w:vMerge w:val="continue"/>
            <w:tcBorders>
              <w:top w:val="nil"/>
              <w:left w:val="single" w:color="auto" w:sz="4" w:space="0"/>
              <w:bottom w:val="nil"/>
              <w:right w:val="single" w:color="auto" w:sz="4" w:space="0"/>
            </w:tcBorders>
            <w:vAlign w:val="center"/>
          </w:tcPr>
          <w:p w14:paraId="6040CDF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129A45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591846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A90459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供水管道周边防护目标</w:t>
            </w:r>
          </w:p>
        </w:tc>
      </w:tr>
      <w:tr w14:paraId="4081E19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40D8FC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29</w:t>
            </w:r>
          </w:p>
        </w:tc>
        <w:tc>
          <w:tcPr>
            <w:tcW w:w="0" w:type="auto"/>
            <w:vMerge w:val="continue"/>
            <w:tcBorders>
              <w:top w:val="nil"/>
              <w:left w:val="single" w:color="auto" w:sz="4" w:space="0"/>
              <w:bottom w:val="nil"/>
              <w:right w:val="single" w:color="auto" w:sz="4" w:space="0"/>
            </w:tcBorders>
            <w:vAlign w:val="center"/>
          </w:tcPr>
          <w:p w14:paraId="67506D1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3773D3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0734F1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2AE6B2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供水管道应急资源</w:t>
            </w:r>
          </w:p>
        </w:tc>
      </w:tr>
      <w:tr w14:paraId="6379992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1B7BBC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30</w:t>
            </w:r>
          </w:p>
        </w:tc>
        <w:tc>
          <w:tcPr>
            <w:tcW w:w="0" w:type="auto"/>
            <w:vMerge w:val="continue"/>
            <w:tcBorders>
              <w:top w:val="nil"/>
              <w:left w:val="single" w:color="auto" w:sz="4" w:space="0"/>
              <w:bottom w:val="nil"/>
              <w:right w:val="single" w:color="auto" w:sz="4" w:space="0"/>
            </w:tcBorders>
            <w:vAlign w:val="center"/>
          </w:tcPr>
          <w:p w14:paraId="10AB0F3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D748A7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AF132B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232E8B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供水管道应急抢修队伍</w:t>
            </w:r>
          </w:p>
        </w:tc>
      </w:tr>
      <w:tr w14:paraId="36E7283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AF56E3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31</w:t>
            </w:r>
          </w:p>
        </w:tc>
        <w:tc>
          <w:tcPr>
            <w:tcW w:w="0" w:type="auto"/>
            <w:vMerge w:val="continue"/>
            <w:tcBorders>
              <w:top w:val="nil"/>
              <w:left w:val="single" w:color="auto" w:sz="4" w:space="0"/>
              <w:bottom w:val="nil"/>
              <w:right w:val="single" w:color="auto" w:sz="4" w:space="0"/>
            </w:tcBorders>
            <w:vAlign w:val="center"/>
          </w:tcPr>
          <w:p w14:paraId="449145C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42E1C4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7FF08B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DFD135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供水管网漏损率</w:t>
            </w:r>
          </w:p>
        </w:tc>
      </w:tr>
      <w:tr w14:paraId="2DDDD31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CFEE55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32</w:t>
            </w:r>
          </w:p>
        </w:tc>
        <w:tc>
          <w:tcPr>
            <w:tcW w:w="0" w:type="auto"/>
            <w:vMerge w:val="continue"/>
            <w:tcBorders>
              <w:top w:val="nil"/>
              <w:left w:val="single" w:color="auto" w:sz="4" w:space="0"/>
              <w:bottom w:val="nil"/>
              <w:right w:val="single" w:color="auto" w:sz="4" w:space="0"/>
            </w:tcBorders>
            <w:vAlign w:val="center"/>
          </w:tcPr>
          <w:p w14:paraId="39B194F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CABED4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ABB26D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8CEFD9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历史事件</w:t>
            </w:r>
          </w:p>
        </w:tc>
      </w:tr>
      <w:tr w14:paraId="7373221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1F7F04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33</w:t>
            </w:r>
          </w:p>
        </w:tc>
        <w:tc>
          <w:tcPr>
            <w:tcW w:w="0" w:type="auto"/>
            <w:vMerge w:val="continue"/>
            <w:tcBorders>
              <w:top w:val="nil"/>
              <w:left w:val="single" w:color="auto" w:sz="4" w:space="0"/>
              <w:bottom w:val="nil"/>
              <w:right w:val="single" w:color="auto" w:sz="4" w:space="0"/>
            </w:tcBorders>
            <w:vAlign w:val="center"/>
          </w:tcPr>
          <w:p w14:paraId="0FC97BE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FA2476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F99D3A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B5A292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所在道路等级</w:t>
            </w:r>
          </w:p>
        </w:tc>
      </w:tr>
      <w:tr w14:paraId="42C0CF8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2F0368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34</w:t>
            </w:r>
          </w:p>
        </w:tc>
        <w:tc>
          <w:tcPr>
            <w:tcW w:w="0" w:type="auto"/>
            <w:vMerge w:val="continue"/>
            <w:tcBorders>
              <w:top w:val="nil"/>
              <w:left w:val="single" w:color="auto" w:sz="4" w:space="0"/>
              <w:bottom w:val="nil"/>
              <w:right w:val="single" w:color="auto" w:sz="4" w:space="0"/>
            </w:tcBorders>
            <w:vAlign w:val="center"/>
          </w:tcPr>
          <w:p w14:paraId="7467E4D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0C27D6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0525AF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279BC6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管线影响用户数</w:t>
            </w:r>
          </w:p>
        </w:tc>
      </w:tr>
      <w:tr w14:paraId="57C04E8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9E60E8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35</w:t>
            </w:r>
          </w:p>
        </w:tc>
        <w:tc>
          <w:tcPr>
            <w:tcW w:w="0" w:type="auto"/>
            <w:vMerge w:val="continue"/>
            <w:tcBorders>
              <w:top w:val="nil"/>
              <w:left w:val="single" w:color="auto" w:sz="4" w:space="0"/>
              <w:bottom w:val="nil"/>
              <w:right w:val="single" w:color="auto" w:sz="4" w:space="0"/>
            </w:tcBorders>
            <w:vAlign w:val="center"/>
          </w:tcPr>
          <w:p w14:paraId="09C97DB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1E8690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C1267C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923C0D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管线周边区域重要度</w:t>
            </w:r>
          </w:p>
        </w:tc>
      </w:tr>
      <w:tr w14:paraId="25F04D16">
        <w:tblPrEx>
          <w:tblCellMar>
            <w:top w:w="0" w:type="dxa"/>
            <w:left w:w="108" w:type="dxa"/>
            <w:bottom w:w="0" w:type="dxa"/>
            <w:right w:w="108" w:type="dxa"/>
          </w:tblCellMar>
        </w:tblPrEx>
        <w:trPr>
          <w:trHeight w:val="840" w:hRule="atLeast"/>
          <w:jc w:val="center"/>
        </w:trPr>
        <w:tc>
          <w:tcPr>
            <w:tcW w:w="0" w:type="auto"/>
            <w:tcBorders>
              <w:top w:val="nil"/>
              <w:left w:val="single" w:color="auto" w:sz="4" w:space="0"/>
              <w:bottom w:val="single" w:color="auto" w:sz="4" w:space="0"/>
              <w:right w:val="single" w:color="auto" w:sz="4" w:space="0"/>
            </w:tcBorders>
            <w:noWrap/>
            <w:vAlign w:val="center"/>
          </w:tcPr>
          <w:p w14:paraId="079155A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36</w:t>
            </w:r>
          </w:p>
        </w:tc>
        <w:tc>
          <w:tcPr>
            <w:tcW w:w="0" w:type="auto"/>
            <w:vMerge w:val="continue"/>
            <w:tcBorders>
              <w:top w:val="nil"/>
              <w:left w:val="single" w:color="auto" w:sz="4" w:space="0"/>
              <w:bottom w:val="nil"/>
              <w:right w:val="single" w:color="auto" w:sz="4" w:space="0"/>
            </w:tcBorders>
            <w:vAlign w:val="center"/>
          </w:tcPr>
          <w:p w14:paraId="6D90B65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3B1434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26E38C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985298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供水厂运行年限、安全生产标准化、抗震设施类别、防洪等级、影响供水、员工人数、附近危险源、厂内危险源、其他隐患</w:t>
            </w:r>
          </w:p>
        </w:tc>
      </w:tr>
      <w:tr w14:paraId="0E9367EA">
        <w:tblPrEx>
          <w:tblCellMar>
            <w:top w:w="0" w:type="dxa"/>
            <w:left w:w="108" w:type="dxa"/>
            <w:bottom w:w="0" w:type="dxa"/>
            <w:right w:w="108" w:type="dxa"/>
          </w:tblCellMar>
        </w:tblPrEx>
        <w:trPr>
          <w:trHeight w:val="840" w:hRule="atLeast"/>
          <w:jc w:val="center"/>
        </w:trPr>
        <w:tc>
          <w:tcPr>
            <w:tcW w:w="0" w:type="auto"/>
            <w:tcBorders>
              <w:top w:val="nil"/>
              <w:left w:val="single" w:color="auto" w:sz="4" w:space="0"/>
              <w:bottom w:val="single" w:color="auto" w:sz="4" w:space="0"/>
              <w:right w:val="single" w:color="auto" w:sz="4" w:space="0"/>
            </w:tcBorders>
            <w:noWrap/>
            <w:vAlign w:val="center"/>
          </w:tcPr>
          <w:p w14:paraId="0ECA155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37</w:t>
            </w:r>
          </w:p>
        </w:tc>
        <w:tc>
          <w:tcPr>
            <w:tcW w:w="0" w:type="auto"/>
            <w:vMerge w:val="continue"/>
            <w:tcBorders>
              <w:top w:val="nil"/>
              <w:left w:val="single" w:color="auto" w:sz="4" w:space="0"/>
              <w:bottom w:val="nil"/>
              <w:right w:val="single" w:color="auto" w:sz="4" w:space="0"/>
            </w:tcBorders>
            <w:vAlign w:val="center"/>
          </w:tcPr>
          <w:p w14:paraId="79A0937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0467B0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AE9742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91A157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供水泵站运行年限、安全生产标准化、抗震设施类别、防洪等级、影响供水、员工人数、附近危险源、厂内危险源、其他隐患</w:t>
            </w:r>
          </w:p>
        </w:tc>
      </w:tr>
      <w:tr w14:paraId="36C0F76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806355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38</w:t>
            </w:r>
          </w:p>
        </w:tc>
        <w:tc>
          <w:tcPr>
            <w:tcW w:w="0" w:type="auto"/>
            <w:vMerge w:val="continue"/>
            <w:tcBorders>
              <w:top w:val="nil"/>
              <w:left w:val="single" w:color="auto" w:sz="4" w:space="0"/>
              <w:bottom w:val="nil"/>
              <w:right w:val="single" w:color="auto" w:sz="4" w:space="0"/>
            </w:tcBorders>
            <w:vAlign w:val="center"/>
          </w:tcPr>
          <w:p w14:paraId="3138AFA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66B6A4B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供水专项现场调查</w:t>
            </w:r>
          </w:p>
        </w:tc>
        <w:tc>
          <w:tcPr>
            <w:tcW w:w="2694" w:type="dxa"/>
            <w:vMerge w:val="restart"/>
            <w:tcBorders>
              <w:top w:val="nil"/>
              <w:left w:val="single" w:color="auto" w:sz="4" w:space="0"/>
              <w:bottom w:val="single" w:color="000000" w:sz="4" w:space="0"/>
              <w:right w:val="single" w:color="auto" w:sz="4" w:space="0"/>
            </w:tcBorders>
            <w:vAlign w:val="center"/>
          </w:tcPr>
          <w:p w14:paraId="07D978D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对各个供水设施进行现场调查</w:t>
            </w:r>
          </w:p>
        </w:tc>
        <w:tc>
          <w:tcPr>
            <w:tcW w:w="4204" w:type="dxa"/>
            <w:tcBorders>
              <w:top w:val="nil"/>
              <w:left w:val="nil"/>
              <w:bottom w:val="single" w:color="auto" w:sz="4" w:space="0"/>
              <w:right w:val="single" w:color="auto" w:sz="4" w:space="0"/>
            </w:tcBorders>
            <w:vAlign w:val="center"/>
          </w:tcPr>
          <w:p w14:paraId="3CFD95B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供水风险源调查</w:t>
            </w:r>
          </w:p>
        </w:tc>
      </w:tr>
      <w:tr w14:paraId="65F6577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3E0069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39</w:t>
            </w:r>
          </w:p>
        </w:tc>
        <w:tc>
          <w:tcPr>
            <w:tcW w:w="0" w:type="auto"/>
            <w:vMerge w:val="continue"/>
            <w:tcBorders>
              <w:top w:val="nil"/>
              <w:left w:val="single" w:color="auto" w:sz="4" w:space="0"/>
              <w:bottom w:val="nil"/>
              <w:right w:val="single" w:color="auto" w:sz="4" w:space="0"/>
            </w:tcBorders>
            <w:vAlign w:val="center"/>
          </w:tcPr>
          <w:p w14:paraId="646945A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5A1714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D84972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2A86B0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供水重点防护目标调查</w:t>
            </w:r>
          </w:p>
        </w:tc>
      </w:tr>
      <w:tr w14:paraId="03DF3F9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686D57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40</w:t>
            </w:r>
          </w:p>
        </w:tc>
        <w:tc>
          <w:tcPr>
            <w:tcW w:w="0" w:type="auto"/>
            <w:vMerge w:val="continue"/>
            <w:tcBorders>
              <w:top w:val="nil"/>
              <w:left w:val="single" w:color="auto" w:sz="4" w:space="0"/>
              <w:bottom w:val="nil"/>
              <w:right w:val="single" w:color="auto" w:sz="4" w:space="0"/>
            </w:tcBorders>
            <w:vAlign w:val="center"/>
          </w:tcPr>
          <w:p w14:paraId="6DB70CA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26DD3F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A68738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424FDF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供水应急资源调查</w:t>
            </w:r>
          </w:p>
        </w:tc>
      </w:tr>
      <w:tr w14:paraId="43D69E8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696A34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41</w:t>
            </w:r>
          </w:p>
        </w:tc>
        <w:tc>
          <w:tcPr>
            <w:tcW w:w="0" w:type="auto"/>
            <w:vMerge w:val="continue"/>
            <w:tcBorders>
              <w:top w:val="nil"/>
              <w:left w:val="single" w:color="auto" w:sz="4" w:space="0"/>
              <w:bottom w:val="nil"/>
              <w:right w:val="single" w:color="auto" w:sz="4" w:space="0"/>
            </w:tcBorders>
            <w:vAlign w:val="center"/>
          </w:tcPr>
          <w:p w14:paraId="7C02891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85267A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C5FA7A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CB02CD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供水安全管理调查</w:t>
            </w:r>
          </w:p>
        </w:tc>
      </w:tr>
      <w:tr w14:paraId="4674CF0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B8D09D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42</w:t>
            </w:r>
          </w:p>
        </w:tc>
        <w:tc>
          <w:tcPr>
            <w:tcW w:w="0" w:type="auto"/>
            <w:vMerge w:val="continue"/>
            <w:tcBorders>
              <w:top w:val="nil"/>
              <w:left w:val="single" w:color="auto" w:sz="4" w:space="0"/>
              <w:bottom w:val="nil"/>
              <w:right w:val="single" w:color="auto" w:sz="4" w:space="0"/>
            </w:tcBorders>
            <w:vAlign w:val="center"/>
          </w:tcPr>
          <w:p w14:paraId="0CBF8B0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B4519B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4F7F4E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77ABB4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供水专项安全生产责任制数据梳理</w:t>
            </w:r>
          </w:p>
        </w:tc>
      </w:tr>
      <w:tr w14:paraId="3F47EE7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A36D13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43</w:t>
            </w:r>
          </w:p>
        </w:tc>
        <w:tc>
          <w:tcPr>
            <w:tcW w:w="0" w:type="auto"/>
            <w:vMerge w:val="continue"/>
            <w:tcBorders>
              <w:top w:val="nil"/>
              <w:left w:val="single" w:color="auto" w:sz="4" w:space="0"/>
              <w:bottom w:val="nil"/>
              <w:right w:val="single" w:color="auto" w:sz="4" w:space="0"/>
            </w:tcBorders>
            <w:vAlign w:val="center"/>
          </w:tcPr>
          <w:p w14:paraId="740572D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012801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0C9976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0C20D1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供水专项安全管理制度录入</w:t>
            </w:r>
          </w:p>
        </w:tc>
      </w:tr>
      <w:tr w14:paraId="3FC5BA3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594B23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44</w:t>
            </w:r>
          </w:p>
        </w:tc>
        <w:tc>
          <w:tcPr>
            <w:tcW w:w="0" w:type="auto"/>
            <w:vMerge w:val="continue"/>
            <w:tcBorders>
              <w:top w:val="nil"/>
              <w:left w:val="single" w:color="auto" w:sz="4" w:space="0"/>
              <w:bottom w:val="nil"/>
              <w:right w:val="single" w:color="auto" w:sz="4" w:space="0"/>
            </w:tcBorders>
            <w:vAlign w:val="center"/>
          </w:tcPr>
          <w:p w14:paraId="7486818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7253C0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A7C430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C24AB7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供水专项安全巡查记录数据梳理</w:t>
            </w:r>
          </w:p>
        </w:tc>
      </w:tr>
      <w:tr w14:paraId="033CD3E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F85386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45</w:t>
            </w:r>
          </w:p>
        </w:tc>
        <w:tc>
          <w:tcPr>
            <w:tcW w:w="0" w:type="auto"/>
            <w:vMerge w:val="continue"/>
            <w:tcBorders>
              <w:top w:val="nil"/>
              <w:left w:val="single" w:color="auto" w:sz="4" w:space="0"/>
              <w:bottom w:val="nil"/>
              <w:right w:val="single" w:color="auto" w:sz="4" w:space="0"/>
            </w:tcBorders>
            <w:vAlign w:val="center"/>
          </w:tcPr>
          <w:p w14:paraId="54D0B2C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566AE4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F3949B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3CDBC7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供水专项安全巡查数据录入</w:t>
            </w:r>
          </w:p>
        </w:tc>
      </w:tr>
      <w:tr w14:paraId="3087BC1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F9A3C0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46</w:t>
            </w:r>
          </w:p>
        </w:tc>
        <w:tc>
          <w:tcPr>
            <w:tcW w:w="0" w:type="auto"/>
            <w:vMerge w:val="continue"/>
            <w:tcBorders>
              <w:top w:val="nil"/>
              <w:left w:val="single" w:color="auto" w:sz="4" w:space="0"/>
              <w:bottom w:val="nil"/>
              <w:right w:val="single" w:color="auto" w:sz="4" w:space="0"/>
            </w:tcBorders>
            <w:vAlign w:val="center"/>
          </w:tcPr>
          <w:p w14:paraId="6AFEB79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8D5BF7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B1E5D0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6E446A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供水专项隐患排查计划数据梳理</w:t>
            </w:r>
          </w:p>
        </w:tc>
      </w:tr>
      <w:tr w14:paraId="4EA0CB8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246C1E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47</w:t>
            </w:r>
          </w:p>
        </w:tc>
        <w:tc>
          <w:tcPr>
            <w:tcW w:w="0" w:type="auto"/>
            <w:vMerge w:val="continue"/>
            <w:tcBorders>
              <w:top w:val="nil"/>
              <w:left w:val="single" w:color="auto" w:sz="4" w:space="0"/>
              <w:bottom w:val="nil"/>
              <w:right w:val="single" w:color="auto" w:sz="4" w:space="0"/>
            </w:tcBorders>
            <w:vAlign w:val="center"/>
          </w:tcPr>
          <w:p w14:paraId="4F8979B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80EF6D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12040A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D5D9A3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供水专项隐患排查数据录入</w:t>
            </w:r>
          </w:p>
        </w:tc>
      </w:tr>
      <w:tr w14:paraId="2972E21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9ACF72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48</w:t>
            </w:r>
          </w:p>
        </w:tc>
        <w:tc>
          <w:tcPr>
            <w:tcW w:w="0" w:type="auto"/>
            <w:vMerge w:val="continue"/>
            <w:tcBorders>
              <w:top w:val="nil"/>
              <w:left w:val="single" w:color="auto" w:sz="4" w:space="0"/>
              <w:bottom w:val="nil"/>
              <w:right w:val="single" w:color="auto" w:sz="4" w:space="0"/>
            </w:tcBorders>
            <w:vAlign w:val="center"/>
          </w:tcPr>
          <w:p w14:paraId="4B9339D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A1F95D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8C37E8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ED9770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供水应急资源数据梳理</w:t>
            </w:r>
          </w:p>
        </w:tc>
      </w:tr>
      <w:tr w14:paraId="042AAF4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75773B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49</w:t>
            </w:r>
          </w:p>
        </w:tc>
        <w:tc>
          <w:tcPr>
            <w:tcW w:w="0" w:type="auto"/>
            <w:vMerge w:val="continue"/>
            <w:tcBorders>
              <w:top w:val="nil"/>
              <w:left w:val="single" w:color="auto" w:sz="4" w:space="0"/>
              <w:bottom w:val="nil"/>
              <w:right w:val="single" w:color="auto" w:sz="4" w:space="0"/>
            </w:tcBorders>
            <w:vAlign w:val="center"/>
          </w:tcPr>
          <w:p w14:paraId="30FF805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4EB2DF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D4E7A6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6BB757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供水应急资源信息录入</w:t>
            </w:r>
          </w:p>
        </w:tc>
      </w:tr>
      <w:tr w14:paraId="27C1612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494225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50</w:t>
            </w:r>
          </w:p>
        </w:tc>
        <w:tc>
          <w:tcPr>
            <w:tcW w:w="0" w:type="auto"/>
            <w:vMerge w:val="continue"/>
            <w:tcBorders>
              <w:top w:val="nil"/>
              <w:left w:val="single" w:color="auto" w:sz="4" w:space="0"/>
              <w:bottom w:val="nil"/>
              <w:right w:val="single" w:color="auto" w:sz="4" w:space="0"/>
            </w:tcBorders>
            <w:vAlign w:val="center"/>
          </w:tcPr>
          <w:p w14:paraId="71F67B9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7F046E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7DD70F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543E4D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供水专项应急预案信息数据梳理</w:t>
            </w:r>
          </w:p>
        </w:tc>
      </w:tr>
      <w:tr w14:paraId="537CFB0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0B80BA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51</w:t>
            </w:r>
          </w:p>
        </w:tc>
        <w:tc>
          <w:tcPr>
            <w:tcW w:w="0" w:type="auto"/>
            <w:vMerge w:val="continue"/>
            <w:tcBorders>
              <w:top w:val="nil"/>
              <w:left w:val="single" w:color="auto" w:sz="4" w:space="0"/>
              <w:bottom w:val="nil"/>
              <w:right w:val="single" w:color="auto" w:sz="4" w:space="0"/>
            </w:tcBorders>
            <w:vAlign w:val="center"/>
          </w:tcPr>
          <w:p w14:paraId="6FA4B9C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D77B72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4BAEF8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283A7A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供水专项应急预案录入</w:t>
            </w:r>
          </w:p>
        </w:tc>
      </w:tr>
      <w:tr w14:paraId="4EDFC93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CB6D53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52</w:t>
            </w:r>
          </w:p>
        </w:tc>
        <w:tc>
          <w:tcPr>
            <w:tcW w:w="0" w:type="auto"/>
            <w:vMerge w:val="continue"/>
            <w:tcBorders>
              <w:top w:val="nil"/>
              <w:left w:val="single" w:color="auto" w:sz="4" w:space="0"/>
              <w:bottom w:val="nil"/>
              <w:right w:val="single" w:color="auto" w:sz="4" w:space="0"/>
            </w:tcBorders>
            <w:vAlign w:val="center"/>
          </w:tcPr>
          <w:p w14:paraId="0D1F90F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F099E9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F14C8A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B63E1A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供水专项应急资源能力评估数据梳理</w:t>
            </w:r>
          </w:p>
        </w:tc>
      </w:tr>
      <w:tr w14:paraId="51A8964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A36E5F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53</w:t>
            </w:r>
          </w:p>
        </w:tc>
        <w:tc>
          <w:tcPr>
            <w:tcW w:w="0" w:type="auto"/>
            <w:vMerge w:val="continue"/>
            <w:tcBorders>
              <w:top w:val="nil"/>
              <w:left w:val="single" w:color="auto" w:sz="4" w:space="0"/>
              <w:bottom w:val="nil"/>
              <w:right w:val="single" w:color="auto" w:sz="4" w:space="0"/>
            </w:tcBorders>
            <w:vAlign w:val="center"/>
          </w:tcPr>
          <w:p w14:paraId="272154A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4B86FF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2AB470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FD055D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供水专项应急响应资源数据录入</w:t>
            </w:r>
          </w:p>
        </w:tc>
      </w:tr>
      <w:tr w14:paraId="5837FA5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B9AD4A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54</w:t>
            </w:r>
          </w:p>
        </w:tc>
        <w:tc>
          <w:tcPr>
            <w:tcW w:w="0" w:type="auto"/>
            <w:vMerge w:val="continue"/>
            <w:tcBorders>
              <w:top w:val="nil"/>
              <w:left w:val="single" w:color="auto" w:sz="4" w:space="0"/>
              <w:bottom w:val="nil"/>
              <w:right w:val="single" w:color="auto" w:sz="4" w:space="0"/>
            </w:tcBorders>
            <w:vAlign w:val="center"/>
          </w:tcPr>
          <w:p w14:paraId="0DDBD10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4ED9C6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A9700F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E0D489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供水专项重大危险源识别数据梳理</w:t>
            </w:r>
          </w:p>
        </w:tc>
      </w:tr>
      <w:tr w14:paraId="5F6CA33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68D010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55</w:t>
            </w:r>
          </w:p>
        </w:tc>
        <w:tc>
          <w:tcPr>
            <w:tcW w:w="0" w:type="auto"/>
            <w:vMerge w:val="continue"/>
            <w:tcBorders>
              <w:top w:val="nil"/>
              <w:left w:val="single" w:color="auto" w:sz="4" w:space="0"/>
              <w:bottom w:val="nil"/>
              <w:right w:val="single" w:color="auto" w:sz="4" w:space="0"/>
            </w:tcBorders>
            <w:vAlign w:val="center"/>
          </w:tcPr>
          <w:p w14:paraId="1A6C4BD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7A583A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3B807F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615687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供水专项重大危险源数据录入</w:t>
            </w:r>
          </w:p>
        </w:tc>
      </w:tr>
      <w:tr w14:paraId="0958C32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5BE817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56</w:t>
            </w:r>
          </w:p>
        </w:tc>
        <w:tc>
          <w:tcPr>
            <w:tcW w:w="0" w:type="auto"/>
            <w:vMerge w:val="continue"/>
            <w:tcBorders>
              <w:top w:val="nil"/>
              <w:left w:val="single" w:color="auto" w:sz="4" w:space="0"/>
              <w:bottom w:val="nil"/>
              <w:right w:val="single" w:color="auto" w:sz="4" w:space="0"/>
            </w:tcBorders>
            <w:vAlign w:val="center"/>
          </w:tcPr>
          <w:p w14:paraId="5879C88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30F17D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5129EC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661DB9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供水专项社会经济敏感目标数据梳理</w:t>
            </w:r>
          </w:p>
        </w:tc>
      </w:tr>
      <w:tr w14:paraId="70ADE52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D4412A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57</w:t>
            </w:r>
          </w:p>
        </w:tc>
        <w:tc>
          <w:tcPr>
            <w:tcW w:w="0" w:type="auto"/>
            <w:vMerge w:val="continue"/>
            <w:tcBorders>
              <w:top w:val="nil"/>
              <w:left w:val="single" w:color="auto" w:sz="4" w:space="0"/>
              <w:bottom w:val="nil"/>
              <w:right w:val="single" w:color="auto" w:sz="4" w:space="0"/>
            </w:tcBorders>
            <w:vAlign w:val="center"/>
          </w:tcPr>
          <w:p w14:paraId="278C55D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DC5729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AC9FD1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200682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供水专项敏感区域信息录入</w:t>
            </w:r>
          </w:p>
        </w:tc>
      </w:tr>
      <w:tr w14:paraId="4900A8C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A3DE44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58</w:t>
            </w:r>
          </w:p>
        </w:tc>
        <w:tc>
          <w:tcPr>
            <w:tcW w:w="0" w:type="auto"/>
            <w:vMerge w:val="continue"/>
            <w:tcBorders>
              <w:top w:val="nil"/>
              <w:left w:val="single" w:color="auto" w:sz="4" w:space="0"/>
              <w:bottom w:val="nil"/>
              <w:right w:val="single" w:color="auto" w:sz="4" w:space="0"/>
            </w:tcBorders>
            <w:vAlign w:val="center"/>
          </w:tcPr>
          <w:p w14:paraId="136C995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48448FD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供水专项数据分析处理</w:t>
            </w:r>
          </w:p>
        </w:tc>
        <w:tc>
          <w:tcPr>
            <w:tcW w:w="2694" w:type="dxa"/>
            <w:vMerge w:val="restart"/>
            <w:tcBorders>
              <w:top w:val="nil"/>
              <w:left w:val="single" w:color="auto" w:sz="4" w:space="0"/>
              <w:bottom w:val="single" w:color="000000" w:sz="4" w:space="0"/>
              <w:right w:val="single" w:color="auto" w:sz="4" w:space="0"/>
            </w:tcBorders>
            <w:vAlign w:val="center"/>
          </w:tcPr>
          <w:p w14:paraId="094F7CD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针对采集的数据、现场调查数据进行数据录入，根据数据模型进行预处理</w:t>
            </w:r>
          </w:p>
        </w:tc>
        <w:tc>
          <w:tcPr>
            <w:tcW w:w="4204" w:type="dxa"/>
            <w:tcBorders>
              <w:top w:val="nil"/>
              <w:left w:val="nil"/>
              <w:bottom w:val="single" w:color="auto" w:sz="4" w:space="0"/>
              <w:right w:val="single" w:color="auto" w:sz="4" w:space="0"/>
            </w:tcBorders>
            <w:vAlign w:val="center"/>
          </w:tcPr>
          <w:p w14:paraId="4974BAA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供水专项风险评估数据复核数据梳理</w:t>
            </w:r>
          </w:p>
        </w:tc>
      </w:tr>
      <w:tr w14:paraId="1E5A51E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956C4A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59</w:t>
            </w:r>
          </w:p>
        </w:tc>
        <w:tc>
          <w:tcPr>
            <w:tcW w:w="0" w:type="auto"/>
            <w:vMerge w:val="continue"/>
            <w:tcBorders>
              <w:top w:val="nil"/>
              <w:left w:val="single" w:color="auto" w:sz="4" w:space="0"/>
              <w:bottom w:val="nil"/>
              <w:right w:val="single" w:color="auto" w:sz="4" w:space="0"/>
            </w:tcBorders>
            <w:vAlign w:val="center"/>
          </w:tcPr>
          <w:p w14:paraId="50C36B5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3FA1B0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CEB083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FA74D2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供水专项风险评估数据核查</w:t>
            </w:r>
          </w:p>
        </w:tc>
      </w:tr>
      <w:tr w14:paraId="046D829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A059BF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60</w:t>
            </w:r>
          </w:p>
        </w:tc>
        <w:tc>
          <w:tcPr>
            <w:tcW w:w="0" w:type="auto"/>
            <w:vMerge w:val="continue"/>
            <w:tcBorders>
              <w:top w:val="nil"/>
              <w:left w:val="single" w:color="auto" w:sz="4" w:space="0"/>
              <w:bottom w:val="nil"/>
              <w:right w:val="single" w:color="auto" w:sz="4" w:space="0"/>
            </w:tcBorders>
            <w:vAlign w:val="center"/>
          </w:tcPr>
          <w:p w14:paraId="143CDBF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DCEB9D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EBD432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DC6105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供水专项风险评估结果修正数据梳理</w:t>
            </w:r>
          </w:p>
        </w:tc>
      </w:tr>
      <w:tr w14:paraId="6382C5C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838166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61</w:t>
            </w:r>
          </w:p>
        </w:tc>
        <w:tc>
          <w:tcPr>
            <w:tcW w:w="0" w:type="auto"/>
            <w:vMerge w:val="continue"/>
            <w:tcBorders>
              <w:top w:val="nil"/>
              <w:left w:val="single" w:color="auto" w:sz="4" w:space="0"/>
              <w:bottom w:val="nil"/>
              <w:right w:val="single" w:color="auto" w:sz="4" w:space="0"/>
            </w:tcBorders>
            <w:vAlign w:val="center"/>
          </w:tcPr>
          <w:p w14:paraId="1AC039B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B72383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7E31B3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E984EF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供水专项风险评估修正录入</w:t>
            </w:r>
          </w:p>
        </w:tc>
      </w:tr>
      <w:tr w14:paraId="5D52B5C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AEA478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62</w:t>
            </w:r>
          </w:p>
        </w:tc>
        <w:tc>
          <w:tcPr>
            <w:tcW w:w="0" w:type="auto"/>
            <w:vMerge w:val="continue"/>
            <w:tcBorders>
              <w:top w:val="nil"/>
              <w:left w:val="single" w:color="auto" w:sz="4" w:space="0"/>
              <w:bottom w:val="nil"/>
              <w:right w:val="single" w:color="auto" w:sz="4" w:space="0"/>
            </w:tcBorders>
            <w:vAlign w:val="center"/>
          </w:tcPr>
          <w:p w14:paraId="78C7A10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D7A256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1F8897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6BDD5B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供水专项数据清洗规则配置梳理</w:t>
            </w:r>
          </w:p>
        </w:tc>
      </w:tr>
      <w:tr w14:paraId="31D4C48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914674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63</w:t>
            </w:r>
          </w:p>
        </w:tc>
        <w:tc>
          <w:tcPr>
            <w:tcW w:w="0" w:type="auto"/>
            <w:vMerge w:val="continue"/>
            <w:tcBorders>
              <w:top w:val="nil"/>
              <w:left w:val="single" w:color="auto" w:sz="4" w:space="0"/>
              <w:bottom w:val="nil"/>
              <w:right w:val="single" w:color="auto" w:sz="4" w:space="0"/>
            </w:tcBorders>
            <w:vAlign w:val="center"/>
          </w:tcPr>
          <w:p w14:paraId="2ECB4D1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85A131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29B7D7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22876A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供水专项缺失值填充处理</w:t>
            </w:r>
          </w:p>
        </w:tc>
      </w:tr>
      <w:tr w14:paraId="63594D8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A83EF3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64</w:t>
            </w:r>
          </w:p>
        </w:tc>
        <w:tc>
          <w:tcPr>
            <w:tcW w:w="0" w:type="auto"/>
            <w:vMerge w:val="continue"/>
            <w:tcBorders>
              <w:top w:val="nil"/>
              <w:left w:val="single" w:color="auto" w:sz="4" w:space="0"/>
              <w:bottom w:val="nil"/>
              <w:right w:val="single" w:color="auto" w:sz="4" w:space="0"/>
            </w:tcBorders>
            <w:vAlign w:val="center"/>
          </w:tcPr>
          <w:p w14:paraId="427C129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CE1813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226354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ED7B88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供水专项数据转换标准规则梳理</w:t>
            </w:r>
          </w:p>
        </w:tc>
      </w:tr>
      <w:tr w14:paraId="00B4E39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3FF38D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65</w:t>
            </w:r>
          </w:p>
        </w:tc>
        <w:tc>
          <w:tcPr>
            <w:tcW w:w="0" w:type="auto"/>
            <w:vMerge w:val="continue"/>
            <w:tcBorders>
              <w:top w:val="nil"/>
              <w:left w:val="single" w:color="auto" w:sz="4" w:space="0"/>
              <w:bottom w:val="nil"/>
              <w:right w:val="single" w:color="auto" w:sz="4" w:space="0"/>
            </w:tcBorders>
            <w:vAlign w:val="center"/>
          </w:tcPr>
          <w:p w14:paraId="2135387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1C3563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DD0406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944360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供水专项数据格式转换</w:t>
            </w:r>
          </w:p>
        </w:tc>
      </w:tr>
      <w:tr w14:paraId="4EF621A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68AED7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66</w:t>
            </w:r>
          </w:p>
        </w:tc>
        <w:tc>
          <w:tcPr>
            <w:tcW w:w="0" w:type="auto"/>
            <w:vMerge w:val="continue"/>
            <w:tcBorders>
              <w:top w:val="nil"/>
              <w:left w:val="single" w:color="auto" w:sz="4" w:space="0"/>
              <w:bottom w:val="nil"/>
              <w:right w:val="single" w:color="auto" w:sz="4" w:space="0"/>
            </w:tcBorders>
            <w:vAlign w:val="center"/>
          </w:tcPr>
          <w:p w14:paraId="0AC4EC7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FB138D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CDDC01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21EBFC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供水专项数据标准化建模规则梳理</w:t>
            </w:r>
          </w:p>
        </w:tc>
      </w:tr>
      <w:tr w14:paraId="0B00E49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375F9C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67</w:t>
            </w:r>
          </w:p>
        </w:tc>
        <w:tc>
          <w:tcPr>
            <w:tcW w:w="0" w:type="auto"/>
            <w:vMerge w:val="continue"/>
            <w:tcBorders>
              <w:top w:val="nil"/>
              <w:left w:val="single" w:color="auto" w:sz="4" w:space="0"/>
              <w:bottom w:val="nil"/>
              <w:right w:val="single" w:color="auto" w:sz="4" w:space="0"/>
            </w:tcBorders>
            <w:vAlign w:val="center"/>
          </w:tcPr>
          <w:p w14:paraId="6FFB452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59862B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2103BB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3D05DB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供水专项数据标准化处理</w:t>
            </w:r>
          </w:p>
        </w:tc>
      </w:tr>
      <w:tr w14:paraId="76784DF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C4DCDD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68</w:t>
            </w:r>
          </w:p>
        </w:tc>
        <w:tc>
          <w:tcPr>
            <w:tcW w:w="0" w:type="auto"/>
            <w:vMerge w:val="continue"/>
            <w:tcBorders>
              <w:top w:val="nil"/>
              <w:left w:val="single" w:color="auto" w:sz="4" w:space="0"/>
              <w:bottom w:val="nil"/>
              <w:right w:val="single" w:color="auto" w:sz="4" w:space="0"/>
            </w:tcBorders>
            <w:vAlign w:val="center"/>
          </w:tcPr>
          <w:p w14:paraId="0FDDB2C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7204CB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D2AF85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485295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供水专项预处理结果数据梳理</w:t>
            </w:r>
          </w:p>
        </w:tc>
      </w:tr>
      <w:tr w14:paraId="1F7D100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053BC5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69</w:t>
            </w:r>
          </w:p>
        </w:tc>
        <w:tc>
          <w:tcPr>
            <w:tcW w:w="0" w:type="auto"/>
            <w:vMerge w:val="continue"/>
            <w:tcBorders>
              <w:top w:val="nil"/>
              <w:left w:val="single" w:color="auto" w:sz="4" w:space="0"/>
              <w:bottom w:val="nil"/>
              <w:right w:val="single" w:color="auto" w:sz="4" w:space="0"/>
            </w:tcBorders>
            <w:vAlign w:val="center"/>
          </w:tcPr>
          <w:p w14:paraId="276D5E0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9BDE9A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5B94DC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0E8FE1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供水专项预处理结果输出</w:t>
            </w:r>
          </w:p>
        </w:tc>
      </w:tr>
      <w:tr w14:paraId="3970E26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BDC851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70</w:t>
            </w:r>
          </w:p>
        </w:tc>
        <w:tc>
          <w:tcPr>
            <w:tcW w:w="0" w:type="auto"/>
            <w:vMerge w:val="continue"/>
            <w:tcBorders>
              <w:top w:val="nil"/>
              <w:left w:val="single" w:color="auto" w:sz="4" w:space="0"/>
              <w:bottom w:val="nil"/>
              <w:right w:val="single" w:color="auto" w:sz="4" w:space="0"/>
            </w:tcBorders>
            <w:vAlign w:val="center"/>
          </w:tcPr>
          <w:p w14:paraId="75EA345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4E7EDC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099362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0BFF1C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供水专项预处理结果验证</w:t>
            </w:r>
          </w:p>
        </w:tc>
      </w:tr>
      <w:tr w14:paraId="01510C1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AA9C16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71</w:t>
            </w:r>
          </w:p>
        </w:tc>
        <w:tc>
          <w:tcPr>
            <w:tcW w:w="0" w:type="auto"/>
            <w:vMerge w:val="continue"/>
            <w:tcBorders>
              <w:top w:val="nil"/>
              <w:left w:val="single" w:color="auto" w:sz="4" w:space="0"/>
              <w:bottom w:val="nil"/>
              <w:right w:val="single" w:color="auto" w:sz="4" w:space="0"/>
            </w:tcBorders>
            <w:vAlign w:val="center"/>
          </w:tcPr>
          <w:p w14:paraId="1D6DC3F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704C1D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C8E05E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F85B88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供水专项预处理结果报告生成</w:t>
            </w:r>
          </w:p>
        </w:tc>
      </w:tr>
      <w:tr w14:paraId="06D418C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D48A5E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72</w:t>
            </w:r>
          </w:p>
        </w:tc>
        <w:tc>
          <w:tcPr>
            <w:tcW w:w="0" w:type="auto"/>
            <w:vMerge w:val="continue"/>
            <w:tcBorders>
              <w:top w:val="nil"/>
              <w:left w:val="single" w:color="auto" w:sz="4" w:space="0"/>
              <w:bottom w:val="nil"/>
              <w:right w:val="single" w:color="auto" w:sz="4" w:space="0"/>
            </w:tcBorders>
            <w:vAlign w:val="center"/>
          </w:tcPr>
          <w:p w14:paraId="0711F5A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5708C48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供水评估指标体系</w:t>
            </w:r>
          </w:p>
        </w:tc>
        <w:tc>
          <w:tcPr>
            <w:tcW w:w="2694" w:type="dxa"/>
            <w:vMerge w:val="restart"/>
            <w:tcBorders>
              <w:top w:val="nil"/>
              <w:left w:val="single" w:color="auto" w:sz="4" w:space="0"/>
              <w:bottom w:val="single" w:color="000000" w:sz="4" w:space="0"/>
              <w:right w:val="single" w:color="auto" w:sz="4" w:space="0"/>
            </w:tcBorders>
            <w:vAlign w:val="center"/>
          </w:tcPr>
          <w:p w14:paraId="0667E5C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本阶段的工作流程如下：首先，对录入风险评估软件的数据进行梳理，构建太原市风险评估指标体系，并编制涵盖计算指标项、权重及计算方法和公式的风险评估模型算法；其次，依据太原市风险评估指标体系与计算公式，对模型算法进行针对性调整优化，确保算法逻辑与太原市风险评估指标体系、计算公式完全匹配；最后，依托调整完善后的模型算法及风险评估软件，开展风险评估分析工作。风险评估模型算法由评估单位提供。</w:t>
            </w:r>
          </w:p>
        </w:tc>
        <w:tc>
          <w:tcPr>
            <w:tcW w:w="4204" w:type="dxa"/>
            <w:tcBorders>
              <w:top w:val="nil"/>
              <w:left w:val="nil"/>
              <w:bottom w:val="single" w:color="auto" w:sz="4" w:space="0"/>
              <w:right w:val="single" w:color="auto" w:sz="4" w:space="0"/>
            </w:tcBorders>
            <w:vAlign w:val="center"/>
          </w:tcPr>
          <w:p w14:paraId="5AE752D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供水管线风险评估体系</w:t>
            </w:r>
          </w:p>
        </w:tc>
      </w:tr>
      <w:tr w14:paraId="1DF52D0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1C84BD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73</w:t>
            </w:r>
          </w:p>
        </w:tc>
        <w:tc>
          <w:tcPr>
            <w:tcW w:w="0" w:type="auto"/>
            <w:vMerge w:val="continue"/>
            <w:tcBorders>
              <w:top w:val="nil"/>
              <w:left w:val="single" w:color="auto" w:sz="4" w:space="0"/>
              <w:bottom w:val="nil"/>
              <w:right w:val="single" w:color="auto" w:sz="4" w:space="0"/>
            </w:tcBorders>
            <w:vAlign w:val="center"/>
          </w:tcPr>
          <w:p w14:paraId="4C112E2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A243B8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B0B733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14FFD6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供水厂风险评估体系</w:t>
            </w:r>
          </w:p>
        </w:tc>
      </w:tr>
      <w:tr w14:paraId="5F9E78D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1CCE25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74</w:t>
            </w:r>
          </w:p>
        </w:tc>
        <w:tc>
          <w:tcPr>
            <w:tcW w:w="0" w:type="auto"/>
            <w:vMerge w:val="continue"/>
            <w:tcBorders>
              <w:top w:val="nil"/>
              <w:left w:val="single" w:color="auto" w:sz="4" w:space="0"/>
              <w:bottom w:val="nil"/>
              <w:right w:val="single" w:color="auto" w:sz="4" w:space="0"/>
            </w:tcBorders>
            <w:vAlign w:val="center"/>
          </w:tcPr>
          <w:p w14:paraId="0C1344E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A46EE9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E3CECA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2509B6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供水泵站风险评估体系</w:t>
            </w:r>
          </w:p>
        </w:tc>
      </w:tr>
      <w:tr w14:paraId="30491F4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D8F15D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75</w:t>
            </w:r>
          </w:p>
        </w:tc>
        <w:tc>
          <w:tcPr>
            <w:tcW w:w="0" w:type="auto"/>
            <w:vMerge w:val="continue"/>
            <w:tcBorders>
              <w:top w:val="nil"/>
              <w:left w:val="single" w:color="auto" w:sz="4" w:space="0"/>
              <w:bottom w:val="nil"/>
              <w:right w:val="single" w:color="auto" w:sz="4" w:space="0"/>
            </w:tcBorders>
            <w:vAlign w:val="center"/>
          </w:tcPr>
          <w:p w14:paraId="5545C05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FF1486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674C15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828DEA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供水指标分级标准制定</w:t>
            </w:r>
          </w:p>
        </w:tc>
      </w:tr>
      <w:tr w14:paraId="49542AF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0427D9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76</w:t>
            </w:r>
          </w:p>
        </w:tc>
        <w:tc>
          <w:tcPr>
            <w:tcW w:w="0" w:type="auto"/>
            <w:vMerge w:val="continue"/>
            <w:tcBorders>
              <w:top w:val="nil"/>
              <w:left w:val="single" w:color="auto" w:sz="4" w:space="0"/>
              <w:bottom w:val="nil"/>
              <w:right w:val="single" w:color="auto" w:sz="4" w:space="0"/>
            </w:tcBorders>
            <w:vAlign w:val="center"/>
          </w:tcPr>
          <w:p w14:paraId="11D9525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939965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148BC8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E74A8C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供水指标计算公式录入</w:t>
            </w:r>
          </w:p>
        </w:tc>
      </w:tr>
      <w:tr w14:paraId="0B9D56F3">
        <w:tblPrEx>
          <w:tblCellMar>
            <w:top w:w="0" w:type="dxa"/>
            <w:left w:w="108" w:type="dxa"/>
            <w:bottom w:w="0" w:type="dxa"/>
            <w:right w:w="108" w:type="dxa"/>
          </w:tblCellMar>
        </w:tblPrEx>
        <w:trPr>
          <w:trHeight w:val="840" w:hRule="atLeast"/>
          <w:jc w:val="center"/>
        </w:trPr>
        <w:tc>
          <w:tcPr>
            <w:tcW w:w="0" w:type="auto"/>
            <w:tcBorders>
              <w:top w:val="nil"/>
              <w:left w:val="single" w:color="auto" w:sz="4" w:space="0"/>
              <w:bottom w:val="single" w:color="auto" w:sz="4" w:space="0"/>
              <w:right w:val="single" w:color="auto" w:sz="4" w:space="0"/>
            </w:tcBorders>
            <w:noWrap/>
            <w:vAlign w:val="center"/>
          </w:tcPr>
          <w:p w14:paraId="3D00EDD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77</w:t>
            </w:r>
          </w:p>
        </w:tc>
        <w:tc>
          <w:tcPr>
            <w:tcW w:w="0" w:type="auto"/>
            <w:vMerge w:val="continue"/>
            <w:tcBorders>
              <w:top w:val="nil"/>
              <w:left w:val="single" w:color="auto" w:sz="4" w:space="0"/>
              <w:bottom w:val="nil"/>
              <w:right w:val="single" w:color="auto" w:sz="4" w:space="0"/>
            </w:tcBorders>
            <w:vAlign w:val="center"/>
          </w:tcPr>
          <w:p w14:paraId="67B04B9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7150791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供水专项风险分析</w:t>
            </w:r>
          </w:p>
        </w:tc>
        <w:tc>
          <w:tcPr>
            <w:tcW w:w="2694" w:type="dxa"/>
            <w:vMerge w:val="restart"/>
            <w:tcBorders>
              <w:top w:val="nil"/>
              <w:left w:val="single" w:color="auto" w:sz="4" w:space="0"/>
              <w:bottom w:val="single" w:color="000000" w:sz="4" w:space="0"/>
              <w:right w:val="single" w:color="auto" w:sz="4" w:space="0"/>
            </w:tcBorders>
            <w:vAlign w:val="center"/>
          </w:tcPr>
          <w:p w14:paraId="3742E2D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1、数据项映射工作</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建立绑定关系：在风险评估软件中，将实际的数据库字段与风险计算公式中的变量进行“一一对应”配置，确保软件能“读懂”并抓取正确的位置和数据。</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2、批量计算与结果核对</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执行运算：操作软件进行不同类别供水进行风险评估计算。</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输出检查：逐一或抽样检查每座供水是否都生成了分析结果，核对输出结果的完整性（无遗漏）。</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3、异常排查与配置修正</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识别异常：定位分析结果输出异常（如结果为空、数值明显偏离常识、计算报错）的桥隧。</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诊断原因：分析是公式配置错误、数据调用失败还是原始数据异常导致的问题。</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重新配置：针对异常情况，修正计算公式的参数设置，或者重新调整数据调用的映射关系，然后进行复算。</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4、结果关联标注</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将最终确认无误的风险评估结果关联到每一个评估的设施上，确保点击设施的标柱时，可以查看详细的风险分数和主要影响因子。</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5、数据审核</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辅助审核：整理评估结果列表和关联标注成果，提交给审核方，并对异常数据的处理过程进行解释。</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过程归档：记录数据项绑定方案、异常问题处理清单以及最终的配置参数，形成工作记录。</w:t>
            </w:r>
          </w:p>
        </w:tc>
        <w:tc>
          <w:tcPr>
            <w:tcW w:w="4204" w:type="dxa"/>
            <w:tcBorders>
              <w:top w:val="nil"/>
              <w:left w:val="nil"/>
              <w:bottom w:val="single" w:color="auto" w:sz="4" w:space="0"/>
              <w:right w:val="single" w:color="auto" w:sz="4" w:space="0"/>
            </w:tcBorders>
            <w:vAlign w:val="center"/>
          </w:tcPr>
          <w:p w14:paraId="1C0435E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供水主干管、老旧管道、管网水力分界线、大管段交叉处以及大用户、重要单位、高层建筑供水管线等；</w:t>
            </w:r>
          </w:p>
        </w:tc>
      </w:tr>
      <w:tr w14:paraId="2A077098">
        <w:tblPrEx>
          <w:tblCellMar>
            <w:top w:w="0" w:type="dxa"/>
            <w:left w:w="108" w:type="dxa"/>
            <w:bottom w:w="0" w:type="dxa"/>
            <w:right w:w="108" w:type="dxa"/>
          </w:tblCellMar>
        </w:tblPrEx>
        <w:trPr>
          <w:trHeight w:val="1120" w:hRule="atLeast"/>
          <w:jc w:val="center"/>
        </w:trPr>
        <w:tc>
          <w:tcPr>
            <w:tcW w:w="0" w:type="auto"/>
            <w:tcBorders>
              <w:top w:val="nil"/>
              <w:left w:val="single" w:color="auto" w:sz="4" w:space="0"/>
              <w:bottom w:val="single" w:color="auto" w:sz="4" w:space="0"/>
              <w:right w:val="single" w:color="auto" w:sz="4" w:space="0"/>
            </w:tcBorders>
            <w:noWrap/>
            <w:vAlign w:val="center"/>
          </w:tcPr>
          <w:p w14:paraId="2E1D4D7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78</w:t>
            </w:r>
          </w:p>
        </w:tc>
        <w:tc>
          <w:tcPr>
            <w:tcW w:w="0" w:type="auto"/>
            <w:vMerge w:val="continue"/>
            <w:tcBorders>
              <w:top w:val="nil"/>
              <w:left w:val="single" w:color="auto" w:sz="4" w:space="0"/>
              <w:bottom w:val="nil"/>
              <w:right w:val="single" w:color="auto" w:sz="4" w:space="0"/>
            </w:tcBorders>
            <w:vAlign w:val="center"/>
          </w:tcPr>
          <w:p w14:paraId="3530C57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B15134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291F7A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4D62EC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水厂原水管段，出厂管段，相邻及其他供水爆管漏失影响城市片区安全供水、后果严重的供水管线，爆管漏失造成严重后果影响的公共基础设施旁边的供水管道；</w:t>
            </w:r>
          </w:p>
        </w:tc>
      </w:tr>
      <w:tr w14:paraId="2A7B802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A773F1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79</w:t>
            </w:r>
          </w:p>
        </w:tc>
        <w:tc>
          <w:tcPr>
            <w:tcW w:w="0" w:type="auto"/>
            <w:vMerge w:val="continue"/>
            <w:tcBorders>
              <w:top w:val="nil"/>
              <w:left w:val="single" w:color="auto" w:sz="4" w:space="0"/>
              <w:bottom w:val="nil"/>
              <w:right w:val="single" w:color="auto" w:sz="4" w:space="0"/>
            </w:tcBorders>
            <w:vAlign w:val="center"/>
          </w:tcPr>
          <w:p w14:paraId="4BBB9D2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788FF0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DAD17F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47D705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水源地保护；</w:t>
            </w:r>
          </w:p>
        </w:tc>
      </w:tr>
      <w:tr w14:paraId="587EA5D3">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5EF07D6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80</w:t>
            </w:r>
          </w:p>
        </w:tc>
        <w:tc>
          <w:tcPr>
            <w:tcW w:w="0" w:type="auto"/>
            <w:vMerge w:val="continue"/>
            <w:tcBorders>
              <w:top w:val="nil"/>
              <w:left w:val="single" w:color="auto" w:sz="4" w:space="0"/>
              <w:bottom w:val="nil"/>
              <w:right w:val="single" w:color="auto" w:sz="4" w:space="0"/>
            </w:tcBorders>
            <w:vAlign w:val="center"/>
          </w:tcPr>
          <w:p w14:paraId="4B07064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789687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D78F1A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3DA458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超期服役的以及存在安全运行隐患的老旧供水管线；</w:t>
            </w:r>
          </w:p>
        </w:tc>
      </w:tr>
      <w:tr w14:paraId="17F6BF0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DAC6E3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81</w:t>
            </w:r>
          </w:p>
        </w:tc>
        <w:tc>
          <w:tcPr>
            <w:tcW w:w="0" w:type="auto"/>
            <w:vMerge w:val="continue"/>
            <w:tcBorders>
              <w:top w:val="nil"/>
              <w:left w:val="single" w:color="auto" w:sz="4" w:space="0"/>
              <w:bottom w:val="nil"/>
              <w:right w:val="single" w:color="auto" w:sz="4" w:space="0"/>
            </w:tcBorders>
            <w:vAlign w:val="center"/>
          </w:tcPr>
          <w:p w14:paraId="2B0CF04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A6B75E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79777D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8DD20D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供水风险源识别逻辑模型设计</w:t>
            </w:r>
          </w:p>
        </w:tc>
      </w:tr>
      <w:tr w14:paraId="01133EA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00B18A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82</w:t>
            </w:r>
          </w:p>
        </w:tc>
        <w:tc>
          <w:tcPr>
            <w:tcW w:w="0" w:type="auto"/>
            <w:vMerge w:val="continue"/>
            <w:tcBorders>
              <w:top w:val="nil"/>
              <w:left w:val="single" w:color="auto" w:sz="4" w:space="0"/>
              <w:bottom w:val="nil"/>
              <w:right w:val="single" w:color="auto" w:sz="4" w:space="0"/>
            </w:tcBorders>
            <w:vAlign w:val="center"/>
          </w:tcPr>
          <w:p w14:paraId="74BE9A5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F33A7E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BBC96C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CF1AFB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供水专项隐患图形标注展示</w:t>
            </w:r>
          </w:p>
        </w:tc>
      </w:tr>
      <w:tr w14:paraId="71D7F26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A5637C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83</w:t>
            </w:r>
          </w:p>
        </w:tc>
        <w:tc>
          <w:tcPr>
            <w:tcW w:w="0" w:type="auto"/>
            <w:vMerge w:val="continue"/>
            <w:tcBorders>
              <w:top w:val="nil"/>
              <w:left w:val="single" w:color="auto" w:sz="4" w:space="0"/>
              <w:bottom w:val="nil"/>
              <w:right w:val="single" w:color="auto" w:sz="4" w:space="0"/>
            </w:tcBorders>
            <w:vAlign w:val="center"/>
          </w:tcPr>
          <w:p w14:paraId="38A7656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8E8F82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C83E52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AFBCB5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供水专项交叉施工风险数据梳理</w:t>
            </w:r>
          </w:p>
        </w:tc>
      </w:tr>
      <w:tr w14:paraId="6BE07DC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47ABF6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84</w:t>
            </w:r>
          </w:p>
        </w:tc>
        <w:tc>
          <w:tcPr>
            <w:tcW w:w="0" w:type="auto"/>
            <w:vMerge w:val="continue"/>
            <w:tcBorders>
              <w:top w:val="nil"/>
              <w:left w:val="single" w:color="auto" w:sz="4" w:space="0"/>
              <w:bottom w:val="nil"/>
              <w:right w:val="single" w:color="auto" w:sz="4" w:space="0"/>
            </w:tcBorders>
            <w:vAlign w:val="center"/>
          </w:tcPr>
          <w:p w14:paraId="740E44A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626CEA9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评估结果汇总完善</w:t>
            </w:r>
          </w:p>
        </w:tc>
        <w:tc>
          <w:tcPr>
            <w:tcW w:w="2694" w:type="dxa"/>
            <w:vMerge w:val="restart"/>
            <w:tcBorders>
              <w:top w:val="nil"/>
              <w:left w:val="single" w:color="auto" w:sz="4" w:space="0"/>
              <w:bottom w:val="single" w:color="000000" w:sz="4" w:space="0"/>
              <w:right w:val="single" w:color="auto" w:sz="4" w:space="0"/>
            </w:tcBorders>
            <w:vAlign w:val="center"/>
          </w:tcPr>
          <w:p w14:paraId="0770DC4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包括成果汇总管理数据、成果录入、成果分类管理、成果自动统计与输出工作，该部分核心工作为对专项风险分析已经分析出的结果数据进行整理，将不同类型的燃气的分析结果数据进行分类，按不用类别进行录入到文档及成果管理系统，按类别进行统计。</w:t>
            </w:r>
          </w:p>
        </w:tc>
        <w:tc>
          <w:tcPr>
            <w:tcW w:w="4204" w:type="dxa"/>
            <w:tcBorders>
              <w:top w:val="nil"/>
              <w:left w:val="nil"/>
              <w:bottom w:val="single" w:color="auto" w:sz="4" w:space="0"/>
              <w:right w:val="single" w:color="auto" w:sz="4" w:space="0"/>
            </w:tcBorders>
            <w:vAlign w:val="center"/>
          </w:tcPr>
          <w:p w14:paraId="0FC0655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供水专项成果汇总管理数据梳理</w:t>
            </w:r>
          </w:p>
        </w:tc>
      </w:tr>
      <w:tr w14:paraId="24294C9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E4734D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85</w:t>
            </w:r>
          </w:p>
        </w:tc>
        <w:tc>
          <w:tcPr>
            <w:tcW w:w="0" w:type="auto"/>
            <w:vMerge w:val="continue"/>
            <w:tcBorders>
              <w:top w:val="nil"/>
              <w:left w:val="single" w:color="auto" w:sz="4" w:space="0"/>
              <w:bottom w:val="nil"/>
              <w:right w:val="single" w:color="auto" w:sz="4" w:space="0"/>
            </w:tcBorders>
            <w:vAlign w:val="center"/>
          </w:tcPr>
          <w:p w14:paraId="2CC39A7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70A7A9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80DA9C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F37169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供水专项评估成果成果录入</w:t>
            </w:r>
          </w:p>
        </w:tc>
      </w:tr>
      <w:tr w14:paraId="3FD130F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F6C001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86</w:t>
            </w:r>
          </w:p>
        </w:tc>
        <w:tc>
          <w:tcPr>
            <w:tcW w:w="0" w:type="auto"/>
            <w:vMerge w:val="continue"/>
            <w:tcBorders>
              <w:top w:val="nil"/>
              <w:left w:val="single" w:color="auto" w:sz="4" w:space="0"/>
              <w:bottom w:val="nil"/>
              <w:right w:val="single" w:color="auto" w:sz="4" w:space="0"/>
            </w:tcBorders>
            <w:vAlign w:val="center"/>
          </w:tcPr>
          <w:p w14:paraId="4D4B636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030DDA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DB41FD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236629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供水专项评估成果分类管理</w:t>
            </w:r>
          </w:p>
        </w:tc>
      </w:tr>
      <w:tr w14:paraId="113EDD5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750F93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87</w:t>
            </w:r>
          </w:p>
        </w:tc>
        <w:tc>
          <w:tcPr>
            <w:tcW w:w="0" w:type="auto"/>
            <w:vMerge w:val="continue"/>
            <w:tcBorders>
              <w:top w:val="nil"/>
              <w:left w:val="single" w:color="auto" w:sz="4" w:space="0"/>
              <w:bottom w:val="nil"/>
              <w:right w:val="single" w:color="auto" w:sz="4" w:space="0"/>
            </w:tcBorders>
            <w:vAlign w:val="center"/>
          </w:tcPr>
          <w:p w14:paraId="5876236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739E20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2A08FF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4C0C34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供水专项成果自动统计与输出</w:t>
            </w:r>
          </w:p>
        </w:tc>
      </w:tr>
      <w:tr w14:paraId="6B5BF3D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3BF1F3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88</w:t>
            </w:r>
          </w:p>
        </w:tc>
        <w:tc>
          <w:tcPr>
            <w:tcW w:w="0" w:type="auto"/>
            <w:vMerge w:val="continue"/>
            <w:tcBorders>
              <w:top w:val="nil"/>
              <w:left w:val="single" w:color="auto" w:sz="4" w:space="0"/>
              <w:bottom w:val="nil"/>
              <w:right w:val="single" w:color="auto" w:sz="4" w:space="0"/>
            </w:tcBorders>
            <w:vAlign w:val="center"/>
          </w:tcPr>
          <w:p w14:paraId="461D401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6B2FCA2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风险四色图</w:t>
            </w:r>
          </w:p>
        </w:tc>
        <w:tc>
          <w:tcPr>
            <w:tcW w:w="2694" w:type="dxa"/>
            <w:vMerge w:val="restart"/>
            <w:tcBorders>
              <w:top w:val="nil"/>
              <w:left w:val="single" w:color="auto" w:sz="4" w:space="0"/>
              <w:bottom w:val="single" w:color="000000" w:sz="4" w:space="0"/>
              <w:right w:val="single" w:color="auto" w:sz="4" w:space="0"/>
            </w:tcBorders>
            <w:vAlign w:val="center"/>
          </w:tcPr>
          <w:p w14:paraId="236A3AC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1、、风险电子四色图：制作地图，生成包含桥隧及其风险等级的GIS地图，用不同的颜色或符号直观地表示出不同级别的风险区域。</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2、风险清单：包括类别、风险源名称、位置、风险分析、潜在事故类型、风险等级、管控措施、责任人、“三高”区域点位界定、备注等。</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3、报告文档：编写详细的分析报告，说明分析结果以及建议措施（工程技术措施、管理措施、应急措施）。</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4、城市生命线安全建议监测布点点位：包括各个风险点位的建议监测设备布放建议。</w:t>
            </w:r>
          </w:p>
        </w:tc>
        <w:tc>
          <w:tcPr>
            <w:tcW w:w="4204" w:type="dxa"/>
            <w:tcBorders>
              <w:top w:val="nil"/>
              <w:left w:val="nil"/>
              <w:bottom w:val="single" w:color="auto" w:sz="4" w:space="0"/>
              <w:right w:val="single" w:color="auto" w:sz="4" w:space="0"/>
            </w:tcBorders>
            <w:vAlign w:val="center"/>
          </w:tcPr>
          <w:p w14:paraId="3D5E395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供水专项风险四色图生成</w:t>
            </w:r>
          </w:p>
        </w:tc>
      </w:tr>
      <w:tr w14:paraId="6C4378D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1A58F9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89</w:t>
            </w:r>
          </w:p>
        </w:tc>
        <w:tc>
          <w:tcPr>
            <w:tcW w:w="0" w:type="auto"/>
            <w:vMerge w:val="continue"/>
            <w:tcBorders>
              <w:top w:val="nil"/>
              <w:left w:val="single" w:color="auto" w:sz="4" w:space="0"/>
              <w:bottom w:val="nil"/>
              <w:right w:val="single" w:color="auto" w:sz="4" w:space="0"/>
            </w:tcBorders>
            <w:vAlign w:val="center"/>
          </w:tcPr>
          <w:p w14:paraId="0783491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2979CA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D62377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BF7C1C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供水专项风险四色图生审核</w:t>
            </w:r>
          </w:p>
        </w:tc>
      </w:tr>
      <w:tr w14:paraId="1BF6B46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38022E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90</w:t>
            </w:r>
          </w:p>
        </w:tc>
        <w:tc>
          <w:tcPr>
            <w:tcW w:w="0" w:type="auto"/>
            <w:vMerge w:val="continue"/>
            <w:tcBorders>
              <w:top w:val="nil"/>
              <w:left w:val="single" w:color="auto" w:sz="4" w:space="0"/>
              <w:bottom w:val="nil"/>
              <w:right w:val="single" w:color="auto" w:sz="4" w:space="0"/>
            </w:tcBorders>
            <w:vAlign w:val="center"/>
          </w:tcPr>
          <w:p w14:paraId="15C6E9E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0B09215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风险清单</w:t>
            </w:r>
          </w:p>
        </w:tc>
        <w:tc>
          <w:tcPr>
            <w:tcW w:w="2694" w:type="dxa"/>
            <w:vMerge w:val="continue"/>
            <w:tcBorders>
              <w:top w:val="nil"/>
              <w:left w:val="single" w:color="auto" w:sz="4" w:space="0"/>
              <w:bottom w:val="single" w:color="000000" w:sz="4" w:space="0"/>
              <w:right w:val="single" w:color="auto" w:sz="4" w:space="0"/>
            </w:tcBorders>
            <w:vAlign w:val="center"/>
          </w:tcPr>
          <w:p w14:paraId="78518E5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BCEFAE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供水风险清单</w:t>
            </w:r>
          </w:p>
        </w:tc>
      </w:tr>
      <w:tr w14:paraId="752993D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273530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91</w:t>
            </w:r>
          </w:p>
        </w:tc>
        <w:tc>
          <w:tcPr>
            <w:tcW w:w="0" w:type="auto"/>
            <w:vMerge w:val="continue"/>
            <w:tcBorders>
              <w:top w:val="nil"/>
              <w:left w:val="single" w:color="auto" w:sz="4" w:space="0"/>
              <w:bottom w:val="nil"/>
              <w:right w:val="single" w:color="auto" w:sz="4" w:space="0"/>
            </w:tcBorders>
            <w:vAlign w:val="center"/>
          </w:tcPr>
          <w:p w14:paraId="7D45AA5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4A54B5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447F9D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848474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供水风险清单审核</w:t>
            </w:r>
          </w:p>
        </w:tc>
      </w:tr>
      <w:tr w14:paraId="3E8D828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718A1F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92</w:t>
            </w:r>
          </w:p>
        </w:tc>
        <w:tc>
          <w:tcPr>
            <w:tcW w:w="0" w:type="auto"/>
            <w:vMerge w:val="continue"/>
            <w:tcBorders>
              <w:top w:val="nil"/>
              <w:left w:val="single" w:color="auto" w:sz="4" w:space="0"/>
              <w:bottom w:val="nil"/>
              <w:right w:val="single" w:color="auto" w:sz="4" w:space="0"/>
            </w:tcBorders>
            <w:vAlign w:val="center"/>
          </w:tcPr>
          <w:p w14:paraId="670AC0C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2292345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风险评估报告</w:t>
            </w:r>
          </w:p>
        </w:tc>
        <w:tc>
          <w:tcPr>
            <w:tcW w:w="2694" w:type="dxa"/>
            <w:vMerge w:val="continue"/>
            <w:tcBorders>
              <w:top w:val="nil"/>
              <w:left w:val="single" w:color="auto" w:sz="4" w:space="0"/>
              <w:bottom w:val="single" w:color="000000" w:sz="4" w:space="0"/>
              <w:right w:val="single" w:color="auto" w:sz="4" w:space="0"/>
            </w:tcBorders>
            <w:vAlign w:val="center"/>
          </w:tcPr>
          <w:p w14:paraId="5DEDA65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114650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供水专项总结报告制作</w:t>
            </w:r>
          </w:p>
        </w:tc>
      </w:tr>
      <w:tr w14:paraId="7CA3B56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5D65EA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93</w:t>
            </w:r>
          </w:p>
        </w:tc>
        <w:tc>
          <w:tcPr>
            <w:tcW w:w="0" w:type="auto"/>
            <w:vMerge w:val="continue"/>
            <w:tcBorders>
              <w:top w:val="nil"/>
              <w:left w:val="single" w:color="auto" w:sz="4" w:space="0"/>
              <w:bottom w:val="nil"/>
              <w:right w:val="single" w:color="auto" w:sz="4" w:space="0"/>
            </w:tcBorders>
            <w:vAlign w:val="center"/>
          </w:tcPr>
          <w:p w14:paraId="1BFB12A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A084C0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B5A09A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83031D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供水专项总结报告审核</w:t>
            </w:r>
          </w:p>
        </w:tc>
      </w:tr>
      <w:tr w14:paraId="0D8D4DE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F721DC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94</w:t>
            </w:r>
          </w:p>
        </w:tc>
        <w:tc>
          <w:tcPr>
            <w:tcW w:w="0" w:type="auto"/>
            <w:vMerge w:val="continue"/>
            <w:tcBorders>
              <w:top w:val="nil"/>
              <w:left w:val="single" w:color="auto" w:sz="4" w:space="0"/>
              <w:bottom w:val="nil"/>
              <w:right w:val="single" w:color="auto" w:sz="4" w:space="0"/>
            </w:tcBorders>
            <w:vAlign w:val="center"/>
          </w:tcPr>
          <w:p w14:paraId="47ED6FE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7AE9C5A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监测布点方案</w:t>
            </w:r>
          </w:p>
        </w:tc>
        <w:tc>
          <w:tcPr>
            <w:tcW w:w="2694" w:type="dxa"/>
            <w:vMerge w:val="continue"/>
            <w:tcBorders>
              <w:top w:val="nil"/>
              <w:left w:val="single" w:color="auto" w:sz="4" w:space="0"/>
              <w:bottom w:val="single" w:color="000000" w:sz="4" w:space="0"/>
              <w:right w:val="single" w:color="auto" w:sz="4" w:space="0"/>
            </w:tcBorders>
            <w:vAlign w:val="center"/>
          </w:tcPr>
          <w:p w14:paraId="754FA8D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C0D745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供水专项监测布点方案设计</w:t>
            </w:r>
          </w:p>
        </w:tc>
      </w:tr>
      <w:tr w14:paraId="4B3FCA0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0F20BC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95</w:t>
            </w:r>
          </w:p>
        </w:tc>
        <w:tc>
          <w:tcPr>
            <w:tcW w:w="0" w:type="auto"/>
            <w:vMerge w:val="continue"/>
            <w:tcBorders>
              <w:top w:val="nil"/>
              <w:left w:val="single" w:color="auto" w:sz="4" w:space="0"/>
              <w:bottom w:val="nil"/>
              <w:right w:val="single" w:color="auto" w:sz="4" w:space="0"/>
            </w:tcBorders>
            <w:vAlign w:val="center"/>
          </w:tcPr>
          <w:p w14:paraId="60B9C27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166BA9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D10B98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5AA29E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供水专项监测布点方案审核</w:t>
            </w:r>
          </w:p>
        </w:tc>
      </w:tr>
      <w:tr w14:paraId="734A3CA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935766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96</w:t>
            </w:r>
          </w:p>
        </w:tc>
        <w:tc>
          <w:tcPr>
            <w:tcW w:w="0" w:type="auto"/>
            <w:vMerge w:val="continue"/>
            <w:tcBorders>
              <w:top w:val="nil"/>
              <w:left w:val="single" w:color="auto" w:sz="4" w:space="0"/>
              <w:bottom w:val="nil"/>
              <w:right w:val="single" w:color="auto" w:sz="4" w:space="0"/>
            </w:tcBorders>
            <w:vAlign w:val="center"/>
          </w:tcPr>
          <w:p w14:paraId="430D53A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714EBA2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电子成果物</w:t>
            </w:r>
          </w:p>
        </w:tc>
        <w:tc>
          <w:tcPr>
            <w:tcW w:w="2694" w:type="dxa"/>
            <w:vMerge w:val="continue"/>
            <w:tcBorders>
              <w:top w:val="nil"/>
              <w:left w:val="single" w:color="auto" w:sz="4" w:space="0"/>
              <w:bottom w:val="single" w:color="000000" w:sz="4" w:space="0"/>
              <w:right w:val="single" w:color="auto" w:sz="4" w:space="0"/>
            </w:tcBorders>
            <w:vAlign w:val="center"/>
          </w:tcPr>
          <w:p w14:paraId="74495D5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D8F8CE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供水专项评估成果电子档案数据梳理</w:t>
            </w:r>
          </w:p>
        </w:tc>
      </w:tr>
      <w:tr w14:paraId="112E8FA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206B33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97</w:t>
            </w:r>
          </w:p>
        </w:tc>
        <w:tc>
          <w:tcPr>
            <w:tcW w:w="0" w:type="auto"/>
            <w:vMerge w:val="continue"/>
            <w:tcBorders>
              <w:top w:val="nil"/>
              <w:left w:val="single" w:color="auto" w:sz="4" w:space="0"/>
              <w:bottom w:val="nil"/>
              <w:right w:val="single" w:color="auto" w:sz="4" w:space="0"/>
            </w:tcBorders>
            <w:vAlign w:val="center"/>
          </w:tcPr>
          <w:p w14:paraId="5615C38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BFC0D7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F9E11E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E22C70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供水专项电子档案资料更新维护</w:t>
            </w:r>
          </w:p>
        </w:tc>
      </w:tr>
      <w:tr w14:paraId="7713E5D5">
        <w:tblPrEx>
          <w:tblCellMar>
            <w:top w:w="0" w:type="dxa"/>
            <w:left w:w="108" w:type="dxa"/>
            <w:bottom w:w="0" w:type="dxa"/>
            <w:right w:w="108" w:type="dxa"/>
          </w:tblCellMar>
        </w:tblPrEx>
        <w:trPr>
          <w:trHeight w:val="400" w:hRule="atLeast"/>
          <w:jc w:val="center"/>
        </w:trPr>
        <w:tc>
          <w:tcPr>
            <w:tcW w:w="0" w:type="auto"/>
            <w:tcBorders>
              <w:top w:val="nil"/>
              <w:left w:val="single" w:color="auto" w:sz="4" w:space="0"/>
              <w:bottom w:val="single" w:color="auto" w:sz="4" w:space="0"/>
              <w:right w:val="single" w:color="auto" w:sz="4" w:space="0"/>
            </w:tcBorders>
            <w:noWrap/>
            <w:vAlign w:val="center"/>
          </w:tcPr>
          <w:p w14:paraId="4248B4FB">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（三）</w:t>
            </w:r>
          </w:p>
        </w:tc>
        <w:tc>
          <w:tcPr>
            <w:tcW w:w="8144" w:type="dxa"/>
            <w:gridSpan w:val="4"/>
            <w:tcBorders>
              <w:top w:val="single" w:color="auto" w:sz="4" w:space="0"/>
              <w:left w:val="nil"/>
              <w:bottom w:val="single" w:color="auto" w:sz="4" w:space="0"/>
              <w:right w:val="single" w:color="000000" w:sz="4" w:space="0"/>
            </w:tcBorders>
            <w:vAlign w:val="center"/>
          </w:tcPr>
          <w:p w14:paraId="7A53E270">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排水专项风险评估</w:t>
            </w:r>
          </w:p>
        </w:tc>
      </w:tr>
      <w:tr w14:paraId="236899A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16516B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w:t>
            </w:r>
          </w:p>
        </w:tc>
        <w:tc>
          <w:tcPr>
            <w:tcW w:w="0" w:type="auto"/>
            <w:vMerge w:val="restart"/>
            <w:tcBorders>
              <w:top w:val="nil"/>
              <w:left w:val="single" w:color="auto" w:sz="4" w:space="0"/>
              <w:bottom w:val="nil"/>
              <w:right w:val="single" w:color="auto" w:sz="4" w:space="0"/>
            </w:tcBorders>
            <w:vAlign w:val="center"/>
          </w:tcPr>
          <w:p w14:paraId="2E261BF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排水专项风险评估</w:t>
            </w:r>
          </w:p>
        </w:tc>
        <w:tc>
          <w:tcPr>
            <w:tcW w:w="0" w:type="auto"/>
            <w:vMerge w:val="restart"/>
            <w:tcBorders>
              <w:top w:val="nil"/>
              <w:left w:val="single" w:color="auto" w:sz="4" w:space="0"/>
              <w:bottom w:val="single" w:color="auto" w:sz="4" w:space="0"/>
              <w:right w:val="single" w:color="auto" w:sz="4" w:space="0"/>
            </w:tcBorders>
            <w:vAlign w:val="center"/>
          </w:tcPr>
          <w:p w14:paraId="070B9B4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排水专项调研设计</w:t>
            </w:r>
          </w:p>
        </w:tc>
        <w:tc>
          <w:tcPr>
            <w:tcW w:w="2694" w:type="dxa"/>
            <w:vMerge w:val="restart"/>
            <w:tcBorders>
              <w:top w:val="nil"/>
              <w:left w:val="single" w:color="auto" w:sz="4" w:space="0"/>
              <w:bottom w:val="single" w:color="000000" w:sz="4" w:space="0"/>
              <w:right w:val="single" w:color="auto" w:sz="4" w:space="0"/>
            </w:tcBorders>
            <w:vAlign w:val="center"/>
          </w:tcPr>
          <w:p w14:paraId="63502C9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针对排水专项进行调研设计，并输出《排水专项调研表》</w:t>
            </w:r>
          </w:p>
        </w:tc>
        <w:tc>
          <w:tcPr>
            <w:tcW w:w="4204" w:type="dxa"/>
            <w:tcBorders>
              <w:top w:val="nil"/>
              <w:left w:val="nil"/>
              <w:bottom w:val="single" w:color="auto" w:sz="4" w:space="0"/>
              <w:right w:val="single" w:color="auto" w:sz="4" w:space="0"/>
            </w:tcBorders>
            <w:vAlign w:val="center"/>
          </w:tcPr>
          <w:p w14:paraId="15CB48C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排水管线基础数据梳理</w:t>
            </w:r>
          </w:p>
        </w:tc>
      </w:tr>
      <w:tr w14:paraId="6E94DCA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EDB90C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w:t>
            </w:r>
          </w:p>
        </w:tc>
        <w:tc>
          <w:tcPr>
            <w:tcW w:w="0" w:type="auto"/>
            <w:vMerge w:val="continue"/>
            <w:tcBorders>
              <w:top w:val="nil"/>
              <w:left w:val="single" w:color="auto" w:sz="4" w:space="0"/>
              <w:bottom w:val="nil"/>
              <w:right w:val="single" w:color="auto" w:sz="4" w:space="0"/>
            </w:tcBorders>
            <w:vAlign w:val="center"/>
          </w:tcPr>
          <w:p w14:paraId="484E1ED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8015A4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6F1E0A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8459A1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排水设施基础属性梳理</w:t>
            </w:r>
          </w:p>
        </w:tc>
      </w:tr>
      <w:tr w14:paraId="3AA4C4B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FE2F54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w:t>
            </w:r>
          </w:p>
        </w:tc>
        <w:tc>
          <w:tcPr>
            <w:tcW w:w="0" w:type="auto"/>
            <w:vMerge w:val="continue"/>
            <w:tcBorders>
              <w:top w:val="nil"/>
              <w:left w:val="single" w:color="auto" w:sz="4" w:space="0"/>
              <w:bottom w:val="nil"/>
              <w:right w:val="single" w:color="auto" w:sz="4" w:space="0"/>
            </w:tcBorders>
            <w:vAlign w:val="center"/>
          </w:tcPr>
          <w:p w14:paraId="20E948A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09481D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C46BD4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0D8E76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排水设施运行监测数据梳理</w:t>
            </w:r>
          </w:p>
        </w:tc>
      </w:tr>
      <w:tr w14:paraId="1EA7FD4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E1CA67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w:t>
            </w:r>
          </w:p>
        </w:tc>
        <w:tc>
          <w:tcPr>
            <w:tcW w:w="0" w:type="auto"/>
            <w:vMerge w:val="continue"/>
            <w:tcBorders>
              <w:top w:val="nil"/>
              <w:left w:val="single" w:color="auto" w:sz="4" w:space="0"/>
              <w:bottom w:val="nil"/>
              <w:right w:val="single" w:color="auto" w:sz="4" w:space="0"/>
            </w:tcBorders>
            <w:vAlign w:val="center"/>
          </w:tcPr>
          <w:p w14:paraId="0C2BA76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1C1274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A0BBB7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F2459D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排水设施周边环境风险数据梳理</w:t>
            </w:r>
          </w:p>
        </w:tc>
      </w:tr>
      <w:tr w14:paraId="62F6B70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DAD7A8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w:t>
            </w:r>
          </w:p>
        </w:tc>
        <w:tc>
          <w:tcPr>
            <w:tcW w:w="0" w:type="auto"/>
            <w:vMerge w:val="continue"/>
            <w:tcBorders>
              <w:top w:val="nil"/>
              <w:left w:val="single" w:color="auto" w:sz="4" w:space="0"/>
              <w:bottom w:val="nil"/>
              <w:right w:val="single" w:color="auto" w:sz="4" w:space="0"/>
            </w:tcBorders>
            <w:vAlign w:val="center"/>
          </w:tcPr>
          <w:p w14:paraId="73420A5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793BD7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9D9576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1FBC37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排水设施历史隐患事件记录梳理</w:t>
            </w:r>
          </w:p>
        </w:tc>
      </w:tr>
      <w:tr w14:paraId="1149121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DD96CC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w:t>
            </w:r>
          </w:p>
        </w:tc>
        <w:tc>
          <w:tcPr>
            <w:tcW w:w="0" w:type="auto"/>
            <w:vMerge w:val="continue"/>
            <w:tcBorders>
              <w:top w:val="nil"/>
              <w:left w:val="single" w:color="auto" w:sz="4" w:space="0"/>
              <w:bottom w:val="nil"/>
              <w:right w:val="single" w:color="auto" w:sz="4" w:space="0"/>
            </w:tcBorders>
            <w:vAlign w:val="center"/>
          </w:tcPr>
          <w:p w14:paraId="092FD0B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A66A09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E2BD63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2C4C9A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排水调研表字段细化</w:t>
            </w:r>
          </w:p>
        </w:tc>
      </w:tr>
      <w:tr w14:paraId="4F0C4EA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B47330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w:t>
            </w:r>
          </w:p>
        </w:tc>
        <w:tc>
          <w:tcPr>
            <w:tcW w:w="0" w:type="auto"/>
            <w:vMerge w:val="continue"/>
            <w:tcBorders>
              <w:top w:val="nil"/>
              <w:left w:val="single" w:color="auto" w:sz="4" w:space="0"/>
              <w:bottom w:val="nil"/>
              <w:right w:val="single" w:color="auto" w:sz="4" w:space="0"/>
            </w:tcBorders>
            <w:vAlign w:val="center"/>
          </w:tcPr>
          <w:p w14:paraId="357C678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09BBE4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1DF20F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7FFF9D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排水调研表设计</w:t>
            </w:r>
          </w:p>
        </w:tc>
      </w:tr>
      <w:tr w14:paraId="46894BD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633180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w:t>
            </w:r>
          </w:p>
        </w:tc>
        <w:tc>
          <w:tcPr>
            <w:tcW w:w="0" w:type="auto"/>
            <w:vMerge w:val="continue"/>
            <w:tcBorders>
              <w:top w:val="nil"/>
              <w:left w:val="single" w:color="auto" w:sz="4" w:space="0"/>
              <w:bottom w:val="nil"/>
              <w:right w:val="single" w:color="auto" w:sz="4" w:space="0"/>
            </w:tcBorders>
            <w:vAlign w:val="center"/>
          </w:tcPr>
          <w:p w14:paraId="112E25A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32665DD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排水专项资料收集</w:t>
            </w:r>
          </w:p>
        </w:tc>
        <w:tc>
          <w:tcPr>
            <w:tcW w:w="2694" w:type="dxa"/>
            <w:vMerge w:val="restart"/>
            <w:tcBorders>
              <w:top w:val="nil"/>
              <w:left w:val="single" w:color="auto" w:sz="4" w:space="0"/>
              <w:bottom w:val="single" w:color="000000" w:sz="4" w:space="0"/>
              <w:right w:val="single" w:color="auto" w:sz="4" w:space="0"/>
            </w:tcBorders>
            <w:vAlign w:val="center"/>
          </w:tcPr>
          <w:p w14:paraId="1C2ADE7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根据《排水专项调研表》进行资料搜集并录入，形成《排水资料收集清单》</w:t>
            </w:r>
          </w:p>
        </w:tc>
        <w:tc>
          <w:tcPr>
            <w:tcW w:w="4204" w:type="dxa"/>
            <w:tcBorders>
              <w:top w:val="nil"/>
              <w:left w:val="nil"/>
              <w:bottom w:val="single" w:color="auto" w:sz="4" w:space="0"/>
              <w:right w:val="single" w:color="auto" w:sz="4" w:space="0"/>
            </w:tcBorders>
            <w:vAlign w:val="center"/>
          </w:tcPr>
          <w:p w14:paraId="33A5618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排水相关法律、法规、规章、标准和文件</w:t>
            </w:r>
          </w:p>
        </w:tc>
      </w:tr>
      <w:tr w14:paraId="366E8F4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C2FF69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w:t>
            </w:r>
          </w:p>
        </w:tc>
        <w:tc>
          <w:tcPr>
            <w:tcW w:w="0" w:type="auto"/>
            <w:vMerge w:val="continue"/>
            <w:tcBorders>
              <w:top w:val="nil"/>
              <w:left w:val="single" w:color="auto" w:sz="4" w:space="0"/>
              <w:bottom w:val="nil"/>
              <w:right w:val="single" w:color="auto" w:sz="4" w:space="0"/>
            </w:tcBorders>
            <w:vAlign w:val="center"/>
          </w:tcPr>
          <w:p w14:paraId="7714A7A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E70512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5E590A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2EAD73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国内相关研究报告、技术标准、文献</w:t>
            </w:r>
          </w:p>
        </w:tc>
      </w:tr>
      <w:tr w14:paraId="1FCEED9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A7B4C8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w:t>
            </w:r>
          </w:p>
        </w:tc>
        <w:tc>
          <w:tcPr>
            <w:tcW w:w="0" w:type="auto"/>
            <w:vMerge w:val="continue"/>
            <w:tcBorders>
              <w:top w:val="nil"/>
              <w:left w:val="single" w:color="auto" w:sz="4" w:space="0"/>
              <w:bottom w:val="nil"/>
              <w:right w:val="single" w:color="auto" w:sz="4" w:space="0"/>
            </w:tcBorders>
            <w:vAlign w:val="center"/>
          </w:tcPr>
          <w:p w14:paraId="773346D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53236C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26BFD1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3D9D0F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国内外相关灾害事故案例及调查分析资料</w:t>
            </w:r>
          </w:p>
        </w:tc>
      </w:tr>
      <w:tr w14:paraId="2E245A1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07C7EE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w:t>
            </w:r>
          </w:p>
        </w:tc>
        <w:tc>
          <w:tcPr>
            <w:tcW w:w="0" w:type="auto"/>
            <w:vMerge w:val="continue"/>
            <w:tcBorders>
              <w:top w:val="nil"/>
              <w:left w:val="single" w:color="auto" w:sz="4" w:space="0"/>
              <w:bottom w:val="nil"/>
              <w:right w:val="single" w:color="auto" w:sz="4" w:space="0"/>
            </w:tcBorders>
            <w:vAlign w:val="center"/>
          </w:tcPr>
          <w:p w14:paraId="231D831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E39F58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08CE10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7A2CBF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排水安全风险源相关资料</w:t>
            </w:r>
          </w:p>
        </w:tc>
      </w:tr>
      <w:tr w14:paraId="6A146CF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39FFF1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w:t>
            </w:r>
          </w:p>
        </w:tc>
        <w:tc>
          <w:tcPr>
            <w:tcW w:w="0" w:type="auto"/>
            <w:vMerge w:val="continue"/>
            <w:tcBorders>
              <w:top w:val="nil"/>
              <w:left w:val="single" w:color="auto" w:sz="4" w:space="0"/>
              <w:bottom w:val="nil"/>
              <w:right w:val="single" w:color="auto" w:sz="4" w:space="0"/>
            </w:tcBorders>
            <w:vAlign w:val="center"/>
          </w:tcPr>
          <w:p w14:paraId="6C08EE3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DA69E6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C18802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2F9601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应急资源调查报告</w:t>
            </w:r>
          </w:p>
        </w:tc>
      </w:tr>
      <w:tr w14:paraId="20B7630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CA45D2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13</w:t>
            </w:r>
          </w:p>
        </w:tc>
        <w:tc>
          <w:tcPr>
            <w:tcW w:w="0" w:type="auto"/>
            <w:vMerge w:val="continue"/>
            <w:tcBorders>
              <w:top w:val="nil"/>
              <w:left w:val="single" w:color="auto" w:sz="4" w:space="0"/>
              <w:bottom w:val="nil"/>
              <w:right w:val="single" w:color="auto" w:sz="4" w:space="0"/>
            </w:tcBorders>
            <w:vAlign w:val="center"/>
          </w:tcPr>
          <w:p w14:paraId="38956CF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7821F7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5FEDD7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D8417D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防护目标资料</w:t>
            </w:r>
          </w:p>
        </w:tc>
      </w:tr>
      <w:tr w14:paraId="4AEB8BD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65F7EC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14</w:t>
            </w:r>
          </w:p>
        </w:tc>
        <w:tc>
          <w:tcPr>
            <w:tcW w:w="0" w:type="auto"/>
            <w:vMerge w:val="continue"/>
            <w:tcBorders>
              <w:top w:val="nil"/>
              <w:left w:val="single" w:color="auto" w:sz="4" w:space="0"/>
              <w:bottom w:val="nil"/>
              <w:right w:val="single" w:color="auto" w:sz="4" w:space="0"/>
            </w:tcBorders>
            <w:vAlign w:val="center"/>
          </w:tcPr>
          <w:p w14:paraId="088F73B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256B15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2DCF34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16D9A8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管线、污水厂历史上加固、修复、变更等情况</w:t>
            </w:r>
          </w:p>
        </w:tc>
      </w:tr>
      <w:tr w14:paraId="087B7A0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95F98B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15</w:t>
            </w:r>
          </w:p>
        </w:tc>
        <w:tc>
          <w:tcPr>
            <w:tcW w:w="0" w:type="auto"/>
            <w:vMerge w:val="continue"/>
            <w:tcBorders>
              <w:top w:val="nil"/>
              <w:left w:val="single" w:color="auto" w:sz="4" w:space="0"/>
              <w:bottom w:val="nil"/>
              <w:right w:val="single" w:color="auto" w:sz="4" w:space="0"/>
            </w:tcBorders>
            <w:vAlign w:val="center"/>
          </w:tcPr>
          <w:p w14:paraId="7372320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EF6A51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729308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238D4D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排水内部管理规定、制度</w:t>
            </w:r>
          </w:p>
        </w:tc>
      </w:tr>
      <w:tr w14:paraId="67D88B3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406313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16</w:t>
            </w:r>
          </w:p>
        </w:tc>
        <w:tc>
          <w:tcPr>
            <w:tcW w:w="0" w:type="auto"/>
            <w:vMerge w:val="continue"/>
            <w:tcBorders>
              <w:top w:val="nil"/>
              <w:left w:val="single" w:color="auto" w:sz="4" w:space="0"/>
              <w:bottom w:val="nil"/>
              <w:right w:val="single" w:color="auto" w:sz="4" w:space="0"/>
            </w:tcBorders>
            <w:vAlign w:val="center"/>
          </w:tcPr>
          <w:p w14:paraId="7C9B0BC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31FDAB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816570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C166CE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排水系统设计/竣工</w:t>
            </w:r>
          </w:p>
        </w:tc>
      </w:tr>
      <w:tr w14:paraId="11EF73D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962DFA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17</w:t>
            </w:r>
          </w:p>
        </w:tc>
        <w:tc>
          <w:tcPr>
            <w:tcW w:w="0" w:type="auto"/>
            <w:vMerge w:val="continue"/>
            <w:tcBorders>
              <w:top w:val="nil"/>
              <w:left w:val="single" w:color="auto" w:sz="4" w:space="0"/>
              <w:bottom w:val="nil"/>
              <w:right w:val="single" w:color="auto" w:sz="4" w:space="0"/>
            </w:tcBorders>
            <w:vAlign w:val="center"/>
          </w:tcPr>
          <w:p w14:paraId="612BF05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DB073F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55D278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1C1BEB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运行情况记录、管理资料</w:t>
            </w:r>
          </w:p>
        </w:tc>
      </w:tr>
      <w:tr w14:paraId="7CF551B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A3B047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18</w:t>
            </w:r>
          </w:p>
        </w:tc>
        <w:tc>
          <w:tcPr>
            <w:tcW w:w="0" w:type="auto"/>
            <w:vMerge w:val="continue"/>
            <w:tcBorders>
              <w:top w:val="nil"/>
              <w:left w:val="single" w:color="auto" w:sz="4" w:space="0"/>
              <w:bottom w:val="nil"/>
              <w:right w:val="single" w:color="auto" w:sz="4" w:space="0"/>
            </w:tcBorders>
            <w:vAlign w:val="center"/>
          </w:tcPr>
          <w:p w14:paraId="352642D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7E0063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85AE4A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20222B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突发事件应急预案</w:t>
            </w:r>
          </w:p>
        </w:tc>
      </w:tr>
      <w:tr w14:paraId="75AFD8E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A4CA78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19</w:t>
            </w:r>
          </w:p>
        </w:tc>
        <w:tc>
          <w:tcPr>
            <w:tcW w:w="0" w:type="auto"/>
            <w:vMerge w:val="continue"/>
            <w:tcBorders>
              <w:top w:val="nil"/>
              <w:left w:val="single" w:color="auto" w:sz="4" w:space="0"/>
              <w:bottom w:val="nil"/>
              <w:right w:val="single" w:color="auto" w:sz="4" w:space="0"/>
            </w:tcBorders>
            <w:vAlign w:val="center"/>
          </w:tcPr>
          <w:p w14:paraId="19C4D6E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F75B12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11A702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E4D3E1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周边环境</w:t>
            </w:r>
          </w:p>
        </w:tc>
      </w:tr>
      <w:tr w14:paraId="72964F4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620847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20</w:t>
            </w:r>
          </w:p>
        </w:tc>
        <w:tc>
          <w:tcPr>
            <w:tcW w:w="0" w:type="auto"/>
            <w:vMerge w:val="continue"/>
            <w:tcBorders>
              <w:top w:val="nil"/>
              <w:left w:val="single" w:color="auto" w:sz="4" w:space="0"/>
              <w:bottom w:val="nil"/>
              <w:right w:val="single" w:color="auto" w:sz="4" w:space="0"/>
            </w:tcBorders>
            <w:vAlign w:val="center"/>
          </w:tcPr>
          <w:p w14:paraId="5886706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89392B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07021C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8CD1BC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排水管道检测报告</w:t>
            </w:r>
          </w:p>
        </w:tc>
      </w:tr>
      <w:tr w14:paraId="7EDFAF7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B6C6F8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21</w:t>
            </w:r>
          </w:p>
        </w:tc>
        <w:tc>
          <w:tcPr>
            <w:tcW w:w="0" w:type="auto"/>
            <w:vMerge w:val="continue"/>
            <w:tcBorders>
              <w:top w:val="nil"/>
              <w:left w:val="single" w:color="auto" w:sz="4" w:space="0"/>
              <w:bottom w:val="nil"/>
              <w:right w:val="single" w:color="auto" w:sz="4" w:space="0"/>
            </w:tcBorders>
            <w:vAlign w:val="center"/>
          </w:tcPr>
          <w:p w14:paraId="59FE3C2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957201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E766CA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033A7F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污水厂</w:t>
            </w:r>
          </w:p>
        </w:tc>
      </w:tr>
      <w:tr w14:paraId="325223E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65B637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22</w:t>
            </w:r>
          </w:p>
        </w:tc>
        <w:tc>
          <w:tcPr>
            <w:tcW w:w="0" w:type="auto"/>
            <w:vMerge w:val="continue"/>
            <w:tcBorders>
              <w:top w:val="nil"/>
              <w:left w:val="single" w:color="auto" w:sz="4" w:space="0"/>
              <w:bottom w:val="nil"/>
              <w:right w:val="single" w:color="auto" w:sz="4" w:space="0"/>
            </w:tcBorders>
            <w:vAlign w:val="center"/>
          </w:tcPr>
          <w:p w14:paraId="5B04849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760121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BA3BA4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32E042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排水泵站</w:t>
            </w:r>
          </w:p>
        </w:tc>
      </w:tr>
      <w:tr w14:paraId="190C9EF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4370A9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23</w:t>
            </w:r>
          </w:p>
        </w:tc>
        <w:tc>
          <w:tcPr>
            <w:tcW w:w="0" w:type="auto"/>
            <w:vMerge w:val="continue"/>
            <w:tcBorders>
              <w:top w:val="nil"/>
              <w:left w:val="single" w:color="auto" w:sz="4" w:space="0"/>
              <w:bottom w:val="nil"/>
              <w:right w:val="single" w:color="auto" w:sz="4" w:space="0"/>
            </w:tcBorders>
            <w:vAlign w:val="center"/>
          </w:tcPr>
          <w:p w14:paraId="1E9EF26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2C5B97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66A2EC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2925D5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信息化建设情况</w:t>
            </w:r>
          </w:p>
        </w:tc>
      </w:tr>
      <w:tr w14:paraId="3E2E955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43B2E2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24</w:t>
            </w:r>
          </w:p>
        </w:tc>
        <w:tc>
          <w:tcPr>
            <w:tcW w:w="0" w:type="auto"/>
            <w:vMerge w:val="continue"/>
            <w:tcBorders>
              <w:top w:val="nil"/>
              <w:left w:val="single" w:color="auto" w:sz="4" w:space="0"/>
              <w:bottom w:val="nil"/>
              <w:right w:val="single" w:color="auto" w:sz="4" w:space="0"/>
            </w:tcBorders>
            <w:vAlign w:val="center"/>
          </w:tcPr>
          <w:p w14:paraId="3D65EEB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0A8317C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排水数据收集核查</w:t>
            </w:r>
          </w:p>
        </w:tc>
        <w:tc>
          <w:tcPr>
            <w:tcW w:w="2694" w:type="dxa"/>
            <w:vMerge w:val="restart"/>
            <w:tcBorders>
              <w:top w:val="nil"/>
              <w:left w:val="single" w:color="auto" w:sz="4" w:space="0"/>
              <w:bottom w:val="single" w:color="000000" w:sz="4" w:space="0"/>
              <w:right w:val="single" w:color="auto" w:sz="4" w:space="0"/>
            </w:tcBorders>
            <w:vAlign w:val="center"/>
          </w:tcPr>
          <w:p w14:paraId="6234037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对采集来的数据进行数据核查输出《排水专项数据核查表》并进行数据修正</w:t>
            </w:r>
          </w:p>
        </w:tc>
        <w:tc>
          <w:tcPr>
            <w:tcW w:w="4204" w:type="dxa"/>
            <w:tcBorders>
              <w:top w:val="nil"/>
              <w:left w:val="nil"/>
              <w:bottom w:val="single" w:color="auto" w:sz="4" w:space="0"/>
              <w:right w:val="single" w:color="auto" w:sz="4" w:space="0"/>
            </w:tcBorders>
            <w:vAlign w:val="center"/>
          </w:tcPr>
          <w:p w14:paraId="00759B5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排水管道流速</w:t>
            </w:r>
          </w:p>
        </w:tc>
      </w:tr>
      <w:tr w14:paraId="1F824C4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C23A1D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25</w:t>
            </w:r>
          </w:p>
        </w:tc>
        <w:tc>
          <w:tcPr>
            <w:tcW w:w="0" w:type="auto"/>
            <w:vMerge w:val="continue"/>
            <w:tcBorders>
              <w:top w:val="nil"/>
              <w:left w:val="single" w:color="auto" w:sz="4" w:space="0"/>
              <w:bottom w:val="nil"/>
              <w:right w:val="single" w:color="auto" w:sz="4" w:space="0"/>
            </w:tcBorders>
            <w:vAlign w:val="center"/>
          </w:tcPr>
          <w:p w14:paraId="1E04854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E79DC4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40416F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BF2AC2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排水管道坡度</w:t>
            </w:r>
          </w:p>
        </w:tc>
      </w:tr>
      <w:tr w14:paraId="78CA405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4B489B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26</w:t>
            </w:r>
          </w:p>
        </w:tc>
        <w:tc>
          <w:tcPr>
            <w:tcW w:w="0" w:type="auto"/>
            <w:vMerge w:val="continue"/>
            <w:tcBorders>
              <w:top w:val="nil"/>
              <w:left w:val="single" w:color="auto" w:sz="4" w:space="0"/>
              <w:bottom w:val="nil"/>
              <w:right w:val="single" w:color="auto" w:sz="4" w:space="0"/>
            </w:tcBorders>
            <w:vAlign w:val="center"/>
          </w:tcPr>
          <w:p w14:paraId="7D1345F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76FAF1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29D764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DCE4E1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排水管道管龄</w:t>
            </w:r>
          </w:p>
        </w:tc>
      </w:tr>
      <w:tr w14:paraId="4BCEA9E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213AC6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27</w:t>
            </w:r>
          </w:p>
        </w:tc>
        <w:tc>
          <w:tcPr>
            <w:tcW w:w="0" w:type="auto"/>
            <w:vMerge w:val="continue"/>
            <w:tcBorders>
              <w:top w:val="nil"/>
              <w:left w:val="single" w:color="auto" w:sz="4" w:space="0"/>
              <w:bottom w:val="nil"/>
              <w:right w:val="single" w:color="auto" w:sz="4" w:space="0"/>
            </w:tcBorders>
            <w:vAlign w:val="center"/>
          </w:tcPr>
          <w:p w14:paraId="47CA31C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2E38B6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E67306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7B7C3C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排水管道功能性缺陷</w:t>
            </w:r>
          </w:p>
        </w:tc>
      </w:tr>
      <w:tr w14:paraId="49E9547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25811A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28</w:t>
            </w:r>
          </w:p>
        </w:tc>
        <w:tc>
          <w:tcPr>
            <w:tcW w:w="0" w:type="auto"/>
            <w:vMerge w:val="continue"/>
            <w:tcBorders>
              <w:top w:val="nil"/>
              <w:left w:val="single" w:color="auto" w:sz="4" w:space="0"/>
              <w:bottom w:val="nil"/>
              <w:right w:val="single" w:color="auto" w:sz="4" w:space="0"/>
            </w:tcBorders>
            <w:vAlign w:val="center"/>
          </w:tcPr>
          <w:p w14:paraId="17A90EC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BA7BD9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D21C5B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3A9DDB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排水管道周边危险源</w:t>
            </w:r>
          </w:p>
        </w:tc>
      </w:tr>
      <w:tr w14:paraId="1CE864A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759ECF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29</w:t>
            </w:r>
          </w:p>
        </w:tc>
        <w:tc>
          <w:tcPr>
            <w:tcW w:w="0" w:type="auto"/>
            <w:vMerge w:val="continue"/>
            <w:tcBorders>
              <w:top w:val="nil"/>
              <w:left w:val="single" w:color="auto" w:sz="4" w:space="0"/>
              <w:bottom w:val="nil"/>
              <w:right w:val="single" w:color="auto" w:sz="4" w:space="0"/>
            </w:tcBorders>
            <w:vAlign w:val="center"/>
          </w:tcPr>
          <w:p w14:paraId="6FE3844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655C65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3A70D3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AB3ACE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排水管道周边防护目标</w:t>
            </w:r>
          </w:p>
        </w:tc>
      </w:tr>
      <w:tr w14:paraId="609DDB7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A69833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30</w:t>
            </w:r>
          </w:p>
        </w:tc>
        <w:tc>
          <w:tcPr>
            <w:tcW w:w="0" w:type="auto"/>
            <w:vMerge w:val="continue"/>
            <w:tcBorders>
              <w:top w:val="nil"/>
              <w:left w:val="single" w:color="auto" w:sz="4" w:space="0"/>
              <w:bottom w:val="nil"/>
              <w:right w:val="single" w:color="auto" w:sz="4" w:space="0"/>
            </w:tcBorders>
            <w:vAlign w:val="center"/>
          </w:tcPr>
          <w:p w14:paraId="5CDC22E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43317A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71E926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AE2FFC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排水管道应急资源</w:t>
            </w:r>
          </w:p>
        </w:tc>
      </w:tr>
      <w:tr w14:paraId="456B624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2FA6A0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31</w:t>
            </w:r>
          </w:p>
        </w:tc>
        <w:tc>
          <w:tcPr>
            <w:tcW w:w="0" w:type="auto"/>
            <w:vMerge w:val="continue"/>
            <w:tcBorders>
              <w:top w:val="nil"/>
              <w:left w:val="single" w:color="auto" w:sz="4" w:space="0"/>
              <w:bottom w:val="nil"/>
              <w:right w:val="single" w:color="auto" w:sz="4" w:space="0"/>
            </w:tcBorders>
            <w:vAlign w:val="center"/>
          </w:tcPr>
          <w:p w14:paraId="7BC1A48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ED15B5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0A99DA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610E37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排水管道应急抢修队伍</w:t>
            </w:r>
          </w:p>
        </w:tc>
      </w:tr>
      <w:tr w14:paraId="6168AED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3A6C61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32</w:t>
            </w:r>
          </w:p>
        </w:tc>
        <w:tc>
          <w:tcPr>
            <w:tcW w:w="0" w:type="auto"/>
            <w:vMerge w:val="continue"/>
            <w:tcBorders>
              <w:top w:val="nil"/>
              <w:left w:val="single" w:color="auto" w:sz="4" w:space="0"/>
              <w:bottom w:val="nil"/>
              <w:right w:val="single" w:color="auto" w:sz="4" w:space="0"/>
            </w:tcBorders>
            <w:vAlign w:val="center"/>
          </w:tcPr>
          <w:p w14:paraId="7009467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EE0A68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B6199E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A592AD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上下游监测设备</w:t>
            </w:r>
          </w:p>
        </w:tc>
      </w:tr>
      <w:tr w14:paraId="0804125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808783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33</w:t>
            </w:r>
          </w:p>
        </w:tc>
        <w:tc>
          <w:tcPr>
            <w:tcW w:w="0" w:type="auto"/>
            <w:vMerge w:val="continue"/>
            <w:tcBorders>
              <w:top w:val="nil"/>
              <w:left w:val="single" w:color="auto" w:sz="4" w:space="0"/>
              <w:bottom w:val="nil"/>
              <w:right w:val="single" w:color="auto" w:sz="4" w:space="0"/>
            </w:tcBorders>
            <w:vAlign w:val="center"/>
          </w:tcPr>
          <w:p w14:paraId="47F80D4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223157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6FB75E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7E732E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排水管道材质</w:t>
            </w:r>
          </w:p>
        </w:tc>
      </w:tr>
      <w:tr w14:paraId="63B2CC5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F40C4B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34</w:t>
            </w:r>
          </w:p>
        </w:tc>
        <w:tc>
          <w:tcPr>
            <w:tcW w:w="0" w:type="auto"/>
            <w:vMerge w:val="continue"/>
            <w:tcBorders>
              <w:top w:val="nil"/>
              <w:left w:val="single" w:color="auto" w:sz="4" w:space="0"/>
              <w:bottom w:val="nil"/>
              <w:right w:val="single" w:color="auto" w:sz="4" w:space="0"/>
            </w:tcBorders>
            <w:vAlign w:val="center"/>
          </w:tcPr>
          <w:p w14:paraId="12C8496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8B5880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72F6B0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12A9FA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排水管道管径</w:t>
            </w:r>
          </w:p>
        </w:tc>
      </w:tr>
      <w:tr w14:paraId="71A71AD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D55455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35</w:t>
            </w:r>
          </w:p>
        </w:tc>
        <w:tc>
          <w:tcPr>
            <w:tcW w:w="0" w:type="auto"/>
            <w:vMerge w:val="continue"/>
            <w:tcBorders>
              <w:top w:val="nil"/>
              <w:left w:val="single" w:color="auto" w:sz="4" w:space="0"/>
              <w:bottom w:val="nil"/>
              <w:right w:val="single" w:color="auto" w:sz="4" w:space="0"/>
            </w:tcBorders>
            <w:vAlign w:val="center"/>
          </w:tcPr>
          <w:p w14:paraId="2B514B5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8C3CEF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AE8112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3E6F82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排水管道管长</w:t>
            </w:r>
          </w:p>
        </w:tc>
      </w:tr>
      <w:tr w14:paraId="0CEF254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2BE2A9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36</w:t>
            </w:r>
          </w:p>
        </w:tc>
        <w:tc>
          <w:tcPr>
            <w:tcW w:w="0" w:type="auto"/>
            <w:vMerge w:val="continue"/>
            <w:tcBorders>
              <w:top w:val="nil"/>
              <w:left w:val="single" w:color="auto" w:sz="4" w:space="0"/>
              <w:bottom w:val="nil"/>
              <w:right w:val="single" w:color="auto" w:sz="4" w:space="0"/>
            </w:tcBorders>
            <w:vAlign w:val="center"/>
          </w:tcPr>
          <w:p w14:paraId="44748D0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6539C9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0AB0C2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CFEBA1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排水管道结构性缺陷</w:t>
            </w:r>
          </w:p>
        </w:tc>
      </w:tr>
      <w:tr w14:paraId="2B400BA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D76B36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37</w:t>
            </w:r>
          </w:p>
        </w:tc>
        <w:tc>
          <w:tcPr>
            <w:tcW w:w="0" w:type="auto"/>
            <w:vMerge w:val="continue"/>
            <w:tcBorders>
              <w:top w:val="nil"/>
              <w:left w:val="single" w:color="auto" w:sz="4" w:space="0"/>
              <w:bottom w:val="nil"/>
              <w:right w:val="single" w:color="auto" w:sz="4" w:space="0"/>
            </w:tcBorders>
            <w:vAlign w:val="center"/>
          </w:tcPr>
          <w:p w14:paraId="5DCCFAE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BC2B8F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83E293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3C085F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排水管道充满度</w:t>
            </w:r>
          </w:p>
        </w:tc>
      </w:tr>
      <w:tr w14:paraId="32B7253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30C8EC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38</w:t>
            </w:r>
          </w:p>
        </w:tc>
        <w:tc>
          <w:tcPr>
            <w:tcW w:w="0" w:type="auto"/>
            <w:vMerge w:val="continue"/>
            <w:tcBorders>
              <w:top w:val="nil"/>
              <w:left w:val="single" w:color="auto" w:sz="4" w:space="0"/>
              <w:bottom w:val="nil"/>
              <w:right w:val="single" w:color="auto" w:sz="4" w:space="0"/>
            </w:tcBorders>
            <w:vAlign w:val="center"/>
          </w:tcPr>
          <w:p w14:paraId="23CDC16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781823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E6CF36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4C2D9E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排水易涝点</w:t>
            </w:r>
          </w:p>
        </w:tc>
      </w:tr>
      <w:tr w14:paraId="6E1CFC1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71B943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39</w:t>
            </w:r>
          </w:p>
        </w:tc>
        <w:tc>
          <w:tcPr>
            <w:tcW w:w="0" w:type="auto"/>
            <w:vMerge w:val="continue"/>
            <w:tcBorders>
              <w:top w:val="nil"/>
              <w:left w:val="single" w:color="auto" w:sz="4" w:space="0"/>
              <w:bottom w:val="nil"/>
              <w:right w:val="single" w:color="auto" w:sz="4" w:space="0"/>
            </w:tcBorders>
            <w:vAlign w:val="center"/>
          </w:tcPr>
          <w:p w14:paraId="38119E4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6F2E32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F00968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49B603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排水管网设计重现期</w:t>
            </w:r>
          </w:p>
        </w:tc>
      </w:tr>
      <w:tr w14:paraId="5A972070">
        <w:tblPrEx>
          <w:tblCellMar>
            <w:top w:w="0" w:type="dxa"/>
            <w:left w:w="108" w:type="dxa"/>
            <w:bottom w:w="0" w:type="dxa"/>
            <w:right w:w="108" w:type="dxa"/>
          </w:tblCellMar>
        </w:tblPrEx>
        <w:trPr>
          <w:trHeight w:val="840" w:hRule="atLeast"/>
          <w:jc w:val="center"/>
        </w:trPr>
        <w:tc>
          <w:tcPr>
            <w:tcW w:w="0" w:type="auto"/>
            <w:tcBorders>
              <w:top w:val="nil"/>
              <w:left w:val="single" w:color="auto" w:sz="4" w:space="0"/>
              <w:bottom w:val="single" w:color="auto" w:sz="4" w:space="0"/>
              <w:right w:val="single" w:color="auto" w:sz="4" w:space="0"/>
            </w:tcBorders>
            <w:noWrap/>
            <w:vAlign w:val="center"/>
          </w:tcPr>
          <w:p w14:paraId="69004AD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40</w:t>
            </w:r>
          </w:p>
        </w:tc>
        <w:tc>
          <w:tcPr>
            <w:tcW w:w="0" w:type="auto"/>
            <w:vMerge w:val="continue"/>
            <w:tcBorders>
              <w:top w:val="nil"/>
              <w:left w:val="single" w:color="auto" w:sz="4" w:space="0"/>
              <w:bottom w:val="nil"/>
              <w:right w:val="single" w:color="auto" w:sz="4" w:space="0"/>
            </w:tcBorders>
            <w:vAlign w:val="center"/>
          </w:tcPr>
          <w:p w14:paraId="4B43C20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177F2B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1A744B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903684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污水厂运行年限、安全生产标准化、抗震设施类别、防洪等级、影响排水、员工人数、附近危险源、厂内危险源、其他隐患</w:t>
            </w:r>
          </w:p>
        </w:tc>
      </w:tr>
      <w:tr w14:paraId="4D811135">
        <w:tblPrEx>
          <w:tblCellMar>
            <w:top w:w="0" w:type="dxa"/>
            <w:left w:w="108" w:type="dxa"/>
            <w:bottom w:w="0" w:type="dxa"/>
            <w:right w:w="108" w:type="dxa"/>
          </w:tblCellMar>
        </w:tblPrEx>
        <w:trPr>
          <w:trHeight w:val="840" w:hRule="atLeast"/>
          <w:jc w:val="center"/>
        </w:trPr>
        <w:tc>
          <w:tcPr>
            <w:tcW w:w="0" w:type="auto"/>
            <w:tcBorders>
              <w:top w:val="nil"/>
              <w:left w:val="single" w:color="auto" w:sz="4" w:space="0"/>
              <w:bottom w:val="single" w:color="auto" w:sz="4" w:space="0"/>
              <w:right w:val="single" w:color="auto" w:sz="4" w:space="0"/>
            </w:tcBorders>
            <w:noWrap/>
            <w:vAlign w:val="center"/>
          </w:tcPr>
          <w:p w14:paraId="72C4472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41</w:t>
            </w:r>
          </w:p>
        </w:tc>
        <w:tc>
          <w:tcPr>
            <w:tcW w:w="0" w:type="auto"/>
            <w:vMerge w:val="continue"/>
            <w:tcBorders>
              <w:top w:val="nil"/>
              <w:left w:val="single" w:color="auto" w:sz="4" w:space="0"/>
              <w:bottom w:val="nil"/>
              <w:right w:val="single" w:color="auto" w:sz="4" w:space="0"/>
            </w:tcBorders>
            <w:vAlign w:val="center"/>
          </w:tcPr>
          <w:p w14:paraId="6EEB3EB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1D1191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DBC6CE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0A9F8A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排水泵站运行年限、安全生产标准化、抗震设施类别、防洪等级、影响排水、员工人数、附近危险源、厂内危险源、其他隐患</w:t>
            </w:r>
          </w:p>
        </w:tc>
      </w:tr>
      <w:tr w14:paraId="03658A0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B7E041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42</w:t>
            </w:r>
          </w:p>
        </w:tc>
        <w:tc>
          <w:tcPr>
            <w:tcW w:w="0" w:type="auto"/>
            <w:vMerge w:val="continue"/>
            <w:tcBorders>
              <w:top w:val="nil"/>
              <w:left w:val="single" w:color="auto" w:sz="4" w:space="0"/>
              <w:bottom w:val="nil"/>
              <w:right w:val="single" w:color="auto" w:sz="4" w:space="0"/>
            </w:tcBorders>
            <w:vAlign w:val="center"/>
          </w:tcPr>
          <w:p w14:paraId="5C6F6DB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39D03E6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排水专项现场调查</w:t>
            </w:r>
          </w:p>
        </w:tc>
        <w:tc>
          <w:tcPr>
            <w:tcW w:w="2694" w:type="dxa"/>
            <w:vMerge w:val="restart"/>
            <w:tcBorders>
              <w:top w:val="nil"/>
              <w:left w:val="single" w:color="auto" w:sz="4" w:space="0"/>
              <w:bottom w:val="single" w:color="000000" w:sz="4" w:space="0"/>
              <w:right w:val="single" w:color="auto" w:sz="4" w:space="0"/>
            </w:tcBorders>
            <w:vAlign w:val="center"/>
          </w:tcPr>
          <w:p w14:paraId="04F5B44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对各个排水行现场调查</w:t>
            </w:r>
          </w:p>
        </w:tc>
        <w:tc>
          <w:tcPr>
            <w:tcW w:w="4204" w:type="dxa"/>
            <w:tcBorders>
              <w:top w:val="nil"/>
              <w:left w:val="nil"/>
              <w:bottom w:val="single" w:color="auto" w:sz="4" w:space="0"/>
              <w:right w:val="single" w:color="auto" w:sz="4" w:space="0"/>
            </w:tcBorders>
            <w:vAlign w:val="center"/>
          </w:tcPr>
          <w:p w14:paraId="6110F11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排水风险源调查</w:t>
            </w:r>
          </w:p>
        </w:tc>
      </w:tr>
      <w:tr w14:paraId="0D35C2B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96D88E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43</w:t>
            </w:r>
          </w:p>
        </w:tc>
        <w:tc>
          <w:tcPr>
            <w:tcW w:w="0" w:type="auto"/>
            <w:vMerge w:val="continue"/>
            <w:tcBorders>
              <w:top w:val="nil"/>
              <w:left w:val="single" w:color="auto" w:sz="4" w:space="0"/>
              <w:bottom w:val="nil"/>
              <w:right w:val="single" w:color="auto" w:sz="4" w:space="0"/>
            </w:tcBorders>
            <w:vAlign w:val="center"/>
          </w:tcPr>
          <w:p w14:paraId="2A292B7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875DE4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CDE414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57A628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排水重点防护目标调查</w:t>
            </w:r>
          </w:p>
        </w:tc>
      </w:tr>
      <w:tr w14:paraId="5AF309B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27B8E9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44</w:t>
            </w:r>
          </w:p>
        </w:tc>
        <w:tc>
          <w:tcPr>
            <w:tcW w:w="0" w:type="auto"/>
            <w:vMerge w:val="continue"/>
            <w:tcBorders>
              <w:top w:val="nil"/>
              <w:left w:val="single" w:color="auto" w:sz="4" w:space="0"/>
              <w:bottom w:val="nil"/>
              <w:right w:val="single" w:color="auto" w:sz="4" w:space="0"/>
            </w:tcBorders>
            <w:vAlign w:val="center"/>
          </w:tcPr>
          <w:p w14:paraId="3919315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6866FD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E7E069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3CEB2A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排水应急资源调查</w:t>
            </w:r>
          </w:p>
        </w:tc>
      </w:tr>
      <w:tr w14:paraId="2C7EC43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8C7BD3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45</w:t>
            </w:r>
          </w:p>
        </w:tc>
        <w:tc>
          <w:tcPr>
            <w:tcW w:w="0" w:type="auto"/>
            <w:vMerge w:val="continue"/>
            <w:tcBorders>
              <w:top w:val="nil"/>
              <w:left w:val="single" w:color="auto" w:sz="4" w:space="0"/>
              <w:bottom w:val="nil"/>
              <w:right w:val="single" w:color="auto" w:sz="4" w:space="0"/>
            </w:tcBorders>
            <w:vAlign w:val="center"/>
          </w:tcPr>
          <w:p w14:paraId="61B1DE3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FA7910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A74266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4F1AA9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排水安全管理调查</w:t>
            </w:r>
          </w:p>
        </w:tc>
      </w:tr>
      <w:tr w14:paraId="4E84B6A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63AF9E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46</w:t>
            </w:r>
          </w:p>
        </w:tc>
        <w:tc>
          <w:tcPr>
            <w:tcW w:w="0" w:type="auto"/>
            <w:vMerge w:val="continue"/>
            <w:tcBorders>
              <w:top w:val="nil"/>
              <w:left w:val="single" w:color="auto" w:sz="4" w:space="0"/>
              <w:bottom w:val="nil"/>
              <w:right w:val="single" w:color="auto" w:sz="4" w:space="0"/>
            </w:tcBorders>
            <w:vAlign w:val="center"/>
          </w:tcPr>
          <w:p w14:paraId="6F90FC8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834FEC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41E8DB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330015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排水专项安全生产责任制数据梳理</w:t>
            </w:r>
          </w:p>
        </w:tc>
      </w:tr>
      <w:tr w14:paraId="17EB135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45F37D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47</w:t>
            </w:r>
          </w:p>
        </w:tc>
        <w:tc>
          <w:tcPr>
            <w:tcW w:w="0" w:type="auto"/>
            <w:vMerge w:val="continue"/>
            <w:tcBorders>
              <w:top w:val="nil"/>
              <w:left w:val="single" w:color="auto" w:sz="4" w:space="0"/>
              <w:bottom w:val="nil"/>
              <w:right w:val="single" w:color="auto" w:sz="4" w:space="0"/>
            </w:tcBorders>
            <w:vAlign w:val="center"/>
          </w:tcPr>
          <w:p w14:paraId="63EF49B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DECCEC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0C63A9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FC325B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排水专项安全管理制度录入</w:t>
            </w:r>
          </w:p>
        </w:tc>
      </w:tr>
      <w:tr w14:paraId="0E09BA6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052C92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48</w:t>
            </w:r>
          </w:p>
        </w:tc>
        <w:tc>
          <w:tcPr>
            <w:tcW w:w="0" w:type="auto"/>
            <w:vMerge w:val="continue"/>
            <w:tcBorders>
              <w:top w:val="nil"/>
              <w:left w:val="single" w:color="auto" w:sz="4" w:space="0"/>
              <w:bottom w:val="nil"/>
              <w:right w:val="single" w:color="auto" w:sz="4" w:space="0"/>
            </w:tcBorders>
            <w:vAlign w:val="center"/>
          </w:tcPr>
          <w:p w14:paraId="72FAB18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6789CC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C22210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459FAF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排水专项安全巡查记录数据梳理</w:t>
            </w:r>
          </w:p>
        </w:tc>
      </w:tr>
      <w:tr w14:paraId="607B757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63FEC6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49</w:t>
            </w:r>
          </w:p>
        </w:tc>
        <w:tc>
          <w:tcPr>
            <w:tcW w:w="0" w:type="auto"/>
            <w:vMerge w:val="continue"/>
            <w:tcBorders>
              <w:top w:val="nil"/>
              <w:left w:val="single" w:color="auto" w:sz="4" w:space="0"/>
              <w:bottom w:val="nil"/>
              <w:right w:val="single" w:color="auto" w:sz="4" w:space="0"/>
            </w:tcBorders>
            <w:vAlign w:val="center"/>
          </w:tcPr>
          <w:p w14:paraId="7D5C60F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BFFC24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DCC4D8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1C7B91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排水专项安全巡查数据录入</w:t>
            </w:r>
          </w:p>
        </w:tc>
      </w:tr>
      <w:tr w14:paraId="41A4665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B56F05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50</w:t>
            </w:r>
          </w:p>
        </w:tc>
        <w:tc>
          <w:tcPr>
            <w:tcW w:w="0" w:type="auto"/>
            <w:vMerge w:val="continue"/>
            <w:tcBorders>
              <w:top w:val="nil"/>
              <w:left w:val="single" w:color="auto" w:sz="4" w:space="0"/>
              <w:bottom w:val="nil"/>
              <w:right w:val="single" w:color="auto" w:sz="4" w:space="0"/>
            </w:tcBorders>
            <w:vAlign w:val="center"/>
          </w:tcPr>
          <w:p w14:paraId="514EE85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B34F87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A2C244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A77883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排水专项隐患排查计划数据梳理</w:t>
            </w:r>
          </w:p>
        </w:tc>
      </w:tr>
      <w:tr w14:paraId="6BCC84D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AF6F59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51</w:t>
            </w:r>
          </w:p>
        </w:tc>
        <w:tc>
          <w:tcPr>
            <w:tcW w:w="0" w:type="auto"/>
            <w:vMerge w:val="continue"/>
            <w:tcBorders>
              <w:top w:val="nil"/>
              <w:left w:val="single" w:color="auto" w:sz="4" w:space="0"/>
              <w:bottom w:val="nil"/>
              <w:right w:val="single" w:color="auto" w:sz="4" w:space="0"/>
            </w:tcBorders>
            <w:vAlign w:val="center"/>
          </w:tcPr>
          <w:p w14:paraId="4F378CF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128095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7FC3DF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2E2901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排水专项隐患排查数据录入</w:t>
            </w:r>
          </w:p>
        </w:tc>
      </w:tr>
      <w:tr w14:paraId="19A9C9A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012508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52</w:t>
            </w:r>
          </w:p>
        </w:tc>
        <w:tc>
          <w:tcPr>
            <w:tcW w:w="0" w:type="auto"/>
            <w:vMerge w:val="continue"/>
            <w:tcBorders>
              <w:top w:val="nil"/>
              <w:left w:val="single" w:color="auto" w:sz="4" w:space="0"/>
              <w:bottom w:val="nil"/>
              <w:right w:val="single" w:color="auto" w:sz="4" w:space="0"/>
            </w:tcBorders>
            <w:vAlign w:val="center"/>
          </w:tcPr>
          <w:p w14:paraId="79A82C1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3AFB75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71A11F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E30573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排水应急资源数据梳理</w:t>
            </w:r>
          </w:p>
        </w:tc>
      </w:tr>
      <w:tr w14:paraId="10F6485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1A9FFE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53</w:t>
            </w:r>
          </w:p>
        </w:tc>
        <w:tc>
          <w:tcPr>
            <w:tcW w:w="0" w:type="auto"/>
            <w:vMerge w:val="continue"/>
            <w:tcBorders>
              <w:top w:val="nil"/>
              <w:left w:val="single" w:color="auto" w:sz="4" w:space="0"/>
              <w:bottom w:val="nil"/>
              <w:right w:val="single" w:color="auto" w:sz="4" w:space="0"/>
            </w:tcBorders>
            <w:vAlign w:val="center"/>
          </w:tcPr>
          <w:p w14:paraId="11CA506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97A537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4E08E8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5C81DB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排水应急资源信息录入</w:t>
            </w:r>
          </w:p>
        </w:tc>
      </w:tr>
      <w:tr w14:paraId="0AC9C5D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340E40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54</w:t>
            </w:r>
          </w:p>
        </w:tc>
        <w:tc>
          <w:tcPr>
            <w:tcW w:w="0" w:type="auto"/>
            <w:vMerge w:val="continue"/>
            <w:tcBorders>
              <w:top w:val="nil"/>
              <w:left w:val="single" w:color="auto" w:sz="4" w:space="0"/>
              <w:bottom w:val="nil"/>
              <w:right w:val="single" w:color="auto" w:sz="4" w:space="0"/>
            </w:tcBorders>
            <w:vAlign w:val="center"/>
          </w:tcPr>
          <w:p w14:paraId="7B77C40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CA7BC7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9F7357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BCB148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排水专项应急预案信息数据梳理</w:t>
            </w:r>
          </w:p>
        </w:tc>
      </w:tr>
      <w:tr w14:paraId="37D8BD4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9B76E9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55</w:t>
            </w:r>
          </w:p>
        </w:tc>
        <w:tc>
          <w:tcPr>
            <w:tcW w:w="0" w:type="auto"/>
            <w:vMerge w:val="continue"/>
            <w:tcBorders>
              <w:top w:val="nil"/>
              <w:left w:val="single" w:color="auto" w:sz="4" w:space="0"/>
              <w:bottom w:val="nil"/>
              <w:right w:val="single" w:color="auto" w:sz="4" w:space="0"/>
            </w:tcBorders>
            <w:vAlign w:val="center"/>
          </w:tcPr>
          <w:p w14:paraId="0D19A9F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C9B056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22A5C7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E2A0F3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排水专项应急预案录入</w:t>
            </w:r>
          </w:p>
        </w:tc>
      </w:tr>
      <w:tr w14:paraId="5B72C98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0E252F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56</w:t>
            </w:r>
          </w:p>
        </w:tc>
        <w:tc>
          <w:tcPr>
            <w:tcW w:w="0" w:type="auto"/>
            <w:vMerge w:val="continue"/>
            <w:tcBorders>
              <w:top w:val="nil"/>
              <w:left w:val="single" w:color="auto" w:sz="4" w:space="0"/>
              <w:bottom w:val="nil"/>
              <w:right w:val="single" w:color="auto" w:sz="4" w:space="0"/>
            </w:tcBorders>
            <w:vAlign w:val="center"/>
          </w:tcPr>
          <w:p w14:paraId="559699F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D9D5B5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8C604C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FB3116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排水专项应急资源能力评估数据梳理</w:t>
            </w:r>
          </w:p>
        </w:tc>
      </w:tr>
      <w:tr w14:paraId="30CA201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DA9392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57</w:t>
            </w:r>
          </w:p>
        </w:tc>
        <w:tc>
          <w:tcPr>
            <w:tcW w:w="0" w:type="auto"/>
            <w:vMerge w:val="continue"/>
            <w:tcBorders>
              <w:top w:val="nil"/>
              <w:left w:val="single" w:color="auto" w:sz="4" w:space="0"/>
              <w:bottom w:val="nil"/>
              <w:right w:val="single" w:color="auto" w:sz="4" w:space="0"/>
            </w:tcBorders>
            <w:vAlign w:val="center"/>
          </w:tcPr>
          <w:p w14:paraId="4003289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43A3B3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8FEBCE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FA25A9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排水专项应急响应资源数据录入</w:t>
            </w:r>
          </w:p>
        </w:tc>
      </w:tr>
      <w:tr w14:paraId="3085D34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53E468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58</w:t>
            </w:r>
          </w:p>
        </w:tc>
        <w:tc>
          <w:tcPr>
            <w:tcW w:w="0" w:type="auto"/>
            <w:vMerge w:val="continue"/>
            <w:tcBorders>
              <w:top w:val="nil"/>
              <w:left w:val="single" w:color="auto" w:sz="4" w:space="0"/>
              <w:bottom w:val="nil"/>
              <w:right w:val="single" w:color="auto" w:sz="4" w:space="0"/>
            </w:tcBorders>
            <w:vAlign w:val="center"/>
          </w:tcPr>
          <w:p w14:paraId="5125AFD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DD8C24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FA1BD1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AE0D88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排水专项重大危险源识别数据梳理</w:t>
            </w:r>
          </w:p>
        </w:tc>
      </w:tr>
      <w:tr w14:paraId="3B06FE4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90706A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59</w:t>
            </w:r>
          </w:p>
        </w:tc>
        <w:tc>
          <w:tcPr>
            <w:tcW w:w="0" w:type="auto"/>
            <w:vMerge w:val="continue"/>
            <w:tcBorders>
              <w:top w:val="nil"/>
              <w:left w:val="single" w:color="auto" w:sz="4" w:space="0"/>
              <w:bottom w:val="nil"/>
              <w:right w:val="single" w:color="auto" w:sz="4" w:space="0"/>
            </w:tcBorders>
            <w:vAlign w:val="center"/>
          </w:tcPr>
          <w:p w14:paraId="3D97604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35475C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A3831A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8D5E15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排水专项重大危险源数据录入</w:t>
            </w:r>
          </w:p>
        </w:tc>
      </w:tr>
      <w:tr w14:paraId="7A4C968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655FB7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60</w:t>
            </w:r>
          </w:p>
        </w:tc>
        <w:tc>
          <w:tcPr>
            <w:tcW w:w="0" w:type="auto"/>
            <w:vMerge w:val="continue"/>
            <w:tcBorders>
              <w:top w:val="nil"/>
              <w:left w:val="single" w:color="auto" w:sz="4" w:space="0"/>
              <w:bottom w:val="nil"/>
              <w:right w:val="single" w:color="auto" w:sz="4" w:space="0"/>
            </w:tcBorders>
            <w:vAlign w:val="center"/>
          </w:tcPr>
          <w:p w14:paraId="7B9C6F2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B61E99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64C04F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D67B59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排水专项社会经济敏感目标数据梳理</w:t>
            </w:r>
          </w:p>
        </w:tc>
      </w:tr>
      <w:tr w14:paraId="6101CAB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738222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61</w:t>
            </w:r>
          </w:p>
        </w:tc>
        <w:tc>
          <w:tcPr>
            <w:tcW w:w="0" w:type="auto"/>
            <w:vMerge w:val="continue"/>
            <w:tcBorders>
              <w:top w:val="nil"/>
              <w:left w:val="single" w:color="auto" w:sz="4" w:space="0"/>
              <w:bottom w:val="nil"/>
              <w:right w:val="single" w:color="auto" w:sz="4" w:space="0"/>
            </w:tcBorders>
            <w:vAlign w:val="center"/>
          </w:tcPr>
          <w:p w14:paraId="6F82C29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66F792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D8717B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2A6C0A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排水专项敏感区域信息录入</w:t>
            </w:r>
          </w:p>
        </w:tc>
      </w:tr>
      <w:tr w14:paraId="5BA7B4F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CC9BF9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62</w:t>
            </w:r>
          </w:p>
        </w:tc>
        <w:tc>
          <w:tcPr>
            <w:tcW w:w="0" w:type="auto"/>
            <w:vMerge w:val="continue"/>
            <w:tcBorders>
              <w:top w:val="nil"/>
              <w:left w:val="single" w:color="auto" w:sz="4" w:space="0"/>
              <w:bottom w:val="nil"/>
              <w:right w:val="single" w:color="auto" w:sz="4" w:space="0"/>
            </w:tcBorders>
            <w:vAlign w:val="center"/>
          </w:tcPr>
          <w:p w14:paraId="02C7F52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4C147ED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排水专项数据分析处理</w:t>
            </w:r>
          </w:p>
        </w:tc>
        <w:tc>
          <w:tcPr>
            <w:tcW w:w="2694" w:type="dxa"/>
            <w:vMerge w:val="restart"/>
            <w:tcBorders>
              <w:top w:val="nil"/>
              <w:left w:val="single" w:color="auto" w:sz="4" w:space="0"/>
              <w:bottom w:val="single" w:color="000000" w:sz="4" w:space="0"/>
              <w:right w:val="single" w:color="auto" w:sz="4" w:space="0"/>
            </w:tcBorders>
            <w:vAlign w:val="center"/>
          </w:tcPr>
          <w:p w14:paraId="49537F6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针对采集的数据、现场调查数据进行数据录入，根据数据模型进行预处理</w:t>
            </w:r>
          </w:p>
        </w:tc>
        <w:tc>
          <w:tcPr>
            <w:tcW w:w="4204" w:type="dxa"/>
            <w:tcBorders>
              <w:top w:val="nil"/>
              <w:left w:val="nil"/>
              <w:bottom w:val="single" w:color="auto" w:sz="4" w:space="0"/>
              <w:right w:val="single" w:color="auto" w:sz="4" w:space="0"/>
            </w:tcBorders>
            <w:vAlign w:val="center"/>
          </w:tcPr>
          <w:p w14:paraId="234BC68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排水专项风险评估数据复核数据梳理</w:t>
            </w:r>
          </w:p>
        </w:tc>
      </w:tr>
      <w:tr w14:paraId="0628D9C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BD56D3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63</w:t>
            </w:r>
          </w:p>
        </w:tc>
        <w:tc>
          <w:tcPr>
            <w:tcW w:w="0" w:type="auto"/>
            <w:vMerge w:val="continue"/>
            <w:tcBorders>
              <w:top w:val="nil"/>
              <w:left w:val="single" w:color="auto" w:sz="4" w:space="0"/>
              <w:bottom w:val="nil"/>
              <w:right w:val="single" w:color="auto" w:sz="4" w:space="0"/>
            </w:tcBorders>
            <w:vAlign w:val="center"/>
          </w:tcPr>
          <w:p w14:paraId="55CBFE3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DE4945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51CB4D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951612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排水专项风险评估数据核查</w:t>
            </w:r>
          </w:p>
        </w:tc>
      </w:tr>
      <w:tr w14:paraId="1AF5819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8374C4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64</w:t>
            </w:r>
          </w:p>
        </w:tc>
        <w:tc>
          <w:tcPr>
            <w:tcW w:w="0" w:type="auto"/>
            <w:vMerge w:val="continue"/>
            <w:tcBorders>
              <w:top w:val="nil"/>
              <w:left w:val="single" w:color="auto" w:sz="4" w:space="0"/>
              <w:bottom w:val="nil"/>
              <w:right w:val="single" w:color="auto" w:sz="4" w:space="0"/>
            </w:tcBorders>
            <w:vAlign w:val="center"/>
          </w:tcPr>
          <w:p w14:paraId="2C77423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6336DA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E02725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EE84E6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排水专项风险评估结果修正数据梳理</w:t>
            </w:r>
          </w:p>
        </w:tc>
      </w:tr>
      <w:tr w14:paraId="18C7F30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7785C9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65</w:t>
            </w:r>
          </w:p>
        </w:tc>
        <w:tc>
          <w:tcPr>
            <w:tcW w:w="0" w:type="auto"/>
            <w:vMerge w:val="continue"/>
            <w:tcBorders>
              <w:top w:val="nil"/>
              <w:left w:val="single" w:color="auto" w:sz="4" w:space="0"/>
              <w:bottom w:val="nil"/>
              <w:right w:val="single" w:color="auto" w:sz="4" w:space="0"/>
            </w:tcBorders>
            <w:vAlign w:val="center"/>
          </w:tcPr>
          <w:p w14:paraId="3F85AAB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5F2BA0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BD72A9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88A5F8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排水专项风险评估修正录入</w:t>
            </w:r>
          </w:p>
        </w:tc>
      </w:tr>
      <w:tr w14:paraId="18921CD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9C3C3B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66</w:t>
            </w:r>
          </w:p>
        </w:tc>
        <w:tc>
          <w:tcPr>
            <w:tcW w:w="0" w:type="auto"/>
            <w:vMerge w:val="continue"/>
            <w:tcBorders>
              <w:top w:val="nil"/>
              <w:left w:val="single" w:color="auto" w:sz="4" w:space="0"/>
              <w:bottom w:val="nil"/>
              <w:right w:val="single" w:color="auto" w:sz="4" w:space="0"/>
            </w:tcBorders>
            <w:vAlign w:val="center"/>
          </w:tcPr>
          <w:p w14:paraId="763716D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A74497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A34255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D8947C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排水专项数据清洗规则配置梳理</w:t>
            </w:r>
          </w:p>
        </w:tc>
      </w:tr>
      <w:tr w14:paraId="109C440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869FF8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67</w:t>
            </w:r>
          </w:p>
        </w:tc>
        <w:tc>
          <w:tcPr>
            <w:tcW w:w="0" w:type="auto"/>
            <w:vMerge w:val="continue"/>
            <w:tcBorders>
              <w:top w:val="nil"/>
              <w:left w:val="single" w:color="auto" w:sz="4" w:space="0"/>
              <w:bottom w:val="nil"/>
              <w:right w:val="single" w:color="auto" w:sz="4" w:space="0"/>
            </w:tcBorders>
            <w:vAlign w:val="center"/>
          </w:tcPr>
          <w:p w14:paraId="557DF06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B7CAF5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9600D4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4EA20C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排水专项缺失值填充处理</w:t>
            </w:r>
          </w:p>
        </w:tc>
      </w:tr>
      <w:tr w14:paraId="3944975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5E9618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68</w:t>
            </w:r>
          </w:p>
        </w:tc>
        <w:tc>
          <w:tcPr>
            <w:tcW w:w="0" w:type="auto"/>
            <w:vMerge w:val="continue"/>
            <w:tcBorders>
              <w:top w:val="nil"/>
              <w:left w:val="single" w:color="auto" w:sz="4" w:space="0"/>
              <w:bottom w:val="nil"/>
              <w:right w:val="single" w:color="auto" w:sz="4" w:space="0"/>
            </w:tcBorders>
            <w:vAlign w:val="center"/>
          </w:tcPr>
          <w:p w14:paraId="75506F3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9C7304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994D11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D2728E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排水专项数据转换标准规则梳理</w:t>
            </w:r>
          </w:p>
        </w:tc>
      </w:tr>
      <w:tr w14:paraId="500416E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76FA23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69</w:t>
            </w:r>
          </w:p>
        </w:tc>
        <w:tc>
          <w:tcPr>
            <w:tcW w:w="0" w:type="auto"/>
            <w:vMerge w:val="continue"/>
            <w:tcBorders>
              <w:top w:val="nil"/>
              <w:left w:val="single" w:color="auto" w:sz="4" w:space="0"/>
              <w:bottom w:val="nil"/>
              <w:right w:val="single" w:color="auto" w:sz="4" w:space="0"/>
            </w:tcBorders>
            <w:vAlign w:val="center"/>
          </w:tcPr>
          <w:p w14:paraId="30AF63F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399B1F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A4E6C3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D9B298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排水专项数据格式转换</w:t>
            </w:r>
          </w:p>
        </w:tc>
      </w:tr>
      <w:tr w14:paraId="210E8E7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7F070F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70</w:t>
            </w:r>
          </w:p>
        </w:tc>
        <w:tc>
          <w:tcPr>
            <w:tcW w:w="0" w:type="auto"/>
            <w:vMerge w:val="continue"/>
            <w:tcBorders>
              <w:top w:val="nil"/>
              <w:left w:val="single" w:color="auto" w:sz="4" w:space="0"/>
              <w:bottom w:val="nil"/>
              <w:right w:val="single" w:color="auto" w:sz="4" w:space="0"/>
            </w:tcBorders>
            <w:vAlign w:val="center"/>
          </w:tcPr>
          <w:p w14:paraId="6E2B938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8C7279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B46906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D1F141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排水专项数据标准化建模规则梳理</w:t>
            </w:r>
          </w:p>
        </w:tc>
      </w:tr>
      <w:tr w14:paraId="4E9E791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67D463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71</w:t>
            </w:r>
          </w:p>
        </w:tc>
        <w:tc>
          <w:tcPr>
            <w:tcW w:w="0" w:type="auto"/>
            <w:vMerge w:val="continue"/>
            <w:tcBorders>
              <w:top w:val="nil"/>
              <w:left w:val="single" w:color="auto" w:sz="4" w:space="0"/>
              <w:bottom w:val="nil"/>
              <w:right w:val="single" w:color="auto" w:sz="4" w:space="0"/>
            </w:tcBorders>
            <w:vAlign w:val="center"/>
          </w:tcPr>
          <w:p w14:paraId="4EFBD95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ECEAAC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979DCD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31A3AC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排水专项数据标准化处理</w:t>
            </w:r>
          </w:p>
        </w:tc>
      </w:tr>
      <w:tr w14:paraId="51F4645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098A5F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72</w:t>
            </w:r>
          </w:p>
        </w:tc>
        <w:tc>
          <w:tcPr>
            <w:tcW w:w="0" w:type="auto"/>
            <w:vMerge w:val="continue"/>
            <w:tcBorders>
              <w:top w:val="nil"/>
              <w:left w:val="single" w:color="auto" w:sz="4" w:space="0"/>
              <w:bottom w:val="nil"/>
              <w:right w:val="single" w:color="auto" w:sz="4" w:space="0"/>
            </w:tcBorders>
            <w:vAlign w:val="center"/>
          </w:tcPr>
          <w:p w14:paraId="6B242D4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5E9E53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90C5D7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A6A147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排水专项预处理结果数据梳理</w:t>
            </w:r>
          </w:p>
        </w:tc>
      </w:tr>
      <w:tr w14:paraId="4B9B21A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7B9467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73</w:t>
            </w:r>
          </w:p>
        </w:tc>
        <w:tc>
          <w:tcPr>
            <w:tcW w:w="0" w:type="auto"/>
            <w:vMerge w:val="continue"/>
            <w:tcBorders>
              <w:top w:val="nil"/>
              <w:left w:val="single" w:color="auto" w:sz="4" w:space="0"/>
              <w:bottom w:val="nil"/>
              <w:right w:val="single" w:color="auto" w:sz="4" w:space="0"/>
            </w:tcBorders>
            <w:vAlign w:val="center"/>
          </w:tcPr>
          <w:p w14:paraId="09D1820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574FF0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467D4B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E58DE1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排水专项预处理结果输出</w:t>
            </w:r>
          </w:p>
        </w:tc>
      </w:tr>
      <w:tr w14:paraId="5826A48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9668F1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74</w:t>
            </w:r>
          </w:p>
        </w:tc>
        <w:tc>
          <w:tcPr>
            <w:tcW w:w="0" w:type="auto"/>
            <w:vMerge w:val="continue"/>
            <w:tcBorders>
              <w:top w:val="nil"/>
              <w:left w:val="single" w:color="auto" w:sz="4" w:space="0"/>
              <w:bottom w:val="nil"/>
              <w:right w:val="single" w:color="auto" w:sz="4" w:space="0"/>
            </w:tcBorders>
            <w:vAlign w:val="center"/>
          </w:tcPr>
          <w:p w14:paraId="0E8B144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896D6B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DB8174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A61CEB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排水专项预处理结果验证</w:t>
            </w:r>
          </w:p>
        </w:tc>
      </w:tr>
      <w:tr w14:paraId="25A5DD0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D81ABF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75</w:t>
            </w:r>
          </w:p>
        </w:tc>
        <w:tc>
          <w:tcPr>
            <w:tcW w:w="0" w:type="auto"/>
            <w:vMerge w:val="continue"/>
            <w:tcBorders>
              <w:top w:val="nil"/>
              <w:left w:val="single" w:color="auto" w:sz="4" w:space="0"/>
              <w:bottom w:val="nil"/>
              <w:right w:val="single" w:color="auto" w:sz="4" w:space="0"/>
            </w:tcBorders>
            <w:vAlign w:val="center"/>
          </w:tcPr>
          <w:p w14:paraId="52B04C3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069FB5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CDBBBA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4BBC6D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排水专项预处理结果报告生成</w:t>
            </w:r>
          </w:p>
        </w:tc>
      </w:tr>
      <w:tr w14:paraId="27D4747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71D067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76</w:t>
            </w:r>
          </w:p>
        </w:tc>
        <w:tc>
          <w:tcPr>
            <w:tcW w:w="0" w:type="auto"/>
            <w:vMerge w:val="continue"/>
            <w:tcBorders>
              <w:top w:val="nil"/>
              <w:left w:val="single" w:color="auto" w:sz="4" w:space="0"/>
              <w:bottom w:val="nil"/>
              <w:right w:val="single" w:color="auto" w:sz="4" w:space="0"/>
            </w:tcBorders>
            <w:vAlign w:val="center"/>
          </w:tcPr>
          <w:p w14:paraId="5F8E1AE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69AA428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排水评估指标体系</w:t>
            </w:r>
          </w:p>
        </w:tc>
        <w:tc>
          <w:tcPr>
            <w:tcW w:w="2694" w:type="dxa"/>
            <w:vMerge w:val="restart"/>
            <w:tcBorders>
              <w:top w:val="nil"/>
              <w:left w:val="single" w:color="auto" w:sz="4" w:space="0"/>
              <w:bottom w:val="single" w:color="000000" w:sz="4" w:space="0"/>
              <w:right w:val="single" w:color="auto" w:sz="4" w:space="0"/>
            </w:tcBorders>
            <w:vAlign w:val="center"/>
          </w:tcPr>
          <w:p w14:paraId="43C6A9C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本阶段的工作流程如下：首先，对录入风险评估软件的数据进行梳理，构建太原市风险评估指标体系，并编制涵盖计算指标项、权重及计算方法和公式的风险评估模型算法；其次，依据太原市风险评估指标体系与计算公式，对模型算法进行针对性调整优化，确保算法逻辑与太原市风险评估指标体系、计算公式完全匹配；最后，依托调整完善后的模型算法及风险评估软件，开展风险评估分析工作。风险评估模型算法由评估单位提供。</w:t>
            </w:r>
          </w:p>
        </w:tc>
        <w:tc>
          <w:tcPr>
            <w:tcW w:w="4204" w:type="dxa"/>
            <w:tcBorders>
              <w:top w:val="nil"/>
              <w:left w:val="nil"/>
              <w:bottom w:val="single" w:color="auto" w:sz="4" w:space="0"/>
              <w:right w:val="single" w:color="auto" w:sz="4" w:space="0"/>
            </w:tcBorders>
            <w:vAlign w:val="center"/>
          </w:tcPr>
          <w:p w14:paraId="376D143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排水淤积风险评估体系</w:t>
            </w:r>
          </w:p>
        </w:tc>
      </w:tr>
      <w:tr w14:paraId="6A1C864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C857E8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77</w:t>
            </w:r>
          </w:p>
        </w:tc>
        <w:tc>
          <w:tcPr>
            <w:tcW w:w="0" w:type="auto"/>
            <w:vMerge w:val="continue"/>
            <w:tcBorders>
              <w:top w:val="nil"/>
              <w:left w:val="single" w:color="auto" w:sz="4" w:space="0"/>
              <w:bottom w:val="nil"/>
              <w:right w:val="single" w:color="auto" w:sz="4" w:space="0"/>
            </w:tcBorders>
            <w:vAlign w:val="center"/>
          </w:tcPr>
          <w:p w14:paraId="4853035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3B2F5D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38E3AE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275BAA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排水渗漏风险评估体系</w:t>
            </w:r>
          </w:p>
        </w:tc>
      </w:tr>
      <w:tr w14:paraId="11DCDC0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357F5D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78</w:t>
            </w:r>
          </w:p>
        </w:tc>
        <w:tc>
          <w:tcPr>
            <w:tcW w:w="0" w:type="auto"/>
            <w:vMerge w:val="continue"/>
            <w:tcBorders>
              <w:top w:val="nil"/>
              <w:left w:val="single" w:color="auto" w:sz="4" w:space="0"/>
              <w:bottom w:val="nil"/>
              <w:right w:val="single" w:color="auto" w:sz="4" w:space="0"/>
            </w:tcBorders>
            <w:vAlign w:val="center"/>
          </w:tcPr>
          <w:p w14:paraId="407ED46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CA66B9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779B42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302110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排水溢流风险评估体系</w:t>
            </w:r>
          </w:p>
        </w:tc>
      </w:tr>
      <w:tr w14:paraId="56EFEA1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0F22AC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79</w:t>
            </w:r>
          </w:p>
        </w:tc>
        <w:tc>
          <w:tcPr>
            <w:tcW w:w="0" w:type="auto"/>
            <w:vMerge w:val="continue"/>
            <w:tcBorders>
              <w:top w:val="nil"/>
              <w:left w:val="single" w:color="auto" w:sz="4" w:space="0"/>
              <w:bottom w:val="nil"/>
              <w:right w:val="single" w:color="auto" w:sz="4" w:space="0"/>
            </w:tcBorders>
            <w:vAlign w:val="center"/>
          </w:tcPr>
          <w:p w14:paraId="4560B2A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9B32CC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9CA96C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C07361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排水综合风险评估体系</w:t>
            </w:r>
          </w:p>
        </w:tc>
      </w:tr>
      <w:tr w14:paraId="72F7E35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CF3BEB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80</w:t>
            </w:r>
          </w:p>
        </w:tc>
        <w:tc>
          <w:tcPr>
            <w:tcW w:w="0" w:type="auto"/>
            <w:vMerge w:val="continue"/>
            <w:tcBorders>
              <w:top w:val="nil"/>
              <w:left w:val="single" w:color="auto" w:sz="4" w:space="0"/>
              <w:bottom w:val="nil"/>
              <w:right w:val="single" w:color="auto" w:sz="4" w:space="0"/>
            </w:tcBorders>
            <w:vAlign w:val="center"/>
          </w:tcPr>
          <w:p w14:paraId="3DE7FD7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7F4BF8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363DE4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95333E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污水处理厂风险评估体系</w:t>
            </w:r>
          </w:p>
        </w:tc>
      </w:tr>
      <w:tr w14:paraId="0A0B80D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AD979C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81</w:t>
            </w:r>
          </w:p>
        </w:tc>
        <w:tc>
          <w:tcPr>
            <w:tcW w:w="0" w:type="auto"/>
            <w:vMerge w:val="continue"/>
            <w:tcBorders>
              <w:top w:val="nil"/>
              <w:left w:val="single" w:color="auto" w:sz="4" w:space="0"/>
              <w:bottom w:val="nil"/>
              <w:right w:val="single" w:color="auto" w:sz="4" w:space="0"/>
            </w:tcBorders>
            <w:vAlign w:val="center"/>
          </w:tcPr>
          <w:p w14:paraId="7421231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64C808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FEC6E7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C56FC3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排水泵站风险评估体系</w:t>
            </w:r>
          </w:p>
        </w:tc>
      </w:tr>
      <w:tr w14:paraId="52813A1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65AE0C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82</w:t>
            </w:r>
          </w:p>
        </w:tc>
        <w:tc>
          <w:tcPr>
            <w:tcW w:w="0" w:type="auto"/>
            <w:vMerge w:val="continue"/>
            <w:tcBorders>
              <w:top w:val="nil"/>
              <w:left w:val="single" w:color="auto" w:sz="4" w:space="0"/>
              <w:bottom w:val="nil"/>
              <w:right w:val="single" w:color="auto" w:sz="4" w:space="0"/>
            </w:tcBorders>
            <w:vAlign w:val="center"/>
          </w:tcPr>
          <w:p w14:paraId="176DBA8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799F30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80C7A6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1BFAF3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排水指标分级标准制定</w:t>
            </w:r>
          </w:p>
        </w:tc>
      </w:tr>
      <w:tr w14:paraId="6A21526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29EF52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83</w:t>
            </w:r>
          </w:p>
        </w:tc>
        <w:tc>
          <w:tcPr>
            <w:tcW w:w="0" w:type="auto"/>
            <w:vMerge w:val="continue"/>
            <w:tcBorders>
              <w:top w:val="nil"/>
              <w:left w:val="single" w:color="auto" w:sz="4" w:space="0"/>
              <w:bottom w:val="nil"/>
              <w:right w:val="single" w:color="auto" w:sz="4" w:space="0"/>
            </w:tcBorders>
            <w:vAlign w:val="center"/>
          </w:tcPr>
          <w:p w14:paraId="6730913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D40E5D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DBD6B2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6C4840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排水指标计算公式录入</w:t>
            </w:r>
          </w:p>
        </w:tc>
      </w:tr>
      <w:tr w14:paraId="5EAFE1AF">
        <w:tblPrEx>
          <w:tblCellMar>
            <w:top w:w="0" w:type="dxa"/>
            <w:left w:w="108" w:type="dxa"/>
            <w:bottom w:w="0" w:type="dxa"/>
            <w:right w:w="108" w:type="dxa"/>
          </w:tblCellMar>
        </w:tblPrEx>
        <w:trPr>
          <w:trHeight w:val="840" w:hRule="atLeast"/>
          <w:jc w:val="center"/>
        </w:trPr>
        <w:tc>
          <w:tcPr>
            <w:tcW w:w="0" w:type="auto"/>
            <w:tcBorders>
              <w:top w:val="nil"/>
              <w:left w:val="single" w:color="auto" w:sz="4" w:space="0"/>
              <w:bottom w:val="single" w:color="auto" w:sz="4" w:space="0"/>
              <w:right w:val="single" w:color="auto" w:sz="4" w:space="0"/>
            </w:tcBorders>
            <w:noWrap/>
            <w:vAlign w:val="center"/>
          </w:tcPr>
          <w:p w14:paraId="1B644D8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84</w:t>
            </w:r>
          </w:p>
        </w:tc>
        <w:tc>
          <w:tcPr>
            <w:tcW w:w="0" w:type="auto"/>
            <w:vMerge w:val="continue"/>
            <w:tcBorders>
              <w:top w:val="nil"/>
              <w:left w:val="single" w:color="auto" w:sz="4" w:space="0"/>
              <w:bottom w:val="nil"/>
              <w:right w:val="single" w:color="auto" w:sz="4" w:space="0"/>
            </w:tcBorders>
            <w:vAlign w:val="center"/>
          </w:tcPr>
          <w:p w14:paraId="71FE3E4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41A72F2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排水专项风险分析</w:t>
            </w:r>
          </w:p>
        </w:tc>
        <w:tc>
          <w:tcPr>
            <w:tcW w:w="2694" w:type="dxa"/>
            <w:vMerge w:val="restart"/>
            <w:tcBorders>
              <w:top w:val="nil"/>
              <w:left w:val="single" w:color="auto" w:sz="4" w:space="0"/>
              <w:bottom w:val="single" w:color="000000" w:sz="4" w:space="0"/>
              <w:right w:val="single" w:color="auto" w:sz="4" w:space="0"/>
            </w:tcBorders>
            <w:vAlign w:val="center"/>
          </w:tcPr>
          <w:p w14:paraId="45C81E5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1、数据项映射工作</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建立绑定关系：在风险评估软件中，将实际的数据库字段与风险计算公式中的变量进行“一一对应”配置，确保软件能“读懂”并抓取正确的位置和数据。</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2、批量计算与结果核对</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执行运算：操作软件进行不同类别排水进行风险评估计算。</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输出检查：逐一或抽样检查每座排水是否都生成了分析结果，核对输出结果的完整性（无遗漏）。</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3、异常排查与配置修正</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识别异常：定位分析结果输出异常（如结果为空、数值明显偏离常识、计算报错）的桥隧。</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诊断原因：分析是公式配置错误、数据调用失败还是原始数据异常导致的问题。</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重新配置：针对异常情况，修正计算公式的参数设置，或者重新调整数据调用的映射关系，然后进行复算。</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4、结果关联标注</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将最终确认无误的风险评估结果关联到每一个评估的设施上，确保点击设施的标柱时，可以查看详细的风险分数和主要影响因子。</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5、数据审核</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辅助审核：整理评估结果列表和关联标注成果，提交给审核方，并对异常数据的处理过程进行解释。</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过程归档：记录数据项绑定方案、异常问题处理清单以及最终的配置参数，形成工作记录。</w:t>
            </w:r>
          </w:p>
        </w:tc>
        <w:tc>
          <w:tcPr>
            <w:tcW w:w="4204" w:type="dxa"/>
            <w:tcBorders>
              <w:top w:val="nil"/>
              <w:left w:val="nil"/>
              <w:bottom w:val="single" w:color="auto" w:sz="4" w:space="0"/>
              <w:right w:val="single" w:color="auto" w:sz="4" w:space="0"/>
            </w:tcBorders>
            <w:vAlign w:val="center"/>
          </w:tcPr>
          <w:p w14:paraId="2941CF0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雨水主干管网、雨水泵站、调蓄设施、城市内涝点、道路易积水点、河道、闸门、下穿式立体交叉道路和隧道等；</w:t>
            </w:r>
          </w:p>
        </w:tc>
      </w:tr>
      <w:tr w14:paraId="6817C0FF">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1C71EEB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85</w:t>
            </w:r>
          </w:p>
        </w:tc>
        <w:tc>
          <w:tcPr>
            <w:tcW w:w="0" w:type="auto"/>
            <w:vMerge w:val="continue"/>
            <w:tcBorders>
              <w:top w:val="nil"/>
              <w:left w:val="single" w:color="auto" w:sz="4" w:space="0"/>
              <w:bottom w:val="nil"/>
              <w:right w:val="single" w:color="auto" w:sz="4" w:space="0"/>
            </w:tcBorders>
            <w:vAlign w:val="center"/>
          </w:tcPr>
          <w:p w14:paraId="59DE8FE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A448DE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305AF9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C2DFC5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污水接户井、污水主干管网、污水泵站前池、截流设施、污水处理厂等；</w:t>
            </w:r>
          </w:p>
        </w:tc>
      </w:tr>
      <w:tr w14:paraId="3E551D8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253E10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86</w:t>
            </w:r>
          </w:p>
        </w:tc>
        <w:tc>
          <w:tcPr>
            <w:tcW w:w="0" w:type="auto"/>
            <w:vMerge w:val="continue"/>
            <w:tcBorders>
              <w:top w:val="nil"/>
              <w:left w:val="single" w:color="auto" w:sz="4" w:space="0"/>
              <w:bottom w:val="nil"/>
              <w:right w:val="single" w:color="auto" w:sz="4" w:space="0"/>
            </w:tcBorders>
            <w:vAlign w:val="center"/>
          </w:tcPr>
          <w:p w14:paraId="16ECED6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A5CB89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221BAA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302EEB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交通枢纽、重要路段周边排水管网等；</w:t>
            </w:r>
          </w:p>
        </w:tc>
      </w:tr>
      <w:tr w14:paraId="7F4AA02D">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625AE23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87</w:t>
            </w:r>
          </w:p>
        </w:tc>
        <w:tc>
          <w:tcPr>
            <w:tcW w:w="0" w:type="auto"/>
            <w:vMerge w:val="continue"/>
            <w:tcBorders>
              <w:top w:val="nil"/>
              <w:left w:val="single" w:color="auto" w:sz="4" w:space="0"/>
              <w:bottom w:val="nil"/>
              <w:right w:val="single" w:color="auto" w:sz="4" w:space="0"/>
            </w:tcBorders>
            <w:vAlign w:val="center"/>
          </w:tcPr>
          <w:p w14:paraId="53A542D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601999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66E99F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C1462B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存在各工程交叉相关影响、地质灾害影响的排水管线。</w:t>
            </w:r>
          </w:p>
        </w:tc>
      </w:tr>
      <w:tr w14:paraId="140F008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CEFE8D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88</w:t>
            </w:r>
          </w:p>
        </w:tc>
        <w:tc>
          <w:tcPr>
            <w:tcW w:w="0" w:type="auto"/>
            <w:vMerge w:val="continue"/>
            <w:tcBorders>
              <w:top w:val="nil"/>
              <w:left w:val="single" w:color="auto" w:sz="4" w:space="0"/>
              <w:bottom w:val="nil"/>
              <w:right w:val="single" w:color="auto" w:sz="4" w:space="0"/>
            </w:tcBorders>
            <w:vAlign w:val="center"/>
          </w:tcPr>
          <w:p w14:paraId="4AC3672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55A0DA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ACB880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D2D664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排水风险分析模型基础数据梳理</w:t>
            </w:r>
          </w:p>
        </w:tc>
      </w:tr>
      <w:tr w14:paraId="341251B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E94BF5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89</w:t>
            </w:r>
          </w:p>
        </w:tc>
        <w:tc>
          <w:tcPr>
            <w:tcW w:w="0" w:type="auto"/>
            <w:vMerge w:val="continue"/>
            <w:tcBorders>
              <w:top w:val="nil"/>
              <w:left w:val="single" w:color="auto" w:sz="4" w:space="0"/>
              <w:bottom w:val="nil"/>
              <w:right w:val="single" w:color="auto" w:sz="4" w:space="0"/>
            </w:tcBorders>
            <w:vAlign w:val="center"/>
          </w:tcPr>
          <w:p w14:paraId="4B7D6D8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5E0D19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CD4F14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03A35A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排水专项隐患图形标注展示</w:t>
            </w:r>
          </w:p>
        </w:tc>
      </w:tr>
      <w:tr w14:paraId="405F734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DD55A0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90</w:t>
            </w:r>
          </w:p>
        </w:tc>
        <w:tc>
          <w:tcPr>
            <w:tcW w:w="0" w:type="auto"/>
            <w:vMerge w:val="continue"/>
            <w:tcBorders>
              <w:top w:val="nil"/>
              <w:left w:val="single" w:color="auto" w:sz="4" w:space="0"/>
              <w:bottom w:val="nil"/>
              <w:right w:val="single" w:color="auto" w:sz="4" w:space="0"/>
            </w:tcBorders>
            <w:vAlign w:val="center"/>
          </w:tcPr>
          <w:p w14:paraId="3CEABC9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452D49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8B25A8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D46E2C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排水专项交叉施工风险数据梳理</w:t>
            </w:r>
          </w:p>
        </w:tc>
      </w:tr>
      <w:tr w14:paraId="340AA3C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8D6C48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91</w:t>
            </w:r>
          </w:p>
        </w:tc>
        <w:tc>
          <w:tcPr>
            <w:tcW w:w="0" w:type="auto"/>
            <w:vMerge w:val="continue"/>
            <w:tcBorders>
              <w:top w:val="nil"/>
              <w:left w:val="single" w:color="auto" w:sz="4" w:space="0"/>
              <w:bottom w:val="nil"/>
              <w:right w:val="single" w:color="auto" w:sz="4" w:space="0"/>
            </w:tcBorders>
            <w:vAlign w:val="center"/>
          </w:tcPr>
          <w:p w14:paraId="523E8FC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451E1D6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评估结果汇总完善</w:t>
            </w:r>
          </w:p>
        </w:tc>
        <w:tc>
          <w:tcPr>
            <w:tcW w:w="2694" w:type="dxa"/>
            <w:vMerge w:val="restart"/>
            <w:tcBorders>
              <w:top w:val="nil"/>
              <w:left w:val="single" w:color="auto" w:sz="4" w:space="0"/>
              <w:bottom w:val="single" w:color="000000" w:sz="4" w:space="0"/>
              <w:right w:val="single" w:color="auto" w:sz="4" w:space="0"/>
            </w:tcBorders>
            <w:vAlign w:val="center"/>
          </w:tcPr>
          <w:p w14:paraId="2F5BECE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包括成果汇总管理数据、成果录入、成果分类管理、成果自动统计与输出工作，该部分核心工作为对专项风险分析已经分析出的结果数据进行整理，将不同类型的排水的分析结果数据进行分类，按不用类别进行录入到文档及成果管理系统，按类别进行统计。</w:t>
            </w:r>
          </w:p>
        </w:tc>
        <w:tc>
          <w:tcPr>
            <w:tcW w:w="4204" w:type="dxa"/>
            <w:tcBorders>
              <w:top w:val="nil"/>
              <w:left w:val="nil"/>
              <w:bottom w:val="single" w:color="auto" w:sz="4" w:space="0"/>
              <w:right w:val="single" w:color="auto" w:sz="4" w:space="0"/>
            </w:tcBorders>
            <w:vAlign w:val="center"/>
          </w:tcPr>
          <w:p w14:paraId="749B97D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排水专项成果汇总管理数据梳理</w:t>
            </w:r>
          </w:p>
        </w:tc>
      </w:tr>
      <w:tr w14:paraId="559497C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73AB84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92</w:t>
            </w:r>
          </w:p>
        </w:tc>
        <w:tc>
          <w:tcPr>
            <w:tcW w:w="0" w:type="auto"/>
            <w:vMerge w:val="continue"/>
            <w:tcBorders>
              <w:top w:val="nil"/>
              <w:left w:val="single" w:color="auto" w:sz="4" w:space="0"/>
              <w:bottom w:val="nil"/>
              <w:right w:val="single" w:color="auto" w:sz="4" w:space="0"/>
            </w:tcBorders>
            <w:vAlign w:val="center"/>
          </w:tcPr>
          <w:p w14:paraId="42BD511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3DCC78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7DE8C2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FB2E05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排水专项评估成果成果录入</w:t>
            </w:r>
          </w:p>
        </w:tc>
      </w:tr>
      <w:tr w14:paraId="0AD94B7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08EC58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93</w:t>
            </w:r>
          </w:p>
        </w:tc>
        <w:tc>
          <w:tcPr>
            <w:tcW w:w="0" w:type="auto"/>
            <w:vMerge w:val="continue"/>
            <w:tcBorders>
              <w:top w:val="nil"/>
              <w:left w:val="single" w:color="auto" w:sz="4" w:space="0"/>
              <w:bottom w:val="nil"/>
              <w:right w:val="single" w:color="auto" w:sz="4" w:space="0"/>
            </w:tcBorders>
            <w:vAlign w:val="center"/>
          </w:tcPr>
          <w:p w14:paraId="403C433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2EAEB1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949E35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2A26DF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排水专项评估成果分类管理</w:t>
            </w:r>
          </w:p>
        </w:tc>
      </w:tr>
      <w:tr w14:paraId="0E4661F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D304FE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94</w:t>
            </w:r>
          </w:p>
        </w:tc>
        <w:tc>
          <w:tcPr>
            <w:tcW w:w="0" w:type="auto"/>
            <w:vMerge w:val="continue"/>
            <w:tcBorders>
              <w:top w:val="nil"/>
              <w:left w:val="single" w:color="auto" w:sz="4" w:space="0"/>
              <w:bottom w:val="nil"/>
              <w:right w:val="single" w:color="auto" w:sz="4" w:space="0"/>
            </w:tcBorders>
            <w:vAlign w:val="center"/>
          </w:tcPr>
          <w:p w14:paraId="5175EB3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3CD93D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0AC95E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7FFF57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排水专项成果自动统计与输出</w:t>
            </w:r>
          </w:p>
        </w:tc>
      </w:tr>
      <w:tr w14:paraId="118B035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D28523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95</w:t>
            </w:r>
          </w:p>
        </w:tc>
        <w:tc>
          <w:tcPr>
            <w:tcW w:w="0" w:type="auto"/>
            <w:vMerge w:val="continue"/>
            <w:tcBorders>
              <w:top w:val="nil"/>
              <w:left w:val="single" w:color="auto" w:sz="4" w:space="0"/>
              <w:bottom w:val="nil"/>
              <w:right w:val="single" w:color="auto" w:sz="4" w:space="0"/>
            </w:tcBorders>
            <w:vAlign w:val="center"/>
          </w:tcPr>
          <w:p w14:paraId="4EE6BE8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052823E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风险四色图</w:t>
            </w:r>
          </w:p>
        </w:tc>
        <w:tc>
          <w:tcPr>
            <w:tcW w:w="2694" w:type="dxa"/>
            <w:vMerge w:val="restart"/>
            <w:tcBorders>
              <w:top w:val="nil"/>
              <w:left w:val="single" w:color="auto" w:sz="4" w:space="0"/>
              <w:bottom w:val="single" w:color="000000" w:sz="4" w:space="0"/>
              <w:right w:val="single" w:color="auto" w:sz="4" w:space="0"/>
            </w:tcBorders>
            <w:vAlign w:val="center"/>
          </w:tcPr>
          <w:p w14:paraId="6FF5124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1、、风险电子四色图：制作地图，生成包含桥隧及其风险等级的GIS地图，用不同的颜色或符号直观地表示出不同级别的风险区域。</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2、风险清单：包括类别、风险源名称、位置、风险分析、潜在事故类型、风险等级、管控措施、责任人、“三高”区域点位界定、备注等。</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3、报告文档：编写详细的分析报告，说明分析结果以及建议措施（工程技术措施、管理措施、应急措施）。</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4、城市生命线安全建议监测布点点位：包括各个风险点位的建议监测设备布放建议。</w:t>
            </w:r>
          </w:p>
        </w:tc>
        <w:tc>
          <w:tcPr>
            <w:tcW w:w="4204" w:type="dxa"/>
            <w:tcBorders>
              <w:top w:val="nil"/>
              <w:left w:val="nil"/>
              <w:bottom w:val="single" w:color="auto" w:sz="4" w:space="0"/>
              <w:right w:val="single" w:color="auto" w:sz="4" w:space="0"/>
            </w:tcBorders>
            <w:vAlign w:val="center"/>
          </w:tcPr>
          <w:p w14:paraId="27CA253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排水专项风险四色图制作</w:t>
            </w:r>
          </w:p>
        </w:tc>
      </w:tr>
      <w:tr w14:paraId="13F73FD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D0C96E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96</w:t>
            </w:r>
          </w:p>
        </w:tc>
        <w:tc>
          <w:tcPr>
            <w:tcW w:w="0" w:type="auto"/>
            <w:vMerge w:val="continue"/>
            <w:tcBorders>
              <w:top w:val="nil"/>
              <w:left w:val="single" w:color="auto" w:sz="4" w:space="0"/>
              <w:bottom w:val="nil"/>
              <w:right w:val="single" w:color="auto" w:sz="4" w:space="0"/>
            </w:tcBorders>
            <w:vAlign w:val="center"/>
          </w:tcPr>
          <w:p w14:paraId="0705AB0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F80061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D76573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FFC3E3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排水专项风险四色图审核</w:t>
            </w:r>
          </w:p>
        </w:tc>
      </w:tr>
      <w:tr w14:paraId="52F07E1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F5897F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97</w:t>
            </w:r>
          </w:p>
        </w:tc>
        <w:tc>
          <w:tcPr>
            <w:tcW w:w="0" w:type="auto"/>
            <w:vMerge w:val="continue"/>
            <w:tcBorders>
              <w:top w:val="nil"/>
              <w:left w:val="single" w:color="auto" w:sz="4" w:space="0"/>
              <w:bottom w:val="nil"/>
              <w:right w:val="single" w:color="auto" w:sz="4" w:space="0"/>
            </w:tcBorders>
            <w:vAlign w:val="center"/>
          </w:tcPr>
          <w:p w14:paraId="54CA7A1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76BA369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风险清单</w:t>
            </w:r>
          </w:p>
        </w:tc>
        <w:tc>
          <w:tcPr>
            <w:tcW w:w="2694" w:type="dxa"/>
            <w:vMerge w:val="continue"/>
            <w:tcBorders>
              <w:top w:val="nil"/>
              <w:left w:val="single" w:color="auto" w:sz="4" w:space="0"/>
              <w:bottom w:val="single" w:color="000000" w:sz="4" w:space="0"/>
              <w:right w:val="single" w:color="auto" w:sz="4" w:space="0"/>
            </w:tcBorders>
            <w:vAlign w:val="center"/>
          </w:tcPr>
          <w:p w14:paraId="60CC48B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80D9D6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排水风险清单</w:t>
            </w:r>
          </w:p>
        </w:tc>
      </w:tr>
      <w:tr w14:paraId="3C95BC8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F21FDE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98</w:t>
            </w:r>
          </w:p>
        </w:tc>
        <w:tc>
          <w:tcPr>
            <w:tcW w:w="0" w:type="auto"/>
            <w:vMerge w:val="continue"/>
            <w:tcBorders>
              <w:top w:val="nil"/>
              <w:left w:val="single" w:color="auto" w:sz="4" w:space="0"/>
              <w:bottom w:val="nil"/>
              <w:right w:val="single" w:color="auto" w:sz="4" w:space="0"/>
            </w:tcBorders>
            <w:vAlign w:val="center"/>
          </w:tcPr>
          <w:p w14:paraId="0615DCE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FC7A7D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97E9F7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9B9B46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排水风险清单审核</w:t>
            </w:r>
          </w:p>
        </w:tc>
      </w:tr>
      <w:tr w14:paraId="1731C27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76DB82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99</w:t>
            </w:r>
          </w:p>
        </w:tc>
        <w:tc>
          <w:tcPr>
            <w:tcW w:w="0" w:type="auto"/>
            <w:vMerge w:val="continue"/>
            <w:tcBorders>
              <w:top w:val="nil"/>
              <w:left w:val="single" w:color="auto" w:sz="4" w:space="0"/>
              <w:bottom w:val="nil"/>
              <w:right w:val="single" w:color="auto" w:sz="4" w:space="0"/>
            </w:tcBorders>
            <w:vAlign w:val="center"/>
          </w:tcPr>
          <w:p w14:paraId="273E330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837F68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5FA276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8C5C23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排水专项风险评估数据资源目录梳理</w:t>
            </w:r>
          </w:p>
        </w:tc>
      </w:tr>
      <w:tr w14:paraId="750156B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AFEAF1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100</w:t>
            </w:r>
          </w:p>
        </w:tc>
        <w:tc>
          <w:tcPr>
            <w:tcW w:w="0" w:type="auto"/>
            <w:vMerge w:val="continue"/>
            <w:tcBorders>
              <w:top w:val="nil"/>
              <w:left w:val="single" w:color="auto" w:sz="4" w:space="0"/>
              <w:bottom w:val="nil"/>
              <w:right w:val="single" w:color="auto" w:sz="4" w:space="0"/>
            </w:tcBorders>
            <w:vAlign w:val="center"/>
          </w:tcPr>
          <w:p w14:paraId="4790E1D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1C35147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风险评估报告</w:t>
            </w:r>
          </w:p>
        </w:tc>
        <w:tc>
          <w:tcPr>
            <w:tcW w:w="2694" w:type="dxa"/>
            <w:vMerge w:val="continue"/>
            <w:tcBorders>
              <w:top w:val="nil"/>
              <w:left w:val="single" w:color="auto" w:sz="4" w:space="0"/>
              <w:bottom w:val="single" w:color="000000" w:sz="4" w:space="0"/>
              <w:right w:val="single" w:color="auto" w:sz="4" w:space="0"/>
            </w:tcBorders>
            <w:vAlign w:val="center"/>
          </w:tcPr>
          <w:p w14:paraId="3B5F739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7E18D6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排水专项总结报告制作</w:t>
            </w:r>
          </w:p>
        </w:tc>
      </w:tr>
      <w:tr w14:paraId="400A97A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F67CC3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101</w:t>
            </w:r>
          </w:p>
        </w:tc>
        <w:tc>
          <w:tcPr>
            <w:tcW w:w="0" w:type="auto"/>
            <w:vMerge w:val="continue"/>
            <w:tcBorders>
              <w:top w:val="nil"/>
              <w:left w:val="single" w:color="auto" w:sz="4" w:space="0"/>
              <w:bottom w:val="nil"/>
              <w:right w:val="single" w:color="auto" w:sz="4" w:space="0"/>
            </w:tcBorders>
            <w:vAlign w:val="center"/>
          </w:tcPr>
          <w:p w14:paraId="5C12844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D6A061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777855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F42C87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排水专项总结报告审核</w:t>
            </w:r>
          </w:p>
        </w:tc>
      </w:tr>
      <w:tr w14:paraId="533A02C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169B16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102</w:t>
            </w:r>
          </w:p>
        </w:tc>
        <w:tc>
          <w:tcPr>
            <w:tcW w:w="0" w:type="auto"/>
            <w:vMerge w:val="continue"/>
            <w:tcBorders>
              <w:top w:val="nil"/>
              <w:left w:val="single" w:color="auto" w:sz="4" w:space="0"/>
              <w:bottom w:val="nil"/>
              <w:right w:val="single" w:color="auto" w:sz="4" w:space="0"/>
            </w:tcBorders>
            <w:vAlign w:val="center"/>
          </w:tcPr>
          <w:p w14:paraId="7EC8611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684175B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监测布点方案</w:t>
            </w:r>
          </w:p>
        </w:tc>
        <w:tc>
          <w:tcPr>
            <w:tcW w:w="2694" w:type="dxa"/>
            <w:vMerge w:val="continue"/>
            <w:tcBorders>
              <w:top w:val="nil"/>
              <w:left w:val="single" w:color="auto" w:sz="4" w:space="0"/>
              <w:bottom w:val="single" w:color="000000" w:sz="4" w:space="0"/>
              <w:right w:val="single" w:color="auto" w:sz="4" w:space="0"/>
            </w:tcBorders>
            <w:vAlign w:val="center"/>
          </w:tcPr>
          <w:p w14:paraId="324DB68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A60836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排水专项监测布点方案设计</w:t>
            </w:r>
          </w:p>
        </w:tc>
      </w:tr>
      <w:tr w14:paraId="7B53691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38993F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103</w:t>
            </w:r>
          </w:p>
        </w:tc>
        <w:tc>
          <w:tcPr>
            <w:tcW w:w="0" w:type="auto"/>
            <w:vMerge w:val="continue"/>
            <w:tcBorders>
              <w:top w:val="nil"/>
              <w:left w:val="single" w:color="auto" w:sz="4" w:space="0"/>
              <w:bottom w:val="nil"/>
              <w:right w:val="single" w:color="auto" w:sz="4" w:space="0"/>
            </w:tcBorders>
            <w:vAlign w:val="center"/>
          </w:tcPr>
          <w:p w14:paraId="7FFF28D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ACFFCC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822462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5EAF00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排水专项监测布点方案审核</w:t>
            </w:r>
          </w:p>
        </w:tc>
      </w:tr>
      <w:tr w14:paraId="16644D0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9F2DE4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104</w:t>
            </w:r>
          </w:p>
        </w:tc>
        <w:tc>
          <w:tcPr>
            <w:tcW w:w="0" w:type="auto"/>
            <w:vMerge w:val="continue"/>
            <w:tcBorders>
              <w:top w:val="nil"/>
              <w:left w:val="single" w:color="auto" w:sz="4" w:space="0"/>
              <w:bottom w:val="nil"/>
              <w:right w:val="single" w:color="auto" w:sz="4" w:space="0"/>
            </w:tcBorders>
            <w:vAlign w:val="center"/>
          </w:tcPr>
          <w:p w14:paraId="05457A9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557CF34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电子成果物</w:t>
            </w:r>
          </w:p>
        </w:tc>
        <w:tc>
          <w:tcPr>
            <w:tcW w:w="2694" w:type="dxa"/>
            <w:vMerge w:val="continue"/>
            <w:tcBorders>
              <w:top w:val="nil"/>
              <w:left w:val="single" w:color="auto" w:sz="4" w:space="0"/>
              <w:bottom w:val="single" w:color="000000" w:sz="4" w:space="0"/>
              <w:right w:val="single" w:color="auto" w:sz="4" w:space="0"/>
            </w:tcBorders>
            <w:vAlign w:val="center"/>
          </w:tcPr>
          <w:p w14:paraId="358DF7B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265B45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排水专项评估成果电子档案数据梳理</w:t>
            </w:r>
          </w:p>
        </w:tc>
      </w:tr>
      <w:tr w14:paraId="6269D57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0ECC69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105</w:t>
            </w:r>
          </w:p>
        </w:tc>
        <w:tc>
          <w:tcPr>
            <w:tcW w:w="0" w:type="auto"/>
            <w:vMerge w:val="continue"/>
            <w:tcBorders>
              <w:top w:val="nil"/>
              <w:left w:val="single" w:color="auto" w:sz="4" w:space="0"/>
              <w:bottom w:val="nil"/>
              <w:right w:val="single" w:color="auto" w:sz="4" w:space="0"/>
            </w:tcBorders>
            <w:vAlign w:val="center"/>
          </w:tcPr>
          <w:p w14:paraId="368C352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BE0C56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901FA4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BEA506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排水专项电子档案资料更新维护</w:t>
            </w:r>
          </w:p>
        </w:tc>
      </w:tr>
      <w:tr w14:paraId="7F96E0FB">
        <w:tblPrEx>
          <w:tblCellMar>
            <w:top w:w="0" w:type="dxa"/>
            <w:left w:w="108" w:type="dxa"/>
            <w:bottom w:w="0" w:type="dxa"/>
            <w:right w:w="108" w:type="dxa"/>
          </w:tblCellMar>
        </w:tblPrEx>
        <w:trPr>
          <w:trHeight w:val="400" w:hRule="atLeast"/>
          <w:jc w:val="center"/>
        </w:trPr>
        <w:tc>
          <w:tcPr>
            <w:tcW w:w="0" w:type="auto"/>
            <w:tcBorders>
              <w:top w:val="nil"/>
              <w:left w:val="single" w:color="auto" w:sz="4" w:space="0"/>
              <w:bottom w:val="single" w:color="auto" w:sz="4" w:space="0"/>
              <w:right w:val="single" w:color="auto" w:sz="4" w:space="0"/>
            </w:tcBorders>
            <w:noWrap/>
            <w:vAlign w:val="center"/>
          </w:tcPr>
          <w:p w14:paraId="112F4725">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（四）</w:t>
            </w:r>
          </w:p>
        </w:tc>
        <w:tc>
          <w:tcPr>
            <w:tcW w:w="8144" w:type="dxa"/>
            <w:gridSpan w:val="4"/>
            <w:tcBorders>
              <w:top w:val="single" w:color="auto" w:sz="4" w:space="0"/>
              <w:left w:val="nil"/>
              <w:bottom w:val="single" w:color="auto" w:sz="4" w:space="0"/>
              <w:right w:val="single" w:color="000000" w:sz="4" w:space="0"/>
            </w:tcBorders>
            <w:vAlign w:val="center"/>
          </w:tcPr>
          <w:p w14:paraId="5DC91528">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供热专项风险评估</w:t>
            </w:r>
          </w:p>
        </w:tc>
      </w:tr>
      <w:tr w14:paraId="1B1B098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A42039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w:t>
            </w:r>
          </w:p>
        </w:tc>
        <w:tc>
          <w:tcPr>
            <w:tcW w:w="0" w:type="auto"/>
            <w:vMerge w:val="restart"/>
            <w:tcBorders>
              <w:top w:val="nil"/>
              <w:left w:val="single" w:color="auto" w:sz="4" w:space="0"/>
              <w:bottom w:val="nil"/>
              <w:right w:val="single" w:color="auto" w:sz="4" w:space="0"/>
            </w:tcBorders>
            <w:vAlign w:val="center"/>
          </w:tcPr>
          <w:p w14:paraId="3191260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供热专项风险评估</w:t>
            </w:r>
          </w:p>
        </w:tc>
        <w:tc>
          <w:tcPr>
            <w:tcW w:w="0" w:type="auto"/>
            <w:vMerge w:val="restart"/>
            <w:tcBorders>
              <w:top w:val="nil"/>
              <w:left w:val="single" w:color="auto" w:sz="4" w:space="0"/>
              <w:bottom w:val="single" w:color="auto" w:sz="4" w:space="0"/>
              <w:right w:val="single" w:color="auto" w:sz="4" w:space="0"/>
            </w:tcBorders>
            <w:vAlign w:val="center"/>
          </w:tcPr>
          <w:p w14:paraId="286DAB4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供热专项调研设计</w:t>
            </w:r>
          </w:p>
        </w:tc>
        <w:tc>
          <w:tcPr>
            <w:tcW w:w="2694" w:type="dxa"/>
            <w:vMerge w:val="restart"/>
            <w:tcBorders>
              <w:top w:val="nil"/>
              <w:left w:val="single" w:color="auto" w:sz="4" w:space="0"/>
              <w:bottom w:val="single" w:color="000000" w:sz="4" w:space="0"/>
              <w:right w:val="single" w:color="auto" w:sz="4" w:space="0"/>
            </w:tcBorders>
            <w:vAlign w:val="center"/>
          </w:tcPr>
          <w:p w14:paraId="12505B2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针对供热专项进行调研设计，并输出《供热专项调研表》</w:t>
            </w:r>
          </w:p>
        </w:tc>
        <w:tc>
          <w:tcPr>
            <w:tcW w:w="4204" w:type="dxa"/>
            <w:tcBorders>
              <w:top w:val="nil"/>
              <w:left w:val="nil"/>
              <w:bottom w:val="single" w:color="auto" w:sz="4" w:space="0"/>
              <w:right w:val="single" w:color="auto" w:sz="4" w:space="0"/>
            </w:tcBorders>
            <w:vAlign w:val="center"/>
          </w:tcPr>
          <w:p w14:paraId="2FC5758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供热管线基础数据梳理</w:t>
            </w:r>
          </w:p>
        </w:tc>
      </w:tr>
      <w:tr w14:paraId="608FC01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74A147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w:t>
            </w:r>
          </w:p>
        </w:tc>
        <w:tc>
          <w:tcPr>
            <w:tcW w:w="0" w:type="auto"/>
            <w:vMerge w:val="continue"/>
            <w:tcBorders>
              <w:top w:val="nil"/>
              <w:left w:val="single" w:color="auto" w:sz="4" w:space="0"/>
              <w:bottom w:val="nil"/>
              <w:right w:val="single" w:color="auto" w:sz="4" w:space="0"/>
            </w:tcBorders>
            <w:vAlign w:val="center"/>
          </w:tcPr>
          <w:p w14:paraId="6FFF82C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847ED1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A5EA5F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C124AE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供热设施基础属性梳理</w:t>
            </w:r>
          </w:p>
        </w:tc>
      </w:tr>
      <w:tr w14:paraId="66A2FAD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5CA14D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w:t>
            </w:r>
          </w:p>
        </w:tc>
        <w:tc>
          <w:tcPr>
            <w:tcW w:w="0" w:type="auto"/>
            <w:vMerge w:val="continue"/>
            <w:tcBorders>
              <w:top w:val="nil"/>
              <w:left w:val="single" w:color="auto" w:sz="4" w:space="0"/>
              <w:bottom w:val="nil"/>
              <w:right w:val="single" w:color="auto" w:sz="4" w:space="0"/>
            </w:tcBorders>
            <w:vAlign w:val="center"/>
          </w:tcPr>
          <w:p w14:paraId="348E630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57AFFF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ABA14B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FBACCC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供热设施运行监测数据梳理</w:t>
            </w:r>
          </w:p>
        </w:tc>
      </w:tr>
      <w:tr w14:paraId="0AA3F07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57D27A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w:t>
            </w:r>
          </w:p>
        </w:tc>
        <w:tc>
          <w:tcPr>
            <w:tcW w:w="0" w:type="auto"/>
            <w:vMerge w:val="continue"/>
            <w:tcBorders>
              <w:top w:val="nil"/>
              <w:left w:val="single" w:color="auto" w:sz="4" w:space="0"/>
              <w:bottom w:val="nil"/>
              <w:right w:val="single" w:color="auto" w:sz="4" w:space="0"/>
            </w:tcBorders>
            <w:vAlign w:val="center"/>
          </w:tcPr>
          <w:p w14:paraId="7D66F19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14EB8A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40E71C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92F9F0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供热设施周边环境风险数据梳理</w:t>
            </w:r>
          </w:p>
        </w:tc>
      </w:tr>
      <w:tr w14:paraId="19E3BA8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E4DCC9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w:t>
            </w:r>
          </w:p>
        </w:tc>
        <w:tc>
          <w:tcPr>
            <w:tcW w:w="0" w:type="auto"/>
            <w:vMerge w:val="continue"/>
            <w:tcBorders>
              <w:top w:val="nil"/>
              <w:left w:val="single" w:color="auto" w:sz="4" w:space="0"/>
              <w:bottom w:val="nil"/>
              <w:right w:val="single" w:color="auto" w:sz="4" w:space="0"/>
            </w:tcBorders>
            <w:vAlign w:val="center"/>
          </w:tcPr>
          <w:p w14:paraId="19AEAD4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D39356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6C2C9B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9C18A1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供热设施历史隐患事件记录梳理</w:t>
            </w:r>
          </w:p>
        </w:tc>
      </w:tr>
      <w:tr w14:paraId="321BBA7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076B80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w:t>
            </w:r>
          </w:p>
        </w:tc>
        <w:tc>
          <w:tcPr>
            <w:tcW w:w="0" w:type="auto"/>
            <w:vMerge w:val="continue"/>
            <w:tcBorders>
              <w:top w:val="nil"/>
              <w:left w:val="single" w:color="auto" w:sz="4" w:space="0"/>
              <w:bottom w:val="nil"/>
              <w:right w:val="single" w:color="auto" w:sz="4" w:space="0"/>
            </w:tcBorders>
            <w:vAlign w:val="center"/>
          </w:tcPr>
          <w:p w14:paraId="757E259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373FF0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40A55E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B8D590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供热调研表字段细化</w:t>
            </w:r>
          </w:p>
        </w:tc>
      </w:tr>
      <w:tr w14:paraId="0EC89D5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CCC233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w:t>
            </w:r>
          </w:p>
        </w:tc>
        <w:tc>
          <w:tcPr>
            <w:tcW w:w="0" w:type="auto"/>
            <w:vMerge w:val="continue"/>
            <w:tcBorders>
              <w:top w:val="nil"/>
              <w:left w:val="single" w:color="auto" w:sz="4" w:space="0"/>
              <w:bottom w:val="nil"/>
              <w:right w:val="single" w:color="auto" w:sz="4" w:space="0"/>
            </w:tcBorders>
            <w:vAlign w:val="center"/>
          </w:tcPr>
          <w:p w14:paraId="6E6FEE9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720E93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49F3B5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BB4757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供热调研表设计</w:t>
            </w:r>
          </w:p>
        </w:tc>
      </w:tr>
      <w:tr w14:paraId="227A485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148368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w:t>
            </w:r>
          </w:p>
        </w:tc>
        <w:tc>
          <w:tcPr>
            <w:tcW w:w="0" w:type="auto"/>
            <w:vMerge w:val="continue"/>
            <w:tcBorders>
              <w:top w:val="nil"/>
              <w:left w:val="single" w:color="auto" w:sz="4" w:space="0"/>
              <w:bottom w:val="nil"/>
              <w:right w:val="single" w:color="auto" w:sz="4" w:space="0"/>
            </w:tcBorders>
            <w:vAlign w:val="center"/>
          </w:tcPr>
          <w:p w14:paraId="0A605D1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2DE00DD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供热专项资料收集</w:t>
            </w:r>
          </w:p>
        </w:tc>
        <w:tc>
          <w:tcPr>
            <w:tcW w:w="2694" w:type="dxa"/>
            <w:vMerge w:val="restart"/>
            <w:tcBorders>
              <w:top w:val="nil"/>
              <w:left w:val="single" w:color="auto" w:sz="4" w:space="0"/>
              <w:bottom w:val="single" w:color="000000" w:sz="4" w:space="0"/>
              <w:right w:val="single" w:color="auto" w:sz="4" w:space="0"/>
            </w:tcBorders>
            <w:vAlign w:val="center"/>
          </w:tcPr>
          <w:p w14:paraId="07803D8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根据《供热专项调研表》进行资料搜集并录入，形成《供热资料收集清单》</w:t>
            </w:r>
          </w:p>
        </w:tc>
        <w:tc>
          <w:tcPr>
            <w:tcW w:w="4204" w:type="dxa"/>
            <w:tcBorders>
              <w:top w:val="nil"/>
              <w:left w:val="nil"/>
              <w:bottom w:val="single" w:color="auto" w:sz="4" w:space="0"/>
              <w:right w:val="single" w:color="auto" w:sz="4" w:space="0"/>
            </w:tcBorders>
            <w:vAlign w:val="center"/>
          </w:tcPr>
          <w:p w14:paraId="5DC491D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供热相关法律、法规、规章、标准和文件</w:t>
            </w:r>
          </w:p>
        </w:tc>
      </w:tr>
      <w:tr w14:paraId="63AE38A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836AF7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w:t>
            </w:r>
          </w:p>
        </w:tc>
        <w:tc>
          <w:tcPr>
            <w:tcW w:w="0" w:type="auto"/>
            <w:vMerge w:val="continue"/>
            <w:tcBorders>
              <w:top w:val="nil"/>
              <w:left w:val="single" w:color="auto" w:sz="4" w:space="0"/>
              <w:bottom w:val="nil"/>
              <w:right w:val="single" w:color="auto" w:sz="4" w:space="0"/>
            </w:tcBorders>
            <w:vAlign w:val="center"/>
          </w:tcPr>
          <w:p w14:paraId="74F62AF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2DC260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2AC50D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7A5D73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国内相关研究报告、技术标准、文献</w:t>
            </w:r>
          </w:p>
        </w:tc>
      </w:tr>
      <w:tr w14:paraId="75010D7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DBF6EF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w:t>
            </w:r>
          </w:p>
        </w:tc>
        <w:tc>
          <w:tcPr>
            <w:tcW w:w="0" w:type="auto"/>
            <w:vMerge w:val="continue"/>
            <w:tcBorders>
              <w:top w:val="nil"/>
              <w:left w:val="single" w:color="auto" w:sz="4" w:space="0"/>
              <w:bottom w:val="nil"/>
              <w:right w:val="single" w:color="auto" w:sz="4" w:space="0"/>
            </w:tcBorders>
            <w:vAlign w:val="center"/>
          </w:tcPr>
          <w:p w14:paraId="241040C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E92371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A5724B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C27B03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国内外相关灾害事故案例及调查分析资料</w:t>
            </w:r>
          </w:p>
        </w:tc>
      </w:tr>
      <w:tr w14:paraId="2E46855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46DE2E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w:t>
            </w:r>
          </w:p>
        </w:tc>
        <w:tc>
          <w:tcPr>
            <w:tcW w:w="0" w:type="auto"/>
            <w:vMerge w:val="continue"/>
            <w:tcBorders>
              <w:top w:val="nil"/>
              <w:left w:val="single" w:color="auto" w:sz="4" w:space="0"/>
              <w:bottom w:val="nil"/>
              <w:right w:val="single" w:color="auto" w:sz="4" w:space="0"/>
            </w:tcBorders>
            <w:vAlign w:val="center"/>
          </w:tcPr>
          <w:p w14:paraId="46A7522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C08450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44D6F6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9B82D1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供热安全风险源相关资料</w:t>
            </w:r>
          </w:p>
        </w:tc>
      </w:tr>
      <w:tr w14:paraId="601C7DF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27670D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w:t>
            </w:r>
          </w:p>
        </w:tc>
        <w:tc>
          <w:tcPr>
            <w:tcW w:w="0" w:type="auto"/>
            <w:vMerge w:val="continue"/>
            <w:tcBorders>
              <w:top w:val="nil"/>
              <w:left w:val="single" w:color="auto" w:sz="4" w:space="0"/>
              <w:bottom w:val="nil"/>
              <w:right w:val="single" w:color="auto" w:sz="4" w:space="0"/>
            </w:tcBorders>
            <w:vAlign w:val="center"/>
          </w:tcPr>
          <w:p w14:paraId="74D3A2D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61B484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FAFD55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797F11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应急资源调查报告</w:t>
            </w:r>
          </w:p>
        </w:tc>
      </w:tr>
      <w:tr w14:paraId="11C13FB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019405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13</w:t>
            </w:r>
          </w:p>
        </w:tc>
        <w:tc>
          <w:tcPr>
            <w:tcW w:w="0" w:type="auto"/>
            <w:vMerge w:val="continue"/>
            <w:tcBorders>
              <w:top w:val="nil"/>
              <w:left w:val="single" w:color="auto" w:sz="4" w:space="0"/>
              <w:bottom w:val="nil"/>
              <w:right w:val="single" w:color="auto" w:sz="4" w:space="0"/>
            </w:tcBorders>
            <w:vAlign w:val="center"/>
          </w:tcPr>
          <w:p w14:paraId="23C68B7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2E06A9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665AB9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575D64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防护目标资料</w:t>
            </w:r>
          </w:p>
        </w:tc>
      </w:tr>
      <w:tr w14:paraId="23FEB53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DB4F4C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14</w:t>
            </w:r>
          </w:p>
        </w:tc>
        <w:tc>
          <w:tcPr>
            <w:tcW w:w="0" w:type="auto"/>
            <w:vMerge w:val="continue"/>
            <w:tcBorders>
              <w:top w:val="nil"/>
              <w:left w:val="single" w:color="auto" w:sz="4" w:space="0"/>
              <w:bottom w:val="nil"/>
              <w:right w:val="single" w:color="auto" w:sz="4" w:space="0"/>
            </w:tcBorders>
            <w:vAlign w:val="center"/>
          </w:tcPr>
          <w:p w14:paraId="621ED50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3DF2E8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407F73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0A39F1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管线、供热厂历史上加固、修复、变更等情况</w:t>
            </w:r>
          </w:p>
        </w:tc>
      </w:tr>
      <w:tr w14:paraId="0202AC8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D7A3DC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15</w:t>
            </w:r>
          </w:p>
        </w:tc>
        <w:tc>
          <w:tcPr>
            <w:tcW w:w="0" w:type="auto"/>
            <w:vMerge w:val="continue"/>
            <w:tcBorders>
              <w:top w:val="nil"/>
              <w:left w:val="single" w:color="auto" w:sz="4" w:space="0"/>
              <w:bottom w:val="nil"/>
              <w:right w:val="single" w:color="auto" w:sz="4" w:space="0"/>
            </w:tcBorders>
            <w:vAlign w:val="center"/>
          </w:tcPr>
          <w:p w14:paraId="55A16D8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CF4040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84C340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E759B9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供热内部管理规定、制度</w:t>
            </w:r>
          </w:p>
        </w:tc>
      </w:tr>
      <w:tr w14:paraId="6B15AC2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BA275A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16</w:t>
            </w:r>
          </w:p>
        </w:tc>
        <w:tc>
          <w:tcPr>
            <w:tcW w:w="0" w:type="auto"/>
            <w:vMerge w:val="continue"/>
            <w:tcBorders>
              <w:top w:val="nil"/>
              <w:left w:val="single" w:color="auto" w:sz="4" w:space="0"/>
              <w:bottom w:val="nil"/>
              <w:right w:val="single" w:color="auto" w:sz="4" w:space="0"/>
            </w:tcBorders>
            <w:vAlign w:val="center"/>
          </w:tcPr>
          <w:p w14:paraId="6287D4F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001138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456935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85FF32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供热系统设计/竣工</w:t>
            </w:r>
          </w:p>
        </w:tc>
      </w:tr>
      <w:tr w14:paraId="084ADFC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97A488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17</w:t>
            </w:r>
          </w:p>
        </w:tc>
        <w:tc>
          <w:tcPr>
            <w:tcW w:w="0" w:type="auto"/>
            <w:vMerge w:val="continue"/>
            <w:tcBorders>
              <w:top w:val="nil"/>
              <w:left w:val="single" w:color="auto" w:sz="4" w:space="0"/>
              <w:bottom w:val="nil"/>
              <w:right w:val="single" w:color="auto" w:sz="4" w:space="0"/>
            </w:tcBorders>
            <w:vAlign w:val="center"/>
          </w:tcPr>
          <w:p w14:paraId="233D66B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599739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AF5034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48CCD2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运行情况记录、管理资料</w:t>
            </w:r>
          </w:p>
        </w:tc>
      </w:tr>
      <w:tr w14:paraId="106F3A1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B77444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18</w:t>
            </w:r>
          </w:p>
        </w:tc>
        <w:tc>
          <w:tcPr>
            <w:tcW w:w="0" w:type="auto"/>
            <w:vMerge w:val="continue"/>
            <w:tcBorders>
              <w:top w:val="nil"/>
              <w:left w:val="single" w:color="auto" w:sz="4" w:space="0"/>
              <w:bottom w:val="nil"/>
              <w:right w:val="single" w:color="auto" w:sz="4" w:space="0"/>
            </w:tcBorders>
            <w:vAlign w:val="center"/>
          </w:tcPr>
          <w:p w14:paraId="6983757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33D507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245761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DD14B6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突发事件应急预案</w:t>
            </w:r>
          </w:p>
        </w:tc>
      </w:tr>
      <w:tr w14:paraId="4B9DBA2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6146D4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19</w:t>
            </w:r>
          </w:p>
        </w:tc>
        <w:tc>
          <w:tcPr>
            <w:tcW w:w="0" w:type="auto"/>
            <w:vMerge w:val="continue"/>
            <w:tcBorders>
              <w:top w:val="nil"/>
              <w:left w:val="single" w:color="auto" w:sz="4" w:space="0"/>
              <w:bottom w:val="nil"/>
              <w:right w:val="single" w:color="auto" w:sz="4" w:space="0"/>
            </w:tcBorders>
            <w:vAlign w:val="center"/>
          </w:tcPr>
          <w:p w14:paraId="28B03BD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BF4902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04B1B5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C646CB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周边环境</w:t>
            </w:r>
          </w:p>
        </w:tc>
      </w:tr>
      <w:tr w14:paraId="5296D7E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CFC1B0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20</w:t>
            </w:r>
          </w:p>
        </w:tc>
        <w:tc>
          <w:tcPr>
            <w:tcW w:w="0" w:type="auto"/>
            <w:vMerge w:val="continue"/>
            <w:tcBorders>
              <w:top w:val="nil"/>
              <w:left w:val="single" w:color="auto" w:sz="4" w:space="0"/>
              <w:bottom w:val="nil"/>
              <w:right w:val="single" w:color="auto" w:sz="4" w:space="0"/>
            </w:tcBorders>
            <w:vAlign w:val="center"/>
          </w:tcPr>
          <w:p w14:paraId="6EA69F3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9378EA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36845A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244FF3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供热管道检测报告</w:t>
            </w:r>
          </w:p>
        </w:tc>
      </w:tr>
      <w:tr w14:paraId="1CA44AE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FE6D83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21</w:t>
            </w:r>
          </w:p>
        </w:tc>
        <w:tc>
          <w:tcPr>
            <w:tcW w:w="0" w:type="auto"/>
            <w:vMerge w:val="continue"/>
            <w:tcBorders>
              <w:top w:val="nil"/>
              <w:left w:val="single" w:color="auto" w:sz="4" w:space="0"/>
              <w:bottom w:val="nil"/>
              <w:right w:val="single" w:color="auto" w:sz="4" w:space="0"/>
            </w:tcBorders>
            <w:vAlign w:val="center"/>
          </w:tcPr>
          <w:p w14:paraId="5602BC5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200D66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52D59F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7E08BC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供热厂</w:t>
            </w:r>
          </w:p>
        </w:tc>
      </w:tr>
      <w:tr w14:paraId="2C31B33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5D9E52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22</w:t>
            </w:r>
          </w:p>
        </w:tc>
        <w:tc>
          <w:tcPr>
            <w:tcW w:w="0" w:type="auto"/>
            <w:vMerge w:val="continue"/>
            <w:tcBorders>
              <w:top w:val="nil"/>
              <w:left w:val="single" w:color="auto" w:sz="4" w:space="0"/>
              <w:bottom w:val="nil"/>
              <w:right w:val="single" w:color="auto" w:sz="4" w:space="0"/>
            </w:tcBorders>
            <w:vAlign w:val="center"/>
          </w:tcPr>
          <w:p w14:paraId="7339826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04BA25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09F10F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15A79C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信息化建设情况</w:t>
            </w:r>
          </w:p>
        </w:tc>
      </w:tr>
      <w:tr w14:paraId="4B2A059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9B59E5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23</w:t>
            </w:r>
          </w:p>
        </w:tc>
        <w:tc>
          <w:tcPr>
            <w:tcW w:w="0" w:type="auto"/>
            <w:vMerge w:val="continue"/>
            <w:tcBorders>
              <w:top w:val="nil"/>
              <w:left w:val="single" w:color="auto" w:sz="4" w:space="0"/>
              <w:bottom w:val="nil"/>
              <w:right w:val="single" w:color="auto" w:sz="4" w:space="0"/>
            </w:tcBorders>
            <w:vAlign w:val="center"/>
          </w:tcPr>
          <w:p w14:paraId="178893D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6D9CCBA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供热数据收集核查</w:t>
            </w:r>
          </w:p>
        </w:tc>
        <w:tc>
          <w:tcPr>
            <w:tcW w:w="2694" w:type="dxa"/>
            <w:vMerge w:val="restart"/>
            <w:tcBorders>
              <w:top w:val="nil"/>
              <w:left w:val="single" w:color="auto" w:sz="4" w:space="0"/>
              <w:bottom w:val="single" w:color="000000" w:sz="4" w:space="0"/>
              <w:right w:val="single" w:color="auto" w:sz="4" w:space="0"/>
            </w:tcBorders>
            <w:vAlign w:val="center"/>
          </w:tcPr>
          <w:p w14:paraId="333E1ED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对采集来的数据进行数据核查输出《供热专项数据核查表》并进行数据修正</w:t>
            </w:r>
          </w:p>
        </w:tc>
        <w:tc>
          <w:tcPr>
            <w:tcW w:w="4204" w:type="dxa"/>
            <w:tcBorders>
              <w:top w:val="nil"/>
              <w:left w:val="nil"/>
              <w:bottom w:val="single" w:color="auto" w:sz="4" w:space="0"/>
              <w:right w:val="single" w:color="auto" w:sz="4" w:space="0"/>
            </w:tcBorders>
            <w:vAlign w:val="center"/>
          </w:tcPr>
          <w:p w14:paraId="7130D45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供热管道管材</w:t>
            </w:r>
          </w:p>
        </w:tc>
      </w:tr>
      <w:tr w14:paraId="0535858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6248DF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24</w:t>
            </w:r>
          </w:p>
        </w:tc>
        <w:tc>
          <w:tcPr>
            <w:tcW w:w="0" w:type="auto"/>
            <w:vMerge w:val="continue"/>
            <w:tcBorders>
              <w:top w:val="nil"/>
              <w:left w:val="single" w:color="auto" w:sz="4" w:space="0"/>
              <w:bottom w:val="nil"/>
              <w:right w:val="single" w:color="auto" w:sz="4" w:space="0"/>
            </w:tcBorders>
            <w:vAlign w:val="center"/>
          </w:tcPr>
          <w:p w14:paraId="636784C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55E127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4F784A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6A996B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供热管道管径</w:t>
            </w:r>
          </w:p>
        </w:tc>
      </w:tr>
      <w:tr w14:paraId="067543B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150FFB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25</w:t>
            </w:r>
          </w:p>
        </w:tc>
        <w:tc>
          <w:tcPr>
            <w:tcW w:w="0" w:type="auto"/>
            <w:vMerge w:val="continue"/>
            <w:tcBorders>
              <w:top w:val="nil"/>
              <w:left w:val="single" w:color="auto" w:sz="4" w:space="0"/>
              <w:bottom w:val="nil"/>
              <w:right w:val="single" w:color="auto" w:sz="4" w:space="0"/>
            </w:tcBorders>
            <w:vAlign w:val="center"/>
          </w:tcPr>
          <w:p w14:paraId="4B6EB74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17996E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09FD92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F5AFCC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供热管道管龄</w:t>
            </w:r>
          </w:p>
        </w:tc>
      </w:tr>
      <w:tr w14:paraId="15E465D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BB3AD2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26</w:t>
            </w:r>
          </w:p>
        </w:tc>
        <w:tc>
          <w:tcPr>
            <w:tcW w:w="0" w:type="auto"/>
            <w:vMerge w:val="continue"/>
            <w:tcBorders>
              <w:top w:val="nil"/>
              <w:left w:val="single" w:color="auto" w:sz="4" w:space="0"/>
              <w:bottom w:val="nil"/>
              <w:right w:val="single" w:color="auto" w:sz="4" w:space="0"/>
            </w:tcBorders>
            <w:vAlign w:val="center"/>
          </w:tcPr>
          <w:p w14:paraId="1705A92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F37E33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E1378F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C153F8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供热管道周边环境</w:t>
            </w:r>
          </w:p>
        </w:tc>
      </w:tr>
      <w:tr w14:paraId="72D7B0E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623E9E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27</w:t>
            </w:r>
          </w:p>
        </w:tc>
        <w:tc>
          <w:tcPr>
            <w:tcW w:w="0" w:type="auto"/>
            <w:vMerge w:val="continue"/>
            <w:tcBorders>
              <w:top w:val="nil"/>
              <w:left w:val="single" w:color="auto" w:sz="4" w:space="0"/>
              <w:bottom w:val="nil"/>
              <w:right w:val="single" w:color="auto" w:sz="4" w:space="0"/>
            </w:tcBorders>
            <w:vAlign w:val="center"/>
          </w:tcPr>
          <w:p w14:paraId="5AD14C5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A6A5E2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DABC38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1781FE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排热管道周边防护目标</w:t>
            </w:r>
          </w:p>
        </w:tc>
      </w:tr>
      <w:tr w14:paraId="5F051C1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7AB9F1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28</w:t>
            </w:r>
          </w:p>
        </w:tc>
        <w:tc>
          <w:tcPr>
            <w:tcW w:w="0" w:type="auto"/>
            <w:vMerge w:val="continue"/>
            <w:tcBorders>
              <w:top w:val="nil"/>
              <w:left w:val="single" w:color="auto" w:sz="4" w:space="0"/>
              <w:bottom w:val="nil"/>
              <w:right w:val="single" w:color="auto" w:sz="4" w:space="0"/>
            </w:tcBorders>
            <w:vAlign w:val="center"/>
          </w:tcPr>
          <w:p w14:paraId="6E02D5F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DD6A5A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E9D60D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697FC7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排热管道应急资源</w:t>
            </w:r>
          </w:p>
        </w:tc>
      </w:tr>
      <w:tr w14:paraId="0979B86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212AD2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29</w:t>
            </w:r>
          </w:p>
        </w:tc>
        <w:tc>
          <w:tcPr>
            <w:tcW w:w="0" w:type="auto"/>
            <w:vMerge w:val="continue"/>
            <w:tcBorders>
              <w:top w:val="nil"/>
              <w:left w:val="single" w:color="auto" w:sz="4" w:space="0"/>
              <w:bottom w:val="nil"/>
              <w:right w:val="single" w:color="auto" w:sz="4" w:space="0"/>
            </w:tcBorders>
            <w:vAlign w:val="center"/>
          </w:tcPr>
          <w:p w14:paraId="0189065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0C3E27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5D29F1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C2DB70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排热管道应急抢修队伍</w:t>
            </w:r>
          </w:p>
        </w:tc>
      </w:tr>
      <w:tr w14:paraId="116D19B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DA4398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30</w:t>
            </w:r>
          </w:p>
        </w:tc>
        <w:tc>
          <w:tcPr>
            <w:tcW w:w="0" w:type="auto"/>
            <w:vMerge w:val="continue"/>
            <w:tcBorders>
              <w:top w:val="nil"/>
              <w:left w:val="single" w:color="auto" w:sz="4" w:space="0"/>
              <w:bottom w:val="nil"/>
              <w:right w:val="single" w:color="auto" w:sz="4" w:space="0"/>
            </w:tcBorders>
            <w:vAlign w:val="center"/>
          </w:tcPr>
          <w:p w14:paraId="404008B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39C684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258F39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985972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历史事件</w:t>
            </w:r>
          </w:p>
        </w:tc>
      </w:tr>
      <w:tr w14:paraId="60808AF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18120E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31</w:t>
            </w:r>
          </w:p>
        </w:tc>
        <w:tc>
          <w:tcPr>
            <w:tcW w:w="0" w:type="auto"/>
            <w:vMerge w:val="continue"/>
            <w:tcBorders>
              <w:top w:val="nil"/>
              <w:left w:val="single" w:color="auto" w:sz="4" w:space="0"/>
              <w:bottom w:val="nil"/>
              <w:right w:val="single" w:color="auto" w:sz="4" w:space="0"/>
            </w:tcBorders>
            <w:vAlign w:val="center"/>
          </w:tcPr>
          <w:p w14:paraId="71D8356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E868BF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AB33B0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8ED126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所在道路等级</w:t>
            </w:r>
          </w:p>
        </w:tc>
      </w:tr>
      <w:tr w14:paraId="5033B11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E5FE61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32</w:t>
            </w:r>
          </w:p>
        </w:tc>
        <w:tc>
          <w:tcPr>
            <w:tcW w:w="0" w:type="auto"/>
            <w:vMerge w:val="continue"/>
            <w:tcBorders>
              <w:top w:val="nil"/>
              <w:left w:val="single" w:color="auto" w:sz="4" w:space="0"/>
              <w:bottom w:val="nil"/>
              <w:right w:val="single" w:color="auto" w:sz="4" w:space="0"/>
            </w:tcBorders>
            <w:vAlign w:val="center"/>
          </w:tcPr>
          <w:p w14:paraId="000B01B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14C5DA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9B2C48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A29B71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管线影响用户数</w:t>
            </w:r>
          </w:p>
        </w:tc>
      </w:tr>
      <w:tr w14:paraId="086FC5E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A1D8D6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33</w:t>
            </w:r>
          </w:p>
        </w:tc>
        <w:tc>
          <w:tcPr>
            <w:tcW w:w="0" w:type="auto"/>
            <w:vMerge w:val="continue"/>
            <w:tcBorders>
              <w:top w:val="nil"/>
              <w:left w:val="single" w:color="auto" w:sz="4" w:space="0"/>
              <w:bottom w:val="nil"/>
              <w:right w:val="single" w:color="auto" w:sz="4" w:space="0"/>
            </w:tcBorders>
            <w:vAlign w:val="center"/>
          </w:tcPr>
          <w:p w14:paraId="0AC7992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64ACE4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ED919B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9BD699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管线周边区域重要度</w:t>
            </w:r>
          </w:p>
        </w:tc>
      </w:tr>
      <w:tr w14:paraId="6DB49EF4">
        <w:tblPrEx>
          <w:tblCellMar>
            <w:top w:w="0" w:type="dxa"/>
            <w:left w:w="108" w:type="dxa"/>
            <w:bottom w:w="0" w:type="dxa"/>
            <w:right w:w="108" w:type="dxa"/>
          </w:tblCellMar>
        </w:tblPrEx>
        <w:trPr>
          <w:trHeight w:val="840" w:hRule="atLeast"/>
          <w:jc w:val="center"/>
        </w:trPr>
        <w:tc>
          <w:tcPr>
            <w:tcW w:w="0" w:type="auto"/>
            <w:tcBorders>
              <w:top w:val="nil"/>
              <w:left w:val="single" w:color="auto" w:sz="4" w:space="0"/>
              <w:bottom w:val="single" w:color="auto" w:sz="4" w:space="0"/>
              <w:right w:val="single" w:color="auto" w:sz="4" w:space="0"/>
            </w:tcBorders>
            <w:noWrap/>
            <w:vAlign w:val="center"/>
          </w:tcPr>
          <w:p w14:paraId="43071F9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34</w:t>
            </w:r>
          </w:p>
        </w:tc>
        <w:tc>
          <w:tcPr>
            <w:tcW w:w="0" w:type="auto"/>
            <w:vMerge w:val="continue"/>
            <w:tcBorders>
              <w:top w:val="nil"/>
              <w:left w:val="single" w:color="auto" w:sz="4" w:space="0"/>
              <w:bottom w:val="nil"/>
              <w:right w:val="single" w:color="auto" w:sz="4" w:space="0"/>
            </w:tcBorders>
            <w:vAlign w:val="center"/>
          </w:tcPr>
          <w:p w14:paraId="03535E9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0616B7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464006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B6F85C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供热厂运行年限、安全生产标准化、抗震设施类别、防洪等级、影响供热、员工人数、附近危险源、厂内危险源、其他隐患</w:t>
            </w:r>
          </w:p>
        </w:tc>
      </w:tr>
      <w:tr w14:paraId="2E1EA87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542D8D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35</w:t>
            </w:r>
          </w:p>
        </w:tc>
        <w:tc>
          <w:tcPr>
            <w:tcW w:w="0" w:type="auto"/>
            <w:vMerge w:val="continue"/>
            <w:tcBorders>
              <w:top w:val="nil"/>
              <w:left w:val="single" w:color="auto" w:sz="4" w:space="0"/>
              <w:bottom w:val="nil"/>
              <w:right w:val="single" w:color="auto" w:sz="4" w:space="0"/>
            </w:tcBorders>
            <w:vAlign w:val="center"/>
          </w:tcPr>
          <w:p w14:paraId="3086C1F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3CCB401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供热专项现场调查</w:t>
            </w:r>
          </w:p>
        </w:tc>
        <w:tc>
          <w:tcPr>
            <w:tcW w:w="2694" w:type="dxa"/>
            <w:vMerge w:val="restart"/>
            <w:tcBorders>
              <w:top w:val="nil"/>
              <w:left w:val="single" w:color="auto" w:sz="4" w:space="0"/>
              <w:bottom w:val="single" w:color="000000" w:sz="4" w:space="0"/>
              <w:right w:val="single" w:color="auto" w:sz="4" w:space="0"/>
            </w:tcBorders>
            <w:vAlign w:val="center"/>
          </w:tcPr>
          <w:p w14:paraId="5C65E69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对各个供热设施进行现场调查</w:t>
            </w:r>
          </w:p>
        </w:tc>
        <w:tc>
          <w:tcPr>
            <w:tcW w:w="4204" w:type="dxa"/>
            <w:tcBorders>
              <w:top w:val="nil"/>
              <w:left w:val="nil"/>
              <w:bottom w:val="single" w:color="auto" w:sz="4" w:space="0"/>
              <w:right w:val="single" w:color="auto" w:sz="4" w:space="0"/>
            </w:tcBorders>
            <w:vAlign w:val="center"/>
          </w:tcPr>
          <w:p w14:paraId="4C4C89A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供热风险源调查</w:t>
            </w:r>
          </w:p>
        </w:tc>
      </w:tr>
      <w:tr w14:paraId="2C2FE1C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931A40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36</w:t>
            </w:r>
          </w:p>
        </w:tc>
        <w:tc>
          <w:tcPr>
            <w:tcW w:w="0" w:type="auto"/>
            <w:vMerge w:val="continue"/>
            <w:tcBorders>
              <w:top w:val="nil"/>
              <w:left w:val="single" w:color="auto" w:sz="4" w:space="0"/>
              <w:bottom w:val="nil"/>
              <w:right w:val="single" w:color="auto" w:sz="4" w:space="0"/>
            </w:tcBorders>
            <w:vAlign w:val="center"/>
          </w:tcPr>
          <w:p w14:paraId="306EE01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89683C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14A4B7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A3D52A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供热重点防护目标调查</w:t>
            </w:r>
          </w:p>
        </w:tc>
      </w:tr>
      <w:tr w14:paraId="365A719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3F52D7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37</w:t>
            </w:r>
          </w:p>
        </w:tc>
        <w:tc>
          <w:tcPr>
            <w:tcW w:w="0" w:type="auto"/>
            <w:vMerge w:val="continue"/>
            <w:tcBorders>
              <w:top w:val="nil"/>
              <w:left w:val="single" w:color="auto" w:sz="4" w:space="0"/>
              <w:bottom w:val="nil"/>
              <w:right w:val="single" w:color="auto" w:sz="4" w:space="0"/>
            </w:tcBorders>
            <w:vAlign w:val="center"/>
          </w:tcPr>
          <w:p w14:paraId="2FDEF5F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78EF19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1D777D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21E27B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供热应急资源调查</w:t>
            </w:r>
          </w:p>
        </w:tc>
      </w:tr>
      <w:tr w14:paraId="7CB876F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6C59C7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38</w:t>
            </w:r>
          </w:p>
        </w:tc>
        <w:tc>
          <w:tcPr>
            <w:tcW w:w="0" w:type="auto"/>
            <w:vMerge w:val="continue"/>
            <w:tcBorders>
              <w:top w:val="nil"/>
              <w:left w:val="single" w:color="auto" w:sz="4" w:space="0"/>
              <w:bottom w:val="nil"/>
              <w:right w:val="single" w:color="auto" w:sz="4" w:space="0"/>
            </w:tcBorders>
            <w:vAlign w:val="center"/>
          </w:tcPr>
          <w:p w14:paraId="2610EB9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22B79B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8EA3F1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D836A3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供热安全管理调查</w:t>
            </w:r>
          </w:p>
        </w:tc>
      </w:tr>
      <w:tr w14:paraId="6A6976B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BB9175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39</w:t>
            </w:r>
          </w:p>
        </w:tc>
        <w:tc>
          <w:tcPr>
            <w:tcW w:w="0" w:type="auto"/>
            <w:vMerge w:val="continue"/>
            <w:tcBorders>
              <w:top w:val="nil"/>
              <w:left w:val="single" w:color="auto" w:sz="4" w:space="0"/>
              <w:bottom w:val="nil"/>
              <w:right w:val="single" w:color="auto" w:sz="4" w:space="0"/>
            </w:tcBorders>
            <w:vAlign w:val="center"/>
          </w:tcPr>
          <w:p w14:paraId="16C1E34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739509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CD4BDD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883C1E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供热专项安全生产责任制数据梳理</w:t>
            </w:r>
          </w:p>
        </w:tc>
      </w:tr>
      <w:tr w14:paraId="142F950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AFC152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40</w:t>
            </w:r>
          </w:p>
        </w:tc>
        <w:tc>
          <w:tcPr>
            <w:tcW w:w="0" w:type="auto"/>
            <w:vMerge w:val="continue"/>
            <w:tcBorders>
              <w:top w:val="nil"/>
              <w:left w:val="single" w:color="auto" w:sz="4" w:space="0"/>
              <w:bottom w:val="nil"/>
              <w:right w:val="single" w:color="auto" w:sz="4" w:space="0"/>
            </w:tcBorders>
            <w:vAlign w:val="center"/>
          </w:tcPr>
          <w:p w14:paraId="63C5899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C3C0D5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6D8B83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321031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供热专项安全管理制度录入</w:t>
            </w:r>
          </w:p>
        </w:tc>
      </w:tr>
      <w:tr w14:paraId="7CC6580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07603B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41</w:t>
            </w:r>
          </w:p>
        </w:tc>
        <w:tc>
          <w:tcPr>
            <w:tcW w:w="0" w:type="auto"/>
            <w:vMerge w:val="continue"/>
            <w:tcBorders>
              <w:top w:val="nil"/>
              <w:left w:val="single" w:color="auto" w:sz="4" w:space="0"/>
              <w:bottom w:val="nil"/>
              <w:right w:val="single" w:color="auto" w:sz="4" w:space="0"/>
            </w:tcBorders>
            <w:vAlign w:val="center"/>
          </w:tcPr>
          <w:p w14:paraId="4A7A58B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2A9D29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80026E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8E102B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供热专项安全巡查记录数据梳理</w:t>
            </w:r>
          </w:p>
        </w:tc>
      </w:tr>
      <w:tr w14:paraId="0354F9E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02CC2E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42</w:t>
            </w:r>
          </w:p>
        </w:tc>
        <w:tc>
          <w:tcPr>
            <w:tcW w:w="0" w:type="auto"/>
            <w:vMerge w:val="continue"/>
            <w:tcBorders>
              <w:top w:val="nil"/>
              <w:left w:val="single" w:color="auto" w:sz="4" w:space="0"/>
              <w:bottom w:val="nil"/>
              <w:right w:val="single" w:color="auto" w:sz="4" w:space="0"/>
            </w:tcBorders>
            <w:vAlign w:val="center"/>
          </w:tcPr>
          <w:p w14:paraId="303E5CE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37EF83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90517D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370865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供热专项安全巡查数据录入</w:t>
            </w:r>
          </w:p>
        </w:tc>
      </w:tr>
      <w:tr w14:paraId="4C9AEF3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E0380E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43</w:t>
            </w:r>
          </w:p>
        </w:tc>
        <w:tc>
          <w:tcPr>
            <w:tcW w:w="0" w:type="auto"/>
            <w:vMerge w:val="continue"/>
            <w:tcBorders>
              <w:top w:val="nil"/>
              <w:left w:val="single" w:color="auto" w:sz="4" w:space="0"/>
              <w:bottom w:val="nil"/>
              <w:right w:val="single" w:color="auto" w:sz="4" w:space="0"/>
            </w:tcBorders>
            <w:vAlign w:val="center"/>
          </w:tcPr>
          <w:p w14:paraId="17763A4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DA5898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29A0FE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B61078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供热专项隐患排查计划数据梳理</w:t>
            </w:r>
          </w:p>
        </w:tc>
      </w:tr>
      <w:tr w14:paraId="11FDB35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ED7AF4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44</w:t>
            </w:r>
          </w:p>
        </w:tc>
        <w:tc>
          <w:tcPr>
            <w:tcW w:w="0" w:type="auto"/>
            <w:vMerge w:val="continue"/>
            <w:tcBorders>
              <w:top w:val="nil"/>
              <w:left w:val="single" w:color="auto" w:sz="4" w:space="0"/>
              <w:bottom w:val="nil"/>
              <w:right w:val="single" w:color="auto" w:sz="4" w:space="0"/>
            </w:tcBorders>
            <w:vAlign w:val="center"/>
          </w:tcPr>
          <w:p w14:paraId="636B12C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DBC1EC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4F4B05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A1F19A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供热专项隐患排查数据录入</w:t>
            </w:r>
          </w:p>
        </w:tc>
      </w:tr>
      <w:tr w14:paraId="01EBF14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CD57FA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45</w:t>
            </w:r>
          </w:p>
        </w:tc>
        <w:tc>
          <w:tcPr>
            <w:tcW w:w="0" w:type="auto"/>
            <w:vMerge w:val="continue"/>
            <w:tcBorders>
              <w:top w:val="nil"/>
              <w:left w:val="single" w:color="auto" w:sz="4" w:space="0"/>
              <w:bottom w:val="nil"/>
              <w:right w:val="single" w:color="auto" w:sz="4" w:space="0"/>
            </w:tcBorders>
            <w:vAlign w:val="center"/>
          </w:tcPr>
          <w:p w14:paraId="358FC16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6FA5C2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DAF6EE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E3DBEF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供热应急资源数据梳理</w:t>
            </w:r>
          </w:p>
        </w:tc>
      </w:tr>
      <w:tr w14:paraId="076CB14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394075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46</w:t>
            </w:r>
          </w:p>
        </w:tc>
        <w:tc>
          <w:tcPr>
            <w:tcW w:w="0" w:type="auto"/>
            <w:vMerge w:val="continue"/>
            <w:tcBorders>
              <w:top w:val="nil"/>
              <w:left w:val="single" w:color="auto" w:sz="4" w:space="0"/>
              <w:bottom w:val="nil"/>
              <w:right w:val="single" w:color="auto" w:sz="4" w:space="0"/>
            </w:tcBorders>
            <w:vAlign w:val="center"/>
          </w:tcPr>
          <w:p w14:paraId="70EA403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5AE63E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E3AB02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C84232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供热应急资源信息录入</w:t>
            </w:r>
          </w:p>
        </w:tc>
      </w:tr>
      <w:tr w14:paraId="10CB2A6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FDA622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47</w:t>
            </w:r>
          </w:p>
        </w:tc>
        <w:tc>
          <w:tcPr>
            <w:tcW w:w="0" w:type="auto"/>
            <w:vMerge w:val="continue"/>
            <w:tcBorders>
              <w:top w:val="nil"/>
              <w:left w:val="single" w:color="auto" w:sz="4" w:space="0"/>
              <w:bottom w:val="nil"/>
              <w:right w:val="single" w:color="auto" w:sz="4" w:space="0"/>
            </w:tcBorders>
            <w:vAlign w:val="center"/>
          </w:tcPr>
          <w:p w14:paraId="27F3B50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B749EF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4043AC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14EFF1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供热应急资源查询与调度</w:t>
            </w:r>
          </w:p>
        </w:tc>
      </w:tr>
      <w:tr w14:paraId="128196F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D259D3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48</w:t>
            </w:r>
          </w:p>
        </w:tc>
        <w:tc>
          <w:tcPr>
            <w:tcW w:w="0" w:type="auto"/>
            <w:vMerge w:val="continue"/>
            <w:tcBorders>
              <w:top w:val="nil"/>
              <w:left w:val="single" w:color="auto" w:sz="4" w:space="0"/>
              <w:bottom w:val="nil"/>
              <w:right w:val="single" w:color="auto" w:sz="4" w:space="0"/>
            </w:tcBorders>
            <w:vAlign w:val="center"/>
          </w:tcPr>
          <w:p w14:paraId="070CEF8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64D7F0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6102FB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602CA4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供热专项应急预案信息数据梳理</w:t>
            </w:r>
          </w:p>
        </w:tc>
      </w:tr>
      <w:tr w14:paraId="6AC3DA2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089F72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49</w:t>
            </w:r>
          </w:p>
        </w:tc>
        <w:tc>
          <w:tcPr>
            <w:tcW w:w="0" w:type="auto"/>
            <w:vMerge w:val="continue"/>
            <w:tcBorders>
              <w:top w:val="nil"/>
              <w:left w:val="single" w:color="auto" w:sz="4" w:space="0"/>
              <w:bottom w:val="nil"/>
              <w:right w:val="single" w:color="auto" w:sz="4" w:space="0"/>
            </w:tcBorders>
            <w:vAlign w:val="center"/>
          </w:tcPr>
          <w:p w14:paraId="17DA353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938F18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8967A6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FE250E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供热专项应急预案录入</w:t>
            </w:r>
          </w:p>
        </w:tc>
      </w:tr>
      <w:tr w14:paraId="52A5BC7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6950AD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50</w:t>
            </w:r>
          </w:p>
        </w:tc>
        <w:tc>
          <w:tcPr>
            <w:tcW w:w="0" w:type="auto"/>
            <w:vMerge w:val="continue"/>
            <w:tcBorders>
              <w:top w:val="nil"/>
              <w:left w:val="single" w:color="auto" w:sz="4" w:space="0"/>
              <w:bottom w:val="nil"/>
              <w:right w:val="single" w:color="auto" w:sz="4" w:space="0"/>
            </w:tcBorders>
            <w:vAlign w:val="center"/>
          </w:tcPr>
          <w:p w14:paraId="4ECCEF6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7094FC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B4788A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2530B7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供热专项应急资源能力评估数据梳理</w:t>
            </w:r>
          </w:p>
        </w:tc>
      </w:tr>
      <w:tr w14:paraId="42DC498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B3B65D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51</w:t>
            </w:r>
          </w:p>
        </w:tc>
        <w:tc>
          <w:tcPr>
            <w:tcW w:w="0" w:type="auto"/>
            <w:vMerge w:val="continue"/>
            <w:tcBorders>
              <w:top w:val="nil"/>
              <w:left w:val="single" w:color="auto" w:sz="4" w:space="0"/>
              <w:bottom w:val="nil"/>
              <w:right w:val="single" w:color="auto" w:sz="4" w:space="0"/>
            </w:tcBorders>
            <w:vAlign w:val="center"/>
          </w:tcPr>
          <w:p w14:paraId="70BDB4D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8CF01C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8851F1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6078F3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供热专项应急响应资源数据录入</w:t>
            </w:r>
          </w:p>
        </w:tc>
      </w:tr>
      <w:tr w14:paraId="771684D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7FD9C6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52</w:t>
            </w:r>
          </w:p>
        </w:tc>
        <w:tc>
          <w:tcPr>
            <w:tcW w:w="0" w:type="auto"/>
            <w:vMerge w:val="continue"/>
            <w:tcBorders>
              <w:top w:val="nil"/>
              <w:left w:val="single" w:color="auto" w:sz="4" w:space="0"/>
              <w:bottom w:val="nil"/>
              <w:right w:val="single" w:color="auto" w:sz="4" w:space="0"/>
            </w:tcBorders>
            <w:vAlign w:val="center"/>
          </w:tcPr>
          <w:p w14:paraId="7767006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586499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BC273F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DE8589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供热专项重大危险源识别数据梳理</w:t>
            </w:r>
          </w:p>
        </w:tc>
      </w:tr>
      <w:tr w14:paraId="16F6674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5F3399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53</w:t>
            </w:r>
          </w:p>
        </w:tc>
        <w:tc>
          <w:tcPr>
            <w:tcW w:w="0" w:type="auto"/>
            <w:vMerge w:val="continue"/>
            <w:tcBorders>
              <w:top w:val="nil"/>
              <w:left w:val="single" w:color="auto" w:sz="4" w:space="0"/>
              <w:bottom w:val="nil"/>
              <w:right w:val="single" w:color="auto" w:sz="4" w:space="0"/>
            </w:tcBorders>
            <w:vAlign w:val="center"/>
          </w:tcPr>
          <w:p w14:paraId="4EF46D7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218E08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F6B450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1442C8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供热专项重大危险源数据录入</w:t>
            </w:r>
          </w:p>
        </w:tc>
      </w:tr>
      <w:tr w14:paraId="4030706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5E5C04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54</w:t>
            </w:r>
          </w:p>
        </w:tc>
        <w:tc>
          <w:tcPr>
            <w:tcW w:w="0" w:type="auto"/>
            <w:vMerge w:val="continue"/>
            <w:tcBorders>
              <w:top w:val="nil"/>
              <w:left w:val="single" w:color="auto" w:sz="4" w:space="0"/>
              <w:bottom w:val="nil"/>
              <w:right w:val="single" w:color="auto" w:sz="4" w:space="0"/>
            </w:tcBorders>
            <w:vAlign w:val="center"/>
          </w:tcPr>
          <w:p w14:paraId="5A0E2C5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CC73F6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2D7FE5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344A11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供热专项社会经济敏感目标数据梳理</w:t>
            </w:r>
          </w:p>
        </w:tc>
      </w:tr>
      <w:tr w14:paraId="4843902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D53E9C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55</w:t>
            </w:r>
          </w:p>
        </w:tc>
        <w:tc>
          <w:tcPr>
            <w:tcW w:w="0" w:type="auto"/>
            <w:vMerge w:val="continue"/>
            <w:tcBorders>
              <w:top w:val="nil"/>
              <w:left w:val="single" w:color="auto" w:sz="4" w:space="0"/>
              <w:bottom w:val="nil"/>
              <w:right w:val="single" w:color="auto" w:sz="4" w:space="0"/>
            </w:tcBorders>
            <w:vAlign w:val="center"/>
          </w:tcPr>
          <w:p w14:paraId="373CDF3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54B61D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7F49B4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DF561B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供热专项敏感区域信息录入</w:t>
            </w:r>
          </w:p>
        </w:tc>
      </w:tr>
      <w:tr w14:paraId="0B0BF25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2FE995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56</w:t>
            </w:r>
          </w:p>
        </w:tc>
        <w:tc>
          <w:tcPr>
            <w:tcW w:w="0" w:type="auto"/>
            <w:vMerge w:val="continue"/>
            <w:tcBorders>
              <w:top w:val="nil"/>
              <w:left w:val="single" w:color="auto" w:sz="4" w:space="0"/>
              <w:bottom w:val="nil"/>
              <w:right w:val="single" w:color="auto" w:sz="4" w:space="0"/>
            </w:tcBorders>
            <w:vAlign w:val="center"/>
          </w:tcPr>
          <w:p w14:paraId="5C4E532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43D9259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供热专项数据分析处理</w:t>
            </w:r>
          </w:p>
        </w:tc>
        <w:tc>
          <w:tcPr>
            <w:tcW w:w="2694" w:type="dxa"/>
            <w:vMerge w:val="restart"/>
            <w:tcBorders>
              <w:top w:val="nil"/>
              <w:left w:val="single" w:color="auto" w:sz="4" w:space="0"/>
              <w:bottom w:val="single" w:color="000000" w:sz="4" w:space="0"/>
              <w:right w:val="single" w:color="auto" w:sz="4" w:space="0"/>
            </w:tcBorders>
            <w:vAlign w:val="center"/>
          </w:tcPr>
          <w:p w14:paraId="7C83AF3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针对采集的数据、现场调查数据进行数据录入，根据数据模型进行预处理</w:t>
            </w:r>
          </w:p>
        </w:tc>
        <w:tc>
          <w:tcPr>
            <w:tcW w:w="4204" w:type="dxa"/>
            <w:tcBorders>
              <w:top w:val="nil"/>
              <w:left w:val="nil"/>
              <w:bottom w:val="single" w:color="auto" w:sz="4" w:space="0"/>
              <w:right w:val="single" w:color="auto" w:sz="4" w:space="0"/>
            </w:tcBorders>
            <w:vAlign w:val="center"/>
          </w:tcPr>
          <w:p w14:paraId="62E625B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供热专项风险评估数据复核数据梳理</w:t>
            </w:r>
          </w:p>
        </w:tc>
      </w:tr>
      <w:tr w14:paraId="5CA83EA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45BD82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57</w:t>
            </w:r>
          </w:p>
        </w:tc>
        <w:tc>
          <w:tcPr>
            <w:tcW w:w="0" w:type="auto"/>
            <w:vMerge w:val="continue"/>
            <w:tcBorders>
              <w:top w:val="nil"/>
              <w:left w:val="single" w:color="auto" w:sz="4" w:space="0"/>
              <w:bottom w:val="nil"/>
              <w:right w:val="single" w:color="auto" w:sz="4" w:space="0"/>
            </w:tcBorders>
            <w:vAlign w:val="center"/>
          </w:tcPr>
          <w:p w14:paraId="327F478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7E6C75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B7A96F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8FE88A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供热专项风险评估数据核查</w:t>
            </w:r>
          </w:p>
        </w:tc>
      </w:tr>
      <w:tr w14:paraId="1D6A661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D79AF8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58</w:t>
            </w:r>
          </w:p>
        </w:tc>
        <w:tc>
          <w:tcPr>
            <w:tcW w:w="0" w:type="auto"/>
            <w:vMerge w:val="continue"/>
            <w:tcBorders>
              <w:top w:val="nil"/>
              <w:left w:val="single" w:color="auto" w:sz="4" w:space="0"/>
              <w:bottom w:val="nil"/>
              <w:right w:val="single" w:color="auto" w:sz="4" w:space="0"/>
            </w:tcBorders>
            <w:vAlign w:val="center"/>
          </w:tcPr>
          <w:p w14:paraId="004F430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BCB48D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0B6767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2EC708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供热专项风险评估结果修正数据梳理</w:t>
            </w:r>
          </w:p>
        </w:tc>
      </w:tr>
      <w:tr w14:paraId="0F707A3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5DA348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59</w:t>
            </w:r>
          </w:p>
        </w:tc>
        <w:tc>
          <w:tcPr>
            <w:tcW w:w="0" w:type="auto"/>
            <w:vMerge w:val="continue"/>
            <w:tcBorders>
              <w:top w:val="nil"/>
              <w:left w:val="single" w:color="auto" w:sz="4" w:space="0"/>
              <w:bottom w:val="nil"/>
              <w:right w:val="single" w:color="auto" w:sz="4" w:space="0"/>
            </w:tcBorders>
            <w:vAlign w:val="center"/>
          </w:tcPr>
          <w:p w14:paraId="6F1EDCA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E043EA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3E3441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0B7D02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供热专项风险评估修正录入</w:t>
            </w:r>
          </w:p>
        </w:tc>
      </w:tr>
      <w:tr w14:paraId="585F205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90D7A9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60</w:t>
            </w:r>
          </w:p>
        </w:tc>
        <w:tc>
          <w:tcPr>
            <w:tcW w:w="0" w:type="auto"/>
            <w:vMerge w:val="continue"/>
            <w:tcBorders>
              <w:top w:val="nil"/>
              <w:left w:val="single" w:color="auto" w:sz="4" w:space="0"/>
              <w:bottom w:val="nil"/>
              <w:right w:val="single" w:color="auto" w:sz="4" w:space="0"/>
            </w:tcBorders>
            <w:vAlign w:val="center"/>
          </w:tcPr>
          <w:p w14:paraId="452551F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3C7544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0F88A1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9D7A3C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供热专项数据清洗规则配置梳理</w:t>
            </w:r>
          </w:p>
        </w:tc>
      </w:tr>
      <w:tr w14:paraId="66DF793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468F86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61</w:t>
            </w:r>
          </w:p>
        </w:tc>
        <w:tc>
          <w:tcPr>
            <w:tcW w:w="0" w:type="auto"/>
            <w:vMerge w:val="continue"/>
            <w:tcBorders>
              <w:top w:val="nil"/>
              <w:left w:val="single" w:color="auto" w:sz="4" w:space="0"/>
              <w:bottom w:val="nil"/>
              <w:right w:val="single" w:color="auto" w:sz="4" w:space="0"/>
            </w:tcBorders>
            <w:vAlign w:val="center"/>
          </w:tcPr>
          <w:p w14:paraId="5A0E943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C589AB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E33E95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88BBBD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供热专项缺失值填充处理</w:t>
            </w:r>
          </w:p>
        </w:tc>
      </w:tr>
      <w:tr w14:paraId="0704784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63B4AD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62</w:t>
            </w:r>
          </w:p>
        </w:tc>
        <w:tc>
          <w:tcPr>
            <w:tcW w:w="0" w:type="auto"/>
            <w:vMerge w:val="continue"/>
            <w:tcBorders>
              <w:top w:val="nil"/>
              <w:left w:val="single" w:color="auto" w:sz="4" w:space="0"/>
              <w:bottom w:val="nil"/>
              <w:right w:val="single" w:color="auto" w:sz="4" w:space="0"/>
            </w:tcBorders>
            <w:vAlign w:val="center"/>
          </w:tcPr>
          <w:p w14:paraId="4BB2011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6E11FB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58B283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693AE2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供热专项数据转换标准规则梳理</w:t>
            </w:r>
          </w:p>
        </w:tc>
      </w:tr>
      <w:tr w14:paraId="11EAE18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186C64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63</w:t>
            </w:r>
          </w:p>
        </w:tc>
        <w:tc>
          <w:tcPr>
            <w:tcW w:w="0" w:type="auto"/>
            <w:vMerge w:val="continue"/>
            <w:tcBorders>
              <w:top w:val="nil"/>
              <w:left w:val="single" w:color="auto" w:sz="4" w:space="0"/>
              <w:bottom w:val="nil"/>
              <w:right w:val="single" w:color="auto" w:sz="4" w:space="0"/>
            </w:tcBorders>
            <w:vAlign w:val="center"/>
          </w:tcPr>
          <w:p w14:paraId="3A71A27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47318D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E8D710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3363A3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供热专项数据格式转换</w:t>
            </w:r>
          </w:p>
        </w:tc>
      </w:tr>
      <w:tr w14:paraId="070C28C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AD99C2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64</w:t>
            </w:r>
          </w:p>
        </w:tc>
        <w:tc>
          <w:tcPr>
            <w:tcW w:w="0" w:type="auto"/>
            <w:vMerge w:val="continue"/>
            <w:tcBorders>
              <w:top w:val="nil"/>
              <w:left w:val="single" w:color="auto" w:sz="4" w:space="0"/>
              <w:bottom w:val="nil"/>
              <w:right w:val="single" w:color="auto" w:sz="4" w:space="0"/>
            </w:tcBorders>
            <w:vAlign w:val="center"/>
          </w:tcPr>
          <w:p w14:paraId="0947736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523395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35ABEC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B55B6C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供热专项数据标准化建模规则梳理</w:t>
            </w:r>
          </w:p>
        </w:tc>
      </w:tr>
      <w:tr w14:paraId="618CDC1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885B2D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65</w:t>
            </w:r>
          </w:p>
        </w:tc>
        <w:tc>
          <w:tcPr>
            <w:tcW w:w="0" w:type="auto"/>
            <w:vMerge w:val="continue"/>
            <w:tcBorders>
              <w:top w:val="nil"/>
              <w:left w:val="single" w:color="auto" w:sz="4" w:space="0"/>
              <w:bottom w:val="nil"/>
              <w:right w:val="single" w:color="auto" w:sz="4" w:space="0"/>
            </w:tcBorders>
            <w:vAlign w:val="center"/>
          </w:tcPr>
          <w:p w14:paraId="3C2A935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8630AC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AA0770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902935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供热专项数据标准化处理</w:t>
            </w:r>
          </w:p>
        </w:tc>
      </w:tr>
      <w:tr w14:paraId="7DEC438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3E5721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66</w:t>
            </w:r>
          </w:p>
        </w:tc>
        <w:tc>
          <w:tcPr>
            <w:tcW w:w="0" w:type="auto"/>
            <w:vMerge w:val="continue"/>
            <w:tcBorders>
              <w:top w:val="nil"/>
              <w:left w:val="single" w:color="auto" w:sz="4" w:space="0"/>
              <w:bottom w:val="nil"/>
              <w:right w:val="single" w:color="auto" w:sz="4" w:space="0"/>
            </w:tcBorders>
            <w:vAlign w:val="center"/>
          </w:tcPr>
          <w:p w14:paraId="4455EA1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F024E3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67EA5D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3ACDC2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供热专项预处理结果数据梳理</w:t>
            </w:r>
          </w:p>
        </w:tc>
      </w:tr>
      <w:tr w14:paraId="33EC13C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BE7114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67</w:t>
            </w:r>
          </w:p>
        </w:tc>
        <w:tc>
          <w:tcPr>
            <w:tcW w:w="0" w:type="auto"/>
            <w:vMerge w:val="continue"/>
            <w:tcBorders>
              <w:top w:val="nil"/>
              <w:left w:val="single" w:color="auto" w:sz="4" w:space="0"/>
              <w:bottom w:val="nil"/>
              <w:right w:val="single" w:color="auto" w:sz="4" w:space="0"/>
            </w:tcBorders>
            <w:vAlign w:val="center"/>
          </w:tcPr>
          <w:p w14:paraId="1A8F4B4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647C55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A69D58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9313D6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供热专项预处理结果输出</w:t>
            </w:r>
          </w:p>
        </w:tc>
      </w:tr>
      <w:tr w14:paraId="7FE9540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2BEE02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68</w:t>
            </w:r>
          </w:p>
        </w:tc>
        <w:tc>
          <w:tcPr>
            <w:tcW w:w="0" w:type="auto"/>
            <w:vMerge w:val="continue"/>
            <w:tcBorders>
              <w:top w:val="nil"/>
              <w:left w:val="single" w:color="auto" w:sz="4" w:space="0"/>
              <w:bottom w:val="nil"/>
              <w:right w:val="single" w:color="auto" w:sz="4" w:space="0"/>
            </w:tcBorders>
            <w:vAlign w:val="center"/>
          </w:tcPr>
          <w:p w14:paraId="6FA925F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722FFC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4BB4DE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0A99F1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供热专项预处理结果验证</w:t>
            </w:r>
          </w:p>
        </w:tc>
      </w:tr>
      <w:tr w14:paraId="473E025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549218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69</w:t>
            </w:r>
          </w:p>
        </w:tc>
        <w:tc>
          <w:tcPr>
            <w:tcW w:w="0" w:type="auto"/>
            <w:vMerge w:val="continue"/>
            <w:tcBorders>
              <w:top w:val="nil"/>
              <w:left w:val="single" w:color="auto" w:sz="4" w:space="0"/>
              <w:bottom w:val="nil"/>
              <w:right w:val="single" w:color="auto" w:sz="4" w:space="0"/>
            </w:tcBorders>
            <w:vAlign w:val="center"/>
          </w:tcPr>
          <w:p w14:paraId="5199010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5CA3FF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B04C45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0EC2C5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供热专项预处理结果报告生成</w:t>
            </w:r>
          </w:p>
        </w:tc>
      </w:tr>
      <w:tr w14:paraId="5D50F14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0ED0E7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70</w:t>
            </w:r>
          </w:p>
        </w:tc>
        <w:tc>
          <w:tcPr>
            <w:tcW w:w="0" w:type="auto"/>
            <w:vMerge w:val="continue"/>
            <w:tcBorders>
              <w:top w:val="nil"/>
              <w:left w:val="single" w:color="auto" w:sz="4" w:space="0"/>
              <w:bottom w:val="nil"/>
              <w:right w:val="single" w:color="auto" w:sz="4" w:space="0"/>
            </w:tcBorders>
            <w:vAlign w:val="center"/>
          </w:tcPr>
          <w:p w14:paraId="114FAD1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38AF188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供热评估指标体系</w:t>
            </w:r>
          </w:p>
        </w:tc>
        <w:tc>
          <w:tcPr>
            <w:tcW w:w="2694" w:type="dxa"/>
            <w:vMerge w:val="restart"/>
            <w:tcBorders>
              <w:top w:val="nil"/>
              <w:left w:val="single" w:color="auto" w:sz="4" w:space="0"/>
              <w:bottom w:val="single" w:color="000000" w:sz="4" w:space="0"/>
              <w:right w:val="single" w:color="auto" w:sz="4" w:space="0"/>
            </w:tcBorders>
            <w:vAlign w:val="center"/>
          </w:tcPr>
          <w:p w14:paraId="304BD09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本阶段的工作流程如下：首先，对录入风险评估软件的数据进行梳理，构建太原市风险评估指标体系，并编制涵盖计算指标项、权重及计算方法和公式的风险评估模型算法；其次，依据太原市风险评估指标体系与计算公式，对模型算法进行针对性调整优化，确保算法逻辑与太原市风险评估指标体系、计算公式完全匹配；最后，依托调整完善后的模型算法及风险评估软件，开展风险评估分析工作。</w:t>
            </w:r>
          </w:p>
        </w:tc>
        <w:tc>
          <w:tcPr>
            <w:tcW w:w="4204" w:type="dxa"/>
            <w:tcBorders>
              <w:top w:val="nil"/>
              <w:left w:val="nil"/>
              <w:bottom w:val="single" w:color="auto" w:sz="4" w:space="0"/>
              <w:right w:val="single" w:color="auto" w:sz="4" w:space="0"/>
            </w:tcBorders>
            <w:vAlign w:val="center"/>
          </w:tcPr>
          <w:p w14:paraId="678E5F3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供热管线风险评估体系</w:t>
            </w:r>
          </w:p>
        </w:tc>
      </w:tr>
      <w:tr w14:paraId="327635D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545E5C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71</w:t>
            </w:r>
          </w:p>
        </w:tc>
        <w:tc>
          <w:tcPr>
            <w:tcW w:w="0" w:type="auto"/>
            <w:vMerge w:val="continue"/>
            <w:tcBorders>
              <w:top w:val="nil"/>
              <w:left w:val="single" w:color="auto" w:sz="4" w:space="0"/>
              <w:bottom w:val="nil"/>
              <w:right w:val="single" w:color="auto" w:sz="4" w:space="0"/>
            </w:tcBorders>
            <w:vAlign w:val="center"/>
          </w:tcPr>
          <w:p w14:paraId="658DA03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549624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B4B61D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5F5ED4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供热厂风险评估体系</w:t>
            </w:r>
          </w:p>
        </w:tc>
      </w:tr>
      <w:tr w14:paraId="4F6B1D2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BFCD2C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72</w:t>
            </w:r>
          </w:p>
        </w:tc>
        <w:tc>
          <w:tcPr>
            <w:tcW w:w="0" w:type="auto"/>
            <w:vMerge w:val="continue"/>
            <w:tcBorders>
              <w:top w:val="nil"/>
              <w:left w:val="single" w:color="auto" w:sz="4" w:space="0"/>
              <w:bottom w:val="nil"/>
              <w:right w:val="single" w:color="auto" w:sz="4" w:space="0"/>
            </w:tcBorders>
            <w:vAlign w:val="center"/>
          </w:tcPr>
          <w:p w14:paraId="2D2EC2F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5FA005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2EC644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1CE9FE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供热指标分级标准制定</w:t>
            </w:r>
          </w:p>
        </w:tc>
      </w:tr>
      <w:tr w14:paraId="137B0D2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B4AA87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73</w:t>
            </w:r>
          </w:p>
        </w:tc>
        <w:tc>
          <w:tcPr>
            <w:tcW w:w="0" w:type="auto"/>
            <w:vMerge w:val="continue"/>
            <w:tcBorders>
              <w:top w:val="nil"/>
              <w:left w:val="single" w:color="auto" w:sz="4" w:space="0"/>
              <w:bottom w:val="nil"/>
              <w:right w:val="single" w:color="auto" w:sz="4" w:space="0"/>
            </w:tcBorders>
            <w:vAlign w:val="center"/>
          </w:tcPr>
          <w:p w14:paraId="5A2E307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905ADB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9E5AAE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AD9676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供热指标计算公式录入</w:t>
            </w:r>
          </w:p>
        </w:tc>
      </w:tr>
      <w:tr w14:paraId="0E721217">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72B5631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74</w:t>
            </w:r>
          </w:p>
        </w:tc>
        <w:tc>
          <w:tcPr>
            <w:tcW w:w="0" w:type="auto"/>
            <w:vMerge w:val="continue"/>
            <w:tcBorders>
              <w:top w:val="nil"/>
              <w:left w:val="single" w:color="auto" w:sz="4" w:space="0"/>
              <w:bottom w:val="nil"/>
              <w:right w:val="single" w:color="auto" w:sz="4" w:space="0"/>
            </w:tcBorders>
            <w:vAlign w:val="center"/>
          </w:tcPr>
          <w:p w14:paraId="33A7713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39AE978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供热专项风险分析</w:t>
            </w:r>
          </w:p>
        </w:tc>
        <w:tc>
          <w:tcPr>
            <w:tcW w:w="2694" w:type="dxa"/>
            <w:vMerge w:val="restart"/>
            <w:tcBorders>
              <w:top w:val="nil"/>
              <w:left w:val="single" w:color="auto" w:sz="4" w:space="0"/>
              <w:bottom w:val="single" w:color="000000" w:sz="4" w:space="0"/>
              <w:right w:val="single" w:color="auto" w:sz="4" w:space="0"/>
            </w:tcBorders>
            <w:vAlign w:val="center"/>
          </w:tcPr>
          <w:p w14:paraId="79F711D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1、数据项映射工作</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建立绑定关系：在风险评估软件中，将实际的数据库字段与风险计算公式中的变量进行“一一对应”配置，确保软件能“读懂”并抓取正确的位置和数据。</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2、批量计算与结果核对</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执行运算：操作软件进行不同类别供热进行风险评估计算。</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输出检查：逐一或抽样检查每座供热是否都生成了分析结果，核对输出结果的完整性（无遗漏）。</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3、异常排查与配置修正</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识别异常：定位分析结果输出异常（如结果为空、数值明显偏离常识、计算报错）的桥隧。</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诊断原因：分析是公式配置错误、数据调用失败还是原始数据异常导致的问题。</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重新配置：针对异常情况，修正计算公式的参数设置，或者重新调整数据调用的映射关系，然后进行复算。</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4、结果关联标注</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将最终确认无误的风险评估结果关联到每一个评估的设施上，确保点击设施的标柱时，可以查看详细的风险分数和主要影响因子。</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5、数据审核</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辅助审核：整理评估结果列表和关联标注成果，提交给审核方，并对异常数据的处理过程进行解释。</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过程归档：记录数据项绑定方案、异常问题处理清单以及最终的配置参数，形成工作记录。</w:t>
            </w:r>
          </w:p>
        </w:tc>
        <w:tc>
          <w:tcPr>
            <w:tcW w:w="4204" w:type="dxa"/>
            <w:tcBorders>
              <w:top w:val="nil"/>
              <w:left w:val="nil"/>
              <w:bottom w:val="single" w:color="auto" w:sz="4" w:space="0"/>
              <w:right w:val="single" w:color="auto" w:sz="4" w:space="0"/>
            </w:tcBorders>
            <w:vAlign w:val="center"/>
          </w:tcPr>
          <w:p w14:paraId="167561F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位于或穿越重要交通枢纽、公共基础设施及人员密集场所的供热管线；</w:t>
            </w:r>
          </w:p>
        </w:tc>
      </w:tr>
      <w:tr w14:paraId="1946042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92CC3C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75</w:t>
            </w:r>
          </w:p>
        </w:tc>
        <w:tc>
          <w:tcPr>
            <w:tcW w:w="0" w:type="auto"/>
            <w:vMerge w:val="continue"/>
            <w:tcBorders>
              <w:top w:val="nil"/>
              <w:left w:val="single" w:color="auto" w:sz="4" w:space="0"/>
              <w:bottom w:val="nil"/>
              <w:right w:val="single" w:color="auto" w:sz="4" w:space="0"/>
            </w:tcBorders>
            <w:vAlign w:val="center"/>
          </w:tcPr>
          <w:p w14:paraId="555EEDA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5CFE30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34568B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8CE56B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存在地质灾害影响的供热管线；</w:t>
            </w:r>
          </w:p>
        </w:tc>
      </w:tr>
      <w:tr w14:paraId="3272F5A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E197AB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76</w:t>
            </w:r>
          </w:p>
        </w:tc>
        <w:tc>
          <w:tcPr>
            <w:tcW w:w="0" w:type="auto"/>
            <w:vMerge w:val="continue"/>
            <w:tcBorders>
              <w:top w:val="nil"/>
              <w:left w:val="single" w:color="auto" w:sz="4" w:space="0"/>
              <w:bottom w:val="nil"/>
              <w:right w:val="single" w:color="auto" w:sz="4" w:space="0"/>
            </w:tcBorders>
            <w:vAlign w:val="center"/>
          </w:tcPr>
          <w:p w14:paraId="2285D40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3244C6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2935A1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9F4F6D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经常启停和改变供热介质参数的管线；</w:t>
            </w:r>
          </w:p>
        </w:tc>
      </w:tr>
      <w:tr w14:paraId="1708E870">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7F46BFC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77</w:t>
            </w:r>
          </w:p>
        </w:tc>
        <w:tc>
          <w:tcPr>
            <w:tcW w:w="0" w:type="auto"/>
            <w:vMerge w:val="continue"/>
            <w:tcBorders>
              <w:top w:val="nil"/>
              <w:left w:val="single" w:color="auto" w:sz="4" w:space="0"/>
              <w:bottom w:val="nil"/>
              <w:right w:val="single" w:color="auto" w:sz="4" w:space="0"/>
            </w:tcBorders>
            <w:vAlign w:val="center"/>
          </w:tcPr>
          <w:p w14:paraId="5838841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B30732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CBE37E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87323C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重点监测管网主干管、老旧管道、脆弱性管道等；</w:t>
            </w:r>
          </w:p>
        </w:tc>
      </w:tr>
      <w:tr w14:paraId="6982B05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BC9D3A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78</w:t>
            </w:r>
          </w:p>
        </w:tc>
        <w:tc>
          <w:tcPr>
            <w:tcW w:w="0" w:type="auto"/>
            <w:vMerge w:val="continue"/>
            <w:tcBorders>
              <w:top w:val="nil"/>
              <w:left w:val="single" w:color="auto" w:sz="4" w:space="0"/>
              <w:bottom w:val="nil"/>
              <w:right w:val="single" w:color="auto" w:sz="4" w:space="0"/>
            </w:tcBorders>
            <w:vAlign w:val="center"/>
          </w:tcPr>
          <w:p w14:paraId="18CA562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558333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3B1BA6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448805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城市基建区域内易形成交叉施工的管线。</w:t>
            </w:r>
          </w:p>
        </w:tc>
      </w:tr>
      <w:tr w14:paraId="7EBEB73A">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55B30DE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79</w:t>
            </w:r>
          </w:p>
        </w:tc>
        <w:tc>
          <w:tcPr>
            <w:tcW w:w="0" w:type="auto"/>
            <w:vMerge w:val="continue"/>
            <w:tcBorders>
              <w:top w:val="nil"/>
              <w:left w:val="single" w:color="auto" w:sz="4" w:space="0"/>
              <w:bottom w:val="nil"/>
              <w:right w:val="single" w:color="auto" w:sz="4" w:space="0"/>
            </w:tcBorders>
            <w:vAlign w:val="center"/>
          </w:tcPr>
          <w:p w14:paraId="512A62F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224639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90D965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94D2C1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大型供热厂站，包括各类热力厂、中继泵站和隔压站等。</w:t>
            </w:r>
          </w:p>
        </w:tc>
      </w:tr>
      <w:tr w14:paraId="119BF07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588228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80</w:t>
            </w:r>
          </w:p>
        </w:tc>
        <w:tc>
          <w:tcPr>
            <w:tcW w:w="0" w:type="auto"/>
            <w:vMerge w:val="continue"/>
            <w:tcBorders>
              <w:top w:val="nil"/>
              <w:left w:val="single" w:color="auto" w:sz="4" w:space="0"/>
              <w:bottom w:val="nil"/>
              <w:right w:val="single" w:color="auto" w:sz="4" w:space="0"/>
            </w:tcBorders>
            <w:vAlign w:val="center"/>
          </w:tcPr>
          <w:p w14:paraId="02A19BF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CEA17F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BA7586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DF610F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供热风险源识别逻辑模型设计</w:t>
            </w:r>
          </w:p>
        </w:tc>
      </w:tr>
      <w:tr w14:paraId="0F1A375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6659C6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81</w:t>
            </w:r>
          </w:p>
        </w:tc>
        <w:tc>
          <w:tcPr>
            <w:tcW w:w="0" w:type="auto"/>
            <w:vMerge w:val="continue"/>
            <w:tcBorders>
              <w:top w:val="nil"/>
              <w:left w:val="single" w:color="auto" w:sz="4" w:space="0"/>
              <w:bottom w:val="nil"/>
              <w:right w:val="single" w:color="auto" w:sz="4" w:space="0"/>
            </w:tcBorders>
            <w:vAlign w:val="center"/>
          </w:tcPr>
          <w:p w14:paraId="232E606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5353DB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68D575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75C97D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供热专项隐患图形标注展示</w:t>
            </w:r>
          </w:p>
        </w:tc>
      </w:tr>
      <w:tr w14:paraId="3113363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BC8F89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82</w:t>
            </w:r>
          </w:p>
        </w:tc>
        <w:tc>
          <w:tcPr>
            <w:tcW w:w="0" w:type="auto"/>
            <w:vMerge w:val="continue"/>
            <w:tcBorders>
              <w:top w:val="nil"/>
              <w:left w:val="single" w:color="auto" w:sz="4" w:space="0"/>
              <w:bottom w:val="nil"/>
              <w:right w:val="single" w:color="auto" w:sz="4" w:space="0"/>
            </w:tcBorders>
            <w:vAlign w:val="center"/>
          </w:tcPr>
          <w:p w14:paraId="67F499D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DBF55F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052357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CDA8B7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供热专项交叉施工风险数据梳理</w:t>
            </w:r>
          </w:p>
        </w:tc>
      </w:tr>
      <w:tr w14:paraId="3E0FCF7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914C07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83</w:t>
            </w:r>
          </w:p>
        </w:tc>
        <w:tc>
          <w:tcPr>
            <w:tcW w:w="0" w:type="auto"/>
            <w:vMerge w:val="continue"/>
            <w:tcBorders>
              <w:top w:val="nil"/>
              <w:left w:val="single" w:color="auto" w:sz="4" w:space="0"/>
              <w:bottom w:val="nil"/>
              <w:right w:val="single" w:color="auto" w:sz="4" w:space="0"/>
            </w:tcBorders>
            <w:vAlign w:val="center"/>
          </w:tcPr>
          <w:p w14:paraId="3C295EB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1A2279A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评估结果汇总完善</w:t>
            </w:r>
          </w:p>
        </w:tc>
        <w:tc>
          <w:tcPr>
            <w:tcW w:w="2694" w:type="dxa"/>
            <w:vMerge w:val="restart"/>
            <w:tcBorders>
              <w:top w:val="nil"/>
              <w:left w:val="single" w:color="auto" w:sz="4" w:space="0"/>
              <w:bottom w:val="single" w:color="000000" w:sz="4" w:space="0"/>
              <w:right w:val="single" w:color="auto" w:sz="4" w:space="0"/>
            </w:tcBorders>
            <w:vAlign w:val="center"/>
          </w:tcPr>
          <w:p w14:paraId="37A0DA5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包括成果汇总管理数据、成果录入、成果分类管理、成果自动统计与输出工作，该部分核心工作为对专项风险分析已经分析出的结果数据进行整理，将不同类型的供水的分析结果数据进行分类，按不用类别进行录入到文档及成果管理系统，按类别进行统计。</w:t>
            </w:r>
          </w:p>
        </w:tc>
        <w:tc>
          <w:tcPr>
            <w:tcW w:w="4204" w:type="dxa"/>
            <w:tcBorders>
              <w:top w:val="nil"/>
              <w:left w:val="nil"/>
              <w:bottom w:val="single" w:color="auto" w:sz="4" w:space="0"/>
              <w:right w:val="single" w:color="auto" w:sz="4" w:space="0"/>
            </w:tcBorders>
            <w:vAlign w:val="center"/>
          </w:tcPr>
          <w:p w14:paraId="30E55F6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供热专项成果汇总管理数据梳理</w:t>
            </w:r>
          </w:p>
        </w:tc>
      </w:tr>
      <w:tr w14:paraId="43CA854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F96EEF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84</w:t>
            </w:r>
          </w:p>
        </w:tc>
        <w:tc>
          <w:tcPr>
            <w:tcW w:w="0" w:type="auto"/>
            <w:vMerge w:val="continue"/>
            <w:tcBorders>
              <w:top w:val="nil"/>
              <w:left w:val="single" w:color="auto" w:sz="4" w:space="0"/>
              <w:bottom w:val="nil"/>
              <w:right w:val="single" w:color="auto" w:sz="4" w:space="0"/>
            </w:tcBorders>
            <w:vAlign w:val="center"/>
          </w:tcPr>
          <w:p w14:paraId="5C5A07F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4F07C5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8DF589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B55A4A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供热专项评估成果成果录入</w:t>
            </w:r>
          </w:p>
        </w:tc>
      </w:tr>
      <w:tr w14:paraId="2D75823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B68FB7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85</w:t>
            </w:r>
          </w:p>
        </w:tc>
        <w:tc>
          <w:tcPr>
            <w:tcW w:w="0" w:type="auto"/>
            <w:vMerge w:val="continue"/>
            <w:tcBorders>
              <w:top w:val="nil"/>
              <w:left w:val="single" w:color="auto" w:sz="4" w:space="0"/>
              <w:bottom w:val="nil"/>
              <w:right w:val="single" w:color="auto" w:sz="4" w:space="0"/>
            </w:tcBorders>
            <w:vAlign w:val="center"/>
          </w:tcPr>
          <w:p w14:paraId="1584074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518231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A06B2E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E08F17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供热专项评估成果分类管理</w:t>
            </w:r>
          </w:p>
        </w:tc>
      </w:tr>
      <w:tr w14:paraId="0FCA13D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0112CF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86</w:t>
            </w:r>
          </w:p>
        </w:tc>
        <w:tc>
          <w:tcPr>
            <w:tcW w:w="0" w:type="auto"/>
            <w:vMerge w:val="continue"/>
            <w:tcBorders>
              <w:top w:val="nil"/>
              <w:left w:val="single" w:color="auto" w:sz="4" w:space="0"/>
              <w:bottom w:val="nil"/>
              <w:right w:val="single" w:color="auto" w:sz="4" w:space="0"/>
            </w:tcBorders>
            <w:vAlign w:val="center"/>
          </w:tcPr>
          <w:p w14:paraId="7DF6769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330528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FDBC10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C888F8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供热专项成果自动统计与输出</w:t>
            </w:r>
          </w:p>
        </w:tc>
      </w:tr>
      <w:tr w14:paraId="18CD50F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668830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87</w:t>
            </w:r>
          </w:p>
        </w:tc>
        <w:tc>
          <w:tcPr>
            <w:tcW w:w="0" w:type="auto"/>
            <w:vMerge w:val="continue"/>
            <w:tcBorders>
              <w:top w:val="nil"/>
              <w:left w:val="single" w:color="auto" w:sz="4" w:space="0"/>
              <w:bottom w:val="nil"/>
              <w:right w:val="single" w:color="auto" w:sz="4" w:space="0"/>
            </w:tcBorders>
            <w:vAlign w:val="center"/>
          </w:tcPr>
          <w:p w14:paraId="0277DF3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4BBC016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风险四色图</w:t>
            </w:r>
          </w:p>
        </w:tc>
        <w:tc>
          <w:tcPr>
            <w:tcW w:w="2694" w:type="dxa"/>
            <w:vMerge w:val="restart"/>
            <w:tcBorders>
              <w:top w:val="nil"/>
              <w:left w:val="single" w:color="auto" w:sz="4" w:space="0"/>
              <w:bottom w:val="single" w:color="000000" w:sz="4" w:space="0"/>
              <w:right w:val="single" w:color="auto" w:sz="4" w:space="0"/>
            </w:tcBorders>
            <w:vAlign w:val="center"/>
          </w:tcPr>
          <w:p w14:paraId="068D8E0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1、、风险电子四色图：制作地图，生成包含桥隧及其风险等级的GIS地图，用不同的颜色或符号直观地表示出不同级别的风险区域。</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2、风险清单：包括类别、风险源名称、位置、风险分析、潜在事故类型、风险等级、管控措施、责任人、“三高”区域点位界定、备注等。</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3、报告文档：编写详细的分析报告，说明分析结果以及建议措施（工程技术措施、管理措施、应急措施）。</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4、城市生命线安全建议监测布点点位：包括各个风险点位的建议监测设备布放建议。</w:t>
            </w:r>
          </w:p>
        </w:tc>
        <w:tc>
          <w:tcPr>
            <w:tcW w:w="4204" w:type="dxa"/>
            <w:tcBorders>
              <w:top w:val="nil"/>
              <w:left w:val="nil"/>
              <w:bottom w:val="single" w:color="auto" w:sz="4" w:space="0"/>
              <w:right w:val="single" w:color="auto" w:sz="4" w:space="0"/>
            </w:tcBorders>
            <w:vAlign w:val="center"/>
          </w:tcPr>
          <w:p w14:paraId="7F8E7E5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供热专项风险四色图制作</w:t>
            </w:r>
          </w:p>
        </w:tc>
      </w:tr>
      <w:tr w14:paraId="289404E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7A85EC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88</w:t>
            </w:r>
          </w:p>
        </w:tc>
        <w:tc>
          <w:tcPr>
            <w:tcW w:w="0" w:type="auto"/>
            <w:vMerge w:val="continue"/>
            <w:tcBorders>
              <w:top w:val="nil"/>
              <w:left w:val="single" w:color="auto" w:sz="4" w:space="0"/>
              <w:bottom w:val="nil"/>
              <w:right w:val="single" w:color="auto" w:sz="4" w:space="0"/>
            </w:tcBorders>
            <w:vAlign w:val="center"/>
          </w:tcPr>
          <w:p w14:paraId="3149284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E9BDF4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CD251D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B9A2F7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供热专项风险四色图审核</w:t>
            </w:r>
          </w:p>
        </w:tc>
      </w:tr>
      <w:tr w14:paraId="41DD8C6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18C5F3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89</w:t>
            </w:r>
          </w:p>
        </w:tc>
        <w:tc>
          <w:tcPr>
            <w:tcW w:w="0" w:type="auto"/>
            <w:vMerge w:val="continue"/>
            <w:tcBorders>
              <w:top w:val="nil"/>
              <w:left w:val="single" w:color="auto" w:sz="4" w:space="0"/>
              <w:bottom w:val="nil"/>
              <w:right w:val="single" w:color="auto" w:sz="4" w:space="0"/>
            </w:tcBorders>
            <w:vAlign w:val="center"/>
          </w:tcPr>
          <w:p w14:paraId="112CB5C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B45E74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3C7AA0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DD195D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供热专项成果动态地图导出</w:t>
            </w:r>
          </w:p>
        </w:tc>
      </w:tr>
      <w:tr w14:paraId="366FE5D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B612E9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90</w:t>
            </w:r>
          </w:p>
        </w:tc>
        <w:tc>
          <w:tcPr>
            <w:tcW w:w="0" w:type="auto"/>
            <w:vMerge w:val="continue"/>
            <w:tcBorders>
              <w:top w:val="nil"/>
              <w:left w:val="single" w:color="auto" w:sz="4" w:space="0"/>
              <w:bottom w:val="nil"/>
              <w:right w:val="single" w:color="auto" w:sz="4" w:space="0"/>
            </w:tcBorders>
            <w:vAlign w:val="center"/>
          </w:tcPr>
          <w:p w14:paraId="0A44BCB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0A08369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风险清单</w:t>
            </w:r>
          </w:p>
        </w:tc>
        <w:tc>
          <w:tcPr>
            <w:tcW w:w="2694" w:type="dxa"/>
            <w:vMerge w:val="continue"/>
            <w:tcBorders>
              <w:top w:val="nil"/>
              <w:left w:val="single" w:color="auto" w:sz="4" w:space="0"/>
              <w:bottom w:val="single" w:color="000000" w:sz="4" w:space="0"/>
              <w:right w:val="single" w:color="auto" w:sz="4" w:space="0"/>
            </w:tcBorders>
            <w:vAlign w:val="center"/>
          </w:tcPr>
          <w:p w14:paraId="7823C3C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F19AF1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供热风险清单</w:t>
            </w:r>
          </w:p>
        </w:tc>
      </w:tr>
      <w:tr w14:paraId="5623B3D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DD2275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91</w:t>
            </w:r>
          </w:p>
        </w:tc>
        <w:tc>
          <w:tcPr>
            <w:tcW w:w="0" w:type="auto"/>
            <w:vMerge w:val="continue"/>
            <w:tcBorders>
              <w:top w:val="nil"/>
              <w:left w:val="single" w:color="auto" w:sz="4" w:space="0"/>
              <w:bottom w:val="nil"/>
              <w:right w:val="single" w:color="auto" w:sz="4" w:space="0"/>
            </w:tcBorders>
            <w:vAlign w:val="center"/>
          </w:tcPr>
          <w:p w14:paraId="023B856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07989C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1A7441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8EC7BC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供热风险清单审核</w:t>
            </w:r>
          </w:p>
        </w:tc>
      </w:tr>
      <w:tr w14:paraId="5090755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2B6EAF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92</w:t>
            </w:r>
          </w:p>
        </w:tc>
        <w:tc>
          <w:tcPr>
            <w:tcW w:w="0" w:type="auto"/>
            <w:vMerge w:val="continue"/>
            <w:tcBorders>
              <w:top w:val="nil"/>
              <w:left w:val="single" w:color="auto" w:sz="4" w:space="0"/>
              <w:bottom w:val="nil"/>
              <w:right w:val="single" w:color="auto" w:sz="4" w:space="0"/>
            </w:tcBorders>
            <w:vAlign w:val="center"/>
          </w:tcPr>
          <w:p w14:paraId="2E5FF3F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32204C5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风险评估报告</w:t>
            </w:r>
          </w:p>
        </w:tc>
        <w:tc>
          <w:tcPr>
            <w:tcW w:w="2694" w:type="dxa"/>
            <w:vMerge w:val="continue"/>
            <w:tcBorders>
              <w:top w:val="nil"/>
              <w:left w:val="single" w:color="auto" w:sz="4" w:space="0"/>
              <w:bottom w:val="single" w:color="000000" w:sz="4" w:space="0"/>
              <w:right w:val="single" w:color="auto" w:sz="4" w:space="0"/>
            </w:tcBorders>
            <w:vAlign w:val="center"/>
          </w:tcPr>
          <w:p w14:paraId="1C1C684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8D8ABF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供热专项总结报告制作</w:t>
            </w:r>
          </w:p>
        </w:tc>
      </w:tr>
      <w:tr w14:paraId="7735D20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0F1980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93</w:t>
            </w:r>
          </w:p>
        </w:tc>
        <w:tc>
          <w:tcPr>
            <w:tcW w:w="0" w:type="auto"/>
            <w:vMerge w:val="continue"/>
            <w:tcBorders>
              <w:top w:val="nil"/>
              <w:left w:val="single" w:color="auto" w:sz="4" w:space="0"/>
              <w:bottom w:val="nil"/>
              <w:right w:val="single" w:color="auto" w:sz="4" w:space="0"/>
            </w:tcBorders>
            <w:vAlign w:val="center"/>
          </w:tcPr>
          <w:p w14:paraId="5F629BE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5032EA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62198A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1EB272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供热专项总结报告审核</w:t>
            </w:r>
          </w:p>
        </w:tc>
      </w:tr>
      <w:tr w14:paraId="44E121B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6C6E28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94</w:t>
            </w:r>
          </w:p>
        </w:tc>
        <w:tc>
          <w:tcPr>
            <w:tcW w:w="0" w:type="auto"/>
            <w:vMerge w:val="continue"/>
            <w:tcBorders>
              <w:top w:val="nil"/>
              <w:left w:val="single" w:color="auto" w:sz="4" w:space="0"/>
              <w:bottom w:val="nil"/>
              <w:right w:val="single" w:color="auto" w:sz="4" w:space="0"/>
            </w:tcBorders>
            <w:vAlign w:val="center"/>
          </w:tcPr>
          <w:p w14:paraId="76ED57A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0A481F6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监测布点方案</w:t>
            </w:r>
          </w:p>
        </w:tc>
        <w:tc>
          <w:tcPr>
            <w:tcW w:w="2694" w:type="dxa"/>
            <w:vMerge w:val="continue"/>
            <w:tcBorders>
              <w:top w:val="nil"/>
              <w:left w:val="single" w:color="auto" w:sz="4" w:space="0"/>
              <w:bottom w:val="single" w:color="000000" w:sz="4" w:space="0"/>
              <w:right w:val="single" w:color="auto" w:sz="4" w:space="0"/>
            </w:tcBorders>
            <w:vAlign w:val="center"/>
          </w:tcPr>
          <w:p w14:paraId="0BEA3AF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3E5E41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供热专项监测布点方案设计</w:t>
            </w:r>
          </w:p>
        </w:tc>
      </w:tr>
      <w:tr w14:paraId="3AF03EA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BD83F1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95</w:t>
            </w:r>
          </w:p>
        </w:tc>
        <w:tc>
          <w:tcPr>
            <w:tcW w:w="0" w:type="auto"/>
            <w:vMerge w:val="continue"/>
            <w:tcBorders>
              <w:top w:val="nil"/>
              <w:left w:val="single" w:color="auto" w:sz="4" w:space="0"/>
              <w:bottom w:val="nil"/>
              <w:right w:val="single" w:color="auto" w:sz="4" w:space="0"/>
            </w:tcBorders>
            <w:vAlign w:val="center"/>
          </w:tcPr>
          <w:p w14:paraId="01F8BFE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EE7C2E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C2C457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973117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供热专项监测布点方案审核</w:t>
            </w:r>
          </w:p>
        </w:tc>
      </w:tr>
      <w:tr w14:paraId="04337E3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DA0CD0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96</w:t>
            </w:r>
          </w:p>
        </w:tc>
        <w:tc>
          <w:tcPr>
            <w:tcW w:w="0" w:type="auto"/>
            <w:vMerge w:val="continue"/>
            <w:tcBorders>
              <w:top w:val="nil"/>
              <w:left w:val="single" w:color="auto" w:sz="4" w:space="0"/>
              <w:bottom w:val="nil"/>
              <w:right w:val="single" w:color="auto" w:sz="4" w:space="0"/>
            </w:tcBorders>
            <w:vAlign w:val="center"/>
          </w:tcPr>
          <w:p w14:paraId="0CE5A9F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61B6DD5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电子成果物</w:t>
            </w:r>
          </w:p>
        </w:tc>
        <w:tc>
          <w:tcPr>
            <w:tcW w:w="2694" w:type="dxa"/>
            <w:vMerge w:val="continue"/>
            <w:tcBorders>
              <w:top w:val="nil"/>
              <w:left w:val="single" w:color="auto" w:sz="4" w:space="0"/>
              <w:bottom w:val="single" w:color="000000" w:sz="4" w:space="0"/>
              <w:right w:val="single" w:color="auto" w:sz="4" w:space="0"/>
            </w:tcBorders>
            <w:vAlign w:val="center"/>
          </w:tcPr>
          <w:p w14:paraId="3F57618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6452D9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供热专项评估成果电子档案数据梳理</w:t>
            </w:r>
          </w:p>
        </w:tc>
      </w:tr>
      <w:tr w14:paraId="02DE7DD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67EC2F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97</w:t>
            </w:r>
          </w:p>
        </w:tc>
        <w:tc>
          <w:tcPr>
            <w:tcW w:w="0" w:type="auto"/>
            <w:vMerge w:val="continue"/>
            <w:tcBorders>
              <w:top w:val="nil"/>
              <w:left w:val="single" w:color="auto" w:sz="4" w:space="0"/>
              <w:bottom w:val="nil"/>
              <w:right w:val="single" w:color="auto" w:sz="4" w:space="0"/>
            </w:tcBorders>
            <w:vAlign w:val="center"/>
          </w:tcPr>
          <w:p w14:paraId="0809C77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A36A66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D9AACC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1E28BA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供热专项电子档案资料更新维护</w:t>
            </w:r>
          </w:p>
        </w:tc>
      </w:tr>
      <w:tr w14:paraId="52C7198F">
        <w:tblPrEx>
          <w:tblCellMar>
            <w:top w:w="0" w:type="dxa"/>
            <w:left w:w="108" w:type="dxa"/>
            <w:bottom w:w="0" w:type="dxa"/>
            <w:right w:w="108" w:type="dxa"/>
          </w:tblCellMar>
        </w:tblPrEx>
        <w:trPr>
          <w:trHeight w:val="400" w:hRule="atLeast"/>
          <w:jc w:val="center"/>
        </w:trPr>
        <w:tc>
          <w:tcPr>
            <w:tcW w:w="0" w:type="auto"/>
            <w:tcBorders>
              <w:top w:val="nil"/>
              <w:left w:val="single" w:color="auto" w:sz="4" w:space="0"/>
              <w:bottom w:val="single" w:color="auto" w:sz="4" w:space="0"/>
              <w:right w:val="single" w:color="auto" w:sz="4" w:space="0"/>
            </w:tcBorders>
            <w:noWrap/>
            <w:vAlign w:val="center"/>
          </w:tcPr>
          <w:p w14:paraId="2C8F6CF7">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（五）</w:t>
            </w:r>
          </w:p>
        </w:tc>
        <w:tc>
          <w:tcPr>
            <w:tcW w:w="8144" w:type="dxa"/>
            <w:gridSpan w:val="4"/>
            <w:tcBorders>
              <w:top w:val="single" w:color="auto" w:sz="4" w:space="0"/>
              <w:left w:val="nil"/>
              <w:bottom w:val="single" w:color="auto" w:sz="4" w:space="0"/>
              <w:right w:val="single" w:color="000000" w:sz="4" w:space="0"/>
            </w:tcBorders>
            <w:vAlign w:val="center"/>
          </w:tcPr>
          <w:p w14:paraId="155405DE">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桥隧专项风险评估</w:t>
            </w:r>
          </w:p>
        </w:tc>
      </w:tr>
      <w:tr w14:paraId="30BC03D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B2C628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w:t>
            </w:r>
          </w:p>
        </w:tc>
        <w:tc>
          <w:tcPr>
            <w:tcW w:w="0" w:type="auto"/>
            <w:vMerge w:val="restart"/>
            <w:tcBorders>
              <w:top w:val="nil"/>
              <w:left w:val="single" w:color="auto" w:sz="4" w:space="0"/>
              <w:bottom w:val="nil"/>
              <w:right w:val="single" w:color="auto" w:sz="4" w:space="0"/>
            </w:tcBorders>
            <w:vAlign w:val="center"/>
          </w:tcPr>
          <w:p w14:paraId="30CDD91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桥隧专项风险评估</w:t>
            </w:r>
          </w:p>
        </w:tc>
        <w:tc>
          <w:tcPr>
            <w:tcW w:w="0" w:type="auto"/>
            <w:vMerge w:val="restart"/>
            <w:tcBorders>
              <w:top w:val="nil"/>
              <w:left w:val="single" w:color="auto" w:sz="4" w:space="0"/>
              <w:bottom w:val="single" w:color="auto" w:sz="4" w:space="0"/>
              <w:right w:val="single" w:color="auto" w:sz="4" w:space="0"/>
            </w:tcBorders>
            <w:vAlign w:val="center"/>
          </w:tcPr>
          <w:p w14:paraId="640E630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桥隧专项调研设计</w:t>
            </w:r>
          </w:p>
        </w:tc>
        <w:tc>
          <w:tcPr>
            <w:tcW w:w="2694" w:type="dxa"/>
            <w:vMerge w:val="restart"/>
            <w:tcBorders>
              <w:top w:val="nil"/>
              <w:left w:val="single" w:color="auto" w:sz="4" w:space="0"/>
              <w:bottom w:val="single" w:color="000000" w:sz="4" w:space="0"/>
              <w:right w:val="single" w:color="auto" w:sz="4" w:space="0"/>
            </w:tcBorders>
            <w:vAlign w:val="center"/>
          </w:tcPr>
          <w:p w14:paraId="16FAFB2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针对桥梁专项进行调研设计，并输出《桥梁专项调研表》</w:t>
            </w:r>
          </w:p>
        </w:tc>
        <w:tc>
          <w:tcPr>
            <w:tcW w:w="4204" w:type="dxa"/>
            <w:tcBorders>
              <w:top w:val="nil"/>
              <w:left w:val="nil"/>
              <w:bottom w:val="single" w:color="auto" w:sz="4" w:space="0"/>
              <w:right w:val="single" w:color="auto" w:sz="4" w:space="0"/>
            </w:tcBorders>
            <w:vAlign w:val="center"/>
          </w:tcPr>
          <w:p w14:paraId="35821D0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桥隧管线基础数据梳理</w:t>
            </w:r>
          </w:p>
        </w:tc>
      </w:tr>
      <w:tr w14:paraId="7D732B7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7ED230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w:t>
            </w:r>
          </w:p>
        </w:tc>
        <w:tc>
          <w:tcPr>
            <w:tcW w:w="0" w:type="auto"/>
            <w:vMerge w:val="continue"/>
            <w:tcBorders>
              <w:top w:val="nil"/>
              <w:left w:val="single" w:color="auto" w:sz="4" w:space="0"/>
              <w:bottom w:val="nil"/>
              <w:right w:val="single" w:color="auto" w:sz="4" w:space="0"/>
            </w:tcBorders>
            <w:vAlign w:val="center"/>
          </w:tcPr>
          <w:p w14:paraId="1F66ADE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12A13E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64ADD2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1134FF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桥隧设施基础属性梳理</w:t>
            </w:r>
          </w:p>
        </w:tc>
      </w:tr>
      <w:tr w14:paraId="2572F24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657040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w:t>
            </w:r>
          </w:p>
        </w:tc>
        <w:tc>
          <w:tcPr>
            <w:tcW w:w="0" w:type="auto"/>
            <w:vMerge w:val="continue"/>
            <w:tcBorders>
              <w:top w:val="nil"/>
              <w:left w:val="single" w:color="auto" w:sz="4" w:space="0"/>
              <w:bottom w:val="nil"/>
              <w:right w:val="single" w:color="auto" w:sz="4" w:space="0"/>
            </w:tcBorders>
            <w:vAlign w:val="center"/>
          </w:tcPr>
          <w:p w14:paraId="1342DA1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6B456E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F76B38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7D1690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桥隧设施运行监测数据梳理</w:t>
            </w:r>
          </w:p>
        </w:tc>
      </w:tr>
      <w:tr w14:paraId="1599495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5C6830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w:t>
            </w:r>
          </w:p>
        </w:tc>
        <w:tc>
          <w:tcPr>
            <w:tcW w:w="0" w:type="auto"/>
            <w:vMerge w:val="continue"/>
            <w:tcBorders>
              <w:top w:val="nil"/>
              <w:left w:val="single" w:color="auto" w:sz="4" w:space="0"/>
              <w:bottom w:val="nil"/>
              <w:right w:val="single" w:color="auto" w:sz="4" w:space="0"/>
            </w:tcBorders>
            <w:vAlign w:val="center"/>
          </w:tcPr>
          <w:p w14:paraId="6B9CDA6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B73E38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7EDB0B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4A0B57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桥隧设施周边环境风险数据梳理</w:t>
            </w:r>
          </w:p>
        </w:tc>
      </w:tr>
      <w:tr w14:paraId="7156B90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49E7E7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w:t>
            </w:r>
          </w:p>
        </w:tc>
        <w:tc>
          <w:tcPr>
            <w:tcW w:w="0" w:type="auto"/>
            <w:vMerge w:val="continue"/>
            <w:tcBorders>
              <w:top w:val="nil"/>
              <w:left w:val="single" w:color="auto" w:sz="4" w:space="0"/>
              <w:bottom w:val="nil"/>
              <w:right w:val="single" w:color="auto" w:sz="4" w:space="0"/>
            </w:tcBorders>
            <w:vAlign w:val="center"/>
          </w:tcPr>
          <w:p w14:paraId="3F65A2F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929EFD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8E2EC9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49B1C6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桥隧设施历史隐患事件记录梳理</w:t>
            </w:r>
          </w:p>
        </w:tc>
      </w:tr>
      <w:tr w14:paraId="4596615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70465E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w:t>
            </w:r>
          </w:p>
        </w:tc>
        <w:tc>
          <w:tcPr>
            <w:tcW w:w="0" w:type="auto"/>
            <w:vMerge w:val="continue"/>
            <w:tcBorders>
              <w:top w:val="nil"/>
              <w:left w:val="single" w:color="auto" w:sz="4" w:space="0"/>
              <w:bottom w:val="nil"/>
              <w:right w:val="single" w:color="auto" w:sz="4" w:space="0"/>
            </w:tcBorders>
            <w:vAlign w:val="center"/>
          </w:tcPr>
          <w:p w14:paraId="6EC6499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801738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AB8F34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45AD03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桥隧调研表字段细化</w:t>
            </w:r>
          </w:p>
        </w:tc>
      </w:tr>
      <w:tr w14:paraId="2034E94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5223AA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w:t>
            </w:r>
          </w:p>
        </w:tc>
        <w:tc>
          <w:tcPr>
            <w:tcW w:w="0" w:type="auto"/>
            <w:vMerge w:val="continue"/>
            <w:tcBorders>
              <w:top w:val="nil"/>
              <w:left w:val="single" w:color="auto" w:sz="4" w:space="0"/>
              <w:bottom w:val="nil"/>
              <w:right w:val="single" w:color="auto" w:sz="4" w:space="0"/>
            </w:tcBorders>
            <w:vAlign w:val="center"/>
          </w:tcPr>
          <w:p w14:paraId="7D2FE00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0B2F09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BC5C98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DD0D14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桥隧调研表设计</w:t>
            </w:r>
          </w:p>
        </w:tc>
      </w:tr>
      <w:tr w14:paraId="71D32F5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8E5B88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w:t>
            </w:r>
          </w:p>
        </w:tc>
        <w:tc>
          <w:tcPr>
            <w:tcW w:w="0" w:type="auto"/>
            <w:vMerge w:val="continue"/>
            <w:tcBorders>
              <w:top w:val="nil"/>
              <w:left w:val="single" w:color="auto" w:sz="4" w:space="0"/>
              <w:bottom w:val="nil"/>
              <w:right w:val="single" w:color="auto" w:sz="4" w:space="0"/>
            </w:tcBorders>
            <w:vAlign w:val="center"/>
          </w:tcPr>
          <w:p w14:paraId="0FE529A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657BA2E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桥隧专项资料收集</w:t>
            </w:r>
          </w:p>
        </w:tc>
        <w:tc>
          <w:tcPr>
            <w:tcW w:w="2694" w:type="dxa"/>
            <w:vMerge w:val="restart"/>
            <w:tcBorders>
              <w:top w:val="nil"/>
              <w:left w:val="single" w:color="auto" w:sz="4" w:space="0"/>
              <w:bottom w:val="single" w:color="000000" w:sz="4" w:space="0"/>
              <w:right w:val="single" w:color="auto" w:sz="4" w:space="0"/>
            </w:tcBorders>
            <w:vAlign w:val="center"/>
          </w:tcPr>
          <w:p w14:paraId="5324D9A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根据《桥梁专项调研表》进行资料搜集并录入，形成《桥隧资料收集清单》</w:t>
            </w:r>
          </w:p>
        </w:tc>
        <w:tc>
          <w:tcPr>
            <w:tcW w:w="4204" w:type="dxa"/>
            <w:tcBorders>
              <w:top w:val="nil"/>
              <w:left w:val="nil"/>
              <w:bottom w:val="single" w:color="auto" w:sz="4" w:space="0"/>
              <w:right w:val="single" w:color="auto" w:sz="4" w:space="0"/>
            </w:tcBorders>
            <w:vAlign w:val="center"/>
          </w:tcPr>
          <w:p w14:paraId="47BE807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桥隧相关法律、法规、规章、标准和文件</w:t>
            </w:r>
          </w:p>
        </w:tc>
      </w:tr>
      <w:tr w14:paraId="69B1A79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DCC87A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w:t>
            </w:r>
          </w:p>
        </w:tc>
        <w:tc>
          <w:tcPr>
            <w:tcW w:w="0" w:type="auto"/>
            <w:vMerge w:val="continue"/>
            <w:tcBorders>
              <w:top w:val="nil"/>
              <w:left w:val="single" w:color="auto" w:sz="4" w:space="0"/>
              <w:bottom w:val="nil"/>
              <w:right w:val="single" w:color="auto" w:sz="4" w:space="0"/>
            </w:tcBorders>
            <w:vAlign w:val="center"/>
          </w:tcPr>
          <w:p w14:paraId="3A7D0A8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A09B65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1A5AEA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C2B191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国内相关研究报告、技术标准、文献</w:t>
            </w:r>
          </w:p>
        </w:tc>
      </w:tr>
      <w:tr w14:paraId="1B1BEEC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F7867E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w:t>
            </w:r>
          </w:p>
        </w:tc>
        <w:tc>
          <w:tcPr>
            <w:tcW w:w="0" w:type="auto"/>
            <w:vMerge w:val="continue"/>
            <w:tcBorders>
              <w:top w:val="nil"/>
              <w:left w:val="single" w:color="auto" w:sz="4" w:space="0"/>
              <w:bottom w:val="nil"/>
              <w:right w:val="single" w:color="auto" w:sz="4" w:space="0"/>
            </w:tcBorders>
            <w:vAlign w:val="center"/>
          </w:tcPr>
          <w:p w14:paraId="2936433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1BE317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87D2FF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5A639B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国内外相关灾害事故案例及调查分析资料</w:t>
            </w:r>
          </w:p>
        </w:tc>
      </w:tr>
      <w:tr w14:paraId="42BD0BF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9A4C45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w:t>
            </w:r>
          </w:p>
        </w:tc>
        <w:tc>
          <w:tcPr>
            <w:tcW w:w="0" w:type="auto"/>
            <w:vMerge w:val="continue"/>
            <w:tcBorders>
              <w:top w:val="nil"/>
              <w:left w:val="single" w:color="auto" w:sz="4" w:space="0"/>
              <w:bottom w:val="nil"/>
              <w:right w:val="single" w:color="auto" w:sz="4" w:space="0"/>
            </w:tcBorders>
            <w:vAlign w:val="center"/>
          </w:tcPr>
          <w:p w14:paraId="610D8C0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FC1F8D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F74BD4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C8D3C5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桥隧安全风险源相关资料</w:t>
            </w:r>
          </w:p>
        </w:tc>
      </w:tr>
      <w:tr w14:paraId="091EBF2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980E2B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w:t>
            </w:r>
          </w:p>
        </w:tc>
        <w:tc>
          <w:tcPr>
            <w:tcW w:w="0" w:type="auto"/>
            <w:vMerge w:val="continue"/>
            <w:tcBorders>
              <w:top w:val="nil"/>
              <w:left w:val="single" w:color="auto" w:sz="4" w:space="0"/>
              <w:bottom w:val="nil"/>
              <w:right w:val="single" w:color="auto" w:sz="4" w:space="0"/>
            </w:tcBorders>
            <w:vAlign w:val="center"/>
          </w:tcPr>
          <w:p w14:paraId="1086541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C55708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4CB4B1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60C1C2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桥隧定期结构检测文件</w:t>
            </w:r>
          </w:p>
        </w:tc>
      </w:tr>
      <w:tr w14:paraId="47BD1B0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B98B71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13</w:t>
            </w:r>
          </w:p>
        </w:tc>
        <w:tc>
          <w:tcPr>
            <w:tcW w:w="0" w:type="auto"/>
            <w:vMerge w:val="continue"/>
            <w:tcBorders>
              <w:top w:val="nil"/>
              <w:left w:val="single" w:color="auto" w:sz="4" w:space="0"/>
              <w:bottom w:val="nil"/>
              <w:right w:val="single" w:color="auto" w:sz="4" w:space="0"/>
            </w:tcBorders>
            <w:vAlign w:val="center"/>
          </w:tcPr>
          <w:p w14:paraId="2CB447A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B2E370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701BB1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873605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桥隧设计标准文件</w:t>
            </w:r>
          </w:p>
        </w:tc>
      </w:tr>
      <w:tr w14:paraId="073E320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CC397F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14</w:t>
            </w:r>
          </w:p>
        </w:tc>
        <w:tc>
          <w:tcPr>
            <w:tcW w:w="0" w:type="auto"/>
            <w:vMerge w:val="continue"/>
            <w:tcBorders>
              <w:top w:val="nil"/>
              <w:left w:val="single" w:color="auto" w:sz="4" w:space="0"/>
              <w:bottom w:val="nil"/>
              <w:right w:val="single" w:color="auto" w:sz="4" w:space="0"/>
            </w:tcBorders>
            <w:vAlign w:val="center"/>
          </w:tcPr>
          <w:p w14:paraId="36A9BB3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87F263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0E8BBA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B74DD8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桥隧监测设备统计资料</w:t>
            </w:r>
          </w:p>
        </w:tc>
      </w:tr>
      <w:tr w14:paraId="77030F4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812B3B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15</w:t>
            </w:r>
          </w:p>
        </w:tc>
        <w:tc>
          <w:tcPr>
            <w:tcW w:w="0" w:type="auto"/>
            <w:vMerge w:val="continue"/>
            <w:tcBorders>
              <w:top w:val="nil"/>
              <w:left w:val="single" w:color="auto" w:sz="4" w:space="0"/>
              <w:bottom w:val="nil"/>
              <w:right w:val="single" w:color="auto" w:sz="4" w:space="0"/>
            </w:tcBorders>
            <w:vAlign w:val="center"/>
          </w:tcPr>
          <w:p w14:paraId="0085B75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4D77D9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9FAD74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721FC6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桥隧现场照片</w:t>
            </w:r>
          </w:p>
        </w:tc>
      </w:tr>
      <w:tr w14:paraId="0BDC4AC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B6E8B9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16</w:t>
            </w:r>
          </w:p>
        </w:tc>
        <w:tc>
          <w:tcPr>
            <w:tcW w:w="0" w:type="auto"/>
            <w:vMerge w:val="continue"/>
            <w:tcBorders>
              <w:top w:val="nil"/>
              <w:left w:val="single" w:color="auto" w:sz="4" w:space="0"/>
              <w:bottom w:val="nil"/>
              <w:right w:val="single" w:color="auto" w:sz="4" w:space="0"/>
            </w:tcBorders>
            <w:vAlign w:val="center"/>
          </w:tcPr>
          <w:p w14:paraId="6AEDBD2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D7E5BD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395CC2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4C4C7F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桥隧监测系统</w:t>
            </w:r>
          </w:p>
        </w:tc>
      </w:tr>
      <w:tr w14:paraId="3D1EF12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D2E3C9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17</w:t>
            </w:r>
          </w:p>
        </w:tc>
        <w:tc>
          <w:tcPr>
            <w:tcW w:w="0" w:type="auto"/>
            <w:vMerge w:val="continue"/>
            <w:tcBorders>
              <w:top w:val="nil"/>
              <w:left w:val="single" w:color="auto" w:sz="4" w:space="0"/>
              <w:bottom w:val="nil"/>
              <w:right w:val="single" w:color="auto" w:sz="4" w:space="0"/>
            </w:tcBorders>
            <w:vAlign w:val="center"/>
          </w:tcPr>
          <w:p w14:paraId="11D652F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639310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B1AEA4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29B897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车流量统计情况</w:t>
            </w:r>
          </w:p>
        </w:tc>
      </w:tr>
      <w:tr w14:paraId="3C277DB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715D94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18</w:t>
            </w:r>
          </w:p>
        </w:tc>
        <w:tc>
          <w:tcPr>
            <w:tcW w:w="0" w:type="auto"/>
            <w:vMerge w:val="continue"/>
            <w:tcBorders>
              <w:top w:val="nil"/>
              <w:left w:val="single" w:color="auto" w:sz="4" w:space="0"/>
              <w:bottom w:val="nil"/>
              <w:right w:val="single" w:color="auto" w:sz="4" w:space="0"/>
            </w:tcBorders>
            <w:vAlign w:val="center"/>
          </w:tcPr>
          <w:p w14:paraId="4C3C710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5C8C7E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2AA934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4E1163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周边承灾体、防护目标</w:t>
            </w:r>
          </w:p>
        </w:tc>
      </w:tr>
      <w:tr w14:paraId="5086EA8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20DA8F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19</w:t>
            </w:r>
          </w:p>
        </w:tc>
        <w:tc>
          <w:tcPr>
            <w:tcW w:w="0" w:type="auto"/>
            <w:vMerge w:val="continue"/>
            <w:tcBorders>
              <w:top w:val="nil"/>
              <w:left w:val="single" w:color="auto" w:sz="4" w:space="0"/>
              <w:bottom w:val="nil"/>
              <w:right w:val="single" w:color="auto" w:sz="4" w:space="0"/>
            </w:tcBorders>
            <w:vAlign w:val="center"/>
          </w:tcPr>
          <w:p w14:paraId="7119133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A039B0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75FE25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47A17C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应急资源情况</w:t>
            </w:r>
          </w:p>
        </w:tc>
      </w:tr>
      <w:tr w14:paraId="0D7AA83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2DF015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20</w:t>
            </w:r>
          </w:p>
        </w:tc>
        <w:tc>
          <w:tcPr>
            <w:tcW w:w="0" w:type="auto"/>
            <w:vMerge w:val="continue"/>
            <w:tcBorders>
              <w:top w:val="nil"/>
              <w:left w:val="single" w:color="auto" w:sz="4" w:space="0"/>
              <w:bottom w:val="nil"/>
              <w:right w:val="single" w:color="auto" w:sz="4" w:space="0"/>
            </w:tcBorders>
            <w:vAlign w:val="center"/>
          </w:tcPr>
          <w:p w14:paraId="20438CC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A7D434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28BCEF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88FCC7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桥隧设计/竣工文件</w:t>
            </w:r>
          </w:p>
        </w:tc>
      </w:tr>
      <w:tr w14:paraId="252BDD3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593D0C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21</w:t>
            </w:r>
          </w:p>
        </w:tc>
        <w:tc>
          <w:tcPr>
            <w:tcW w:w="0" w:type="auto"/>
            <w:vMerge w:val="continue"/>
            <w:tcBorders>
              <w:top w:val="nil"/>
              <w:left w:val="single" w:color="auto" w:sz="4" w:space="0"/>
              <w:bottom w:val="nil"/>
              <w:right w:val="single" w:color="auto" w:sz="4" w:space="0"/>
            </w:tcBorders>
            <w:vAlign w:val="center"/>
          </w:tcPr>
          <w:p w14:paraId="02BCF56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61F301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58564C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9784FD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桥隧养护记录</w:t>
            </w:r>
          </w:p>
        </w:tc>
      </w:tr>
      <w:tr w14:paraId="344A7A9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ED3240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22</w:t>
            </w:r>
          </w:p>
        </w:tc>
        <w:tc>
          <w:tcPr>
            <w:tcW w:w="0" w:type="auto"/>
            <w:vMerge w:val="continue"/>
            <w:tcBorders>
              <w:top w:val="nil"/>
              <w:left w:val="single" w:color="auto" w:sz="4" w:space="0"/>
              <w:bottom w:val="nil"/>
              <w:right w:val="single" w:color="auto" w:sz="4" w:space="0"/>
            </w:tcBorders>
            <w:vAlign w:val="center"/>
          </w:tcPr>
          <w:p w14:paraId="2519391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3AF20E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08F4FE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4F9646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桥隧日常运行监测</w:t>
            </w:r>
          </w:p>
        </w:tc>
      </w:tr>
      <w:tr w14:paraId="393CCEC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84EC96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23</w:t>
            </w:r>
          </w:p>
        </w:tc>
        <w:tc>
          <w:tcPr>
            <w:tcW w:w="0" w:type="auto"/>
            <w:vMerge w:val="continue"/>
            <w:tcBorders>
              <w:top w:val="nil"/>
              <w:left w:val="single" w:color="auto" w:sz="4" w:space="0"/>
              <w:bottom w:val="nil"/>
              <w:right w:val="single" w:color="auto" w:sz="4" w:space="0"/>
            </w:tcBorders>
            <w:vAlign w:val="center"/>
          </w:tcPr>
          <w:p w14:paraId="7192461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398DFD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AD0072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9AF716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突发事件应急预案</w:t>
            </w:r>
          </w:p>
        </w:tc>
      </w:tr>
      <w:tr w14:paraId="7DEC3E5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CD4CE2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24</w:t>
            </w:r>
          </w:p>
        </w:tc>
        <w:tc>
          <w:tcPr>
            <w:tcW w:w="0" w:type="auto"/>
            <w:vMerge w:val="continue"/>
            <w:tcBorders>
              <w:top w:val="nil"/>
              <w:left w:val="single" w:color="auto" w:sz="4" w:space="0"/>
              <w:bottom w:val="nil"/>
              <w:right w:val="single" w:color="auto" w:sz="4" w:space="0"/>
            </w:tcBorders>
            <w:vAlign w:val="center"/>
          </w:tcPr>
          <w:p w14:paraId="3AF59AA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B3B463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C00CF3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61A764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日常健康检查</w:t>
            </w:r>
          </w:p>
        </w:tc>
      </w:tr>
      <w:tr w14:paraId="6D107C4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B20774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25</w:t>
            </w:r>
          </w:p>
        </w:tc>
        <w:tc>
          <w:tcPr>
            <w:tcW w:w="0" w:type="auto"/>
            <w:vMerge w:val="continue"/>
            <w:tcBorders>
              <w:top w:val="nil"/>
              <w:left w:val="single" w:color="auto" w:sz="4" w:space="0"/>
              <w:bottom w:val="nil"/>
              <w:right w:val="single" w:color="auto" w:sz="4" w:space="0"/>
            </w:tcBorders>
            <w:vAlign w:val="center"/>
          </w:tcPr>
          <w:p w14:paraId="578DD42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711073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34F303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FF9501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桥隧加固及修复资料</w:t>
            </w:r>
          </w:p>
        </w:tc>
      </w:tr>
      <w:tr w14:paraId="6941F42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C7B9B9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26</w:t>
            </w:r>
          </w:p>
        </w:tc>
        <w:tc>
          <w:tcPr>
            <w:tcW w:w="0" w:type="auto"/>
            <w:vMerge w:val="continue"/>
            <w:tcBorders>
              <w:top w:val="nil"/>
              <w:left w:val="single" w:color="auto" w:sz="4" w:space="0"/>
              <w:bottom w:val="nil"/>
              <w:right w:val="single" w:color="auto" w:sz="4" w:space="0"/>
            </w:tcBorders>
            <w:vAlign w:val="center"/>
          </w:tcPr>
          <w:p w14:paraId="1D0C988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0744D82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桥隧数据收集核查</w:t>
            </w:r>
          </w:p>
        </w:tc>
        <w:tc>
          <w:tcPr>
            <w:tcW w:w="2694" w:type="dxa"/>
            <w:vMerge w:val="restart"/>
            <w:tcBorders>
              <w:top w:val="nil"/>
              <w:left w:val="single" w:color="auto" w:sz="4" w:space="0"/>
              <w:bottom w:val="single" w:color="000000" w:sz="4" w:space="0"/>
              <w:right w:val="single" w:color="auto" w:sz="4" w:space="0"/>
            </w:tcBorders>
            <w:vAlign w:val="center"/>
          </w:tcPr>
          <w:p w14:paraId="7725FB5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对采集来的数据进行数据核查输出《桥隧专项数据核查表》并进行数据修正</w:t>
            </w:r>
          </w:p>
        </w:tc>
        <w:tc>
          <w:tcPr>
            <w:tcW w:w="4204" w:type="dxa"/>
            <w:tcBorders>
              <w:top w:val="nil"/>
              <w:left w:val="nil"/>
              <w:bottom w:val="single" w:color="auto" w:sz="4" w:space="0"/>
              <w:right w:val="single" w:color="auto" w:sz="4" w:space="0"/>
            </w:tcBorders>
            <w:vAlign w:val="center"/>
          </w:tcPr>
          <w:p w14:paraId="0728B71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桥隧结构类型</w:t>
            </w:r>
          </w:p>
        </w:tc>
      </w:tr>
      <w:tr w14:paraId="375AD6D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240F54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27</w:t>
            </w:r>
          </w:p>
        </w:tc>
        <w:tc>
          <w:tcPr>
            <w:tcW w:w="0" w:type="auto"/>
            <w:vMerge w:val="continue"/>
            <w:tcBorders>
              <w:top w:val="nil"/>
              <w:left w:val="single" w:color="auto" w:sz="4" w:space="0"/>
              <w:bottom w:val="nil"/>
              <w:right w:val="single" w:color="auto" w:sz="4" w:space="0"/>
            </w:tcBorders>
            <w:vAlign w:val="center"/>
          </w:tcPr>
          <w:p w14:paraId="310F897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C18F1F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40888B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671E6D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桥隧用途类型</w:t>
            </w:r>
          </w:p>
        </w:tc>
      </w:tr>
      <w:tr w14:paraId="1D87612D">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32EFEC1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28</w:t>
            </w:r>
          </w:p>
        </w:tc>
        <w:tc>
          <w:tcPr>
            <w:tcW w:w="0" w:type="auto"/>
            <w:vMerge w:val="continue"/>
            <w:tcBorders>
              <w:top w:val="nil"/>
              <w:left w:val="single" w:color="auto" w:sz="4" w:space="0"/>
              <w:bottom w:val="nil"/>
              <w:right w:val="single" w:color="auto" w:sz="4" w:space="0"/>
            </w:tcBorders>
            <w:vAlign w:val="center"/>
          </w:tcPr>
          <w:p w14:paraId="3940F1D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B8B9E6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647A2B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53A182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桥隧结构隐患：城市桥隧完好状况指数BCI、公路桥隧技术状况评分Dr</w:t>
            </w:r>
          </w:p>
        </w:tc>
      </w:tr>
      <w:tr w14:paraId="6A626BA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DA7C71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29</w:t>
            </w:r>
          </w:p>
        </w:tc>
        <w:tc>
          <w:tcPr>
            <w:tcW w:w="0" w:type="auto"/>
            <w:vMerge w:val="continue"/>
            <w:tcBorders>
              <w:top w:val="nil"/>
              <w:left w:val="single" w:color="auto" w:sz="4" w:space="0"/>
              <w:bottom w:val="nil"/>
              <w:right w:val="single" w:color="auto" w:sz="4" w:space="0"/>
            </w:tcBorders>
            <w:vAlign w:val="center"/>
          </w:tcPr>
          <w:p w14:paraId="588DFC6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A199C4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38CBF2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98E554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设计不合理因素</w:t>
            </w:r>
          </w:p>
        </w:tc>
      </w:tr>
      <w:tr w14:paraId="44485EA8">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5CC8029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30</w:t>
            </w:r>
          </w:p>
        </w:tc>
        <w:tc>
          <w:tcPr>
            <w:tcW w:w="0" w:type="auto"/>
            <w:vMerge w:val="continue"/>
            <w:tcBorders>
              <w:top w:val="nil"/>
              <w:left w:val="single" w:color="auto" w:sz="4" w:space="0"/>
              <w:bottom w:val="nil"/>
              <w:right w:val="single" w:color="auto" w:sz="4" w:space="0"/>
            </w:tcBorders>
            <w:vAlign w:val="center"/>
          </w:tcPr>
          <w:p w14:paraId="001915E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D6B1D9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15AB9F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09D223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运行环境：存在车辆超载或车流量大情况、存在大曲率匝道、存在其他环境因素影响</w:t>
            </w:r>
          </w:p>
        </w:tc>
      </w:tr>
      <w:tr w14:paraId="000F055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76422D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31</w:t>
            </w:r>
          </w:p>
        </w:tc>
        <w:tc>
          <w:tcPr>
            <w:tcW w:w="0" w:type="auto"/>
            <w:vMerge w:val="continue"/>
            <w:tcBorders>
              <w:top w:val="nil"/>
              <w:left w:val="single" w:color="auto" w:sz="4" w:space="0"/>
              <w:bottom w:val="nil"/>
              <w:right w:val="single" w:color="auto" w:sz="4" w:space="0"/>
            </w:tcBorders>
            <w:vAlign w:val="center"/>
          </w:tcPr>
          <w:p w14:paraId="47990A0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521FD9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40B58C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259EE5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养护等级</w:t>
            </w:r>
          </w:p>
        </w:tc>
      </w:tr>
      <w:tr w14:paraId="78A7851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B4C290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32</w:t>
            </w:r>
          </w:p>
        </w:tc>
        <w:tc>
          <w:tcPr>
            <w:tcW w:w="0" w:type="auto"/>
            <w:vMerge w:val="continue"/>
            <w:tcBorders>
              <w:top w:val="nil"/>
              <w:left w:val="single" w:color="auto" w:sz="4" w:space="0"/>
              <w:bottom w:val="nil"/>
              <w:right w:val="single" w:color="auto" w:sz="4" w:space="0"/>
            </w:tcBorders>
            <w:vAlign w:val="center"/>
          </w:tcPr>
          <w:p w14:paraId="13CDDBC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B74AB7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5E3F0F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49F242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重要桥隧</w:t>
            </w:r>
          </w:p>
        </w:tc>
      </w:tr>
      <w:tr w14:paraId="66A0F80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DA9A7D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33</w:t>
            </w:r>
          </w:p>
        </w:tc>
        <w:tc>
          <w:tcPr>
            <w:tcW w:w="0" w:type="auto"/>
            <w:vMerge w:val="continue"/>
            <w:tcBorders>
              <w:top w:val="nil"/>
              <w:left w:val="single" w:color="auto" w:sz="4" w:space="0"/>
              <w:bottom w:val="nil"/>
              <w:right w:val="single" w:color="auto" w:sz="4" w:space="0"/>
            </w:tcBorders>
            <w:vAlign w:val="center"/>
          </w:tcPr>
          <w:p w14:paraId="0098868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66E7F7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81D444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5D094B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桥隧规模</w:t>
            </w:r>
          </w:p>
        </w:tc>
      </w:tr>
      <w:tr w14:paraId="384F354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857BB2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34</w:t>
            </w:r>
          </w:p>
        </w:tc>
        <w:tc>
          <w:tcPr>
            <w:tcW w:w="0" w:type="auto"/>
            <w:vMerge w:val="continue"/>
            <w:tcBorders>
              <w:top w:val="nil"/>
              <w:left w:val="single" w:color="auto" w:sz="4" w:space="0"/>
              <w:bottom w:val="nil"/>
              <w:right w:val="single" w:color="auto" w:sz="4" w:space="0"/>
            </w:tcBorders>
            <w:vAlign w:val="center"/>
          </w:tcPr>
          <w:p w14:paraId="68B45B4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6A1E99E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桥隧专项现场调查</w:t>
            </w:r>
          </w:p>
        </w:tc>
        <w:tc>
          <w:tcPr>
            <w:tcW w:w="2694" w:type="dxa"/>
            <w:vMerge w:val="restart"/>
            <w:tcBorders>
              <w:top w:val="nil"/>
              <w:left w:val="single" w:color="auto" w:sz="4" w:space="0"/>
              <w:bottom w:val="single" w:color="000000" w:sz="4" w:space="0"/>
              <w:right w:val="single" w:color="auto" w:sz="4" w:space="0"/>
            </w:tcBorders>
            <w:vAlign w:val="center"/>
          </w:tcPr>
          <w:p w14:paraId="3302BDA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对各个桥隧进行现场调查</w:t>
            </w:r>
          </w:p>
        </w:tc>
        <w:tc>
          <w:tcPr>
            <w:tcW w:w="4204" w:type="dxa"/>
            <w:tcBorders>
              <w:top w:val="nil"/>
              <w:left w:val="nil"/>
              <w:bottom w:val="single" w:color="auto" w:sz="4" w:space="0"/>
              <w:right w:val="single" w:color="auto" w:sz="4" w:space="0"/>
            </w:tcBorders>
            <w:vAlign w:val="center"/>
          </w:tcPr>
          <w:p w14:paraId="0B31C8B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桥隧风险源调查</w:t>
            </w:r>
          </w:p>
        </w:tc>
      </w:tr>
      <w:tr w14:paraId="3B6085E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1BB616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35</w:t>
            </w:r>
          </w:p>
        </w:tc>
        <w:tc>
          <w:tcPr>
            <w:tcW w:w="0" w:type="auto"/>
            <w:vMerge w:val="continue"/>
            <w:tcBorders>
              <w:top w:val="nil"/>
              <w:left w:val="single" w:color="auto" w:sz="4" w:space="0"/>
              <w:bottom w:val="nil"/>
              <w:right w:val="single" w:color="auto" w:sz="4" w:space="0"/>
            </w:tcBorders>
            <w:vAlign w:val="center"/>
          </w:tcPr>
          <w:p w14:paraId="1C953F6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4AE441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C76C88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3F78FE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桥隧重点防护目标调查</w:t>
            </w:r>
          </w:p>
        </w:tc>
      </w:tr>
      <w:tr w14:paraId="3CE670C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0FE825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36</w:t>
            </w:r>
          </w:p>
        </w:tc>
        <w:tc>
          <w:tcPr>
            <w:tcW w:w="0" w:type="auto"/>
            <w:vMerge w:val="continue"/>
            <w:tcBorders>
              <w:top w:val="nil"/>
              <w:left w:val="single" w:color="auto" w:sz="4" w:space="0"/>
              <w:bottom w:val="nil"/>
              <w:right w:val="single" w:color="auto" w:sz="4" w:space="0"/>
            </w:tcBorders>
            <w:vAlign w:val="center"/>
          </w:tcPr>
          <w:p w14:paraId="3EDBABC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C5AFA5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943C91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886EC4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桥隧应急资源调查</w:t>
            </w:r>
          </w:p>
        </w:tc>
      </w:tr>
      <w:tr w14:paraId="29C431C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F82654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37</w:t>
            </w:r>
          </w:p>
        </w:tc>
        <w:tc>
          <w:tcPr>
            <w:tcW w:w="0" w:type="auto"/>
            <w:vMerge w:val="continue"/>
            <w:tcBorders>
              <w:top w:val="nil"/>
              <w:left w:val="single" w:color="auto" w:sz="4" w:space="0"/>
              <w:bottom w:val="nil"/>
              <w:right w:val="single" w:color="auto" w:sz="4" w:space="0"/>
            </w:tcBorders>
            <w:vAlign w:val="center"/>
          </w:tcPr>
          <w:p w14:paraId="78752C5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232D8B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3B035C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A0CCD1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桥隧安全管理调查</w:t>
            </w:r>
          </w:p>
        </w:tc>
      </w:tr>
      <w:tr w14:paraId="7405B74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6B5DB5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38</w:t>
            </w:r>
          </w:p>
        </w:tc>
        <w:tc>
          <w:tcPr>
            <w:tcW w:w="0" w:type="auto"/>
            <w:vMerge w:val="continue"/>
            <w:tcBorders>
              <w:top w:val="nil"/>
              <w:left w:val="single" w:color="auto" w:sz="4" w:space="0"/>
              <w:bottom w:val="nil"/>
              <w:right w:val="single" w:color="auto" w:sz="4" w:space="0"/>
            </w:tcBorders>
            <w:vAlign w:val="center"/>
          </w:tcPr>
          <w:p w14:paraId="69AC2F6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DA2A4D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39A5E3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41E225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桥隧专项安全生产责任制数据梳理</w:t>
            </w:r>
          </w:p>
        </w:tc>
      </w:tr>
      <w:tr w14:paraId="5E1EDC0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A550B2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39</w:t>
            </w:r>
          </w:p>
        </w:tc>
        <w:tc>
          <w:tcPr>
            <w:tcW w:w="0" w:type="auto"/>
            <w:vMerge w:val="continue"/>
            <w:tcBorders>
              <w:top w:val="nil"/>
              <w:left w:val="single" w:color="auto" w:sz="4" w:space="0"/>
              <w:bottom w:val="nil"/>
              <w:right w:val="single" w:color="auto" w:sz="4" w:space="0"/>
            </w:tcBorders>
            <w:vAlign w:val="center"/>
          </w:tcPr>
          <w:p w14:paraId="4B9930B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EEF48C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CC8DCA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0C4E58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桥隧专项安全管理制度录入</w:t>
            </w:r>
          </w:p>
        </w:tc>
      </w:tr>
      <w:tr w14:paraId="56E6AEA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0EBE90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40</w:t>
            </w:r>
          </w:p>
        </w:tc>
        <w:tc>
          <w:tcPr>
            <w:tcW w:w="0" w:type="auto"/>
            <w:vMerge w:val="continue"/>
            <w:tcBorders>
              <w:top w:val="nil"/>
              <w:left w:val="single" w:color="auto" w:sz="4" w:space="0"/>
              <w:bottom w:val="nil"/>
              <w:right w:val="single" w:color="auto" w:sz="4" w:space="0"/>
            </w:tcBorders>
            <w:vAlign w:val="center"/>
          </w:tcPr>
          <w:p w14:paraId="5556E43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17E00C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9F184C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17E902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桥隧专项安全巡查记录数据梳理</w:t>
            </w:r>
          </w:p>
        </w:tc>
      </w:tr>
      <w:tr w14:paraId="602308F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AC7F57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41</w:t>
            </w:r>
          </w:p>
        </w:tc>
        <w:tc>
          <w:tcPr>
            <w:tcW w:w="0" w:type="auto"/>
            <w:vMerge w:val="continue"/>
            <w:tcBorders>
              <w:top w:val="nil"/>
              <w:left w:val="single" w:color="auto" w:sz="4" w:space="0"/>
              <w:bottom w:val="nil"/>
              <w:right w:val="single" w:color="auto" w:sz="4" w:space="0"/>
            </w:tcBorders>
            <w:vAlign w:val="center"/>
          </w:tcPr>
          <w:p w14:paraId="1421CA0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F502DB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1F6575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2807AE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桥隧专项安全巡查数据录入</w:t>
            </w:r>
          </w:p>
        </w:tc>
      </w:tr>
      <w:tr w14:paraId="2308D95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B1CEF5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42</w:t>
            </w:r>
          </w:p>
        </w:tc>
        <w:tc>
          <w:tcPr>
            <w:tcW w:w="0" w:type="auto"/>
            <w:vMerge w:val="continue"/>
            <w:tcBorders>
              <w:top w:val="nil"/>
              <w:left w:val="single" w:color="auto" w:sz="4" w:space="0"/>
              <w:bottom w:val="nil"/>
              <w:right w:val="single" w:color="auto" w:sz="4" w:space="0"/>
            </w:tcBorders>
            <w:vAlign w:val="center"/>
          </w:tcPr>
          <w:p w14:paraId="601681C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A7D400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20D2D4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E8D9D4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桥隧专项隐患排查计划数据梳理</w:t>
            </w:r>
          </w:p>
        </w:tc>
      </w:tr>
      <w:tr w14:paraId="6525059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585CCC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43</w:t>
            </w:r>
          </w:p>
        </w:tc>
        <w:tc>
          <w:tcPr>
            <w:tcW w:w="0" w:type="auto"/>
            <w:vMerge w:val="continue"/>
            <w:tcBorders>
              <w:top w:val="nil"/>
              <w:left w:val="single" w:color="auto" w:sz="4" w:space="0"/>
              <w:bottom w:val="nil"/>
              <w:right w:val="single" w:color="auto" w:sz="4" w:space="0"/>
            </w:tcBorders>
            <w:vAlign w:val="center"/>
          </w:tcPr>
          <w:p w14:paraId="190E75D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ACAA63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B58982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0D0EA4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桥隧专项隐患排查数据录入</w:t>
            </w:r>
          </w:p>
        </w:tc>
      </w:tr>
      <w:tr w14:paraId="372E8CB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855250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44</w:t>
            </w:r>
          </w:p>
        </w:tc>
        <w:tc>
          <w:tcPr>
            <w:tcW w:w="0" w:type="auto"/>
            <w:vMerge w:val="continue"/>
            <w:tcBorders>
              <w:top w:val="nil"/>
              <w:left w:val="single" w:color="auto" w:sz="4" w:space="0"/>
              <w:bottom w:val="nil"/>
              <w:right w:val="single" w:color="auto" w:sz="4" w:space="0"/>
            </w:tcBorders>
            <w:vAlign w:val="center"/>
          </w:tcPr>
          <w:p w14:paraId="557BA62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3A25A7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674A24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3834A7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桥隧应急资源数据梳理</w:t>
            </w:r>
          </w:p>
        </w:tc>
      </w:tr>
      <w:tr w14:paraId="11F0FF9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FD8E2E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45</w:t>
            </w:r>
          </w:p>
        </w:tc>
        <w:tc>
          <w:tcPr>
            <w:tcW w:w="0" w:type="auto"/>
            <w:vMerge w:val="continue"/>
            <w:tcBorders>
              <w:top w:val="nil"/>
              <w:left w:val="single" w:color="auto" w:sz="4" w:space="0"/>
              <w:bottom w:val="nil"/>
              <w:right w:val="single" w:color="auto" w:sz="4" w:space="0"/>
            </w:tcBorders>
            <w:vAlign w:val="center"/>
          </w:tcPr>
          <w:p w14:paraId="0E86A2E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E2319C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39FEBA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920977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桥隧应急资源信息录入</w:t>
            </w:r>
          </w:p>
        </w:tc>
      </w:tr>
      <w:tr w14:paraId="28A9FD1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589D72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46</w:t>
            </w:r>
          </w:p>
        </w:tc>
        <w:tc>
          <w:tcPr>
            <w:tcW w:w="0" w:type="auto"/>
            <w:vMerge w:val="continue"/>
            <w:tcBorders>
              <w:top w:val="nil"/>
              <w:left w:val="single" w:color="auto" w:sz="4" w:space="0"/>
              <w:bottom w:val="nil"/>
              <w:right w:val="single" w:color="auto" w:sz="4" w:space="0"/>
            </w:tcBorders>
            <w:vAlign w:val="center"/>
          </w:tcPr>
          <w:p w14:paraId="7411210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02D0C8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B46114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A1184C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桥隧专项应急预案信息数据梳理</w:t>
            </w:r>
          </w:p>
        </w:tc>
      </w:tr>
      <w:tr w14:paraId="65BDB1F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C5F9E0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47</w:t>
            </w:r>
          </w:p>
        </w:tc>
        <w:tc>
          <w:tcPr>
            <w:tcW w:w="0" w:type="auto"/>
            <w:vMerge w:val="continue"/>
            <w:tcBorders>
              <w:top w:val="nil"/>
              <w:left w:val="single" w:color="auto" w:sz="4" w:space="0"/>
              <w:bottom w:val="nil"/>
              <w:right w:val="single" w:color="auto" w:sz="4" w:space="0"/>
            </w:tcBorders>
            <w:vAlign w:val="center"/>
          </w:tcPr>
          <w:p w14:paraId="1B3DFBE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3F5E82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BD8A13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0AECFB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桥隧专项应急预案录入</w:t>
            </w:r>
          </w:p>
        </w:tc>
      </w:tr>
      <w:tr w14:paraId="02256CD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960CBB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48</w:t>
            </w:r>
          </w:p>
        </w:tc>
        <w:tc>
          <w:tcPr>
            <w:tcW w:w="0" w:type="auto"/>
            <w:vMerge w:val="continue"/>
            <w:tcBorders>
              <w:top w:val="nil"/>
              <w:left w:val="single" w:color="auto" w:sz="4" w:space="0"/>
              <w:bottom w:val="nil"/>
              <w:right w:val="single" w:color="auto" w:sz="4" w:space="0"/>
            </w:tcBorders>
            <w:vAlign w:val="center"/>
          </w:tcPr>
          <w:p w14:paraId="5173D87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44319E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D467FB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49FBCB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桥隧专项应急资源能力评估数据梳理</w:t>
            </w:r>
          </w:p>
        </w:tc>
      </w:tr>
      <w:tr w14:paraId="6BBFB33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0CCFA9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49</w:t>
            </w:r>
          </w:p>
        </w:tc>
        <w:tc>
          <w:tcPr>
            <w:tcW w:w="0" w:type="auto"/>
            <w:vMerge w:val="continue"/>
            <w:tcBorders>
              <w:top w:val="nil"/>
              <w:left w:val="single" w:color="auto" w:sz="4" w:space="0"/>
              <w:bottom w:val="nil"/>
              <w:right w:val="single" w:color="auto" w:sz="4" w:space="0"/>
            </w:tcBorders>
            <w:vAlign w:val="center"/>
          </w:tcPr>
          <w:p w14:paraId="02B79E6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9448A8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583C80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B9D4A4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桥隧专项应急响应资源数据录入</w:t>
            </w:r>
          </w:p>
        </w:tc>
      </w:tr>
      <w:tr w14:paraId="653E414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44ACB3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50</w:t>
            </w:r>
          </w:p>
        </w:tc>
        <w:tc>
          <w:tcPr>
            <w:tcW w:w="0" w:type="auto"/>
            <w:vMerge w:val="continue"/>
            <w:tcBorders>
              <w:top w:val="nil"/>
              <w:left w:val="single" w:color="auto" w:sz="4" w:space="0"/>
              <w:bottom w:val="nil"/>
              <w:right w:val="single" w:color="auto" w:sz="4" w:space="0"/>
            </w:tcBorders>
            <w:vAlign w:val="center"/>
          </w:tcPr>
          <w:p w14:paraId="3462405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84C0BA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867AD4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C70668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桥隧专项重大危险源识别数据梳理</w:t>
            </w:r>
          </w:p>
        </w:tc>
      </w:tr>
      <w:tr w14:paraId="467FBB3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05B6C9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51</w:t>
            </w:r>
          </w:p>
        </w:tc>
        <w:tc>
          <w:tcPr>
            <w:tcW w:w="0" w:type="auto"/>
            <w:vMerge w:val="continue"/>
            <w:tcBorders>
              <w:top w:val="nil"/>
              <w:left w:val="single" w:color="auto" w:sz="4" w:space="0"/>
              <w:bottom w:val="nil"/>
              <w:right w:val="single" w:color="auto" w:sz="4" w:space="0"/>
            </w:tcBorders>
            <w:vAlign w:val="center"/>
          </w:tcPr>
          <w:p w14:paraId="6E623D0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9CC947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8680EA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B07788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桥隧专项重大危险源数据录入</w:t>
            </w:r>
          </w:p>
        </w:tc>
      </w:tr>
      <w:tr w14:paraId="2631691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D3F2BF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52</w:t>
            </w:r>
          </w:p>
        </w:tc>
        <w:tc>
          <w:tcPr>
            <w:tcW w:w="0" w:type="auto"/>
            <w:vMerge w:val="continue"/>
            <w:tcBorders>
              <w:top w:val="nil"/>
              <w:left w:val="single" w:color="auto" w:sz="4" w:space="0"/>
              <w:bottom w:val="nil"/>
              <w:right w:val="single" w:color="auto" w:sz="4" w:space="0"/>
            </w:tcBorders>
            <w:vAlign w:val="center"/>
          </w:tcPr>
          <w:p w14:paraId="6B857E0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B41160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AF7070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1D4599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桥隧专项社会经济敏感目标数据梳理</w:t>
            </w:r>
          </w:p>
        </w:tc>
      </w:tr>
      <w:tr w14:paraId="2FACD43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0992D6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53</w:t>
            </w:r>
          </w:p>
        </w:tc>
        <w:tc>
          <w:tcPr>
            <w:tcW w:w="0" w:type="auto"/>
            <w:vMerge w:val="continue"/>
            <w:tcBorders>
              <w:top w:val="nil"/>
              <w:left w:val="single" w:color="auto" w:sz="4" w:space="0"/>
              <w:bottom w:val="nil"/>
              <w:right w:val="single" w:color="auto" w:sz="4" w:space="0"/>
            </w:tcBorders>
            <w:vAlign w:val="center"/>
          </w:tcPr>
          <w:p w14:paraId="1F6EF1E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E42001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509FA1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ACB79A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桥隧专项敏感区域信息录入</w:t>
            </w:r>
          </w:p>
        </w:tc>
      </w:tr>
      <w:tr w14:paraId="3FE6BF1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456E54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54</w:t>
            </w:r>
          </w:p>
        </w:tc>
        <w:tc>
          <w:tcPr>
            <w:tcW w:w="0" w:type="auto"/>
            <w:vMerge w:val="continue"/>
            <w:tcBorders>
              <w:top w:val="nil"/>
              <w:left w:val="single" w:color="auto" w:sz="4" w:space="0"/>
              <w:bottom w:val="nil"/>
              <w:right w:val="single" w:color="auto" w:sz="4" w:space="0"/>
            </w:tcBorders>
            <w:vAlign w:val="center"/>
          </w:tcPr>
          <w:p w14:paraId="64A79D3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0D46B2C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桥隧专项数据分析处理</w:t>
            </w:r>
          </w:p>
        </w:tc>
        <w:tc>
          <w:tcPr>
            <w:tcW w:w="2694" w:type="dxa"/>
            <w:vMerge w:val="restart"/>
            <w:tcBorders>
              <w:top w:val="nil"/>
              <w:left w:val="single" w:color="auto" w:sz="4" w:space="0"/>
              <w:bottom w:val="single" w:color="000000" w:sz="4" w:space="0"/>
              <w:right w:val="single" w:color="auto" w:sz="4" w:space="0"/>
            </w:tcBorders>
            <w:vAlign w:val="center"/>
          </w:tcPr>
          <w:p w14:paraId="6C4447F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针对采集的数据、现场调查数据进行数据录入，根据数据模型进行预处理</w:t>
            </w:r>
          </w:p>
        </w:tc>
        <w:tc>
          <w:tcPr>
            <w:tcW w:w="4204" w:type="dxa"/>
            <w:tcBorders>
              <w:top w:val="nil"/>
              <w:left w:val="nil"/>
              <w:bottom w:val="single" w:color="auto" w:sz="4" w:space="0"/>
              <w:right w:val="single" w:color="auto" w:sz="4" w:space="0"/>
            </w:tcBorders>
            <w:vAlign w:val="center"/>
          </w:tcPr>
          <w:p w14:paraId="1288BA6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桥隧专项风险评估数据复核数据梳理</w:t>
            </w:r>
          </w:p>
        </w:tc>
      </w:tr>
      <w:tr w14:paraId="5ABE28A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23DA1D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55</w:t>
            </w:r>
          </w:p>
        </w:tc>
        <w:tc>
          <w:tcPr>
            <w:tcW w:w="0" w:type="auto"/>
            <w:vMerge w:val="continue"/>
            <w:tcBorders>
              <w:top w:val="nil"/>
              <w:left w:val="single" w:color="auto" w:sz="4" w:space="0"/>
              <w:bottom w:val="nil"/>
              <w:right w:val="single" w:color="auto" w:sz="4" w:space="0"/>
            </w:tcBorders>
            <w:vAlign w:val="center"/>
          </w:tcPr>
          <w:p w14:paraId="617739D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5F3649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566F37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997B4D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桥隧专项风险评估数据核查</w:t>
            </w:r>
          </w:p>
        </w:tc>
      </w:tr>
      <w:tr w14:paraId="1F8DCE3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C29BE4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56</w:t>
            </w:r>
          </w:p>
        </w:tc>
        <w:tc>
          <w:tcPr>
            <w:tcW w:w="0" w:type="auto"/>
            <w:vMerge w:val="continue"/>
            <w:tcBorders>
              <w:top w:val="nil"/>
              <w:left w:val="single" w:color="auto" w:sz="4" w:space="0"/>
              <w:bottom w:val="nil"/>
              <w:right w:val="single" w:color="auto" w:sz="4" w:space="0"/>
            </w:tcBorders>
            <w:vAlign w:val="center"/>
          </w:tcPr>
          <w:p w14:paraId="78753AB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45ACD5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A85098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CCB685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桥隧专项风险评估结果修正数据梳理</w:t>
            </w:r>
          </w:p>
        </w:tc>
      </w:tr>
      <w:tr w14:paraId="41DC103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E2D044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57</w:t>
            </w:r>
          </w:p>
        </w:tc>
        <w:tc>
          <w:tcPr>
            <w:tcW w:w="0" w:type="auto"/>
            <w:vMerge w:val="continue"/>
            <w:tcBorders>
              <w:top w:val="nil"/>
              <w:left w:val="single" w:color="auto" w:sz="4" w:space="0"/>
              <w:bottom w:val="nil"/>
              <w:right w:val="single" w:color="auto" w:sz="4" w:space="0"/>
            </w:tcBorders>
            <w:vAlign w:val="center"/>
          </w:tcPr>
          <w:p w14:paraId="400ABC2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6E167F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05DED8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E6E57D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桥隧专项风险评估修正录入</w:t>
            </w:r>
          </w:p>
        </w:tc>
      </w:tr>
      <w:tr w14:paraId="2E93F9F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267E24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58</w:t>
            </w:r>
          </w:p>
        </w:tc>
        <w:tc>
          <w:tcPr>
            <w:tcW w:w="0" w:type="auto"/>
            <w:vMerge w:val="continue"/>
            <w:tcBorders>
              <w:top w:val="nil"/>
              <w:left w:val="single" w:color="auto" w:sz="4" w:space="0"/>
              <w:bottom w:val="nil"/>
              <w:right w:val="single" w:color="auto" w:sz="4" w:space="0"/>
            </w:tcBorders>
            <w:vAlign w:val="center"/>
          </w:tcPr>
          <w:p w14:paraId="5661A4A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AF5633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2ED288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F3979C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桥隧专项数据清洗规则配置梳理</w:t>
            </w:r>
          </w:p>
        </w:tc>
      </w:tr>
      <w:tr w14:paraId="79DF5C7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DEA71D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59</w:t>
            </w:r>
          </w:p>
        </w:tc>
        <w:tc>
          <w:tcPr>
            <w:tcW w:w="0" w:type="auto"/>
            <w:vMerge w:val="continue"/>
            <w:tcBorders>
              <w:top w:val="nil"/>
              <w:left w:val="single" w:color="auto" w:sz="4" w:space="0"/>
              <w:bottom w:val="nil"/>
              <w:right w:val="single" w:color="auto" w:sz="4" w:space="0"/>
            </w:tcBorders>
            <w:vAlign w:val="center"/>
          </w:tcPr>
          <w:p w14:paraId="261E4CE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3780C4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F7D11D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C22F2C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桥隧专项缺失值填充处理</w:t>
            </w:r>
          </w:p>
        </w:tc>
      </w:tr>
      <w:tr w14:paraId="78B9B5D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8EB6CF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60</w:t>
            </w:r>
          </w:p>
        </w:tc>
        <w:tc>
          <w:tcPr>
            <w:tcW w:w="0" w:type="auto"/>
            <w:vMerge w:val="continue"/>
            <w:tcBorders>
              <w:top w:val="nil"/>
              <w:left w:val="single" w:color="auto" w:sz="4" w:space="0"/>
              <w:bottom w:val="nil"/>
              <w:right w:val="single" w:color="auto" w:sz="4" w:space="0"/>
            </w:tcBorders>
            <w:vAlign w:val="center"/>
          </w:tcPr>
          <w:p w14:paraId="4AC025D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879328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C93409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8212CB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桥隧专项数据转换标准规则梳理</w:t>
            </w:r>
          </w:p>
        </w:tc>
      </w:tr>
      <w:tr w14:paraId="12FB975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78140D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61</w:t>
            </w:r>
          </w:p>
        </w:tc>
        <w:tc>
          <w:tcPr>
            <w:tcW w:w="0" w:type="auto"/>
            <w:vMerge w:val="continue"/>
            <w:tcBorders>
              <w:top w:val="nil"/>
              <w:left w:val="single" w:color="auto" w:sz="4" w:space="0"/>
              <w:bottom w:val="nil"/>
              <w:right w:val="single" w:color="auto" w:sz="4" w:space="0"/>
            </w:tcBorders>
            <w:vAlign w:val="center"/>
          </w:tcPr>
          <w:p w14:paraId="04A11BD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3B61FF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CF4E8D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A94B2E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桥隧专项数据格式转换</w:t>
            </w:r>
          </w:p>
        </w:tc>
      </w:tr>
      <w:tr w14:paraId="33475BB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8E98D2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62</w:t>
            </w:r>
          </w:p>
        </w:tc>
        <w:tc>
          <w:tcPr>
            <w:tcW w:w="0" w:type="auto"/>
            <w:vMerge w:val="continue"/>
            <w:tcBorders>
              <w:top w:val="nil"/>
              <w:left w:val="single" w:color="auto" w:sz="4" w:space="0"/>
              <w:bottom w:val="nil"/>
              <w:right w:val="single" w:color="auto" w:sz="4" w:space="0"/>
            </w:tcBorders>
            <w:vAlign w:val="center"/>
          </w:tcPr>
          <w:p w14:paraId="12D8822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707125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556DE6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09F16F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桥隧专项数据标准化建模规则梳理</w:t>
            </w:r>
          </w:p>
        </w:tc>
      </w:tr>
      <w:tr w14:paraId="322BABD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397835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63</w:t>
            </w:r>
          </w:p>
        </w:tc>
        <w:tc>
          <w:tcPr>
            <w:tcW w:w="0" w:type="auto"/>
            <w:vMerge w:val="continue"/>
            <w:tcBorders>
              <w:top w:val="nil"/>
              <w:left w:val="single" w:color="auto" w:sz="4" w:space="0"/>
              <w:bottom w:val="nil"/>
              <w:right w:val="single" w:color="auto" w:sz="4" w:space="0"/>
            </w:tcBorders>
            <w:vAlign w:val="center"/>
          </w:tcPr>
          <w:p w14:paraId="7697132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CC6718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3FDD78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C432D1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桥隧专项数据标准化处理</w:t>
            </w:r>
          </w:p>
        </w:tc>
      </w:tr>
      <w:tr w14:paraId="7F3FD07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06D582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64</w:t>
            </w:r>
          </w:p>
        </w:tc>
        <w:tc>
          <w:tcPr>
            <w:tcW w:w="0" w:type="auto"/>
            <w:vMerge w:val="continue"/>
            <w:tcBorders>
              <w:top w:val="nil"/>
              <w:left w:val="single" w:color="auto" w:sz="4" w:space="0"/>
              <w:bottom w:val="nil"/>
              <w:right w:val="single" w:color="auto" w:sz="4" w:space="0"/>
            </w:tcBorders>
            <w:vAlign w:val="center"/>
          </w:tcPr>
          <w:p w14:paraId="0DDC080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D2D5E1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07F9F3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B0C4C1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桥隧专项预处理结果数据梳理</w:t>
            </w:r>
          </w:p>
        </w:tc>
      </w:tr>
      <w:tr w14:paraId="7D8A8C0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E2C444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65</w:t>
            </w:r>
          </w:p>
        </w:tc>
        <w:tc>
          <w:tcPr>
            <w:tcW w:w="0" w:type="auto"/>
            <w:vMerge w:val="continue"/>
            <w:tcBorders>
              <w:top w:val="nil"/>
              <w:left w:val="single" w:color="auto" w:sz="4" w:space="0"/>
              <w:bottom w:val="nil"/>
              <w:right w:val="single" w:color="auto" w:sz="4" w:space="0"/>
            </w:tcBorders>
            <w:vAlign w:val="center"/>
          </w:tcPr>
          <w:p w14:paraId="1344781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4BEEBF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B6EF04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A05425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桥隧专项预处理结果输出</w:t>
            </w:r>
          </w:p>
        </w:tc>
      </w:tr>
      <w:tr w14:paraId="3EA80B6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72B124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66</w:t>
            </w:r>
          </w:p>
        </w:tc>
        <w:tc>
          <w:tcPr>
            <w:tcW w:w="0" w:type="auto"/>
            <w:vMerge w:val="continue"/>
            <w:tcBorders>
              <w:top w:val="nil"/>
              <w:left w:val="single" w:color="auto" w:sz="4" w:space="0"/>
              <w:bottom w:val="nil"/>
              <w:right w:val="single" w:color="auto" w:sz="4" w:space="0"/>
            </w:tcBorders>
            <w:vAlign w:val="center"/>
          </w:tcPr>
          <w:p w14:paraId="5A68317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A3F552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AB1F98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8BF8E4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桥隧专项预处理结果验证</w:t>
            </w:r>
          </w:p>
        </w:tc>
      </w:tr>
      <w:tr w14:paraId="7120C04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FC92DA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67</w:t>
            </w:r>
          </w:p>
        </w:tc>
        <w:tc>
          <w:tcPr>
            <w:tcW w:w="0" w:type="auto"/>
            <w:vMerge w:val="continue"/>
            <w:tcBorders>
              <w:top w:val="nil"/>
              <w:left w:val="single" w:color="auto" w:sz="4" w:space="0"/>
              <w:bottom w:val="nil"/>
              <w:right w:val="single" w:color="auto" w:sz="4" w:space="0"/>
            </w:tcBorders>
            <w:vAlign w:val="center"/>
          </w:tcPr>
          <w:p w14:paraId="73E8457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0BDC71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B8C782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6E9669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桥隧专项预处理结果报告生成</w:t>
            </w:r>
          </w:p>
        </w:tc>
      </w:tr>
      <w:tr w14:paraId="05A0C3B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07D663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68</w:t>
            </w:r>
          </w:p>
        </w:tc>
        <w:tc>
          <w:tcPr>
            <w:tcW w:w="0" w:type="auto"/>
            <w:vMerge w:val="continue"/>
            <w:tcBorders>
              <w:top w:val="nil"/>
              <w:left w:val="single" w:color="auto" w:sz="4" w:space="0"/>
              <w:bottom w:val="nil"/>
              <w:right w:val="single" w:color="auto" w:sz="4" w:space="0"/>
            </w:tcBorders>
            <w:vAlign w:val="center"/>
          </w:tcPr>
          <w:p w14:paraId="35C83B8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5D9F9BA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桥隧评估指标体系</w:t>
            </w:r>
          </w:p>
        </w:tc>
        <w:tc>
          <w:tcPr>
            <w:tcW w:w="2694" w:type="dxa"/>
            <w:vMerge w:val="restart"/>
            <w:tcBorders>
              <w:top w:val="nil"/>
              <w:left w:val="single" w:color="auto" w:sz="4" w:space="0"/>
              <w:bottom w:val="single" w:color="000000" w:sz="4" w:space="0"/>
              <w:right w:val="single" w:color="auto" w:sz="4" w:space="0"/>
            </w:tcBorders>
            <w:vAlign w:val="center"/>
          </w:tcPr>
          <w:p w14:paraId="4F24378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本阶段的工作流程如下：首先，对录入风险评估软件的数据进行梳理，构建太原市风险评估指标体系，并编制涵盖计算指标项、权重及计算方法和公式的风险评估模型算法；其次，依据太原市风险评估指标体系与计算公式，对模型算法进行针对性调整优化，确保算法逻辑与太原市风险评估指标体系、计算公式完全匹配；最后，依托调整完善后的模型算法及风险评估软件，开展风险评估分析工作。</w:t>
            </w:r>
          </w:p>
        </w:tc>
        <w:tc>
          <w:tcPr>
            <w:tcW w:w="4204" w:type="dxa"/>
            <w:tcBorders>
              <w:top w:val="nil"/>
              <w:left w:val="nil"/>
              <w:bottom w:val="single" w:color="auto" w:sz="4" w:space="0"/>
              <w:right w:val="single" w:color="auto" w:sz="4" w:space="0"/>
            </w:tcBorders>
            <w:vAlign w:val="center"/>
          </w:tcPr>
          <w:p w14:paraId="3B74182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桥梁风险评估可能性分析</w:t>
            </w:r>
          </w:p>
        </w:tc>
      </w:tr>
      <w:tr w14:paraId="7A2F66C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380162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69</w:t>
            </w:r>
          </w:p>
        </w:tc>
        <w:tc>
          <w:tcPr>
            <w:tcW w:w="0" w:type="auto"/>
            <w:vMerge w:val="continue"/>
            <w:tcBorders>
              <w:top w:val="nil"/>
              <w:left w:val="single" w:color="auto" w:sz="4" w:space="0"/>
              <w:bottom w:val="nil"/>
              <w:right w:val="single" w:color="auto" w:sz="4" w:space="0"/>
            </w:tcBorders>
            <w:vAlign w:val="center"/>
          </w:tcPr>
          <w:p w14:paraId="63DF6AA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D0B6C4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A44961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43EA4B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桥梁风险后果性分析</w:t>
            </w:r>
          </w:p>
        </w:tc>
      </w:tr>
      <w:tr w14:paraId="3AAA647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787994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70</w:t>
            </w:r>
          </w:p>
        </w:tc>
        <w:tc>
          <w:tcPr>
            <w:tcW w:w="0" w:type="auto"/>
            <w:vMerge w:val="continue"/>
            <w:tcBorders>
              <w:top w:val="nil"/>
              <w:left w:val="single" w:color="auto" w:sz="4" w:space="0"/>
              <w:bottom w:val="nil"/>
              <w:right w:val="single" w:color="auto" w:sz="4" w:space="0"/>
            </w:tcBorders>
            <w:vAlign w:val="center"/>
          </w:tcPr>
          <w:p w14:paraId="780FBAF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E8479D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B42D3F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DCB9B8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桥隧指标分级标准制定</w:t>
            </w:r>
          </w:p>
        </w:tc>
      </w:tr>
      <w:tr w14:paraId="18046DE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5DC455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71</w:t>
            </w:r>
          </w:p>
        </w:tc>
        <w:tc>
          <w:tcPr>
            <w:tcW w:w="0" w:type="auto"/>
            <w:vMerge w:val="continue"/>
            <w:tcBorders>
              <w:top w:val="nil"/>
              <w:left w:val="single" w:color="auto" w:sz="4" w:space="0"/>
              <w:bottom w:val="nil"/>
              <w:right w:val="single" w:color="auto" w:sz="4" w:space="0"/>
            </w:tcBorders>
            <w:vAlign w:val="center"/>
          </w:tcPr>
          <w:p w14:paraId="5E5D62A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F9EECD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EF1198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26DEC1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桥隧指标计算公式录入</w:t>
            </w:r>
          </w:p>
        </w:tc>
      </w:tr>
      <w:tr w14:paraId="7B23F37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CF9AA9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72</w:t>
            </w:r>
          </w:p>
        </w:tc>
        <w:tc>
          <w:tcPr>
            <w:tcW w:w="0" w:type="auto"/>
            <w:vMerge w:val="continue"/>
            <w:tcBorders>
              <w:top w:val="nil"/>
              <w:left w:val="single" w:color="auto" w:sz="4" w:space="0"/>
              <w:bottom w:val="nil"/>
              <w:right w:val="single" w:color="auto" w:sz="4" w:space="0"/>
            </w:tcBorders>
            <w:vAlign w:val="center"/>
          </w:tcPr>
          <w:p w14:paraId="11120AA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7C2F20C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桥隧专项风险分析</w:t>
            </w:r>
          </w:p>
        </w:tc>
        <w:tc>
          <w:tcPr>
            <w:tcW w:w="2694" w:type="dxa"/>
            <w:vMerge w:val="restart"/>
            <w:tcBorders>
              <w:top w:val="nil"/>
              <w:left w:val="single" w:color="auto" w:sz="4" w:space="0"/>
              <w:bottom w:val="single" w:color="000000" w:sz="4" w:space="0"/>
              <w:right w:val="single" w:color="auto" w:sz="4" w:space="0"/>
            </w:tcBorders>
            <w:vAlign w:val="center"/>
          </w:tcPr>
          <w:p w14:paraId="370A2F8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1、数据项映射工作</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建立绑定关系：在风险评估软件中，将实际的数据库字段与风险计算公式中的变量进行“一一对应”配置，确保软件能“读懂”并抓取正确的位置和数据。</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2、批量计算与结果核对</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执行运算：操作软件进行不同类别桥隧进行风险评估计算。</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输出检查：逐一或抽样检查每座桥隧是否都生成了分析结果，核对输出结果的完整性（无遗漏）。</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3、异常排查与配置修正</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识别异常：定位分析结果输出异常（如结果为空、数值明显偏离常识、计算报错）的桥隧。</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诊断原因：分析是公式配置错误、数据调用失败还是原始数据异常导致的问题。</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重新配置：针对异常情况，修正计算公式的参数设置，或者重新调整数据调用的映射关系，然后进行复算。</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4、结果关联标注</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将最终确认无误的风险评估结果关联到每一个评估的设施上，确保点击设施的标柱时，可以查看详细的风险分数和主要影响因子。</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5、数据审核</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辅助审核：整理评估结果列表和关联标注成果，提交给审核方，并对异常数据的处理过程进行解释。</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过程归档：记录数据项绑定方案、异常问题处理清单以及最终的配置参数，形成工作记录。</w:t>
            </w:r>
          </w:p>
        </w:tc>
        <w:tc>
          <w:tcPr>
            <w:tcW w:w="4204" w:type="dxa"/>
            <w:tcBorders>
              <w:top w:val="nil"/>
              <w:left w:val="nil"/>
              <w:bottom w:val="single" w:color="auto" w:sz="4" w:space="0"/>
              <w:right w:val="single" w:color="auto" w:sz="4" w:space="0"/>
            </w:tcBorders>
            <w:vAlign w:val="center"/>
          </w:tcPr>
          <w:p w14:paraId="1CCE9DA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桥隧变形</w:t>
            </w:r>
          </w:p>
        </w:tc>
      </w:tr>
      <w:tr w14:paraId="38A6034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D3F11C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73</w:t>
            </w:r>
          </w:p>
        </w:tc>
        <w:tc>
          <w:tcPr>
            <w:tcW w:w="0" w:type="auto"/>
            <w:vMerge w:val="continue"/>
            <w:tcBorders>
              <w:top w:val="nil"/>
              <w:left w:val="single" w:color="auto" w:sz="4" w:space="0"/>
              <w:bottom w:val="nil"/>
              <w:right w:val="single" w:color="auto" w:sz="4" w:space="0"/>
            </w:tcBorders>
            <w:vAlign w:val="center"/>
          </w:tcPr>
          <w:p w14:paraId="67994C4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F0FB22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832802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46A0C2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沉降</w:t>
            </w:r>
          </w:p>
        </w:tc>
      </w:tr>
      <w:tr w14:paraId="185A661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3D80A6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74</w:t>
            </w:r>
          </w:p>
        </w:tc>
        <w:tc>
          <w:tcPr>
            <w:tcW w:w="0" w:type="auto"/>
            <w:vMerge w:val="continue"/>
            <w:tcBorders>
              <w:top w:val="nil"/>
              <w:left w:val="single" w:color="auto" w:sz="4" w:space="0"/>
              <w:bottom w:val="nil"/>
              <w:right w:val="single" w:color="auto" w:sz="4" w:space="0"/>
            </w:tcBorders>
            <w:vAlign w:val="center"/>
          </w:tcPr>
          <w:p w14:paraId="22136B2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E01B1C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20EACA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802A92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病害</w:t>
            </w:r>
          </w:p>
        </w:tc>
      </w:tr>
      <w:tr w14:paraId="32E72BF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F0B35D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75</w:t>
            </w:r>
          </w:p>
        </w:tc>
        <w:tc>
          <w:tcPr>
            <w:tcW w:w="0" w:type="auto"/>
            <w:vMerge w:val="continue"/>
            <w:tcBorders>
              <w:top w:val="nil"/>
              <w:left w:val="single" w:color="auto" w:sz="4" w:space="0"/>
              <w:bottom w:val="nil"/>
              <w:right w:val="single" w:color="auto" w:sz="4" w:space="0"/>
            </w:tcBorders>
            <w:vAlign w:val="center"/>
          </w:tcPr>
          <w:p w14:paraId="4C1DE08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13CAB2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F7F1C3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A6B098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垮塌风险</w:t>
            </w:r>
          </w:p>
        </w:tc>
      </w:tr>
      <w:tr w14:paraId="7D56C86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98E399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76</w:t>
            </w:r>
          </w:p>
        </w:tc>
        <w:tc>
          <w:tcPr>
            <w:tcW w:w="0" w:type="auto"/>
            <w:vMerge w:val="continue"/>
            <w:tcBorders>
              <w:top w:val="nil"/>
              <w:left w:val="single" w:color="auto" w:sz="4" w:space="0"/>
              <w:bottom w:val="nil"/>
              <w:right w:val="single" w:color="auto" w:sz="4" w:space="0"/>
            </w:tcBorders>
            <w:vAlign w:val="center"/>
          </w:tcPr>
          <w:p w14:paraId="1043F25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9B45B4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71DA52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756A40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桥梁安全设施风险</w:t>
            </w:r>
          </w:p>
        </w:tc>
      </w:tr>
      <w:tr w14:paraId="5AA8E99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553922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77</w:t>
            </w:r>
          </w:p>
        </w:tc>
        <w:tc>
          <w:tcPr>
            <w:tcW w:w="0" w:type="auto"/>
            <w:vMerge w:val="continue"/>
            <w:tcBorders>
              <w:top w:val="nil"/>
              <w:left w:val="single" w:color="auto" w:sz="4" w:space="0"/>
              <w:bottom w:val="nil"/>
              <w:right w:val="single" w:color="auto" w:sz="4" w:space="0"/>
            </w:tcBorders>
            <w:vAlign w:val="center"/>
          </w:tcPr>
          <w:p w14:paraId="7219CD2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2DF86B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43EF92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EE970F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桥隧风险分析模型基础数据梳理</w:t>
            </w:r>
          </w:p>
        </w:tc>
      </w:tr>
      <w:tr w14:paraId="1F7900B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D16A6A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78</w:t>
            </w:r>
          </w:p>
        </w:tc>
        <w:tc>
          <w:tcPr>
            <w:tcW w:w="0" w:type="auto"/>
            <w:vMerge w:val="continue"/>
            <w:tcBorders>
              <w:top w:val="nil"/>
              <w:left w:val="single" w:color="auto" w:sz="4" w:space="0"/>
              <w:bottom w:val="nil"/>
              <w:right w:val="single" w:color="auto" w:sz="4" w:space="0"/>
            </w:tcBorders>
            <w:vAlign w:val="center"/>
          </w:tcPr>
          <w:p w14:paraId="0903B86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EC6CEB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BF5274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6EFF4A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桥隧专项隐患图形标注展示</w:t>
            </w:r>
          </w:p>
        </w:tc>
      </w:tr>
      <w:tr w14:paraId="251E74C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01C8FB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79</w:t>
            </w:r>
          </w:p>
        </w:tc>
        <w:tc>
          <w:tcPr>
            <w:tcW w:w="0" w:type="auto"/>
            <w:vMerge w:val="continue"/>
            <w:tcBorders>
              <w:top w:val="nil"/>
              <w:left w:val="single" w:color="auto" w:sz="4" w:space="0"/>
              <w:bottom w:val="nil"/>
              <w:right w:val="single" w:color="auto" w:sz="4" w:space="0"/>
            </w:tcBorders>
            <w:vAlign w:val="center"/>
          </w:tcPr>
          <w:p w14:paraId="62C264A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69B45B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DCE3B7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BCB669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桥隧专项交叉施工风险数据梳理</w:t>
            </w:r>
          </w:p>
        </w:tc>
      </w:tr>
      <w:tr w14:paraId="7686EB6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C72A16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80</w:t>
            </w:r>
          </w:p>
        </w:tc>
        <w:tc>
          <w:tcPr>
            <w:tcW w:w="0" w:type="auto"/>
            <w:vMerge w:val="continue"/>
            <w:tcBorders>
              <w:top w:val="nil"/>
              <w:left w:val="single" w:color="auto" w:sz="4" w:space="0"/>
              <w:bottom w:val="nil"/>
              <w:right w:val="single" w:color="auto" w:sz="4" w:space="0"/>
            </w:tcBorders>
            <w:vAlign w:val="center"/>
          </w:tcPr>
          <w:p w14:paraId="74A5CAB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175EF5C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评估结果汇总完善</w:t>
            </w:r>
          </w:p>
        </w:tc>
        <w:tc>
          <w:tcPr>
            <w:tcW w:w="2694" w:type="dxa"/>
            <w:vMerge w:val="restart"/>
            <w:tcBorders>
              <w:top w:val="nil"/>
              <w:left w:val="single" w:color="auto" w:sz="4" w:space="0"/>
              <w:bottom w:val="single" w:color="000000" w:sz="4" w:space="0"/>
              <w:right w:val="single" w:color="auto" w:sz="4" w:space="0"/>
            </w:tcBorders>
            <w:vAlign w:val="center"/>
          </w:tcPr>
          <w:p w14:paraId="31085DD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包括成果汇总管理数据、成果录入、成果分类管理、成果自动统计与输出工作，该部分核心工作为对专项风险分析已经分析出的结果数据进行整理，将不同类型的桥隧的分析结果数据进行分类，按不用类别进行录入到文档及成果管理系统，按类别进行统计。</w:t>
            </w:r>
          </w:p>
        </w:tc>
        <w:tc>
          <w:tcPr>
            <w:tcW w:w="4204" w:type="dxa"/>
            <w:tcBorders>
              <w:top w:val="nil"/>
              <w:left w:val="nil"/>
              <w:bottom w:val="single" w:color="auto" w:sz="4" w:space="0"/>
              <w:right w:val="single" w:color="auto" w:sz="4" w:space="0"/>
            </w:tcBorders>
            <w:vAlign w:val="center"/>
          </w:tcPr>
          <w:p w14:paraId="2903D21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桥隧专项成果汇总管理数据梳理</w:t>
            </w:r>
          </w:p>
        </w:tc>
      </w:tr>
      <w:tr w14:paraId="25F3153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101158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81</w:t>
            </w:r>
          </w:p>
        </w:tc>
        <w:tc>
          <w:tcPr>
            <w:tcW w:w="0" w:type="auto"/>
            <w:vMerge w:val="continue"/>
            <w:tcBorders>
              <w:top w:val="nil"/>
              <w:left w:val="single" w:color="auto" w:sz="4" w:space="0"/>
              <w:bottom w:val="nil"/>
              <w:right w:val="single" w:color="auto" w:sz="4" w:space="0"/>
            </w:tcBorders>
            <w:vAlign w:val="center"/>
          </w:tcPr>
          <w:p w14:paraId="11A47AF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E0D5CA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1A811C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7BE4E5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桥隧专项评估成果成果录入</w:t>
            </w:r>
          </w:p>
        </w:tc>
      </w:tr>
      <w:tr w14:paraId="6D21CB3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981917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82</w:t>
            </w:r>
          </w:p>
        </w:tc>
        <w:tc>
          <w:tcPr>
            <w:tcW w:w="0" w:type="auto"/>
            <w:vMerge w:val="continue"/>
            <w:tcBorders>
              <w:top w:val="nil"/>
              <w:left w:val="single" w:color="auto" w:sz="4" w:space="0"/>
              <w:bottom w:val="nil"/>
              <w:right w:val="single" w:color="auto" w:sz="4" w:space="0"/>
            </w:tcBorders>
            <w:vAlign w:val="center"/>
          </w:tcPr>
          <w:p w14:paraId="7AB705D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A688B3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7B24D3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E484D2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桥隧专项评估成果分类管理</w:t>
            </w:r>
          </w:p>
        </w:tc>
      </w:tr>
      <w:tr w14:paraId="2FEE00D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47E9E4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83</w:t>
            </w:r>
          </w:p>
        </w:tc>
        <w:tc>
          <w:tcPr>
            <w:tcW w:w="0" w:type="auto"/>
            <w:vMerge w:val="continue"/>
            <w:tcBorders>
              <w:top w:val="nil"/>
              <w:left w:val="single" w:color="auto" w:sz="4" w:space="0"/>
              <w:bottom w:val="nil"/>
              <w:right w:val="single" w:color="auto" w:sz="4" w:space="0"/>
            </w:tcBorders>
            <w:vAlign w:val="center"/>
          </w:tcPr>
          <w:p w14:paraId="488AEFC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51D3A9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D5CE35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F8AFE9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桥隧专项成果自动统计与输出</w:t>
            </w:r>
          </w:p>
        </w:tc>
      </w:tr>
      <w:tr w14:paraId="6E3D842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8A27C1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84</w:t>
            </w:r>
          </w:p>
        </w:tc>
        <w:tc>
          <w:tcPr>
            <w:tcW w:w="0" w:type="auto"/>
            <w:vMerge w:val="continue"/>
            <w:tcBorders>
              <w:top w:val="nil"/>
              <w:left w:val="single" w:color="auto" w:sz="4" w:space="0"/>
              <w:bottom w:val="nil"/>
              <w:right w:val="single" w:color="auto" w:sz="4" w:space="0"/>
            </w:tcBorders>
            <w:vAlign w:val="center"/>
          </w:tcPr>
          <w:p w14:paraId="6C7F453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6990088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风险四色图</w:t>
            </w:r>
          </w:p>
        </w:tc>
        <w:tc>
          <w:tcPr>
            <w:tcW w:w="2694" w:type="dxa"/>
            <w:vMerge w:val="restart"/>
            <w:tcBorders>
              <w:top w:val="nil"/>
              <w:left w:val="single" w:color="auto" w:sz="4" w:space="0"/>
              <w:bottom w:val="nil"/>
              <w:right w:val="single" w:color="auto" w:sz="4" w:space="0"/>
            </w:tcBorders>
            <w:vAlign w:val="center"/>
          </w:tcPr>
          <w:p w14:paraId="55A50FD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1、、风险电子四色图：制作地图，生成包含桥隧及其风险等级的GIS地图，用不同的颜色或符号直观地表示出不同级别的风险区域。</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2、风险清单：包括类别、风险源名称、位置、风险分析、潜在事故类型、风险等级、管控措施、责任人、“三高”区域点位界定、备注等。</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3、报告文档：编写详细的分析报告，说明分析结果以及建议措施（工程技术措施、管理措施、应急措施）。</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4、城市生命线安全建议监测布点点位：包括各个风险点位的建议监测设备布放建议。</w:t>
            </w:r>
          </w:p>
        </w:tc>
        <w:tc>
          <w:tcPr>
            <w:tcW w:w="4204" w:type="dxa"/>
            <w:tcBorders>
              <w:top w:val="nil"/>
              <w:left w:val="nil"/>
              <w:bottom w:val="single" w:color="auto" w:sz="4" w:space="0"/>
              <w:right w:val="single" w:color="auto" w:sz="4" w:space="0"/>
            </w:tcBorders>
            <w:vAlign w:val="center"/>
          </w:tcPr>
          <w:p w14:paraId="385EA12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桥隧专项风险四色图制作</w:t>
            </w:r>
          </w:p>
        </w:tc>
      </w:tr>
      <w:tr w14:paraId="1CA4C8F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904356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85</w:t>
            </w:r>
          </w:p>
        </w:tc>
        <w:tc>
          <w:tcPr>
            <w:tcW w:w="0" w:type="auto"/>
            <w:vMerge w:val="continue"/>
            <w:tcBorders>
              <w:top w:val="nil"/>
              <w:left w:val="single" w:color="auto" w:sz="4" w:space="0"/>
              <w:bottom w:val="nil"/>
              <w:right w:val="single" w:color="auto" w:sz="4" w:space="0"/>
            </w:tcBorders>
            <w:vAlign w:val="center"/>
          </w:tcPr>
          <w:p w14:paraId="418234F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B35F10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nil"/>
              <w:right w:val="single" w:color="auto" w:sz="4" w:space="0"/>
            </w:tcBorders>
            <w:vAlign w:val="center"/>
          </w:tcPr>
          <w:p w14:paraId="1F6D17A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7302CC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桥隧专项风险四色图审核</w:t>
            </w:r>
          </w:p>
        </w:tc>
      </w:tr>
      <w:tr w14:paraId="76C3501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8BF088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86</w:t>
            </w:r>
          </w:p>
        </w:tc>
        <w:tc>
          <w:tcPr>
            <w:tcW w:w="0" w:type="auto"/>
            <w:vMerge w:val="continue"/>
            <w:tcBorders>
              <w:top w:val="nil"/>
              <w:left w:val="single" w:color="auto" w:sz="4" w:space="0"/>
              <w:bottom w:val="nil"/>
              <w:right w:val="single" w:color="auto" w:sz="4" w:space="0"/>
            </w:tcBorders>
            <w:vAlign w:val="center"/>
          </w:tcPr>
          <w:p w14:paraId="53B7A1A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46C13F8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风险清单</w:t>
            </w:r>
          </w:p>
        </w:tc>
        <w:tc>
          <w:tcPr>
            <w:tcW w:w="2694" w:type="dxa"/>
            <w:vMerge w:val="continue"/>
            <w:tcBorders>
              <w:top w:val="nil"/>
              <w:left w:val="single" w:color="auto" w:sz="4" w:space="0"/>
              <w:bottom w:val="nil"/>
              <w:right w:val="single" w:color="auto" w:sz="4" w:space="0"/>
            </w:tcBorders>
            <w:vAlign w:val="center"/>
          </w:tcPr>
          <w:p w14:paraId="7EAF49A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5A87DA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桥隧风险清单</w:t>
            </w:r>
          </w:p>
        </w:tc>
      </w:tr>
      <w:tr w14:paraId="1479F6F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DE4DDA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87</w:t>
            </w:r>
          </w:p>
        </w:tc>
        <w:tc>
          <w:tcPr>
            <w:tcW w:w="0" w:type="auto"/>
            <w:vMerge w:val="continue"/>
            <w:tcBorders>
              <w:top w:val="nil"/>
              <w:left w:val="single" w:color="auto" w:sz="4" w:space="0"/>
              <w:bottom w:val="nil"/>
              <w:right w:val="single" w:color="auto" w:sz="4" w:space="0"/>
            </w:tcBorders>
            <w:vAlign w:val="center"/>
          </w:tcPr>
          <w:p w14:paraId="1018DC7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4CD7D1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nil"/>
              <w:right w:val="single" w:color="auto" w:sz="4" w:space="0"/>
            </w:tcBorders>
            <w:vAlign w:val="center"/>
          </w:tcPr>
          <w:p w14:paraId="7A43E0D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915BF5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桥隧风险清单审核</w:t>
            </w:r>
          </w:p>
        </w:tc>
      </w:tr>
      <w:tr w14:paraId="0E3A3F4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60326F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88</w:t>
            </w:r>
          </w:p>
        </w:tc>
        <w:tc>
          <w:tcPr>
            <w:tcW w:w="0" w:type="auto"/>
            <w:vMerge w:val="continue"/>
            <w:tcBorders>
              <w:top w:val="nil"/>
              <w:left w:val="single" w:color="auto" w:sz="4" w:space="0"/>
              <w:bottom w:val="nil"/>
              <w:right w:val="single" w:color="auto" w:sz="4" w:space="0"/>
            </w:tcBorders>
            <w:vAlign w:val="center"/>
          </w:tcPr>
          <w:p w14:paraId="61F97F2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3B90F82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风险评估报告</w:t>
            </w:r>
          </w:p>
        </w:tc>
        <w:tc>
          <w:tcPr>
            <w:tcW w:w="2694" w:type="dxa"/>
            <w:vMerge w:val="continue"/>
            <w:tcBorders>
              <w:top w:val="nil"/>
              <w:left w:val="single" w:color="auto" w:sz="4" w:space="0"/>
              <w:bottom w:val="nil"/>
              <w:right w:val="single" w:color="auto" w:sz="4" w:space="0"/>
            </w:tcBorders>
            <w:vAlign w:val="center"/>
          </w:tcPr>
          <w:p w14:paraId="438DC8D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15EA89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桥隧专项总结报告制作</w:t>
            </w:r>
          </w:p>
        </w:tc>
      </w:tr>
      <w:tr w14:paraId="6768A91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B993E4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89</w:t>
            </w:r>
          </w:p>
        </w:tc>
        <w:tc>
          <w:tcPr>
            <w:tcW w:w="0" w:type="auto"/>
            <w:vMerge w:val="continue"/>
            <w:tcBorders>
              <w:top w:val="nil"/>
              <w:left w:val="single" w:color="auto" w:sz="4" w:space="0"/>
              <w:bottom w:val="nil"/>
              <w:right w:val="single" w:color="auto" w:sz="4" w:space="0"/>
            </w:tcBorders>
            <w:vAlign w:val="center"/>
          </w:tcPr>
          <w:p w14:paraId="70F74DA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A6B2FD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nil"/>
              <w:right w:val="single" w:color="auto" w:sz="4" w:space="0"/>
            </w:tcBorders>
            <w:vAlign w:val="center"/>
          </w:tcPr>
          <w:p w14:paraId="5D168CF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52BAFD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桥隧专项总结报告审核</w:t>
            </w:r>
          </w:p>
        </w:tc>
      </w:tr>
      <w:tr w14:paraId="661E0FA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52CB5F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90</w:t>
            </w:r>
          </w:p>
        </w:tc>
        <w:tc>
          <w:tcPr>
            <w:tcW w:w="0" w:type="auto"/>
            <w:vMerge w:val="continue"/>
            <w:tcBorders>
              <w:top w:val="nil"/>
              <w:left w:val="single" w:color="auto" w:sz="4" w:space="0"/>
              <w:bottom w:val="nil"/>
              <w:right w:val="single" w:color="auto" w:sz="4" w:space="0"/>
            </w:tcBorders>
            <w:vAlign w:val="center"/>
          </w:tcPr>
          <w:p w14:paraId="0F4CDAC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12720AA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监测布点方案</w:t>
            </w:r>
          </w:p>
        </w:tc>
        <w:tc>
          <w:tcPr>
            <w:tcW w:w="2694" w:type="dxa"/>
            <w:vMerge w:val="continue"/>
            <w:tcBorders>
              <w:top w:val="nil"/>
              <w:left w:val="single" w:color="auto" w:sz="4" w:space="0"/>
              <w:bottom w:val="nil"/>
              <w:right w:val="single" w:color="auto" w:sz="4" w:space="0"/>
            </w:tcBorders>
            <w:vAlign w:val="center"/>
          </w:tcPr>
          <w:p w14:paraId="3C0F033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6FAC2A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桥隧专项监测布点方案设计</w:t>
            </w:r>
          </w:p>
        </w:tc>
      </w:tr>
      <w:tr w14:paraId="746122B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A4AD0F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91</w:t>
            </w:r>
          </w:p>
        </w:tc>
        <w:tc>
          <w:tcPr>
            <w:tcW w:w="0" w:type="auto"/>
            <w:vMerge w:val="continue"/>
            <w:tcBorders>
              <w:top w:val="nil"/>
              <w:left w:val="single" w:color="auto" w:sz="4" w:space="0"/>
              <w:bottom w:val="nil"/>
              <w:right w:val="single" w:color="auto" w:sz="4" w:space="0"/>
            </w:tcBorders>
            <w:vAlign w:val="center"/>
          </w:tcPr>
          <w:p w14:paraId="1340153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C798A6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nil"/>
              <w:right w:val="single" w:color="auto" w:sz="4" w:space="0"/>
            </w:tcBorders>
            <w:vAlign w:val="center"/>
          </w:tcPr>
          <w:p w14:paraId="7DBFABE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D33450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桥隧专项监测布点方案审核</w:t>
            </w:r>
          </w:p>
        </w:tc>
      </w:tr>
      <w:tr w14:paraId="070223F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D7EDEE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92</w:t>
            </w:r>
          </w:p>
        </w:tc>
        <w:tc>
          <w:tcPr>
            <w:tcW w:w="0" w:type="auto"/>
            <w:vMerge w:val="continue"/>
            <w:tcBorders>
              <w:top w:val="nil"/>
              <w:left w:val="single" w:color="auto" w:sz="4" w:space="0"/>
              <w:bottom w:val="nil"/>
              <w:right w:val="single" w:color="auto" w:sz="4" w:space="0"/>
            </w:tcBorders>
            <w:vAlign w:val="center"/>
          </w:tcPr>
          <w:p w14:paraId="173A95A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nil"/>
              <w:right w:val="single" w:color="auto" w:sz="4" w:space="0"/>
            </w:tcBorders>
            <w:vAlign w:val="center"/>
          </w:tcPr>
          <w:p w14:paraId="3D8B9E3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电子成果物</w:t>
            </w:r>
          </w:p>
        </w:tc>
        <w:tc>
          <w:tcPr>
            <w:tcW w:w="2694" w:type="dxa"/>
            <w:vMerge w:val="continue"/>
            <w:tcBorders>
              <w:top w:val="nil"/>
              <w:left w:val="single" w:color="auto" w:sz="4" w:space="0"/>
              <w:bottom w:val="nil"/>
              <w:right w:val="single" w:color="auto" w:sz="4" w:space="0"/>
            </w:tcBorders>
            <w:vAlign w:val="center"/>
          </w:tcPr>
          <w:p w14:paraId="3041F54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D6AA4D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桥隧专项评估成果电子档案数据梳理</w:t>
            </w:r>
          </w:p>
        </w:tc>
      </w:tr>
      <w:tr w14:paraId="0C09D3E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82B673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93</w:t>
            </w:r>
          </w:p>
        </w:tc>
        <w:tc>
          <w:tcPr>
            <w:tcW w:w="0" w:type="auto"/>
            <w:vMerge w:val="continue"/>
            <w:tcBorders>
              <w:top w:val="nil"/>
              <w:left w:val="single" w:color="auto" w:sz="4" w:space="0"/>
              <w:bottom w:val="nil"/>
              <w:right w:val="single" w:color="auto" w:sz="4" w:space="0"/>
            </w:tcBorders>
            <w:vAlign w:val="center"/>
          </w:tcPr>
          <w:p w14:paraId="3422AB2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nil"/>
              <w:right w:val="single" w:color="auto" w:sz="4" w:space="0"/>
            </w:tcBorders>
            <w:vAlign w:val="center"/>
          </w:tcPr>
          <w:p w14:paraId="310DB83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nil"/>
              <w:right w:val="single" w:color="auto" w:sz="4" w:space="0"/>
            </w:tcBorders>
            <w:vAlign w:val="center"/>
          </w:tcPr>
          <w:p w14:paraId="7661BC4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E819C0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桥隧专项电子档案资料更新维护</w:t>
            </w:r>
          </w:p>
        </w:tc>
      </w:tr>
      <w:tr w14:paraId="7E04ADD5">
        <w:tblPrEx>
          <w:tblCellMar>
            <w:top w:w="0" w:type="dxa"/>
            <w:left w:w="108" w:type="dxa"/>
            <w:bottom w:w="0" w:type="dxa"/>
            <w:right w:w="108" w:type="dxa"/>
          </w:tblCellMar>
        </w:tblPrEx>
        <w:trPr>
          <w:trHeight w:val="400" w:hRule="atLeast"/>
          <w:jc w:val="center"/>
        </w:trPr>
        <w:tc>
          <w:tcPr>
            <w:tcW w:w="0" w:type="auto"/>
            <w:tcBorders>
              <w:top w:val="nil"/>
              <w:left w:val="single" w:color="auto" w:sz="4" w:space="0"/>
              <w:bottom w:val="single" w:color="auto" w:sz="4" w:space="0"/>
              <w:right w:val="single" w:color="auto" w:sz="4" w:space="0"/>
            </w:tcBorders>
            <w:noWrap/>
            <w:vAlign w:val="center"/>
          </w:tcPr>
          <w:p w14:paraId="7013DF2C">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（六）</w:t>
            </w:r>
          </w:p>
        </w:tc>
        <w:tc>
          <w:tcPr>
            <w:tcW w:w="8144" w:type="dxa"/>
            <w:gridSpan w:val="4"/>
            <w:tcBorders>
              <w:top w:val="single" w:color="auto" w:sz="4" w:space="0"/>
              <w:left w:val="nil"/>
              <w:bottom w:val="single" w:color="auto" w:sz="4" w:space="0"/>
              <w:right w:val="single" w:color="000000" w:sz="4" w:space="0"/>
            </w:tcBorders>
            <w:vAlign w:val="center"/>
          </w:tcPr>
          <w:p w14:paraId="45657E0A">
            <w:pPr>
              <w:widowControl/>
              <w:spacing w:after="0" w:line="240" w:lineRule="auto"/>
              <w:jc w:val="both"/>
              <w:rPr>
                <w:rFonts w:hint="eastAsia" w:ascii="宋体" w:hAnsi="宋体" w:eastAsia="宋体" w:cs="宋体"/>
                <w:b/>
                <w:bCs/>
                <w:color w:val="36363D"/>
                <w:kern w:val="0"/>
                <w:szCs w:val="22"/>
                <w:highlight w:val="none"/>
                <w14:ligatures w14:val="none"/>
              </w:rPr>
            </w:pPr>
            <w:r>
              <w:rPr>
                <w:rFonts w:hint="eastAsia" w:ascii="宋体" w:hAnsi="宋体" w:eastAsia="宋体" w:cs="宋体"/>
                <w:b/>
                <w:bCs/>
                <w:color w:val="36363D"/>
                <w:kern w:val="0"/>
                <w:szCs w:val="22"/>
                <w:highlight w:val="none"/>
                <w14:ligatures w14:val="none"/>
              </w:rPr>
              <w:t>综合管廊专项风险评估</w:t>
            </w:r>
          </w:p>
        </w:tc>
      </w:tr>
      <w:tr w14:paraId="0E585E9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48DB87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w:t>
            </w:r>
          </w:p>
        </w:tc>
        <w:tc>
          <w:tcPr>
            <w:tcW w:w="0" w:type="auto"/>
            <w:vMerge w:val="restart"/>
            <w:tcBorders>
              <w:top w:val="nil"/>
              <w:left w:val="single" w:color="auto" w:sz="4" w:space="0"/>
              <w:bottom w:val="single" w:color="000000" w:sz="4" w:space="0"/>
              <w:right w:val="single" w:color="auto" w:sz="4" w:space="0"/>
            </w:tcBorders>
            <w:vAlign w:val="center"/>
          </w:tcPr>
          <w:p w14:paraId="1BE9AED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综合管廊专项风险评估</w:t>
            </w:r>
          </w:p>
        </w:tc>
        <w:tc>
          <w:tcPr>
            <w:tcW w:w="0" w:type="auto"/>
            <w:vMerge w:val="restart"/>
            <w:tcBorders>
              <w:top w:val="nil"/>
              <w:left w:val="single" w:color="auto" w:sz="4" w:space="0"/>
              <w:bottom w:val="single" w:color="auto" w:sz="4" w:space="0"/>
              <w:right w:val="single" w:color="auto" w:sz="4" w:space="0"/>
            </w:tcBorders>
            <w:vAlign w:val="center"/>
          </w:tcPr>
          <w:p w14:paraId="6EE4C47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综合管廊专项调研设计</w:t>
            </w:r>
          </w:p>
        </w:tc>
        <w:tc>
          <w:tcPr>
            <w:tcW w:w="2694" w:type="dxa"/>
            <w:vMerge w:val="restart"/>
            <w:tcBorders>
              <w:top w:val="nil"/>
              <w:left w:val="single" w:color="auto" w:sz="4" w:space="0"/>
              <w:bottom w:val="single" w:color="000000" w:sz="4" w:space="0"/>
              <w:right w:val="single" w:color="auto" w:sz="4" w:space="0"/>
            </w:tcBorders>
            <w:vAlign w:val="center"/>
          </w:tcPr>
          <w:p w14:paraId="5951238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针对综合管廊专项进行调研设计，并输出《综合管廊专项调研表》</w:t>
            </w:r>
          </w:p>
        </w:tc>
        <w:tc>
          <w:tcPr>
            <w:tcW w:w="4204" w:type="dxa"/>
            <w:tcBorders>
              <w:top w:val="nil"/>
              <w:left w:val="nil"/>
              <w:bottom w:val="single" w:color="auto" w:sz="4" w:space="0"/>
              <w:right w:val="single" w:color="auto" w:sz="4" w:space="0"/>
            </w:tcBorders>
            <w:vAlign w:val="center"/>
          </w:tcPr>
          <w:p w14:paraId="18CDC5D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综合管廊管线基础数据梳理</w:t>
            </w:r>
          </w:p>
        </w:tc>
      </w:tr>
      <w:tr w14:paraId="30437B5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F30EB7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w:t>
            </w:r>
          </w:p>
        </w:tc>
        <w:tc>
          <w:tcPr>
            <w:tcW w:w="0" w:type="auto"/>
            <w:vMerge w:val="continue"/>
            <w:tcBorders>
              <w:top w:val="nil"/>
              <w:left w:val="single" w:color="auto" w:sz="4" w:space="0"/>
              <w:bottom w:val="single" w:color="000000" w:sz="4" w:space="0"/>
              <w:right w:val="single" w:color="auto" w:sz="4" w:space="0"/>
            </w:tcBorders>
            <w:vAlign w:val="center"/>
          </w:tcPr>
          <w:p w14:paraId="42C5372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2E28D3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84F747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B33764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综合管廊设施基础属性梳理</w:t>
            </w:r>
          </w:p>
        </w:tc>
      </w:tr>
      <w:tr w14:paraId="125CA9F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7E08FE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w:t>
            </w:r>
          </w:p>
        </w:tc>
        <w:tc>
          <w:tcPr>
            <w:tcW w:w="0" w:type="auto"/>
            <w:vMerge w:val="continue"/>
            <w:tcBorders>
              <w:top w:val="nil"/>
              <w:left w:val="single" w:color="auto" w:sz="4" w:space="0"/>
              <w:bottom w:val="single" w:color="000000" w:sz="4" w:space="0"/>
              <w:right w:val="single" w:color="auto" w:sz="4" w:space="0"/>
            </w:tcBorders>
            <w:vAlign w:val="center"/>
          </w:tcPr>
          <w:p w14:paraId="6CFE5B9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50C067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96205C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084CD2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综合管廊设施运行监测数据梳理</w:t>
            </w:r>
          </w:p>
        </w:tc>
      </w:tr>
      <w:tr w14:paraId="442FC39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7F0959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w:t>
            </w:r>
          </w:p>
        </w:tc>
        <w:tc>
          <w:tcPr>
            <w:tcW w:w="0" w:type="auto"/>
            <w:vMerge w:val="continue"/>
            <w:tcBorders>
              <w:top w:val="nil"/>
              <w:left w:val="single" w:color="auto" w:sz="4" w:space="0"/>
              <w:bottom w:val="single" w:color="000000" w:sz="4" w:space="0"/>
              <w:right w:val="single" w:color="auto" w:sz="4" w:space="0"/>
            </w:tcBorders>
            <w:vAlign w:val="center"/>
          </w:tcPr>
          <w:p w14:paraId="33A6775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43C85F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0EC344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09DDEE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综合管廊设施周边环境风险数据梳理</w:t>
            </w:r>
          </w:p>
        </w:tc>
      </w:tr>
      <w:tr w14:paraId="365F32C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76FD5B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w:t>
            </w:r>
          </w:p>
        </w:tc>
        <w:tc>
          <w:tcPr>
            <w:tcW w:w="0" w:type="auto"/>
            <w:vMerge w:val="continue"/>
            <w:tcBorders>
              <w:top w:val="nil"/>
              <w:left w:val="single" w:color="auto" w:sz="4" w:space="0"/>
              <w:bottom w:val="single" w:color="000000" w:sz="4" w:space="0"/>
              <w:right w:val="single" w:color="auto" w:sz="4" w:space="0"/>
            </w:tcBorders>
            <w:vAlign w:val="center"/>
          </w:tcPr>
          <w:p w14:paraId="1866C77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9FEEEF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422E95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A5EF73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综合管廊设施历史隐患事件记录梳理</w:t>
            </w:r>
          </w:p>
        </w:tc>
      </w:tr>
      <w:tr w14:paraId="4150025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D2C018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w:t>
            </w:r>
          </w:p>
        </w:tc>
        <w:tc>
          <w:tcPr>
            <w:tcW w:w="0" w:type="auto"/>
            <w:vMerge w:val="continue"/>
            <w:tcBorders>
              <w:top w:val="nil"/>
              <w:left w:val="single" w:color="auto" w:sz="4" w:space="0"/>
              <w:bottom w:val="single" w:color="000000" w:sz="4" w:space="0"/>
              <w:right w:val="single" w:color="auto" w:sz="4" w:space="0"/>
            </w:tcBorders>
            <w:vAlign w:val="center"/>
          </w:tcPr>
          <w:p w14:paraId="1C42FD2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0F6465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2F53F8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59352F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综合管廊调研表字段细化</w:t>
            </w:r>
          </w:p>
        </w:tc>
      </w:tr>
      <w:tr w14:paraId="4050D02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577999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w:t>
            </w:r>
          </w:p>
        </w:tc>
        <w:tc>
          <w:tcPr>
            <w:tcW w:w="0" w:type="auto"/>
            <w:vMerge w:val="continue"/>
            <w:tcBorders>
              <w:top w:val="nil"/>
              <w:left w:val="single" w:color="auto" w:sz="4" w:space="0"/>
              <w:bottom w:val="single" w:color="000000" w:sz="4" w:space="0"/>
              <w:right w:val="single" w:color="auto" w:sz="4" w:space="0"/>
            </w:tcBorders>
            <w:vAlign w:val="center"/>
          </w:tcPr>
          <w:p w14:paraId="484B9CE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7CF377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38F992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6F2A37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综合管廊调研表设计</w:t>
            </w:r>
          </w:p>
        </w:tc>
      </w:tr>
      <w:tr w14:paraId="6E5A8ED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74D43F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w:t>
            </w:r>
          </w:p>
        </w:tc>
        <w:tc>
          <w:tcPr>
            <w:tcW w:w="0" w:type="auto"/>
            <w:vMerge w:val="continue"/>
            <w:tcBorders>
              <w:top w:val="nil"/>
              <w:left w:val="single" w:color="auto" w:sz="4" w:space="0"/>
              <w:bottom w:val="single" w:color="000000" w:sz="4" w:space="0"/>
              <w:right w:val="single" w:color="auto" w:sz="4" w:space="0"/>
            </w:tcBorders>
            <w:vAlign w:val="center"/>
          </w:tcPr>
          <w:p w14:paraId="6A368ED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4A11A11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综合管廊资料收集</w:t>
            </w:r>
          </w:p>
        </w:tc>
        <w:tc>
          <w:tcPr>
            <w:tcW w:w="2694" w:type="dxa"/>
            <w:vMerge w:val="restart"/>
            <w:tcBorders>
              <w:top w:val="nil"/>
              <w:left w:val="single" w:color="auto" w:sz="4" w:space="0"/>
              <w:bottom w:val="single" w:color="000000" w:sz="4" w:space="0"/>
              <w:right w:val="single" w:color="auto" w:sz="4" w:space="0"/>
            </w:tcBorders>
            <w:vAlign w:val="center"/>
          </w:tcPr>
          <w:p w14:paraId="215E064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根据《综合管廊专项调研表》进行资料搜集并录入，形成《综合管廊资料收集清单》</w:t>
            </w:r>
          </w:p>
        </w:tc>
        <w:tc>
          <w:tcPr>
            <w:tcW w:w="4204" w:type="dxa"/>
            <w:tcBorders>
              <w:top w:val="nil"/>
              <w:left w:val="nil"/>
              <w:bottom w:val="single" w:color="auto" w:sz="4" w:space="0"/>
              <w:right w:val="single" w:color="auto" w:sz="4" w:space="0"/>
            </w:tcBorders>
            <w:vAlign w:val="center"/>
          </w:tcPr>
          <w:p w14:paraId="2F230B7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综合管廊相关法律、法规、规章、标准和文件</w:t>
            </w:r>
          </w:p>
        </w:tc>
      </w:tr>
      <w:tr w14:paraId="55B8A56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326545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w:t>
            </w:r>
          </w:p>
        </w:tc>
        <w:tc>
          <w:tcPr>
            <w:tcW w:w="0" w:type="auto"/>
            <w:vMerge w:val="continue"/>
            <w:tcBorders>
              <w:top w:val="nil"/>
              <w:left w:val="single" w:color="auto" w:sz="4" w:space="0"/>
              <w:bottom w:val="single" w:color="000000" w:sz="4" w:space="0"/>
              <w:right w:val="single" w:color="auto" w:sz="4" w:space="0"/>
            </w:tcBorders>
            <w:vAlign w:val="center"/>
          </w:tcPr>
          <w:p w14:paraId="107DD0F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5C755C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B325AE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5D739A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国内相关研究报告、技术标准、文献</w:t>
            </w:r>
          </w:p>
        </w:tc>
      </w:tr>
      <w:tr w14:paraId="7575919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7AE8C3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w:t>
            </w:r>
          </w:p>
        </w:tc>
        <w:tc>
          <w:tcPr>
            <w:tcW w:w="0" w:type="auto"/>
            <w:vMerge w:val="continue"/>
            <w:tcBorders>
              <w:top w:val="nil"/>
              <w:left w:val="single" w:color="auto" w:sz="4" w:space="0"/>
              <w:bottom w:val="single" w:color="000000" w:sz="4" w:space="0"/>
              <w:right w:val="single" w:color="auto" w:sz="4" w:space="0"/>
            </w:tcBorders>
            <w:vAlign w:val="center"/>
          </w:tcPr>
          <w:p w14:paraId="6E467A2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0C9891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E9CACC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B9DAA2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国内外相关灾害事故案例及调查分析资料</w:t>
            </w:r>
          </w:p>
        </w:tc>
      </w:tr>
      <w:tr w14:paraId="0E6BF89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A5FF7D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11</w:t>
            </w:r>
          </w:p>
        </w:tc>
        <w:tc>
          <w:tcPr>
            <w:tcW w:w="0" w:type="auto"/>
            <w:vMerge w:val="continue"/>
            <w:tcBorders>
              <w:top w:val="nil"/>
              <w:left w:val="single" w:color="auto" w:sz="4" w:space="0"/>
              <w:bottom w:val="single" w:color="000000" w:sz="4" w:space="0"/>
              <w:right w:val="single" w:color="auto" w:sz="4" w:space="0"/>
            </w:tcBorders>
            <w:vAlign w:val="center"/>
          </w:tcPr>
          <w:p w14:paraId="0EB4022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AC315C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926CF4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0E9BC4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综合管廊安全风险源相关资料</w:t>
            </w:r>
          </w:p>
        </w:tc>
      </w:tr>
      <w:tr w14:paraId="256A85E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F2DA50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12</w:t>
            </w:r>
          </w:p>
        </w:tc>
        <w:tc>
          <w:tcPr>
            <w:tcW w:w="0" w:type="auto"/>
            <w:vMerge w:val="continue"/>
            <w:tcBorders>
              <w:top w:val="nil"/>
              <w:left w:val="single" w:color="auto" w:sz="4" w:space="0"/>
              <w:bottom w:val="single" w:color="000000" w:sz="4" w:space="0"/>
              <w:right w:val="single" w:color="auto" w:sz="4" w:space="0"/>
            </w:tcBorders>
            <w:vAlign w:val="center"/>
          </w:tcPr>
          <w:p w14:paraId="75217EC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10AAB4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158D7B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858986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应急资源调查报告</w:t>
            </w:r>
          </w:p>
        </w:tc>
      </w:tr>
      <w:tr w14:paraId="01A8C96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29F773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13</w:t>
            </w:r>
          </w:p>
        </w:tc>
        <w:tc>
          <w:tcPr>
            <w:tcW w:w="0" w:type="auto"/>
            <w:vMerge w:val="continue"/>
            <w:tcBorders>
              <w:top w:val="nil"/>
              <w:left w:val="single" w:color="auto" w:sz="4" w:space="0"/>
              <w:bottom w:val="single" w:color="000000" w:sz="4" w:space="0"/>
              <w:right w:val="single" w:color="auto" w:sz="4" w:space="0"/>
            </w:tcBorders>
            <w:vAlign w:val="center"/>
          </w:tcPr>
          <w:p w14:paraId="3AAE18D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3FC5E2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3B4F1C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FAC69E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防护目标资料</w:t>
            </w:r>
          </w:p>
        </w:tc>
      </w:tr>
      <w:tr w14:paraId="1209258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342DD4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14</w:t>
            </w:r>
          </w:p>
        </w:tc>
        <w:tc>
          <w:tcPr>
            <w:tcW w:w="0" w:type="auto"/>
            <w:vMerge w:val="continue"/>
            <w:tcBorders>
              <w:top w:val="nil"/>
              <w:left w:val="single" w:color="auto" w:sz="4" w:space="0"/>
              <w:bottom w:val="single" w:color="000000" w:sz="4" w:space="0"/>
              <w:right w:val="single" w:color="auto" w:sz="4" w:space="0"/>
            </w:tcBorders>
            <w:vAlign w:val="center"/>
          </w:tcPr>
          <w:p w14:paraId="772F4EA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CEA010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836AD7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4AA213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综合管廊内部管理规定、制度</w:t>
            </w:r>
          </w:p>
        </w:tc>
      </w:tr>
      <w:tr w14:paraId="24EB113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3F1526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15</w:t>
            </w:r>
          </w:p>
        </w:tc>
        <w:tc>
          <w:tcPr>
            <w:tcW w:w="0" w:type="auto"/>
            <w:vMerge w:val="continue"/>
            <w:tcBorders>
              <w:top w:val="nil"/>
              <w:left w:val="single" w:color="auto" w:sz="4" w:space="0"/>
              <w:bottom w:val="single" w:color="000000" w:sz="4" w:space="0"/>
              <w:right w:val="single" w:color="auto" w:sz="4" w:space="0"/>
            </w:tcBorders>
            <w:vAlign w:val="center"/>
          </w:tcPr>
          <w:p w14:paraId="5BF3399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CF65A7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1F82DB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8FE93B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综合管廊系统设计/竣工</w:t>
            </w:r>
          </w:p>
        </w:tc>
      </w:tr>
      <w:tr w14:paraId="6925825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8FFD8E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16</w:t>
            </w:r>
          </w:p>
        </w:tc>
        <w:tc>
          <w:tcPr>
            <w:tcW w:w="0" w:type="auto"/>
            <w:vMerge w:val="continue"/>
            <w:tcBorders>
              <w:top w:val="nil"/>
              <w:left w:val="single" w:color="auto" w:sz="4" w:space="0"/>
              <w:bottom w:val="single" w:color="000000" w:sz="4" w:space="0"/>
              <w:right w:val="single" w:color="auto" w:sz="4" w:space="0"/>
            </w:tcBorders>
            <w:vAlign w:val="center"/>
          </w:tcPr>
          <w:p w14:paraId="3A31B83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073FD3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CC57FB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FC188C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运行情况记录、管理资料</w:t>
            </w:r>
          </w:p>
        </w:tc>
      </w:tr>
      <w:tr w14:paraId="1F29E5D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F05EF5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17</w:t>
            </w:r>
          </w:p>
        </w:tc>
        <w:tc>
          <w:tcPr>
            <w:tcW w:w="0" w:type="auto"/>
            <w:vMerge w:val="continue"/>
            <w:tcBorders>
              <w:top w:val="nil"/>
              <w:left w:val="single" w:color="auto" w:sz="4" w:space="0"/>
              <w:bottom w:val="single" w:color="000000" w:sz="4" w:space="0"/>
              <w:right w:val="single" w:color="auto" w:sz="4" w:space="0"/>
            </w:tcBorders>
            <w:vAlign w:val="center"/>
          </w:tcPr>
          <w:p w14:paraId="01BC9FA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C4472A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8EE322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505E9D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突发事件应急预案</w:t>
            </w:r>
          </w:p>
        </w:tc>
      </w:tr>
      <w:tr w14:paraId="75B9711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562884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18</w:t>
            </w:r>
          </w:p>
        </w:tc>
        <w:tc>
          <w:tcPr>
            <w:tcW w:w="0" w:type="auto"/>
            <w:vMerge w:val="continue"/>
            <w:tcBorders>
              <w:top w:val="nil"/>
              <w:left w:val="single" w:color="auto" w:sz="4" w:space="0"/>
              <w:bottom w:val="single" w:color="000000" w:sz="4" w:space="0"/>
              <w:right w:val="single" w:color="auto" w:sz="4" w:space="0"/>
            </w:tcBorders>
            <w:vAlign w:val="center"/>
          </w:tcPr>
          <w:p w14:paraId="5013B1B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E96693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B50313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E7DB01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周边环境</w:t>
            </w:r>
          </w:p>
        </w:tc>
      </w:tr>
      <w:tr w14:paraId="288361F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635B9C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19</w:t>
            </w:r>
          </w:p>
        </w:tc>
        <w:tc>
          <w:tcPr>
            <w:tcW w:w="0" w:type="auto"/>
            <w:vMerge w:val="continue"/>
            <w:tcBorders>
              <w:top w:val="nil"/>
              <w:left w:val="single" w:color="auto" w:sz="4" w:space="0"/>
              <w:bottom w:val="single" w:color="000000" w:sz="4" w:space="0"/>
              <w:right w:val="single" w:color="auto" w:sz="4" w:space="0"/>
            </w:tcBorders>
            <w:vAlign w:val="center"/>
          </w:tcPr>
          <w:p w14:paraId="3626044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B7FF07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638CDB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C37A54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信息化建设情况</w:t>
            </w:r>
          </w:p>
        </w:tc>
      </w:tr>
      <w:tr w14:paraId="09DD1BF0">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3518CB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20</w:t>
            </w:r>
          </w:p>
        </w:tc>
        <w:tc>
          <w:tcPr>
            <w:tcW w:w="0" w:type="auto"/>
            <w:vMerge w:val="continue"/>
            <w:tcBorders>
              <w:top w:val="nil"/>
              <w:left w:val="single" w:color="auto" w:sz="4" w:space="0"/>
              <w:bottom w:val="single" w:color="000000" w:sz="4" w:space="0"/>
              <w:right w:val="single" w:color="auto" w:sz="4" w:space="0"/>
            </w:tcBorders>
            <w:vAlign w:val="center"/>
          </w:tcPr>
          <w:p w14:paraId="7A90B98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1D2A307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综合管廊数据收集核查</w:t>
            </w:r>
          </w:p>
        </w:tc>
        <w:tc>
          <w:tcPr>
            <w:tcW w:w="2694" w:type="dxa"/>
            <w:vMerge w:val="restart"/>
            <w:tcBorders>
              <w:top w:val="nil"/>
              <w:left w:val="single" w:color="auto" w:sz="4" w:space="0"/>
              <w:bottom w:val="single" w:color="000000" w:sz="4" w:space="0"/>
              <w:right w:val="single" w:color="auto" w:sz="4" w:space="0"/>
            </w:tcBorders>
            <w:vAlign w:val="center"/>
          </w:tcPr>
          <w:p w14:paraId="7692C09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对采集来的数据进行数据核查输出《综合管廊专项数据核查表》并进行数据修正</w:t>
            </w:r>
          </w:p>
        </w:tc>
        <w:tc>
          <w:tcPr>
            <w:tcW w:w="4204" w:type="dxa"/>
            <w:tcBorders>
              <w:top w:val="nil"/>
              <w:left w:val="nil"/>
              <w:bottom w:val="single" w:color="auto" w:sz="4" w:space="0"/>
              <w:right w:val="single" w:color="auto" w:sz="4" w:space="0"/>
            </w:tcBorders>
            <w:vAlign w:val="center"/>
          </w:tcPr>
          <w:p w14:paraId="76F4306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综合管廊本体</w:t>
            </w:r>
          </w:p>
        </w:tc>
      </w:tr>
      <w:tr w14:paraId="177F5F3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2856D9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21</w:t>
            </w:r>
          </w:p>
        </w:tc>
        <w:tc>
          <w:tcPr>
            <w:tcW w:w="0" w:type="auto"/>
            <w:vMerge w:val="continue"/>
            <w:tcBorders>
              <w:top w:val="nil"/>
              <w:left w:val="single" w:color="auto" w:sz="4" w:space="0"/>
              <w:bottom w:val="single" w:color="000000" w:sz="4" w:space="0"/>
              <w:right w:val="single" w:color="auto" w:sz="4" w:space="0"/>
            </w:tcBorders>
            <w:vAlign w:val="center"/>
          </w:tcPr>
          <w:p w14:paraId="53CA754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900FCF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5F5124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5CB0E6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入廊管线</w:t>
            </w:r>
          </w:p>
        </w:tc>
      </w:tr>
      <w:tr w14:paraId="3985219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C75240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22</w:t>
            </w:r>
          </w:p>
        </w:tc>
        <w:tc>
          <w:tcPr>
            <w:tcW w:w="0" w:type="auto"/>
            <w:vMerge w:val="continue"/>
            <w:tcBorders>
              <w:top w:val="nil"/>
              <w:left w:val="single" w:color="auto" w:sz="4" w:space="0"/>
              <w:bottom w:val="single" w:color="000000" w:sz="4" w:space="0"/>
              <w:right w:val="single" w:color="auto" w:sz="4" w:space="0"/>
            </w:tcBorders>
            <w:vAlign w:val="center"/>
          </w:tcPr>
          <w:p w14:paraId="04F36F2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9FC839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74FF4F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17596C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附属设施</w:t>
            </w:r>
          </w:p>
        </w:tc>
      </w:tr>
      <w:tr w14:paraId="5E2E538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3657CD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23</w:t>
            </w:r>
          </w:p>
        </w:tc>
        <w:tc>
          <w:tcPr>
            <w:tcW w:w="0" w:type="auto"/>
            <w:vMerge w:val="continue"/>
            <w:tcBorders>
              <w:top w:val="nil"/>
              <w:left w:val="single" w:color="auto" w:sz="4" w:space="0"/>
              <w:bottom w:val="single" w:color="000000" w:sz="4" w:space="0"/>
              <w:right w:val="single" w:color="auto" w:sz="4" w:space="0"/>
            </w:tcBorders>
            <w:vAlign w:val="center"/>
          </w:tcPr>
          <w:p w14:paraId="2772EA5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E9417B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25DBB3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0E4059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周边环境</w:t>
            </w:r>
          </w:p>
        </w:tc>
      </w:tr>
      <w:tr w14:paraId="5E4B919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2466A7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24</w:t>
            </w:r>
          </w:p>
        </w:tc>
        <w:tc>
          <w:tcPr>
            <w:tcW w:w="0" w:type="auto"/>
            <w:vMerge w:val="continue"/>
            <w:tcBorders>
              <w:top w:val="nil"/>
              <w:left w:val="single" w:color="auto" w:sz="4" w:space="0"/>
              <w:bottom w:val="single" w:color="000000" w:sz="4" w:space="0"/>
              <w:right w:val="single" w:color="auto" w:sz="4" w:space="0"/>
            </w:tcBorders>
            <w:vAlign w:val="center"/>
          </w:tcPr>
          <w:p w14:paraId="526EE83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3D04EE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970504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4C4BBD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管廊作业</w:t>
            </w:r>
          </w:p>
        </w:tc>
      </w:tr>
      <w:tr w14:paraId="54657E1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41DDCE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25</w:t>
            </w:r>
          </w:p>
        </w:tc>
        <w:tc>
          <w:tcPr>
            <w:tcW w:w="0" w:type="auto"/>
            <w:vMerge w:val="continue"/>
            <w:tcBorders>
              <w:top w:val="nil"/>
              <w:left w:val="single" w:color="auto" w:sz="4" w:space="0"/>
              <w:bottom w:val="single" w:color="000000" w:sz="4" w:space="0"/>
              <w:right w:val="single" w:color="auto" w:sz="4" w:space="0"/>
            </w:tcBorders>
            <w:vAlign w:val="center"/>
          </w:tcPr>
          <w:p w14:paraId="58AF30A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3E94D4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8459C5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18C8F3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修正项</w:t>
            </w:r>
          </w:p>
        </w:tc>
      </w:tr>
      <w:tr w14:paraId="030DEE6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4A3AD1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26</w:t>
            </w:r>
          </w:p>
        </w:tc>
        <w:tc>
          <w:tcPr>
            <w:tcW w:w="0" w:type="auto"/>
            <w:vMerge w:val="continue"/>
            <w:tcBorders>
              <w:top w:val="nil"/>
              <w:left w:val="single" w:color="auto" w:sz="4" w:space="0"/>
              <w:bottom w:val="single" w:color="000000" w:sz="4" w:space="0"/>
              <w:right w:val="single" w:color="auto" w:sz="4" w:space="0"/>
            </w:tcBorders>
            <w:vAlign w:val="center"/>
          </w:tcPr>
          <w:p w14:paraId="26336E8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1E23BC2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综合管廊专项现场调查</w:t>
            </w:r>
          </w:p>
        </w:tc>
        <w:tc>
          <w:tcPr>
            <w:tcW w:w="2694" w:type="dxa"/>
            <w:vMerge w:val="restart"/>
            <w:tcBorders>
              <w:top w:val="nil"/>
              <w:left w:val="single" w:color="auto" w:sz="4" w:space="0"/>
              <w:bottom w:val="single" w:color="000000" w:sz="4" w:space="0"/>
              <w:right w:val="single" w:color="auto" w:sz="4" w:space="0"/>
            </w:tcBorders>
            <w:vAlign w:val="center"/>
          </w:tcPr>
          <w:p w14:paraId="5BF539B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对各个综合管廊进行现场调查</w:t>
            </w:r>
          </w:p>
        </w:tc>
        <w:tc>
          <w:tcPr>
            <w:tcW w:w="4204" w:type="dxa"/>
            <w:tcBorders>
              <w:top w:val="nil"/>
              <w:left w:val="nil"/>
              <w:bottom w:val="single" w:color="auto" w:sz="4" w:space="0"/>
              <w:right w:val="single" w:color="auto" w:sz="4" w:space="0"/>
            </w:tcBorders>
            <w:vAlign w:val="center"/>
          </w:tcPr>
          <w:p w14:paraId="69B3373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综合管廊风险源调查</w:t>
            </w:r>
          </w:p>
        </w:tc>
      </w:tr>
      <w:tr w14:paraId="037D039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87F519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27</w:t>
            </w:r>
          </w:p>
        </w:tc>
        <w:tc>
          <w:tcPr>
            <w:tcW w:w="0" w:type="auto"/>
            <w:vMerge w:val="continue"/>
            <w:tcBorders>
              <w:top w:val="nil"/>
              <w:left w:val="single" w:color="auto" w:sz="4" w:space="0"/>
              <w:bottom w:val="single" w:color="000000" w:sz="4" w:space="0"/>
              <w:right w:val="single" w:color="auto" w:sz="4" w:space="0"/>
            </w:tcBorders>
            <w:vAlign w:val="center"/>
          </w:tcPr>
          <w:p w14:paraId="5768D5F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BE5F8C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085575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67459E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综合管廊重点防护目标调查</w:t>
            </w:r>
          </w:p>
        </w:tc>
      </w:tr>
      <w:tr w14:paraId="2746EF0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E004AE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28</w:t>
            </w:r>
          </w:p>
        </w:tc>
        <w:tc>
          <w:tcPr>
            <w:tcW w:w="0" w:type="auto"/>
            <w:vMerge w:val="continue"/>
            <w:tcBorders>
              <w:top w:val="nil"/>
              <w:left w:val="single" w:color="auto" w:sz="4" w:space="0"/>
              <w:bottom w:val="single" w:color="000000" w:sz="4" w:space="0"/>
              <w:right w:val="single" w:color="auto" w:sz="4" w:space="0"/>
            </w:tcBorders>
            <w:vAlign w:val="center"/>
          </w:tcPr>
          <w:p w14:paraId="1C46EBA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7CADD8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CA0590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E855AF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综合管廊应急资源调查</w:t>
            </w:r>
          </w:p>
        </w:tc>
      </w:tr>
      <w:tr w14:paraId="7247F1F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74DC89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29</w:t>
            </w:r>
          </w:p>
        </w:tc>
        <w:tc>
          <w:tcPr>
            <w:tcW w:w="0" w:type="auto"/>
            <w:vMerge w:val="continue"/>
            <w:tcBorders>
              <w:top w:val="nil"/>
              <w:left w:val="single" w:color="auto" w:sz="4" w:space="0"/>
              <w:bottom w:val="single" w:color="000000" w:sz="4" w:space="0"/>
              <w:right w:val="single" w:color="auto" w:sz="4" w:space="0"/>
            </w:tcBorders>
            <w:vAlign w:val="center"/>
          </w:tcPr>
          <w:p w14:paraId="2E16621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BBED10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265888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C33897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综合管廊安全管理调查</w:t>
            </w:r>
          </w:p>
        </w:tc>
      </w:tr>
      <w:tr w14:paraId="3A277D6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D19DE1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30</w:t>
            </w:r>
          </w:p>
        </w:tc>
        <w:tc>
          <w:tcPr>
            <w:tcW w:w="0" w:type="auto"/>
            <w:vMerge w:val="continue"/>
            <w:tcBorders>
              <w:top w:val="nil"/>
              <w:left w:val="single" w:color="auto" w:sz="4" w:space="0"/>
              <w:bottom w:val="single" w:color="000000" w:sz="4" w:space="0"/>
              <w:right w:val="single" w:color="auto" w:sz="4" w:space="0"/>
            </w:tcBorders>
            <w:vAlign w:val="center"/>
          </w:tcPr>
          <w:p w14:paraId="7469959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19C59B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6295F6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C3E8BB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综合管廊专项安全生产责任制数据梳理</w:t>
            </w:r>
          </w:p>
        </w:tc>
      </w:tr>
      <w:tr w14:paraId="11A9B09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8031ED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31</w:t>
            </w:r>
          </w:p>
        </w:tc>
        <w:tc>
          <w:tcPr>
            <w:tcW w:w="0" w:type="auto"/>
            <w:vMerge w:val="continue"/>
            <w:tcBorders>
              <w:top w:val="nil"/>
              <w:left w:val="single" w:color="auto" w:sz="4" w:space="0"/>
              <w:bottom w:val="single" w:color="000000" w:sz="4" w:space="0"/>
              <w:right w:val="single" w:color="auto" w:sz="4" w:space="0"/>
            </w:tcBorders>
            <w:vAlign w:val="center"/>
          </w:tcPr>
          <w:p w14:paraId="4AC2844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358984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8D63CB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DE36A4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综合管廊专项安全管理制度录入</w:t>
            </w:r>
          </w:p>
        </w:tc>
      </w:tr>
      <w:tr w14:paraId="26A1154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5E7D04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32</w:t>
            </w:r>
          </w:p>
        </w:tc>
        <w:tc>
          <w:tcPr>
            <w:tcW w:w="0" w:type="auto"/>
            <w:vMerge w:val="continue"/>
            <w:tcBorders>
              <w:top w:val="nil"/>
              <w:left w:val="single" w:color="auto" w:sz="4" w:space="0"/>
              <w:bottom w:val="single" w:color="000000" w:sz="4" w:space="0"/>
              <w:right w:val="single" w:color="auto" w:sz="4" w:space="0"/>
            </w:tcBorders>
            <w:vAlign w:val="center"/>
          </w:tcPr>
          <w:p w14:paraId="192DAAE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8013BF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266AF2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85B248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综合管廊专项安全巡查记录数据梳理</w:t>
            </w:r>
          </w:p>
        </w:tc>
      </w:tr>
      <w:tr w14:paraId="7F39251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CBAB17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33</w:t>
            </w:r>
          </w:p>
        </w:tc>
        <w:tc>
          <w:tcPr>
            <w:tcW w:w="0" w:type="auto"/>
            <w:vMerge w:val="continue"/>
            <w:tcBorders>
              <w:top w:val="nil"/>
              <w:left w:val="single" w:color="auto" w:sz="4" w:space="0"/>
              <w:bottom w:val="single" w:color="000000" w:sz="4" w:space="0"/>
              <w:right w:val="single" w:color="auto" w:sz="4" w:space="0"/>
            </w:tcBorders>
            <w:vAlign w:val="center"/>
          </w:tcPr>
          <w:p w14:paraId="7138010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C8CEDC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58A724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B4E4A0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综合管廊专项安全巡查数据录入</w:t>
            </w:r>
          </w:p>
        </w:tc>
      </w:tr>
      <w:tr w14:paraId="4C7BB62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E50573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34</w:t>
            </w:r>
          </w:p>
        </w:tc>
        <w:tc>
          <w:tcPr>
            <w:tcW w:w="0" w:type="auto"/>
            <w:vMerge w:val="continue"/>
            <w:tcBorders>
              <w:top w:val="nil"/>
              <w:left w:val="single" w:color="auto" w:sz="4" w:space="0"/>
              <w:bottom w:val="single" w:color="000000" w:sz="4" w:space="0"/>
              <w:right w:val="single" w:color="auto" w:sz="4" w:space="0"/>
            </w:tcBorders>
            <w:vAlign w:val="center"/>
          </w:tcPr>
          <w:p w14:paraId="7B2EC8F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CE1CDA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D9C6D8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523457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综合管廊专项隐患排查计划数据梳理</w:t>
            </w:r>
          </w:p>
        </w:tc>
      </w:tr>
      <w:tr w14:paraId="196E41C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106FB3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35</w:t>
            </w:r>
          </w:p>
        </w:tc>
        <w:tc>
          <w:tcPr>
            <w:tcW w:w="0" w:type="auto"/>
            <w:vMerge w:val="continue"/>
            <w:tcBorders>
              <w:top w:val="nil"/>
              <w:left w:val="single" w:color="auto" w:sz="4" w:space="0"/>
              <w:bottom w:val="single" w:color="000000" w:sz="4" w:space="0"/>
              <w:right w:val="single" w:color="auto" w:sz="4" w:space="0"/>
            </w:tcBorders>
            <w:vAlign w:val="center"/>
          </w:tcPr>
          <w:p w14:paraId="43E01DA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7DF9EF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8E21BC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550AE6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综合管廊专项隐患排查数据录入</w:t>
            </w:r>
          </w:p>
        </w:tc>
      </w:tr>
      <w:tr w14:paraId="676535B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5DE7DF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36</w:t>
            </w:r>
          </w:p>
        </w:tc>
        <w:tc>
          <w:tcPr>
            <w:tcW w:w="0" w:type="auto"/>
            <w:vMerge w:val="continue"/>
            <w:tcBorders>
              <w:top w:val="nil"/>
              <w:left w:val="single" w:color="auto" w:sz="4" w:space="0"/>
              <w:bottom w:val="single" w:color="000000" w:sz="4" w:space="0"/>
              <w:right w:val="single" w:color="auto" w:sz="4" w:space="0"/>
            </w:tcBorders>
            <w:vAlign w:val="center"/>
          </w:tcPr>
          <w:p w14:paraId="33930AD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B1427C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F4714A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4EFFAD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综合管廊应急资源数据梳理</w:t>
            </w:r>
          </w:p>
        </w:tc>
      </w:tr>
      <w:tr w14:paraId="0F343C4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0CB516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37</w:t>
            </w:r>
          </w:p>
        </w:tc>
        <w:tc>
          <w:tcPr>
            <w:tcW w:w="0" w:type="auto"/>
            <w:vMerge w:val="continue"/>
            <w:tcBorders>
              <w:top w:val="nil"/>
              <w:left w:val="single" w:color="auto" w:sz="4" w:space="0"/>
              <w:bottom w:val="single" w:color="000000" w:sz="4" w:space="0"/>
              <w:right w:val="single" w:color="auto" w:sz="4" w:space="0"/>
            </w:tcBorders>
            <w:vAlign w:val="center"/>
          </w:tcPr>
          <w:p w14:paraId="02FEA9A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EBFE95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368E31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9DBCFD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综合管廊应急资源信息录入</w:t>
            </w:r>
          </w:p>
        </w:tc>
      </w:tr>
      <w:tr w14:paraId="08C30BF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1F888F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38</w:t>
            </w:r>
          </w:p>
        </w:tc>
        <w:tc>
          <w:tcPr>
            <w:tcW w:w="0" w:type="auto"/>
            <w:vMerge w:val="continue"/>
            <w:tcBorders>
              <w:top w:val="nil"/>
              <w:left w:val="single" w:color="auto" w:sz="4" w:space="0"/>
              <w:bottom w:val="single" w:color="000000" w:sz="4" w:space="0"/>
              <w:right w:val="single" w:color="auto" w:sz="4" w:space="0"/>
            </w:tcBorders>
            <w:vAlign w:val="center"/>
          </w:tcPr>
          <w:p w14:paraId="16AC4A0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AA0822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AAEC27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D66A84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综合管廊专项应急预案信息数据梳理</w:t>
            </w:r>
          </w:p>
        </w:tc>
      </w:tr>
      <w:tr w14:paraId="4788747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DAE8C6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39</w:t>
            </w:r>
          </w:p>
        </w:tc>
        <w:tc>
          <w:tcPr>
            <w:tcW w:w="0" w:type="auto"/>
            <w:vMerge w:val="continue"/>
            <w:tcBorders>
              <w:top w:val="nil"/>
              <w:left w:val="single" w:color="auto" w:sz="4" w:space="0"/>
              <w:bottom w:val="single" w:color="000000" w:sz="4" w:space="0"/>
              <w:right w:val="single" w:color="auto" w:sz="4" w:space="0"/>
            </w:tcBorders>
            <w:vAlign w:val="center"/>
          </w:tcPr>
          <w:p w14:paraId="6C4CE91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D96EE7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248619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DD3D2F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综合管廊专项应急预案录入</w:t>
            </w:r>
          </w:p>
        </w:tc>
      </w:tr>
      <w:tr w14:paraId="07BA8E8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8E7DF5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40</w:t>
            </w:r>
          </w:p>
        </w:tc>
        <w:tc>
          <w:tcPr>
            <w:tcW w:w="0" w:type="auto"/>
            <w:vMerge w:val="continue"/>
            <w:tcBorders>
              <w:top w:val="nil"/>
              <w:left w:val="single" w:color="auto" w:sz="4" w:space="0"/>
              <w:bottom w:val="single" w:color="000000" w:sz="4" w:space="0"/>
              <w:right w:val="single" w:color="auto" w:sz="4" w:space="0"/>
            </w:tcBorders>
            <w:vAlign w:val="center"/>
          </w:tcPr>
          <w:p w14:paraId="526F6FE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82501A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EBE475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4C42B0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综合管廊专项应急资源能力评估数据梳理</w:t>
            </w:r>
          </w:p>
        </w:tc>
      </w:tr>
      <w:tr w14:paraId="18797D1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AFBB50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41</w:t>
            </w:r>
          </w:p>
        </w:tc>
        <w:tc>
          <w:tcPr>
            <w:tcW w:w="0" w:type="auto"/>
            <w:vMerge w:val="continue"/>
            <w:tcBorders>
              <w:top w:val="nil"/>
              <w:left w:val="single" w:color="auto" w:sz="4" w:space="0"/>
              <w:bottom w:val="single" w:color="000000" w:sz="4" w:space="0"/>
              <w:right w:val="single" w:color="auto" w:sz="4" w:space="0"/>
            </w:tcBorders>
            <w:vAlign w:val="center"/>
          </w:tcPr>
          <w:p w14:paraId="455CA66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E68CDF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5B1F23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6A6FDE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综合管廊专项应急响应资源数据录入</w:t>
            </w:r>
          </w:p>
        </w:tc>
      </w:tr>
      <w:tr w14:paraId="2AB969C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7C0FEA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42</w:t>
            </w:r>
          </w:p>
        </w:tc>
        <w:tc>
          <w:tcPr>
            <w:tcW w:w="0" w:type="auto"/>
            <w:vMerge w:val="continue"/>
            <w:tcBorders>
              <w:top w:val="nil"/>
              <w:left w:val="single" w:color="auto" w:sz="4" w:space="0"/>
              <w:bottom w:val="single" w:color="000000" w:sz="4" w:space="0"/>
              <w:right w:val="single" w:color="auto" w:sz="4" w:space="0"/>
            </w:tcBorders>
            <w:vAlign w:val="center"/>
          </w:tcPr>
          <w:p w14:paraId="11F5121A">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1C417F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AD8DC4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C87D02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综合管廊专项重大危险源识别数据梳理</w:t>
            </w:r>
          </w:p>
        </w:tc>
      </w:tr>
      <w:tr w14:paraId="1E5F571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61C6D9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43</w:t>
            </w:r>
          </w:p>
        </w:tc>
        <w:tc>
          <w:tcPr>
            <w:tcW w:w="0" w:type="auto"/>
            <w:vMerge w:val="continue"/>
            <w:tcBorders>
              <w:top w:val="nil"/>
              <w:left w:val="single" w:color="auto" w:sz="4" w:space="0"/>
              <w:bottom w:val="single" w:color="000000" w:sz="4" w:space="0"/>
              <w:right w:val="single" w:color="auto" w:sz="4" w:space="0"/>
            </w:tcBorders>
            <w:vAlign w:val="center"/>
          </w:tcPr>
          <w:p w14:paraId="2BA4C8FE">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BBF864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D8F08A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34B53E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综合管廊专项重大危险源数据录入</w:t>
            </w:r>
          </w:p>
        </w:tc>
      </w:tr>
      <w:tr w14:paraId="264B986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A9C3AA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44</w:t>
            </w:r>
          </w:p>
        </w:tc>
        <w:tc>
          <w:tcPr>
            <w:tcW w:w="0" w:type="auto"/>
            <w:vMerge w:val="continue"/>
            <w:tcBorders>
              <w:top w:val="nil"/>
              <w:left w:val="single" w:color="auto" w:sz="4" w:space="0"/>
              <w:bottom w:val="single" w:color="000000" w:sz="4" w:space="0"/>
              <w:right w:val="single" w:color="auto" w:sz="4" w:space="0"/>
            </w:tcBorders>
            <w:vAlign w:val="center"/>
          </w:tcPr>
          <w:p w14:paraId="668244A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E9162F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A8D4C9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9C0B1B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综合管廊专项社会经济敏感目标数据梳理</w:t>
            </w:r>
          </w:p>
        </w:tc>
      </w:tr>
      <w:tr w14:paraId="7E2E9B5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D22F09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45</w:t>
            </w:r>
          </w:p>
        </w:tc>
        <w:tc>
          <w:tcPr>
            <w:tcW w:w="0" w:type="auto"/>
            <w:vMerge w:val="continue"/>
            <w:tcBorders>
              <w:top w:val="nil"/>
              <w:left w:val="single" w:color="auto" w:sz="4" w:space="0"/>
              <w:bottom w:val="single" w:color="000000" w:sz="4" w:space="0"/>
              <w:right w:val="single" w:color="auto" w:sz="4" w:space="0"/>
            </w:tcBorders>
            <w:vAlign w:val="center"/>
          </w:tcPr>
          <w:p w14:paraId="0075127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6526D3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334DF3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E63956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综合管廊专项敏感区域信息录入</w:t>
            </w:r>
          </w:p>
        </w:tc>
      </w:tr>
      <w:tr w14:paraId="3235718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D0B359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46</w:t>
            </w:r>
          </w:p>
        </w:tc>
        <w:tc>
          <w:tcPr>
            <w:tcW w:w="0" w:type="auto"/>
            <w:vMerge w:val="continue"/>
            <w:tcBorders>
              <w:top w:val="nil"/>
              <w:left w:val="single" w:color="auto" w:sz="4" w:space="0"/>
              <w:bottom w:val="single" w:color="000000" w:sz="4" w:space="0"/>
              <w:right w:val="single" w:color="auto" w:sz="4" w:space="0"/>
            </w:tcBorders>
            <w:vAlign w:val="center"/>
          </w:tcPr>
          <w:p w14:paraId="1214F1E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4890D5E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综合管廊数据分析处理</w:t>
            </w:r>
          </w:p>
        </w:tc>
        <w:tc>
          <w:tcPr>
            <w:tcW w:w="2694" w:type="dxa"/>
            <w:vMerge w:val="restart"/>
            <w:tcBorders>
              <w:top w:val="nil"/>
              <w:left w:val="single" w:color="auto" w:sz="4" w:space="0"/>
              <w:bottom w:val="single" w:color="000000" w:sz="4" w:space="0"/>
              <w:right w:val="single" w:color="auto" w:sz="4" w:space="0"/>
            </w:tcBorders>
            <w:vAlign w:val="center"/>
          </w:tcPr>
          <w:p w14:paraId="776BC8F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针对采集的数据、现场调查数据进行数据录入，根据数据模型进行预处理</w:t>
            </w:r>
          </w:p>
        </w:tc>
        <w:tc>
          <w:tcPr>
            <w:tcW w:w="4204" w:type="dxa"/>
            <w:tcBorders>
              <w:top w:val="nil"/>
              <w:left w:val="nil"/>
              <w:bottom w:val="single" w:color="auto" w:sz="4" w:space="0"/>
              <w:right w:val="single" w:color="auto" w:sz="4" w:space="0"/>
            </w:tcBorders>
            <w:vAlign w:val="center"/>
          </w:tcPr>
          <w:p w14:paraId="7D09FD8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综合管廊专项风险评估数据复核数据梳理</w:t>
            </w:r>
          </w:p>
        </w:tc>
      </w:tr>
      <w:tr w14:paraId="2F24EB4C">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7515BF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47</w:t>
            </w:r>
          </w:p>
        </w:tc>
        <w:tc>
          <w:tcPr>
            <w:tcW w:w="0" w:type="auto"/>
            <w:vMerge w:val="continue"/>
            <w:tcBorders>
              <w:top w:val="nil"/>
              <w:left w:val="single" w:color="auto" w:sz="4" w:space="0"/>
              <w:bottom w:val="single" w:color="000000" w:sz="4" w:space="0"/>
              <w:right w:val="single" w:color="auto" w:sz="4" w:space="0"/>
            </w:tcBorders>
            <w:vAlign w:val="center"/>
          </w:tcPr>
          <w:p w14:paraId="17417F8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6C70AE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CF93E9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0E3136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综合管廊专项风险评估数据核查</w:t>
            </w:r>
          </w:p>
        </w:tc>
      </w:tr>
      <w:tr w14:paraId="4BCD46B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663A1C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48</w:t>
            </w:r>
          </w:p>
        </w:tc>
        <w:tc>
          <w:tcPr>
            <w:tcW w:w="0" w:type="auto"/>
            <w:vMerge w:val="continue"/>
            <w:tcBorders>
              <w:top w:val="nil"/>
              <w:left w:val="single" w:color="auto" w:sz="4" w:space="0"/>
              <w:bottom w:val="single" w:color="000000" w:sz="4" w:space="0"/>
              <w:right w:val="single" w:color="auto" w:sz="4" w:space="0"/>
            </w:tcBorders>
            <w:vAlign w:val="center"/>
          </w:tcPr>
          <w:p w14:paraId="2741E74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65220B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7BD5CA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699370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综合管廊专项风险评估数据异常检测</w:t>
            </w:r>
          </w:p>
        </w:tc>
      </w:tr>
      <w:tr w14:paraId="0975A87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D1EE4E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49</w:t>
            </w:r>
          </w:p>
        </w:tc>
        <w:tc>
          <w:tcPr>
            <w:tcW w:w="0" w:type="auto"/>
            <w:vMerge w:val="continue"/>
            <w:tcBorders>
              <w:top w:val="nil"/>
              <w:left w:val="single" w:color="auto" w:sz="4" w:space="0"/>
              <w:bottom w:val="single" w:color="000000" w:sz="4" w:space="0"/>
              <w:right w:val="single" w:color="auto" w:sz="4" w:space="0"/>
            </w:tcBorders>
            <w:vAlign w:val="center"/>
          </w:tcPr>
          <w:p w14:paraId="453F2BA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37AB46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567D49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B53AAC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综合管廊专项风险评估数据复核日志管理</w:t>
            </w:r>
          </w:p>
        </w:tc>
      </w:tr>
      <w:tr w14:paraId="29C0113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1CDBC0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50</w:t>
            </w:r>
          </w:p>
        </w:tc>
        <w:tc>
          <w:tcPr>
            <w:tcW w:w="0" w:type="auto"/>
            <w:vMerge w:val="continue"/>
            <w:tcBorders>
              <w:top w:val="nil"/>
              <w:left w:val="single" w:color="auto" w:sz="4" w:space="0"/>
              <w:bottom w:val="single" w:color="000000" w:sz="4" w:space="0"/>
              <w:right w:val="single" w:color="auto" w:sz="4" w:space="0"/>
            </w:tcBorders>
            <w:vAlign w:val="center"/>
          </w:tcPr>
          <w:p w14:paraId="4CB3DCC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B29453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950283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322ACE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综合管廊专项风险评估数据复核结果导出</w:t>
            </w:r>
          </w:p>
        </w:tc>
      </w:tr>
      <w:tr w14:paraId="7D6290E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861B95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51</w:t>
            </w:r>
          </w:p>
        </w:tc>
        <w:tc>
          <w:tcPr>
            <w:tcW w:w="0" w:type="auto"/>
            <w:vMerge w:val="continue"/>
            <w:tcBorders>
              <w:top w:val="nil"/>
              <w:left w:val="single" w:color="auto" w:sz="4" w:space="0"/>
              <w:bottom w:val="single" w:color="000000" w:sz="4" w:space="0"/>
              <w:right w:val="single" w:color="auto" w:sz="4" w:space="0"/>
            </w:tcBorders>
            <w:vAlign w:val="center"/>
          </w:tcPr>
          <w:p w14:paraId="680FD4D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265D3BD">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778CF0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0AA2EE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综合管廊专项风险评估结果修正数据梳理</w:t>
            </w:r>
          </w:p>
        </w:tc>
      </w:tr>
      <w:tr w14:paraId="08985AC5">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95F000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52</w:t>
            </w:r>
          </w:p>
        </w:tc>
        <w:tc>
          <w:tcPr>
            <w:tcW w:w="0" w:type="auto"/>
            <w:vMerge w:val="continue"/>
            <w:tcBorders>
              <w:top w:val="nil"/>
              <w:left w:val="single" w:color="auto" w:sz="4" w:space="0"/>
              <w:bottom w:val="single" w:color="000000" w:sz="4" w:space="0"/>
              <w:right w:val="single" w:color="auto" w:sz="4" w:space="0"/>
            </w:tcBorders>
            <w:vAlign w:val="center"/>
          </w:tcPr>
          <w:p w14:paraId="5C92143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B1D865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6B7E96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8823C5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综合管廊专项风险评估修正录入</w:t>
            </w:r>
          </w:p>
        </w:tc>
      </w:tr>
      <w:tr w14:paraId="7B17E26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7DEE63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53</w:t>
            </w:r>
          </w:p>
        </w:tc>
        <w:tc>
          <w:tcPr>
            <w:tcW w:w="0" w:type="auto"/>
            <w:vMerge w:val="continue"/>
            <w:tcBorders>
              <w:top w:val="nil"/>
              <w:left w:val="single" w:color="auto" w:sz="4" w:space="0"/>
              <w:bottom w:val="single" w:color="000000" w:sz="4" w:space="0"/>
              <w:right w:val="single" w:color="auto" w:sz="4" w:space="0"/>
            </w:tcBorders>
            <w:vAlign w:val="center"/>
          </w:tcPr>
          <w:p w14:paraId="1D33DEF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9FCBE8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0255DD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48DC81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综合管廊专项风险评估修正版本控制</w:t>
            </w:r>
          </w:p>
        </w:tc>
      </w:tr>
      <w:tr w14:paraId="64EAA50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E569F3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54</w:t>
            </w:r>
          </w:p>
        </w:tc>
        <w:tc>
          <w:tcPr>
            <w:tcW w:w="0" w:type="auto"/>
            <w:vMerge w:val="continue"/>
            <w:tcBorders>
              <w:top w:val="nil"/>
              <w:left w:val="single" w:color="auto" w:sz="4" w:space="0"/>
              <w:bottom w:val="single" w:color="000000" w:sz="4" w:space="0"/>
              <w:right w:val="single" w:color="auto" w:sz="4" w:space="0"/>
            </w:tcBorders>
            <w:vAlign w:val="center"/>
          </w:tcPr>
          <w:p w14:paraId="3C276B4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F4B829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EDEE2F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7B598A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综合管廊专项风险评估修正日志管理</w:t>
            </w:r>
          </w:p>
        </w:tc>
      </w:tr>
      <w:tr w14:paraId="36EAC87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8CA308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55</w:t>
            </w:r>
          </w:p>
        </w:tc>
        <w:tc>
          <w:tcPr>
            <w:tcW w:w="0" w:type="auto"/>
            <w:vMerge w:val="continue"/>
            <w:tcBorders>
              <w:top w:val="nil"/>
              <w:left w:val="single" w:color="auto" w:sz="4" w:space="0"/>
              <w:bottom w:val="single" w:color="000000" w:sz="4" w:space="0"/>
              <w:right w:val="single" w:color="auto" w:sz="4" w:space="0"/>
            </w:tcBorders>
            <w:vAlign w:val="center"/>
          </w:tcPr>
          <w:p w14:paraId="1FB5426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7C03CB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4E5D1C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FAEB4D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综合管廊专项风险评估修正后影响分析</w:t>
            </w:r>
          </w:p>
        </w:tc>
      </w:tr>
      <w:tr w14:paraId="71BF2FF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81A52D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56</w:t>
            </w:r>
          </w:p>
        </w:tc>
        <w:tc>
          <w:tcPr>
            <w:tcW w:w="0" w:type="auto"/>
            <w:vMerge w:val="continue"/>
            <w:tcBorders>
              <w:top w:val="nil"/>
              <w:left w:val="single" w:color="auto" w:sz="4" w:space="0"/>
              <w:bottom w:val="single" w:color="000000" w:sz="4" w:space="0"/>
              <w:right w:val="single" w:color="auto" w:sz="4" w:space="0"/>
            </w:tcBorders>
            <w:vAlign w:val="center"/>
          </w:tcPr>
          <w:p w14:paraId="54E86CA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39E04A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024A84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9575A3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综合管廊专项数据清洗规则配置梳理</w:t>
            </w:r>
          </w:p>
        </w:tc>
      </w:tr>
      <w:tr w14:paraId="02D2A97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EA07D8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57</w:t>
            </w:r>
          </w:p>
        </w:tc>
        <w:tc>
          <w:tcPr>
            <w:tcW w:w="0" w:type="auto"/>
            <w:vMerge w:val="continue"/>
            <w:tcBorders>
              <w:top w:val="nil"/>
              <w:left w:val="single" w:color="auto" w:sz="4" w:space="0"/>
              <w:bottom w:val="single" w:color="000000" w:sz="4" w:space="0"/>
              <w:right w:val="single" w:color="auto" w:sz="4" w:space="0"/>
            </w:tcBorders>
            <w:vAlign w:val="center"/>
          </w:tcPr>
          <w:p w14:paraId="7DFBCF7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05245D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F4E4C0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9C6A8B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综合管廊专项数据错误检测</w:t>
            </w:r>
          </w:p>
        </w:tc>
      </w:tr>
      <w:tr w14:paraId="095823D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6BB3A7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58</w:t>
            </w:r>
          </w:p>
        </w:tc>
        <w:tc>
          <w:tcPr>
            <w:tcW w:w="0" w:type="auto"/>
            <w:vMerge w:val="continue"/>
            <w:tcBorders>
              <w:top w:val="nil"/>
              <w:left w:val="single" w:color="auto" w:sz="4" w:space="0"/>
              <w:bottom w:val="single" w:color="000000" w:sz="4" w:space="0"/>
              <w:right w:val="single" w:color="auto" w:sz="4" w:space="0"/>
            </w:tcBorders>
            <w:vAlign w:val="center"/>
          </w:tcPr>
          <w:p w14:paraId="37BF3FC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EFE7D8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4225B6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519D44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综合管廊专项缺失值填充处理</w:t>
            </w:r>
          </w:p>
        </w:tc>
      </w:tr>
      <w:tr w14:paraId="2E56F0C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562E46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59</w:t>
            </w:r>
          </w:p>
        </w:tc>
        <w:tc>
          <w:tcPr>
            <w:tcW w:w="0" w:type="auto"/>
            <w:vMerge w:val="continue"/>
            <w:tcBorders>
              <w:top w:val="nil"/>
              <w:left w:val="single" w:color="auto" w:sz="4" w:space="0"/>
              <w:bottom w:val="single" w:color="000000" w:sz="4" w:space="0"/>
              <w:right w:val="single" w:color="auto" w:sz="4" w:space="0"/>
            </w:tcBorders>
            <w:vAlign w:val="center"/>
          </w:tcPr>
          <w:p w14:paraId="0DE1880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02C665C">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25FADE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B9ECED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综合管廊专项异常值识别与剔除</w:t>
            </w:r>
          </w:p>
        </w:tc>
      </w:tr>
      <w:tr w14:paraId="4BE6F31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8601FC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60</w:t>
            </w:r>
          </w:p>
        </w:tc>
        <w:tc>
          <w:tcPr>
            <w:tcW w:w="0" w:type="auto"/>
            <w:vMerge w:val="continue"/>
            <w:tcBorders>
              <w:top w:val="nil"/>
              <w:left w:val="single" w:color="auto" w:sz="4" w:space="0"/>
              <w:bottom w:val="single" w:color="000000" w:sz="4" w:space="0"/>
              <w:right w:val="single" w:color="auto" w:sz="4" w:space="0"/>
            </w:tcBorders>
            <w:vAlign w:val="center"/>
          </w:tcPr>
          <w:p w14:paraId="7AB0813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05B00D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E3BFF5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EC062A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综合管廊专项数据清洗结果导出</w:t>
            </w:r>
          </w:p>
        </w:tc>
      </w:tr>
      <w:tr w14:paraId="45F1A7D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6098FA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61</w:t>
            </w:r>
          </w:p>
        </w:tc>
        <w:tc>
          <w:tcPr>
            <w:tcW w:w="0" w:type="auto"/>
            <w:vMerge w:val="continue"/>
            <w:tcBorders>
              <w:top w:val="nil"/>
              <w:left w:val="single" w:color="auto" w:sz="4" w:space="0"/>
              <w:bottom w:val="single" w:color="000000" w:sz="4" w:space="0"/>
              <w:right w:val="single" w:color="auto" w:sz="4" w:space="0"/>
            </w:tcBorders>
            <w:vAlign w:val="center"/>
          </w:tcPr>
          <w:p w14:paraId="67D7E32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03192D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8DB869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8C64C8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综合管廊专项数据转换标准规则梳理</w:t>
            </w:r>
          </w:p>
        </w:tc>
      </w:tr>
      <w:tr w14:paraId="5138F6F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2C1A36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62</w:t>
            </w:r>
          </w:p>
        </w:tc>
        <w:tc>
          <w:tcPr>
            <w:tcW w:w="0" w:type="auto"/>
            <w:vMerge w:val="continue"/>
            <w:tcBorders>
              <w:top w:val="nil"/>
              <w:left w:val="single" w:color="auto" w:sz="4" w:space="0"/>
              <w:bottom w:val="single" w:color="000000" w:sz="4" w:space="0"/>
              <w:right w:val="single" w:color="auto" w:sz="4" w:space="0"/>
            </w:tcBorders>
            <w:vAlign w:val="center"/>
          </w:tcPr>
          <w:p w14:paraId="39A753C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345E88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BF7AC0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78FB94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综合管廊专项数据格式转换</w:t>
            </w:r>
          </w:p>
        </w:tc>
      </w:tr>
      <w:tr w14:paraId="4338160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16822B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63</w:t>
            </w:r>
          </w:p>
        </w:tc>
        <w:tc>
          <w:tcPr>
            <w:tcW w:w="0" w:type="auto"/>
            <w:vMerge w:val="continue"/>
            <w:tcBorders>
              <w:top w:val="nil"/>
              <w:left w:val="single" w:color="auto" w:sz="4" w:space="0"/>
              <w:bottom w:val="single" w:color="000000" w:sz="4" w:space="0"/>
              <w:right w:val="single" w:color="auto" w:sz="4" w:space="0"/>
            </w:tcBorders>
            <w:vAlign w:val="center"/>
          </w:tcPr>
          <w:p w14:paraId="6308F2BD">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9552D3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3B3F6F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A170C3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综合管廊专项数据编码规范化处理</w:t>
            </w:r>
          </w:p>
        </w:tc>
      </w:tr>
      <w:tr w14:paraId="4A95E32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9B0FA2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64</w:t>
            </w:r>
          </w:p>
        </w:tc>
        <w:tc>
          <w:tcPr>
            <w:tcW w:w="0" w:type="auto"/>
            <w:vMerge w:val="continue"/>
            <w:tcBorders>
              <w:top w:val="nil"/>
              <w:left w:val="single" w:color="auto" w:sz="4" w:space="0"/>
              <w:bottom w:val="single" w:color="000000" w:sz="4" w:space="0"/>
              <w:right w:val="single" w:color="auto" w:sz="4" w:space="0"/>
            </w:tcBorders>
            <w:vAlign w:val="center"/>
          </w:tcPr>
          <w:p w14:paraId="7579A98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76A319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FFDE7B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AB0351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综合管廊专项数据转换过程日志记录</w:t>
            </w:r>
          </w:p>
        </w:tc>
      </w:tr>
      <w:tr w14:paraId="5B404CE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339713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65</w:t>
            </w:r>
          </w:p>
        </w:tc>
        <w:tc>
          <w:tcPr>
            <w:tcW w:w="0" w:type="auto"/>
            <w:vMerge w:val="continue"/>
            <w:tcBorders>
              <w:top w:val="nil"/>
              <w:left w:val="single" w:color="auto" w:sz="4" w:space="0"/>
              <w:bottom w:val="single" w:color="000000" w:sz="4" w:space="0"/>
              <w:right w:val="single" w:color="auto" w:sz="4" w:space="0"/>
            </w:tcBorders>
            <w:vAlign w:val="center"/>
          </w:tcPr>
          <w:p w14:paraId="7DB84CF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26CF2B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8A7909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F621F2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综合管廊专项数据标准化建模规则梳理</w:t>
            </w:r>
          </w:p>
        </w:tc>
      </w:tr>
      <w:tr w14:paraId="268BB16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CD320F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66</w:t>
            </w:r>
          </w:p>
        </w:tc>
        <w:tc>
          <w:tcPr>
            <w:tcW w:w="0" w:type="auto"/>
            <w:vMerge w:val="continue"/>
            <w:tcBorders>
              <w:top w:val="nil"/>
              <w:left w:val="single" w:color="auto" w:sz="4" w:space="0"/>
              <w:bottom w:val="single" w:color="000000" w:sz="4" w:space="0"/>
              <w:right w:val="single" w:color="auto" w:sz="4" w:space="0"/>
            </w:tcBorders>
            <w:vAlign w:val="center"/>
          </w:tcPr>
          <w:p w14:paraId="5AA3B46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54C16F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319521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D6E8F0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综合管廊专项数据标准验证</w:t>
            </w:r>
          </w:p>
        </w:tc>
      </w:tr>
      <w:tr w14:paraId="39F26BD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8208CD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67</w:t>
            </w:r>
          </w:p>
        </w:tc>
        <w:tc>
          <w:tcPr>
            <w:tcW w:w="0" w:type="auto"/>
            <w:vMerge w:val="continue"/>
            <w:tcBorders>
              <w:top w:val="nil"/>
              <w:left w:val="single" w:color="auto" w:sz="4" w:space="0"/>
              <w:bottom w:val="single" w:color="000000" w:sz="4" w:space="0"/>
              <w:right w:val="single" w:color="auto" w:sz="4" w:space="0"/>
            </w:tcBorders>
            <w:vAlign w:val="center"/>
          </w:tcPr>
          <w:p w14:paraId="73C8BDB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72327F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1AC10CC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B13938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综合管廊专项数据标准化处理</w:t>
            </w:r>
          </w:p>
        </w:tc>
      </w:tr>
      <w:tr w14:paraId="1149FFD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420388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68</w:t>
            </w:r>
          </w:p>
        </w:tc>
        <w:tc>
          <w:tcPr>
            <w:tcW w:w="0" w:type="auto"/>
            <w:vMerge w:val="continue"/>
            <w:tcBorders>
              <w:top w:val="nil"/>
              <w:left w:val="single" w:color="auto" w:sz="4" w:space="0"/>
              <w:bottom w:val="single" w:color="000000" w:sz="4" w:space="0"/>
              <w:right w:val="single" w:color="auto" w:sz="4" w:space="0"/>
            </w:tcBorders>
            <w:vAlign w:val="center"/>
          </w:tcPr>
          <w:p w14:paraId="03246A1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7066A7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C2F31F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99CE6A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综合管廊专项数据标准化日志管理</w:t>
            </w:r>
          </w:p>
        </w:tc>
      </w:tr>
      <w:tr w14:paraId="17562CAB">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EE7E31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69</w:t>
            </w:r>
          </w:p>
        </w:tc>
        <w:tc>
          <w:tcPr>
            <w:tcW w:w="0" w:type="auto"/>
            <w:vMerge w:val="continue"/>
            <w:tcBorders>
              <w:top w:val="nil"/>
              <w:left w:val="single" w:color="auto" w:sz="4" w:space="0"/>
              <w:bottom w:val="single" w:color="000000" w:sz="4" w:space="0"/>
              <w:right w:val="single" w:color="auto" w:sz="4" w:space="0"/>
            </w:tcBorders>
            <w:vAlign w:val="center"/>
          </w:tcPr>
          <w:p w14:paraId="00FF03D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242B12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3924C61">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E89012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综合管廊专项数据整合元数据梳理</w:t>
            </w:r>
          </w:p>
        </w:tc>
      </w:tr>
      <w:tr w14:paraId="0CEEF0E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FFC5C6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70</w:t>
            </w:r>
          </w:p>
        </w:tc>
        <w:tc>
          <w:tcPr>
            <w:tcW w:w="0" w:type="auto"/>
            <w:vMerge w:val="continue"/>
            <w:tcBorders>
              <w:top w:val="nil"/>
              <w:left w:val="single" w:color="auto" w:sz="4" w:space="0"/>
              <w:bottom w:val="single" w:color="000000" w:sz="4" w:space="0"/>
              <w:right w:val="single" w:color="auto" w:sz="4" w:space="0"/>
            </w:tcBorders>
            <w:vAlign w:val="center"/>
          </w:tcPr>
          <w:p w14:paraId="6F71FC2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2E2BC4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F5EE443">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667B5B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综合管廊专项多源数据整合与冲突处理</w:t>
            </w:r>
          </w:p>
        </w:tc>
      </w:tr>
      <w:tr w14:paraId="34F1354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59C6A3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71</w:t>
            </w:r>
          </w:p>
        </w:tc>
        <w:tc>
          <w:tcPr>
            <w:tcW w:w="0" w:type="auto"/>
            <w:vMerge w:val="continue"/>
            <w:tcBorders>
              <w:top w:val="nil"/>
              <w:left w:val="single" w:color="auto" w:sz="4" w:space="0"/>
              <w:bottom w:val="single" w:color="000000" w:sz="4" w:space="0"/>
              <w:right w:val="single" w:color="auto" w:sz="4" w:space="0"/>
            </w:tcBorders>
            <w:vAlign w:val="center"/>
          </w:tcPr>
          <w:p w14:paraId="1CA4995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19AE5F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E74DBE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425A03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综合管廊专项数据冗余消除与优化</w:t>
            </w:r>
          </w:p>
        </w:tc>
      </w:tr>
      <w:tr w14:paraId="57845F3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4958CB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72</w:t>
            </w:r>
          </w:p>
        </w:tc>
        <w:tc>
          <w:tcPr>
            <w:tcW w:w="0" w:type="auto"/>
            <w:vMerge w:val="continue"/>
            <w:tcBorders>
              <w:top w:val="nil"/>
              <w:left w:val="single" w:color="auto" w:sz="4" w:space="0"/>
              <w:bottom w:val="single" w:color="000000" w:sz="4" w:space="0"/>
              <w:right w:val="single" w:color="auto" w:sz="4" w:space="0"/>
            </w:tcBorders>
            <w:vAlign w:val="center"/>
          </w:tcPr>
          <w:p w14:paraId="1844B4A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ED358E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D05DDB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517D33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综合管廊专项数据整合一致性验证</w:t>
            </w:r>
          </w:p>
        </w:tc>
      </w:tr>
      <w:tr w14:paraId="079FA67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C44EFE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73</w:t>
            </w:r>
          </w:p>
        </w:tc>
        <w:tc>
          <w:tcPr>
            <w:tcW w:w="0" w:type="auto"/>
            <w:vMerge w:val="continue"/>
            <w:tcBorders>
              <w:top w:val="nil"/>
              <w:left w:val="single" w:color="auto" w:sz="4" w:space="0"/>
              <w:bottom w:val="single" w:color="000000" w:sz="4" w:space="0"/>
              <w:right w:val="single" w:color="auto" w:sz="4" w:space="0"/>
            </w:tcBorders>
            <w:vAlign w:val="center"/>
          </w:tcPr>
          <w:p w14:paraId="4BB482F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6710A52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49CB33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A93397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综合管廊专项数据整合结果导出</w:t>
            </w:r>
          </w:p>
        </w:tc>
      </w:tr>
      <w:tr w14:paraId="3A20262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2C0E90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74</w:t>
            </w:r>
          </w:p>
        </w:tc>
        <w:tc>
          <w:tcPr>
            <w:tcW w:w="0" w:type="auto"/>
            <w:vMerge w:val="continue"/>
            <w:tcBorders>
              <w:top w:val="nil"/>
              <w:left w:val="single" w:color="auto" w:sz="4" w:space="0"/>
              <w:bottom w:val="single" w:color="000000" w:sz="4" w:space="0"/>
              <w:right w:val="single" w:color="auto" w:sz="4" w:space="0"/>
            </w:tcBorders>
            <w:vAlign w:val="center"/>
          </w:tcPr>
          <w:p w14:paraId="0DB8C9A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51CB4C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95111F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62ADD0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综合管廊专项预处理结果数据梳理</w:t>
            </w:r>
          </w:p>
        </w:tc>
      </w:tr>
      <w:tr w14:paraId="45E9BE2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E63C4E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75</w:t>
            </w:r>
          </w:p>
        </w:tc>
        <w:tc>
          <w:tcPr>
            <w:tcW w:w="0" w:type="auto"/>
            <w:vMerge w:val="continue"/>
            <w:tcBorders>
              <w:top w:val="nil"/>
              <w:left w:val="single" w:color="auto" w:sz="4" w:space="0"/>
              <w:bottom w:val="single" w:color="000000" w:sz="4" w:space="0"/>
              <w:right w:val="single" w:color="auto" w:sz="4" w:space="0"/>
            </w:tcBorders>
            <w:vAlign w:val="center"/>
          </w:tcPr>
          <w:p w14:paraId="54860153">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3EDAF89">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073E13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89357D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综合管廊专项预处理结果输出</w:t>
            </w:r>
          </w:p>
        </w:tc>
      </w:tr>
      <w:tr w14:paraId="750FA63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32FE17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76</w:t>
            </w:r>
          </w:p>
        </w:tc>
        <w:tc>
          <w:tcPr>
            <w:tcW w:w="0" w:type="auto"/>
            <w:vMerge w:val="continue"/>
            <w:tcBorders>
              <w:top w:val="nil"/>
              <w:left w:val="single" w:color="auto" w:sz="4" w:space="0"/>
              <w:bottom w:val="single" w:color="000000" w:sz="4" w:space="0"/>
              <w:right w:val="single" w:color="auto" w:sz="4" w:space="0"/>
            </w:tcBorders>
            <w:vAlign w:val="center"/>
          </w:tcPr>
          <w:p w14:paraId="4EEA48A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CF2437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5136F1E">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59ABCE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综合管廊专项预处理结果验证</w:t>
            </w:r>
          </w:p>
        </w:tc>
      </w:tr>
      <w:tr w14:paraId="30963B9E">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468FCD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77</w:t>
            </w:r>
          </w:p>
        </w:tc>
        <w:tc>
          <w:tcPr>
            <w:tcW w:w="0" w:type="auto"/>
            <w:vMerge w:val="continue"/>
            <w:tcBorders>
              <w:top w:val="nil"/>
              <w:left w:val="single" w:color="auto" w:sz="4" w:space="0"/>
              <w:bottom w:val="single" w:color="000000" w:sz="4" w:space="0"/>
              <w:right w:val="single" w:color="auto" w:sz="4" w:space="0"/>
            </w:tcBorders>
            <w:vAlign w:val="center"/>
          </w:tcPr>
          <w:p w14:paraId="7AB9F65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B2B4C47">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71A2B5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1FC8F0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综合管廊专项预处理结果报告生成</w:t>
            </w:r>
          </w:p>
        </w:tc>
      </w:tr>
      <w:tr w14:paraId="097F08F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E79F50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78</w:t>
            </w:r>
          </w:p>
        </w:tc>
        <w:tc>
          <w:tcPr>
            <w:tcW w:w="0" w:type="auto"/>
            <w:vMerge w:val="continue"/>
            <w:tcBorders>
              <w:top w:val="nil"/>
              <w:left w:val="single" w:color="auto" w:sz="4" w:space="0"/>
              <w:bottom w:val="single" w:color="000000" w:sz="4" w:space="0"/>
              <w:right w:val="single" w:color="auto" w:sz="4" w:space="0"/>
            </w:tcBorders>
            <w:vAlign w:val="center"/>
          </w:tcPr>
          <w:p w14:paraId="77BA55E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427E4D8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综合管廊评估指标体系</w:t>
            </w:r>
          </w:p>
        </w:tc>
        <w:tc>
          <w:tcPr>
            <w:tcW w:w="2694" w:type="dxa"/>
            <w:vMerge w:val="restart"/>
            <w:tcBorders>
              <w:top w:val="nil"/>
              <w:left w:val="single" w:color="auto" w:sz="4" w:space="0"/>
              <w:bottom w:val="single" w:color="000000" w:sz="4" w:space="0"/>
              <w:right w:val="single" w:color="auto" w:sz="4" w:space="0"/>
            </w:tcBorders>
            <w:vAlign w:val="center"/>
          </w:tcPr>
          <w:p w14:paraId="0270AFA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本阶段的工作流程如下：首先，对录入风险评估软件的数据进行梳理，构建太原市风险评估指标体系，并编制涵盖计算指标项、权重及计算方法和公式的风险评估模型算法；其次，依据太原市风险评估指标体系与计算公式，对模型算法进行针对性调整优化，确保算法逻辑与太原市风险评估指标体系、计算公式完全匹配；最后，依托调整完善后的模型算法及风险评估软件，开展风险评估分析工作。</w:t>
            </w:r>
          </w:p>
        </w:tc>
        <w:tc>
          <w:tcPr>
            <w:tcW w:w="4204" w:type="dxa"/>
            <w:tcBorders>
              <w:top w:val="nil"/>
              <w:left w:val="nil"/>
              <w:bottom w:val="single" w:color="auto" w:sz="4" w:space="0"/>
              <w:right w:val="single" w:color="auto" w:sz="4" w:space="0"/>
            </w:tcBorders>
            <w:vAlign w:val="center"/>
          </w:tcPr>
          <w:p w14:paraId="380E4B7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综合管廊风险评估体系</w:t>
            </w:r>
          </w:p>
        </w:tc>
      </w:tr>
      <w:tr w14:paraId="6171209A">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986B44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79</w:t>
            </w:r>
          </w:p>
        </w:tc>
        <w:tc>
          <w:tcPr>
            <w:tcW w:w="0" w:type="auto"/>
            <w:vMerge w:val="continue"/>
            <w:tcBorders>
              <w:top w:val="nil"/>
              <w:left w:val="single" w:color="auto" w:sz="4" w:space="0"/>
              <w:bottom w:val="single" w:color="000000" w:sz="4" w:space="0"/>
              <w:right w:val="single" w:color="auto" w:sz="4" w:space="0"/>
            </w:tcBorders>
            <w:vAlign w:val="center"/>
          </w:tcPr>
          <w:p w14:paraId="6FBFFB5C">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31AEF4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2B59941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693EDE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综合管廊指标分级标准制定</w:t>
            </w:r>
          </w:p>
        </w:tc>
      </w:tr>
      <w:tr w14:paraId="48C15FD4">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BFCA49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80</w:t>
            </w:r>
          </w:p>
        </w:tc>
        <w:tc>
          <w:tcPr>
            <w:tcW w:w="0" w:type="auto"/>
            <w:vMerge w:val="continue"/>
            <w:tcBorders>
              <w:top w:val="nil"/>
              <w:left w:val="single" w:color="auto" w:sz="4" w:space="0"/>
              <w:bottom w:val="single" w:color="000000" w:sz="4" w:space="0"/>
              <w:right w:val="single" w:color="auto" w:sz="4" w:space="0"/>
            </w:tcBorders>
            <w:vAlign w:val="center"/>
          </w:tcPr>
          <w:p w14:paraId="3642026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D620374">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42B462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B2FAEF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综合管廊指标计算公式录入</w:t>
            </w:r>
          </w:p>
        </w:tc>
      </w:tr>
      <w:tr w14:paraId="06A15CE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D862E8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81</w:t>
            </w:r>
          </w:p>
        </w:tc>
        <w:tc>
          <w:tcPr>
            <w:tcW w:w="0" w:type="auto"/>
            <w:vMerge w:val="continue"/>
            <w:tcBorders>
              <w:top w:val="nil"/>
              <w:left w:val="single" w:color="auto" w:sz="4" w:space="0"/>
              <w:bottom w:val="single" w:color="000000" w:sz="4" w:space="0"/>
              <w:right w:val="single" w:color="auto" w:sz="4" w:space="0"/>
            </w:tcBorders>
            <w:vAlign w:val="center"/>
          </w:tcPr>
          <w:p w14:paraId="5FB36A5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0104B85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综合管廊专项风险分析</w:t>
            </w:r>
          </w:p>
        </w:tc>
        <w:tc>
          <w:tcPr>
            <w:tcW w:w="2694" w:type="dxa"/>
            <w:vMerge w:val="restart"/>
            <w:tcBorders>
              <w:top w:val="nil"/>
              <w:left w:val="single" w:color="auto" w:sz="4" w:space="0"/>
              <w:bottom w:val="single" w:color="000000" w:sz="4" w:space="0"/>
              <w:right w:val="single" w:color="auto" w:sz="4" w:space="0"/>
            </w:tcBorders>
            <w:vAlign w:val="center"/>
          </w:tcPr>
          <w:p w14:paraId="2D20EF2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1、数据项映射工作</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建立绑定关系：在风险评估软件中，将实际的数据库字段与风险计算公式中的变量进行“一一对应”配置，确保软件能“读懂”并抓取正确的位置和数据。</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2、批量计算与结果核对</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执行运算：操作软件进行不同类别综合管廊进行风险评估计算。</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输出检查：逐一或抽样检查每座综合管廊是否都生成了分析结果，核对输出结果的完整性（无遗漏）。</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3、异常排查与配置修正</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识别异常：定位分析结果输出异常（如结果为空、数值明显偏离常识、计算报错）的桥隧。</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诊断原因：分析是公式配置错误、数据调用失败还是原始数据异常导致的问题。</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重新配置：针对异常情况，修正计算公式的参数设置，或者重新调整数据调用的映射关系，然后进行复算。</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4、结果关联标注</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将最终确认无误的风险评估结果关联到每一个评估的设施上，确保点击设施的标柱时，可以查看详细的风险分数和主要影响因子。</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5、数据审核</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辅助审核：整理评估结果列表和关联标注成果，提交给审核方，并对异常数据的处理过程进行解释。</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过程归档：记录数据项绑定方案、异常问题处理清单以及最终的配置参数，形成工作记录。</w:t>
            </w:r>
          </w:p>
        </w:tc>
        <w:tc>
          <w:tcPr>
            <w:tcW w:w="4204" w:type="dxa"/>
            <w:tcBorders>
              <w:top w:val="nil"/>
              <w:left w:val="nil"/>
              <w:bottom w:val="single" w:color="auto" w:sz="4" w:space="0"/>
              <w:right w:val="single" w:color="auto" w:sz="4" w:space="0"/>
            </w:tcBorders>
            <w:vAlign w:val="center"/>
          </w:tcPr>
          <w:p w14:paraId="63833CD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与河流或铁路存在交叉的综合管廊；</w:t>
            </w:r>
          </w:p>
        </w:tc>
      </w:tr>
      <w:tr w14:paraId="644EE943">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7769F8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82</w:t>
            </w:r>
          </w:p>
        </w:tc>
        <w:tc>
          <w:tcPr>
            <w:tcW w:w="0" w:type="auto"/>
            <w:vMerge w:val="continue"/>
            <w:tcBorders>
              <w:top w:val="nil"/>
              <w:left w:val="single" w:color="auto" w:sz="4" w:space="0"/>
              <w:bottom w:val="single" w:color="000000" w:sz="4" w:space="0"/>
              <w:right w:val="single" w:color="auto" w:sz="4" w:space="0"/>
            </w:tcBorders>
            <w:vAlign w:val="center"/>
          </w:tcPr>
          <w:p w14:paraId="1CD2D70F">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F912C32">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F595A85">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1F290C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存在地质灾害影响的综合管廊；</w:t>
            </w:r>
          </w:p>
        </w:tc>
      </w:tr>
      <w:tr w14:paraId="46F16133">
        <w:tblPrEx>
          <w:tblCellMar>
            <w:top w:w="0" w:type="dxa"/>
            <w:left w:w="108" w:type="dxa"/>
            <w:bottom w:w="0" w:type="dxa"/>
            <w:right w:w="108" w:type="dxa"/>
          </w:tblCellMar>
        </w:tblPrEx>
        <w:trPr>
          <w:trHeight w:val="560" w:hRule="atLeast"/>
          <w:jc w:val="center"/>
        </w:trPr>
        <w:tc>
          <w:tcPr>
            <w:tcW w:w="0" w:type="auto"/>
            <w:tcBorders>
              <w:top w:val="nil"/>
              <w:left w:val="single" w:color="auto" w:sz="4" w:space="0"/>
              <w:bottom w:val="single" w:color="auto" w:sz="4" w:space="0"/>
              <w:right w:val="single" w:color="auto" w:sz="4" w:space="0"/>
            </w:tcBorders>
            <w:noWrap/>
            <w:vAlign w:val="center"/>
          </w:tcPr>
          <w:p w14:paraId="4257929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83</w:t>
            </w:r>
          </w:p>
        </w:tc>
        <w:tc>
          <w:tcPr>
            <w:tcW w:w="0" w:type="auto"/>
            <w:vMerge w:val="continue"/>
            <w:tcBorders>
              <w:top w:val="nil"/>
              <w:left w:val="single" w:color="auto" w:sz="4" w:space="0"/>
              <w:bottom w:val="single" w:color="000000" w:sz="4" w:space="0"/>
              <w:right w:val="single" w:color="auto" w:sz="4" w:space="0"/>
            </w:tcBorders>
            <w:vAlign w:val="center"/>
          </w:tcPr>
          <w:p w14:paraId="34A0AB1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2D05638">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D88530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1E6CFB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位于或穿越重要交通枢纽、公共基础设施及人员密集场所的综合管廊等。</w:t>
            </w:r>
          </w:p>
        </w:tc>
      </w:tr>
      <w:tr w14:paraId="0B48F6B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52ABC7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84</w:t>
            </w:r>
          </w:p>
        </w:tc>
        <w:tc>
          <w:tcPr>
            <w:tcW w:w="0" w:type="auto"/>
            <w:vMerge w:val="continue"/>
            <w:tcBorders>
              <w:top w:val="nil"/>
              <w:left w:val="single" w:color="auto" w:sz="4" w:space="0"/>
              <w:bottom w:val="single" w:color="000000" w:sz="4" w:space="0"/>
              <w:right w:val="single" w:color="auto" w:sz="4" w:space="0"/>
            </w:tcBorders>
            <w:vAlign w:val="center"/>
          </w:tcPr>
          <w:p w14:paraId="438DF4E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37F8440A">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4A57077A">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7C6B6F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综合管廊风险源识别逻辑模型设计</w:t>
            </w:r>
          </w:p>
        </w:tc>
      </w:tr>
      <w:tr w14:paraId="3AF0BBD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92EAFF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85</w:t>
            </w:r>
          </w:p>
        </w:tc>
        <w:tc>
          <w:tcPr>
            <w:tcW w:w="0" w:type="auto"/>
            <w:vMerge w:val="continue"/>
            <w:tcBorders>
              <w:top w:val="nil"/>
              <w:left w:val="single" w:color="auto" w:sz="4" w:space="0"/>
              <w:bottom w:val="single" w:color="000000" w:sz="4" w:space="0"/>
              <w:right w:val="single" w:color="auto" w:sz="4" w:space="0"/>
            </w:tcBorders>
            <w:vAlign w:val="center"/>
          </w:tcPr>
          <w:p w14:paraId="5F21618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EA69CB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8D6957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B3185B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综合管廊专项隐患图形标注展示</w:t>
            </w:r>
          </w:p>
        </w:tc>
      </w:tr>
      <w:tr w14:paraId="5259A3A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4063315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86</w:t>
            </w:r>
          </w:p>
        </w:tc>
        <w:tc>
          <w:tcPr>
            <w:tcW w:w="0" w:type="auto"/>
            <w:vMerge w:val="continue"/>
            <w:tcBorders>
              <w:top w:val="nil"/>
              <w:left w:val="single" w:color="auto" w:sz="4" w:space="0"/>
              <w:bottom w:val="single" w:color="000000" w:sz="4" w:space="0"/>
              <w:right w:val="single" w:color="auto" w:sz="4" w:space="0"/>
            </w:tcBorders>
            <w:vAlign w:val="center"/>
          </w:tcPr>
          <w:p w14:paraId="3869020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2F802A40">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2E1B35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7A8EAA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综合管廊专项交叉施工风险数据梳理</w:t>
            </w:r>
          </w:p>
        </w:tc>
      </w:tr>
      <w:tr w14:paraId="5F8B5F7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3E84BA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87</w:t>
            </w:r>
          </w:p>
        </w:tc>
        <w:tc>
          <w:tcPr>
            <w:tcW w:w="0" w:type="auto"/>
            <w:vMerge w:val="continue"/>
            <w:tcBorders>
              <w:top w:val="nil"/>
              <w:left w:val="single" w:color="auto" w:sz="4" w:space="0"/>
              <w:bottom w:val="single" w:color="000000" w:sz="4" w:space="0"/>
              <w:right w:val="single" w:color="auto" w:sz="4" w:space="0"/>
            </w:tcBorders>
            <w:vAlign w:val="center"/>
          </w:tcPr>
          <w:p w14:paraId="11AB4DE4">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73D7DFD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评估结果汇总完善</w:t>
            </w:r>
          </w:p>
        </w:tc>
        <w:tc>
          <w:tcPr>
            <w:tcW w:w="2694" w:type="dxa"/>
            <w:vMerge w:val="restart"/>
            <w:tcBorders>
              <w:top w:val="nil"/>
              <w:left w:val="single" w:color="auto" w:sz="4" w:space="0"/>
              <w:bottom w:val="single" w:color="000000" w:sz="4" w:space="0"/>
              <w:right w:val="single" w:color="auto" w:sz="4" w:space="0"/>
            </w:tcBorders>
            <w:vAlign w:val="center"/>
          </w:tcPr>
          <w:p w14:paraId="3BB34E4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包括成果汇总管理数据、成果录入、成果分类管理、成果自动统计与输出工作，该部分核心工作为对专项风险分析已经分析出的结果数据进行整理，将不同类型的综合管廊的分析结果数据进行分类，按不用类别进行录入到文档及成果管理系统，按类别进行统计。</w:t>
            </w:r>
          </w:p>
        </w:tc>
        <w:tc>
          <w:tcPr>
            <w:tcW w:w="4204" w:type="dxa"/>
            <w:tcBorders>
              <w:top w:val="nil"/>
              <w:left w:val="nil"/>
              <w:bottom w:val="single" w:color="auto" w:sz="4" w:space="0"/>
              <w:right w:val="single" w:color="auto" w:sz="4" w:space="0"/>
            </w:tcBorders>
            <w:vAlign w:val="center"/>
          </w:tcPr>
          <w:p w14:paraId="68CE56A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综合管廊专项成果汇总管理数据梳理</w:t>
            </w:r>
          </w:p>
        </w:tc>
      </w:tr>
      <w:tr w14:paraId="225BA908">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0D95B8E">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88</w:t>
            </w:r>
          </w:p>
        </w:tc>
        <w:tc>
          <w:tcPr>
            <w:tcW w:w="0" w:type="auto"/>
            <w:vMerge w:val="continue"/>
            <w:tcBorders>
              <w:top w:val="nil"/>
              <w:left w:val="single" w:color="auto" w:sz="4" w:space="0"/>
              <w:bottom w:val="single" w:color="000000" w:sz="4" w:space="0"/>
              <w:right w:val="single" w:color="auto" w:sz="4" w:space="0"/>
            </w:tcBorders>
            <w:vAlign w:val="center"/>
          </w:tcPr>
          <w:p w14:paraId="2D9A0079">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0810EA0B">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0BEF5CF0">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78CD101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综合管廊专项评估成果成果录入</w:t>
            </w:r>
          </w:p>
        </w:tc>
      </w:tr>
      <w:tr w14:paraId="6C91359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3170630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89</w:t>
            </w:r>
          </w:p>
        </w:tc>
        <w:tc>
          <w:tcPr>
            <w:tcW w:w="0" w:type="auto"/>
            <w:vMerge w:val="continue"/>
            <w:tcBorders>
              <w:top w:val="nil"/>
              <w:left w:val="single" w:color="auto" w:sz="4" w:space="0"/>
              <w:bottom w:val="single" w:color="000000" w:sz="4" w:space="0"/>
              <w:right w:val="single" w:color="auto" w:sz="4" w:space="0"/>
            </w:tcBorders>
            <w:vAlign w:val="center"/>
          </w:tcPr>
          <w:p w14:paraId="3F95176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5AFCC45">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543C4496">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720204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综合管廊专项评估成果分类管理</w:t>
            </w:r>
          </w:p>
        </w:tc>
      </w:tr>
      <w:tr w14:paraId="2F79D676">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9C30E2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90</w:t>
            </w:r>
          </w:p>
        </w:tc>
        <w:tc>
          <w:tcPr>
            <w:tcW w:w="0" w:type="auto"/>
            <w:vMerge w:val="continue"/>
            <w:tcBorders>
              <w:top w:val="nil"/>
              <w:left w:val="single" w:color="auto" w:sz="4" w:space="0"/>
              <w:bottom w:val="single" w:color="000000" w:sz="4" w:space="0"/>
              <w:right w:val="single" w:color="auto" w:sz="4" w:space="0"/>
            </w:tcBorders>
            <w:vAlign w:val="center"/>
          </w:tcPr>
          <w:p w14:paraId="6B02852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ABBB9C1">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6ED21A1F">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0D40FE8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综合管廊专项成果自动统计与输出</w:t>
            </w:r>
          </w:p>
        </w:tc>
      </w:tr>
      <w:tr w14:paraId="4F9016D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025292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91</w:t>
            </w:r>
          </w:p>
        </w:tc>
        <w:tc>
          <w:tcPr>
            <w:tcW w:w="0" w:type="auto"/>
            <w:vMerge w:val="continue"/>
            <w:tcBorders>
              <w:top w:val="nil"/>
              <w:left w:val="single" w:color="auto" w:sz="4" w:space="0"/>
              <w:bottom w:val="single" w:color="000000" w:sz="4" w:space="0"/>
              <w:right w:val="single" w:color="auto" w:sz="4" w:space="0"/>
            </w:tcBorders>
            <w:vAlign w:val="center"/>
          </w:tcPr>
          <w:p w14:paraId="5CA9D261">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79F8B91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风险四色图</w:t>
            </w:r>
          </w:p>
        </w:tc>
        <w:tc>
          <w:tcPr>
            <w:tcW w:w="2694" w:type="dxa"/>
            <w:vMerge w:val="restart"/>
            <w:tcBorders>
              <w:top w:val="nil"/>
              <w:left w:val="single" w:color="auto" w:sz="4" w:space="0"/>
              <w:bottom w:val="single" w:color="000000" w:sz="4" w:space="0"/>
              <w:right w:val="single" w:color="auto" w:sz="4" w:space="0"/>
            </w:tcBorders>
            <w:vAlign w:val="center"/>
          </w:tcPr>
          <w:p w14:paraId="55E0953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1、、风险电子四色图：制作地图，生成包含桥隧及其风险等级的GIS地图，用不同的颜色或符号直观地表示出不同级别的风险区域。</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2、风险清单：包括类别、风险源名称、位置、风险分析、潜在事故类型、风险等级、管控措施、责任人、“三高”区域点位界定、备注等。</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3、报告文档：编写详细的分析报告，说明分析结果以及建议措施（工程技术措施、管理措施、应急措施）。</w:t>
            </w:r>
            <w:r>
              <w:rPr>
                <w:rFonts w:hint="eastAsia" w:ascii="宋体" w:hAnsi="宋体" w:eastAsia="宋体" w:cs="宋体"/>
                <w:color w:val="36363D"/>
                <w:kern w:val="0"/>
                <w:szCs w:val="22"/>
                <w:highlight w:val="none"/>
                <w14:ligatures w14:val="none"/>
              </w:rPr>
              <w:br w:type="textWrapping"/>
            </w:r>
            <w:r>
              <w:rPr>
                <w:rFonts w:hint="eastAsia" w:ascii="宋体" w:hAnsi="宋体" w:eastAsia="宋体" w:cs="宋体"/>
                <w:color w:val="36363D"/>
                <w:kern w:val="0"/>
                <w:szCs w:val="22"/>
                <w:highlight w:val="none"/>
                <w14:ligatures w14:val="none"/>
              </w:rPr>
              <w:t>4、城市生命线安全建议监测布点点位：包括各个风险点位的建议监测设备布放建议。</w:t>
            </w:r>
          </w:p>
        </w:tc>
        <w:tc>
          <w:tcPr>
            <w:tcW w:w="4204" w:type="dxa"/>
            <w:tcBorders>
              <w:top w:val="nil"/>
              <w:left w:val="nil"/>
              <w:bottom w:val="single" w:color="auto" w:sz="4" w:space="0"/>
              <w:right w:val="single" w:color="auto" w:sz="4" w:space="0"/>
            </w:tcBorders>
            <w:vAlign w:val="center"/>
          </w:tcPr>
          <w:p w14:paraId="23CA643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综合管廊专项风险四色图制作</w:t>
            </w:r>
          </w:p>
        </w:tc>
      </w:tr>
      <w:tr w14:paraId="33261F5D">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5C951F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92</w:t>
            </w:r>
          </w:p>
        </w:tc>
        <w:tc>
          <w:tcPr>
            <w:tcW w:w="0" w:type="auto"/>
            <w:vMerge w:val="continue"/>
            <w:tcBorders>
              <w:top w:val="nil"/>
              <w:left w:val="single" w:color="auto" w:sz="4" w:space="0"/>
              <w:bottom w:val="single" w:color="000000" w:sz="4" w:space="0"/>
              <w:right w:val="single" w:color="auto" w:sz="4" w:space="0"/>
            </w:tcBorders>
            <w:vAlign w:val="center"/>
          </w:tcPr>
          <w:p w14:paraId="7759F6A6">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158258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DA59E1D">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5AF9D19">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综合管廊专项风险四色图审核</w:t>
            </w:r>
          </w:p>
        </w:tc>
      </w:tr>
      <w:tr w14:paraId="0E8C0D81">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588DF240">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93</w:t>
            </w:r>
          </w:p>
        </w:tc>
        <w:tc>
          <w:tcPr>
            <w:tcW w:w="0" w:type="auto"/>
            <w:vMerge w:val="continue"/>
            <w:tcBorders>
              <w:top w:val="nil"/>
              <w:left w:val="single" w:color="auto" w:sz="4" w:space="0"/>
              <w:bottom w:val="single" w:color="000000" w:sz="4" w:space="0"/>
              <w:right w:val="single" w:color="auto" w:sz="4" w:space="0"/>
            </w:tcBorders>
            <w:vAlign w:val="center"/>
          </w:tcPr>
          <w:p w14:paraId="5893555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273CFCFD">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风险清单</w:t>
            </w:r>
          </w:p>
        </w:tc>
        <w:tc>
          <w:tcPr>
            <w:tcW w:w="2694" w:type="dxa"/>
            <w:vMerge w:val="continue"/>
            <w:tcBorders>
              <w:top w:val="nil"/>
              <w:left w:val="single" w:color="auto" w:sz="4" w:space="0"/>
              <w:bottom w:val="single" w:color="000000" w:sz="4" w:space="0"/>
              <w:right w:val="single" w:color="auto" w:sz="4" w:space="0"/>
            </w:tcBorders>
            <w:vAlign w:val="center"/>
          </w:tcPr>
          <w:p w14:paraId="69C23359">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5A38DB6F">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综合管廊风险清单</w:t>
            </w:r>
          </w:p>
        </w:tc>
      </w:tr>
      <w:tr w14:paraId="40047B4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DEED19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94</w:t>
            </w:r>
          </w:p>
        </w:tc>
        <w:tc>
          <w:tcPr>
            <w:tcW w:w="0" w:type="auto"/>
            <w:vMerge w:val="continue"/>
            <w:tcBorders>
              <w:top w:val="nil"/>
              <w:left w:val="single" w:color="auto" w:sz="4" w:space="0"/>
              <w:bottom w:val="single" w:color="000000" w:sz="4" w:space="0"/>
              <w:right w:val="single" w:color="auto" w:sz="4" w:space="0"/>
            </w:tcBorders>
            <w:vAlign w:val="center"/>
          </w:tcPr>
          <w:p w14:paraId="3DEBBC3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17A05776">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D47F64C">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4CC0B6C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综合管廊风险清单审核</w:t>
            </w:r>
          </w:p>
        </w:tc>
      </w:tr>
      <w:tr w14:paraId="6096E12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06F976D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95</w:t>
            </w:r>
          </w:p>
        </w:tc>
        <w:tc>
          <w:tcPr>
            <w:tcW w:w="0" w:type="auto"/>
            <w:vMerge w:val="continue"/>
            <w:tcBorders>
              <w:top w:val="nil"/>
              <w:left w:val="single" w:color="auto" w:sz="4" w:space="0"/>
              <w:bottom w:val="single" w:color="000000" w:sz="4" w:space="0"/>
              <w:right w:val="single" w:color="auto" w:sz="4" w:space="0"/>
            </w:tcBorders>
            <w:vAlign w:val="center"/>
          </w:tcPr>
          <w:p w14:paraId="2B518E45">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72CBB751">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风险评估报告</w:t>
            </w:r>
          </w:p>
        </w:tc>
        <w:tc>
          <w:tcPr>
            <w:tcW w:w="2694" w:type="dxa"/>
            <w:vMerge w:val="continue"/>
            <w:tcBorders>
              <w:top w:val="nil"/>
              <w:left w:val="single" w:color="auto" w:sz="4" w:space="0"/>
              <w:bottom w:val="single" w:color="000000" w:sz="4" w:space="0"/>
              <w:right w:val="single" w:color="auto" w:sz="4" w:space="0"/>
            </w:tcBorders>
            <w:vAlign w:val="center"/>
          </w:tcPr>
          <w:p w14:paraId="0C449EDB">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F8EF7EC">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综合管廊专项总结制作</w:t>
            </w:r>
          </w:p>
        </w:tc>
      </w:tr>
      <w:tr w14:paraId="065C71DF">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1747BDB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96</w:t>
            </w:r>
          </w:p>
        </w:tc>
        <w:tc>
          <w:tcPr>
            <w:tcW w:w="0" w:type="auto"/>
            <w:vMerge w:val="continue"/>
            <w:tcBorders>
              <w:top w:val="nil"/>
              <w:left w:val="single" w:color="auto" w:sz="4" w:space="0"/>
              <w:bottom w:val="single" w:color="000000" w:sz="4" w:space="0"/>
              <w:right w:val="single" w:color="auto" w:sz="4" w:space="0"/>
            </w:tcBorders>
            <w:vAlign w:val="center"/>
          </w:tcPr>
          <w:p w14:paraId="36466362">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455F8623">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CA9B6E4">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5DA424A">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综合管廊专项总结审核</w:t>
            </w:r>
          </w:p>
        </w:tc>
      </w:tr>
      <w:tr w14:paraId="2382A07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3892066">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97</w:t>
            </w:r>
          </w:p>
        </w:tc>
        <w:tc>
          <w:tcPr>
            <w:tcW w:w="0" w:type="auto"/>
            <w:vMerge w:val="continue"/>
            <w:tcBorders>
              <w:top w:val="nil"/>
              <w:left w:val="single" w:color="auto" w:sz="4" w:space="0"/>
              <w:bottom w:val="single" w:color="000000" w:sz="4" w:space="0"/>
              <w:right w:val="single" w:color="auto" w:sz="4" w:space="0"/>
            </w:tcBorders>
            <w:vAlign w:val="center"/>
          </w:tcPr>
          <w:p w14:paraId="5EACBF38">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2430C33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监测布点方案</w:t>
            </w:r>
          </w:p>
        </w:tc>
        <w:tc>
          <w:tcPr>
            <w:tcW w:w="2694" w:type="dxa"/>
            <w:vMerge w:val="continue"/>
            <w:tcBorders>
              <w:top w:val="nil"/>
              <w:left w:val="single" w:color="auto" w:sz="4" w:space="0"/>
              <w:bottom w:val="single" w:color="000000" w:sz="4" w:space="0"/>
              <w:right w:val="single" w:color="auto" w:sz="4" w:space="0"/>
            </w:tcBorders>
            <w:vAlign w:val="center"/>
          </w:tcPr>
          <w:p w14:paraId="7DBD5F0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64F39823">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综合管廊专项监测布点方案设计</w:t>
            </w:r>
          </w:p>
        </w:tc>
      </w:tr>
      <w:tr w14:paraId="588CA829">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6552C31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98</w:t>
            </w:r>
          </w:p>
        </w:tc>
        <w:tc>
          <w:tcPr>
            <w:tcW w:w="0" w:type="auto"/>
            <w:vMerge w:val="continue"/>
            <w:tcBorders>
              <w:top w:val="nil"/>
              <w:left w:val="single" w:color="auto" w:sz="4" w:space="0"/>
              <w:bottom w:val="single" w:color="000000" w:sz="4" w:space="0"/>
              <w:right w:val="single" w:color="auto" w:sz="4" w:space="0"/>
            </w:tcBorders>
            <w:vAlign w:val="center"/>
          </w:tcPr>
          <w:p w14:paraId="3312CBE7">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73253D7F">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76B53682">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20F8FF5B">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综合管廊专项监测布点方案审核</w:t>
            </w:r>
          </w:p>
        </w:tc>
      </w:tr>
      <w:tr w14:paraId="33F24FF2">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271C0E14">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99</w:t>
            </w:r>
          </w:p>
        </w:tc>
        <w:tc>
          <w:tcPr>
            <w:tcW w:w="0" w:type="auto"/>
            <w:vMerge w:val="continue"/>
            <w:tcBorders>
              <w:top w:val="nil"/>
              <w:left w:val="single" w:color="auto" w:sz="4" w:space="0"/>
              <w:bottom w:val="single" w:color="000000" w:sz="4" w:space="0"/>
              <w:right w:val="single" w:color="auto" w:sz="4" w:space="0"/>
            </w:tcBorders>
            <w:vAlign w:val="center"/>
          </w:tcPr>
          <w:p w14:paraId="7A54DF4B">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restart"/>
            <w:tcBorders>
              <w:top w:val="nil"/>
              <w:left w:val="single" w:color="auto" w:sz="4" w:space="0"/>
              <w:bottom w:val="single" w:color="auto" w:sz="4" w:space="0"/>
              <w:right w:val="single" w:color="auto" w:sz="4" w:space="0"/>
            </w:tcBorders>
            <w:vAlign w:val="center"/>
          </w:tcPr>
          <w:p w14:paraId="25072BC5">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电子成果物</w:t>
            </w:r>
          </w:p>
        </w:tc>
        <w:tc>
          <w:tcPr>
            <w:tcW w:w="2694" w:type="dxa"/>
            <w:vMerge w:val="continue"/>
            <w:tcBorders>
              <w:top w:val="nil"/>
              <w:left w:val="single" w:color="auto" w:sz="4" w:space="0"/>
              <w:bottom w:val="single" w:color="000000" w:sz="4" w:space="0"/>
              <w:right w:val="single" w:color="auto" w:sz="4" w:space="0"/>
            </w:tcBorders>
            <w:vAlign w:val="center"/>
          </w:tcPr>
          <w:p w14:paraId="1F26F138">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3400C437">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综合管廊专项评估成果电子档案数据梳理</w:t>
            </w:r>
          </w:p>
        </w:tc>
      </w:tr>
      <w:tr w14:paraId="26D2D927">
        <w:tblPrEx>
          <w:tblCellMar>
            <w:top w:w="0" w:type="dxa"/>
            <w:left w:w="108" w:type="dxa"/>
            <w:bottom w:w="0" w:type="dxa"/>
            <w:right w:w="108" w:type="dxa"/>
          </w:tblCellMar>
        </w:tblPrEx>
        <w:trPr>
          <w:trHeight w:val="280" w:hRule="atLeast"/>
          <w:jc w:val="center"/>
        </w:trPr>
        <w:tc>
          <w:tcPr>
            <w:tcW w:w="0" w:type="auto"/>
            <w:tcBorders>
              <w:top w:val="nil"/>
              <w:left w:val="single" w:color="auto" w:sz="4" w:space="0"/>
              <w:bottom w:val="single" w:color="auto" w:sz="4" w:space="0"/>
              <w:right w:val="single" w:color="auto" w:sz="4" w:space="0"/>
            </w:tcBorders>
            <w:noWrap/>
            <w:vAlign w:val="center"/>
          </w:tcPr>
          <w:p w14:paraId="71F1C8A8">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100</w:t>
            </w:r>
          </w:p>
        </w:tc>
        <w:tc>
          <w:tcPr>
            <w:tcW w:w="0" w:type="auto"/>
            <w:vMerge w:val="continue"/>
            <w:tcBorders>
              <w:top w:val="nil"/>
              <w:left w:val="single" w:color="auto" w:sz="4" w:space="0"/>
              <w:bottom w:val="single" w:color="000000" w:sz="4" w:space="0"/>
              <w:right w:val="single" w:color="auto" w:sz="4" w:space="0"/>
            </w:tcBorders>
            <w:vAlign w:val="center"/>
          </w:tcPr>
          <w:p w14:paraId="63ABDBC0">
            <w:pPr>
              <w:widowControl/>
              <w:spacing w:after="0" w:line="240" w:lineRule="auto"/>
              <w:jc w:val="both"/>
              <w:rPr>
                <w:rFonts w:hint="eastAsia" w:ascii="宋体" w:hAnsi="宋体" w:eastAsia="宋体" w:cs="宋体"/>
                <w:color w:val="36363D"/>
                <w:kern w:val="0"/>
                <w:szCs w:val="22"/>
                <w:highlight w:val="none"/>
                <w14:ligatures w14:val="none"/>
              </w:rPr>
            </w:pPr>
          </w:p>
        </w:tc>
        <w:tc>
          <w:tcPr>
            <w:tcW w:w="0" w:type="auto"/>
            <w:vMerge w:val="continue"/>
            <w:tcBorders>
              <w:top w:val="nil"/>
              <w:left w:val="single" w:color="auto" w:sz="4" w:space="0"/>
              <w:bottom w:val="single" w:color="auto" w:sz="4" w:space="0"/>
              <w:right w:val="single" w:color="auto" w:sz="4" w:space="0"/>
            </w:tcBorders>
            <w:vAlign w:val="center"/>
          </w:tcPr>
          <w:p w14:paraId="531A455E">
            <w:pPr>
              <w:widowControl/>
              <w:spacing w:after="0" w:line="240" w:lineRule="auto"/>
              <w:jc w:val="both"/>
              <w:rPr>
                <w:rFonts w:hint="eastAsia" w:ascii="宋体" w:hAnsi="宋体" w:eastAsia="宋体" w:cs="宋体"/>
                <w:color w:val="36363D"/>
                <w:kern w:val="0"/>
                <w:szCs w:val="22"/>
                <w:highlight w:val="none"/>
                <w14:ligatures w14:val="none"/>
              </w:rPr>
            </w:pPr>
          </w:p>
        </w:tc>
        <w:tc>
          <w:tcPr>
            <w:tcW w:w="2694" w:type="dxa"/>
            <w:vMerge w:val="continue"/>
            <w:tcBorders>
              <w:top w:val="nil"/>
              <w:left w:val="single" w:color="auto" w:sz="4" w:space="0"/>
              <w:bottom w:val="single" w:color="000000" w:sz="4" w:space="0"/>
              <w:right w:val="single" w:color="auto" w:sz="4" w:space="0"/>
            </w:tcBorders>
            <w:vAlign w:val="center"/>
          </w:tcPr>
          <w:p w14:paraId="31E40137">
            <w:pPr>
              <w:widowControl/>
              <w:spacing w:after="0" w:line="240" w:lineRule="auto"/>
              <w:jc w:val="both"/>
              <w:rPr>
                <w:rFonts w:hint="eastAsia" w:ascii="宋体" w:hAnsi="宋体" w:eastAsia="宋体" w:cs="宋体"/>
                <w:color w:val="36363D"/>
                <w:kern w:val="0"/>
                <w:szCs w:val="22"/>
                <w:highlight w:val="none"/>
                <w14:ligatures w14:val="none"/>
              </w:rPr>
            </w:pPr>
          </w:p>
        </w:tc>
        <w:tc>
          <w:tcPr>
            <w:tcW w:w="4204" w:type="dxa"/>
            <w:tcBorders>
              <w:top w:val="nil"/>
              <w:left w:val="nil"/>
              <w:bottom w:val="single" w:color="auto" w:sz="4" w:space="0"/>
              <w:right w:val="single" w:color="auto" w:sz="4" w:space="0"/>
            </w:tcBorders>
            <w:vAlign w:val="center"/>
          </w:tcPr>
          <w:p w14:paraId="130F5B32">
            <w:pPr>
              <w:widowControl/>
              <w:spacing w:after="0" w:line="240" w:lineRule="auto"/>
              <w:jc w:val="both"/>
              <w:rPr>
                <w:rFonts w:hint="eastAsia" w:ascii="宋体" w:hAnsi="宋体" w:eastAsia="宋体" w:cs="宋体"/>
                <w:color w:val="36363D"/>
                <w:kern w:val="0"/>
                <w:szCs w:val="22"/>
                <w:highlight w:val="none"/>
                <w14:ligatures w14:val="none"/>
              </w:rPr>
            </w:pPr>
            <w:r>
              <w:rPr>
                <w:rFonts w:hint="eastAsia" w:ascii="宋体" w:hAnsi="宋体" w:eastAsia="宋体" w:cs="宋体"/>
                <w:color w:val="36363D"/>
                <w:kern w:val="0"/>
                <w:szCs w:val="22"/>
                <w:highlight w:val="none"/>
                <w14:ligatures w14:val="none"/>
              </w:rPr>
              <w:t>综合管廊专项电子档案资料更新维护</w:t>
            </w:r>
          </w:p>
        </w:tc>
      </w:tr>
    </w:tbl>
    <w:p w14:paraId="1C69199E">
      <w:pPr>
        <w:pStyle w:val="15"/>
        <w:keepNext w:val="0"/>
        <w:keepLines w:val="0"/>
        <w:pageBreakBefore w:val="0"/>
        <w:widowControl w:val="0"/>
        <w:kinsoku/>
        <w:wordWrap/>
        <w:overflowPunct/>
        <w:topLinePunct w:val="0"/>
        <w:autoSpaceDE/>
        <w:autoSpaceDN/>
        <w:bidi w:val="0"/>
        <w:adjustRightInd w:val="0"/>
        <w:snapToGrid w:val="0"/>
        <w:spacing w:after="0" w:line="360" w:lineRule="auto"/>
        <w:ind w:firstLine="632"/>
        <w:textAlignment w:val="auto"/>
        <w:rPr>
          <w:rFonts w:hint="eastAsia" w:ascii="仿宋_GB2312" w:hAnsi="仿宋_GB2312" w:eastAsia="仿宋_GB2312" w:cs="仿宋_GB2312"/>
          <w:color w:val="auto"/>
          <w:szCs w:val="32"/>
          <w:highlight w:val="none"/>
          <w:lang w:val="en-US" w:eastAsia="zh-CN"/>
        </w:rPr>
      </w:pPr>
    </w:p>
    <w:p w14:paraId="29B99C9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6"/>
          <w:szCs w:val="36"/>
          <w:highlight w:val="none"/>
        </w:rPr>
        <w:sectPr>
          <w:footerReference r:id="rId12" w:type="default"/>
          <w:pgSz w:w="11906" w:h="16838"/>
          <w:pgMar w:top="1417" w:right="1247" w:bottom="1417" w:left="124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F7618AD">
      <w:pPr>
        <w:numPr>
          <w:ilvl w:val="0"/>
          <w:numId w:val="0"/>
        </w:numPr>
        <w:ind w:firstLine="181" w:firstLineChars="50"/>
        <w:jc w:val="center"/>
        <w:outlineLvl w:val="0"/>
        <w:rPr>
          <w:rFonts w:hint="eastAsia" w:ascii="宋体" w:hAnsi="宋体" w:eastAsia="宋体" w:cs="宋体"/>
          <w:b/>
          <w:color w:val="auto"/>
          <w:kern w:val="0"/>
          <w:sz w:val="36"/>
          <w:szCs w:val="36"/>
          <w:highlight w:val="none"/>
          <w:lang w:eastAsia="zh-CN"/>
        </w:rPr>
      </w:pPr>
      <w:bookmarkStart w:id="86" w:name="_Toc175644061"/>
      <w:r>
        <w:rPr>
          <w:rFonts w:hint="eastAsia" w:ascii="宋体" w:hAnsi="宋体" w:eastAsia="宋体" w:cs="宋体"/>
          <w:b/>
          <w:color w:val="auto"/>
          <w:kern w:val="0"/>
          <w:sz w:val="36"/>
          <w:szCs w:val="36"/>
          <w:lang w:val="en-US" w:eastAsia="zh-CN" w:bidi="ar-SA"/>
        </w:rPr>
        <w:t>第六部分</w:t>
      </w:r>
      <w:r>
        <w:rPr>
          <w:rFonts w:hint="eastAsia" w:ascii="宋体" w:hAnsi="宋体" w:cs="宋体"/>
          <w:b/>
          <w:color w:val="auto"/>
          <w:kern w:val="0"/>
          <w:sz w:val="36"/>
          <w:szCs w:val="36"/>
          <w:lang w:val="en-US" w:eastAsia="zh-CN" w:bidi="ar-SA"/>
        </w:rPr>
        <w:t xml:space="preserve"> </w:t>
      </w:r>
      <w:r>
        <w:rPr>
          <w:rFonts w:hint="eastAsia" w:ascii="宋体" w:hAnsi="宋体" w:cs="宋体"/>
          <w:b/>
          <w:color w:val="auto"/>
          <w:kern w:val="0"/>
          <w:sz w:val="36"/>
          <w:szCs w:val="36"/>
          <w:highlight w:val="none"/>
          <w:lang w:val="en-US" w:eastAsia="zh-CN"/>
        </w:rPr>
        <w:t xml:space="preserve"> </w:t>
      </w:r>
      <w:r>
        <w:rPr>
          <w:rFonts w:hint="eastAsia" w:ascii="宋体" w:hAnsi="宋体" w:eastAsia="宋体" w:cs="宋体"/>
          <w:b/>
          <w:color w:val="auto"/>
          <w:kern w:val="0"/>
          <w:sz w:val="36"/>
          <w:szCs w:val="36"/>
          <w:highlight w:val="none"/>
          <w:lang w:eastAsia="zh-CN"/>
        </w:rPr>
        <w:t>采购</w:t>
      </w:r>
      <w:r>
        <w:rPr>
          <w:rFonts w:hint="eastAsia" w:ascii="宋体" w:hAnsi="宋体" w:eastAsia="宋体" w:cs="宋体"/>
          <w:b/>
          <w:color w:val="auto"/>
          <w:kern w:val="0"/>
          <w:sz w:val="36"/>
          <w:szCs w:val="36"/>
          <w:highlight w:val="none"/>
        </w:rPr>
        <w:t>合同</w:t>
      </w:r>
      <w:r>
        <w:rPr>
          <w:rFonts w:hint="eastAsia" w:ascii="宋体" w:hAnsi="宋体" w:eastAsia="宋体" w:cs="宋体"/>
          <w:b/>
          <w:color w:val="auto"/>
          <w:kern w:val="0"/>
          <w:sz w:val="36"/>
          <w:szCs w:val="36"/>
          <w:highlight w:val="none"/>
          <w:lang w:eastAsia="zh-CN"/>
        </w:rPr>
        <w:t>范本</w:t>
      </w:r>
      <w:bookmarkEnd w:id="85"/>
      <w:bookmarkStart w:id="87" w:name="_Toc15234"/>
    </w:p>
    <w:p w14:paraId="3EC9AA2B">
      <w:pPr>
        <w:widowControl/>
        <w:snapToGrid w:val="0"/>
        <w:spacing w:line="360" w:lineRule="auto"/>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（按双方最终签署的合同为准）</w:t>
      </w:r>
    </w:p>
    <w:p w14:paraId="16F072E8">
      <w:pPr>
        <w:widowControl/>
        <w:tabs>
          <w:tab w:val="left" w:pos="1980"/>
          <w:tab w:val="left" w:pos="2160"/>
          <w:tab w:val="left" w:pos="2340"/>
          <w:tab w:val="center" w:pos="4140"/>
        </w:tabs>
        <w:snapToGrid w:val="0"/>
        <w:spacing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20"/>
          <w:kern w:val="0"/>
          <w:sz w:val="28"/>
          <w:szCs w:val="28"/>
          <w:highlight w:val="none"/>
        </w:rPr>
        <w:t>合同格式</w:t>
      </w:r>
    </w:p>
    <w:p w14:paraId="45F92710">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委托方：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（以下称为甲方）</w:t>
      </w:r>
    </w:p>
    <w:p w14:paraId="576BE1F3">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受托方：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（以下称为乙方）</w:t>
      </w:r>
    </w:p>
    <w:p w14:paraId="3FD0E635">
      <w:pPr>
        <w:widowControl/>
        <w:tabs>
          <w:tab w:val="left" w:pos="1980"/>
          <w:tab w:val="left" w:pos="2160"/>
          <w:tab w:val="left" w:pos="2340"/>
          <w:tab w:val="center" w:pos="4140"/>
        </w:tabs>
        <w:snapToGrid w:val="0"/>
        <w:spacing w:line="360" w:lineRule="auto"/>
        <w:ind w:firstLine="700" w:firstLineChars="25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根据《中华人民共和国民法典》及行业相关法律法规政策和实际工作要求，经甲、乙双方协议同意，就</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项目达成一致，签订本合同。</w:t>
      </w:r>
    </w:p>
    <w:p w14:paraId="14DA74F5">
      <w:pPr>
        <w:widowControl/>
        <w:numPr>
          <w:ilvl w:val="0"/>
          <w:numId w:val="2"/>
        </w:numPr>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技术服务内容</w:t>
      </w:r>
    </w:p>
    <w:p w14:paraId="2D4DD66D">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0E8D58E0">
      <w:pPr>
        <w:widowControl/>
        <w:numPr>
          <w:ilvl w:val="0"/>
          <w:numId w:val="2"/>
        </w:numPr>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技术服务费数额及支付方式</w:t>
      </w:r>
    </w:p>
    <w:p w14:paraId="3636AFA6">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color w:val="auto"/>
          <w:spacing w:val="20"/>
          <w:kern w:val="0"/>
          <w:sz w:val="28"/>
          <w:szCs w:val="28"/>
          <w:highlight w:val="none"/>
        </w:rPr>
      </w:pP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72935F9B">
      <w:pPr>
        <w:widowControl/>
        <w:numPr>
          <w:ilvl w:val="0"/>
          <w:numId w:val="2"/>
        </w:numPr>
        <w:tabs>
          <w:tab w:val="left" w:pos="1980"/>
          <w:tab w:val="left" w:pos="2160"/>
          <w:tab w:val="left" w:pos="2340"/>
          <w:tab w:val="center" w:pos="4140"/>
        </w:tabs>
        <w:snapToGrid w:val="0"/>
        <w:spacing w:line="360" w:lineRule="auto"/>
        <w:jc w:val="left"/>
        <w:outlineLvl w:val="9"/>
        <w:rPr>
          <w:rFonts w:hint="eastAsia" w:ascii="仿宋" w:hAnsi="仿宋" w:eastAsia="仿宋" w:cs="仿宋"/>
          <w:color w:val="auto"/>
          <w:spacing w:val="20"/>
          <w:kern w:val="0"/>
          <w:sz w:val="28"/>
          <w:szCs w:val="28"/>
          <w:highlight w:val="none"/>
        </w:rPr>
      </w:pPr>
      <w:r>
        <w:rPr>
          <w:rFonts w:hint="eastAsia" w:ascii="仿宋" w:hAnsi="仿宋" w:eastAsia="仿宋" w:cs="仿宋"/>
          <w:color w:val="auto"/>
          <w:spacing w:val="20"/>
          <w:kern w:val="0"/>
          <w:sz w:val="28"/>
          <w:szCs w:val="28"/>
          <w:highlight w:val="none"/>
        </w:rPr>
        <w:t>验收</w:t>
      </w:r>
    </w:p>
    <w:p w14:paraId="19E9B6AD">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color w:val="auto"/>
          <w:spacing w:val="20"/>
          <w:kern w:val="0"/>
          <w:sz w:val="28"/>
          <w:szCs w:val="28"/>
          <w:highlight w:val="none"/>
          <w:u w:val="single"/>
        </w:rPr>
      </w:pPr>
      <w:r>
        <w:rPr>
          <w:rFonts w:hint="eastAsia" w:ascii="仿宋" w:hAnsi="仿宋" w:eastAsia="仿宋" w:cs="仿宋"/>
          <w:color w:val="auto"/>
          <w:spacing w:val="20"/>
          <w:kern w:val="0"/>
          <w:sz w:val="28"/>
          <w:szCs w:val="28"/>
          <w:highlight w:val="none"/>
        </w:rPr>
        <w:t xml:space="preserve">   1、</w:t>
      </w:r>
      <w:r>
        <w:rPr>
          <w:rFonts w:hint="eastAsia" w:ascii="仿宋" w:hAnsi="仿宋" w:eastAsia="仿宋" w:cs="仿宋"/>
          <w:bCs/>
          <w:color w:val="auto"/>
          <w:sz w:val="28"/>
          <w:szCs w:val="28"/>
          <w:highlight w:val="none"/>
        </w:rPr>
        <w:t>对本项目成果的验收：</w:t>
      </w:r>
      <w:r>
        <w:rPr>
          <w:rFonts w:hint="eastAsia" w:ascii="仿宋" w:hAnsi="仿宋" w:eastAsia="仿宋" w:cs="仿宋"/>
          <w:color w:val="auto"/>
          <w:spacing w:val="20"/>
          <w:kern w:val="0"/>
          <w:sz w:val="28"/>
          <w:szCs w:val="28"/>
          <w:highlight w:val="none"/>
          <w:u w:val="single"/>
        </w:rPr>
        <w:t xml:space="preserve">                                                   </w:t>
      </w:r>
    </w:p>
    <w:p w14:paraId="55E8817B">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color w:val="auto"/>
          <w:spacing w:val="20"/>
          <w:kern w:val="0"/>
          <w:sz w:val="28"/>
          <w:szCs w:val="28"/>
          <w:highlight w:val="none"/>
        </w:rPr>
      </w:pPr>
      <w:r>
        <w:rPr>
          <w:rFonts w:hint="eastAsia" w:ascii="仿宋" w:hAnsi="仿宋" w:eastAsia="仿宋" w:cs="仿宋"/>
          <w:color w:val="auto"/>
          <w:spacing w:val="20"/>
          <w:kern w:val="0"/>
          <w:sz w:val="28"/>
          <w:szCs w:val="28"/>
          <w:highlight w:val="none"/>
          <w:u w:val="single"/>
        </w:rPr>
        <w:t xml:space="preserve">                                               </w:t>
      </w:r>
      <w:r>
        <w:rPr>
          <w:rFonts w:hint="eastAsia" w:ascii="仿宋" w:hAnsi="仿宋" w:eastAsia="仿宋" w:cs="仿宋"/>
          <w:color w:val="auto"/>
          <w:spacing w:val="20"/>
          <w:kern w:val="0"/>
          <w:sz w:val="28"/>
          <w:szCs w:val="28"/>
          <w:highlight w:val="none"/>
        </w:rPr>
        <w:t>。</w:t>
      </w:r>
    </w:p>
    <w:p w14:paraId="79BCBDF4">
      <w:pPr>
        <w:widowControl/>
        <w:numPr>
          <w:ilvl w:val="0"/>
          <w:numId w:val="2"/>
        </w:numPr>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甲乙双方的权利、义务</w:t>
      </w:r>
    </w:p>
    <w:p w14:paraId="5661A5D0">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1、甲方向乙方提供相关资料，并对资料的可靠性和及时性负责。</w:t>
      </w:r>
    </w:p>
    <w:p w14:paraId="56029553">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2、甲方有义务如期如数支付给乙方技术业务服务费。</w:t>
      </w:r>
    </w:p>
    <w:p w14:paraId="707EF1D4">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3、乙方根据相关技术规定和甲方要求，快速投入工作。</w:t>
      </w:r>
    </w:p>
    <w:p w14:paraId="03762D73">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4、乙方在合同生效后</w:t>
      </w:r>
      <w:r>
        <w:rPr>
          <w:rFonts w:hint="eastAsia" w:ascii="仿宋" w:hAnsi="仿宋" w:eastAsia="仿宋" w:cs="仿宋"/>
          <w:color w:val="auto"/>
          <w:sz w:val="28"/>
          <w:szCs w:val="28"/>
          <w:highlight w:val="none"/>
        </w:rPr>
        <w:t>按照进度要求完成</w:t>
      </w:r>
      <w:r>
        <w:rPr>
          <w:rFonts w:hint="eastAsia" w:ascii="仿宋" w:hAnsi="仿宋" w:eastAsia="仿宋" w:cs="仿宋"/>
          <w:bCs/>
          <w:color w:val="auto"/>
          <w:sz w:val="28"/>
          <w:szCs w:val="28"/>
          <w:highlight w:val="none"/>
        </w:rPr>
        <w:t>甲方所委托的业务。</w:t>
      </w:r>
    </w:p>
    <w:p w14:paraId="4C636164">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5、乙方有权如期收取技术业务服务费。</w:t>
      </w:r>
    </w:p>
    <w:p w14:paraId="431848C0">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6、若因甲方的资料准备延误乙方工作，乙方有权将完成的工作时间向后顺延。</w:t>
      </w:r>
    </w:p>
    <w:p w14:paraId="11B8A9FA">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7、若因国家政策变动的原因，造成工作时间的延误，乙方完成工作的时间可向后顺延。</w:t>
      </w:r>
    </w:p>
    <w:p w14:paraId="3C174639">
      <w:pPr>
        <w:widowControl/>
        <w:numPr>
          <w:ilvl w:val="0"/>
          <w:numId w:val="2"/>
        </w:numPr>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保密义务</w:t>
      </w:r>
    </w:p>
    <w:p w14:paraId="1031AEB4">
      <w:pPr>
        <w:widowControl/>
        <w:tabs>
          <w:tab w:val="left" w:pos="1980"/>
          <w:tab w:val="left" w:pos="2160"/>
          <w:tab w:val="left" w:pos="2340"/>
          <w:tab w:val="center" w:pos="4140"/>
        </w:tabs>
        <w:snapToGrid w:val="0"/>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乙方为执行本合同而提供的成果、技术资料、软件等的使用权归甲方所有。同时，乙方负有对本项目的相关数据和资料保密义务。</w:t>
      </w:r>
    </w:p>
    <w:p w14:paraId="427EFB5C">
      <w:pPr>
        <w:widowControl/>
        <w:numPr>
          <w:ilvl w:val="0"/>
          <w:numId w:val="2"/>
        </w:numPr>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不可抗力</w:t>
      </w:r>
    </w:p>
    <w:p w14:paraId="2F61E1EE">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1、甲乙双方任何一方受不可忍抗力事件影响而不能履行合同时，履行合同的期限可以延长，延长的期限应相当于事件所影响的时间。</w:t>
      </w:r>
    </w:p>
    <w:p w14:paraId="4B3106FC">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2、甲、乙任何一方因发生不可抗力事件，履行合同受阻，应在发生不可抗力事件后</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天内以书面形式通知对方，不可抗力事件的影响持续</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天以上，双方应通过友好协商达成进一步履行合同协议，双方也可以解除合同。</w:t>
      </w:r>
    </w:p>
    <w:p w14:paraId="00DE4823">
      <w:pPr>
        <w:widowControl/>
        <w:numPr>
          <w:ilvl w:val="0"/>
          <w:numId w:val="2"/>
        </w:numPr>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违约责任</w:t>
      </w:r>
    </w:p>
    <w:p w14:paraId="747F21CD">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甲乙双方都必须严格履行合同，任何一方不得毁约，否则毁约一方必须向对方支付合同总金额的</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%作为赔偿金。</w:t>
      </w:r>
    </w:p>
    <w:p w14:paraId="4F65AEF5">
      <w:pPr>
        <w:widowControl/>
        <w:numPr>
          <w:ilvl w:val="0"/>
          <w:numId w:val="2"/>
        </w:numPr>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争议的解决</w:t>
      </w:r>
    </w:p>
    <w:p w14:paraId="0F9B54BA">
      <w:pPr>
        <w:widowControl/>
        <w:tabs>
          <w:tab w:val="left" w:pos="1980"/>
          <w:tab w:val="left" w:pos="2160"/>
          <w:tab w:val="left" w:pos="2340"/>
          <w:tab w:val="center" w:pos="4140"/>
        </w:tabs>
        <w:snapToGrid w:val="0"/>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凡于本合同有关而引起的一切争议，甲乙双方应及时友好协商解决，如经协商后仍不能达成一致，任何一方均可向项目所在地的人民法院</w:t>
      </w:r>
      <w:r>
        <w:rPr>
          <w:rFonts w:hint="eastAsia" w:ascii="仿宋" w:hAnsi="仿宋" w:eastAsia="仿宋" w:cs="仿宋"/>
          <w:color w:val="auto"/>
          <w:sz w:val="28"/>
          <w:szCs w:val="28"/>
          <w:highlight w:val="none"/>
        </w:rPr>
        <w:t>提起诉讼</w:t>
      </w:r>
      <w:r>
        <w:rPr>
          <w:rFonts w:hint="eastAsia" w:ascii="仿宋" w:hAnsi="仿宋" w:eastAsia="仿宋" w:cs="仿宋"/>
          <w:bCs/>
          <w:color w:val="auto"/>
          <w:sz w:val="28"/>
          <w:szCs w:val="28"/>
          <w:highlight w:val="none"/>
        </w:rPr>
        <w:t>。</w:t>
      </w:r>
    </w:p>
    <w:p w14:paraId="6FA8AF07">
      <w:pPr>
        <w:widowControl/>
        <w:numPr>
          <w:ilvl w:val="0"/>
          <w:numId w:val="2"/>
        </w:numPr>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适用的法律</w:t>
      </w:r>
    </w:p>
    <w:p w14:paraId="7958728B">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本合同按照中华人民共和国合同法和现行法律进行解释。</w:t>
      </w:r>
    </w:p>
    <w:p w14:paraId="5662CC66">
      <w:pPr>
        <w:widowControl/>
        <w:numPr>
          <w:ilvl w:val="0"/>
          <w:numId w:val="2"/>
        </w:numPr>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合同分数</w:t>
      </w:r>
    </w:p>
    <w:p w14:paraId="37DC29B6">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本合同正本一式</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份，双方各执</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份；副本</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份，双方各执</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份，均以中文书写。</w:t>
      </w:r>
    </w:p>
    <w:p w14:paraId="7936B5FC">
      <w:pPr>
        <w:widowControl/>
        <w:numPr>
          <w:ilvl w:val="0"/>
          <w:numId w:val="2"/>
        </w:numPr>
        <w:tabs>
          <w:tab w:val="left" w:pos="1980"/>
          <w:tab w:val="left" w:pos="2160"/>
          <w:tab w:val="left" w:pos="2340"/>
          <w:tab w:val="center" w:pos="4140"/>
        </w:tabs>
        <w:snapToGrid w:val="0"/>
        <w:spacing w:line="360" w:lineRule="auto"/>
        <w:jc w:val="left"/>
        <w:outlineLvl w:val="9"/>
        <w:rPr>
          <w:rFonts w:hint="eastAsia" w:ascii="仿宋" w:hAnsi="仿宋" w:eastAsia="仿宋" w:cs="仿宋"/>
          <w:color w:val="auto"/>
          <w:spacing w:val="20"/>
          <w:kern w:val="0"/>
          <w:sz w:val="28"/>
          <w:szCs w:val="28"/>
          <w:highlight w:val="none"/>
        </w:rPr>
      </w:pPr>
      <w:r>
        <w:rPr>
          <w:rFonts w:hint="eastAsia" w:ascii="仿宋" w:hAnsi="仿宋" w:eastAsia="仿宋" w:cs="仿宋"/>
          <w:color w:val="auto"/>
          <w:spacing w:val="20"/>
          <w:kern w:val="0"/>
          <w:sz w:val="28"/>
          <w:szCs w:val="28"/>
          <w:highlight w:val="none"/>
        </w:rPr>
        <w:t>合同生效</w:t>
      </w:r>
    </w:p>
    <w:p w14:paraId="0A6CA621">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color w:val="auto"/>
          <w:spacing w:val="20"/>
          <w:kern w:val="0"/>
          <w:sz w:val="28"/>
          <w:szCs w:val="28"/>
          <w:highlight w:val="none"/>
        </w:rPr>
      </w:pPr>
      <w:r>
        <w:rPr>
          <w:rFonts w:hint="eastAsia" w:ascii="仿宋" w:hAnsi="仿宋" w:eastAsia="仿宋" w:cs="仿宋"/>
          <w:color w:val="auto"/>
          <w:spacing w:val="20"/>
          <w:kern w:val="0"/>
          <w:sz w:val="28"/>
          <w:szCs w:val="28"/>
          <w:highlight w:val="none"/>
        </w:rPr>
        <w:t xml:space="preserve">    本合同经甲、乙双方签字盖章后生效。</w:t>
      </w:r>
    </w:p>
    <w:p w14:paraId="433ACEA9">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color w:val="auto"/>
          <w:spacing w:val="20"/>
          <w:kern w:val="0"/>
          <w:sz w:val="28"/>
          <w:szCs w:val="28"/>
          <w:highlight w:val="none"/>
        </w:rPr>
      </w:pPr>
      <w:r>
        <w:rPr>
          <w:rFonts w:hint="eastAsia" w:ascii="仿宋" w:hAnsi="仿宋" w:eastAsia="仿宋" w:cs="仿宋"/>
          <w:color w:val="auto"/>
          <w:spacing w:val="20"/>
          <w:kern w:val="0"/>
          <w:sz w:val="28"/>
          <w:szCs w:val="28"/>
          <w:highlight w:val="none"/>
        </w:rPr>
        <w:t>甲方：       （盖章）             乙方：      （盖章）</w:t>
      </w:r>
    </w:p>
    <w:p w14:paraId="5AECD2E3">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color w:val="auto"/>
          <w:spacing w:val="20"/>
          <w:kern w:val="0"/>
          <w:sz w:val="28"/>
          <w:szCs w:val="28"/>
          <w:highlight w:val="none"/>
        </w:rPr>
      </w:pPr>
      <w:r>
        <w:rPr>
          <w:rFonts w:hint="eastAsia" w:ascii="仿宋" w:hAnsi="仿宋" w:eastAsia="仿宋" w:cs="仿宋"/>
          <w:color w:val="auto"/>
          <w:spacing w:val="20"/>
          <w:kern w:val="0"/>
          <w:sz w:val="28"/>
          <w:szCs w:val="28"/>
          <w:highlight w:val="none"/>
        </w:rPr>
        <w:t>法定代表人（授权代表）：          法定代表人（授权代表）：</w:t>
      </w:r>
    </w:p>
    <w:p w14:paraId="436E7792">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color w:val="auto"/>
          <w:spacing w:val="20"/>
          <w:kern w:val="0"/>
          <w:sz w:val="28"/>
          <w:szCs w:val="28"/>
          <w:highlight w:val="none"/>
        </w:rPr>
      </w:pPr>
      <w:r>
        <w:rPr>
          <w:rFonts w:hint="eastAsia" w:ascii="仿宋" w:hAnsi="仿宋" w:eastAsia="仿宋" w:cs="仿宋"/>
          <w:color w:val="auto"/>
          <w:spacing w:val="20"/>
          <w:kern w:val="0"/>
          <w:sz w:val="28"/>
          <w:szCs w:val="28"/>
          <w:highlight w:val="none"/>
        </w:rPr>
        <w:t>地   址：                      地    址：</w:t>
      </w:r>
    </w:p>
    <w:p w14:paraId="021C4CB3">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color w:val="auto"/>
          <w:spacing w:val="20"/>
          <w:kern w:val="0"/>
          <w:sz w:val="28"/>
          <w:szCs w:val="28"/>
          <w:highlight w:val="none"/>
        </w:rPr>
      </w:pPr>
      <w:r>
        <w:rPr>
          <w:rFonts w:hint="eastAsia" w:ascii="仿宋" w:hAnsi="仿宋" w:eastAsia="仿宋" w:cs="仿宋"/>
          <w:color w:val="auto"/>
          <w:spacing w:val="20"/>
          <w:kern w:val="0"/>
          <w:sz w:val="28"/>
          <w:szCs w:val="28"/>
          <w:highlight w:val="none"/>
        </w:rPr>
        <w:t>电   话：</w:t>
      </w:r>
      <w:r>
        <w:rPr>
          <w:rFonts w:hint="eastAsia" w:ascii="仿宋" w:hAnsi="仿宋" w:eastAsia="仿宋" w:cs="仿宋"/>
          <w:color w:val="auto"/>
          <w:spacing w:val="20"/>
          <w:kern w:val="0"/>
          <w:sz w:val="28"/>
          <w:szCs w:val="28"/>
          <w:highlight w:val="none"/>
        </w:rPr>
        <w:tab/>
      </w:r>
      <w:r>
        <w:rPr>
          <w:rFonts w:hint="eastAsia" w:ascii="仿宋" w:hAnsi="仿宋" w:eastAsia="仿宋" w:cs="仿宋"/>
          <w:color w:val="auto"/>
          <w:spacing w:val="20"/>
          <w:kern w:val="0"/>
          <w:sz w:val="28"/>
          <w:szCs w:val="28"/>
          <w:highlight w:val="none"/>
        </w:rPr>
        <w:tab/>
      </w:r>
      <w:r>
        <w:rPr>
          <w:rFonts w:hint="eastAsia" w:ascii="仿宋" w:hAnsi="仿宋" w:eastAsia="仿宋" w:cs="仿宋"/>
          <w:color w:val="auto"/>
          <w:spacing w:val="20"/>
          <w:kern w:val="0"/>
          <w:sz w:val="28"/>
          <w:szCs w:val="28"/>
          <w:highlight w:val="none"/>
        </w:rPr>
        <w:tab/>
      </w:r>
      <w:r>
        <w:rPr>
          <w:rFonts w:hint="eastAsia" w:ascii="仿宋" w:hAnsi="仿宋" w:eastAsia="仿宋" w:cs="仿宋"/>
          <w:color w:val="auto"/>
          <w:spacing w:val="20"/>
          <w:kern w:val="0"/>
          <w:sz w:val="28"/>
          <w:szCs w:val="28"/>
          <w:highlight w:val="none"/>
        </w:rPr>
        <w:t xml:space="preserve">                 电   话：</w:t>
      </w:r>
    </w:p>
    <w:p w14:paraId="0877D613">
      <w:pPr>
        <w:widowControl/>
        <w:tabs>
          <w:tab w:val="left" w:pos="1980"/>
          <w:tab w:val="left" w:pos="2160"/>
          <w:tab w:val="left" w:pos="2340"/>
          <w:tab w:val="center" w:pos="4140"/>
        </w:tabs>
        <w:snapToGrid w:val="0"/>
        <w:spacing w:line="360" w:lineRule="auto"/>
        <w:jc w:val="left"/>
        <w:outlineLvl w:val="9"/>
        <w:rPr>
          <w:rFonts w:hint="eastAsia" w:ascii="仿宋" w:hAnsi="仿宋" w:eastAsia="仿宋" w:cs="仿宋"/>
          <w:color w:val="auto"/>
          <w:spacing w:val="20"/>
          <w:kern w:val="0"/>
          <w:sz w:val="28"/>
          <w:szCs w:val="28"/>
          <w:highlight w:val="none"/>
        </w:rPr>
      </w:pPr>
      <w:r>
        <w:rPr>
          <w:rFonts w:hint="eastAsia" w:ascii="仿宋" w:hAnsi="仿宋" w:eastAsia="仿宋" w:cs="仿宋"/>
          <w:color w:val="auto"/>
          <w:spacing w:val="20"/>
          <w:kern w:val="0"/>
          <w:sz w:val="28"/>
          <w:szCs w:val="28"/>
          <w:highlight w:val="none"/>
        </w:rPr>
        <w:t>传   真：                      传   真：</w:t>
      </w:r>
    </w:p>
    <w:p w14:paraId="69A6CEFC">
      <w:pPr>
        <w:widowControl/>
        <w:spacing w:after="156" w:afterLines="50"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spacing w:val="20"/>
          <w:kern w:val="0"/>
          <w:sz w:val="28"/>
          <w:szCs w:val="28"/>
          <w:highlight w:val="none"/>
        </w:rPr>
        <w:t>日   期：                     日   期：</w:t>
      </w:r>
    </w:p>
    <w:p w14:paraId="5F875AFE">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B49232D">
      <w:pPr>
        <w:widowControl/>
        <w:snapToGrid w:val="0"/>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第七部分  </w:t>
      </w:r>
      <w:bookmarkStart w:id="88" w:name="_Toc86202632"/>
      <w:r>
        <w:rPr>
          <w:rFonts w:hint="eastAsia" w:ascii="宋体" w:hAnsi="宋体" w:eastAsia="宋体" w:cs="宋体"/>
          <w:b/>
          <w:color w:val="auto"/>
          <w:kern w:val="0"/>
          <w:sz w:val="36"/>
          <w:szCs w:val="36"/>
          <w:highlight w:val="none"/>
        </w:rPr>
        <w:t>投标文件格式</w:t>
      </w:r>
      <w:bookmarkEnd w:id="86"/>
      <w:bookmarkEnd w:id="87"/>
      <w:bookmarkEnd w:id="88"/>
    </w:p>
    <w:p w14:paraId="46F410B9">
      <w:pPr>
        <w:widowControl/>
        <w:snapToGrid w:val="0"/>
        <w:spacing w:line="360" w:lineRule="auto"/>
        <w:jc w:val="left"/>
        <w:rPr>
          <w:rFonts w:hint="eastAsia" w:ascii="宋体" w:hAnsi="宋体" w:eastAsia="宋体" w:cs="宋体"/>
          <w:color w:val="auto"/>
          <w:kern w:val="0"/>
          <w:sz w:val="28"/>
          <w:highlight w:val="none"/>
        </w:rPr>
      </w:pPr>
    </w:p>
    <w:p w14:paraId="0B23AB03">
      <w:pPr>
        <w:widowControl/>
        <w:tabs>
          <w:tab w:val="left" w:pos="-737"/>
        </w:tabs>
        <w:snapToGrid w:val="0"/>
        <w:spacing w:line="360" w:lineRule="auto"/>
        <w:ind w:firstLine="180"/>
        <w:jc w:val="left"/>
        <w:rPr>
          <w:rFonts w:hint="eastAsia" w:ascii="宋体" w:hAnsi="宋体" w:eastAsia="宋体" w:cs="宋体"/>
          <w:color w:val="auto"/>
          <w:kern w:val="0"/>
          <w:sz w:val="28"/>
          <w:szCs w:val="36"/>
          <w:highlight w:val="none"/>
        </w:rPr>
      </w:pPr>
      <w:bookmarkStart w:id="89" w:name="_Toc86202633"/>
      <w:bookmarkStart w:id="90" w:name="_Toc175644062"/>
      <w:r>
        <w:rPr>
          <w:rFonts w:hint="eastAsia" w:ascii="宋体" w:hAnsi="宋体" w:eastAsia="宋体" w:cs="宋体"/>
          <w:b/>
          <w:color w:val="auto"/>
          <w:kern w:val="0"/>
          <w:sz w:val="28"/>
          <w:szCs w:val="36"/>
          <w:highlight w:val="none"/>
        </w:rPr>
        <w:t>一、</w:t>
      </w:r>
      <w:r>
        <w:rPr>
          <w:rFonts w:hint="eastAsia" w:ascii="宋体" w:hAnsi="宋体" w:eastAsia="宋体" w:cs="宋体"/>
          <w:b/>
          <w:color w:val="auto"/>
          <w:kern w:val="0"/>
          <w:sz w:val="28"/>
          <w:szCs w:val="28"/>
          <w:highlight w:val="none"/>
        </w:rPr>
        <w:t>投标人提交投标文件须知</w:t>
      </w:r>
      <w:bookmarkEnd w:id="89"/>
      <w:bookmarkEnd w:id="90"/>
    </w:p>
    <w:p w14:paraId="0A03D436">
      <w:pPr>
        <w:widowControl/>
        <w:tabs>
          <w:tab w:val="left" w:pos="0"/>
        </w:tabs>
        <w:snapToGrid w:val="0"/>
        <w:spacing w:line="360" w:lineRule="auto"/>
        <w:ind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1.投标人应严格按照以下顺序填写和提交下述规定的全部格式文件以及其他有关资料，混乱的编排导致投标文件被误读或查找不到，后果由投标人承担。</w:t>
      </w:r>
    </w:p>
    <w:p w14:paraId="2E630E69">
      <w:pPr>
        <w:widowControl/>
        <w:tabs>
          <w:tab w:val="left" w:pos="0"/>
        </w:tabs>
        <w:snapToGrid w:val="0"/>
        <w:spacing w:line="360" w:lineRule="auto"/>
        <w:ind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2.所附表格中要求回答的全部问题和信息都必须正面回答。</w:t>
      </w:r>
    </w:p>
    <w:p w14:paraId="2D107629">
      <w:pPr>
        <w:widowControl/>
        <w:tabs>
          <w:tab w:val="left" w:pos="0"/>
        </w:tabs>
        <w:snapToGrid w:val="0"/>
        <w:spacing w:line="360" w:lineRule="auto"/>
        <w:ind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3.资格声明的签字人应保证全部声明和问题的回答是真实的和准确的。</w:t>
      </w:r>
    </w:p>
    <w:p w14:paraId="5067423B">
      <w:pPr>
        <w:widowControl/>
        <w:tabs>
          <w:tab w:val="left" w:pos="0"/>
        </w:tabs>
        <w:snapToGrid w:val="0"/>
        <w:spacing w:line="360" w:lineRule="auto"/>
        <w:ind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kern w:val="0"/>
          <w:sz w:val="24"/>
          <w:highlight w:val="none"/>
          <w:lang w:eastAsia="zh-CN"/>
        </w:rPr>
        <w:t>评标委员会</w:t>
      </w:r>
      <w:r>
        <w:rPr>
          <w:rFonts w:hint="eastAsia" w:ascii="宋体" w:hAnsi="宋体" w:eastAsia="宋体" w:cs="宋体"/>
          <w:color w:val="auto"/>
          <w:kern w:val="0"/>
          <w:sz w:val="24"/>
          <w:highlight w:val="none"/>
        </w:rPr>
        <w:t>将应用投标人提交的资料并根据自己的判断，决定投标人履行合同的合格性及能力。</w:t>
      </w:r>
    </w:p>
    <w:p w14:paraId="351DBD40">
      <w:pPr>
        <w:widowControl/>
        <w:tabs>
          <w:tab w:val="left" w:pos="0"/>
        </w:tabs>
        <w:snapToGrid w:val="0"/>
        <w:spacing w:line="360" w:lineRule="auto"/>
        <w:ind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5.投标人提交的材料将被妥善保存，但不退还。</w:t>
      </w:r>
    </w:p>
    <w:p w14:paraId="0DFF2B9E">
      <w:pPr>
        <w:widowControl/>
        <w:tabs>
          <w:tab w:val="left" w:pos="0"/>
        </w:tabs>
        <w:snapToGrid w:val="0"/>
        <w:spacing w:line="360" w:lineRule="auto"/>
        <w:ind w:firstLine="62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6.全部文件应按投标人须知中规定的语言和份数提交。</w:t>
      </w:r>
    </w:p>
    <w:p w14:paraId="47EA6BB1">
      <w:pPr>
        <w:widowControl/>
        <w:tabs>
          <w:tab w:val="left" w:pos="4000"/>
        </w:tabs>
        <w:snapToGrid w:val="0"/>
        <w:spacing w:line="360" w:lineRule="auto"/>
        <w:jc w:val="left"/>
        <w:rPr>
          <w:rFonts w:hint="eastAsia" w:ascii="宋体" w:hAnsi="宋体" w:eastAsia="宋体" w:cs="宋体"/>
          <w:color w:val="auto"/>
          <w:kern w:val="0"/>
          <w:sz w:val="28"/>
          <w:highlight w:val="none"/>
        </w:rPr>
      </w:pPr>
      <w:r>
        <w:rPr>
          <w:rFonts w:hint="eastAsia" w:ascii="宋体" w:hAnsi="宋体" w:eastAsia="宋体" w:cs="宋体"/>
          <w:color w:val="auto"/>
          <w:kern w:val="0"/>
          <w:sz w:val="28"/>
          <w:highlight w:val="none"/>
        </w:rPr>
        <w:br w:type="page"/>
      </w:r>
      <w:r>
        <w:rPr>
          <w:rFonts w:hint="eastAsia" w:ascii="宋体" w:hAnsi="宋体" w:eastAsia="宋体" w:cs="宋体"/>
          <w:color w:val="auto"/>
          <w:kern w:val="0"/>
          <w:sz w:val="28"/>
          <w:highlight w:val="none"/>
        </w:rPr>
        <w:t>投标文件封面格式</w:t>
      </w:r>
    </w:p>
    <w:p w14:paraId="2F8CCD3A">
      <w:pPr>
        <w:widowControl/>
        <w:snapToGrid w:val="0"/>
        <w:spacing w:line="360" w:lineRule="auto"/>
        <w:jc w:val="right"/>
        <w:rPr>
          <w:rFonts w:hint="eastAsia" w:ascii="宋体" w:hAnsi="宋体" w:eastAsia="宋体" w:cs="宋体"/>
          <w:color w:val="auto"/>
          <w:kern w:val="0"/>
          <w:sz w:val="28"/>
          <w:szCs w:val="32"/>
          <w:highlight w:val="none"/>
        </w:rPr>
      </w:pPr>
    </w:p>
    <w:p w14:paraId="413E6631">
      <w:pPr>
        <w:widowControl/>
        <w:snapToGrid w:val="0"/>
        <w:spacing w:line="360" w:lineRule="auto"/>
        <w:jc w:val="right"/>
        <w:rPr>
          <w:rFonts w:hint="eastAsia" w:ascii="宋体" w:hAnsi="宋体" w:eastAsia="宋体" w:cs="宋体"/>
          <w:color w:val="auto"/>
          <w:kern w:val="0"/>
          <w:sz w:val="28"/>
          <w:szCs w:val="32"/>
          <w:highlight w:val="none"/>
        </w:rPr>
      </w:pPr>
      <w:r>
        <w:rPr>
          <w:rFonts w:hint="eastAsia" w:ascii="宋体" w:hAnsi="宋体" w:eastAsia="宋体" w:cs="宋体"/>
          <w:color w:val="auto"/>
          <w:kern w:val="0"/>
          <w:sz w:val="28"/>
          <w:szCs w:val="32"/>
          <w:highlight w:val="none"/>
        </w:rPr>
        <w:t>（正</w:t>
      </w:r>
      <w:r>
        <w:rPr>
          <w:rFonts w:hint="eastAsia" w:ascii="宋体" w:hAnsi="宋体" w:eastAsia="宋体" w:cs="宋体"/>
          <w:color w:val="auto"/>
          <w:kern w:val="0"/>
          <w:sz w:val="28"/>
          <w:szCs w:val="36"/>
          <w:highlight w:val="none"/>
        </w:rPr>
        <w:t>/</w:t>
      </w:r>
      <w:r>
        <w:rPr>
          <w:rFonts w:hint="eastAsia" w:ascii="宋体" w:hAnsi="宋体" w:eastAsia="宋体" w:cs="宋体"/>
          <w:color w:val="auto"/>
          <w:kern w:val="0"/>
          <w:sz w:val="28"/>
          <w:szCs w:val="32"/>
          <w:highlight w:val="none"/>
        </w:rPr>
        <w:t>副）本</w:t>
      </w:r>
    </w:p>
    <w:p w14:paraId="18E0E571">
      <w:pPr>
        <w:widowControl/>
        <w:snapToGrid w:val="0"/>
        <w:spacing w:line="360" w:lineRule="auto"/>
        <w:jc w:val="right"/>
        <w:rPr>
          <w:rFonts w:hint="eastAsia" w:ascii="宋体" w:hAnsi="宋体" w:eastAsia="宋体" w:cs="宋体"/>
          <w:color w:val="auto"/>
          <w:kern w:val="0"/>
          <w:sz w:val="28"/>
          <w:szCs w:val="32"/>
          <w:highlight w:val="none"/>
        </w:rPr>
      </w:pPr>
    </w:p>
    <w:p w14:paraId="4066B05E">
      <w:pPr>
        <w:widowControl/>
        <w:snapToGrid w:val="0"/>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投  标  文  件</w:t>
      </w:r>
    </w:p>
    <w:p w14:paraId="3326757D">
      <w:pPr>
        <w:widowControl/>
        <w:snapToGrid w:val="0"/>
        <w:spacing w:line="360" w:lineRule="auto"/>
        <w:jc w:val="center"/>
        <w:rPr>
          <w:rFonts w:hint="eastAsia" w:ascii="宋体" w:hAnsi="宋体" w:eastAsia="宋体" w:cs="宋体"/>
          <w:b/>
          <w:color w:val="auto"/>
          <w:kern w:val="0"/>
          <w:sz w:val="44"/>
          <w:szCs w:val="44"/>
          <w:highlight w:val="none"/>
        </w:rPr>
      </w:pPr>
    </w:p>
    <w:p w14:paraId="7C9ACC76">
      <w:pPr>
        <w:widowControl/>
        <w:snapToGrid w:val="0"/>
        <w:spacing w:line="360" w:lineRule="auto"/>
        <w:jc w:val="left"/>
        <w:rPr>
          <w:rFonts w:hint="eastAsia" w:ascii="宋体" w:hAnsi="宋体" w:eastAsia="宋体" w:cs="宋体"/>
          <w:color w:val="auto"/>
          <w:kern w:val="0"/>
          <w:sz w:val="28"/>
          <w:szCs w:val="30"/>
          <w:highlight w:val="none"/>
        </w:rPr>
      </w:pPr>
    </w:p>
    <w:p w14:paraId="754028A5">
      <w:pPr>
        <w:widowControl/>
        <w:snapToGrid w:val="0"/>
        <w:spacing w:line="360" w:lineRule="auto"/>
        <w:ind w:firstLine="560" w:firstLineChars="200"/>
        <w:jc w:val="left"/>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项目名称：</w:t>
      </w:r>
    </w:p>
    <w:p w14:paraId="230475CC">
      <w:pPr>
        <w:widowControl/>
        <w:snapToGrid w:val="0"/>
        <w:spacing w:line="360" w:lineRule="auto"/>
        <w:ind w:firstLine="560" w:firstLineChars="200"/>
        <w:jc w:val="left"/>
        <w:rPr>
          <w:rFonts w:hint="eastAsia" w:ascii="宋体" w:hAnsi="宋体" w:eastAsia="宋体" w:cs="宋体"/>
          <w:color w:val="auto"/>
          <w:kern w:val="0"/>
          <w:sz w:val="28"/>
          <w:szCs w:val="30"/>
          <w:highlight w:val="none"/>
        </w:rPr>
      </w:pPr>
      <w:r>
        <w:rPr>
          <w:rFonts w:hint="eastAsia" w:ascii="宋体" w:hAnsi="宋体" w:eastAsia="宋体" w:cs="宋体"/>
          <w:color w:val="auto"/>
          <w:kern w:val="0"/>
          <w:sz w:val="28"/>
          <w:szCs w:val="30"/>
          <w:highlight w:val="none"/>
        </w:rPr>
        <w:t>项目编号：</w:t>
      </w:r>
    </w:p>
    <w:p w14:paraId="3348BE4B">
      <w:pPr>
        <w:pStyle w:val="29"/>
        <w:rPr>
          <w:rFonts w:hint="eastAsia" w:ascii="宋体" w:hAnsi="宋体" w:eastAsia="宋体" w:cs="宋体"/>
          <w:color w:val="auto"/>
          <w:highlight w:val="none"/>
        </w:rPr>
      </w:pPr>
    </w:p>
    <w:p w14:paraId="5C48601F">
      <w:pPr>
        <w:pStyle w:val="29"/>
        <w:rPr>
          <w:rFonts w:hint="eastAsia" w:ascii="宋体" w:hAnsi="宋体" w:eastAsia="宋体" w:cs="宋体"/>
          <w:color w:val="auto"/>
          <w:highlight w:val="none"/>
        </w:rPr>
      </w:pPr>
    </w:p>
    <w:p w14:paraId="6A3DAFFF">
      <w:pPr>
        <w:pStyle w:val="29"/>
        <w:rPr>
          <w:rFonts w:hint="eastAsia" w:ascii="宋体" w:hAnsi="宋体" w:eastAsia="宋体" w:cs="宋体"/>
          <w:color w:val="auto"/>
          <w:highlight w:val="none"/>
        </w:rPr>
      </w:pPr>
    </w:p>
    <w:p w14:paraId="47DA8DD1">
      <w:pPr>
        <w:widowControl/>
        <w:snapToGrid w:val="0"/>
        <w:spacing w:line="360" w:lineRule="auto"/>
        <w:jc w:val="left"/>
        <w:rPr>
          <w:rFonts w:hint="eastAsia" w:ascii="宋体" w:hAnsi="宋体" w:eastAsia="宋体" w:cs="宋体"/>
          <w:b/>
          <w:color w:val="auto"/>
          <w:kern w:val="0"/>
          <w:sz w:val="44"/>
          <w:szCs w:val="44"/>
          <w:highlight w:val="none"/>
        </w:rPr>
      </w:pPr>
    </w:p>
    <w:p w14:paraId="2FDDD549">
      <w:pPr>
        <w:widowControl/>
        <w:snapToGrid w:val="0"/>
        <w:spacing w:line="360" w:lineRule="auto"/>
        <w:jc w:val="left"/>
        <w:rPr>
          <w:rFonts w:hint="eastAsia" w:ascii="宋体" w:hAnsi="宋体" w:eastAsia="宋体" w:cs="宋体"/>
          <w:color w:val="auto"/>
          <w:kern w:val="0"/>
          <w:sz w:val="28"/>
          <w:highlight w:val="none"/>
        </w:rPr>
      </w:pPr>
    </w:p>
    <w:p w14:paraId="3AD9B73E">
      <w:pPr>
        <w:widowControl/>
        <w:snapToGrid w:val="0"/>
        <w:spacing w:line="360" w:lineRule="auto"/>
        <w:jc w:val="left"/>
        <w:rPr>
          <w:rFonts w:hint="eastAsia" w:ascii="宋体" w:hAnsi="宋体" w:eastAsia="宋体" w:cs="宋体"/>
          <w:color w:val="auto"/>
          <w:kern w:val="0"/>
          <w:sz w:val="28"/>
          <w:highlight w:val="none"/>
        </w:rPr>
      </w:pPr>
    </w:p>
    <w:p w14:paraId="69008158">
      <w:pPr>
        <w:widowControl/>
        <w:snapToGrid w:val="0"/>
        <w:spacing w:line="360" w:lineRule="auto"/>
        <w:jc w:val="center"/>
        <w:rPr>
          <w:rFonts w:hint="eastAsia" w:ascii="宋体" w:hAnsi="宋体" w:eastAsia="宋体" w:cs="宋体"/>
          <w:color w:val="auto"/>
          <w:kern w:val="0"/>
          <w:sz w:val="30"/>
          <w:szCs w:val="30"/>
          <w:highlight w:val="none"/>
          <w:u w:val="single"/>
        </w:rPr>
      </w:pPr>
      <w:r>
        <w:rPr>
          <w:rFonts w:hint="eastAsia" w:ascii="宋体" w:hAnsi="宋体" w:eastAsia="宋体" w:cs="宋体"/>
          <w:color w:val="auto"/>
          <w:kern w:val="0"/>
          <w:sz w:val="30"/>
          <w:szCs w:val="30"/>
          <w:highlight w:val="none"/>
        </w:rPr>
        <w:t xml:space="preserve">投标人全称： </w:t>
      </w:r>
      <w:r>
        <w:rPr>
          <w:rFonts w:hint="eastAsia" w:ascii="宋体" w:hAnsi="宋体" w:eastAsia="宋体" w:cs="宋体"/>
          <w:color w:val="auto"/>
          <w:kern w:val="0"/>
          <w:sz w:val="30"/>
          <w:szCs w:val="30"/>
          <w:highlight w:val="none"/>
          <w:u w:val="single"/>
        </w:rPr>
        <w:t xml:space="preserve">               </w:t>
      </w:r>
      <w:r>
        <w:rPr>
          <w:rFonts w:hint="eastAsia" w:ascii="宋体" w:hAnsi="宋体" w:eastAsia="宋体" w:cs="宋体"/>
          <w:color w:val="auto"/>
          <w:kern w:val="0"/>
          <w:sz w:val="30"/>
          <w:szCs w:val="30"/>
          <w:highlight w:val="none"/>
        </w:rPr>
        <w:t>（盖章）</w:t>
      </w:r>
    </w:p>
    <w:p w14:paraId="63C41B6F">
      <w:pPr>
        <w:widowControl/>
        <w:snapToGrid w:val="0"/>
        <w:spacing w:line="360" w:lineRule="auto"/>
        <w:jc w:val="center"/>
        <w:rPr>
          <w:rFonts w:hint="eastAsia" w:ascii="宋体" w:hAnsi="宋体" w:eastAsia="宋体" w:cs="宋体"/>
          <w:color w:val="auto"/>
          <w:kern w:val="0"/>
          <w:sz w:val="30"/>
          <w:szCs w:val="30"/>
          <w:highlight w:val="none"/>
          <w:u w:val="single"/>
        </w:rPr>
      </w:pPr>
      <w:r>
        <w:rPr>
          <w:rFonts w:hint="eastAsia" w:ascii="宋体" w:hAnsi="宋体" w:eastAsia="宋体" w:cs="宋体"/>
          <w:color w:val="auto"/>
          <w:kern w:val="0"/>
          <w:sz w:val="30"/>
          <w:szCs w:val="30"/>
          <w:highlight w:val="none"/>
        </w:rPr>
        <w:t>法定代表人</w:t>
      </w:r>
      <w:r>
        <w:rPr>
          <w:rFonts w:hint="eastAsia" w:ascii="宋体" w:hAnsi="宋体" w:eastAsia="宋体" w:cs="宋体"/>
          <w:color w:val="auto"/>
          <w:kern w:val="0"/>
          <w:sz w:val="30"/>
          <w:szCs w:val="30"/>
          <w:highlight w:val="none"/>
          <w:lang w:eastAsia="zh-CN"/>
        </w:rPr>
        <w:t>（负责人）</w:t>
      </w:r>
      <w:r>
        <w:rPr>
          <w:rFonts w:hint="eastAsia" w:ascii="宋体" w:hAnsi="宋体" w:eastAsia="宋体" w:cs="宋体"/>
          <w:color w:val="auto"/>
          <w:kern w:val="0"/>
          <w:sz w:val="30"/>
          <w:szCs w:val="30"/>
          <w:highlight w:val="none"/>
        </w:rPr>
        <w:t>或授权代表：</w:t>
      </w:r>
      <w:r>
        <w:rPr>
          <w:rFonts w:hint="eastAsia" w:ascii="宋体" w:hAnsi="宋体" w:eastAsia="宋体" w:cs="宋体"/>
          <w:color w:val="auto"/>
          <w:kern w:val="0"/>
          <w:sz w:val="30"/>
          <w:szCs w:val="30"/>
          <w:highlight w:val="none"/>
          <w:u w:val="single"/>
        </w:rPr>
        <w:t xml:space="preserve">         </w:t>
      </w:r>
      <w:r>
        <w:rPr>
          <w:rFonts w:hint="eastAsia" w:ascii="宋体" w:hAnsi="宋体" w:eastAsia="宋体" w:cs="宋体"/>
          <w:color w:val="auto"/>
          <w:kern w:val="0"/>
          <w:sz w:val="30"/>
          <w:szCs w:val="30"/>
          <w:highlight w:val="none"/>
        </w:rPr>
        <w:t>（签字或盖章）</w:t>
      </w:r>
    </w:p>
    <w:p w14:paraId="6EC87FED">
      <w:pPr>
        <w:widowControl/>
        <w:snapToGrid w:val="0"/>
        <w:spacing w:line="360" w:lineRule="auto"/>
        <w:rPr>
          <w:rFonts w:hint="eastAsia" w:ascii="宋体" w:hAnsi="宋体" w:eastAsia="宋体" w:cs="宋体"/>
          <w:color w:val="auto"/>
          <w:kern w:val="0"/>
          <w:sz w:val="30"/>
          <w:szCs w:val="30"/>
          <w:highlight w:val="none"/>
          <w:u w:val="single"/>
        </w:rPr>
      </w:pPr>
    </w:p>
    <w:p w14:paraId="15C8B947">
      <w:pPr>
        <w:widowControl/>
        <w:snapToGrid w:val="0"/>
        <w:spacing w:line="360" w:lineRule="auto"/>
        <w:rPr>
          <w:rFonts w:hint="eastAsia" w:ascii="宋体" w:hAnsi="宋体" w:eastAsia="宋体" w:cs="宋体"/>
          <w:color w:val="auto"/>
          <w:kern w:val="0"/>
          <w:sz w:val="30"/>
          <w:szCs w:val="30"/>
          <w:highlight w:val="none"/>
          <w:u w:val="single"/>
        </w:rPr>
      </w:pPr>
    </w:p>
    <w:p w14:paraId="2EEAB803">
      <w:pPr>
        <w:widowControl/>
        <w:snapToGrid w:val="0"/>
        <w:spacing w:line="360" w:lineRule="auto"/>
        <w:rPr>
          <w:rFonts w:hint="eastAsia" w:ascii="宋体" w:hAnsi="宋体" w:eastAsia="宋体" w:cs="宋体"/>
          <w:color w:val="auto"/>
          <w:kern w:val="0"/>
          <w:sz w:val="30"/>
          <w:szCs w:val="30"/>
          <w:highlight w:val="none"/>
          <w:u w:val="single"/>
        </w:rPr>
      </w:pPr>
    </w:p>
    <w:p w14:paraId="788CBAE6">
      <w:pPr>
        <w:widowControl/>
        <w:snapToGrid w:val="0"/>
        <w:spacing w:line="360" w:lineRule="auto"/>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二〇二</w:t>
      </w:r>
      <w:r>
        <w:rPr>
          <w:rFonts w:hint="eastAsia" w:ascii="宋体" w:hAnsi="宋体" w:cs="宋体"/>
          <w:color w:val="auto"/>
          <w:kern w:val="0"/>
          <w:sz w:val="30"/>
          <w:szCs w:val="30"/>
          <w:highlight w:val="none"/>
          <w:lang w:val="en-US" w:eastAsia="zh-CN"/>
        </w:rPr>
        <w:t>六</w:t>
      </w:r>
      <w:r>
        <w:rPr>
          <w:rFonts w:hint="eastAsia" w:ascii="宋体" w:hAnsi="宋体" w:eastAsia="宋体" w:cs="宋体"/>
          <w:color w:val="auto"/>
          <w:kern w:val="0"/>
          <w:sz w:val="30"/>
          <w:szCs w:val="30"/>
          <w:highlight w:val="none"/>
        </w:rPr>
        <w:t>年   月   日</w:t>
      </w:r>
    </w:p>
    <w:p w14:paraId="4D2C761F">
      <w:pPr>
        <w:pStyle w:val="8"/>
        <w:rPr>
          <w:rFonts w:hint="eastAsia" w:ascii="宋体" w:hAnsi="宋体" w:eastAsia="宋体" w:cs="宋体"/>
          <w:color w:val="auto"/>
          <w:highlight w:val="none"/>
        </w:rPr>
      </w:pPr>
    </w:p>
    <w:p w14:paraId="5DB468D7">
      <w:pPr>
        <w:spacing w:line="360" w:lineRule="auto"/>
        <w:jc w:val="left"/>
        <w:rPr>
          <w:rFonts w:hint="eastAsia" w:ascii="宋体" w:hAnsi="宋体" w:eastAsia="宋体" w:cs="宋体"/>
          <w:bCs/>
          <w:color w:val="auto"/>
          <w:sz w:val="24"/>
          <w:highlight w:val="none"/>
        </w:rPr>
      </w:pPr>
    </w:p>
    <w:p w14:paraId="14C4D176">
      <w:pPr>
        <w:spacing w:line="360" w:lineRule="auto"/>
        <w:jc w:val="left"/>
        <w:rPr>
          <w:rFonts w:hint="eastAsia" w:ascii="宋体" w:hAnsi="宋体" w:eastAsia="宋体" w:cs="宋体"/>
          <w:bCs/>
          <w:color w:val="auto"/>
          <w:sz w:val="24"/>
          <w:highlight w:val="none"/>
        </w:rPr>
      </w:pPr>
    </w:p>
    <w:p w14:paraId="1AA3FF12">
      <w:pPr>
        <w:spacing w:line="360" w:lineRule="auto"/>
        <w:jc w:val="left"/>
        <w:rPr>
          <w:rFonts w:hint="eastAsia" w:ascii="宋体" w:hAnsi="宋体" w:eastAsia="宋体" w:cs="宋体"/>
          <w:bCs/>
          <w:color w:val="auto"/>
          <w:sz w:val="24"/>
          <w:highlight w:val="none"/>
        </w:rPr>
      </w:pPr>
    </w:p>
    <w:p w14:paraId="5C116723">
      <w:pPr>
        <w:spacing w:line="360" w:lineRule="auto"/>
        <w:jc w:val="lef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目录格式</w:t>
      </w:r>
      <w:r>
        <w:rPr>
          <w:rFonts w:hint="eastAsia" w:ascii="宋体" w:hAnsi="宋体" w:eastAsia="宋体" w:cs="宋体"/>
          <w:bCs/>
          <w:color w:val="auto"/>
          <w:sz w:val="24"/>
          <w:highlight w:val="none"/>
          <w:lang w:eastAsia="zh-CN"/>
        </w:rPr>
        <w:t>自拟</w:t>
      </w:r>
    </w:p>
    <w:p w14:paraId="4BDC84ED">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1DDAF271">
      <w:pPr>
        <w:pStyle w:val="20"/>
        <w:snapToGrid w:val="0"/>
        <w:spacing w:line="360" w:lineRule="auto"/>
        <w:ind w:firstLine="723" w:firstLineChars="200"/>
        <w:rPr>
          <w:rFonts w:hint="eastAsia" w:ascii="宋体" w:hAnsi="宋体" w:eastAsia="宋体" w:cs="宋体"/>
          <w:b/>
          <w:bCs/>
          <w:color w:val="auto"/>
          <w:kern w:val="44"/>
          <w:sz w:val="24"/>
          <w:highlight w:val="none"/>
        </w:rPr>
      </w:pPr>
      <w:r>
        <w:rPr>
          <w:rFonts w:hint="eastAsia" w:ascii="宋体" w:hAnsi="宋体" w:eastAsia="宋体" w:cs="宋体"/>
          <w:b/>
          <w:color w:val="auto"/>
          <w:kern w:val="0"/>
          <w:sz w:val="36"/>
          <w:szCs w:val="36"/>
          <w:highlight w:val="none"/>
        </w:rPr>
        <w:br w:type="page"/>
      </w:r>
    </w:p>
    <w:p w14:paraId="602C0445">
      <w:pPr>
        <w:widowControl/>
        <w:snapToGrid w:val="0"/>
        <w:spacing w:line="360" w:lineRule="auto"/>
        <w:jc w:val="center"/>
        <w:outlineLvl w:val="1"/>
        <w:rPr>
          <w:rFonts w:hint="eastAsia" w:ascii="宋体" w:hAnsi="宋体" w:eastAsia="宋体" w:cs="宋体"/>
          <w:b/>
          <w:color w:val="auto"/>
          <w:kern w:val="0"/>
          <w:sz w:val="36"/>
          <w:szCs w:val="36"/>
          <w:highlight w:val="none"/>
        </w:rPr>
      </w:pPr>
      <w:bookmarkStart w:id="91" w:name="_Toc738"/>
      <w:bookmarkStart w:id="92" w:name="_Toc12408"/>
      <w:r>
        <w:rPr>
          <w:rFonts w:hint="eastAsia" w:ascii="宋体" w:hAnsi="宋体" w:eastAsia="宋体" w:cs="宋体"/>
          <w:b/>
          <w:color w:val="auto"/>
          <w:kern w:val="0"/>
          <w:sz w:val="36"/>
          <w:szCs w:val="36"/>
          <w:highlight w:val="none"/>
        </w:rPr>
        <w:t>资格证明文件</w:t>
      </w:r>
      <w:bookmarkEnd w:id="91"/>
      <w:bookmarkEnd w:id="92"/>
    </w:p>
    <w:p w14:paraId="57991540">
      <w:pPr>
        <w:snapToGrid w:val="0"/>
        <w:spacing w:line="360" w:lineRule="auto"/>
        <w:outlineLvl w:val="2"/>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1．</w:t>
      </w:r>
      <w:r>
        <w:rPr>
          <w:rFonts w:hint="eastAsia" w:ascii="宋体" w:hAnsi="宋体" w:eastAsia="宋体" w:cs="宋体"/>
          <w:b/>
          <w:color w:val="auto"/>
          <w:kern w:val="0"/>
          <w:sz w:val="24"/>
          <w:highlight w:val="none"/>
          <w:lang w:val="en-US" w:eastAsia="zh-CN"/>
        </w:rPr>
        <w:t>具有</w:t>
      </w:r>
      <w:r>
        <w:rPr>
          <w:rFonts w:hint="eastAsia" w:ascii="宋体" w:hAnsi="宋体" w:eastAsia="宋体" w:cs="宋体"/>
          <w:b/>
          <w:color w:val="auto"/>
          <w:sz w:val="24"/>
          <w:highlight w:val="none"/>
        </w:rPr>
        <w:t>独立承担民事责任的能力</w:t>
      </w:r>
      <w:r>
        <w:rPr>
          <w:rFonts w:hint="eastAsia" w:ascii="宋体" w:hAnsi="宋体" w:eastAsia="宋体" w:cs="宋体"/>
          <w:b/>
          <w:color w:val="auto"/>
          <w:sz w:val="24"/>
          <w:highlight w:val="none"/>
          <w:lang w:val="en-US" w:eastAsia="zh-CN"/>
        </w:rPr>
        <w:t>的信用承诺书</w:t>
      </w:r>
    </w:p>
    <w:p w14:paraId="0FD6D9BD">
      <w:pPr>
        <w:snapToGrid w:val="0"/>
        <w:spacing w:line="360" w:lineRule="auto"/>
        <w:jc w:val="center"/>
        <w:outlineLvl w:val="9"/>
        <w:rPr>
          <w:rFonts w:hint="eastAsia" w:ascii="宋体" w:hAnsi="宋体" w:eastAsia="宋体" w:cs="宋体"/>
          <w:b/>
          <w:color w:val="auto"/>
          <w:kern w:val="0"/>
          <w:sz w:val="24"/>
          <w:highlight w:val="none"/>
          <w:lang w:val="en-US" w:eastAsia="zh-CN"/>
        </w:rPr>
      </w:pPr>
    </w:p>
    <w:p w14:paraId="3097FD58">
      <w:pPr>
        <w:snapToGrid w:val="0"/>
        <w:spacing w:line="360" w:lineRule="auto"/>
        <w:jc w:val="center"/>
        <w:outlineLvl w:val="9"/>
        <w:rPr>
          <w:rFonts w:hint="eastAsia" w:ascii="宋体" w:hAnsi="宋体" w:eastAsia="宋体" w:cs="宋体"/>
          <w:color w:val="auto"/>
          <w:sz w:val="24"/>
          <w:highlight w:val="none"/>
          <w:u w:val="single"/>
        </w:rPr>
      </w:pPr>
      <w:r>
        <w:rPr>
          <w:rFonts w:hint="eastAsia" w:ascii="宋体" w:hAnsi="宋体" w:eastAsia="宋体" w:cs="宋体"/>
          <w:b/>
          <w:color w:val="auto"/>
          <w:kern w:val="0"/>
          <w:sz w:val="24"/>
          <w:highlight w:val="none"/>
          <w:lang w:val="en-US" w:eastAsia="zh-CN"/>
        </w:rPr>
        <w:t>投标人具有</w:t>
      </w:r>
      <w:r>
        <w:rPr>
          <w:rFonts w:hint="eastAsia" w:ascii="宋体" w:hAnsi="宋体" w:eastAsia="宋体" w:cs="宋体"/>
          <w:b/>
          <w:color w:val="auto"/>
          <w:sz w:val="24"/>
          <w:highlight w:val="none"/>
        </w:rPr>
        <w:t>独立承担民事责任的能力</w:t>
      </w:r>
      <w:r>
        <w:rPr>
          <w:rFonts w:hint="eastAsia" w:ascii="宋体" w:hAnsi="宋体" w:eastAsia="宋体" w:cs="宋体"/>
          <w:b/>
          <w:color w:val="auto"/>
          <w:sz w:val="24"/>
          <w:highlight w:val="none"/>
          <w:lang w:val="en-US" w:eastAsia="zh-CN"/>
        </w:rPr>
        <w:t>的信用承诺书</w:t>
      </w:r>
    </w:p>
    <w:p w14:paraId="6CCC5FDA">
      <w:pPr>
        <w:outlineLvl w:val="9"/>
        <w:rPr>
          <w:rFonts w:hint="eastAsia" w:ascii="宋体" w:hAnsi="宋体" w:eastAsia="宋体" w:cs="宋体"/>
          <w:color w:val="auto"/>
          <w:sz w:val="24"/>
          <w:highlight w:val="none"/>
          <w:u w:val="single"/>
        </w:rPr>
      </w:pPr>
    </w:p>
    <w:p w14:paraId="0206C584">
      <w:pPr>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（采购人名称）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p>
    <w:p w14:paraId="1C1BC059">
      <w:pPr>
        <w:widowControl/>
        <w:snapToGrid w:val="0"/>
        <w:spacing w:line="360" w:lineRule="auto"/>
        <w:ind w:firstLine="480" w:firstLineChars="200"/>
        <w:outlineLvl w:val="9"/>
        <w:rPr>
          <w:rFonts w:hint="eastAsia" w:ascii="宋体" w:hAnsi="宋体" w:eastAsia="宋体" w:cs="宋体"/>
          <w:color w:val="auto"/>
          <w:sz w:val="24"/>
          <w:highlight w:val="none"/>
        </w:rPr>
      </w:pPr>
    </w:p>
    <w:p w14:paraId="075C297C">
      <w:pPr>
        <w:widowControl/>
        <w:snapToGrid w:val="0"/>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现参与</w:t>
      </w:r>
      <w:r>
        <w:rPr>
          <w:rFonts w:hint="eastAsia" w:ascii="宋体" w:hAnsi="宋体" w:eastAsia="宋体" w:cs="宋体"/>
          <w:color w:val="auto"/>
          <w:sz w:val="24"/>
          <w:highlight w:val="none"/>
          <w:lang w:val="en-US" w:eastAsia="zh-CN"/>
        </w:rPr>
        <w:t>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ascii="宋体" w:hAnsi="宋体" w:eastAsia="宋体" w:cs="宋体"/>
          <w:color w:val="auto"/>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w:t>
      </w:r>
      <w:r>
        <w:rPr>
          <w:rFonts w:hint="eastAsia" w:ascii="宋体" w:hAnsi="宋体" w:eastAsia="宋体" w:cs="宋体"/>
          <w:color w:val="auto"/>
          <w:sz w:val="24"/>
          <w:highlight w:val="none"/>
        </w:rPr>
        <w:t>购活动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依据</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相关规定，</w:t>
      </w:r>
      <w:r>
        <w:rPr>
          <w:rFonts w:hint="eastAsia" w:ascii="宋体" w:hAnsi="宋体" w:eastAsia="宋体" w:cs="宋体"/>
          <w:color w:val="auto"/>
          <w:sz w:val="24"/>
          <w:highlight w:val="none"/>
          <w:lang w:val="en-US" w:eastAsia="zh-CN"/>
        </w:rPr>
        <w:t>现</w:t>
      </w:r>
      <w:r>
        <w:rPr>
          <w:rFonts w:hint="eastAsia" w:ascii="宋体" w:hAnsi="宋体" w:eastAsia="宋体" w:cs="宋体"/>
          <w:color w:val="auto"/>
          <w:sz w:val="24"/>
          <w:highlight w:val="none"/>
        </w:rPr>
        <w:t>郑重承诺：我方</w:t>
      </w:r>
      <w:r>
        <w:rPr>
          <w:rFonts w:hint="eastAsia" w:ascii="宋体" w:hAnsi="宋体" w:eastAsia="宋体" w:cs="宋体"/>
          <w:color w:val="auto"/>
          <w:sz w:val="24"/>
          <w:highlight w:val="none"/>
          <w:lang w:val="en-US" w:eastAsia="zh-CN"/>
        </w:rPr>
        <w:t>具有有效的营业执照或事业单位法人证书或自然人身份证明或其他非企业组织证明文件及有效的开户许可证，能</w:t>
      </w:r>
      <w:r>
        <w:rPr>
          <w:rFonts w:hint="eastAsia" w:ascii="宋体" w:hAnsi="宋体" w:eastAsia="宋体" w:cs="宋体"/>
          <w:color w:val="auto"/>
          <w:sz w:val="24"/>
          <w:highlight w:val="none"/>
        </w:rPr>
        <w:t>独立承担民事责任的能力</w:t>
      </w:r>
      <w:r>
        <w:rPr>
          <w:rFonts w:hint="eastAsia" w:ascii="宋体" w:hAnsi="宋体" w:eastAsia="宋体" w:cs="宋体"/>
          <w:color w:val="auto"/>
          <w:sz w:val="24"/>
          <w:highlight w:val="none"/>
          <w:lang w:eastAsia="zh-CN"/>
        </w:rPr>
        <w:t>。</w:t>
      </w:r>
    </w:p>
    <w:p w14:paraId="3E9895A9">
      <w:pPr>
        <w:widowControl/>
        <w:snapToGrid w:val="0"/>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基本信息如下：</w:t>
      </w:r>
    </w:p>
    <w:p w14:paraId="127EB9B1">
      <w:pPr>
        <w:widowControl/>
        <w:snapToGrid w:val="0"/>
        <w:spacing w:line="360" w:lineRule="auto"/>
        <w:ind w:firstLine="480" w:firstLineChars="200"/>
        <w:outlineLvl w:val="9"/>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名称为：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lang w:val="en-US" w:eastAsia="zh-CN"/>
        </w:rPr>
        <w:t>统一社会信用代码为：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法定代表人（负责人）为：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；营业期限为: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lang w:val="en-US" w:eastAsia="zh-CN"/>
        </w:rPr>
        <w:t>基本开户银行为：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账号为：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，行号为：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p>
    <w:p w14:paraId="2CEAF538">
      <w:pPr>
        <w:widowControl/>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以上承诺信息</w:t>
      </w:r>
      <w:r>
        <w:rPr>
          <w:rFonts w:hint="eastAsia" w:ascii="宋体" w:hAnsi="宋体" w:eastAsia="宋体" w:cs="宋体"/>
          <w:color w:val="auto"/>
          <w:sz w:val="24"/>
          <w:highlight w:val="none"/>
        </w:rPr>
        <w:t>如有虚假或隐瞒，我方愿意承担一切后果，并不再寻求任何旨在减轻或免除</w:t>
      </w:r>
      <w:r>
        <w:rPr>
          <w:rFonts w:hint="eastAsia" w:ascii="宋体" w:hAnsi="宋体" w:eastAsia="宋体" w:cs="宋体"/>
          <w:color w:val="auto"/>
          <w:sz w:val="24"/>
          <w:highlight w:val="none"/>
          <w:lang w:val="en-US" w:eastAsia="zh-CN"/>
        </w:rPr>
        <w:t>法律</w:t>
      </w:r>
      <w:r>
        <w:rPr>
          <w:rFonts w:hint="eastAsia" w:ascii="宋体" w:hAnsi="宋体" w:eastAsia="宋体" w:cs="宋体"/>
          <w:color w:val="auto"/>
          <w:sz w:val="24"/>
          <w:highlight w:val="none"/>
        </w:rPr>
        <w:t xml:space="preserve">责任的辩解。 </w:t>
      </w:r>
    </w:p>
    <w:p w14:paraId="133CBC96">
      <w:pPr>
        <w:widowControl/>
        <w:snapToGrid w:val="0"/>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特此承诺。</w:t>
      </w:r>
    </w:p>
    <w:p w14:paraId="16B744CB">
      <w:pPr>
        <w:widowControl/>
        <w:snapToGrid w:val="0"/>
        <w:spacing w:line="360" w:lineRule="auto"/>
        <w:ind w:firstLine="480" w:firstLineChars="200"/>
        <w:outlineLvl w:val="9"/>
        <w:rPr>
          <w:rFonts w:hint="eastAsia" w:ascii="宋体" w:hAnsi="宋体" w:eastAsia="宋体" w:cs="宋体"/>
          <w:color w:val="auto"/>
          <w:sz w:val="24"/>
          <w:highlight w:val="none"/>
        </w:rPr>
      </w:pPr>
    </w:p>
    <w:p w14:paraId="0EE55497">
      <w:pPr>
        <w:widowControl/>
        <w:snapToGrid w:val="0"/>
        <w:spacing w:line="360" w:lineRule="auto"/>
        <w:ind w:firstLine="480" w:firstLineChars="200"/>
        <w:outlineLvl w:val="9"/>
        <w:rPr>
          <w:rFonts w:hint="eastAsia" w:ascii="宋体" w:hAnsi="宋体" w:eastAsia="宋体" w:cs="宋体"/>
          <w:color w:val="auto"/>
          <w:sz w:val="24"/>
          <w:highlight w:val="none"/>
        </w:rPr>
      </w:pPr>
    </w:p>
    <w:p w14:paraId="202AC4F3">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5548F5B">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法定</w:t>
      </w:r>
      <w:r>
        <w:rPr>
          <w:rFonts w:hint="eastAsia" w:ascii="宋体" w:hAnsi="宋体" w:eastAsia="宋体" w:cs="宋体"/>
          <w:color w:val="auto"/>
          <w:sz w:val="24"/>
          <w:highlight w:val="none"/>
        </w:rPr>
        <w:t>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0A51BDF1">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5E796843">
      <w:pPr>
        <w:widowControl w:val="0"/>
        <w:spacing w:line="360" w:lineRule="auto"/>
        <w:ind w:firstLine="240" w:firstLineChars="100"/>
        <w:jc w:val="both"/>
        <w:outlineLvl w:val="9"/>
        <w:rPr>
          <w:rFonts w:hint="eastAsia" w:ascii="宋体" w:hAnsi="宋体" w:eastAsia="宋体" w:cs="宋体"/>
          <w:color w:val="auto"/>
          <w:kern w:val="2"/>
          <w:sz w:val="24"/>
          <w:szCs w:val="24"/>
          <w:highlight w:val="none"/>
          <w:lang w:val="en-US" w:eastAsia="zh-CN" w:bidi="ar-SA"/>
        </w:rPr>
      </w:pPr>
    </w:p>
    <w:p w14:paraId="436C2CC9">
      <w:pPr>
        <w:widowControl/>
        <w:snapToGrid w:val="0"/>
        <w:spacing w:line="360" w:lineRule="auto"/>
        <w:outlineLvl w:val="9"/>
        <w:rPr>
          <w:rFonts w:hint="eastAsia" w:ascii="宋体" w:hAnsi="宋体" w:eastAsia="宋体" w:cs="宋体"/>
          <w:color w:val="auto"/>
          <w:kern w:val="0"/>
          <w:sz w:val="24"/>
          <w:highlight w:val="none"/>
        </w:rPr>
      </w:pPr>
    </w:p>
    <w:p w14:paraId="71AB1AE9">
      <w:pPr>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rPr>
        <w:t>2．</w:t>
      </w:r>
      <w:r>
        <w:rPr>
          <w:rFonts w:hint="eastAsia" w:ascii="宋体" w:hAnsi="宋体" w:eastAsia="宋体" w:cs="宋体"/>
          <w:b/>
          <w:color w:val="auto"/>
          <w:kern w:val="0"/>
          <w:sz w:val="24"/>
          <w:highlight w:val="none"/>
          <w:lang w:val="en-US" w:eastAsia="zh-CN"/>
        </w:rPr>
        <w:t>具有良好的商业信誉和</w:t>
      </w:r>
      <w:r>
        <w:rPr>
          <w:rFonts w:hint="eastAsia" w:ascii="宋体" w:hAnsi="宋体" w:eastAsia="宋体" w:cs="宋体"/>
          <w:b/>
          <w:color w:val="auto"/>
          <w:sz w:val="24"/>
          <w:highlight w:val="none"/>
        </w:rPr>
        <w:t>健全的财务会计制度</w:t>
      </w:r>
      <w:r>
        <w:rPr>
          <w:rFonts w:hint="eastAsia" w:ascii="宋体" w:hAnsi="宋体" w:eastAsia="宋体" w:cs="宋体"/>
          <w:b/>
          <w:color w:val="auto"/>
          <w:sz w:val="24"/>
          <w:highlight w:val="none"/>
          <w:lang w:val="en-US" w:eastAsia="zh-CN"/>
        </w:rPr>
        <w:t>的信用承诺书</w:t>
      </w:r>
    </w:p>
    <w:p w14:paraId="62540C2B">
      <w:pPr>
        <w:jc w:val="center"/>
        <w:outlineLvl w:val="9"/>
        <w:rPr>
          <w:rFonts w:hint="eastAsia" w:ascii="宋体" w:hAnsi="宋体" w:eastAsia="宋体" w:cs="宋体"/>
          <w:b/>
          <w:color w:val="auto"/>
          <w:kern w:val="0"/>
          <w:sz w:val="24"/>
          <w:highlight w:val="none"/>
          <w:lang w:val="en-US" w:eastAsia="zh-CN"/>
        </w:rPr>
      </w:pPr>
    </w:p>
    <w:p w14:paraId="22C54269">
      <w:pPr>
        <w:jc w:val="center"/>
        <w:outlineLvl w:val="9"/>
        <w:rPr>
          <w:rFonts w:hint="eastAsia" w:ascii="宋体" w:hAnsi="宋体" w:eastAsia="宋体" w:cs="宋体"/>
          <w:color w:val="auto"/>
          <w:sz w:val="24"/>
          <w:highlight w:val="none"/>
          <w:u w:val="single"/>
        </w:rPr>
      </w:pPr>
      <w:r>
        <w:rPr>
          <w:rFonts w:hint="eastAsia" w:ascii="宋体" w:hAnsi="宋体" w:eastAsia="宋体" w:cs="宋体"/>
          <w:b/>
          <w:color w:val="auto"/>
          <w:kern w:val="0"/>
          <w:sz w:val="24"/>
          <w:highlight w:val="none"/>
          <w:lang w:val="en-US" w:eastAsia="zh-CN"/>
        </w:rPr>
        <w:t>投标人具有良好的商业信誉和</w:t>
      </w:r>
      <w:r>
        <w:rPr>
          <w:rFonts w:hint="eastAsia" w:ascii="宋体" w:hAnsi="宋体" w:eastAsia="宋体" w:cs="宋体"/>
          <w:b/>
          <w:color w:val="auto"/>
          <w:sz w:val="24"/>
          <w:highlight w:val="none"/>
        </w:rPr>
        <w:t>健全的财务会计制度</w:t>
      </w:r>
      <w:r>
        <w:rPr>
          <w:rFonts w:hint="eastAsia" w:ascii="宋体" w:hAnsi="宋体" w:eastAsia="宋体" w:cs="宋体"/>
          <w:b/>
          <w:color w:val="auto"/>
          <w:sz w:val="24"/>
          <w:highlight w:val="none"/>
          <w:lang w:val="en-US" w:eastAsia="zh-CN"/>
        </w:rPr>
        <w:t>的信用承诺书</w:t>
      </w:r>
    </w:p>
    <w:p w14:paraId="47708AF4">
      <w:pPr>
        <w:outlineLvl w:val="9"/>
        <w:rPr>
          <w:rFonts w:hint="eastAsia" w:ascii="宋体" w:hAnsi="宋体" w:eastAsia="宋体" w:cs="宋体"/>
          <w:color w:val="auto"/>
          <w:sz w:val="24"/>
          <w:highlight w:val="none"/>
          <w:u w:val="single"/>
        </w:rPr>
      </w:pPr>
    </w:p>
    <w:p w14:paraId="530F14F9">
      <w:pPr>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（采购人名称）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p>
    <w:p w14:paraId="45B3B29D">
      <w:pPr>
        <w:widowControl/>
        <w:snapToGrid w:val="0"/>
        <w:spacing w:line="360" w:lineRule="auto"/>
        <w:ind w:firstLine="480" w:firstLineChars="200"/>
        <w:outlineLvl w:val="9"/>
        <w:rPr>
          <w:rFonts w:hint="eastAsia" w:ascii="宋体" w:hAnsi="宋体" w:eastAsia="宋体" w:cs="宋体"/>
          <w:color w:val="auto"/>
          <w:sz w:val="24"/>
          <w:highlight w:val="none"/>
        </w:rPr>
      </w:pPr>
    </w:p>
    <w:p w14:paraId="43D9AC3D">
      <w:pPr>
        <w:widowControl/>
        <w:snapToGrid w:val="0"/>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现参与</w:t>
      </w:r>
      <w:r>
        <w:rPr>
          <w:rFonts w:hint="eastAsia" w:ascii="宋体" w:hAnsi="宋体" w:eastAsia="宋体" w:cs="宋体"/>
          <w:color w:val="auto"/>
          <w:sz w:val="24"/>
          <w:highlight w:val="none"/>
          <w:lang w:val="en-US" w:eastAsia="zh-CN"/>
        </w:rPr>
        <w:t>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ascii="宋体" w:hAnsi="宋体" w:eastAsia="宋体" w:cs="宋体"/>
          <w:color w:val="auto"/>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的采购活动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依据</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相关规定，</w:t>
      </w:r>
      <w:r>
        <w:rPr>
          <w:rFonts w:hint="eastAsia" w:ascii="宋体" w:hAnsi="宋体" w:eastAsia="宋体" w:cs="宋体"/>
          <w:color w:val="auto"/>
          <w:sz w:val="24"/>
          <w:highlight w:val="none"/>
          <w:lang w:val="en-US" w:eastAsia="zh-CN"/>
        </w:rPr>
        <w:t>现</w:t>
      </w:r>
      <w:r>
        <w:rPr>
          <w:rFonts w:hint="eastAsia" w:ascii="宋体" w:hAnsi="宋体" w:eastAsia="宋体" w:cs="宋体"/>
          <w:color w:val="auto"/>
          <w:sz w:val="24"/>
          <w:highlight w:val="none"/>
        </w:rPr>
        <w:t>郑重承诺：</w:t>
      </w:r>
      <w:r>
        <w:rPr>
          <w:rFonts w:hint="eastAsia" w:ascii="宋体" w:hAnsi="宋体" w:eastAsia="宋体" w:cs="宋体"/>
          <w:color w:val="auto"/>
          <w:sz w:val="24"/>
          <w:highlight w:val="none"/>
          <w:lang w:val="en-US" w:eastAsia="zh-CN"/>
        </w:rPr>
        <w:t>我方具有通过具备审计资格的第三方出具的上一年度合格且有效的财务审计报告或在基本户开户银行出具的无不良记录资信证明等文件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商业信誉良好，财务制度健全。</w:t>
      </w:r>
    </w:p>
    <w:p w14:paraId="4BD6AFFD">
      <w:pPr>
        <w:widowControl/>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以上承诺信息</w:t>
      </w:r>
      <w:r>
        <w:rPr>
          <w:rFonts w:hint="eastAsia" w:ascii="宋体" w:hAnsi="宋体" w:eastAsia="宋体" w:cs="宋体"/>
          <w:color w:val="auto"/>
          <w:sz w:val="24"/>
          <w:highlight w:val="none"/>
        </w:rPr>
        <w:t>如有虚假或隐瞒，我方愿意承担一切后果，并不再寻求任何旨在减轻或免除</w:t>
      </w:r>
      <w:r>
        <w:rPr>
          <w:rFonts w:hint="eastAsia" w:ascii="宋体" w:hAnsi="宋体" w:eastAsia="宋体" w:cs="宋体"/>
          <w:color w:val="auto"/>
          <w:sz w:val="24"/>
          <w:highlight w:val="none"/>
          <w:lang w:val="en-US" w:eastAsia="zh-CN"/>
        </w:rPr>
        <w:t>法律</w:t>
      </w:r>
      <w:r>
        <w:rPr>
          <w:rFonts w:hint="eastAsia" w:ascii="宋体" w:hAnsi="宋体" w:eastAsia="宋体" w:cs="宋体"/>
          <w:color w:val="auto"/>
          <w:sz w:val="24"/>
          <w:highlight w:val="none"/>
        </w:rPr>
        <w:t xml:space="preserve">责任的辩解。 </w:t>
      </w:r>
    </w:p>
    <w:p w14:paraId="193B81CF">
      <w:pPr>
        <w:widowControl/>
        <w:snapToGrid w:val="0"/>
        <w:spacing w:line="360" w:lineRule="auto"/>
        <w:ind w:firstLine="480" w:firstLineChars="200"/>
        <w:outlineLvl w:val="9"/>
        <w:rPr>
          <w:rFonts w:hint="eastAsia" w:ascii="宋体" w:hAnsi="宋体" w:eastAsia="宋体" w:cs="宋体"/>
          <w:color w:val="auto"/>
          <w:sz w:val="24"/>
          <w:highlight w:val="none"/>
        </w:rPr>
      </w:pPr>
    </w:p>
    <w:p w14:paraId="3D321BB8">
      <w:pPr>
        <w:widowControl/>
        <w:snapToGrid w:val="0"/>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特此承诺。</w:t>
      </w:r>
    </w:p>
    <w:p w14:paraId="2063357C">
      <w:pPr>
        <w:widowControl/>
        <w:snapToGrid w:val="0"/>
        <w:spacing w:line="360" w:lineRule="auto"/>
        <w:ind w:firstLine="480" w:firstLineChars="200"/>
        <w:outlineLvl w:val="9"/>
        <w:rPr>
          <w:rFonts w:hint="eastAsia" w:ascii="宋体" w:hAnsi="宋体" w:eastAsia="宋体" w:cs="宋体"/>
          <w:color w:val="auto"/>
          <w:sz w:val="24"/>
          <w:highlight w:val="none"/>
        </w:rPr>
      </w:pPr>
    </w:p>
    <w:p w14:paraId="3D457E7C">
      <w:pPr>
        <w:widowControl/>
        <w:snapToGrid w:val="0"/>
        <w:spacing w:line="360" w:lineRule="auto"/>
        <w:ind w:firstLine="480" w:firstLineChars="200"/>
        <w:outlineLvl w:val="9"/>
        <w:rPr>
          <w:rFonts w:hint="eastAsia" w:ascii="宋体" w:hAnsi="宋体" w:eastAsia="宋体" w:cs="宋体"/>
          <w:color w:val="auto"/>
          <w:sz w:val="24"/>
          <w:highlight w:val="none"/>
        </w:rPr>
      </w:pPr>
    </w:p>
    <w:p w14:paraId="44DF27AC">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6B07B41">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法定</w:t>
      </w:r>
      <w:r>
        <w:rPr>
          <w:rFonts w:hint="eastAsia" w:ascii="宋体" w:hAnsi="宋体" w:eastAsia="宋体" w:cs="宋体"/>
          <w:color w:val="auto"/>
          <w:sz w:val="24"/>
          <w:highlight w:val="none"/>
        </w:rPr>
        <w:t>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DCBD4C1">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4ED4B11C">
      <w:pPr>
        <w:spacing w:line="480" w:lineRule="exact"/>
        <w:outlineLvl w:val="9"/>
        <w:rPr>
          <w:rFonts w:hint="eastAsia" w:ascii="宋体" w:hAnsi="宋体" w:eastAsia="宋体" w:cs="宋体"/>
          <w:color w:val="auto"/>
          <w:sz w:val="24"/>
          <w:highlight w:val="none"/>
        </w:rPr>
      </w:pPr>
    </w:p>
    <w:p w14:paraId="7C68EDA2">
      <w:pPr>
        <w:widowControl/>
        <w:snapToGrid w:val="0"/>
        <w:spacing w:line="360" w:lineRule="auto"/>
        <w:outlineLvl w:val="9"/>
        <w:rPr>
          <w:rFonts w:hint="eastAsia" w:ascii="宋体" w:hAnsi="宋体" w:eastAsia="宋体" w:cs="宋体"/>
          <w:b/>
          <w:color w:val="auto"/>
          <w:kern w:val="0"/>
          <w:sz w:val="24"/>
          <w:highlight w:val="none"/>
        </w:rPr>
      </w:pPr>
    </w:p>
    <w:p w14:paraId="5DDDB8CA">
      <w:pPr>
        <w:snapToGrid w:val="0"/>
        <w:spacing w:line="360" w:lineRule="auto"/>
        <w:outlineLvl w:val="2"/>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lang w:val="en-US" w:eastAsia="zh-CN"/>
        </w:rPr>
        <w:t>3</w:t>
      </w:r>
      <w:r>
        <w:rPr>
          <w:rFonts w:hint="eastAsia" w:ascii="宋体" w:hAnsi="宋体" w:eastAsia="宋体" w:cs="宋体"/>
          <w:b/>
          <w:color w:val="auto"/>
          <w:kern w:val="0"/>
          <w:sz w:val="24"/>
          <w:highlight w:val="none"/>
        </w:rPr>
        <w:t>．</w:t>
      </w:r>
      <w:r>
        <w:rPr>
          <w:rFonts w:hint="eastAsia" w:ascii="宋体" w:hAnsi="宋体" w:eastAsia="宋体" w:cs="宋体"/>
          <w:b/>
          <w:color w:val="auto"/>
          <w:sz w:val="24"/>
          <w:highlight w:val="none"/>
        </w:rPr>
        <w:t>具有</w:t>
      </w:r>
      <w:r>
        <w:rPr>
          <w:rFonts w:hint="eastAsia" w:ascii="宋体" w:hAnsi="宋体" w:eastAsia="宋体" w:cs="宋体"/>
          <w:b/>
          <w:color w:val="auto"/>
          <w:kern w:val="0"/>
          <w:sz w:val="24"/>
          <w:highlight w:val="none"/>
        </w:rPr>
        <w:t>履行合同所必需的设备和专业技术能力</w:t>
      </w:r>
      <w:r>
        <w:rPr>
          <w:rFonts w:hint="eastAsia" w:ascii="宋体" w:hAnsi="宋体" w:eastAsia="宋体" w:cs="宋体"/>
          <w:b/>
          <w:color w:val="auto"/>
          <w:sz w:val="24"/>
          <w:highlight w:val="none"/>
          <w:lang w:val="en-US" w:eastAsia="zh-CN"/>
        </w:rPr>
        <w:t>信用承诺书</w:t>
      </w:r>
    </w:p>
    <w:p w14:paraId="35A500B1">
      <w:pPr>
        <w:widowControl/>
        <w:spacing w:line="330" w:lineRule="atLeast"/>
        <w:jc w:val="left"/>
        <w:outlineLvl w:val="9"/>
        <w:rPr>
          <w:rFonts w:hint="eastAsia" w:ascii="宋体" w:hAnsi="宋体" w:eastAsia="宋体" w:cs="宋体"/>
          <w:color w:val="auto"/>
          <w:kern w:val="0"/>
          <w:sz w:val="21"/>
          <w:szCs w:val="21"/>
          <w:highlight w:val="none"/>
          <w:lang w:val="en-US" w:eastAsia="zh-CN" w:bidi="ar-SA"/>
        </w:rPr>
      </w:pPr>
    </w:p>
    <w:p w14:paraId="4A1FFC17">
      <w:pPr>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eastAsia="宋体" w:cs="宋体"/>
          <w:b/>
          <w:color w:val="auto"/>
          <w:spacing w:val="20"/>
          <w:sz w:val="24"/>
          <w:highlight w:val="none"/>
        </w:rPr>
      </w:pPr>
      <w:r>
        <w:rPr>
          <w:rFonts w:hint="eastAsia" w:ascii="宋体" w:hAnsi="宋体" w:eastAsia="宋体" w:cs="宋体"/>
          <w:b/>
          <w:color w:val="auto"/>
          <w:spacing w:val="20"/>
          <w:sz w:val="24"/>
          <w:highlight w:val="none"/>
          <w:lang w:val="en-US" w:eastAsia="zh-CN"/>
        </w:rPr>
        <w:t>投标人</w:t>
      </w:r>
      <w:r>
        <w:rPr>
          <w:rFonts w:hint="eastAsia" w:ascii="宋体" w:hAnsi="宋体" w:eastAsia="宋体" w:cs="宋体"/>
          <w:b/>
          <w:color w:val="auto"/>
          <w:kern w:val="0"/>
          <w:sz w:val="24"/>
          <w:highlight w:val="none"/>
        </w:rPr>
        <w:t>具有履行合同所必需的设备和专业技术能力</w:t>
      </w:r>
      <w:r>
        <w:rPr>
          <w:rFonts w:hint="eastAsia" w:ascii="宋体" w:hAnsi="宋体" w:eastAsia="宋体" w:cs="宋体"/>
          <w:b/>
          <w:color w:val="auto"/>
          <w:sz w:val="24"/>
          <w:highlight w:val="none"/>
          <w:lang w:val="en-US" w:eastAsia="zh-CN"/>
        </w:rPr>
        <w:t>信用承诺书</w:t>
      </w:r>
    </w:p>
    <w:p w14:paraId="2230E55A">
      <w:pPr>
        <w:keepNext w:val="0"/>
        <w:keepLines w:val="0"/>
        <w:pageBreakBefore w:val="0"/>
        <w:widowControl w:val="0"/>
        <w:kinsoku/>
        <w:wordWrap/>
        <w:overflowPunct/>
        <w:topLinePunct w:val="0"/>
        <w:autoSpaceDE/>
        <w:autoSpaceDN/>
        <w:bidi w:val="0"/>
        <w:adjustRightInd/>
        <w:textAlignment w:val="auto"/>
        <w:outlineLvl w:val="9"/>
        <w:rPr>
          <w:rFonts w:hint="eastAsia" w:ascii="宋体" w:hAnsi="宋体" w:eastAsia="宋体" w:cs="宋体"/>
          <w:color w:val="auto"/>
          <w:sz w:val="24"/>
          <w:highlight w:val="none"/>
        </w:rPr>
      </w:pPr>
    </w:p>
    <w:p w14:paraId="56D18419">
      <w:pPr>
        <w:keepNext w:val="0"/>
        <w:keepLines w:val="0"/>
        <w:pageBreakBefore w:val="0"/>
        <w:widowControl w:val="0"/>
        <w:kinsoku/>
        <w:wordWrap/>
        <w:overflowPunct/>
        <w:topLinePunct w:val="0"/>
        <w:autoSpaceDE/>
        <w:autoSpaceDN/>
        <w:bidi w:val="0"/>
        <w:adjustRightInd/>
        <w:spacing w:line="330" w:lineRule="atLeast"/>
        <w:jc w:val="left"/>
        <w:textAlignment w:val="auto"/>
        <w:outlineLvl w:val="9"/>
        <w:rPr>
          <w:rFonts w:hint="eastAsia" w:ascii="宋体" w:hAnsi="宋体" w:eastAsia="宋体" w:cs="宋体"/>
          <w:color w:val="auto"/>
          <w:kern w:val="0"/>
          <w:sz w:val="21"/>
          <w:szCs w:val="21"/>
          <w:highlight w:val="none"/>
          <w:lang w:val="en-US" w:eastAsia="zh-CN" w:bidi="ar-SA"/>
        </w:rPr>
      </w:pPr>
    </w:p>
    <w:p w14:paraId="46DD238C">
      <w:pPr>
        <w:keepNext w:val="0"/>
        <w:keepLines w:val="0"/>
        <w:pageBreakBefore w:val="0"/>
        <w:widowControl w:val="0"/>
        <w:kinsoku/>
        <w:wordWrap/>
        <w:overflowPunct/>
        <w:topLinePunct w:val="0"/>
        <w:autoSpaceDE/>
        <w:autoSpaceDN/>
        <w:bidi w:val="0"/>
        <w:adjustRightInd/>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（采购人名称）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p>
    <w:p w14:paraId="6529B7D4">
      <w:pPr>
        <w:keepNext w:val="0"/>
        <w:keepLines w:val="0"/>
        <w:pageBreakBefore w:val="0"/>
        <w:widowControl w:val="0"/>
        <w:kinsoku/>
        <w:wordWrap/>
        <w:overflowPunct/>
        <w:topLinePunct w:val="0"/>
        <w:autoSpaceDE/>
        <w:autoSpaceDN/>
        <w:bidi w:val="0"/>
        <w:adjustRightInd/>
        <w:spacing w:line="330" w:lineRule="atLeast"/>
        <w:jc w:val="left"/>
        <w:textAlignment w:val="auto"/>
        <w:outlineLvl w:val="9"/>
        <w:rPr>
          <w:rFonts w:hint="eastAsia" w:ascii="宋体" w:hAnsi="宋体" w:eastAsia="宋体" w:cs="宋体"/>
          <w:color w:val="auto"/>
          <w:kern w:val="0"/>
          <w:sz w:val="21"/>
          <w:szCs w:val="21"/>
          <w:highlight w:val="none"/>
          <w:lang w:val="en-US" w:eastAsia="zh-CN" w:bidi="ar-SA"/>
        </w:rPr>
      </w:pPr>
    </w:p>
    <w:p w14:paraId="4CF574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现参与</w:t>
      </w:r>
      <w:r>
        <w:rPr>
          <w:rFonts w:hint="eastAsia" w:ascii="宋体" w:hAnsi="宋体" w:eastAsia="宋体" w:cs="宋体"/>
          <w:color w:val="auto"/>
          <w:sz w:val="24"/>
          <w:highlight w:val="none"/>
          <w:lang w:val="en-US" w:eastAsia="zh-CN"/>
        </w:rPr>
        <w:t>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ascii="宋体" w:hAnsi="宋体" w:eastAsia="宋体" w:cs="宋体"/>
          <w:color w:val="auto"/>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的采购活动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依据</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相关规定，</w:t>
      </w:r>
      <w:r>
        <w:rPr>
          <w:rFonts w:hint="eastAsia" w:ascii="宋体" w:hAnsi="宋体" w:eastAsia="宋体" w:cs="宋体"/>
          <w:color w:val="auto"/>
          <w:sz w:val="24"/>
          <w:highlight w:val="none"/>
          <w:lang w:val="en-US" w:eastAsia="zh-CN"/>
        </w:rPr>
        <w:t>现</w:t>
      </w:r>
      <w:r>
        <w:rPr>
          <w:rFonts w:hint="eastAsia" w:ascii="宋体" w:hAnsi="宋体" w:eastAsia="宋体" w:cs="宋体"/>
          <w:color w:val="auto"/>
          <w:sz w:val="24"/>
          <w:highlight w:val="none"/>
        </w:rPr>
        <w:t>郑重承诺：</w:t>
      </w:r>
      <w:r>
        <w:rPr>
          <w:rFonts w:hint="eastAsia" w:ascii="宋体" w:hAnsi="宋体" w:eastAsia="宋体" w:cs="宋体"/>
          <w:color w:val="auto"/>
          <w:sz w:val="24"/>
          <w:highlight w:val="none"/>
          <w:lang w:val="en-US" w:eastAsia="zh-CN"/>
        </w:rPr>
        <w:t>我方</w:t>
      </w:r>
      <w:r>
        <w:rPr>
          <w:rFonts w:hint="eastAsia" w:ascii="宋体" w:hAnsi="宋体" w:eastAsia="宋体" w:cs="宋体"/>
          <w:color w:val="auto"/>
          <w:sz w:val="24"/>
          <w:highlight w:val="none"/>
        </w:rPr>
        <w:t>具备履行合同所必需的设备和专业技术能力。</w:t>
      </w:r>
    </w:p>
    <w:p w14:paraId="50D33A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以上承诺信息</w:t>
      </w:r>
      <w:r>
        <w:rPr>
          <w:rFonts w:hint="eastAsia" w:ascii="宋体" w:hAnsi="宋体" w:eastAsia="宋体" w:cs="宋体"/>
          <w:color w:val="auto"/>
          <w:sz w:val="24"/>
          <w:highlight w:val="none"/>
        </w:rPr>
        <w:t>如有虚假或隐瞒，我方愿意承担一切后果，并不再寻求任何旨在减轻或免除</w:t>
      </w:r>
      <w:r>
        <w:rPr>
          <w:rFonts w:hint="eastAsia" w:ascii="宋体" w:hAnsi="宋体" w:eastAsia="宋体" w:cs="宋体"/>
          <w:color w:val="auto"/>
          <w:sz w:val="24"/>
          <w:highlight w:val="none"/>
          <w:lang w:val="en-US" w:eastAsia="zh-CN"/>
        </w:rPr>
        <w:t>法律</w:t>
      </w:r>
      <w:r>
        <w:rPr>
          <w:rFonts w:hint="eastAsia" w:ascii="宋体" w:hAnsi="宋体" w:eastAsia="宋体" w:cs="宋体"/>
          <w:color w:val="auto"/>
          <w:sz w:val="24"/>
          <w:highlight w:val="none"/>
        </w:rPr>
        <w:t xml:space="preserve">责任的辩解。 </w:t>
      </w:r>
    </w:p>
    <w:p w14:paraId="3D1464F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特此</w:t>
      </w:r>
      <w:r>
        <w:rPr>
          <w:rFonts w:hint="eastAsia" w:ascii="宋体" w:hAnsi="宋体" w:eastAsia="宋体" w:cs="宋体"/>
          <w:color w:val="auto"/>
          <w:sz w:val="24"/>
          <w:highlight w:val="none"/>
          <w:lang w:val="en-US" w:eastAsia="zh-CN"/>
        </w:rPr>
        <w:t>承诺</w:t>
      </w:r>
    </w:p>
    <w:p w14:paraId="4C5D5B02">
      <w:pPr>
        <w:keepNext w:val="0"/>
        <w:keepLines w:val="0"/>
        <w:pageBreakBefore w:val="0"/>
        <w:widowControl w:val="0"/>
        <w:kinsoku/>
        <w:wordWrap/>
        <w:overflowPunct/>
        <w:topLinePunct w:val="0"/>
        <w:autoSpaceDE/>
        <w:autoSpaceDN/>
        <w:bidi w:val="0"/>
        <w:adjustRightInd/>
        <w:ind w:firstLine="3369" w:firstLineChars="1404"/>
        <w:textAlignment w:val="auto"/>
        <w:outlineLvl w:val="9"/>
        <w:rPr>
          <w:rFonts w:hint="eastAsia" w:ascii="宋体" w:hAnsi="宋体" w:eastAsia="宋体" w:cs="宋体"/>
          <w:color w:val="auto"/>
          <w:sz w:val="24"/>
          <w:highlight w:val="none"/>
        </w:rPr>
      </w:pPr>
    </w:p>
    <w:p w14:paraId="33F09A31">
      <w:pPr>
        <w:keepNext w:val="0"/>
        <w:keepLines w:val="0"/>
        <w:pageBreakBefore w:val="0"/>
        <w:widowControl w:val="0"/>
        <w:kinsoku/>
        <w:wordWrap/>
        <w:overflowPunct/>
        <w:topLinePunct w:val="0"/>
        <w:autoSpaceDE/>
        <w:autoSpaceDN/>
        <w:bidi w:val="0"/>
        <w:adjustRightInd/>
        <w:ind w:firstLine="3369" w:firstLineChars="1404"/>
        <w:textAlignment w:val="auto"/>
        <w:outlineLvl w:val="9"/>
        <w:rPr>
          <w:rFonts w:hint="eastAsia" w:ascii="宋体" w:hAnsi="宋体" w:eastAsia="宋体" w:cs="宋体"/>
          <w:color w:val="auto"/>
          <w:sz w:val="24"/>
          <w:highlight w:val="none"/>
        </w:rPr>
      </w:pPr>
    </w:p>
    <w:p w14:paraId="7BB1D143">
      <w:pPr>
        <w:keepNext w:val="0"/>
        <w:keepLines w:val="0"/>
        <w:pageBreakBefore w:val="0"/>
        <w:widowControl w:val="0"/>
        <w:kinsoku/>
        <w:wordWrap/>
        <w:overflowPunct/>
        <w:topLinePunct w:val="0"/>
        <w:autoSpaceDE/>
        <w:autoSpaceDN/>
        <w:bidi w:val="0"/>
        <w:adjustRightInd/>
        <w:ind w:firstLine="3369" w:firstLineChars="1404"/>
        <w:textAlignment w:val="auto"/>
        <w:outlineLvl w:val="9"/>
        <w:rPr>
          <w:rFonts w:hint="eastAsia" w:ascii="宋体" w:hAnsi="宋体" w:eastAsia="宋体" w:cs="宋体"/>
          <w:color w:val="auto"/>
          <w:sz w:val="24"/>
          <w:highlight w:val="none"/>
        </w:rPr>
      </w:pPr>
    </w:p>
    <w:p w14:paraId="3C5EEE1C">
      <w:pPr>
        <w:keepNext w:val="0"/>
        <w:keepLines w:val="0"/>
        <w:pageBreakBefore w:val="0"/>
        <w:widowControl w:val="0"/>
        <w:kinsoku/>
        <w:wordWrap/>
        <w:overflowPunct/>
        <w:topLinePunct w:val="0"/>
        <w:autoSpaceDE/>
        <w:autoSpaceDN/>
        <w:bidi w:val="0"/>
        <w:adjustRightInd/>
        <w:spacing w:line="330" w:lineRule="atLeast"/>
        <w:jc w:val="left"/>
        <w:textAlignment w:val="auto"/>
        <w:outlineLvl w:val="9"/>
        <w:rPr>
          <w:rFonts w:hint="eastAsia" w:ascii="宋体" w:hAnsi="宋体" w:eastAsia="宋体" w:cs="宋体"/>
          <w:color w:val="auto"/>
          <w:kern w:val="0"/>
          <w:sz w:val="21"/>
          <w:szCs w:val="21"/>
          <w:highlight w:val="none"/>
          <w:lang w:val="en-US" w:eastAsia="zh-CN" w:bidi="ar-SA"/>
        </w:rPr>
      </w:pPr>
    </w:p>
    <w:p w14:paraId="161FF19D">
      <w:pPr>
        <w:keepNext w:val="0"/>
        <w:keepLines w:val="0"/>
        <w:pageBreakBefore w:val="0"/>
        <w:widowControl w:val="0"/>
        <w:kinsoku/>
        <w:wordWrap/>
        <w:overflowPunct/>
        <w:topLinePunct w:val="0"/>
        <w:autoSpaceDE/>
        <w:autoSpaceDN/>
        <w:bidi w:val="0"/>
        <w:adjustRightInd/>
        <w:spacing w:line="330" w:lineRule="atLeast"/>
        <w:jc w:val="left"/>
        <w:textAlignment w:val="auto"/>
        <w:outlineLvl w:val="9"/>
        <w:rPr>
          <w:rFonts w:hint="eastAsia" w:ascii="宋体" w:hAnsi="宋体" w:eastAsia="宋体" w:cs="宋体"/>
          <w:color w:val="auto"/>
          <w:kern w:val="0"/>
          <w:sz w:val="21"/>
          <w:szCs w:val="21"/>
          <w:highlight w:val="none"/>
          <w:lang w:val="en-US" w:eastAsia="zh-CN" w:bidi="ar-SA"/>
        </w:rPr>
      </w:pPr>
    </w:p>
    <w:p w14:paraId="1A437FC7">
      <w:pPr>
        <w:keepNext w:val="0"/>
        <w:keepLines w:val="0"/>
        <w:pageBreakBefore w:val="0"/>
        <w:widowControl w:val="0"/>
        <w:kinsoku/>
        <w:wordWrap/>
        <w:overflowPunct/>
        <w:topLinePunct w:val="0"/>
        <w:autoSpaceDE/>
        <w:autoSpaceDN/>
        <w:bidi w:val="0"/>
        <w:adjustRightInd/>
        <w:ind w:firstLine="3369" w:firstLineChars="1404"/>
        <w:textAlignment w:val="auto"/>
        <w:outlineLvl w:val="9"/>
        <w:rPr>
          <w:rFonts w:hint="eastAsia" w:ascii="宋体" w:hAnsi="宋体" w:eastAsia="宋体" w:cs="宋体"/>
          <w:color w:val="auto"/>
          <w:sz w:val="24"/>
          <w:highlight w:val="none"/>
        </w:rPr>
      </w:pPr>
    </w:p>
    <w:p w14:paraId="17BBE03D">
      <w:pPr>
        <w:keepNext w:val="0"/>
        <w:keepLines w:val="0"/>
        <w:pageBreakBefore w:val="0"/>
        <w:widowControl w:val="0"/>
        <w:kinsoku/>
        <w:wordWrap/>
        <w:overflowPunct/>
        <w:topLinePunct w:val="0"/>
        <w:autoSpaceDE/>
        <w:autoSpaceDN/>
        <w:bidi w:val="0"/>
        <w:adjustRightInd/>
        <w:ind w:firstLine="3369" w:firstLineChars="1404"/>
        <w:textAlignment w:val="auto"/>
        <w:outlineLvl w:val="9"/>
        <w:rPr>
          <w:rFonts w:hint="eastAsia" w:ascii="宋体" w:hAnsi="宋体" w:eastAsia="宋体" w:cs="宋体"/>
          <w:color w:val="auto"/>
          <w:sz w:val="24"/>
          <w:highlight w:val="none"/>
        </w:rPr>
      </w:pPr>
    </w:p>
    <w:p w14:paraId="77E16C45">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2E9C8F9">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法定</w:t>
      </w:r>
      <w:r>
        <w:rPr>
          <w:rFonts w:hint="eastAsia" w:ascii="宋体" w:hAnsi="宋体" w:eastAsia="宋体" w:cs="宋体"/>
          <w:color w:val="auto"/>
          <w:sz w:val="24"/>
          <w:highlight w:val="none"/>
        </w:rPr>
        <w:t>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03CC8AD0">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388AAB97">
      <w:pPr>
        <w:widowControl/>
        <w:snapToGrid w:val="0"/>
        <w:spacing w:line="360" w:lineRule="auto"/>
        <w:outlineLvl w:val="9"/>
        <w:rPr>
          <w:rFonts w:hint="eastAsia" w:ascii="宋体" w:hAnsi="宋体" w:eastAsia="宋体" w:cs="宋体"/>
          <w:b/>
          <w:color w:val="auto"/>
          <w:kern w:val="0"/>
          <w:sz w:val="24"/>
          <w:highlight w:val="none"/>
        </w:rPr>
      </w:pPr>
    </w:p>
    <w:p w14:paraId="49952DA8">
      <w:pPr>
        <w:snapToGrid w:val="0"/>
        <w:spacing w:line="360" w:lineRule="auto"/>
        <w:outlineLvl w:val="2"/>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br w:type="page"/>
      </w:r>
      <w:r>
        <w:rPr>
          <w:rFonts w:hint="eastAsia" w:ascii="宋体" w:hAnsi="宋体" w:eastAsia="宋体" w:cs="宋体"/>
          <w:b/>
          <w:color w:val="auto"/>
          <w:kern w:val="0"/>
          <w:sz w:val="24"/>
          <w:highlight w:val="none"/>
          <w:lang w:val="en-US" w:eastAsia="zh-CN"/>
        </w:rPr>
        <w:t>4</w:t>
      </w:r>
      <w:r>
        <w:rPr>
          <w:rFonts w:hint="eastAsia" w:ascii="宋体" w:hAnsi="宋体" w:eastAsia="宋体" w:cs="宋体"/>
          <w:b/>
          <w:color w:val="auto"/>
          <w:kern w:val="0"/>
          <w:sz w:val="24"/>
          <w:highlight w:val="none"/>
        </w:rPr>
        <w:t>．具有依法缴纳税收和社会保障资金的</w:t>
      </w:r>
      <w:r>
        <w:rPr>
          <w:rFonts w:hint="eastAsia" w:ascii="宋体" w:hAnsi="宋体" w:eastAsia="宋体" w:cs="宋体"/>
          <w:b/>
          <w:color w:val="auto"/>
          <w:kern w:val="0"/>
          <w:sz w:val="24"/>
          <w:highlight w:val="none"/>
          <w:lang w:val="en-US" w:eastAsia="zh-CN"/>
        </w:rPr>
        <w:t>良好记录的</w:t>
      </w:r>
      <w:r>
        <w:rPr>
          <w:rFonts w:hint="eastAsia" w:ascii="宋体" w:hAnsi="宋体" w:eastAsia="宋体" w:cs="宋体"/>
          <w:b/>
          <w:color w:val="auto"/>
          <w:sz w:val="24"/>
          <w:highlight w:val="none"/>
          <w:lang w:val="en-US" w:eastAsia="zh-CN"/>
        </w:rPr>
        <w:t>信用承诺书</w:t>
      </w:r>
    </w:p>
    <w:p w14:paraId="11F41BB0">
      <w:pPr>
        <w:jc w:val="center"/>
        <w:outlineLvl w:val="9"/>
        <w:rPr>
          <w:rFonts w:hint="eastAsia" w:ascii="宋体" w:hAnsi="宋体" w:eastAsia="宋体" w:cs="宋体"/>
          <w:b/>
          <w:color w:val="auto"/>
          <w:kern w:val="0"/>
          <w:sz w:val="24"/>
          <w:highlight w:val="none"/>
          <w:lang w:val="en-US" w:eastAsia="zh-CN"/>
        </w:rPr>
      </w:pPr>
    </w:p>
    <w:p w14:paraId="12798525">
      <w:pPr>
        <w:jc w:val="center"/>
        <w:outlineLvl w:val="9"/>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投标人</w:t>
      </w:r>
      <w:r>
        <w:rPr>
          <w:rFonts w:hint="eastAsia" w:ascii="宋体" w:hAnsi="宋体" w:eastAsia="宋体" w:cs="宋体"/>
          <w:b/>
          <w:color w:val="auto"/>
          <w:kern w:val="0"/>
          <w:sz w:val="24"/>
          <w:highlight w:val="none"/>
        </w:rPr>
        <w:t>有依法缴纳税收和社会保障资金的</w:t>
      </w:r>
      <w:r>
        <w:rPr>
          <w:rFonts w:hint="eastAsia" w:ascii="宋体" w:hAnsi="宋体" w:eastAsia="宋体" w:cs="宋体"/>
          <w:b/>
          <w:color w:val="auto"/>
          <w:kern w:val="0"/>
          <w:sz w:val="24"/>
          <w:highlight w:val="none"/>
          <w:lang w:val="en-US" w:eastAsia="zh-CN"/>
        </w:rPr>
        <w:t>良好记录的</w:t>
      </w:r>
      <w:r>
        <w:rPr>
          <w:rFonts w:hint="eastAsia" w:ascii="宋体" w:hAnsi="宋体" w:eastAsia="宋体" w:cs="宋体"/>
          <w:b/>
          <w:color w:val="auto"/>
          <w:sz w:val="24"/>
          <w:highlight w:val="none"/>
          <w:lang w:val="en-US" w:eastAsia="zh-CN"/>
        </w:rPr>
        <w:t>信用承诺书</w:t>
      </w:r>
    </w:p>
    <w:p w14:paraId="54772E2C">
      <w:pPr>
        <w:outlineLvl w:val="9"/>
        <w:rPr>
          <w:rFonts w:hint="eastAsia" w:ascii="宋体" w:hAnsi="宋体" w:eastAsia="宋体" w:cs="宋体"/>
          <w:color w:val="auto"/>
          <w:highlight w:val="none"/>
        </w:rPr>
      </w:pPr>
    </w:p>
    <w:p w14:paraId="7A18E6B8">
      <w:pPr>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（采购人名称）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p>
    <w:p w14:paraId="52FDC2D2">
      <w:pPr>
        <w:widowControl/>
        <w:snapToGrid w:val="0"/>
        <w:spacing w:line="360" w:lineRule="auto"/>
        <w:ind w:firstLine="480" w:firstLineChars="200"/>
        <w:outlineLvl w:val="9"/>
        <w:rPr>
          <w:rFonts w:hint="eastAsia" w:ascii="宋体" w:hAnsi="宋体" w:eastAsia="宋体" w:cs="宋体"/>
          <w:color w:val="auto"/>
          <w:sz w:val="24"/>
          <w:highlight w:val="none"/>
        </w:rPr>
      </w:pPr>
    </w:p>
    <w:p w14:paraId="0C226D85">
      <w:pPr>
        <w:widowControl/>
        <w:snapToGrid w:val="0"/>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现参与</w:t>
      </w:r>
      <w:r>
        <w:rPr>
          <w:rFonts w:hint="eastAsia" w:ascii="宋体" w:hAnsi="宋体" w:eastAsia="宋体" w:cs="宋体"/>
          <w:color w:val="auto"/>
          <w:sz w:val="24"/>
          <w:highlight w:val="none"/>
          <w:lang w:val="en-US" w:eastAsia="zh-CN"/>
        </w:rPr>
        <w:t>贵公司组织的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ascii="宋体" w:hAnsi="宋体" w:eastAsia="宋体" w:cs="宋体"/>
          <w:color w:val="auto"/>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的采购活动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依据</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文件相关规定，</w:t>
      </w:r>
      <w:r>
        <w:rPr>
          <w:rFonts w:hint="eastAsia" w:ascii="宋体" w:hAnsi="宋体" w:eastAsia="宋体" w:cs="宋体"/>
          <w:color w:val="auto"/>
          <w:sz w:val="24"/>
          <w:highlight w:val="none"/>
          <w:lang w:val="en-US" w:eastAsia="zh-CN"/>
        </w:rPr>
        <w:t>现</w:t>
      </w:r>
      <w:r>
        <w:rPr>
          <w:rFonts w:hint="eastAsia" w:ascii="宋体" w:hAnsi="宋体" w:eastAsia="宋体" w:cs="宋体"/>
          <w:color w:val="auto"/>
          <w:sz w:val="24"/>
          <w:highlight w:val="none"/>
        </w:rPr>
        <w:t>郑重承诺：</w:t>
      </w:r>
      <w:r>
        <w:rPr>
          <w:rFonts w:hint="eastAsia" w:ascii="宋体" w:hAnsi="宋体" w:eastAsia="宋体" w:cs="宋体"/>
          <w:color w:val="auto"/>
          <w:sz w:val="24"/>
          <w:highlight w:val="none"/>
          <w:lang w:val="en-US" w:eastAsia="zh-CN"/>
        </w:rPr>
        <w:t>我方在参加本次采购活动前严格依法缴纳税收或依法享受国家免税优惠政策，并依法给单位职工缴纳社会保障金或依法不需要缴纳社会保障资金的证明文件。</w:t>
      </w:r>
    </w:p>
    <w:p w14:paraId="709EA76D">
      <w:pPr>
        <w:widowControl/>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以上承诺信息</w:t>
      </w:r>
      <w:r>
        <w:rPr>
          <w:rFonts w:hint="eastAsia" w:ascii="宋体" w:hAnsi="宋体" w:eastAsia="宋体" w:cs="宋体"/>
          <w:color w:val="auto"/>
          <w:sz w:val="24"/>
          <w:highlight w:val="none"/>
        </w:rPr>
        <w:t>如有虚假或隐瞒，我方愿意承担一切后果，并不再寻求任何旨在减轻或免除</w:t>
      </w:r>
      <w:r>
        <w:rPr>
          <w:rFonts w:hint="eastAsia" w:ascii="宋体" w:hAnsi="宋体" w:eastAsia="宋体" w:cs="宋体"/>
          <w:color w:val="auto"/>
          <w:sz w:val="24"/>
          <w:highlight w:val="none"/>
          <w:lang w:val="en-US" w:eastAsia="zh-CN"/>
        </w:rPr>
        <w:t>法律</w:t>
      </w:r>
      <w:r>
        <w:rPr>
          <w:rFonts w:hint="eastAsia" w:ascii="宋体" w:hAnsi="宋体" w:eastAsia="宋体" w:cs="宋体"/>
          <w:color w:val="auto"/>
          <w:sz w:val="24"/>
          <w:highlight w:val="none"/>
        </w:rPr>
        <w:t xml:space="preserve">责任的辩解。 </w:t>
      </w:r>
    </w:p>
    <w:p w14:paraId="467D6F16">
      <w:pPr>
        <w:widowControl/>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6A9157E">
      <w:pPr>
        <w:widowControl/>
        <w:snapToGrid w:val="0"/>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特此承诺。</w:t>
      </w:r>
    </w:p>
    <w:p w14:paraId="7D3A0277">
      <w:pPr>
        <w:widowControl/>
        <w:snapToGrid w:val="0"/>
        <w:spacing w:line="360" w:lineRule="auto"/>
        <w:ind w:firstLine="480" w:firstLineChars="200"/>
        <w:outlineLvl w:val="9"/>
        <w:rPr>
          <w:rFonts w:hint="eastAsia" w:ascii="宋体" w:hAnsi="宋体" w:eastAsia="宋体" w:cs="宋体"/>
          <w:color w:val="auto"/>
          <w:sz w:val="24"/>
          <w:highlight w:val="none"/>
        </w:rPr>
      </w:pPr>
    </w:p>
    <w:p w14:paraId="35AE83DA">
      <w:pPr>
        <w:widowControl/>
        <w:snapToGrid w:val="0"/>
        <w:spacing w:line="360" w:lineRule="auto"/>
        <w:ind w:firstLine="480" w:firstLineChars="200"/>
        <w:outlineLvl w:val="9"/>
        <w:rPr>
          <w:rFonts w:hint="eastAsia" w:ascii="宋体" w:hAnsi="宋体" w:eastAsia="宋体" w:cs="宋体"/>
          <w:color w:val="auto"/>
          <w:sz w:val="24"/>
          <w:highlight w:val="none"/>
        </w:rPr>
      </w:pPr>
    </w:p>
    <w:p w14:paraId="3AEB0530">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887FDCC">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法定</w:t>
      </w:r>
      <w:r>
        <w:rPr>
          <w:rFonts w:hint="eastAsia" w:ascii="宋体" w:hAnsi="宋体" w:eastAsia="宋体" w:cs="宋体"/>
          <w:color w:val="auto"/>
          <w:sz w:val="24"/>
          <w:highlight w:val="none"/>
        </w:rPr>
        <w:t>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00C27543">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6F014688">
      <w:pPr>
        <w:spacing w:line="480" w:lineRule="exact"/>
        <w:outlineLvl w:val="9"/>
        <w:rPr>
          <w:rFonts w:hint="eastAsia" w:ascii="宋体" w:hAnsi="宋体" w:eastAsia="宋体" w:cs="宋体"/>
          <w:color w:val="auto"/>
          <w:sz w:val="24"/>
          <w:highlight w:val="none"/>
        </w:rPr>
      </w:pPr>
    </w:p>
    <w:p w14:paraId="59AED383">
      <w:pPr>
        <w:snapToGrid w:val="0"/>
        <w:spacing w:line="360" w:lineRule="auto"/>
        <w:outlineLvl w:val="9"/>
        <w:rPr>
          <w:rFonts w:hint="eastAsia" w:ascii="宋体" w:hAnsi="宋体" w:eastAsia="宋体" w:cs="宋体"/>
          <w:color w:val="auto"/>
          <w:kern w:val="0"/>
          <w:szCs w:val="21"/>
          <w:highlight w:val="none"/>
        </w:rPr>
      </w:pPr>
    </w:p>
    <w:p w14:paraId="4A0B4088">
      <w:pPr>
        <w:snapToGrid w:val="0"/>
        <w:spacing w:line="360" w:lineRule="auto"/>
        <w:outlineLvl w:val="2"/>
        <w:rPr>
          <w:rFonts w:hint="eastAsia" w:ascii="宋体" w:hAnsi="宋体" w:eastAsia="宋体" w:cs="宋体"/>
          <w:color w:val="auto"/>
          <w:sz w:val="24"/>
          <w:highlight w:val="none"/>
          <w:lang w:eastAsia="zh-CN"/>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rPr>
        <w:t>5．</w:t>
      </w:r>
      <w:r>
        <w:rPr>
          <w:rFonts w:hint="eastAsia" w:ascii="宋体" w:hAnsi="宋体" w:eastAsia="宋体" w:cs="宋体"/>
          <w:b/>
          <w:bCs/>
          <w:color w:val="auto"/>
          <w:sz w:val="24"/>
          <w:highlight w:val="none"/>
        </w:rPr>
        <w:t>参加政府采购活动前三年内，在经营活动中没有重大违法记录</w:t>
      </w:r>
      <w:r>
        <w:rPr>
          <w:rFonts w:hint="eastAsia" w:ascii="宋体" w:hAnsi="宋体" w:eastAsia="宋体" w:cs="宋体"/>
          <w:b/>
          <w:color w:val="auto"/>
          <w:sz w:val="24"/>
          <w:highlight w:val="none"/>
          <w:lang w:val="en-US" w:eastAsia="zh-CN"/>
        </w:rPr>
        <w:t>信用承诺书</w:t>
      </w:r>
    </w:p>
    <w:p w14:paraId="1A3A7E54">
      <w:pPr>
        <w:keepNext w:val="0"/>
        <w:keepLines w:val="0"/>
        <w:pageBreakBefore w:val="0"/>
        <w:widowControl w:val="0"/>
        <w:kinsoku/>
        <w:overflowPunct/>
        <w:topLinePunct w:val="0"/>
        <w:autoSpaceDE/>
        <w:autoSpaceDN/>
        <w:bidi w:val="0"/>
        <w:adjustRightInd/>
        <w:jc w:val="center"/>
        <w:textAlignment w:val="auto"/>
        <w:outlineLvl w:val="9"/>
        <w:rPr>
          <w:rFonts w:hint="eastAsia" w:ascii="宋体" w:hAnsi="宋体" w:eastAsia="宋体" w:cs="宋体"/>
          <w:b/>
          <w:color w:val="auto"/>
          <w:spacing w:val="0"/>
          <w:sz w:val="24"/>
          <w:highlight w:val="none"/>
        </w:rPr>
      </w:pPr>
    </w:p>
    <w:p w14:paraId="61572795">
      <w:pPr>
        <w:keepNext w:val="0"/>
        <w:keepLines w:val="0"/>
        <w:pageBreakBefore w:val="0"/>
        <w:widowControl w:val="0"/>
        <w:kinsoku/>
        <w:overflowPunct/>
        <w:topLinePunct w:val="0"/>
        <w:autoSpaceDE/>
        <w:autoSpaceDN/>
        <w:bidi w:val="0"/>
        <w:adjustRightInd/>
        <w:jc w:val="center"/>
        <w:textAlignment w:val="auto"/>
        <w:outlineLvl w:val="9"/>
        <w:rPr>
          <w:rFonts w:hint="eastAsia" w:ascii="宋体" w:hAnsi="宋体" w:eastAsia="宋体" w:cs="宋体"/>
          <w:b/>
          <w:color w:val="auto"/>
          <w:spacing w:val="20"/>
          <w:sz w:val="24"/>
          <w:highlight w:val="none"/>
          <w:lang w:val="en-US" w:eastAsia="zh-CN"/>
        </w:rPr>
      </w:pPr>
      <w:r>
        <w:rPr>
          <w:rFonts w:hint="eastAsia" w:ascii="宋体" w:hAnsi="宋体" w:eastAsia="宋体" w:cs="宋体"/>
          <w:b/>
          <w:color w:val="auto"/>
          <w:spacing w:val="0"/>
          <w:sz w:val="24"/>
          <w:highlight w:val="none"/>
          <w:lang w:val="en-US" w:eastAsia="zh-CN"/>
        </w:rPr>
        <w:t>投标人</w:t>
      </w:r>
      <w:r>
        <w:rPr>
          <w:rFonts w:hint="eastAsia" w:ascii="宋体" w:hAnsi="宋体" w:eastAsia="宋体" w:cs="宋体"/>
          <w:b/>
          <w:bCs/>
          <w:color w:val="auto"/>
          <w:sz w:val="24"/>
          <w:highlight w:val="none"/>
        </w:rPr>
        <w:t>参加政府采购活动前三年内，在经营活动中没有重大违法记录</w:t>
      </w:r>
      <w:r>
        <w:rPr>
          <w:rFonts w:hint="eastAsia" w:ascii="宋体" w:hAnsi="宋体" w:eastAsia="宋体" w:cs="宋体"/>
          <w:b/>
          <w:color w:val="auto"/>
          <w:sz w:val="24"/>
          <w:highlight w:val="none"/>
          <w:lang w:val="en-US" w:eastAsia="zh-CN"/>
        </w:rPr>
        <w:t>信用承诺书</w:t>
      </w:r>
    </w:p>
    <w:p w14:paraId="6A715350">
      <w:pPr>
        <w:keepNext w:val="0"/>
        <w:keepLines w:val="0"/>
        <w:pageBreakBefore w:val="0"/>
        <w:widowControl w:val="0"/>
        <w:kinsoku/>
        <w:overflowPunct/>
        <w:topLinePunct w:val="0"/>
        <w:autoSpaceDE/>
        <w:autoSpaceDN/>
        <w:bidi w:val="0"/>
        <w:adjustRightInd/>
        <w:spacing w:line="330" w:lineRule="atLeast"/>
        <w:jc w:val="left"/>
        <w:textAlignment w:val="auto"/>
        <w:outlineLvl w:val="9"/>
        <w:rPr>
          <w:rFonts w:hint="eastAsia" w:ascii="宋体" w:hAnsi="宋体" w:eastAsia="宋体" w:cs="宋体"/>
          <w:color w:val="auto"/>
          <w:kern w:val="0"/>
          <w:sz w:val="21"/>
          <w:szCs w:val="21"/>
          <w:highlight w:val="none"/>
          <w:lang w:val="en-US" w:eastAsia="zh-CN" w:bidi="ar-SA"/>
        </w:rPr>
      </w:pPr>
    </w:p>
    <w:p w14:paraId="7E3A6B26">
      <w:pPr>
        <w:keepNext w:val="0"/>
        <w:keepLines w:val="0"/>
        <w:pageBreakBefore w:val="0"/>
        <w:widowControl w:val="0"/>
        <w:kinsoku/>
        <w:overflowPunct/>
        <w:topLinePunct w:val="0"/>
        <w:autoSpaceDE/>
        <w:autoSpaceDN/>
        <w:bidi w:val="0"/>
        <w:adjustRightInd/>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（采购人名称）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p>
    <w:p w14:paraId="575B608E">
      <w:pPr>
        <w:keepNext w:val="0"/>
        <w:keepLines w:val="0"/>
        <w:pageBreakBefore w:val="0"/>
        <w:widowControl w:val="0"/>
        <w:kinsoku/>
        <w:wordWrap w:val="0"/>
        <w:overflowPunct/>
        <w:topLinePunct w:val="0"/>
        <w:autoSpaceDE/>
        <w:autoSpaceDN/>
        <w:bidi w:val="0"/>
        <w:adjustRightInd/>
        <w:snapToGrid w:val="0"/>
        <w:spacing w:line="520" w:lineRule="exact"/>
        <w:ind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本投标人现参与贵公司组织的</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w:t>
      </w:r>
      <w:r>
        <w:rPr>
          <w:rFonts w:hint="eastAsia" w:ascii="宋体" w:hAnsi="宋体" w:eastAsia="宋体" w:cs="宋体"/>
          <w:color w:val="auto"/>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的采购活动。依据</w:t>
      </w:r>
      <w:r>
        <w:rPr>
          <w:rFonts w:hint="eastAsia" w:ascii="宋体" w:hAnsi="宋体" w:eastAsia="宋体" w:cs="宋体"/>
          <w:color w:val="auto"/>
          <w:kern w:val="2"/>
          <w:sz w:val="24"/>
          <w:szCs w:val="28"/>
          <w:highlight w:val="none"/>
          <w:lang w:val="en-US" w:eastAsia="zh-CN" w:bidi="ar-SA"/>
        </w:rPr>
        <w:t>招标文件</w:t>
      </w:r>
      <w:r>
        <w:rPr>
          <w:rFonts w:hint="eastAsia" w:ascii="宋体" w:hAnsi="宋体" w:eastAsia="宋体" w:cs="宋体"/>
          <w:color w:val="auto"/>
          <w:kern w:val="2"/>
          <w:sz w:val="24"/>
          <w:szCs w:val="24"/>
          <w:highlight w:val="none"/>
          <w:lang w:val="en-US" w:eastAsia="zh-CN" w:bidi="ar-SA"/>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失信主体名单均为0记录；在中国政府采购网（http://www.ccgp.gov.cn）中的政府采购严重违法失信行为信息记录也为0记录。</w:t>
      </w:r>
    </w:p>
    <w:p w14:paraId="32313B5F">
      <w:pPr>
        <w:keepNext w:val="0"/>
        <w:keepLines w:val="0"/>
        <w:pageBreakBefore w:val="0"/>
        <w:widowControl w:val="0"/>
        <w:kinsoku/>
        <w:overflowPunct/>
        <w:topLinePunct w:val="0"/>
        <w:autoSpaceDE/>
        <w:autoSpaceDN/>
        <w:bidi w:val="0"/>
        <w:adjustRightInd/>
        <w:snapToGrid w:val="0"/>
        <w:spacing w:line="520" w:lineRule="exact"/>
        <w:ind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以上承诺信息如有虚假或隐瞒，我方愿意承担一切后果，并不再寻求任何旨在减轻或免除法律责任的辩解。 </w:t>
      </w:r>
    </w:p>
    <w:p w14:paraId="03738D07">
      <w:pPr>
        <w:keepNext w:val="0"/>
        <w:keepLines w:val="0"/>
        <w:pageBreakBefore w:val="0"/>
        <w:widowControl w:val="0"/>
        <w:kinsoku/>
        <w:overflowPunct/>
        <w:topLinePunct w:val="0"/>
        <w:autoSpaceDE/>
        <w:autoSpaceDN/>
        <w:bidi w:val="0"/>
        <w:adjustRightInd/>
        <w:snapToGrid w:val="0"/>
        <w:spacing w:line="520" w:lineRule="exact"/>
        <w:ind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特此承诺</w:t>
      </w:r>
    </w:p>
    <w:p w14:paraId="3800C88D">
      <w:pPr>
        <w:keepNext w:val="0"/>
        <w:keepLines w:val="0"/>
        <w:pageBreakBefore w:val="0"/>
        <w:widowControl w:val="0"/>
        <w:kinsoku/>
        <w:overflowPunct/>
        <w:topLinePunct w:val="0"/>
        <w:autoSpaceDE/>
        <w:autoSpaceDN/>
        <w:bidi w:val="0"/>
        <w:adjustRightInd/>
        <w:snapToGrid w:val="0"/>
        <w:spacing w:line="520" w:lineRule="exact"/>
        <w:ind w:firstLine="480" w:firstLineChars="200"/>
        <w:jc w:val="center"/>
        <w:textAlignment w:val="auto"/>
        <w:outlineLvl w:val="9"/>
        <w:rPr>
          <w:rFonts w:hint="eastAsia" w:ascii="宋体" w:hAnsi="宋体" w:eastAsia="宋体" w:cs="宋体"/>
          <w:color w:val="auto"/>
          <w:kern w:val="2"/>
          <w:sz w:val="24"/>
          <w:szCs w:val="24"/>
          <w:highlight w:val="none"/>
          <w:lang w:val="en-US" w:eastAsia="zh-CN" w:bidi="ar-SA"/>
        </w:rPr>
      </w:pPr>
    </w:p>
    <w:p w14:paraId="48C081AE">
      <w:pPr>
        <w:keepNext w:val="0"/>
        <w:keepLines w:val="0"/>
        <w:pageBreakBefore w:val="0"/>
        <w:widowControl w:val="0"/>
        <w:kinsoku/>
        <w:overflowPunct/>
        <w:topLinePunct w:val="0"/>
        <w:autoSpaceDE/>
        <w:autoSpaceDN/>
        <w:bidi w:val="0"/>
        <w:adjustRightInd/>
        <w:snapToGrid w:val="0"/>
        <w:spacing w:line="520" w:lineRule="exact"/>
        <w:ind w:firstLine="480" w:firstLineChars="200"/>
        <w:jc w:val="center"/>
        <w:textAlignment w:val="auto"/>
        <w:outlineLvl w:val="9"/>
        <w:rPr>
          <w:rFonts w:hint="eastAsia" w:ascii="宋体" w:hAnsi="宋体" w:eastAsia="宋体" w:cs="宋体"/>
          <w:color w:val="auto"/>
          <w:kern w:val="2"/>
          <w:sz w:val="24"/>
          <w:szCs w:val="24"/>
          <w:highlight w:val="none"/>
          <w:lang w:val="en-US" w:eastAsia="zh-CN" w:bidi="ar-SA"/>
        </w:rPr>
      </w:pPr>
    </w:p>
    <w:p w14:paraId="2749828B">
      <w:pPr>
        <w:keepNext w:val="0"/>
        <w:keepLines w:val="0"/>
        <w:pageBreakBefore w:val="0"/>
        <w:widowControl w:val="0"/>
        <w:kinsoku/>
        <w:overflowPunct/>
        <w:topLinePunct w:val="0"/>
        <w:autoSpaceDE/>
        <w:autoSpaceDN/>
        <w:bidi w:val="0"/>
        <w:adjustRightInd/>
        <w:snapToGrid w:val="0"/>
        <w:spacing w:line="520" w:lineRule="exact"/>
        <w:ind w:firstLine="480" w:firstLineChars="200"/>
        <w:jc w:val="center"/>
        <w:textAlignment w:val="auto"/>
        <w:outlineLvl w:val="9"/>
        <w:rPr>
          <w:rFonts w:hint="eastAsia" w:ascii="宋体" w:hAnsi="宋体" w:eastAsia="宋体" w:cs="宋体"/>
          <w:color w:val="auto"/>
          <w:kern w:val="2"/>
          <w:sz w:val="24"/>
          <w:szCs w:val="24"/>
          <w:highlight w:val="none"/>
          <w:lang w:val="en-US" w:eastAsia="zh-CN" w:bidi="ar-SA"/>
        </w:rPr>
      </w:pPr>
    </w:p>
    <w:p w14:paraId="66C2964F">
      <w:pPr>
        <w:keepNext w:val="0"/>
        <w:keepLines w:val="0"/>
        <w:pageBreakBefore w:val="0"/>
        <w:widowControl w:val="0"/>
        <w:kinsoku/>
        <w:overflowPunct/>
        <w:topLinePunct w:val="0"/>
        <w:autoSpaceDE/>
        <w:autoSpaceDN/>
        <w:bidi w:val="0"/>
        <w:adjustRightInd/>
        <w:snapToGrid w:val="0"/>
        <w:spacing w:line="520" w:lineRule="exact"/>
        <w:ind w:firstLine="480" w:firstLineChars="200"/>
        <w:jc w:val="center"/>
        <w:textAlignment w:val="auto"/>
        <w:outlineLvl w:val="9"/>
        <w:rPr>
          <w:rFonts w:hint="eastAsia" w:ascii="宋体" w:hAnsi="宋体" w:eastAsia="宋体" w:cs="宋体"/>
          <w:color w:val="auto"/>
          <w:kern w:val="2"/>
          <w:sz w:val="24"/>
          <w:szCs w:val="24"/>
          <w:highlight w:val="none"/>
          <w:lang w:val="en-US" w:eastAsia="zh-CN" w:bidi="ar-SA"/>
        </w:rPr>
      </w:pPr>
    </w:p>
    <w:p w14:paraId="4DFBA853">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44B2DB77">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法定</w:t>
      </w:r>
      <w:r>
        <w:rPr>
          <w:rFonts w:hint="eastAsia" w:ascii="宋体" w:hAnsi="宋体" w:eastAsia="宋体" w:cs="宋体"/>
          <w:color w:val="auto"/>
          <w:sz w:val="24"/>
          <w:highlight w:val="none"/>
        </w:rPr>
        <w:t>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DEA126A">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3E7F390E">
      <w:pPr>
        <w:snapToGrid w:val="0"/>
        <w:spacing w:line="360" w:lineRule="auto"/>
        <w:outlineLvl w:val="9"/>
        <w:rPr>
          <w:rFonts w:hint="eastAsia" w:ascii="宋体" w:hAnsi="宋体" w:eastAsia="宋体" w:cs="宋体"/>
          <w:color w:val="auto"/>
          <w:sz w:val="24"/>
          <w:highlight w:val="none"/>
        </w:rPr>
      </w:pPr>
    </w:p>
    <w:p w14:paraId="4AC5C90C">
      <w:pPr>
        <w:snapToGrid w:val="0"/>
        <w:spacing w:line="360" w:lineRule="auto"/>
        <w:outlineLvl w:val="9"/>
        <w:rPr>
          <w:rFonts w:hint="eastAsia" w:ascii="宋体" w:hAnsi="宋体" w:eastAsia="宋体" w:cs="宋体"/>
          <w:color w:val="auto"/>
          <w:sz w:val="24"/>
          <w:highlight w:val="none"/>
        </w:rPr>
      </w:pPr>
    </w:p>
    <w:p w14:paraId="58E1D3FB">
      <w:pP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br w:type="page"/>
      </w:r>
    </w:p>
    <w:p w14:paraId="03C6042A">
      <w:pPr>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6．单位负责人为同一人或者存在直接控股、管理关系的不同投标人，不得参加同一合同项下的政府招标活动</w:t>
      </w:r>
      <w:r>
        <w:rPr>
          <w:rFonts w:hint="eastAsia" w:ascii="宋体" w:hAnsi="宋体" w:eastAsia="宋体" w:cs="宋体"/>
          <w:b/>
          <w:color w:val="auto"/>
          <w:kern w:val="0"/>
          <w:sz w:val="24"/>
          <w:highlight w:val="none"/>
        </w:rPr>
        <w:t>的承诺函</w:t>
      </w:r>
    </w:p>
    <w:p w14:paraId="66503AAD">
      <w:pPr>
        <w:snapToGrid w:val="0"/>
        <w:spacing w:line="400" w:lineRule="exact"/>
        <w:jc w:val="left"/>
        <w:rPr>
          <w:rFonts w:hint="eastAsia" w:ascii="宋体" w:hAnsi="宋体" w:eastAsia="宋体" w:cs="宋体"/>
          <w:b/>
          <w:color w:val="auto"/>
          <w:kern w:val="0"/>
          <w:sz w:val="24"/>
          <w:highlight w:val="none"/>
        </w:rPr>
      </w:pPr>
    </w:p>
    <w:p w14:paraId="4B35C34C">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单位负责人为同一人或者存在直接控股、管理关系的不同投标人，不得参加同一合同项下的政府招标活动的承诺函</w:t>
      </w:r>
    </w:p>
    <w:p w14:paraId="43CA55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（采购人名称）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p>
    <w:p w14:paraId="2DB25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71527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）的采购活动，现承诺本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不存在与单位负责人为同一人或者存在直接控股、管理关系的不同投标人，不得参加同一合同项下的政府招标活动的情形。</w:t>
      </w:r>
    </w:p>
    <w:p w14:paraId="7D8316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以上承诺信息如有虚假或隐瞒，我方愿意承担一切后果，并不再寻求任何旨在减轻或免除法律责任的辩解。</w:t>
      </w:r>
    </w:p>
    <w:p w14:paraId="4F87D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C0575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5E36CB4">
      <w:pPr>
        <w:spacing w:line="360" w:lineRule="auto"/>
        <w:ind w:firstLine="480" w:firstLineChars="200"/>
        <w:rPr>
          <w:rFonts w:hint="eastAsia" w:ascii="宋体" w:hAnsi="宋体" w:eastAsia="宋体" w:cs="宋体"/>
          <w:color w:val="auto"/>
          <w:sz w:val="24"/>
          <w:szCs w:val="24"/>
          <w:highlight w:val="none"/>
        </w:rPr>
      </w:pPr>
    </w:p>
    <w:p w14:paraId="31CDC0E4">
      <w:pPr>
        <w:spacing w:line="360" w:lineRule="auto"/>
        <w:rPr>
          <w:rFonts w:hint="eastAsia" w:ascii="宋体" w:hAnsi="宋体" w:eastAsia="宋体" w:cs="宋体"/>
          <w:color w:val="auto"/>
          <w:sz w:val="24"/>
          <w:szCs w:val="24"/>
          <w:highlight w:val="none"/>
        </w:rPr>
      </w:pPr>
    </w:p>
    <w:p w14:paraId="3DF4017A">
      <w:pPr>
        <w:bidi w:val="0"/>
        <w:rPr>
          <w:rFonts w:hint="eastAsia" w:ascii="宋体" w:hAnsi="宋体" w:eastAsia="宋体" w:cs="宋体"/>
          <w:color w:val="auto"/>
          <w:sz w:val="24"/>
          <w:szCs w:val="24"/>
          <w:highlight w:val="none"/>
        </w:rPr>
      </w:pPr>
    </w:p>
    <w:p w14:paraId="1199616A">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40430007">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法定</w:t>
      </w:r>
      <w:r>
        <w:rPr>
          <w:rFonts w:hint="eastAsia" w:ascii="宋体" w:hAnsi="宋体" w:eastAsia="宋体" w:cs="宋体"/>
          <w:color w:val="auto"/>
          <w:sz w:val="24"/>
          <w:highlight w:val="none"/>
        </w:rPr>
        <w:t>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9114CBC">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5658B15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04B18635">
      <w:pPr>
        <w:snapToGrid w:val="0"/>
        <w:spacing w:line="360" w:lineRule="auto"/>
        <w:outlineLvl w:val="2"/>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b/>
          <w:color w:val="auto"/>
          <w:kern w:val="0"/>
          <w:sz w:val="24"/>
          <w:highlight w:val="none"/>
          <w:lang w:val="en-US" w:eastAsia="zh-CN"/>
        </w:rPr>
        <w:t>7．投标</w:t>
      </w:r>
      <w:r>
        <w:rPr>
          <w:rFonts w:hint="eastAsia" w:ascii="宋体" w:hAnsi="宋体" w:eastAsia="宋体" w:cs="宋体"/>
          <w:b/>
          <w:color w:val="auto"/>
          <w:kern w:val="0"/>
          <w:sz w:val="24"/>
          <w:szCs w:val="24"/>
          <w:highlight w:val="none"/>
          <w:lang w:val="en-US" w:eastAsia="zh-CN" w:bidi="ar-SA"/>
        </w:rPr>
        <w:t>人</w:t>
      </w:r>
      <w:r>
        <w:rPr>
          <w:rFonts w:hint="eastAsia" w:ascii="宋体" w:hAnsi="宋体" w:eastAsia="宋体" w:cs="宋体"/>
          <w:b/>
          <w:color w:val="auto"/>
          <w:kern w:val="0"/>
          <w:sz w:val="24"/>
          <w:szCs w:val="21"/>
          <w:highlight w:val="none"/>
          <w:lang w:val="en-US" w:eastAsia="zh-CN" w:bidi="ar-SA"/>
        </w:rPr>
        <w:t>廉洁自律承诺书</w:t>
      </w:r>
    </w:p>
    <w:p w14:paraId="5B8ABA4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color w:val="auto"/>
          <w:spacing w:val="20"/>
          <w:sz w:val="24"/>
          <w:highlight w:val="none"/>
        </w:rPr>
      </w:pPr>
    </w:p>
    <w:p w14:paraId="2211A9B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color w:val="auto"/>
          <w:spacing w:val="20"/>
          <w:sz w:val="24"/>
          <w:highlight w:val="none"/>
        </w:rPr>
      </w:pPr>
      <w:r>
        <w:rPr>
          <w:rFonts w:hint="eastAsia" w:ascii="宋体" w:hAnsi="宋体" w:eastAsia="宋体" w:cs="宋体"/>
          <w:b/>
          <w:color w:val="auto"/>
          <w:spacing w:val="20"/>
          <w:sz w:val="24"/>
          <w:highlight w:val="none"/>
          <w:lang w:eastAsia="zh-CN"/>
        </w:rPr>
        <w:t>投标人</w:t>
      </w:r>
      <w:r>
        <w:rPr>
          <w:rFonts w:hint="eastAsia" w:ascii="宋体" w:hAnsi="宋体" w:eastAsia="宋体" w:cs="宋体"/>
          <w:b/>
          <w:color w:val="auto"/>
          <w:spacing w:val="20"/>
          <w:sz w:val="24"/>
          <w:highlight w:val="none"/>
        </w:rPr>
        <w:t>廉洁自律承诺书</w:t>
      </w:r>
    </w:p>
    <w:p w14:paraId="0DB73C3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highlight w:val="none"/>
          <w:u w:val="single"/>
        </w:rPr>
      </w:pPr>
    </w:p>
    <w:p w14:paraId="52DD406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（采购人名称）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p>
    <w:p w14:paraId="4D6EDE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为维护本次</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工作的正常秩序，本公司特郑重承诺如下：</w:t>
      </w:r>
    </w:p>
    <w:p w14:paraId="4F4FF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一、严格按照</w:t>
      </w:r>
      <w:r>
        <w:rPr>
          <w:rFonts w:hint="eastAsia" w:ascii="宋体" w:hAnsi="宋体" w:eastAsia="宋体" w:cs="宋体"/>
          <w:color w:val="auto"/>
          <w:sz w:val="24"/>
          <w:highlight w:val="none"/>
          <w:lang w:val="en-US" w:eastAsia="zh-CN"/>
        </w:rPr>
        <w:t>采购人的</w:t>
      </w:r>
      <w:r>
        <w:rPr>
          <w:rFonts w:hint="eastAsia" w:ascii="宋体" w:hAnsi="宋体" w:eastAsia="宋体" w:cs="宋体"/>
          <w:color w:val="auto"/>
          <w:sz w:val="24"/>
          <w:highlight w:val="none"/>
        </w:rPr>
        <w:t>有关</w:t>
      </w:r>
      <w:r>
        <w:rPr>
          <w:rFonts w:hint="eastAsia" w:ascii="宋体" w:hAnsi="宋体" w:eastAsia="宋体" w:cs="宋体"/>
          <w:color w:val="auto"/>
          <w:sz w:val="24"/>
          <w:highlight w:val="none"/>
          <w:lang w:val="en-US" w:eastAsia="zh-CN"/>
        </w:rPr>
        <w:t>规定</w:t>
      </w:r>
      <w:r>
        <w:rPr>
          <w:rFonts w:hint="eastAsia" w:ascii="宋体" w:hAnsi="宋体" w:eastAsia="宋体" w:cs="宋体"/>
          <w:color w:val="auto"/>
          <w:sz w:val="24"/>
          <w:highlight w:val="none"/>
        </w:rPr>
        <w:t>及</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文件的规定，规范本公司的行为，保证做到合法参与本次采购活动、正当竞争、廉洁经营。</w:t>
      </w:r>
    </w:p>
    <w:p w14:paraId="355D1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二、本公司保证在本次采购工作中做到：</w:t>
      </w:r>
    </w:p>
    <w:p w14:paraId="38E9F3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1．不与其他</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相互串通参与</w:t>
      </w:r>
      <w:r>
        <w:rPr>
          <w:rFonts w:hint="eastAsia" w:ascii="宋体" w:hAnsi="宋体" w:eastAsia="宋体" w:cs="宋体"/>
          <w:color w:val="auto"/>
          <w:sz w:val="24"/>
          <w:highlight w:val="none"/>
          <w:lang w:val="en-US" w:eastAsia="zh-CN"/>
        </w:rPr>
        <w:t>本采购项目</w:t>
      </w:r>
      <w:r>
        <w:rPr>
          <w:rFonts w:hint="eastAsia" w:ascii="宋体" w:hAnsi="宋体" w:eastAsia="宋体" w:cs="宋体"/>
          <w:color w:val="auto"/>
          <w:sz w:val="24"/>
          <w:highlight w:val="none"/>
        </w:rPr>
        <w:t>、陪标，损害贵单位的合法权益；</w:t>
      </w:r>
    </w:p>
    <w:p w14:paraId="5B50F3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2．不与用户串通参与</w:t>
      </w:r>
      <w:r>
        <w:rPr>
          <w:rFonts w:hint="eastAsia" w:ascii="宋体" w:hAnsi="宋体" w:eastAsia="宋体" w:cs="宋体"/>
          <w:color w:val="auto"/>
          <w:sz w:val="24"/>
          <w:highlight w:val="none"/>
          <w:lang w:val="en-US" w:eastAsia="zh-CN"/>
        </w:rPr>
        <w:t>本采购项目</w:t>
      </w:r>
      <w:r>
        <w:rPr>
          <w:rFonts w:hint="eastAsia" w:ascii="宋体" w:hAnsi="宋体" w:eastAsia="宋体" w:cs="宋体"/>
          <w:color w:val="auto"/>
          <w:sz w:val="24"/>
          <w:highlight w:val="none"/>
        </w:rPr>
        <w:t>，损害学校利益或他人的合法权益；</w:t>
      </w:r>
    </w:p>
    <w:p w14:paraId="7D3BD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3．不以向用户、采购代理机构或者</w:t>
      </w:r>
      <w:r>
        <w:rPr>
          <w:rFonts w:hint="eastAsia" w:ascii="宋体" w:hAnsi="宋体" w:eastAsia="宋体" w:cs="宋体"/>
          <w:color w:val="auto"/>
          <w:sz w:val="24"/>
          <w:highlight w:val="none"/>
          <w:lang w:val="en-US" w:eastAsia="zh-CN"/>
        </w:rPr>
        <w:t>评审组</w:t>
      </w:r>
      <w:r>
        <w:rPr>
          <w:rFonts w:hint="eastAsia" w:ascii="宋体" w:hAnsi="宋体" w:eastAsia="宋体" w:cs="宋体"/>
          <w:color w:val="auto"/>
          <w:sz w:val="24"/>
          <w:highlight w:val="none"/>
        </w:rPr>
        <w:t>成员行贿的手段谋取成交；（包括送礼金礼品、有价证券、购物券、回扣、佣金、咨询费、劳务费、赞助费、宣传费、支付旅游费用、报销各种消费凭证、宴请、娱乐等）；</w:t>
      </w:r>
    </w:p>
    <w:p w14:paraId="2F35A8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4．不利用他人名义参与</w:t>
      </w:r>
      <w:r>
        <w:rPr>
          <w:rFonts w:hint="eastAsia" w:ascii="宋体" w:hAnsi="宋体" w:eastAsia="宋体" w:cs="宋体"/>
          <w:color w:val="auto"/>
          <w:sz w:val="24"/>
          <w:highlight w:val="none"/>
          <w:lang w:val="en-US" w:eastAsia="zh-CN"/>
        </w:rPr>
        <w:t>本采购项目</w:t>
      </w:r>
      <w:r>
        <w:rPr>
          <w:rFonts w:hint="eastAsia" w:ascii="宋体" w:hAnsi="宋体" w:eastAsia="宋体" w:cs="宋体"/>
          <w:color w:val="auto"/>
          <w:sz w:val="24"/>
          <w:highlight w:val="none"/>
        </w:rPr>
        <w:t>或者以其他方式弄虚作假，谋取成交；</w:t>
      </w:r>
    </w:p>
    <w:p w14:paraId="392887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5．保证不以其他任何方式扰乱本次采购工作；</w:t>
      </w:r>
    </w:p>
    <w:p w14:paraId="3F510D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6．保证严格遵守采购会议纪律。</w:t>
      </w:r>
    </w:p>
    <w:p w14:paraId="35153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三、我公司承诺在本次采购活动中，如有违反以上第二条中的行为，同意贵方上报主管部门，按</w:t>
      </w:r>
      <w:r>
        <w:rPr>
          <w:rFonts w:hint="eastAsia" w:ascii="宋体" w:hAnsi="宋体" w:eastAsia="宋体" w:cs="宋体"/>
          <w:color w:val="auto"/>
          <w:sz w:val="24"/>
          <w:highlight w:val="none"/>
          <w:lang w:val="en-US" w:eastAsia="zh-CN"/>
        </w:rPr>
        <w:t>学校</w:t>
      </w:r>
      <w:r>
        <w:rPr>
          <w:rFonts w:hint="eastAsia" w:ascii="宋体" w:hAnsi="宋体" w:eastAsia="宋体" w:cs="宋体"/>
          <w:color w:val="auto"/>
          <w:sz w:val="24"/>
          <w:highlight w:val="none"/>
        </w:rPr>
        <w:t>有关</w:t>
      </w:r>
      <w:r>
        <w:rPr>
          <w:rFonts w:hint="eastAsia" w:ascii="宋体" w:hAnsi="宋体" w:eastAsia="宋体" w:cs="宋体"/>
          <w:color w:val="auto"/>
          <w:sz w:val="24"/>
          <w:highlight w:val="none"/>
          <w:lang w:val="en-US" w:eastAsia="zh-CN"/>
        </w:rPr>
        <w:t>规定</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文件之规定，给予进入不良信誉记录、扣除保证金等惩罚，我公司及项目参与人员完全接受。</w:t>
      </w:r>
    </w:p>
    <w:p w14:paraId="6BEF09A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6803F74">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491C5372">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法定</w:t>
      </w:r>
      <w:r>
        <w:rPr>
          <w:rFonts w:hint="eastAsia" w:ascii="宋体" w:hAnsi="宋体" w:eastAsia="宋体" w:cs="宋体"/>
          <w:color w:val="auto"/>
          <w:sz w:val="24"/>
          <w:highlight w:val="none"/>
        </w:rPr>
        <w:t>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886B696">
      <w:pPr>
        <w:snapToGrid w:val="0"/>
        <w:spacing w:line="480" w:lineRule="exact"/>
        <w:ind w:firstLine="3120" w:firstLineChars="13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7463E93F">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8FB6A24">
      <w:pPr>
        <w:snapToGrid w:val="0"/>
        <w:spacing w:line="360" w:lineRule="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8</w:t>
      </w:r>
      <w:r>
        <w:rPr>
          <w:rFonts w:hint="eastAsia" w:ascii="宋体" w:hAnsi="宋体" w:eastAsia="宋体" w:cs="宋体"/>
          <w:b/>
          <w:color w:val="auto"/>
          <w:kern w:val="0"/>
          <w:sz w:val="24"/>
          <w:highlight w:val="none"/>
          <w:lang w:val="en-US" w:eastAsia="zh-CN"/>
        </w:rPr>
        <w:t>．</w:t>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rPr>
        <w:t>保证金</w:t>
      </w:r>
      <w:r>
        <w:rPr>
          <w:rFonts w:hint="eastAsia" w:ascii="宋体" w:hAnsi="宋体" w:eastAsia="宋体" w:cs="宋体"/>
          <w:b/>
          <w:bCs/>
          <w:color w:val="auto"/>
          <w:sz w:val="24"/>
          <w:highlight w:val="none"/>
          <w:lang w:val="en-US" w:eastAsia="zh-CN"/>
        </w:rPr>
        <w:t>提交</w:t>
      </w:r>
      <w:r>
        <w:rPr>
          <w:rFonts w:hint="eastAsia" w:ascii="宋体" w:hAnsi="宋体" w:eastAsia="宋体" w:cs="宋体"/>
          <w:b/>
          <w:bCs/>
          <w:color w:val="auto"/>
          <w:sz w:val="24"/>
          <w:highlight w:val="none"/>
        </w:rPr>
        <w:t>凭证（加盖</w:t>
      </w:r>
      <w:r>
        <w:rPr>
          <w:rFonts w:hint="eastAsia" w:ascii="宋体" w:hAnsi="宋体" w:eastAsia="宋体" w:cs="宋体"/>
          <w:b/>
          <w:bCs/>
          <w:color w:val="auto"/>
          <w:sz w:val="24"/>
          <w:highlight w:val="none"/>
          <w:lang w:val="en-US" w:eastAsia="zh-CN"/>
        </w:rPr>
        <w:t>投标人</w:t>
      </w:r>
      <w:r>
        <w:rPr>
          <w:rFonts w:hint="eastAsia" w:ascii="宋体" w:hAnsi="宋体" w:eastAsia="宋体" w:cs="宋体"/>
          <w:b/>
          <w:bCs/>
          <w:color w:val="auto"/>
          <w:sz w:val="24"/>
          <w:highlight w:val="none"/>
        </w:rPr>
        <w:t>公章）</w:t>
      </w:r>
    </w:p>
    <w:p w14:paraId="3E4A0C1E">
      <w:pPr>
        <w:snapToGrid w:val="0"/>
        <w:spacing w:line="360" w:lineRule="auto"/>
        <w:outlineLvl w:val="2"/>
        <w:rPr>
          <w:rFonts w:hint="eastAsia" w:ascii="宋体" w:hAnsi="宋体" w:eastAsia="宋体" w:cs="宋体"/>
          <w:b/>
          <w:bCs/>
          <w:color w:val="auto"/>
          <w:kern w:val="0"/>
          <w:sz w:val="24"/>
          <w:szCs w:val="24"/>
          <w:highlight w:val="none"/>
          <w:lang w:val="en-US" w:eastAsia="zh-CN" w:bidi="ar-SA"/>
        </w:rPr>
        <w:sectPr>
          <w:pgSz w:w="11906" w:h="16838"/>
          <w:pgMar w:top="1417" w:right="1247" w:bottom="1417" w:left="124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B8B65EA">
      <w:pPr>
        <w:snapToGrid w:val="0"/>
        <w:spacing w:line="360" w:lineRule="auto"/>
        <w:outlineLvl w:val="2"/>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9</w:t>
      </w:r>
      <w:r>
        <w:rPr>
          <w:rFonts w:hint="eastAsia" w:ascii="宋体" w:hAnsi="宋体" w:eastAsia="宋体" w:cs="宋体"/>
          <w:b/>
          <w:color w:val="auto"/>
          <w:kern w:val="0"/>
          <w:sz w:val="24"/>
          <w:highlight w:val="none"/>
          <w:lang w:val="en-US" w:eastAsia="zh-CN"/>
        </w:rPr>
        <w:t>．</w:t>
      </w:r>
      <w:r>
        <w:rPr>
          <w:rFonts w:hint="eastAsia" w:ascii="宋体" w:hAnsi="宋体" w:eastAsia="宋体" w:cs="宋体"/>
          <w:b/>
          <w:bCs/>
          <w:color w:val="auto"/>
          <w:kern w:val="0"/>
          <w:sz w:val="24"/>
          <w:szCs w:val="24"/>
          <w:highlight w:val="none"/>
          <w:lang w:val="en-US" w:eastAsia="zh-CN" w:bidi="ar-SA"/>
        </w:rPr>
        <w:t>本项目的特定资格要求：</w:t>
      </w:r>
    </w:p>
    <w:p w14:paraId="11B1A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highlight w:val="none"/>
          <w:lang w:val="en-US" w:eastAsia="zh-CN"/>
        </w:rPr>
        <w:sectPr>
          <w:pgSz w:w="11906" w:h="16838"/>
          <w:pgMar w:top="1417" w:right="1247" w:bottom="1417" w:left="124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color w:val="auto"/>
          <w:sz w:val="24"/>
          <w:highlight w:val="none"/>
          <w:lang w:val="en-US" w:eastAsia="zh-CN"/>
        </w:rPr>
        <w:t>无</w:t>
      </w:r>
    </w:p>
    <w:p w14:paraId="7D774FF0">
      <w:pPr>
        <w:snapToGrid w:val="0"/>
        <w:spacing w:line="360" w:lineRule="auto"/>
        <w:outlineLvl w:val="2"/>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10</w:t>
      </w:r>
      <w:r>
        <w:rPr>
          <w:rFonts w:hint="eastAsia" w:ascii="宋体" w:hAnsi="宋体" w:eastAsia="宋体" w:cs="宋体"/>
          <w:b/>
          <w:color w:val="auto"/>
          <w:kern w:val="0"/>
          <w:sz w:val="24"/>
          <w:highlight w:val="none"/>
          <w:lang w:val="en-US" w:eastAsia="zh-CN"/>
        </w:rPr>
        <w:t>．</w:t>
      </w:r>
      <w:r>
        <w:rPr>
          <w:rFonts w:hint="eastAsia" w:ascii="宋体" w:hAnsi="宋体" w:eastAsia="宋体" w:cs="宋体"/>
          <w:b/>
          <w:color w:val="auto"/>
          <w:kern w:val="0"/>
          <w:sz w:val="24"/>
          <w:szCs w:val="24"/>
          <w:highlight w:val="none"/>
          <w:lang w:val="en-US" w:eastAsia="zh-CN" w:bidi="ar-SA"/>
        </w:rPr>
        <w:t>提供联合体协议书</w:t>
      </w:r>
      <w:r>
        <w:rPr>
          <w:rFonts w:hint="eastAsia" w:ascii="宋体" w:hAnsi="宋体" w:cs="宋体"/>
          <w:b/>
          <w:color w:val="auto"/>
          <w:kern w:val="0"/>
          <w:sz w:val="24"/>
          <w:szCs w:val="24"/>
          <w:highlight w:val="none"/>
          <w:lang w:val="en-US" w:eastAsia="zh-CN" w:bidi="ar-SA"/>
        </w:rPr>
        <w:t>（如有）</w:t>
      </w:r>
    </w:p>
    <w:p w14:paraId="439D24C2">
      <w:pPr>
        <w:rPr>
          <w:rFonts w:hint="eastAsia" w:ascii="宋体" w:hAnsi="宋体" w:eastAsia="宋体" w:cs="宋体"/>
          <w:color w:val="auto"/>
          <w:sz w:val="24"/>
          <w:highlight w:val="none"/>
          <w:u w:val="single"/>
        </w:rPr>
      </w:pPr>
    </w:p>
    <w:p w14:paraId="2A4800D3">
      <w:pPr>
        <w:shd w:val="clear"/>
        <w:snapToGrid w:val="0"/>
        <w:spacing w:line="360" w:lineRule="auto"/>
        <w:jc w:val="center"/>
        <w:outlineLvl w:val="9"/>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bCs w:val="0"/>
          <w:color w:val="auto"/>
          <w:kern w:val="0"/>
          <w:sz w:val="24"/>
          <w:szCs w:val="24"/>
          <w:highlight w:val="none"/>
          <w:lang w:val="en-US" w:eastAsia="zh-CN"/>
        </w:rPr>
        <w:t>联合体协议书</w:t>
      </w:r>
    </w:p>
    <w:p w14:paraId="42B9A29B">
      <w:pPr>
        <w:ind w:firstLine="480"/>
        <w:rPr>
          <w:rFonts w:hint="eastAsia" w:asciiTheme="minorEastAsia" w:hAnsiTheme="minorEastAsia" w:eastAsiaTheme="minorEastAsia" w:cstheme="minorEastAsia"/>
          <w:color w:val="auto"/>
          <w:sz w:val="24"/>
          <w:szCs w:val="24"/>
          <w:highlight w:val="none"/>
        </w:rPr>
      </w:pPr>
    </w:p>
    <w:p w14:paraId="5955D4EE">
      <w:pPr>
        <w:keepNext w:val="0"/>
        <w:keepLines w:val="0"/>
        <w:pageBreakBefore w:val="0"/>
        <w:widowControl w:val="0"/>
        <w:tabs>
          <w:tab w:val="left" w:pos="2202"/>
          <w:tab w:val="left" w:pos="6000"/>
        </w:tabs>
        <w:kinsoku/>
        <w:wordWrap/>
        <w:overflowPunct/>
        <w:topLinePunct w:val="0"/>
        <w:autoSpaceDE/>
        <w:autoSpaceDN/>
        <w:bidi w:val="0"/>
        <w:adjustRightInd w:val="0"/>
        <w:snapToGrid w:val="0"/>
        <w:spacing w:line="360" w:lineRule="auto"/>
        <w:ind w:firstLine="710" w:firstLineChars="2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color="000000"/>
        </w:rPr>
        <w:t xml:space="preserve">                  </w:t>
      </w:r>
      <w:r>
        <w:rPr>
          <w:rFonts w:hint="eastAsia" w:asciiTheme="minorEastAsia" w:hAnsiTheme="minorEastAsia" w:eastAsiaTheme="minorEastAsia" w:cstheme="minorEastAsia"/>
          <w:color w:val="auto"/>
          <w:spacing w:val="-1"/>
          <w:sz w:val="24"/>
          <w:szCs w:val="24"/>
          <w:highlight w:val="none"/>
        </w:rPr>
        <w:t>（所有成员单位名称）自愿组成</w:t>
      </w:r>
      <w:r>
        <w:rPr>
          <w:rFonts w:hint="eastAsia" w:asciiTheme="minorEastAsia" w:hAnsiTheme="minorEastAsia" w:eastAsiaTheme="minorEastAsia" w:cstheme="minorEastAsia"/>
          <w:color w:val="auto"/>
          <w:spacing w:val="-1"/>
          <w:sz w:val="24"/>
          <w:szCs w:val="24"/>
          <w:highlight w:val="none"/>
          <w:u w:val="single" w:color="000000"/>
        </w:rPr>
        <w:t xml:space="preserve">              </w:t>
      </w:r>
      <w:r>
        <w:rPr>
          <w:rFonts w:hint="eastAsia" w:asciiTheme="minorEastAsia" w:hAnsiTheme="minorEastAsia" w:eastAsiaTheme="minorEastAsia" w:cstheme="minorEastAsia"/>
          <w:color w:val="auto"/>
          <w:sz w:val="24"/>
          <w:szCs w:val="24"/>
          <w:highlight w:val="none"/>
        </w:rPr>
        <w:t>（联合体名称）联合体，共同</w:t>
      </w:r>
      <w:r>
        <w:rPr>
          <w:rFonts w:hint="eastAsia" w:asciiTheme="minorEastAsia" w:hAnsiTheme="minorEastAsia" w:eastAsiaTheme="minorEastAsia" w:cstheme="minorEastAsia"/>
          <w:color w:val="auto"/>
          <w:spacing w:val="-1"/>
          <w:sz w:val="24"/>
          <w:szCs w:val="24"/>
          <w:highlight w:val="none"/>
        </w:rPr>
        <w:t>参加</w:t>
      </w:r>
      <w:r>
        <w:rPr>
          <w:rFonts w:hint="eastAsia" w:asciiTheme="minorEastAsia" w:hAnsiTheme="minorEastAsia" w:eastAsiaTheme="minorEastAsia" w:cstheme="minorEastAsia"/>
          <w:color w:val="auto"/>
          <w:spacing w:val="-1"/>
          <w:sz w:val="24"/>
          <w:szCs w:val="24"/>
          <w:highlight w:val="none"/>
          <w:u w:val="single" w:color="000000"/>
        </w:rPr>
        <w:t xml:space="preserve">                  </w:t>
      </w:r>
      <w:r>
        <w:rPr>
          <w:rFonts w:hint="eastAsia" w:asciiTheme="minorEastAsia" w:hAnsiTheme="minorEastAsia" w:eastAsiaTheme="minorEastAsia" w:cstheme="minorEastAsia"/>
          <w:color w:val="auto"/>
          <w:spacing w:val="-1"/>
          <w:sz w:val="24"/>
          <w:szCs w:val="24"/>
          <w:highlight w:val="none"/>
        </w:rPr>
        <w:t>（项目名称）</w:t>
      </w:r>
      <w:r>
        <w:rPr>
          <w:rFonts w:hint="eastAsia" w:asciiTheme="minorEastAsia" w:hAnsiTheme="minorEastAsia" w:eastAsiaTheme="minorEastAsia" w:cstheme="minorEastAsia"/>
          <w:color w:val="auto"/>
          <w:spacing w:val="-1"/>
          <w:sz w:val="24"/>
          <w:szCs w:val="24"/>
          <w:highlight w:val="none"/>
          <w:lang w:val="en-US" w:eastAsia="zh-CN"/>
        </w:rPr>
        <w:t>投标</w:t>
      </w:r>
      <w:r>
        <w:rPr>
          <w:rFonts w:hint="eastAsia" w:asciiTheme="minorEastAsia" w:hAnsiTheme="minorEastAsia" w:eastAsiaTheme="minorEastAsia" w:cstheme="minorEastAsia"/>
          <w:color w:val="auto"/>
          <w:spacing w:val="-1"/>
          <w:sz w:val="24"/>
          <w:szCs w:val="24"/>
          <w:highlight w:val="none"/>
        </w:rPr>
        <w:t>。现就联合体</w:t>
      </w:r>
      <w:r>
        <w:rPr>
          <w:rFonts w:hint="eastAsia" w:asciiTheme="minorEastAsia" w:hAnsiTheme="minorEastAsia" w:eastAsiaTheme="minorEastAsia" w:cstheme="minorEastAsia"/>
          <w:color w:val="auto"/>
          <w:spacing w:val="-1"/>
          <w:sz w:val="24"/>
          <w:szCs w:val="24"/>
          <w:highlight w:val="none"/>
          <w:lang w:val="en-US" w:eastAsia="zh-CN"/>
        </w:rPr>
        <w:t>投标</w:t>
      </w:r>
      <w:r>
        <w:rPr>
          <w:rFonts w:hint="eastAsia" w:asciiTheme="minorEastAsia" w:hAnsiTheme="minorEastAsia" w:eastAsiaTheme="minorEastAsia" w:cstheme="minorEastAsia"/>
          <w:color w:val="auto"/>
          <w:spacing w:val="-1"/>
          <w:sz w:val="24"/>
          <w:szCs w:val="24"/>
          <w:highlight w:val="none"/>
        </w:rPr>
        <w:t>事宜订立如下协议。</w:t>
      </w:r>
    </w:p>
    <w:p w14:paraId="3AAF22CF">
      <w:pPr>
        <w:keepNext w:val="0"/>
        <w:keepLines w:val="0"/>
        <w:pageBreakBefore w:val="0"/>
        <w:widowControl w:val="0"/>
        <w:tabs>
          <w:tab w:val="left" w:pos="2673"/>
          <w:tab w:val="left" w:pos="5614"/>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u w:val="single" w:color="000000"/>
        </w:rPr>
        <w:t xml:space="preserve">                </w:t>
      </w:r>
      <w:r>
        <w:rPr>
          <w:rFonts w:hint="eastAsia" w:asciiTheme="minorEastAsia" w:hAnsiTheme="minorEastAsia" w:eastAsiaTheme="minorEastAsia" w:cstheme="minorEastAsia"/>
          <w:color w:val="auto"/>
          <w:spacing w:val="-2"/>
          <w:sz w:val="24"/>
          <w:szCs w:val="24"/>
          <w:highlight w:val="none"/>
        </w:rPr>
        <w:t>（某成员单位名称）为</w:t>
      </w:r>
      <w:r>
        <w:rPr>
          <w:rFonts w:hint="eastAsia" w:asciiTheme="minorEastAsia" w:hAnsiTheme="minorEastAsia" w:eastAsiaTheme="minorEastAsia" w:cstheme="minorEastAsia"/>
          <w:color w:val="auto"/>
          <w:spacing w:val="-2"/>
          <w:sz w:val="24"/>
          <w:szCs w:val="24"/>
          <w:highlight w:val="none"/>
          <w:u w:val="single" w:color="000000"/>
        </w:rPr>
        <w:t xml:space="preserve">                 </w:t>
      </w:r>
      <w:r>
        <w:rPr>
          <w:rFonts w:hint="eastAsia" w:asciiTheme="minorEastAsia" w:hAnsiTheme="minorEastAsia" w:eastAsiaTheme="minorEastAsia" w:cstheme="minorEastAsia"/>
          <w:color w:val="auto"/>
          <w:spacing w:val="-2"/>
          <w:sz w:val="24"/>
          <w:szCs w:val="24"/>
          <w:highlight w:val="none"/>
        </w:rPr>
        <w:t>（联合体名称）牵头人。</w:t>
      </w:r>
    </w:p>
    <w:p w14:paraId="4D383C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pacing w:val="-5"/>
          <w:sz w:val="24"/>
          <w:szCs w:val="24"/>
          <w:highlight w:val="none"/>
        </w:rPr>
        <w:t>联合体各成员授权牵头人代表联合体参加</w:t>
      </w:r>
      <w:r>
        <w:rPr>
          <w:rFonts w:hint="eastAsia" w:asciiTheme="minorEastAsia" w:hAnsiTheme="minorEastAsia" w:eastAsiaTheme="minorEastAsia" w:cstheme="minorEastAsia"/>
          <w:color w:val="auto"/>
          <w:spacing w:val="-1"/>
          <w:sz w:val="24"/>
          <w:szCs w:val="24"/>
          <w:highlight w:val="none"/>
          <w:lang w:val="en-US" w:eastAsia="zh-CN"/>
        </w:rPr>
        <w:t>投标</w:t>
      </w:r>
      <w:r>
        <w:rPr>
          <w:rFonts w:hint="eastAsia" w:asciiTheme="minorEastAsia" w:hAnsiTheme="minorEastAsia" w:eastAsiaTheme="minorEastAsia" w:cstheme="minorEastAsia"/>
          <w:color w:val="auto"/>
          <w:spacing w:val="-5"/>
          <w:sz w:val="24"/>
          <w:szCs w:val="24"/>
          <w:highlight w:val="none"/>
        </w:rPr>
        <w:t>活动，签署文件，提交和接收相关的资料、</w:t>
      </w:r>
      <w:r>
        <w:rPr>
          <w:rFonts w:hint="eastAsia" w:asciiTheme="minorEastAsia" w:hAnsiTheme="minorEastAsia" w:eastAsiaTheme="minorEastAsia" w:cstheme="minorEastAsia"/>
          <w:color w:val="auto"/>
          <w:sz w:val="24"/>
          <w:szCs w:val="24"/>
          <w:highlight w:val="none"/>
        </w:rPr>
        <w:t>信息及指示，进行合同谈判活动，负责合同实施阶段的组织和协调工作，以及处理与本项目有关的一切事宜。</w:t>
      </w:r>
    </w:p>
    <w:p w14:paraId="5D9F01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 </w:t>
      </w:r>
      <w:r>
        <w:rPr>
          <w:rFonts w:hint="eastAsia" w:asciiTheme="minorEastAsia" w:hAnsiTheme="minorEastAsia" w:eastAsiaTheme="minorEastAsia" w:cstheme="minorEastAsia"/>
          <w:color w:val="auto"/>
          <w:spacing w:val="-3"/>
          <w:sz w:val="24"/>
          <w:szCs w:val="24"/>
          <w:highlight w:val="none"/>
        </w:rPr>
        <w:t>联合体牵头人在本项目中签署的一切文件和处理的一切事宜，联合体各成员均予以承认。</w:t>
      </w:r>
      <w:r>
        <w:rPr>
          <w:rFonts w:hint="eastAsia" w:asciiTheme="minorEastAsia" w:hAnsiTheme="minorEastAsia" w:eastAsiaTheme="minorEastAsia" w:cstheme="minorEastAsia"/>
          <w:color w:val="auto"/>
          <w:sz w:val="24"/>
          <w:szCs w:val="24"/>
          <w:highlight w:val="none"/>
        </w:rPr>
        <w:t>联合体各成员将严格按照</w:t>
      </w:r>
      <w:r>
        <w:rPr>
          <w:rFonts w:hint="eastAsia" w:asciiTheme="minorEastAsia" w:hAnsiTheme="minorEastAsia" w:eastAsiaTheme="minorEastAsia" w:cstheme="minorEastAsia"/>
          <w:color w:val="auto"/>
          <w:spacing w:val="-1"/>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文件和合同的要求全面履行义务，并向采购人承担连带责任。</w:t>
      </w:r>
    </w:p>
    <w:p w14:paraId="2A316423">
      <w:pPr>
        <w:keepNext w:val="0"/>
        <w:keepLines w:val="0"/>
        <w:pageBreakBefore w:val="0"/>
        <w:widowControl w:val="0"/>
        <w:tabs>
          <w:tab w:val="left" w:pos="8741"/>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 </w:t>
      </w:r>
      <w:r>
        <w:rPr>
          <w:rFonts w:hint="eastAsia" w:asciiTheme="minorEastAsia" w:hAnsiTheme="minorEastAsia" w:eastAsiaTheme="minorEastAsia" w:cstheme="minorEastAsia"/>
          <w:color w:val="auto"/>
          <w:spacing w:val="-3"/>
          <w:sz w:val="24"/>
          <w:szCs w:val="24"/>
          <w:highlight w:val="none"/>
        </w:rPr>
        <w:t>联合体各成员单位内部的职责分工如下：</w:t>
      </w:r>
      <w:r>
        <w:rPr>
          <w:rFonts w:hint="eastAsia" w:asciiTheme="minorEastAsia" w:hAnsiTheme="minorEastAsia" w:eastAsiaTheme="minorEastAsia" w:cstheme="minorEastAsia"/>
          <w:color w:val="auto"/>
          <w:sz w:val="24"/>
          <w:szCs w:val="24"/>
          <w:highlight w:val="none"/>
          <w:u w:val="single"/>
        </w:rPr>
        <w:t>联合体牵头人      承担本项目的      工作，合同份额占到合同总金额的    ；联合体成员   承担本项目的     工作，合同份额占到合同总金额的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64CAAB8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本协议书自所有成员单位法定代表人或其委托代理人签字或盖单位章之日起生效，合同履行完毕后自动失效。</w:t>
      </w:r>
    </w:p>
    <w:p w14:paraId="40544584">
      <w:pPr>
        <w:keepNext w:val="0"/>
        <w:keepLines w:val="0"/>
        <w:pageBreakBefore w:val="0"/>
        <w:widowControl w:val="0"/>
        <w:tabs>
          <w:tab w:val="left" w:pos="2464"/>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6.本协议书一式</w:t>
      </w:r>
      <w:r>
        <w:rPr>
          <w:rFonts w:hint="eastAsia" w:asciiTheme="minorEastAsia" w:hAnsiTheme="minorEastAsia" w:eastAsiaTheme="minorEastAsia" w:cstheme="minorEastAsia"/>
          <w:color w:val="auto"/>
          <w:sz w:val="24"/>
          <w:szCs w:val="24"/>
          <w:highlight w:val="none"/>
          <w:u w:val="single" w:color="000000"/>
        </w:rPr>
        <w:t xml:space="preserve">        </w:t>
      </w:r>
      <w:r>
        <w:rPr>
          <w:rFonts w:hint="eastAsia" w:asciiTheme="minorEastAsia" w:hAnsiTheme="minorEastAsia" w:eastAsiaTheme="minorEastAsia" w:cstheme="minorEastAsia"/>
          <w:color w:val="auto"/>
          <w:sz w:val="24"/>
          <w:szCs w:val="24"/>
          <w:highlight w:val="none"/>
        </w:rPr>
        <w:t>份，联合体成员和采购人各执一份。</w:t>
      </w:r>
    </w:p>
    <w:p w14:paraId="3B9A0152">
      <w:pPr>
        <w:keepNext w:val="0"/>
        <w:keepLines w:val="0"/>
        <w:pageBreakBefore w:val="0"/>
        <w:widowControl w:val="0"/>
        <w:kinsoku/>
        <w:wordWrap/>
        <w:overflowPunct/>
        <w:topLinePunct w:val="0"/>
        <w:autoSpaceDE/>
        <w:autoSpaceDN/>
        <w:bidi w:val="0"/>
        <w:adjustRightInd w:val="0"/>
        <w:snapToGrid w:val="0"/>
        <w:spacing w:line="360" w:lineRule="auto"/>
        <w:ind w:firstLine="41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注：本协议书由法定代表人签字的，应附法定代表人身份证明；由委托代理人签字的，应</w:t>
      </w:r>
      <w:r>
        <w:rPr>
          <w:rFonts w:hint="eastAsia" w:asciiTheme="minorEastAsia" w:hAnsiTheme="minorEastAsia" w:eastAsiaTheme="minorEastAsia" w:cstheme="minorEastAsia"/>
          <w:color w:val="auto"/>
          <w:sz w:val="24"/>
          <w:szCs w:val="24"/>
          <w:highlight w:val="none"/>
        </w:rPr>
        <w:t>附授权委托书。</w:t>
      </w:r>
    </w:p>
    <w:p w14:paraId="69091FFD">
      <w:pPr>
        <w:spacing w:before="9"/>
        <w:ind w:firstLine="480"/>
        <w:rPr>
          <w:rFonts w:hint="eastAsia" w:asciiTheme="minorEastAsia" w:hAnsiTheme="minorEastAsia" w:eastAsiaTheme="minorEastAsia" w:cstheme="minorEastAsia"/>
          <w:color w:val="auto"/>
          <w:sz w:val="24"/>
          <w:szCs w:val="24"/>
          <w:highlight w:val="none"/>
        </w:rPr>
      </w:pPr>
    </w:p>
    <w:p w14:paraId="649BE6F6">
      <w:pPr>
        <w:spacing w:before="9"/>
        <w:ind w:firstLine="480"/>
        <w:rPr>
          <w:rFonts w:hint="eastAsia" w:asciiTheme="minorEastAsia" w:hAnsiTheme="minorEastAsia" w:eastAsiaTheme="minorEastAsia" w:cstheme="minorEastAsia"/>
          <w:color w:val="auto"/>
          <w:sz w:val="24"/>
          <w:szCs w:val="24"/>
          <w:highlight w:val="none"/>
        </w:rPr>
      </w:pPr>
    </w:p>
    <w:p w14:paraId="00D91D6C">
      <w:pPr>
        <w:spacing w:before="9"/>
        <w:ind w:firstLine="480"/>
        <w:rPr>
          <w:rFonts w:hint="eastAsia" w:asciiTheme="minorEastAsia" w:hAnsiTheme="minorEastAsia" w:eastAsiaTheme="minorEastAsia" w:cstheme="minorEastAsia"/>
          <w:color w:val="auto"/>
          <w:sz w:val="24"/>
          <w:szCs w:val="24"/>
          <w:highlight w:val="none"/>
        </w:rPr>
      </w:pPr>
    </w:p>
    <w:p w14:paraId="6785F5A9">
      <w:pPr>
        <w:tabs>
          <w:tab w:val="left" w:pos="7241"/>
        </w:tabs>
        <w:ind w:left="2510" w:firstLine="4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联合体牵头人名称：</w:t>
      </w:r>
      <w:r>
        <w:rPr>
          <w:rFonts w:hint="eastAsia" w:asciiTheme="minorEastAsia" w:hAnsiTheme="minorEastAsia" w:eastAsiaTheme="minorEastAsia" w:cstheme="minorEastAsia"/>
          <w:color w:val="auto"/>
          <w:spacing w:val="-2"/>
          <w:sz w:val="24"/>
          <w:szCs w:val="24"/>
          <w:highlight w:val="none"/>
          <w:u w:val="single" w:color="000000"/>
        </w:rPr>
        <w:t xml:space="preserve"> </w:t>
      </w:r>
      <w:r>
        <w:rPr>
          <w:rFonts w:hint="eastAsia" w:asciiTheme="minorEastAsia" w:hAnsiTheme="minorEastAsia" w:eastAsiaTheme="minorEastAsia" w:cstheme="minorEastAsia"/>
          <w:color w:val="auto"/>
          <w:spacing w:val="-2"/>
          <w:sz w:val="24"/>
          <w:szCs w:val="24"/>
          <w:highlight w:val="none"/>
          <w:u w:val="single" w:color="000000"/>
        </w:rPr>
        <w:tab/>
      </w:r>
      <w:r>
        <w:rPr>
          <w:rFonts w:hint="eastAsia" w:asciiTheme="minorEastAsia" w:hAnsiTheme="minorEastAsia" w:eastAsiaTheme="minorEastAsia" w:cstheme="minorEastAsia"/>
          <w:color w:val="auto"/>
          <w:spacing w:val="-1"/>
          <w:sz w:val="24"/>
          <w:szCs w:val="24"/>
          <w:highlight w:val="none"/>
        </w:rPr>
        <w:t>（盖公章）</w:t>
      </w:r>
    </w:p>
    <w:p w14:paraId="60A55AAA">
      <w:pPr>
        <w:tabs>
          <w:tab w:val="left" w:pos="6401"/>
        </w:tabs>
        <w:spacing w:before="36"/>
        <w:ind w:left="2510" w:firstLine="4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法定代表人或其委托代理人：</w:t>
      </w:r>
      <w:r>
        <w:rPr>
          <w:rFonts w:hint="eastAsia" w:asciiTheme="minorEastAsia" w:hAnsiTheme="minorEastAsia" w:eastAsiaTheme="minorEastAsia" w:cstheme="minorEastAsia"/>
          <w:color w:val="auto"/>
          <w:spacing w:val="-2"/>
          <w:sz w:val="24"/>
          <w:szCs w:val="24"/>
          <w:highlight w:val="none"/>
          <w:u w:val="single" w:color="000000"/>
        </w:rPr>
        <w:t xml:space="preserve"> </w:t>
      </w:r>
      <w:r>
        <w:rPr>
          <w:rFonts w:hint="eastAsia" w:asciiTheme="minorEastAsia" w:hAnsiTheme="minorEastAsia" w:eastAsiaTheme="minorEastAsia" w:cstheme="minorEastAsia"/>
          <w:color w:val="auto"/>
          <w:spacing w:val="-2"/>
          <w:sz w:val="24"/>
          <w:szCs w:val="24"/>
          <w:highlight w:val="none"/>
          <w:u w:val="single" w:color="000000"/>
        </w:rPr>
        <w:tab/>
      </w:r>
      <w:r>
        <w:rPr>
          <w:rFonts w:hint="eastAsia" w:asciiTheme="minorEastAsia" w:hAnsiTheme="minorEastAsia" w:eastAsiaTheme="minorEastAsia" w:cstheme="minorEastAsia"/>
          <w:color w:val="auto"/>
          <w:spacing w:val="-1"/>
          <w:sz w:val="24"/>
          <w:szCs w:val="24"/>
          <w:highlight w:val="none"/>
        </w:rPr>
        <w:t>（签字）</w:t>
      </w:r>
    </w:p>
    <w:p w14:paraId="3B4CDD38">
      <w:pPr>
        <w:tabs>
          <w:tab w:val="left" w:pos="7241"/>
        </w:tabs>
        <w:spacing w:before="36"/>
        <w:ind w:left="2510" w:firstLine="4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联合体成员名称：</w:t>
      </w:r>
      <w:r>
        <w:rPr>
          <w:rFonts w:hint="eastAsia" w:asciiTheme="minorEastAsia" w:hAnsiTheme="minorEastAsia" w:eastAsiaTheme="minorEastAsia" w:cstheme="minorEastAsia"/>
          <w:color w:val="auto"/>
          <w:spacing w:val="-2"/>
          <w:sz w:val="24"/>
          <w:szCs w:val="24"/>
          <w:highlight w:val="none"/>
          <w:u w:val="single" w:color="000000"/>
        </w:rPr>
        <w:t xml:space="preserve"> </w:t>
      </w:r>
      <w:r>
        <w:rPr>
          <w:rFonts w:hint="eastAsia" w:asciiTheme="minorEastAsia" w:hAnsiTheme="minorEastAsia" w:eastAsiaTheme="minorEastAsia" w:cstheme="minorEastAsia"/>
          <w:color w:val="auto"/>
          <w:spacing w:val="-2"/>
          <w:sz w:val="24"/>
          <w:szCs w:val="24"/>
          <w:highlight w:val="none"/>
          <w:u w:val="single" w:color="000000"/>
        </w:rPr>
        <w:tab/>
      </w:r>
      <w:r>
        <w:rPr>
          <w:rFonts w:hint="eastAsia" w:asciiTheme="minorEastAsia" w:hAnsiTheme="minorEastAsia" w:eastAsiaTheme="minorEastAsia" w:cstheme="minorEastAsia"/>
          <w:color w:val="auto"/>
          <w:spacing w:val="-1"/>
          <w:sz w:val="24"/>
          <w:szCs w:val="24"/>
          <w:highlight w:val="none"/>
        </w:rPr>
        <w:t>（盖公章）</w:t>
      </w:r>
    </w:p>
    <w:p w14:paraId="27C675E5">
      <w:pPr>
        <w:tabs>
          <w:tab w:val="left" w:pos="6187"/>
        </w:tabs>
        <w:spacing w:before="36"/>
        <w:ind w:left="2510" w:firstLine="4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法定代表人或其委托代理人：</w:t>
      </w:r>
      <w:r>
        <w:rPr>
          <w:rFonts w:hint="eastAsia" w:asciiTheme="minorEastAsia" w:hAnsiTheme="minorEastAsia" w:eastAsiaTheme="minorEastAsia" w:cstheme="minorEastAsia"/>
          <w:color w:val="auto"/>
          <w:spacing w:val="-2"/>
          <w:sz w:val="24"/>
          <w:szCs w:val="24"/>
          <w:highlight w:val="none"/>
          <w:u w:val="single" w:color="000000"/>
        </w:rPr>
        <w:t xml:space="preserve"> </w:t>
      </w:r>
      <w:r>
        <w:rPr>
          <w:rFonts w:hint="eastAsia" w:asciiTheme="minorEastAsia" w:hAnsiTheme="minorEastAsia" w:eastAsiaTheme="minorEastAsia" w:cstheme="minorEastAsia"/>
          <w:color w:val="auto"/>
          <w:spacing w:val="-2"/>
          <w:sz w:val="24"/>
          <w:szCs w:val="24"/>
          <w:highlight w:val="none"/>
          <w:u w:val="single" w:color="000000"/>
        </w:rPr>
        <w:tab/>
      </w:r>
      <w:r>
        <w:rPr>
          <w:rFonts w:hint="eastAsia" w:asciiTheme="minorEastAsia" w:hAnsiTheme="minorEastAsia" w:eastAsiaTheme="minorEastAsia" w:cstheme="minorEastAsia"/>
          <w:color w:val="auto"/>
          <w:spacing w:val="-1"/>
          <w:sz w:val="24"/>
          <w:szCs w:val="24"/>
          <w:highlight w:val="none"/>
        </w:rPr>
        <w:t>（签字）</w:t>
      </w:r>
    </w:p>
    <w:p w14:paraId="4256ADB8">
      <w:pPr>
        <w:tabs>
          <w:tab w:val="left" w:pos="7241"/>
        </w:tabs>
        <w:spacing w:before="36"/>
        <w:ind w:left="2510" w:firstLine="4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联合体成员名称：</w:t>
      </w:r>
      <w:r>
        <w:rPr>
          <w:rFonts w:hint="eastAsia" w:asciiTheme="minorEastAsia" w:hAnsiTheme="minorEastAsia" w:eastAsiaTheme="minorEastAsia" w:cstheme="minorEastAsia"/>
          <w:color w:val="auto"/>
          <w:spacing w:val="-2"/>
          <w:sz w:val="24"/>
          <w:szCs w:val="24"/>
          <w:highlight w:val="none"/>
          <w:u w:val="single" w:color="000000"/>
        </w:rPr>
        <w:t xml:space="preserve"> </w:t>
      </w:r>
      <w:r>
        <w:rPr>
          <w:rFonts w:hint="eastAsia" w:asciiTheme="minorEastAsia" w:hAnsiTheme="minorEastAsia" w:eastAsiaTheme="minorEastAsia" w:cstheme="minorEastAsia"/>
          <w:color w:val="auto"/>
          <w:spacing w:val="-2"/>
          <w:sz w:val="24"/>
          <w:szCs w:val="24"/>
          <w:highlight w:val="none"/>
          <w:u w:val="single" w:color="000000"/>
        </w:rPr>
        <w:tab/>
      </w:r>
      <w:r>
        <w:rPr>
          <w:rFonts w:hint="eastAsia" w:asciiTheme="minorEastAsia" w:hAnsiTheme="minorEastAsia" w:eastAsiaTheme="minorEastAsia" w:cstheme="minorEastAsia"/>
          <w:color w:val="auto"/>
          <w:spacing w:val="-1"/>
          <w:sz w:val="24"/>
          <w:szCs w:val="24"/>
          <w:highlight w:val="none"/>
        </w:rPr>
        <w:t>（盖公章）</w:t>
      </w:r>
    </w:p>
    <w:p w14:paraId="656813C8">
      <w:pPr>
        <w:tabs>
          <w:tab w:val="left" w:pos="6187"/>
        </w:tabs>
        <w:spacing w:before="36"/>
        <w:ind w:left="2510" w:firstLine="4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法定代表人或其委托代理人：</w:t>
      </w:r>
      <w:r>
        <w:rPr>
          <w:rFonts w:hint="eastAsia" w:asciiTheme="minorEastAsia" w:hAnsiTheme="minorEastAsia" w:eastAsiaTheme="minorEastAsia" w:cstheme="minorEastAsia"/>
          <w:color w:val="auto"/>
          <w:spacing w:val="-2"/>
          <w:sz w:val="24"/>
          <w:szCs w:val="24"/>
          <w:highlight w:val="none"/>
          <w:u w:val="single" w:color="000000"/>
        </w:rPr>
        <w:t xml:space="preserve"> </w:t>
      </w:r>
      <w:r>
        <w:rPr>
          <w:rFonts w:hint="eastAsia" w:asciiTheme="minorEastAsia" w:hAnsiTheme="minorEastAsia" w:eastAsiaTheme="minorEastAsia" w:cstheme="minorEastAsia"/>
          <w:color w:val="auto"/>
          <w:spacing w:val="-2"/>
          <w:sz w:val="24"/>
          <w:szCs w:val="24"/>
          <w:highlight w:val="none"/>
          <w:u w:val="single" w:color="000000"/>
        </w:rPr>
        <w:tab/>
      </w:r>
      <w:r>
        <w:rPr>
          <w:rFonts w:hint="eastAsia" w:asciiTheme="minorEastAsia" w:hAnsiTheme="minorEastAsia" w:eastAsiaTheme="minorEastAsia" w:cstheme="minorEastAsia"/>
          <w:color w:val="auto"/>
          <w:spacing w:val="-1"/>
          <w:sz w:val="24"/>
          <w:szCs w:val="24"/>
          <w:highlight w:val="none"/>
        </w:rPr>
        <w:t>（签字）</w:t>
      </w:r>
    </w:p>
    <w:p w14:paraId="62764AB9">
      <w:pPr>
        <w:spacing w:before="74"/>
        <w:ind w:left="25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3201E088">
      <w:pPr>
        <w:pStyle w:val="29"/>
        <w:ind w:firstLine="3360" w:firstLineChars="1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日    期：</w:t>
      </w:r>
      <w:r>
        <w:rPr>
          <w:rFonts w:hint="eastAsia" w:asciiTheme="minorEastAsia" w:hAnsiTheme="minorEastAsia" w:eastAsiaTheme="minorEastAsia" w:cstheme="minorEastAsia"/>
          <w:color w:val="auto"/>
          <w:kern w:val="2"/>
          <w:sz w:val="24"/>
          <w:szCs w:val="24"/>
          <w:highlight w:val="none"/>
          <w:u w:val="single" w:color="000000"/>
        </w:rPr>
        <w:t xml:space="preserve">       </w:t>
      </w:r>
      <w:r>
        <w:rPr>
          <w:rFonts w:hint="eastAsia" w:asciiTheme="minorEastAsia" w:hAnsiTheme="minorEastAsia" w:eastAsiaTheme="minorEastAsia" w:cstheme="minorEastAsia"/>
          <w:color w:val="auto"/>
          <w:kern w:val="2"/>
          <w:sz w:val="24"/>
          <w:szCs w:val="24"/>
          <w:highlight w:val="none"/>
        </w:rPr>
        <w:t>年</w:t>
      </w:r>
      <w:r>
        <w:rPr>
          <w:rFonts w:hint="eastAsia" w:asciiTheme="minorEastAsia" w:hAnsiTheme="minorEastAsia" w:eastAsiaTheme="minorEastAsia" w:cstheme="minorEastAsia"/>
          <w:color w:val="auto"/>
          <w:kern w:val="2"/>
          <w:sz w:val="24"/>
          <w:szCs w:val="24"/>
          <w:highlight w:val="none"/>
          <w:u w:val="single" w:color="000000"/>
        </w:rPr>
        <w:t xml:space="preserve">      </w:t>
      </w:r>
      <w:r>
        <w:rPr>
          <w:rFonts w:hint="eastAsia" w:asciiTheme="minorEastAsia" w:hAnsiTheme="minorEastAsia" w:eastAsiaTheme="minorEastAsia" w:cstheme="minorEastAsia"/>
          <w:color w:val="auto"/>
          <w:kern w:val="2"/>
          <w:sz w:val="24"/>
          <w:szCs w:val="24"/>
          <w:highlight w:val="none"/>
        </w:rPr>
        <w:t>月</w:t>
      </w:r>
      <w:r>
        <w:rPr>
          <w:rFonts w:hint="eastAsia" w:asciiTheme="minorEastAsia" w:hAnsiTheme="minorEastAsia" w:eastAsiaTheme="minorEastAsia" w:cstheme="minorEastAsia"/>
          <w:color w:val="auto"/>
          <w:kern w:val="2"/>
          <w:sz w:val="24"/>
          <w:szCs w:val="24"/>
          <w:highlight w:val="none"/>
          <w:u w:val="single" w:color="000000"/>
        </w:rPr>
        <w:t xml:space="preserve">     </w:t>
      </w:r>
      <w:r>
        <w:rPr>
          <w:rFonts w:hint="eastAsia" w:asciiTheme="minorEastAsia" w:hAnsiTheme="minorEastAsia" w:eastAsiaTheme="minorEastAsia" w:cstheme="minorEastAsia"/>
          <w:color w:val="auto"/>
          <w:kern w:val="2"/>
          <w:sz w:val="24"/>
          <w:szCs w:val="24"/>
          <w:highlight w:val="none"/>
        </w:rPr>
        <w:t>日</w:t>
      </w:r>
    </w:p>
    <w:p w14:paraId="5A00E32F">
      <w:pPr>
        <w:snapToGrid w:val="0"/>
        <w:spacing w:line="360" w:lineRule="auto"/>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br w:type="page"/>
      </w:r>
    </w:p>
    <w:p w14:paraId="541E86D0">
      <w:pPr>
        <w:widowControl/>
        <w:snapToGrid w:val="0"/>
        <w:spacing w:line="360" w:lineRule="auto"/>
        <w:jc w:val="center"/>
        <w:outlineLvl w:val="1"/>
        <w:rPr>
          <w:rFonts w:hint="eastAsia" w:ascii="宋体" w:hAnsi="宋体" w:eastAsia="宋体" w:cs="宋体"/>
          <w:b/>
          <w:color w:val="auto"/>
          <w:kern w:val="0"/>
          <w:sz w:val="36"/>
          <w:szCs w:val="36"/>
          <w:highlight w:val="none"/>
        </w:rPr>
      </w:pPr>
      <w:bookmarkStart w:id="93" w:name="_Toc10271"/>
      <w:bookmarkStart w:id="94" w:name="_Toc2904"/>
      <w:r>
        <w:rPr>
          <w:rFonts w:hint="eastAsia" w:ascii="宋体" w:hAnsi="宋体" w:eastAsia="宋体" w:cs="宋体"/>
          <w:b/>
          <w:color w:val="auto"/>
          <w:kern w:val="0"/>
          <w:sz w:val="36"/>
          <w:szCs w:val="36"/>
          <w:highlight w:val="none"/>
        </w:rPr>
        <w:t>商务、</w:t>
      </w:r>
      <w:r>
        <w:rPr>
          <w:rFonts w:hint="eastAsia" w:ascii="宋体" w:hAnsi="宋体" w:eastAsia="宋体" w:cs="宋体"/>
          <w:b/>
          <w:color w:val="auto"/>
          <w:kern w:val="0"/>
          <w:sz w:val="36"/>
          <w:szCs w:val="36"/>
          <w:highlight w:val="none"/>
          <w:lang w:eastAsia="zh-CN"/>
        </w:rPr>
        <w:t>技术</w:t>
      </w:r>
      <w:r>
        <w:rPr>
          <w:rFonts w:hint="eastAsia" w:ascii="宋体" w:hAnsi="宋体" w:eastAsia="宋体" w:cs="宋体"/>
          <w:b/>
          <w:color w:val="auto"/>
          <w:kern w:val="0"/>
          <w:sz w:val="36"/>
          <w:szCs w:val="36"/>
          <w:highlight w:val="none"/>
        </w:rPr>
        <w:t>部分</w:t>
      </w:r>
      <w:bookmarkEnd w:id="93"/>
      <w:bookmarkEnd w:id="94"/>
    </w:p>
    <w:p w14:paraId="5EDFE51A">
      <w:pPr>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1．法定代表人（负责人）身份证明书格式</w:t>
      </w:r>
    </w:p>
    <w:p w14:paraId="7D974B5E">
      <w:pPr>
        <w:widowControl/>
        <w:snapToGrid w:val="0"/>
        <w:spacing w:line="360" w:lineRule="auto"/>
        <w:ind w:left="562" w:hanging="562" w:hangingChars="20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 xml:space="preserve">法定代表人（负责人）身份证明书 </w:t>
      </w:r>
    </w:p>
    <w:p w14:paraId="3E4210D6">
      <w:pPr>
        <w:widowControl/>
        <w:snapToGrid w:val="0"/>
        <w:spacing w:line="360" w:lineRule="auto"/>
        <w:ind w:firstLine="562" w:firstLineChars="200"/>
        <w:jc w:val="left"/>
        <w:rPr>
          <w:rFonts w:hint="eastAsia" w:ascii="宋体" w:hAnsi="宋体" w:eastAsia="宋体" w:cs="宋体"/>
          <w:b/>
          <w:color w:val="auto"/>
          <w:kern w:val="0"/>
          <w:sz w:val="28"/>
          <w:highlight w:val="none"/>
        </w:rPr>
      </w:pPr>
    </w:p>
    <w:p w14:paraId="18E2ED01">
      <w:pPr>
        <w:widowControl/>
        <w:snapToGrid w:val="0"/>
        <w:spacing w:line="360" w:lineRule="auto"/>
        <w:ind w:firstLine="480" w:firstLineChars="200"/>
        <w:jc w:val="left"/>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rPr>
        <w:t>单位名称：</w:t>
      </w:r>
      <w:r>
        <w:rPr>
          <w:rFonts w:hint="eastAsia" w:ascii="宋体" w:hAnsi="宋体" w:eastAsia="宋体" w:cs="宋体"/>
          <w:color w:val="auto"/>
          <w:kern w:val="0"/>
          <w:sz w:val="24"/>
          <w:highlight w:val="none"/>
          <w:u w:val="single"/>
          <w:lang w:val="en-US" w:eastAsia="zh-CN"/>
        </w:rPr>
        <w:t xml:space="preserve">                             </w:t>
      </w:r>
    </w:p>
    <w:p w14:paraId="4BFC1392">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单位性质：</w:t>
      </w:r>
      <w:r>
        <w:rPr>
          <w:rFonts w:hint="eastAsia" w:ascii="宋体" w:hAnsi="宋体" w:eastAsia="宋体" w:cs="宋体"/>
          <w:color w:val="auto"/>
          <w:kern w:val="0"/>
          <w:sz w:val="24"/>
          <w:highlight w:val="none"/>
          <w:u w:val="single"/>
          <w:lang w:val="en-US" w:eastAsia="zh-CN"/>
        </w:rPr>
        <w:t xml:space="preserve">                             </w:t>
      </w:r>
    </w:p>
    <w:p w14:paraId="75B3F967">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    址：</w:t>
      </w:r>
      <w:r>
        <w:rPr>
          <w:rFonts w:hint="eastAsia" w:ascii="宋体" w:hAnsi="宋体" w:eastAsia="宋体" w:cs="宋体"/>
          <w:color w:val="auto"/>
          <w:kern w:val="0"/>
          <w:sz w:val="24"/>
          <w:highlight w:val="none"/>
          <w:u w:val="single"/>
          <w:lang w:val="en-US" w:eastAsia="zh-CN"/>
        </w:rPr>
        <w:t xml:space="preserve">                             </w:t>
      </w:r>
    </w:p>
    <w:p w14:paraId="7A09E51C">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4F75DE0C">
      <w:pPr>
        <w:widowControl/>
        <w:snapToGrid w:val="0"/>
        <w:spacing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lang w:val="en-US" w:eastAsia="zh-CN"/>
        </w:rPr>
        <w:t xml:space="preserve">                             </w:t>
      </w:r>
    </w:p>
    <w:p w14:paraId="70C4B39D">
      <w:pPr>
        <w:widowControl/>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    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性  别：</w:t>
      </w:r>
      <w:r>
        <w:rPr>
          <w:rFonts w:hint="eastAsia" w:ascii="宋体" w:hAnsi="宋体" w:eastAsia="宋体" w:cs="宋体"/>
          <w:color w:val="auto"/>
          <w:kern w:val="0"/>
          <w:sz w:val="24"/>
          <w:highlight w:val="none"/>
          <w:u w:val="single"/>
        </w:rPr>
        <w:t xml:space="preserve">       </w:t>
      </w:r>
    </w:p>
    <w:p w14:paraId="7A717E27">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职  务：</w:t>
      </w:r>
      <w:r>
        <w:rPr>
          <w:rFonts w:hint="eastAsia" w:ascii="宋体" w:hAnsi="宋体" w:eastAsia="宋体" w:cs="宋体"/>
          <w:color w:val="auto"/>
          <w:kern w:val="0"/>
          <w:sz w:val="24"/>
          <w:highlight w:val="none"/>
          <w:u w:val="single"/>
        </w:rPr>
        <w:t xml:space="preserve">       </w:t>
      </w:r>
    </w:p>
    <w:p w14:paraId="60C6FEEE">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xml:space="preserve">       （投标人名称）          </w:t>
      </w:r>
      <w:r>
        <w:rPr>
          <w:rFonts w:hint="eastAsia" w:ascii="宋体" w:hAnsi="宋体" w:eastAsia="宋体" w:cs="宋体"/>
          <w:color w:val="auto"/>
          <w:kern w:val="0"/>
          <w:sz w:val="24"/>
          <w:highlight w:val="none"/>
        </w:rPr>
        <w:t>的法定代表人。</w:t>
      </w:r>
    </w:p>
    <w:p w14:paraId="7FA85DF5">
      <w:pPr>
        <w:widowControl/>
        <w:snapToGrid w:val="0"/>
        <w:spacing w:line="360" w:lineRule="auto"/>
        <w:jc w:val="left"/>
        <w:rPr>
          <w:rFonts w:hint="eastAsia" w:ascii="宋体" w:hAnsi="宋体" w:eastAsia="宋体" w:cs="宋体"/>
          <w:color w:val="auto"/>
          <w:kern w:val="0"/>
          <w:sz w:val="24"/>
          <w:highlight w:val="none"/>
        </w:rPr>
      </w:pPr>
    </w:p>
    <w:p w14:paraId="35E0CE8E">
      <w:pPr>
        <w:widowControl/>
        <w:snapToGrid w:val="0"/>
        <w:spacing w:line="360" w:lineRule="auto"/>
        <w:ind w:firstLine="960" w:firstLineChars="4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特此证明。</w:t>
      </w:r>
    </w:p>
    <w:p w14:paraId="33E8D725">
      <w:pPr>
        <w:widowControl/>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5B15E08">
      <w:pPr>
        <w:widowControl/>
        <w:tabs>
          <w:tab w:val="left" w:pos="4000"/>
        </w:tabs>
        <w:snapToGrid w:val="0"/>
        <w:spacing w:line="480" w:lineRule="auto"/>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69AF12D2">
      <w:pPr>
        <w:widowControl/>
        <w:tabs>
          <w:tab w:val="left" w:pos="4000"/>
        </w:tabs>
        <w:snapToGrid w:val="0"/>
        <w:spacing w:line="480" w:lineRule="auto"/>
        <w:ind w:firstLine="2880" w:firstLineChars="1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法定代表人（负责人）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(签字或盖章)</w:t>
      </w:r>
    </w:p>
    <w:p w14:paraId="7D92266B">
      <w:pPr>
        <w:widowControl/>
        <w:tabs>
          <w:tab w:val="left" w:pos="4000"/>
        </w:tabs>
        <w:snapToGrid w:val="0"/>
        <w:spacing w:line="480" w:lineRule="auto"/>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期：</w:t>
      </w:r>
    </w:p>
    <w:p w14:paraId="06AA01B5">
      <w:pPr>
        <w:spacing w:line="360" w:lineRule="auto"/>
        <w:rPr>
          <w:rFonts w:hint="eastAsia" w:ascii="宋体" w:hAnsi="宋体" w:eastAsia="宋体" w:cs="宋体"/>
          <w:color w:val="auto"/>
          <w:kern w:val="0"/>
          <w:sz w:val="24"/>
          <w:highlight w:val="none"/>
        </w:rPr>
      </w:pPr>
    </w:p>
    <w:p w14:paraId="68E899A2">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附法定代表人</w:t>
      </w:r>
      <w:r>
        <w:rPr>
          <w:rFonts w:hint="eastAsia" w:ascii="宋体" w:hAnsi="宋体" w:eastAsia="宋体" w:cs="宋体"/>
          <w:color w:val="auto"/>
          <w:kern w:val="0"/>
          <w:sz w:val="24"/>
          <w:highlight w:val="none"/>
          <w:lang w:eastAsia="zh-CN"/>
        </w:rPr>
        <w:t>（负责人）</w:t>
      </w:r>
      <w:r>
        <w:rPr>
          <w:rFonts w:hint="eastAsia" w:ascii="宋体" w:hAnsi="宋体" w:eastAsia="宋体" w:cs="宋体"/>
          <w:color w:val="auto"/>
          <w:kern w:val="0"/>
          <w:sz w:val="24"/>
          <w:highlight w:val="none"/>
        </w:rPr>
        <w:t>第二代身份证正反面复印件。</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0FE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1CC871A3">
            <w:pPr>
              <w:spacing w:line="360" w:lineRule="auto"/>
              <w:rPr>
                <w:rFonts w:hint="eastAsia" w:ascii="宋体" w:hAnsi="宋体" w:eastAsia="宋体" w:cs="宋体"/>
                <w:color w:val="auto"/>
                <w:sz w:val="24"/>
                <w:highlight w:val="none"/>
              </w:rPr>
            </w:pPr>
          </w:p>
        </w:tc>
        <w:tc>
          <w:tcPr>
            <w:tcW w:w="4615" w:type="dxa"/>
          </w:tcPr>
          <w:p w14:paraId="5019FAFE">
            <w:pPr>
              <w:spacing w:line="360" w:lineRule="auto"/>
              <w:rPr>
                <w:rFonts w:hint="eastAsia" w:ascii="宋体" w:hAnsi="宋体" w:eastAsia="宋体" w:cs="宋体"/>
                <w:color w:val="auto"/>
                <w:sz w:val="24"/>
                <w:highlight w:val="none"/>
              </w:rPr>
            </w:pPr>
          </w:p>
        </w:tc>
      </w:tr>
    </w:tbl>
    <w:p w14:paraId="151A86D0">
      <w:pPr>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rPr>
        <w:t>2．法定代表人（负责人）授权委托书</w:t>
      </w:r>
      <w:r>
        <w:rPr>
          <w:rFonts w:hint="eastAsia" w:ascii="宋体" w:hAnsi="宋体" w:eastAsia="宋体" w:cs="宋体"/>
          <w:b/>
          <w:color w:val="auto"/>
          <w:sz w:val="24"/>
          <w:highlight w:val="none"/>
        </w:rPr>
        <w:t>格式</w:t>
      </w:r>
    </w:p>
    <w:p w14:paraId="46C7E9B2">
      <w:pPr>
        <w:widowControl/>
        <w:snapToGrid w:val="0"/>
        <w:spacing w:line="360" w:lineRule="auto"/>
        <w:ind w:left="562" w:hanging="562" w:hangingChars="20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法定代表人（负责人）授权委托书</w:t>
      </w:r>
    </w:p>
    <w:p w14:paraId="697BC109">
      <w:pPr>
        <w:widowControl/>
        <w:snapToGrid w:val="0"/>
        <w:spacing w:line="360" w:lineRule="auto"/>
        <w:jc w:val="left"/>
        <w:rPr>
          <w:rFonts w:hint="eastAsia" w:ascii="宋体" w:hAnsi="宋体" w:eastAsia="宋体" w:cs="宋体"/>
          <w:color w:val="auto"/>
          <w:kern w:val="0"/>
          <w:sz w:val="28"/>
          <w:szCs w:val="21"/>
          <w:highlight w:val="none"/>
        </w:rPr>
      </w:pPr>
    </w:p>
    <w:p w14:paraId="1FF2318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eastAsia="zh-CN"/>
        </w:rPr>
        <w:t>（采购人名称）</w:t>
      </w:r>
      <w:r>
        <w:rPr>
          <w:rFonts w:hint="eastAsia" w:ascii="宋体" w:hAnsi="宋体" w:eastAsia="宋体" w:cs="宋体"/>
          <w:color w:val="auto"/>
          <w:sz w:val="24"/>
          <w:highlight w:val="none"/>
          <w:u w:val="single"/>
        </w:rPr>
        <w:t>：</w:t>
      </w:r>
    </w:p>
    <w:p w14:paraId="29379F5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本授权书声明：注册于</w:t>
      </w:r>
      <w:r>
        <w:rPr>
          <w:rFonts w:hint="eastAsia" w:ascii="宋体" w:hAnsi="宋体" w:eastAsia="宋体" w:cs="宋体"/>
          <w:color w:val="auto"/>
          <w:kern w:val="0"/>
          <w:sz w:val="24"/>
          <w:highlight w:val="none"/>
          <w:u w:val="single"/>
        </w:rPr>
        <w:t xml:space="preserve">            （投标人住址）</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 xml:space="preserve">            （投标人名称）</w:t>
      </w: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lang w:eastAsia="zh-CN"/>
        </w:rPr>
        <w:t>（负责人）</w:t>
      </w:r>
      <w:r>
        <w:rPr>
          <w:rFonts w:hint="eastAsia" w:ascii="宋体" w:hAnsi="宋体" w:eastAsia="宋体" w:cs="宋体"/>
          <w:color w:val="auto"/>
          <w:kern w:val="0"/>
          <w:sz w:val="24"/>
          <w:highlight w:val="none"/>
          <w:u w:val="single"/>
        </w:rPr>
        <w:t xml:space="preserve">      （法定代表人</w:t>
      </w:r>
      <w:r>
        <w:rPr>
          <w:rFonts w:hint="eastAsia" w:ascii="宋体" w:hAnsi="宋体" w:eastAsia="宋体" w:cs="宋体"/>
          <w:color w:val="auto"/>
          <w:kern w:val="0"/>
          <w:sz w:val="24"/>
          <w:highlight w:val="none"/>
          <w:u w:val="single"/>
          <w:lang w:eastAsia="zh-CN"/>
        </w:rPr>
        <w:t>（负责人）</w:t>
      </w:r>
      <w:r>
        <w:rPr>
          <w:rFonts w:hint="eastAsia" w:ascii="宋体" w:hAnsi="宋体" w:eastAsia="宋体" w:cs="宋体"/>
          <w:color w:val="auto"/>
          <w:kern w:val="0"/>
          <w:sz w:val="24"/>
          <w:highlight w:val="none"/>
          <w:u w:val="single"/>
        </w:rPr>
        <w:t>姓名、职务）</w:t>
      </w:r>
      <w:r>
        <w:rPr>
          <w:rFonts w:hint="eastAsia" w:ascii="宋体" w:hAnsi="宋体" w:eastAsia="宋体" w:cs="宋体"/>
          <w:color w:val="auto"/>
          <w:kern w:val="0"/>
          <w:sz w:val="24"/>
          <w:highlight w:val="none"/>
        </w:rPr>
        <w:t>代表本公司授权在下面签字的</w:t>
      </w:r>
      <w:r>
        <w:rPr>
          <w:rFonts w:hint="eastAsia" w:ascii="宋体" w:hAnsi="宋体" w:eastAsia="宋体" w:cs="宋体"/>
          <w:color w:val="auto"/>
          <w:kern w:val="0"/>
          <w:sz w:val="24"/>
          <w:highlight w:val="none"/>
          <w:u w:val="single"/>
        </w:rPr>
        <w:t xml:space="preserve">     （被授权人姓名、职务）</w:t>
      </w:r>
      <w:r>
        <w:rPr>
          <w:rFonts w:hint="eastAsia" w:ascii="宋体" w:hAnsi="宋体" w:eastAsia="宋体" w:cs="宋体"/>
          <w:color w:val="auto"/>
          <w:kern w:val="0"/>
          <w:sz w:val="24"/>
          <w:highlight w:val="none"/>
        </w:rPr>
        <w:t>为本公司的合法代理人，就贵方组织的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w:t>
      </w:r>
      <w:r>
        <w:rPr>
          <w:rFonts w:hint="eastAsia" w:ascii="宋体" w:hAnsi="宋体" w:eastAsia="宋体" w:cs="宋体"/>
          <w:color w:val="auto"/>
          <w:kern w:val="0"/>
          <w:sz w:val="24"/>
          <w:highlight w:val="none"/>
          <w:lang w:eastAsia="zh-CN"/>
        </w:rPr>
        <w:t>项目</w:t>
      </w:r>
      <w:r>
        <w:rPr>
          <w:rFonts w:hint="eastAsia" w:ascii="宋体" w:hAnsi="宋体" w:eastAsia="宋体" w:cs="宋体"/>
          <w:color w:val="auto"/>
          <w:kern w:val="0"/>
          <w:sz w:val="24"/>
          <w:highlight w:val="none"/>
        </w:rPr>
        <w:t>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包号：</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w:t>
      </w:r>
      <w:r>
        <w:rPr>
          <w:rFonts w:hint="eastAsia" w:ascii="宋体" w:hAnsi="宋体" w:eastAsia="宋体" w:cs="宋体"/>
          <w:color w:val="auto"/>
          <w:kern w:val="0"/>
          <w:sz w:val="24"/>
          <w:highlight w:val="none"/>
        </w:rPr>
        <w:t>以本公司名义处理一切与之有关的事务。</w:t>
      </w:r>
    </w:p>
    <w:p w14:paraId="14D59F5D">
      <w:pPr>
        <w:widowControl/>
        <w:snapToGrid w:val="0"/>
        <w:spacing w:line="360" w:lineRule="auto"/>
        <w:ind w:firstLine="480"/>
        <w:jc w:val="left"/>
        <w:rPr>
          <w:rFonts w:hint="eastAsia" w:ascii="宋体" w:hAnsi="宋体" w:eastAsia="宋体" w:cs="宋体"/>
          <w:color w:val="auto"/>
          <w:kern w:val="0"/>
          <w:sz w:val="24"/>
          <w:highlight w:val="none"/>
        </w:rPr>
      </w:pPr>
    </w:p>
    <w:p w14:paraId="201DAE36">
      <w:pPr>
        <w:widowControl/>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本授权书于    年   月  日起签字生效。</w:t>
      </w:r>
    </w:p>
    <w:p w14:paraId="532F57D5">
      <w:pPr>
        <w:widowControl/>
        <w:snapToGrid w:val="0"/>
        <w:spacing w:line="360" w:lineRule="auto"/>
        <w:ind w:firstLine="480"/>
        <w:jc w:val="left"/>
        <w:rPr>
          <w:rFonts w:hint="eastAsia" w:ascii="宋体" w:hAnsi="宋体" w:eastAsia="宋体" w:cs="宋体"/>
          <w:color w:val="auto"/>
          <w:kern w:val="0"/>
          <w:sz w:val="24"/>
          <w:highlight w:val="none"/>
        </w:rPr>
      </w:pPr>
    </w:p>
    <w:p w14:paraId="41C9DFE1">
      <w:pPr>
        <w:widowControl/>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特此声明</w:t>
      </w:r>
    </w:p>
    <w:p w14:paraId="47D85647">
      <w:pPr>
        <w:widowControl/>
        <w:snapToGrid w:val="0"/>
        <w:spacing w:line="360" w:lineRule="auto"/>
        <w:jc w:val="center"/>
        <w:rPr>
          <w:rFonts w:hint="eastAsia" w:ascii="宋体" w:hAnsi="宋体" w:eastAsia="宋体" w:cs="宋体"/>
          <w:color w:val="auto"/>
          <w:kern w:val="0"/>
          <w:sz w:val="24"/>
          <w:highlight w:val="none"/>
        </w:rPr>
      </w:pPr>
    </w:p>
    <w:p w14:paraId="63141128">
      <w:pPr>
        <w:widowControl/>
        <w:snapToGrid w:val="0"/>
        <w:spacing w:line="360" w:lineRule="auto"/>
        <w:jc w:val="center"/>
        <w:rPr>
          <w:rFonts w:hint="eastAsia" w:ascii="宋体" w:hAnsi="宋体" w:eastAsia="宋体" w:cs="宋体"/>
          <w:color w:val="auto"/>
          <w:kern w:val="0"/>
          <w:sz w:val="24"/>
          <w:highlight w:val="none"/>
        </w:rPr>
      </w:pPr>
    </w:p>
    <w:p w14:paraId="2AB07301">
      <w:pPr>
        <w:widowControl/>
        <w:snapToGrid w:val="0"/>
        <w:spacing w:line="480" w:lineRule="auto"/>
        <w:ind w:firstLine="3684" w:firstLineChars="153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6B49006E">
      <w:pPr>
        <w:widowControl/>
        <w:snapToGrid w:val="0"/>
        <w:spacing w:line="480" w:lineRule="auto"/>
        <w:ind w:firstLine="3684" w:firstLineChars="153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r>
        <w:rPr>
          <w:rFonts w:hint="eastAsia" w:ascii="宋体" w:hAnsi="宋体" w:cs="宋体"/>
          <w:color w:val="auto"/>
          <w:kern w:val="0"/>
          <w:sz w:val="24"/>
          <w:highlight w:val="none"/>
          <w:lang w:eastAsia="zh-CN"/>
        </w:rPr>
        <w:t>（负责人）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000D5E86">
      <w:pPr>
        <w:widowControl/>
        <w:snapToGrid w:val="0"/>
        <w:spacing w:line="480" w:lineRule="auto"/>
        <w:ind w:firstLine="3684" w:firstLineChars="153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被授权人代表：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38BFF3E0">
      <w:pPr>
        <w:widowControl/>
        <w:tabs>
          <w:tab w:val="left" w:pos="730"/>
        </w:tabs>
        <w:snapToGrid w:val="0"/>
        <w:spacing w:line="360" w:lineRule="auto"/>
        <w:rPr>
          <w:rFonts w:hint="eastAsia" w:ascii="宋体" w:hAnsi="宋体" w:eastAsia="宋体" w:cs="宋体"/>
          <w:color w:val="auto"/>
          <w:kern w:val="0"/>
          <w:sz w:val="24"/>
          <w:highlight w:val="none"/>
        </w:rPr>
      </w:pPr>
    </w:p>
    <w:p w14:paraId="1FBE57E0">
      <w:pPr>
        <w:widowControl/>
        <w:tabs>
          <w:tab w:val="left" w:pos="730"/>
        </w:tabs>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附被授权人第二代身份证正反面复印件。</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133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2585B1A5">
            <w:pPr>
              <w:spacing w:line="360" w:lineRule="auto"/>
              <w:rPr>
                <w:rFonts w:hint="eastAsia" w:ascii="宋体" w:hAnsi="宋体" w:eastAsia="宋体" w:cs="宋体"/>
                <w:color w:val="auto"/>
                <w:sz w:val="24"/>
                <w:highlight w:val="none"/>
              </w:rPr>
            </w:pPr>
          </w:p>
        </w:tc>
        <w:tc>
          <w:tcPr>
            <w:tcW w:w="4615" w:type="dxa"/>
          </w:tcPr>
          <w:p w14:paraId="7DAF3E1A">
            <w:pPr>
              <w:spacing w:line="360" w:lineRule="auto"/>
              <w:rPr>
                <w:rFonts w:hint="eastAsia" w:ascii="宋体" w:hAnsi="宋体" w:eastAsia="宋体" w:cs="宋体"/>
                <w:color w:val="auto"/>
                <w:sz w:val="24"/>
                <w:highlight w:val="none"/>
              </w:rPr>
            </w:pPr>
          </w:p>
        </w:tc>
      </w:tr>
    </w:tbl>
    <w:p w14:paraId="0CB624AF">
      <w:pPr>
        <w:widowControl/>
        <w:snapToGrid w:val="0"/>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注：1.除可填报项目外，对本法定代表人</w:t>
      </w:r>
      <w:r>
        <w:rPr>
          <w:rFonts w:hint="eastAsia" w:ascii="宋体" w:hAnsi="宋体" w:eastAsia="宋体" w:cs="宋体"/>
          <w:b/>
          <w:bCs/>
          <w:color w:val="auto"/>
          <w:kern w:val="0"/>
          <w:sz w:val="24"/>
          <w:highlight w:val="none"/>
          <w:lang w:eastAsia="zh-CN"/>
        </w:rPr>
        <w:t>（负责人）</w:t>
      </w:r>
      <w:r>
        <w:rPr>
          <w:rFonts w:hint="eastAsia" w:ascii="宋体" w:hAnsi="宋体" w:eastAsia="宋体" w:cs="宋体"/>
          <w:b/>
          <w:bCs/>
          <w:color w:val="auto"/>
          <w:kern w:val="0"/>
          <w:sz w:val="24"/>
          <w:highlight w:val="none"/>
        </w:rPr>
        <w:t xml:space="preserve">授权委托书的任何修改将被视为未实质性响应投标，从而导致该投标被拒绝； </w:t>
      </w:r>
    </w:p>
    <w:p w14:paraId="0BA133B3">
      <w:pPr>
        <w:widowControl/>
        <w:tabs>
          <w:tab w:val="left" w:pos="567"/>
        </w:tabs>
        <w:snapToGrid w:val="0"/>
        <w:spacing w:line="360" w:lineRule="auto"/>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2.若投标人代表为法定代表人（负责人）的可不提供。</w:t>
      </w:r>
    </w:p>
    <w:p w14:paraId="0EAD3565">
      <w:pPr>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rPr>
        <w:t>3．投标函</w:t>
      </w:r>
      <w:r>
        <w:rPr>
          <w:rFonts w:hint="eastAsia" w:ascii="宋体" w:hAnsi="宋体" w:eastAsia="宋体" w:cs="宋体"/>
          <w:b/>
          <w:color w:val="auto"/>
          <w:sz w:val="24"/>
          <w:highlight w:val="none"/>
        </w:rPr>
        <w:t>格式</w:t>
      </w:r>
    </w:p>
    <w:p w14:paraId="15CEB96B">
      <w:pPr>
        <w:spacing w:line="480" w:lineRule="exact"/>
        <w:jc w:val="center"/>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投  标  函</w:t>
      </w:r>
    </w:p>
    <w:p w14:paraId="493EA65C">
      <w:pPr>
        <w:widowControl/>
        <w:tabs>
          <w:tab w:val="left" w:pos="4860"/>
        </w:tabs>
        <w:snapToGrid w:val="0"/>
        <w:spacing w:line="360" w:lineRule="auto"/>
        <w:rPr>
          <w:rFonts w:hint="eastAsia" w:ascii="宋体" w:hAnsi="宋体" w:eastAsia="宋体" w:cs="宋体"/>
          <w:color w:val="auto"/>
          <w:kern w:val="0"/>
          <w:sz w:val="24"/>
          <w:highlight w:val="none"/>
          <w:u w:val="single"/>
        </w:rPr>
      </w:pPr>
    </w:p>
    <w:p w14:paraId="20A1854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eastAsia="zh-CN"/>
        </w:rPr>
        <w:t>（采购人名称）</w:t>
      </w:r>
      <w:r>
        <w:rPr>
          <w:rFonts w:hint="eastAsia" w:ascii="宋体" w:hAnsi="宋体" w:eastAsia="宋体" w:cs="宋体"/>
          <w:color w:val="auto"/>
          <w:sz w:val="24"/>
          <w:highlight w:val="none"/>
          <w:u w:val="single"/>
        </w:rPr>
        <w:t>：</w:t>
      </w:r>
    </w:p>
    <w:p w14:paraId="6F2C8270">
      <w:pPr>
        <w:widowControl/>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（投标人全称）</w:t>
      </w:r>
      <w:r>
        <w:rPr>
          <w:rFonts w:hint="eastAsia" w:ascii="宋体" w:hAnsi="宋体" w:eastAsia="宋体" w:cs="宋体"/>
          <w:color w:val="auto"/>
          <w:kern w:val="0"/>
          <w:sz w:val="24"/>
          <w:highlight w:val="none"/>
        </w:rPr>
        <w:t>授权</w:t>
      </w:r>
      <w:r>
        <w:rPr>
          <w:rFonts w:hint="eastAsia" w:ascii="宋体" w:hAnsi="宋体" w:eastAsia="宋体" w:cs="宋体"/>
          <w:color w:val="auto"/>
          <w:kern w:val="0"/>
          <w:sz w:val="24"/>
          <w:highlight w:val="none"/>
          <w:u w:val="single"/>
        </w:rPr>
        <w:t xml:space="preserve">              （投标人代表姓名、职务)</w:t>
      </w:r>
      <w:r>
        <w:rPr>
          <w:rFonts w:hint="eastAsia" w:ascii="宋体" w:hAnsi="宋体" w:eastAsia="宋体" w:cs="宋体"/>
          <w:color w:val="auto"/>
          <w:kern w:val="0"/>
          <w:sz w:val="24"/>
          <w:highlight w:val="none"/>
        </w:rPr>
        <w:t>为我方代表，参加贵方组织的</w:t>
      </w:r>
      <w:r>
        <w:rPr>
          <w:rFonts w:hint="eastAsia" w:ascii="宋体" w:hAnsi="宋体" w:eastAsia="宋体" w:cs="宋体"/>
          <w:color w:val="auto"/>
          <w:kern w:val="0"/>
          <w:sz w:val="24"/>
          <w:highlight w:val="none"/>
          <w:u w:val="single"/>
        </w:rPr>
        <w:t xml:space="preserve">               (项目名称、项目编号)</w:t>
      </w:r>
      <w:r>
        <w:rPr>
          <w:rFonts w:hint="eastAsia" w:ascii="宋体" w:hAnsi="宋体" w:eastAsia="宋体" w:cs="宋体"/>
          <w:color w:val="auto"/>
          <w:kern w:val="0"/>
          <w:sz w:val="24"/>
          <w:highlight w:val="none"/>
        </w:rPr>
        <w:t>招标的有关活动，并对此项目进行投标。为此：</w:t>
      </w:r>
    </w:p>
    <w:p w14:paraId="776F0FA4">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1．我方同意在本项目招标文件中规定的投标文件递交截止之日起</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个日历天内遵守本投标文件中的承诺且在此期限期满之前均具有约束力。</w:t>
      </w:r>
    </w:p>
    <w:p w14:paraId="15098C07">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2．我方承诺已经具备《中华人民共和国政府采购法》中规定的参加政府采购活动的投标人应当具备的全部条件。</w:t>
      </w:r>
    </w:p>
    <w:p w14:paraId="5188961D">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3．提供投标须知规定的全部投标文件。</w:t>
      </w:r>
    </w:p>
    <w:p w14:paraId="12523AAC">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4．按招标文件要求提供和交付的货物和服务的投标报价详见开标一览表。</w:t>
      </w:r>
    </w:p>
    <w:p w14:paraId="59D7CB0C">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5．我方承诺：完全理解并接受投标报价超过预算金额时，投标将被拒绝。</w:t>
      </w:r>
    </w:p>
    <w:p w14:paraId="0E6BCC99">
      <w:pPr>
        <w:widowControl/>
        <w:tabs>
          <w:tab w:val="left" w:pos="1680"/>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6．保证忠实地执行双方所签订的合同，并承担合同规定的责任和义务。</w:t>
      </w:r>
    </w:p>
    <w:p w14:paraId="55881952">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7．承诺完全满足和响应招标文件中的各项商务和服务要求，若有偏差，已在投标文件商务和技术条款偏离表中予以明确特别说明。</w:t>
      </w:r>
    </w:p>
    <w:p w14:paraId="497C6BB1">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8．保证遵守招标文件的规定。</w:t>
      </w:r>
    </w:p>
    <w:p w14:paraId="63A2E233">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9．如果在开标后规定的投标有效期内撤回投标，我方的投标保证金可被贵方没收。</w:t>
      </w:r>
    </w:p>
    <w:p w14:paraId="64EFF654">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10．我方完全理解贵方不接受可选择性投标。</w:t>
      </w:r>
    </w:p>
    <w:p w14:paraId="2A22F096">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11．我方愿意向贵方提供任何与本项投标有关的数据、情况和技术资料。若贵方需要，我方愿意提供我方做出的一切承诺的证明材料。</w:t>
      </w:r>
    </w:p>
    <w:p w14:paraId="5179AFC6">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12．我方已详细审核全部投标文件，包括投标文件修改书（如有的话）、参考资料及有关附件，确认无误。</w:t>
      </w:r>
    </w:p>
    <w:p w14:paraId="6947967D">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13．我方承诺：</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若需追加采购本项目招标文件所列货物及相关服务的，在不改变合同其他实质性条款的前提下，按相同或更优惠的折扣率保证供货。</w:t>
      </w:r>
    </w:p>
    <w:p w14:paraId="01759F2B">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14．我方承诺接受招标文件中《合同条款》的全部条款且无任何异议。</w:t>
      </w:r>
    </w:p>
    <w:p w14:paraId="7F71D9BC">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366CE615">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（1）提供虚假材料谋取中标、成交的；</w:t>
      </w:r>
    </w:p>
    <w:p w14:paraId="23EFD517">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（2）采取不正当手段诋毁、排挤其他投标人的；</w:t>
      </w:r>
    </w:p>
    <w:p w14:paraId="0E5218EC">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（3）与</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、其它投标人或者代理机构工作人员恶意串通的；</w:t>
      </w:r>
    </w:p>
    <w:p w14:paraId="08692401">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（4）向</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、代理机构工作人员行贿或者提供其他不正当利益的；</w:t>
      </w:r>
    </w:p>
    <w:p w14:paraId="4D20AB56">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（5）开标后撤回投标的；</w:t>
      </w:r>
    </w:p>
    <w:p w14:paraId="4194254F">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（6）在评标期间，影响代理机构或</w:t>
      </w:r>
      <w:r>
        <w:rPr>
          <w:rFonts w:hint="eastAsia" w:ascii="宋体" w:hAnsi="宋体" w:cs="宋体"/>
          <w:color w:val="auto"/>
          <w:kern w:val="0"/>
          <w:sz w:val="24"/>
          <w:highlight w:val="none"/>
          <w:lang w:eastAsia="zh-CN"/>
        </w:rPr>
        <w:t>评标委员会</w:t>
      </w:r>
      <w:r>
        <w:rPr>
          <w:rFonts w:hint="eastAsia" w:ascii="宋体" w:hAnsi="宋体" w:eastAsia="宋体" w:cs="宋体"/>
          <w:color w:val="auto"/>
          <w:kern w:val="0"/>
          <w:sz w:val="24"/>
          <w:highlight w:val="none"/>
        </w:rPr>
        <w:t>正常履行职责的；</w:t>
      </w:r>
    </w:p>
    <w:p w14:paraId="504F9137">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（7）未经代理机构同意，在采购过程中与</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进行协商投标的；</w:t>
      </w:r>
    </w:p>
    <w:p w14:paraId="745B3958">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（8）中标后未按招标文件、投标文件及相关承诺规定签约或与</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订立背离合同实质性内容的其它协议的；</w:t>
      </w:r>
    </w:p>
    <w:p w14:paraId="22483854">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（9）未按招标文件规定和合同约定履行义务的；</w:t>
      </w:r>
    </w:p>
    <w:p w14:paraId="6823C9D5">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（10）拒绝有关部门监督检查或提供虚假情况的；</w:t>
      </w:r>
    </w:p>
    <w:p w14:paraId="2D27B4A6">
      <w:pPr>
        <w:widowControl/>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（11）违犯法律法规规定的其他行为。</w:t>
      </w:r>
    </w:p>
    <w:p w14:paraId="0BC8B8D6">
      <w:pPr>
        <w:widowControl/>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所有有关本投标的一切往来联系方式为：</w:t>
      </w:r>
    </w:p>
    <w:p w14:paraId="183790A6">
      <w:pPr>
        <w:widowControl/>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 xml:space="preserve">                            邮编：</w:t>
      </w:r>
      <w:r>
        <w:rPr>
          <w:rFonts w:hint="eastAsia" w:ascii="宋体" w:hAnsi="宋体" w:eastAsia="宋体" w:cs="宋体"/>
          <w:color w:val="auto"/>
          <w:kern w:val="0"/>
          <w:sz w:val="24"/>
          <w:highlight w:val="none"/>
        </w:rPr>
        <w:tab/>
      </w:r>
    </w:p>
    <w:p w14:paraId="766E3106">
      <w:pPr>
        <w:widowControl/>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 xml:space="preserve">                            传真：</w:t>
      </w:r>
    </w:p>
    <w:p w14:paraId="71683B30">
      <w:pPr>
        <w:widowControl/>
        <w:tabs>
          <w:tab w:val="left" w:pos="480"/>
        </w:tabs>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投标人代表联系电话：                （办公）         （移动）</w:t>
      </w:r>
    </w:p>
    <w:p w14:paraId="72532CB0">
      <w:pPr>
        <w:widowControl/>
        <w:tabs>
          <w:tab w:val="left" w:pos="480"/>
        </w:tabs>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E-mail:</w:t>
      </w:r>
    </w:p>
    <w:p w14:paraId="3BA8CF5E">
      <w:pPr>
        <w:widowControl/>
        <w:tabs>
          <w:tab w:val="left" w:pos="480"/>
        </w:tabs>
        <w:snapToGrid w:val="0"/>
        <w:spacing w:line="360" w:lineRule="auto"/>
        <w:jc w:val="left"/>
        <w:rPr>
          <w:rFonts w:hint="eastAsia" w:ascii="宋体" w:hAnsi="宋体" w:eastAsia="宋体" w:cs="宋体"/>
          <w:color w:val="auto"/>
          <w:kern w:val="0"/>
          <w:sz w:val="24"/>
          <w:highlight w:val="none"/>
        </w:rPr>
      </w:pPr>
    </w:p>
    <w:p w14:paraId="6B54EC8B">
      <w:pPr>
        <w:pStyle w:val="29"/>
        <w:rPr>
          <w:rFonts w:hint="eastAsia" w:ascii="宋体" w:hAnsi="宋体" w:eastAsia="宋体" w:cs="宋体"/>
          <w:color w:val="auto"/>
          <w:highlight w:val="none"/>
        </w:rPr>
      </w:pPr>
    </w:p>
    <w:p w14:paraId="5B61CC5F">
      <w:pPr>
        <w:widowControl/>
        <w:tabs>
          <w:tab w:val="left" w:pos="4000"/>
        </w:tabs>
        <w:snapToGrid w:val="0"/>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59A3A11A">
      <w:pPr>
        <w:widowControl/>
        <w:tabs>
          <w:tab w:val="left" w:pos="4000"/>
        </w:tabs>
        <w:snapToGrid w:val="0"/>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投标人代表：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4FA54D90">
      <w:pPr>
        <w:widowControl/>
        <w:tabs>
          <w:tab w:val="left" w:pos="4000"/>
        </w:tabs>
        <w:snapToGrid w:val="0"/>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期：</w:t>
      </w:r>
    </w:p>
    <w:p w14:paraId="42D08051">
      <w:pPr>
        <w:widowControl/>
        <w:snapToGrid w:val="0"/>
        <w:spacing w:line="360" w:lineRule="auto"/>
        <w:jc w:val="left"/>
        <w:rPr>
          <w:rFonts w:hint="eastAsia" w:ascii="宋体" w:hAnsi="宋体" w:eastAsia="宋体" w:cs="宋体"/>
          <w:color w:val="auto"/>
          <w:kern w:val="0"/>
          <w:sz w:val="24"/>
          <w:highlight w:val="none"/>
        </w:rPr>
      </w:pPr>
    </w:p>
    <w:p w14:paraId="3F5E924D">
      <w:pPr>
        <w:widowControl/>
        <w:snapToGrid w:val="0"/>
        <w:spacing w:line="360" w:lineRule="auto"/>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注：除可填报项目外，对本投标函内容的修改将被视为非实质性响应投标，从而导致该投标被拒绝。</w:t>
      </w:r>
    </w:p>
    <w:p w14:paraId="338F537D">
      <w:pPr>
        <w:widowControl/>
        <w:snapToGrid w:val="0"/>
        <w:spacing w:line="360" w:lineRule="auto"/>
        <w:jc w:val="left"/>
        <w:rPr>
          <w:rFonts w:hint="eastAsia" w:ascii="宋体" w:hAnsi="宋体" w:eastAsia="宋体" w:cs="宋体"/>
          <w:color w:val="auto"/>
          <w:kern w:val="0"/>
          <w:sz w:val="24"/>
          <w:highlight w:val="none"/>
        </w:rPr>
      </w:pPr>
    </w:p>
    <w:p w14:paraId="47F0FB78">
      <w:pPr>
        <w:widowControl/>
        <w:snapToGrid w:val="0"/>
        <w:spacing w:line="360" w:lineRule="auto"/>
        <w:jc w:val="left"/>
        <w:rPr>
          <w:rFonts w:hint="eastAsia" w:ascii="宋体" w:hAnsi="宋体" w:eastAsia="宋体" w:cs="宋体"/>
          <w:color w:val="auto"/>
          <w:kern w:val="0"/>
          <w:sz w:val="24"/>
          <w:highlight w:val="none"/>
        </w:rPr>
      </w:pPr>
    </w:p>
    <w:p w14:paraId="2B09BB13">
      <w:pPr>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rPr>
        <w:t>4．开标</w:t>
      </w:r>
      <w:r>
        <w:rPr>
          <w:rFonts w:hint="eastAsia" w:ascii="宋体" w:hAnsi="宋体" w:eastAsia="宋体" w:cs="宋体"/>
          <w:b/>
          <w:color w:val="auto"/>
          <w:sz w:val="24"/>
          <w:highlight w:val="none"/>
        </w:rPr>
        <w:t>一览表</w:t>
      </w:r>
      <w:r>
        <w:rPr>
          <w:rFonts w:hint="eastAsia" w:ascii="宋体" w:hAnsi="宋体" w:eastAsia="宋体" w:cs="宋体"/>
          <w:b/>
          <w:color w:val="auto"/>
          <w:kern w:val="0"/>
          <w:sz w:val="24"/>
          <w:highlight w:val="none"/>
        </w:rPr>
        <w:t>格式</w:t>
      </w:r>
    </w:p>
    <w:p w14:paraId="3D40D85C">
      <w:pPr>
        <w:widowControl/>
        <w:tabs>
          <w:tab w:val="left" w:pos="4000"/>
        </w:tabs>
        <w:spacing w:line="360" w:lineRule="auto"/>
        <w:ind w:firstLine="282" w:firstLineChars="78"/>
        <w:jc w:val="center"/>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开标</w:t>
      </w:r>
      <w:r>
        <w:rPr>
          <w:rFonts w:hint="eastAsia" w:ascii="宋体" w:hAnsi="宋体" w:eastAsia="宋体" w:cs="宋体"/>
          <w:b/>
          <w:bCs/>
          <w:color w:val="auto"/>
          <w:sz w:val="36"/>
          <w:szCs w:val="36"/>
          <w:highlight w:val="none"/>
        </w:rPr>
        <w:t>一览表</w:t>
      </w:r>
    </w:p>
    <w:p w14:paraId="28B08760">
      <w:pPr>
        <w:spacing w:line="4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3989CAD3">
      <w:pPr>
        <w:spacing w:line="4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47DC23E2">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2F9C1DB">
      <w:pPr>
        <w:spacing w:line="480" w:lineRule="exact"/>
        <w:rPr>
          <w:rFonts w:hint="eastAsia" w:ascii="宋体" w:hAnsi="宋体" w:eastAsia="宋体" w:cs="宋体"/>
          <w:color w:val="auto"/>
          <w:sz w:val="24"/>
          <w:szCs w:val="24"/>
          <w:highlight w:val="none"/>
        </w:rPr>
      </w:pPr>
    </w:p>
    <w:p w14:paraId="7B197ECB">
      <w:pPr>
        <w:tabs>
          <w:tab w:val="left" w:pos="4000"/>
        </w:tabs>
        <w:spacing w:line="360" w:lineRule="auto"/>
        <w:ind w:firstLine="163" w:firstLineChars="78"/>
        <w:jc w:val="right"/>
        <w:rPr>
          <w:rStyle w:val="45"/>
          <w:rFonts w:hint="eastAsia" w:ascii="宋体" w:hAnsi="宋体" w:eastAsia="宋体" w:cs="宋体"/>
          <w:color w:val="auto"/>
          <w:highlight w:val="none"/>
        </w:rPr>
      </w:pPr>
    </w:p>
    <w:tbl>
      <w:tblPr>
        <w:tblStyle w:val="33"/>
        <w:tblW w:w="93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7"/>
        <w:gridCol w:w="7211"/>
      </w:tblGrid>
      <w:tr w14:paraId="68475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2137" w:type="dxa"/>
            <w:tcBorders>
              <w:top w:val="single" w:color="000000" w:sz="4" w:space="0"/>
              <w:left w:val="single" w:color="000000" w:sz="4" w:space="0"/>
              <w:bottom w:val="single" w:color="000000" w:sz="4" w:space="0"/>
              <w:right w:val="single" w:color="000000" w:sz="4" w:space="0"/>
            </w:tcBorders>
            <w:vAlign w:val="center"/>
          </w:tcPr>
          <w:p w14:paraId="4A9649D9">
            <w:pPr>
              <w:spacing w:line="360" w:lineRule="auto"/>
              <w:jc w:val="center"/>
              <w:rPr>
                <w:rStyle w:val="45"/>
                <w:rFonts w:hint="eastAsia" w:ascii="宋体" w:hAnsi="宋体" w:eastAsia="宋体" w:cs="宋体"/>
                <w:color w:val="auto"/>
                <w:spacing w:val="20"/>
                <w:sz w:val="24"/>
                <w:highlight w:val="none"/>
                <w:lang w:eastAsia="zh-CN"/>
              </w:rPr>
            </w:pPr>
            <w:r>
              <w:rPr>
                <w:rStyle w:val="45"/>
                <w:rFonts w:hint="eastAsia" w:ascii="宋体" w:hAnsi="宋体" w:eastAsia="宋体" w:cs="宋体"/>
                <w:color w:val="auto"/>
                <w:spacing w:val="20"/>
                <w:sz w:val="24"/>
                <w:highlight w:val="none"/>
              </w:rPr>
              <w:t>报价</w:t>
            </w:r>
          </w:p>
        </w:tc>
        <w:tc>
          <w:tcPr>
            <w:tcW w:w="7211" w:type="dxa"/>
            <w:tcBorders>
              <w:top w:val="single" w:color="000000" w:sz="4" w:space="0"/>
              <w:left w:val="single" w:color="000000" w:sz="4" w:space="0"/>
              <w:bottom w:val="single" w:color="000000" w:sz="4" w:space="0"/>
              <w:right w:val="single" w:color="000000" w:sz="4" w:space="0"/>
            </w:tcBorders>
            <w:vAlign w:val="center"/>
          </w:tcPr>
          <w:p w14:paraId="403E8CBB">
            <w:pPr>
              <w:spacing w:line="360" w:lineRule="auto"/>
              <w:ind w:left="210" w:leftChars="100" w:right="210" w:rightChars="100"/>
              <w:rPr>
                <w:rStyle w:val="45"/>
                <w:rFonts w:hint="eastAsia" w:ascii="宋体" w:hAnsi="宋体" w:eastAsia="宋体" w:cs="宋体"/>
                <w:bCs/>
                <w:color w:val="auto"/>
                <w:spacing w:val="20"/>
                <w:sz w:val="24"/>
                <w:highlight w:val="none"/>
                <w:u w:val="single"/>
              </w:rPr>
            </w:pPr>
          </w:p>
        </w:tc>
      </w:tr>
      <w:tr w14:paraId="65203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2137" w:type="dxa"/>
            <w:tcBorders>
              <w:top w:val="single" w:color="000000" w:sz="4" w:space="0"/>
              <w:left w:val="single" w:color="000000" w:sz="4" w:space="0"/>
              <w:bottom w:val="single" w:color="000000" w:sz="4" w:space="0"/>
              <w:right w:val="single" w:color="000000" w:sz="4" w:space="0"/>
            </w:tcBorders>
            <w:vAlign w:val="center"/>
          </w:tcPr>
          <w:p w14:paraId="34A2C956">
            <w:pPr>
              <w:spacing w:line="360" w:lineRule="auto"/>
              <w:jc w:val="center"/>
              <w:rPr>
                <w:rStyle w:val="45"/>
                <w:rFonts w:hint="eastAsia" w:ascii="宋体" w:hAnsi="宋体" w:eastAsia="宋体" w:cs="宋体"/>
                <w:color w:val="auto"/>
                <w:sz w:val="24"/>
                <w:highlight w:val="none"/>
              </w:rPr>
            </w:pPr>
            <w:r>
              <w:rPr>
                <w:rStyle w:val="45"/>
                <w:rFonts w:hint="eastAsia" w:ascii="宋体" w:hAnsi="宋体" w:eastAsia="宋体" w:cs="宋体"/>
                <w:color w:val="auto"/>
                <w:spacing w:val="20"/>
                <w:sz w:val="24"/>
                <w:highlight w:val="none"/>
              </w:rPr>
              <w:t>合同履约期限</w:t>
            </w:r>
          </w:p>
        </w:tc>
        <w:tc>
          <w:tcPr>
            <w:tcW w:w="7211" w:type="dxa"/>
            <w:tcBorders>
              <w:top w:val="single" w:color="000000" w:sz="4" w:space="0"/>
              <w:left w:val="single" w:color="000000" w:sz="4" w:space="0"/>
              <w:bottom w:val="single" w:color="000000" w:sz="4" w:space="0"/>
              <w:right w:val="single" w:color="000000" w:sz="4" w:space="0"/>
            </w:tcBorders>
            <w:vAlign w:val="center"/>
          </w:tcPr>
          <w:p w14:paraId="0788BF14">
            <w:pPr>
              <w:spacing w:line="360" w:lineRule="auto"/>
              <w:ind w:left="210" w:leftChars="100" w:right="210" w:rightChars="100"/>
              <w:jc w:val="center"/>
              <w:rPr>
                <w:rStyle w:val="45"/>
                <w:rFonts w:hint="eastAsia" w:ascii="宋体" w:hAnsi="宋体" w:eastAsia="宋体" w:cs="宋体"/>
                <w:bCs/>
                <w:color w:val="auto"/>
                <w:spacing w:val="20"/>
                <w:sz w:val="24"/>
                <w:highlight w:val="none"/>
                <w:u w:val="single"/>
              </w:rPr>
            </w:pPr>
          </w:p>
        </w:tc>
      </w:tr>
      <w:tr w14:paraId="75422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2137" w:type="dxa"/>
            <w:tcBorders>
              <w:top w:val="single" w:color="000000" w:sz="4" w:space="0"/>
              <w:left w:val="single" w:color="000000" w:sz="4" w:space="0"/>
              <w:bottom w:val="single" w:color="000000" w:sz="4" w:space="0"/>
              <w:right w:val="single" w:color="000000" w:sz="4" w:space="0"/>
            </w:tcBorders>
            <w:vAlign w:val="center"/>
          </w:tcPr>
          <w:p w14:paraId="2AA12817">
            <w:pPr>
              <w:spacing w:line="360" w:lineRule="auto"/>
              <w:jc w:val="center"/>
              <w:rPr>
                <w:rStyle w:val="45"/>
                <w:rFonts w:hint="eastAsia" w:ascii="宋体" w:hAnsi="宋体" w:eastAsia="宋体" w:cs="宋体"/>
                <w:color w:val="auto"/>
                <w:spacing w:val="20"/>
                <w:sz w:val="24"/>
                <w:highlight w:val="none"/>
                <w:lang w:eastAsia="zh-CN"/>
              </w:rPr>
            </w:pPr>
            <w:r>
              <w:rPr>
                <w:rStyle w:val="45"/>
                <w:rFonts w:hint="eastAsia" w:ascii="宋体" w:hAnsi="宋体" w:eastAsia="宋体" w:cs="宋体"/>
                <w:color w:val="auto"/>
                <w:spacing w:val="20"/>
                <w:sz w:val="24"/>
                <w:highlight w:val="none"/>
                <w:lang w:eastAsia="zh-CN"/>
              </w:rPr>
              <w:t>服务</w:t>
            </w:r>
            <w:r>
              <w:rPr>
                <w:rStyle w:val="45"/>
                <w:rFonts w:hint="eastAsia" w:ascii="宋体" w:hAnsi="宋体" w:cs="宋体"/>
                <w:color w:val="auto"/>
                <w:spacing w:val="20"/>
                <w:sz w:val="24"/>
                <w:highlight w:val="none"/>
                <w:lang w:val="en-US" w:eastAsia="zh-CN"/>
              </w:rPr>
              <w:t>地点</w:t>
            </w:r>
          </w:p>
        </w:tc>
        <w:tc>
          <w:tcPr>
            <w:tcW w:w="7211" w:type="dxa"/>
            <w:tcBorders>
              <w:top w:val="single" w:color="000000" w:sz="4" w:space="0"/>
              <w:left w:val="single" w:color="000000" w:sz="4" w:space="0"/>
              <w:bottom w:val="single" w:color="000000" w:sz="4" w:space="0"/>
              <w:right w:val="single" w:color="000000" w:sz="4" w:space="0"/>
            </w:tcBorders>
            <w:vAlign w:val="center"/>
          </w:tcPr>
          <w:p w14:paraId="34D32E3F">
            <w:pPr>
              <w:spacing w:line="360" w:lineRule="auto"/>
              <w:ind w:left="210" w:leftChars="100" w:right="210" w:rightChars="100"/>
              <w:jc w:val="center"/>
              <w:rPr>
                <w:rStyle w:val="45"/>
                <w:rFonts w:hint="eastAsia" w:ascii="宋体" w:hAnsi="宋体" w:eastAsia="宋体" w:cs="宋体"/>
                <w:bCs/>
                <w:color w:val="auto"/>
                <w:spacing w:val="20"/>
                <w:sz w:val="24"/>
                <w:highlight w:val="none"/>
                <w:u w:val="single"/>
                <w:lang w:val="en-US" w:eastAsia="zh-CN"/>
              </w:rPr>
            </w:pPr>
          </w:p>
        </w:tc>
      </w:tr>
      <w:tr w14:paraId="44FA9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A74">
            <w:pPr>
              <w:spacing w:line="360" w:lineRule="auto"/>
              <w:jc w:val="center"/>
              <w:rPr>
                <w:rFonts w:hint="default" w:ascii="宋体" w:hAnsi="宋体" w:eastAsia="宋体" w:cs="宋体"/>
                <w:color w:val="auto"/>
                <w:spacing w:val="20"/>
                <w:kern w:val="2"/>
                <w:sz w:val="24"/>
                <w:szCs w:val="24"/>
                <w:highlight w:val="none"/>
                <w:lang w:val="en-US" w:eastAsia="zh-CN" w:bidi="ar-SA"/>
              </w:rPr>
            </w:pPr>
            <w:r>
              <w:rPr>
                <w:rStyle w:val="45"/>
                <w:rFonts w:hint="eastAsia" w:ascii="宋体" w:hAnsi="宋体" w:eastAsia="宋体" w:cs="宋体"/>
                <w:color w:val="auto"/>
                <w:spacing w:val="20"/>
                <w:sz w:val="24"/>
                <w:highlight w:val="none"/>
                <w:lang w:eastAsia="zh-CN"/>
              </w:rPr>
              <w:t>服务标准</w:t>
            </w:r>
          </w:p>
        </w:tc>
        <w:tc>
          <w:tcPr>
            <w:tcW w:w="7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CB62">
            <w:pPr>
              <w:spacing w:line="360" w:lineRule="auto"/>
              <w:ind w:left="210" w:leftChars="100" w:right="210" w:rightChars="100"/>
              <w:jc w:val="center"/>
              <w:rPr>
                <w:rFonts w:hint="eastAsia" w:ascii="宋体" w:hAnsi="宋体" w:eastAsia="宋体" w:cs="宋体"/>
                <w:bCs/>
                <w:color w:val="auto"/>
                <w:spacing w:val="20"/>
                <w:kern w:val="2"/>
                <w:sz w:val="24"/>
                <w:szCs w:val="24"/>
                <w:highlight w:val="none"/>
                <w:u w:val="single"/>
                <w:lang w:val="en-US" w:eastAsia="zh-CN" w:bidi="ar-SA"/>
              </w:rPr>
            </w:pPr>
          </w:p>
        </w:tc>
      </w:tr>
      <w:tr w14:paraId="7D6C4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BEB0">
            <w:pPr>
              <w:spacing w:line="360" w:lineRule="auto"/>
              <w:jc w:val="center"/>
              <w:rPr>
                <w:rFonts w:hint="eastAsia" w:ascii="宋体" w:hAnsi="宋体" w:eastAsia="宋体" w:cs="宋体"/>
                <w:color w:val="auto"/>
                <w:spacing w:val="20"/>
                <w:kern w:val="2"/>
                <w:sz w:val="24"/>
                <w:szCs w:val="24"/>
                <w:highlight w:val="none"/>
                <w:lang w:val="en-US" w:eastAsia="zh-CN" w:bidi="ar-SA"/>
              </w:rPr>
            </w:pPr>
            <w:r>
              <w:rPr>
                <w:rStyle w:val="45"/>
                <w:rFonts w:hint="eastAsia" w:ascii="宋体" w:hAnsi="宋体" w:cs="宋体"/>
                <w:color w:val="auto"/>
                <w:spacing w:val="20"/>
                <w:sz w:val="24"/>
                <w:highlight w:val="none"/>
                <w:lang w:val="en-US" w:eastAsia="zh-CN"/>
              </w:rPr>
              <w:t>备注</w:t>
            </w:r>
          </w:p>
        </w:tc>
        <w:tc>
          <w:tcPr>
            <w:tcW w:w="7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4A9D">
            <w:pPr>
              <w:spacing w:line="360" w:lineRule="auto"/>
              <w:ind w:left="210" w:leftChars="100" w:right="210" w:rightChars="100"/>
              <w:jc w:val="center"/>
              <w:rPr>
                <w:rFonts w:hint="eastAsia" w:ascii="宋体" w:hAnsi="宋体" w:eastAsia="宋体" w:cs="宋体"/>
                <w:bCs/>
                <w:color w:val="auto"/>
                <w:spacing w:val="20"/>
                <w:kern w:val="2"/>
                <w:sz w:val="24"/>
                <w:szCs w:val="24"/>
                <w:highlight w:val="none"/>
                <w:u w:val="single"/>
                <w:lang w:val="en-US" w:eastAsia="zh-CN" w:bidi="ar-SA"/>
              </w:rPr>
            </w:pPr>
          </w:p>
        </w:tc>
      </w:tr>
    </w:tbl>
    <w:p w14:paraId="1849151D">
      <w:pPr>
        <w:spacing w:before="156" w:beforeLines="50" w:line="360" w:lineRule="auto"/>
        <w:ind w:firstLine="560" w:firstLineChars="200"/>
        <w:jc w:val="left"/>
        <w:rPr>
          <w:rStyle w:val="45"/>
          <w:rFonts w:hint="eastAsia" w:ascii="宋体" w:hAnsi="宋体" w:eastAsia="宋体" w:cs="宋体"/>
          <w:color w:val="auto"/>
          <w:spacing w:val="20"/>
          <w:sz w:val="24"/>
          <w:highlight w:val="none"/>
        </w:rPr>
      </w:pPr>
      <w:r>
        <w:rPr>
          <w:rStyle w:val="45"/>
          <w:rFonts w:hint="eastAsia" w:ascii="宋体" w:hAnsi="宋体" w:eastAsia="宋体" w:cs="宋体"/>
          <w:color w:val="auto"/>
          <w:spacing w:val="20"/>
          <w:sz w:val="24"/>
          <w:highlight w:val="none"/>
        </w:rPr>
        <w:t>注:报价应包括</w:t>
      </w:r>
      <w:r>
        <w:rPr>
          <w:rStyle w:val="45"/>
          <w:rFonts w:hint="eastAsia" w:ascii="宋体" w:hAnsi="宋体" w:cs="宋体"/>
          <w:color w:val="auto"/>
          <w:spacing w:val="20"/>
          <w:sz w:val="24"/>
          <w:highlight w:val="none"/>
          <w:lang w:val="en-US" w:eastAsia="zh-CN"/>
        </w:rPr>
        <w:t>招标</w:t>
      </w:r>
      <w:r>
        <w:rPr>
          <w:rStyle w:val="45"/>
          <w:rFonts w:hint="eastAsia" w:ascii="宋体" w:hAnsi="宋体" w:eastAsia="宋体" w:cs="宋体"/>
          <w:color w:val="auto"/>
          <w:spacing w:val="20"/>
          <w:sz w:val="24"/>
          <w:highlight w:val="none"/>
        </w:rPr>
        <w:t>文件所规定的采购范围内的全部内容。</w:t>
      </w:r>
    </w:p>
    <w:p w14:paraId="35054D06">
      <w:pPr>
        <w:widowControl/>
        <w:tabs>
          <w:tab w:val="left" w:pos="4000"/>
        </w:tabs>
        <w:snapToGrid w:val="0"/>
        <w:spacing w:line="360" w:lineRule="auto"/>
        <w:ind w:firstLine="4080" w:firstLineChars="1700"/>
        <w:jc w:val="left"/>
        <w:rPr>
          <w:rFonts w:hint="eastAsia" w:ascii="宋体" w:hAnsi="宋体" w:eastAsia="宋体" w:cs="宋体"/>
          <w:color w:val="auto"/>
          <w:kern w:val="0"/>
          <w:sz w:val="24"/>
          <w:highlight w:val="none"/>
        </w:rPr>
      </w:pPr>
    </w:p>
    <w:p w14:paraId="7884F453">
      <w:pPr>
        <w:pStyle w:val="23"/>
        <w:rPr>
          <w:rFonts w:hint="eastAsia" w:ascii="宋体" w:hAnsi="宋体" w:eastAsia="宋体" w:cs="宋体"/>
          <w:color w:val="auto"/>
          <w:kern w:val="0"/>
          <w:sz w:val="24"/>
          <w:highlight w:val="none"/>
        </w:rPr>
      </w:pPr>
    </w:p>
    <w:p w14:paraId="6BAFADF0">
      <w:pPr>
        <w:pStyle w:val="23"/>
        <w:rPr>
          <w:rFonts w:hint="eastAsia" w:ascii="宋体" w:hAnsi="宋体" w:eastAsia="宋体" w:cs="宋体"/>
          <w:color w:val="auto"/>
          <w:kern w:val="0"/>
          <w:sz w:val="24"/>
          <w:highlight w:val="none"/>
        </w:rPr>
      </w:pPr>
    </w:p>
    <w:p w14:paraId="7DA40B57">
      <w:pPr>
        <w:pStyle w:val="23"/>
        <w:rPr>
          <w:rFonts w:hint="eastAsia" w:ascii="宋体" w:hAnsi="宋体" w:eastAsia="宋体" w:cs="宋体"/>
          <w:color w:val="auto"/>
          <w:kern w:val="0"/>
          <w:sz w:val="24"/>
          <w:highlight w:val="none"/>
        </w:rPr>
      </w:pPr>
    </w:p>
    <w:p w14:paraId="0D182448">
      <w:pPr>
        <w:widowControl/>
        <w:tabs>
          <w:tab w:val="left" w:pos="4000"/>
        </w:tabs>
        <w:snapToGrid w:val="0"/>
        <w:spacing w:line="360" w:lineRule="auto"/>
        <w:ind w:firstLine="4320" w:firstLineChars="18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6CF14DD8">
      <w:pPr>
        <w:widowControl/>
        <w:tabs>
          <w:tab w:val="left" w:pos="4000"/>
        </w:tabs>
        <w:snapToGrid w:val="0"/>
        <w:spacing w:line="360" w:lineRule="auto"/>
        <w:ind w:firstLine="4320" w:firstLineChars="18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投标人代表：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693F382">
      <w:pPr>
        <w:widowControl/>
        <w:tabs>
          <w:tab w:val="left" w:pos="4000"/>
        </w:tabs>
        <w:snapToGrid w:val="0"/>
        <w:spacing w:line="360" w:lineRule="auto"/>
        <w:ind w:firstLine="4320" w:firstLineChars="18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期：</w:t>
      </w:r>
    </w:p>
    <w:p w14:paraId="51DACBFC">
      <w:pPr>
        <w:pStyle w:val="2"/>
        <w:rPr>
          <w:rFonts w:hint="eastAsia" w:ascii="宋体" w:hAnsi="宋体" w:eastAsia="宋体" w:cs="宋体"/>
          <w:color w:val="auto"/>
          <w:kern w:val="0"/>
          <w:sz w:val="24"/>
          <w:highlight w:val="none"/>
        </w:rPr>
        <w:sectPr>
          <w:pgSz w:w="11906" w:h="16838"/>
          <w:pgMar w:top="1417" w:right="1247" w:bottom="1417" w:left="124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4BE530B5">
      <w:pPr>
        <w:snapToGrid w:val="0"/>
        <w:spacing w:line="360" w:lineRule="auto"/>
        <w:outlineLvl w:val="2"/>
        <w:rPr>
          <w:rFonts w:hint="eastAsia" w:ascii="宋体" w:hAnsi="宋体" w:eastAsia="宋体" w:cs="宋体"/>
          <w:color w:val="auto"/>
          <w:highlight w:val="none"/>
        </w:rPr>
      </w:pPr>
      <w:r>
        <w:rPr>
          <w:rFonts w:hint="eastAsia" w:ascii="宋体" w:hAnsi="宋体" w:eastAsia="宋体" w:cs="宋体"/>
          <w:b/>
          <w:color w:val="auto"/>
          <w:kern w:val="0"/>
          <w:sz w:val="24"/>
          <w:highlight w:val="none"/>
          <w:lang w:val="en-US" w:eastAsia="zh-CN"/>
        </w:rPr>
        <w:t>5</w:t>
      </w:r>
      <w:r>
        <w:rPr>
          <w:rFonts w:hint="eastAsia" w:ascii="宋体" w:hAnsi="宋体" w:eastAsia="宋体" w:cs="宋体"/>
          <w:b/>
          <w:color w:val="auto"/>
          <w:kern w:val="0"/>
          <w:sz w:val="24"/>
          <w:highlight w:val="none"/>
        </w:rPr>
        <w:t>．商务条款响应表格式</w:t>
      </w:r>
    </w:p>
    <w:p w14:paraId="3136BB4B">
      <w:pPr>
        <w:snapToGrid w:val="0"/>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商务条款响应表</w:t>
      </w:r>
    </w:p>
    <w:tbl>
      <w:tblPr>
        <w:tblStyle w:val="3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3432"/>
        <w:gridCol w:w="2899"/>
        <w:gridCol w:w="1248"/>
        <w:gridCol w:w="1248"/>
      </w:tblGrid>
      <w:tr w14:paraId="551B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0" w:type="pct"/>
            <w:vAlign w:val="center"/>
          </w:tcPr>
          <w:p w14:paraId="63B8D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84" w:type="pct"/>
            <w:vAlign w:val="center"/>
          </w:tcPr>
          <w:p w14:paraId="74305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招标文件商务要求</w:t>
            </w:r>
          </w:p>
        </w:tc>
        <w:tc>
          <w:tcPr>
            <w:tcW w:w="1507" w:type="pct"/>
            <w:vAlign w:val="center"/>
          </w:tcPr>
          <w:p w14:paraId="5422B6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投标文件的对应响应</w:t>
            </w:r>
          </w:p>
        </w:tc>
        <w:tc>
          <w:tcPr>
            <w:tcW w:w="649" w:type="pct"/>
            <w:vAlign w:val="center"/>
          </w:tcPr>
          <w:p w14:paraId="298930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649" w:type="pct"/>
            <w:vAlign w:val="center"/>
          </w:tcPr>
          <w:p w14:paraId="4D5B1F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622F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0" w:type="pct"/>
            <w:vAlign w:val="center"/>
          </w:tcPr>
          <w:p w14:paraId="795078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84" w:type="pct"/>
            <w:vAlign w:val="center"/>
          </w:tcPr>
          <w:p w14:paraId="5A953E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highlight w:val="none"/>
              </w:rPr>
            </w:pPr>
          </w:p>
        </w:tc>
        <w:tc>
          <w:tcPr>
            <w:tcW w:w="1507" w:type="pct"/>
            <w:vAlign w:val="center"/>
          </w:tcPr>
          <w:p w14:paraId="77AD4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p>
        </w:tc>
        <w:tc>
          <w:tcPr>
            <w:tcW w:w="649" w:type="pct"/>
            <w:vAlign w:val="center"/>
          </w:tcPr>
          <w:p w14:paraId="5B090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p>
        </w:tc>
        <w:tc>
          <w:tcPr>
            <w:tcW w:w="649" w:type="pct"/>
            <w:vAlign w:val="center"/>
          </w:tcPr>
          <w:p w14:paraId="697E2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p>
        </w:tc>
      </w:tr>
      <w:tr w14:paraId="1190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0" w:type="pct"/>
            <w:vAlign w:val="center"/>
          </w:tcPr>
          <w:p w14:paraId="093FF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84" w:type="pct"/>
            <w:vAlign w:val="center"/>
          </w:tcPr>
          <w:p w14:paraId="61389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highlight w:val="none"/>
              </w:rPr>
            </w:pPr>
          </w:p>
        </w:tc>
        <w:tc>
          <w:tcPr>
            <w:tcW w:w="1507" w:type="pct"/>
            <w:vAlign w:val="center"/>
          </w:tcPr>
          <w:p w14:paraId="6B713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p>
        </w:tc>
        <w:tc>
          <w:tcPr>
            <w:tcW w:w="649" w:type="pct"/>
            <w:vAlign w:val="center"/>
          </w:tcPr>
          <w:p w14:paraId="5FC249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p>
        </w:tc>
        <w:tc>
          <w:tcPr>
            <w:tcW w:w="649" w:type="pct"/>
            <w:vAlign w:val="center"/>
          </w:tcPr>
          <w:p w14:paraId="657257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p>
        </w:tc>
      </w:tr>
      <w:tr w14:paraId="33CB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0" w:type="pct"/>
            <w:vAlign w:val="center"/>
          </w:tcPr>
          <w:p w14:paraId="20516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84" w:type="pct"/>
            <w:vAlign w:val="center"/>
          </w:tcPr>
          <w:p w14:paraId="67E7D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highlight w:val="none"/>
              </w:rPr>
            </w:pPr>
          </w:p>
        </w:tc>
        <w:tc>
          <w:tcPr>
            <w:tcW w:w="1507" w:type="pct"/>
            <w:vAlign w:val="center"/>
          </w:tcPr>
          <w:p w14:paraId="312751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p>
        </w:tc>
        <w:tc>
          <w:tcPr>
            <w:tcW w:w="649" w:type="pct"/>
            <w:vAlign w:val="center"/>
          </w:tcPr>
          <w:p w14:paraId="640D7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p>
        </w:tc>
        <w:tc>
          <w:tcPr>
            <w:tcW w:w="649" w:type="pct"/>
            <w:vAlign w:val="center"/>
          </w:tcPr>
          <w:p w14:paraId="105895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p>
        </w:tc>
      </w:tr>
      <w:tr w14:paraId="2EEE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0" w:type="pct"/>
            <w:vAlign w:val="center"/>
          </w:tcPr>
          <w:p w14:paraId="47F5F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84" w:type="pct"/>
            <w:vAlign w:val="center"/>
          </w:tcPr>
          <w:p w14:paraId="44823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highlight w:val="none"/>
              </w:rPr>
            </w:pPr>
          </w:p>
        </w:tc>
        <w:tc>
          <w:tcPr>
            <w:tcW w:w="1507" w:type="pct"/>
            <w:vAlign w:val="center"/>
          </w:tcPr>
          <w:p w14:paraId="392C7D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p>
        </w:tc>
        <w:tc>
          <w:tcPr>
            <w:tcW w:w="649" w:type="pct"/>
            <w:vAlign w:val="center"/>
          </w:tcPr>
          <w:p w14:paraId="71476A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p>
        </w:tc>
        <w:tc>
          <w:tcPr>
            <w:tcW w:w="649" w:type="pct"/>
            <w:vAlign w:val="center"/>
          </w:tcPr>
          <w:p w14:paraId="19DFD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p>
        </w:tc>
      </w:tr>
      <w:tr w14:paraId="791F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0" w:type="pct"/>
            <w:vAlign w:val="center"/>
          </w:tcPr>
          <w:p w14:paraId="07CA5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w:t>
            </w:r>
          </w:p>
        </w:tc>
        <w:tc>
          <w:tcPr>
            <w:tcW w:w="1784" w:type="pct"/>
            <w:vAlign w:val="center"/>
          </w:tcPr>
          <w:p w14:paraId="60D13F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highlight w:val="none"/>
                <w:lang w:val="en-US" w:eastAsia="zh-CN"/>
              </w:rPr>
            </w:pPr>
          </w:p>
        </w:tc>
        <w:tc>
          <w:tcPr>
            <w:tcW w:w="1507" w:type="pct"/>
            <w:vAlign w:val="center"/>
          </w:tcPr>
          <w:p w14:paraId="039B43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highlight w:val="none"/>
                <w:lang w:val="en-US" w:eastAsia="zh-CN"/>
              </w:rPr>
            </w:pPr>
          </w:p>
        </w:tc>
        <w:tc>
          <w:tcPr>
            <w:tcW w:w="649" w:type="pct"/>
            <w:vAlign w:val="center"/>
          </w:tcPr>
          <w:p w14:paraId="45CD01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highlight w:val="none"/>
                <w:lang w:val="en-US" w:eastAsia="zh-CN"/>
              </w:rPr>
            </w:pPr>
          </w:p>
        </w:tc>
        <w:tc>
          <w:tcPr>
            <w:tcW w:w="649" w:type="pct"/>
            <w:vAlign w:val="center"/>
          </w:tcPr>
          <w:p w14:paraId="3B0B69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highlight w:val="none"/>
                <w:lang w:val="en-US" w:eastAsia="zh-CN"/>
              </w:rPr>
            </w:pPr>
          </w:p>
        </w:tc>
      </w:tr>
    </w:tbl>
    <w:p w14:paraId="041F6B1D">
      <w:pPr>
        <w:widowControl/>
        <w:tabs>
          <w:tab w:val="left" w:pos="4000"/>
        </w:tabs>
        <w:snapToGrid w:val="0"/>
        <w:spacing w:line="360" w:lineRule="auto"/>
        <w:ind w:firstLine="3967" w:firstLineChars="1653"/>
        <w:jc w:val="left"/>
        <w:rPr>
          <w:rFonts w:hint="eastAsia" w:ascii="宋体" w:hAnsi="宋体" w:eastAsia="宋体" w:cs="宋体"/>
          <w:color w:val="auto"/>
          <w:kern w:val="0"/>
          <w:sz w:val="24"/>
          <w:highlight w:val="none"/>
        </w:rPr>
      </w:pPr>
    </w:p>
    <w:p w14:paraId="2DDFB5B2">
      <w:pPr>
        <w:widowControl/>
        <w:tabs>
          <w:tab w:val="left" w:pos="4000"/>
        </w:tabs>
        <w:snapToGrid w:val="0"/>
        <w:spacing w:line="360" w:lineRule="auto"/>
        <w:ind w:firstLine="3967" w:firstLineChars="1653"/>
        <w:jc w:val="left"/>
        <w:rPr>
          <w:rFonts w:hint="eastAsia" w:ascii="宋体" w:hAnsi="宋体" w:eastAsia="宋体" w:cs="宋体"/>
          <w:color w:val="auto"/>
          <w:kern w:val="0"/>
          <w:sz w:val="24"/>
          <w:highlight w:val="none"/>
        </w:rPr>
      </w:pPr>
    </w:p>
    <w:p w14:paraId="18386F7B">
      <w:pPr>
        <w:widowControl/>
        <w:tabs>
          <w:tab w:val="left" w:pos="4000"/>
        </w:tabs>
        <w:snapToGrid w:val="0"/>
        <w:spacing w:line="360" w:lineRule="auto"/>
        <w:ind w:firstLine="3967" w:firstLineChars="1653"/>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7B30606E">
      <w:pPr>
        <w:widowControl/>
        <w:tabs>
          <w:tab w:val="left" w:pos="4000"/>
        </w:tabs>
        <w:snapToGrid w:val="0"/>
        <w:spacing w:line="360" w:lineRule="auto"/>
        <w:ind w:firstLine="3967" w:firstLineChars="1653"/>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投标人代表：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A0C5D44">
      <w:pPr>
        <w:widowControl/>
        <w:tabs>
          <w:tab w:val="left" w:pos="4000"/>
        </w:tabs>
        <w:snapToGrid w:val="0"/>
        <w:spacing w:line="360" w:lineRule="auto"/>
        <w:ind w:firstLine="3967" w:firstLineChars="1653"/>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p>
    <w:p w14:paraId="3F8F26F4">
      <w:pPr>
        <w:widowControl/>
        <w:tabs>
          <w:tab w:val="left" w:pos="567"/>
        </w:tabs>
        <w:snapToGrid w:val="0"/>
        <w:spacing w:line="360" w:lineRule="auto"/>
        <w:jc w:val="left"/>
        <w:rPr>
          <w:rFonts w:hint="eastAsia" w:ascii="宋体" w:hAnsi="宋体" w:eastAsia="宋体" w:cs="宋体"/>
          <w:b/>
          <w:color w:val="auto"/>
          <w:kern w:val="0"/>
          <w:sz w:val="24"/>
          <w:highlight w:val="none"/>
        </w:rPr>
      </w:pPr>
    </w:p>
    <w:p w14:paraId="7E62FED6">
      <w:pPr>
        <w:widowControl/>
        <w:tabs>
          <w:tab w:val="left" w:pos="567"/>
        </w:tabs>
        <w:snapToGrid w:val="0"/>
        <w:spacing w:line="360" w:lineRule="auto"/>
        <w:jc w:val="left"/>
        <w:rPr>
          <w:rFonts w:hint="eastAsia" w:ascii="宋体" w:hAnsi="宋体" w:eastAsia="宋体" w:cs="宋体"/>
          <w:b/>
          <w:color w:val="auto"/>
          <w:kern w:val="0"/>
          <w:sz w:val="24"/>
          <w:highlight w:val="none"/>
        </w:rPr>
      </w:pPr>
    </w:p>
    <w:p w14:paraId="69FC75D7">
      <w:pPr>
        <w:snapToGrid w:val="0"/>
        <w:spacing w:line="360" w:lineRule="auto"/>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lang w:val="en-US" w:eastAsia="zh-CN"/>
        </w:rPr>
        <w:t>6</w:t>
      </w:r>
      <w:r>
        <w:rPr>
          <w:rFonts w:hint="eastAsia" w:ascii="宋体" w:hAnsi="宋体" w:eastAsia="宋体" w:cs="宋体"/>
          <w:b/>
          <w:color w:val="auto"/>
          <w:kern w:val="0"/>
          <w:sz w:val="24"/>
          <w:highlight w:val="none"/>
        </w:rPr>
        <w:t>．</w:t>
      </w:r>
      <w:r>
        <w:rPr>
          <w:rFonts w:hint="eastAsia" w:ascii="宋体" w:hAnsi="宋体" w:eastAsia="宋体" w:cs="宋体"/>
          <w:b/>
          <w:color w:val="auto"/>
          <w:kern w:val="0"/>
          <w:sz w:val="24"/>
          <w:highlight w:val="none"/>
          <w:lang w:eastAsia="zh-CN"/>
        </w:rPr>
        <w:t>技术规范</w:t>
      </w:r>
      <w:r>
        <w:rPr>
          <w:rFonts w:hint="eastAsia" w:ascii="宋体" w:hAnsi="宋体" w:eastAsia="宋体" w:cs="宋体"/>
          <w:b/>
          <w:color w:val="auto"/>
          <w:kern w:val="0"/>
          <w:sz w:val="24"/>
          <w:highlight w:val="none"/>
        </w:rPr>
        <w:t>响应及偏离表格式</w:t>
      </w:r>
    </w:p>
    <w:p w14:paraId="3ED2478F">
      <w:pPr>
        <w:snapToGri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技术规范</w:t>
      </w:r>
      <w:r>
        <w:rPr>
          <w:rFonts w:hint="eastAsia" w:ascii="宋体" w:hAnsi="宋体" w:eastAsia="宋体" w:cs="宋体"/>
          <w:b/>
          <w:bCs/>
          <w:color w:val="auto"/>
          <w:sz w:val="28"/>
          <w:szCs w:val="28"/>
          <w:highlight w:val="none"/>
        </w:rPr>
        <w:t>响应及偏离表</w:t>
      </w:r>
    </w:p>
    <w:tbl>
      <w:tblPr>
        <w:tblStyle w:val="33"/>
        <w:tblW w:w="499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974"/>
        <w:gridCol w:w="2931"/>
        <w:gridCol w:w="2285"/>
        <w:gridCol w:w="1988"/>
        <w:gridCol w:w="1282"/>
      </w:tblGrid>
      <w:tr w14:paraId="73AA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15" w:type="pct"/>
            <w:tcBorders>
              <w:top w:val="single" w:color="000000" w:sz="6" w:space="0"/>
              <w:left w:val="single" w:color="000000" w:sz="6" w:space="0"/>
              <w:bottom w:val="single" w:color="000000" w:sz="6" w:space="0"/>
              <w:right w:val="single" w:color="auto" w:sz="4" w:space="0"/>
            </w:tcBorders>
            <w:vAlign w:val="center"/>
          </w:tcPr>
          <w:p w14:paraId="009686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548" w:type="pct"/>
            <w:tcBorders>
              <w:top w:val="single" w:color="000000" w:sz="6" w:space="0"/>
              <w:left w:val="single" w:color="000000" w:sz="6" w:space="0"/>
              <w:bottom w:val="single" w:color="000000" w:sz="6" w:space="0"/>
              <w:right w:val="single" w:color="000000" w:sz="6" w:space="0"/>
            </w:tcBorders>
            <w:vAlign w:val="center"/>
          </w:tcPr>
          <w:p w14:paraId="7C934B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招标文件服务要求</w:t>
            </w:r>
          </w:p>
        </w:tc>
        <w:tc>
          <w:tcPr>
            <w:tcW w:w="1207" w:type="pct"/>
            <w:tcBorders>
              <w:top w:val="single" w:color="000000" w:sz="6" w:space="0"/>
              <w:left w:val="single" w:color="000000" w:sz="6" w:space="0"/>
              <w:bottom w:val="single" w:color="000000" w:sz="6" w:space="0"/>
              <w:right w:val="single" w:color="000000" w:sz="6" w:space="0"/>
            </w:tcBorders>
            <w:vAlign w:val="center"/>
          </w:tcPr>
          <w:p w14:paraId="19C171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投标文件对应</w:t>
            </w:r>
            <w:r>
              <w:rPr>
                <w:rFonts w:hint="eastAsia" w:ascii="宋体" w:hAnsi="宋体" w:eastAsia="宋体" w:cs="宋体"/>
                <w:color w:val="auto"/>
                <w:kern w:val="0"/>
                <w:sz w:val="24"/>
                <w:szCs w:val="24"/>
                <w:highlight w:val="none"/>
                <w:lang w:eastAsia="zh-CN"/>
              </w:rPr>
              <w:t>响应</w:t>
            </w:r>
          </w:p>
        </w:tc>
        <w:tc>
          <w:tcPr>
            <w:tcW w:w="1050" w:type="pct"/>
            <w:tcBorders>
              <w:top w:val="single" w:color="000000" w:sz="6" w:space="0"/>
              <w:left w:val="single" w:color="000000" w:sz="6" w:space="0"/>
              <w:bottom w:val="single" w:color="000000" w:sz="6" w:space="0"/>
              <w:right w:val="single" w:color="000000" w:sz="6" w:space="0"/>
            </w:tcBorders>
            <w:vAlign w:val="center"/>
          </w:tcPr>
          <w:p w14:paraId="0FBDA1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c>
          <w:tcPr>
            <w:tcW w:w="677" w:type="pct"/>
            <w:tcBorders>
              <w:top w:val="single" w:color="000000" w:sz="6" w:space="0"/>
              <w:left w:val="single" w:color="000000" w:sz="6" w:space="0"/>
              <w:bottom w:val="single" w:color="000000" w:sz="6" w:space="0"/>
              <w:right w:val="single" w:color="000000" w:sz="6" w:space="0"/>
            </w:tcBorders>
            <w:vAlign w:val="center"/>
          </w:tcPr>
          <w:p w14:paraId="37EB57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7CEA8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15" w:type="pct"/>
            <w:tcBorders>
              <w:top w:val="single" w:color="000000" w:sz="6" w:space="0"/>
              <w:left w:val="single" w:color="000000" w:sz="6" w:space="0"/>
              <w:bottom w:val="single" w:color="000000" w:sz="6" w:space="0"/>
              <w:right w:val="single" w:color="auto" w:sz="4" w:space="0"/>
            </w:tcBorders>
            <w:vAlign w:val="center"/>
          </w:tcPr>
          <w:p w14:paraId="3D1F55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48" w:type="pct"/>
            <w:tcBorders>
              <w:top w:val="single" w:color="000000" w:sz="6" w:space="0"/>
              <w:left w:val="single" w:color="000000" w:sz="6" w:space="0"/>
              <w:bottom w:val="single" w:color="000000" w:sz="6" w:space="0"/>
              <w:right w:val="single" w:color="000000" w:sz="6" w:space="0"/>
            </w:tcBorders>
            <w:vAlign w:val="center"/>
          </w:tcPr>
          <w:p w14:paraId="136390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207" w:type="pct"/>
            <w:tcBorders>
              <w:top w:val="single" w:color="000000" w:sz="6" w:space="0"/>
              <w:left w:val="single" w:color="000000" w:sz="6" w:space="0"/>
              <w:bottom w:val="single" w:color="000000" w:sz="6" w:space="0"/>
              <w:right w:val="single" w:color="000000" w:sz="6" w:space="0"/>
            </w:tcBorders>
            <w:vAlign w:val="center"/>
          </w:tcPr>
          <w:p w14:paraId="1CB0CD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050" w:type="pct"/>
            <w:tcBorders>
              <w:top w:val="single" w:color="000000" w:sz="6" w:space="0"/>
              <w:left w:val="single" w:color="000000" w:sz="6" w:space="0"/>
              <w:bottom w:val="single" w:color="000000" w:sz="6" w:space="0"/>
              <w:right w:val="single" w:color="000000" w:sz="6" w:space="0"/>
            </w:tcBorders>
            <w:vAlign w:val="center"/>
          </w:tcPr>
          <w:p w14:paraId="0FDDB9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677" w:type="pct"/>
            <w:tcBorders>
              <w:top w:val="single" w:color="000000" w:sz="6" w:space="0"/>
              <w:left w:val="single" w:color="000000" w:sz="6" w:space="0"/>
              <w:bottom w:val="single" w:color="000000" w:sz="6" w:space="0"/>
              <w:right w:val="single" w:color="000000" w:sz="6" w:space="0"/>
            </w:tcBorders>
            <w:vAlign w:val="center"/>
          </w:tcPr>
          <w:p w14:paraId="33ECA4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r>
      <w:tr w14:paraId="3A615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15" w:type="pct"/>
            <w:tcBorders>
              <w:top w:val="single" w:color="000000" w:sz="6" w:space="0"/>
              <w:left w:val="single" w:color="000000" w:sz="6" w:space="0"/>
              <w:bottom w:val="single" w:color="000000" w:sz="6" w:space="0"/>
              <w:right w:val="single" w:color="auto" w:sz="4" w:space="0"/>
            </w:tcBorders>
            <w:vAlign w:val="center"/>
          </w:tcPr>
          <w:p w14:paraId="7EA692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48" w:type="pct"/>
            <w:tcBorders>
              <w:top w:val="single" w:color="000000" w:sz="6" w:space="0"/>
              <w:left w:val="single" w:color="000000" w:sz="6" w:space="0"/>
              <w:bottom w:val="single" w:color="000000" w:sz="6" w:space="0"/>
              <w:right w:val="single" w:color="000000" w:sz="6" w:space="0"/>
            </w:tcBorders>
            <w:vAlign w:val="center"/>
          </w:tcPr>
          <w:p w14:paraId="08DDDC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207" w:type="pct"/>
            <w:tcBorders>
              <w:top w:val="single" w:color="000000" w:sz="6" w:space="0"/>
              <w:left w:val="single" w:color="000000" w:sz="6" w:space="0"/>
              <w:bottom w:val="single" w:color="000000" w:sz="6" w:space="0"/>
              <w:right w:val="single" w:color="000000" w:sz="6" w:space="0"/>
            </w:tcBorders>
            <w:vAlign w:val="center"/>
          </w:tcPr>
          <w:p w14:paraId="39A7EC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050" w:type="pct"/>
            <w:tcBorders>
              <w:top w:val="single" w:color="000000" w:sz="6" w:space="0"/>
              <w:left w:val="single" w:color="000000" w:sz="6" w:space="0"/>
              <w:bottom w:val="single" w:color="000000" w:sz="6" w:space="0"/>
              <w:right w:val="single" w:color="000000" w:sz="6" w:space="0"/>
            </w:tcBorders>
            <w:vAlign w:val="center"/>
          </w:tcPr>
          <w:p w14:paraId="490C53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677" w:type="pct"/>
            <w:tcBorders>
              <w:top w:val="single" w:color="000000" w:sz="6" w:space="0"/>
              <w:left w:val="single" w:color="000000" w:sz="6" w:space="0"/>
              <w:bottom w:val="single" w:color="000000" w:sz="6" w:space="0"/>
              <w:right w:val="single" w:color="000000" w:sz="6" w:space="0"/>
            </w:tcBorders>
            <w:vAlign w:val="center"/>
          </w:tcPr>
          <w:p w14:paraId="4FCF54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r>
      <w:tr w14:paraId="50348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15" w:type="pct"/>
            <w:tcBorders>
              <w:top w:val="single" w:color="000000" w:sz="6" w:space="0"/>
              <w:left w:val="single" w:color="000000" w:sz="6" w:space="0"/>
              <w:bottom w:val="single" w:color="000000" w:sz="6" w:space="0"/>
              <w:right w:val="single" w:color="auto" w:sz="4" w:space="0"/>
            </w:tcBorders>
            <w:vAlign w:val="center"/>
          </w:tcPr>
          <w:p w14:paraId="77488C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48" w:type="pct"/>
            <w:tcBorders>
              <w:top w:val="single" w:color="000000" w:sz="6" w:space="0"/>
              <w:left w:val="single" w:color="000000" w:sz="6" w:space="0"/>
              <w:bottom w:val="single" w:color="000000" w:sz="6" w:space="0"/>
              <w:right w:val="single" w:color="000000" w:sz="6" w:space="0"/>
            </w:tcBorders>
            <w:vAlign w:val="center"/>
          </w:tcPr>
          <w:p w14:paraId="0BA139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207" w:type="pct"/>
            <w:tcBorders>
              <w:top w:val="single" w:color="000000" w:sz="6" w:space="0"/>
              <w:left w:val="single" w:color="000000" w:sz="6" w:space="0"/>
              <w:bottom w:val="single" w:color="000000" w:sz="6" w:space="0"/>
              <w:right w:val="single" w:color="000000" w:sz="6" w:space="0"/>
            </w:tcBorders>
            <w:vAlign w:val="center"/>
          </w:tcPr>
          <w:p w14:paraId="0273B2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050" w:type="pct"/>
            <w:tcBorders>
              <w:top w:val="single" w:color="000000" w:sz="6" w:space="0"/>
              <w:left w:val="single" w:color="000000" w:sz="6" w:space="0"/>
              <w:bottom w:val="single" w:color="000000" w:sz="6" w:space="0"/>
              <w:right w:val="single" w:color="000000" w:sz="6" w:space="0"/>
            </w:tcBorders>
            <w:vAlign w:val="center"/>
          </w:tcPr>
          <w:p w14:paraId="5AD7B3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677" w:type="pct"/>
            <w:tcBorders>
              <w:top w:val="single" w:color="000000" w:sz="6" w:space="0"/>
              <w:left w:val="single" w:color="000000" w:sz="6" w:space="0"/>
              <w:bottom w:val="single" w:color="000000" w:sz="6" w:space="0"/>
              <w:right w:val="single" w:color="000000" w:sz="6" w:space="0"/>
            </w:tcBorders>
            <w:vAlign w:val="center"/>
          </w:tcPr>
          <w:p w14:paraId="3301E1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r>
      <w:tr w14:paraId="2D410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15" w:type="pct"/>
            <w:tcBorders>
              <w:top w:val="single" w:color="000000" w:sz="6" w:space="0"/>
              <w:left w:val="single" w:color="000000" w:sz="6" w:space="0"/>
              <w:bottom w:val="single" w:color="000000" w:sz="6" w:space="0"/>
              <w:right w:val="single" w:color="auto" w:sz="4" w:space="0"/>
            </w:tcBorders>
            <w:vAlign w:val="center"/>
          </w:tcPr>
          <w:p w14:paraId="69BB57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1548" w:type="pct"/>
            <w:tcBorders>
              <w:top w:val="single" w:color="000000" w:sz="6" w:space="0"/>
              <w:left w:val="single" w:color="000000" w:sz="6" w:space="0"/>
              <w:bottom w:val="single" w:color="000000" w:sz="6" w:space="0"/>
              <w:right w:val="single" w:color="000000" w:sz="6" w:space="0"/>
            </w:tcBorders>
            <w:vAlign w:val="center"/>
          </w:tcPr>
          <w:p w14:paraId="18BA2B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207" w:type="pct"/>
            <w:tcBorders>
              <w:top w:val="single" w:color="000000" w:sz="6" w:space="0"/>
              <w:left w:val="single" w:color="000000" w:sz="6" w:space="0"/>
              <w:bottom w:val="single" w:color="000000" w:sz="6" w:space="0"/>
              <w:right w:val="single" w:color="000000" w:sz="6" w:space="0"/>
            </w:tcBorders>
            <w:vAlign w:val="center"/>
          </w:tcPr>
          <w:p w14:paraId="0266A7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050" w:type="pct"/>
            <w:tcBorders>
              <w:top w:val="single" w:color="000000" w:sz="6" w:space="0"/>
              <w:left w:val="single" w:color="000000" w:sz="6" w:space="0"/>
              <w:bottom w:val="single" w:color="000000" w:sz="6" w:space="0"/>
              <w:right w:val="single" w:color="000000" w:sz="6" w:space="0"/>
            </w:tcBorders>
            <w:vAlign w:val="center"/>
          </w:tcPr>
          <w:p w14:paraId="666A02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677" w:type="pct"/>
            <w:tcBorders>
              <w:top w:val="single" w:color="000000" w:sz="6" w:space="0"/>
              <w:left w:val="single" w:color="000000" w:sz="6" w:space="0"/>
              <w:bottom w:val="single" w:color="000000" w:sz="6" w:space="0"/>
              <w:right w:val="single" w:color="000000" w:sz="6" w:space="0"/>
            </w:tcBorders>
            <w:vAlign w:val="center"/>
          </w:tcPr>
          <w:p w14:paraId="4A2378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r>
      <w:tr w14:paraId="7E494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15" w:type="pct"/>
            <w:tcBorders>
              <w:top w:val="single" w:color="000000" w:sz="6" w:space="0"/>
              <w:left w:val="single" w:color="000000" w:sz="6" w:space="0"/>
              <w:bottom w:val="single" w:color="000000" w:sz="6" w:space="0"/>
              <w:right w:val="single" w:color="auto" w:sz="4" w:space="0"/>
            </w:tcBorders>
            <w:vAlign w:val="center"/>
          </w:tcPr>
          <w:p w14:paraId="04F4AA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548" w:type="pct"/>
            <w:tcBorders>
              <w:top w:val="single" w:color="000000" w:sz="6" w:space="0"/>
              <w:left w:val="single" w:color="000000" w:sz="6" w:space="0"/>
              <w:bottom w:val="single" w:color="000000" w:sz="6" w:space="0"/>
              <w:right w:val="single" w:color="000000" w:sz="6" w:space="0"/>
            </w:tcBorders>
            <w:vAlign w:val="center"/>
          </w:tcPr>
          <w:p w14:paraId="067900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207" w:type="pct"/>
            <w:tcBorders>
              <w:top w:val="single" w:color="000000" w:sz="6" w:space="0"/>
              <w:left w:val="single" w:color="000000" w:sz="6" w:space="0"/>
              <w:bottom w:val="single" w:color="000000" w:sz="6" w:space="0"/>
              <w:right w:val="single" w:color="000000" w:sz="6" w:space="0"/>
            </w:tcBorders>
            <w:vAlign w:val="center"/>
          </w:tcPr>
          <w:p w14:paraId="42A229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050" w:type="pct"/>
            <w:tcBorders>
              <w:top w:val="single" w:color="000000" w:sz="6" w:space="0"/>
              <w:left w:val="single" w:color="000000" w:sz="6" w:space="0"/>
              <w:bottom w:val="single" w:color="000000" w:sz="6" w:space="0"/>
              <w:right w:val="single" w:color="000000" w:sz="6" w:space="0"/>
            </w:tcBorders>
            <w:vAlign w:val="center"/>
          </w:tcPr>
          <w:p w14:paraId="4B92F5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677" w:type="pct"/>
            <w:tcBorders>
              <w:top w:val="single" w:color="000000" w:sz="6" w:space="0"/>
              <w:left w:val="single" w:color="000000" w:sz="6" w:space="0"/>
              <w:bottom w:val="single" w:color="000000" w:sz="6" w:space="0"/>
              <w:right w:val="single" w:color="000000" w:sz="6" w:space="0"/>
            </w:tcBorders>
            <w:vAlign w:val="center"/>
          </w:tcPr>
          <w:p w14:paraId="4D31EE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r>
    </w:tbl>
    <w:p w14:paraId="69F11E07">
      <w:pPr>
        <w:widowControl/>
        <w:tabs>
          <w:tab w:val="left" w:pos="4000"/>
        </w:tabs>
        <w:snapToGrid w:val="0"/>
        <w:spacing w:line="360" w:lineRule="auto"/>
        <w:ind w:firstLine="3967" w:firstLineChars="1653"/>
        <w:jc w:val="left"/>
        <w:rPr>
          <w:rFonts w:hint="eastAsia" w:ascii="宋体" w:hAnsi="宋体" w:eastAsia="宋体" w:cs="宋体"/>
          <w:color w:val="auto"/>
          <w:kern w:val="0"/>
          <w:sz w:val="24"/>
          <w:highlight w:val="none"/>
        </w:rPr>
      </w:pPr>
    </w:p>
    <w:p w14:paraId="1E051A82">
      <w:pPr>
        <w:widowControl/>
        <w:tabs>
          <w:tab w:val="left" w:pos="4000"/>
        </w:tabs>
        <w:snapToGrid w:val="0"/>
        <w:spacing w:line="360" w:lineRule="auto"/>
        <w:ind w:firstLine="3967" w:firstLineChars="1653"/>
        <w:jc w:val="left"/>
        <w:rPr>
          <w:rFonts w:hint="eastAsia" w:ascii="宋体" w:hAnsi="宋体" w:eastAsia="宋体" w:cs="宋体"/>
          <w:color w:val="auto"/>
          <w:kern w:val="0"/>
          <w:sz w:val="24"/>
          <w:highlight w:val="none"/>
        </w:rPr>
      </w:pPr>
    </w:p>
    <w:p w14:paraId="01EEC26E">
      <w:pPr>
        <w:widowControl/>
        <w:tabs>
          <w:tab w:val="left" w:pos="4000"/>
        </w:tabs>
        <w:snapToGrid w:val="0"/>
        <w:spacing w:line="360" w:lineRule="auto"/>
        <w:ind w:firstLine="3967" w:firstLineChars="1653"/>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34B25B75">
      <w:pPr>
        <w:widowControl/>
        <w:tabs>
          <w:tab w:val="left" w:pos="4000"/>
        </w:tabs>
        <w:snapToGrid w:val="0"/>
        <w:spacing w:line="360" w:lineRule="auto"/>
        <w:ind w:firstLine="3967" w:firstLineChars="1653"/>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投标人代表：</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4FDDC22A">
      <w:pPr>
        <w:widowControl/>
        <w:tabs>
          <w:tab w:val="left" w:pos="4000"/>
        </w:tabs>
        <w:snapToGrid w:val="0"/>
        <w:spacing w:line="360" w:lineRule="auto"/>
        <w:ind w:firstLine="3967" w:firstLineChars="1653"/>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p>
    <w:p w14:paraId="24506909">
      <w:pPr>
        <w:widowControl/>
        <w:shd w:val="clear" w:color="auto" w:fill="auto"/>
        <w:spacing w:line="330" w:lineRule="atLeast"/>
        <w:jc w:val="left"/>
        <w:rPr>
          <w:rFonts w:hint="eastAsia" w:ascii="宋体" w:hAnsi="宋体" w:eastAsia="宋体" w:cs="宋体"/>
          <w:b/>
          <w:color w:val="auto"/>
          <w:kern w:val="0"/>
          <w:sz w:val="24"/>
          <w:szCs w:val="21"/>
          <w:highlight w:val="none"/>
        </w:rPr>
      </w:pPr>
      <w:r>
        <w:rPr>
          <w:rFonts w:hint="eastAsia" w:ascii="宋体" w:hAnsi="宋体" w:eastAsia="宋体" w:cs="宋体"/>
          <w:b/>
          <w:color w:val="auto"/>
          <w:kern w:val="0"/>
          <w:sz w:val="24"/>
          <w:highlight w:val="none"/>
        </w:rPr>
        <w:br w:type="page"/>
      </w:r>
    </w:p>
    <w:p w14:paraId="66AD8900">
      <w:pPr>
        <w:shd w:val="clear" w:color="auto" w:fill="auto"/>
        <w:snapToGrid w:val="0"/>
        <w:spacing w:line="360" w:lineRule="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文件提交截止时间前三年内同类项目合同案例列表及相关证明资料</w:t>
      </w:r>
    </w:p>
    <w:p w14:paraId="1B70E588">
      <w:pPr>
        <w:shd w:val="clear" w:color="auto" w:fill="auto"/>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24"/>
          <w:highlight w:val="none"/>
          <w:lang w:eastAsia="zh-CN"/>
        </w:rPr>
        <w:t>投标</w:t>
      </w:r>
      <w:r>
        <w:rPr>
          <w:rFonts w:hint="eastAsia" w:ascii="宋体" w:hAnsi="宋体" w:eastAsia="宋体" w:cs="宋体"/>
          <w:b/>
          <w:color w:val="auto"/>
          <w:kern w:val="0"/>
          <w:sz w:val="24"/>
          <w:highlight w:val="none"/>
        </w:rPr>
        <w:t>文件提交截止时间前三年内同类项目合同案例列表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5AC0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51634409">
            <w:pPr>
              <w:shd w:val="clear" w:color="auto" w:fill="auto"/>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使用单位</w:t>
            </w:r>
          </w:p>
        </w:tc>
        <w:tc>
          <w:tcPr>
            <w:tcW w:w="1560" w:type="dxa"/>
            <w:noWrap w:val="0"/>
            <w:vAlign w:val="top"/>
          </w:tcPr>
          <w:p w14:paraId="2CAFA247">
            <w:pPr>
              <w:shd w:val="clear" w:color="auto" w:fill="auto"/>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2076" w:type="dxa"/>
            <w:noWrap w:val="0"/>
            <w:vAlign w:val="top"/>
          </w:tcPr>
          <w:p w14:paraId="6C6AA2F7">
            <w:pPr>
              <w:shd w:val="clear" w:color="auto" w:fill="auto"/>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tc>
        <w:tc>
          <w:tcPr>
            <w:tcW w:w="1431" w:type="dxa"/>
            <w:noWrap w:val="0"/>
            <w:vAlign w:val="top"/>
          </w:tcPr>
          <w:p w14:paraId="75451829">
            <w:pPr>
              <w:shd w:val="clear" w:color="auto" w:fill="auto"/>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10" w:type="dxa"/>
            <w:noWrap w:val="0"/>
            <w:vAlign w:val="top"/>
          </w:tcPr>
          <w:p w14:paraId="43FB8F10">
            <w:pPr>
              <w:shd w:val="clear" w:color="auto" w:fill="auto"/>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839" w:type="dxa"/>
            <w:noWrap w:val="0"/>
            <w:vAlign w:val="top"/>
          </w:tcPr>
          <w:p w14:paraId="5DAEA6F1">
            <w:pPr>
              <w:shd w:val="clear" w:color="auto" w:fill="auto"/>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0F63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24F90801">
            <w:pPr>
              <w:shd w:val="clear" w:color="auto" w:fill="auto"/>
              <w:spacing w:line="480" w:lineRule="exact"/>
              <w:rPr>
                <w:rFonts w:hint="eastAsia" w:ascii="宋体" w:hAnsi="宋体" w:eastAsia="宋体" w:cs="宋体"/>
                <w:color w:val="auto"/>
                <w:sz w:val="24"/>
                <w:highlight w:val="none"/>
              </w:rPr>
            </w:pPr>
          </w:p>
        </w:tc>
        <w:tc>
          <w:tcPr>
            <w:tcW w:w="1560" w:type="dxa"/>
            <w:noWrap w:val="0"/>
            <w:vAlign w:val="top"/>
          </w:tcPr>
          <w:p w14:paraId="34506B06">
            <w:pPr>
              <w:shd w:val="clear" w:color="auto" w:fill="auto"/>
              <w:spacing w:line="480" w:lineRule="exact"/>
              <w:rPr>
                <w:rFonts w:hint="eastAsia" w:ascii="宋体" w:hAnsi="宋体" w:eastAsia="宋体" w:cs="宋体"/>
                <w:color w:val="auto"/>
                <w:sz w:val="24"/>
                <w:highlight w:val="none"/>
              </w:rPr>
            </w:pPr>
          </w:p>
        </w:tc>
        <w:tc>
          <w:tcPr>
            <w:tcW w:w="2076" w:type="dxa"/>
            <w:noWrap w:val="0"/>
            <w:vAlign w:val="top"/>
          </w:tcPr>
          <w:p w14:paraId="3BF19774">
            <w:pPr>
              <w:shd w:val="clear" w:color="auto" w:fill="auto"/>
              <w:spacing w:line="480" w:lineRule="exact"/>
              <w:rPr>
                <w:rFonts w:hint="eastAsia" w:ascii="宋体" w:hAnsi="宋体" w:eastAsia="宋体" w:cs="宋体"/>
                <w:color w:val="auto"/>
                <w:sz w:val="24"/>
                <w:highlight w:val="none"/>
              </w:rPr>
            </w:pPr>
          </w:p>
        </w:tc>
        <w:tc>
          <w:tcPr>
            <w:tcW w:w="1431" w:type="dxa"/>
            <w:noWrap w:val="0"/>
            <w:vAlign w:val="top"/>
          </w:tcPr>
          <w:p w14:paraId="29794E93">
            <w:pPr>
              <w:shd w:val="clear" w:color="auto" w:fill="auto"/>
              <w:spacing w:line="480" w:lineRule="exact"/>
              <w:rPr>
                <w:rFonts w:hint="eastAsia" w:ascii="宋体" w:hAnsi="宋体" w:eastAsia="宋体" w:cs="宋体"/>
                <w:color w:val="auto"/>
                <w:sz w:val="24"/>
                <w:highlight w:val="none"/>
              </w:rPr>
            </w:pPr>
          </w:p>
        </w:tc>
        <w:tc>
          <w:tcPr>
            <w:tcW w:w="1610" w:type="dxa"/>
            <w:noWrap w:val="0"/>
            <w:vAlign w:val="top"/>
          </w:tcPr>
          <w:p w14:paraId="7A758FB3">
            <w:pPr>
              <w:shd w:val="clear" w:color="auto" w:fill="auto"/>
              <w:spacing w:line="480" w:lineRule="exact"/>
              <w:rPr>
                <w:rFonts w:hint="eastAsia" w:ascii="宋体" w:hAnsi="宋体" w:eastAsia="宋体" w:cs="宋体"/>
                <w:color w:val="auto"/>
                <w:sz w:val="24"/>
                <w:highlight w:val="none"/>
              </w:rPr>
            </w:pPr>
          </w:p>
        </w:tc>
        <w:tc>
          <w:tcPr>
            <w:tcW w:w="839" w:type="dxa"/>
            <w:noWrap w:val="0"/>
            <w:vAlign w:val="top"/>
          </w:tcPr>
          <w:p w14:paraId="5268B24D">
            <w:pPr>
              <w:shd w:val="clear" w:color="auto" w:fill="auto"/>
              <w:spacing w:line="480" w:lineRule="exact"/>
              <w:rPr>
                <w:rFonts w:hint="eastAsia" w:ascii="宋体" w:hAnsi="宋体" w:eastAsia="宋体" w:cs="宋体"/>
                <w:color w:val="auto"/>
                <w:sz w:val="24"/>
                <w:highlight w:val="none"/>
              </w:rPr>
            </w:pPr>
          </w:p>
        </w:tc>
      </w:tr>
      <w:tr w14:paraId="7640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2BCDF117">
            <w:pPr>
              <w:shd w:val="clear" w:color="auto" w:fill="auto"/>
              <w:spacing w:line="480" w:lineRule="exact"/>
              <w:rPr>
                <w:rFonts w:hint="eastAsia" w:ascii="宋体" w:hAnsi="宋体" w:eastAsia="宋体" w:cs="宋体"/>
                <w:color w:val="auto"/>
                <w:sz w:val="24"/>
                <w:highlight w:val="none"/>
              </w:rPr>
            </w:pPr>
          </w:p>
        </w:tc>
        <w:tc>
          <w:tcPr>
            <w:tcW w:w="1560" w:type="dxa"/>
            <w:noWrap w:val="0"/>
            <w:vAlign w:val="top"/>
          </w:tcPr>
          <w:p w14:paraId="696CD4F9">
            <w:pPr>
              <w:shd w:val="clear" w:color="auto" w:fill="auto"/>
              <w:spacing w:line="480" w:lineRule="exact"/>
              <w:rPr>
                <w:rFonts w:hint="eastAsia" w:ascii="宋体" w:hAnsi="宋体" w:eastAsia="宋体" w:cs="宋体"/>
                <w:color w:val="auto"/>
                <w:sz w:val="24"/>
                <w:highlight w:val="none"/>
              </w:rPr>
            </w:pPr>
          </w:p>
        </w:tc>
        <w:tc>
          <w:tcPr>
            <w:tcW w:w="2076" w:type="dxa"/>
            <w:noWrap w:val="0"/>
            <w:vAlign w:val="top"/>
          </w:tcPr>
          <w:p w14:paraId="675B77D9">
            <w:pPr>
              <w:shd w:val="clear" w:color="auto" w:fill="auto"/>
              <w:spacing w:line="480" w:lineRule="exact"/>
              <w:rPr>
                <w:rFonts w:hint="eastAsia" w:ascii="宋体" w:hAnsi="宋体" w:eastAsia="宋体" w:cs="宋体"/>
                <w:color w:val="auto"/>
                <w:sz w:val="24"/>
                <w:highlight w:val="none"/>
              </w:rPr>
            </w:pPr>
          </w:p>
        </w:tc>
        <w:tc>
          <w:tcPr>
            <w:tcW w:w="1431" w:type="dxa"/>
            <w:noWrap w:val="0"/>
            <w:vAlign w:val="top"/>
          </w:tcPr>
          <w:p w14:paraId="741B3960">
            <w:pPr>
              <w:shd w:val="clear" w:color="auto" w:fill="auto"/>
              <w:spacing w:line="480" w:lineRule="exact"/>
              <w:rPr>
                <w:rFonts w:hint="eastAsia" w:ascii="宋体" w:hAnsi="宋体" w:eastAsia="宋体" w:cs="宋体"/>
                <w:color w:val="auto"/>
                <w:sz w:val="24"/>
                <w:highlight w:val="none"/>
              </w:rPr>
            </w:pPr>
          </w:p>
        </w:tc>
        <w:tc>
          <w:tcPr>
            <w:tcW w:w="1610" w:type="dxa"/>
            <w:noWrap w:val="0"/>
            <w:vAlign w:val="top"/>
          </w:tcPr>
          <w:p w14:paraId="5285CA8F">
            <w:pPr>
              <w:shd w:val="clear" w:color="auto" w:fill="auto"/>
              <w:spacing w:line="480" w:lineRule="exact"/>
              <w:rPr>
                <w:rFonts w:hint="eastAsia" w:ascii="宋体" w:hAnsi="宋体" w:eastAsia="宋体" w:cs="宋体"/>
                <w:color w:val="auto"/>
                <w:sz w:val="24"/>
                <w:highlight w:val="none"/>
              </w:rPr>
            </w:pPr>
          </w:p>
        </w:tc>
        <w:tc>
          <w:tcPr>
            <w:tcW w:w="839" w:type="dxa"/>
            <w:noWrap w:val="0"/>
            <w:vAlign w:val="top"/>
          </w:tcPr>
          <w:p w14:paraId="066C9F94">
            <w:pPr>
              <w:shd w:val="clear" w:color="auto" w:fill="auto"/>
              <w:spacing w:line="480" w:lineRule="exact"/>
              <w:rPr>
                <w:rFonts w:hint="eastAsia" w:ascii="宋体" w:hAnsi="宋体" w:eastAsia="宋体" w:cs="宋体"/>
                <w:color w:val="auto"/>
                <w:sz w:val="24"/>
                <w:highlight w:val="none"/>
              </w:rPr>
            </w:pPr>
          </w:p>
        </w:tc>
      </w:tr>
      <w:tr w14:paraId="1D2E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14:paraId="3541E20D">
            <w:pPr>
              <w:shd w:val="clear" w:color="auto" w:fill="auto"/>
              <w:spacing w:line="480" w:lineRule="exact"/>
              <w:rPr>
                <w:rFonts w:hint="eastAsia" w:ascii="宋体" w:hAnsi="宋体" w:eastAsia="宋体" w:cs="宋体"/>
                <w:color w:val="auto"/>
                <w:sz w:val="24"/>
                <w:highlight w:val="none"/>
              </w:rPr>
            </w:pPr>
          </w:p>
        </w:tc>
        <w:tc>
          <w:tcPr>
            <w:tcW w:w="1560" w:type="dxa"/>
            <w:noWrap w:val="0"/>
            <w:vAlign w:val="top"/>
          </w:tcPr>
          <w:p w14:paraId="224A6BF7">
            <w:pPr>
              <w:shd w:val="clear" w:color="auto" w:fill="auto"/>
              <w:spacing w:line="480" w:lineRule="exact"/>
              <w:rPr>
                <w:rFonts w:hint="eastAsia" w:ascii="宋体" w:hAnsi="宋体" w:eastAsia="宋体" w:cs="宋体"/>
                <w:color w:val="auto"/>
                <w:sz w:val="24"/>
                <w:highlight w:val="none"/>
              </w:rPr>
            </w:pPr>
          </w:p>
        </w:tc>
        <w:tc>
          <w:tcPr>
            <w:tcW w:w="2076" w:type="dxa"/>
            <w:noWrap w:val="0"/>
            <w:vAlign w:val="top"/>
          </w:tcPr>
          <w:p w14:paraId="335B0FA1">
            <w:pPr>
              <w:shd w:val="clear" w:color="auto" w:fill="auto"/>
              <w:spacing w:line="480" w:lineRule="exact"/>
              <w:rPr>
                <w:rFonts w:hint="eastAsia" w:ascii="宋体" w:hAnsi="宋体" w:eastAsia="宋体" w:cs="宋体"/>
                <w:color w:val="auto"/>
                <w:sz w:val="24"/>
                <w:highlight w:val="none"/>
              </w:rPr>
            </w:pPr>
          </w:p>
        </w:tc>
        <w:tc>
          <w:tcPr>
            <w:tcW w:w="1431" w:type="dxa"/>
            <w:noWrap w:val="0"/>
            <w:vAlign w:val="top"/>
          </w:tcPr>
          <w:p w14:paraId="57987461">
            <w:pPr>
              <w:shd w:val="clear" w:color="auto" w:fill="auto"/>
              <w:spacing w:line="480" w:lineRule="exact"/>
              <w:rPr>
                <w:rFonts w:hint="eastAsia" w:ascii="宋体" w:hAnsi="宋体" w:eastAsia="宋体" w:cs="宋体"/>
                <w:color w:val="auto"/>
                <w:sz w:val="24"/>
                <w:highlight w:val="none"/>
              </w:rPr>
            </w:pPr>
          </w:p>
        </w:tc>
        <w:tc>
          <w:tcPr>
            <w:tcW w:w="1610" w:type="dxa"/>
            <w:noWrap w:val="0"/>
            <w:vAlign w:val="top"/>
          </w:tcPr>
          <w:p w14:paraId="73DF6BCA">
            <w:pPr>
              <w:shd w:val="clear" w:color="auto" w:fill="auto"/>
              <w:spacing w:line="480" w:lineRule="exact"/>
              <w:rPr>
                <w:rFonts w:hint="eastAsia" w:ascii="宋体" w:hAnsi="宋体" w:eastAsia="宋体" w:cs="宋体"/>
                <w:color w:val="auto"/>
                <w:sz w:val="24"/>
                <w:highlight w:val="none"/>
              </w:rPr>
            </w:pPr>
          </w:p>
        </w:tc>
        <w:tc>
          <w:tcPr>
            <w:tcW w:w="839" w:type="dxa"/>
            <w:noWrap w:val="0"/>
            <w:vAlign w:val="top"/>
          </w:tcPr>
          <w:p w14:paraId="295C739A">
            <w:pPr>
              <w:shd w:val="clear" w:color="auto" w:fill="auto"/>
              <w:spacing w:line="480" w:lineRule="exact"/>
              <w:rPr>
                <w:rFonts w:hint="eastAsia" w:ascii="宋体" w:hAnsi="宋体" w:eastAsia="宋体" w:cs="宋体"/>
                <w:color w:val="auto"/>
                <w:sz w:val="24"/>
                <w:highlight w:val="none"/>
              </w:rPr>
            </w:pPr>
          </w:p>
        </w:tc>
      </w:tr>
      <w:tr w14:paraId="53CD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14:paraId="01C09EE0">
            <w:pPr>
              <w:shd w:val="clear" w:color="auto" w:fill="auto"/>
              <w:spacing w:line="480" w:lineRule="exact"/>
              <w:rPr>
                <w:rFonts w:hint="eastAsia" w:ascii="宋体" w:hAnsi="宋体" w:eastAsia="宋体" w:cs="宋体"/>
                <w:color w:val="auto"/>
                <w:sz w:val="24"/>
                <w:highlight w:val="none"/>
              </w:rPr>
            </w:pPr>
          </w:p>
        </w:tc>
        <w:tc>
          <w:tcPr>
            <w:tcW w:w="1560" w:type="dxa"/>
            <w:noWrap w:val="0"/>
            <w:vAlign w:val="top"/>
          </w:tcPr>
          <w:p w14:paraId="5219B4B6">
            <w:pPr>
              <w:shd w:val="clear" w:color="auto" w:fill="auto"/>
              <w:spacing w:line="480" w:lineRule="exact"/>
              <w:rPr>
                <w:rFonts w:hint="eastAsia" w:ascii="宋体" w:hAnsi="宋体" w:eastAsia="宋体" w:cs="宋体"/>
                <w:color w:val="auto"/>
                <w:sz w:val="24"/>
                <w:highlight w:val="none"/>
              </w:rPr>
            </w:pPr>
          </w:p>
        </w:tc>
        <w:tc>
          <w:tcPr>
            <w:tcW w:w="2076" w:type="dxa"/>
            <w:noWrap w:val="0"/>
            <w:vAlign w:val="top"/>
          </w:tcPr>
          <w:p w14:paraId="5331EE61">
            <w:pPr>
              <w:shd w:val="clear" w:color="auto" w:fill="auto"/>
              <w:spacing w:line="480" w:lineRule="exact"/>
              <w:rPr>
                <w:rFonts w:hint="eastAsia" w:ascii="宋体" w:hAnsi="宋体" w:eastAsia="宋体" w:cs="宋体"/>
                <w:color w:val="auto"/>
                <w:sz w:val="24"/>
                <w:highlight w:val="none"/>
              </w:rPr>
            </w:pPr>
          </w:p>
        </w:tc>
        <w:tc>
          <w:tcPr>
            <w:tcW w:w="1431" w:type="dxa"/>
            <w:noWrap w:val="0"/>
            <w:vAlign w:val="top"/>
          </w:tcPr>
          <w:p w14:paraId="2BD9A88B">
            <w:pPr>
              <w:shd w:val="clear" w:color="auto" w:fill="auto"/>
              <w:spacing w:line="480" w:lineRule="exact"/>
              <w:rPr>
                <w:rFonts w:hint="eastAsia" w:ascii="宋体" w:hAnsi="宋体" w:eastAsia="宋体" w:cs="宋体"/>
                <w:color w:val="auto"/>
                <w:sz w:val="24"/>
                <w:highlight w:val="none"/>
              </w:rPr>
            </w:pPr>
          </w:p>
        </w:tc>
        <w:tc>
          <w:tcPr>
            <w:tcW w:w="1610" w:type="dxa"/>
            <w:noWrap w:val="0"/>
            <w:vAlign w:val="top"/>
          </w:tcPr>
          <w:p w14:paraId="1EF2FE3A">
            <w:pPr>
              <w:shd w:val="clear" w:color="auto" w:fill="auto"/>
              <w:spacing w:line="480" w:lineRule="exact"/>
              <w:rPr>
                <w:rFonts w:hint="eastAsia" w:ascii="宋体" w:hAnsi="宋体" w:eastAsia="宋体" w:cs="宋体"/>
                <w:color w:val="auto"/>
                <w:sz w:val="24"/>
                <w:highlight w:val="none"/>
              </w:rPr>
            </w:pPr>
          </w:p>
        </w:tc>
        <w:tc>
          <w:tcPr>
            <w:tcW w:w="839" w:type="dxa"/>
            <w:noWrap w:val="0"/>
            <w:vAlign w:val="top"/>
          </w:tcPr>
          <w:p w14:paraId="028CBAB9">
            <w:pPr>
              <w:shd w:val="clear" w:color="auto" w:fill="auto"/>
              <w:spacing w:line="480" w:lineRule="exact"/>
              <w:rPr>
                <w:rFonts w:hint="eastAsia" w:ascii="宋体" w:hAnsi="宋体" w:eastAsia="宋体" w:cs="宋体"/>
                <w:color w:val="auto"/>
                <w:sz w:val="24"/>
                <w:highlight w:val="none"/>
              </w:rPr>
            </w:pPr>
          </w:p>
        </w:tc>
      </w:tr>
      <w:tr w14:paraId="302E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14:paraId="71E79F9C">
            <w:pPr>
              <w:shd w:val="clear" w:color="auto" w:fill="auto"/>
              <w:spacing w:line="480" w:lineRule="exact"/>
              <w:rPr>
                <w:rFonts w:hint="eastAsia" w:ascii="宋体" w:hAnsi="宋体" w:eastAsia="宋体" w:cs="宋体"/>
                <w:color w:val="auto"/>
                <w:sz w:val="24"/>
                <w:highlight w:val="none"/>
              </w:rPr>
            </w:pPr>
          </w:p>
        </w:tc>
        <w:tc>
          <w:tcPr>
            <w:tcW w:w="1560" w:type="dxa"/>
            <w:noWrap w:val="0"/>
            <w:vAlign w:val="top"/>
          </w:tcPr>
          <w:p w14:paraId="024D9C2F">
            <w:pPr>
              <w:shd w:val="clear" w:color="auto" w:fill="auto"/>
              <w:spacing w:line="480" w:lineRule="exact"/>
              <w:rPr>
                <w:rFonts w:hint="eastAsia" w:ascii="宋体" w:hAnsi="宋体" w:eastAsia="宋体" w:cs="宋体"/>
                <w:color w:val="auto"/>
                <w:sz w:val="24"/>
                <w:highlight w:val="none"/>
              </w:rPr>
            </w:pPr>
          </w:p>
        </w:tc>
        <w:tc>
          <w:tcPr>
            <w:tcW w:w="2076" w:type="dxa"/>
            <w:noWrap w:val="0"/>
            <w:vAlign w:val="top"/>
          </w:tcPr>
          <w:p w14:paraId="4CD4A13D">
            <w:pPr>
              <w:shd w:val="clear" w:color="auto" w:fill="auto"/>
              <w:spacing w:line="480" w:lineRule="exact"/>
              <w:rPr>
                <w:rFonts w:hint="eastAsia" w:ascii="宋体" w:hAnsi="宋体" w:eastAsia="宋体" w:cs="宋体"/>
                <w:color w:val="auto"/>
                <w:sz w:val="24"/>
                <w:highlight w:val="none"/>
              </w:rPr>
            </w:pPr>
          </w:p>
        </w:tc>
        <w:tc>
          <w:tcPr>
            <w:tcW w:w="1431" w:type="dxa"/>
            <w:noWrap w:val="0"/>
            <w:vAlign w:val="top"/>
          </w:tcPr>
          <w:p w14:paraId="27861BCA">
            <w:pPr>
              <w:shd w:val="clear" w:color="auto" w:fill="auto"/>
              <w:spacing w:line="480" w:lineRule="exact"/>
              <w:rPr>
                <w:rFonts w:hint="eastAsia" w:ascii="宋体" w:hAnsi="宋体" w:eastAsia="宋体" w:cs="宋体"/>
                <w:color w:val="auto"/>
                <w:sz w:val="24"/>
                <w:highlight w:val="none"/>
              </w:rPr>
            </w:pPr>
          </w:p>
        </w:tc>
        <w:tc>
          <w:tcPr>
            <w:tcW w:w="1610" w:type="dxa"/>
            <w:noWrap w:val="0"/>
            <w:vAlign w:val="top"/>
          </w:tcPr>
          <w:p w14:paraId="1C0F6F11">
            <w:pPr>
              <w:shd w:val="clear" w:color="auto" w:fill="auto"/>
              <w:spacing w:line="480" w:lineRule="exact"/>
              <w:rPr>
                <w:rFonts w:hint="eastAsia" w:ascii="宋体" w:hAnsi="宋体" w:eastAsia="宋体" w:cs="宋体"/>
                <w:color w:val="auto"/>
                <w:sz w:val="24"/>
                <w:highlight w:val="none"/>
              </w:rPr>
            </w:pPr>
          </w:p>
        </w:tc>
        <w:tc>
          <w:tcPr>
            <w:tcW w:w="839" w:type="dxa"/>
            <w:noWrap w:val="0"/>
            <w:vAlign w:val="top"/>
          </w:tcPr>
          <w:p w14:paraId="02984CFA">
            <w:pPr>
              <w:shd w:val="clear" w:color="auto" w:fill="auto"/>
              <w:spacing w:line="480" w:lineRule="exact"/>
              <w:rPr>
                <w:rFonts w:hint="eastAsia" w:ascii="宋体" w:hAnsi="宋体" w:eastAsia="宋体" w:cs="宋体"/>
                <w:color w:val="auto"/>
                <w:sz w:val="24"/>
                <w:highlight w:val="none"/>
              </w:rPr>
            </w:pPr>
          </w:p>
        </w:tc>
      </w:tr>
      <w:tr w14:paraId="0A05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14:paraId="2D41EF35">
            <w:pPr>
              <w:shd w:val="clear" w:color="auto" w:fill="auto"/>
              <w:spacing w:line="480" w:lineRule="exact"/>
              <w:rPr>
                <w:rFonts w:hint="eastAsia" w:ascii="宋体" w:hAnsi="宋体" w:eastAsia="宋体" w:cs="宋体"/>
                <w:color w:val="auto"/>
                <w:sz w:val="24"/>
                <w:highlight w:val="none"/>
              </w:rPr>
            </w:pPr>
          </w:p>
        </w:tc>
        <w:tc>
          <w:tcPr>
            <w:tcW w:w="1560" w:type="dxa"/>
            <w:noWrap w:val="0"/>
            <w:vAlign w:val="top"/>
          </w:tcPr>
          <w:p w14:paraId="580534BE">
            <w:pPr>
              <w:shd w:val="clear" w:color="auto" w:fill="auto"/>
              <w:spacing w:line="480" w:lineRule="exact"/>
              <w:rPr>
                <w:rFonts w:hint="eastAsia" w:ascii="宋体" w:hAnsi="宋体" w:eastAsia="宋体" w:cs="宋体"/>
                <w:color w:val="auto"/>
                <w:sz w:val="24"/>
                <w:highlight w:val="none"/>
              </w:rPr>
            </w:pPr>
          </w:p>
        </w:tc>
        <w:tc>
          <w:tcPr>
            <w:tcW w:w="2076" w:type="dxa"/>
            <w:noWrap w:val="0"/>
            <w:vAlign w:val="top"/>
          </w:tcPr>
          <w:p w14:paraId="3B4EE6A2">
            <w:pPr>
              <w:shd w:val="clear" w:color="auto" w:fill="auto"/>
              <w:spacing w:line="480" w:lineRule="exact"/>
              <w:rPr>
                <w:rFonts w:hint="eastAsia" w:ascii="宋体" w:hAnsi="宋体" w:eastAsia="宋体" w:cs="宋体"/>
                <w:color w:val="auto"/>
                <w:sz w:val="24"/>
                <w:highlight w:val="none"/>
              </w:rPr>
            </w:pPr>
          </w:p>
        </w:tc>
        <w:tc>
          <w:tcPr>
            <w:tcW w:w="1431" w:type="dxa"/>
            <w:noWrap w:val="0"/>
            <w:vAlign w:val="top"/>
          </w:tcPr>
          <w:p w14:paraId="63066EA3">
            <w:pPr>
              <w:shd w:val="clear" w:color="auto" w:fill="auto"/>
              <w:spacing w:line="480" w:lineRule="exact"/>
              <w:rPr>
                <w:rFonts w:hint="eastAsia" w:ascii="宋体" w:hAnsi="宋体" w:eastAsia="宋体" w:cs="宋体"/>
                <w:color w:val="auto"/>
                <w:sz w:val="24"/>
                <w:highlight w:val="none"/>
              </w:rPr>
            </w:pPr>
          </w:p>
        </w:tc>
        <w:tc>
          <w:tcPr>
            <w:tcW w:w="1610" w:type="dxa"/>
            <w:noWrap w:val="0"/>
            <w:vAlign w:val="top"/>
          </w:tcPr>
          <w:p w14:paraId="6123DA73">
            <w:pPr>
              <w:shd w:val="clear" w:color="auto" w:fill="auto"/>
              <w:spacing w:line="480" w:lineRule="exact"/>
              <w:rPr>
                <w:rFonts w:hint="eastAsia" w:ascii="宋体" w:hAnsi="宋体" w:eastAsia="宋体" w:cs="宋体"/>
                <w:color w:val="auto"/>
                <w:sz w:val="24"/>
                <w:highlight w:val="none"/>
              </w:rPr>
            </w:pPr>
          </w:p>
        </w:tc>
        <w:tc>
          <w:tcPr>
            <w:tcW w:w="839" w:type="dxa"/>
            <w:noWrap w:val="0"/>
            <w:vAlign w:val="top"/>
          </w:tcPr>
          <w:p w14:paraId="58C476B3">
            <w:pPr>
              <w:shd w:val="clear" w:color="auto" w:fill="auto"/>
              <w:spacing w:line="480" w:lineRule="exact"/>
              <w:rPr>
                <w:rFonts w:hint="eastAsia" w:ascii="宋体" w:hAnsi="宋体" w:eastAsia="宋体" w:cs="宋体"/>
                <w:color w:val="auto"/>
                <w:sz w:val="24"/>
                <w:highlight w:val="none"/>
              </w:rPr>
            </w:pPr>
          </w:p>
        </w:tc>
      </w:tr>
    </w:tbl>
    <w:p w14:paraId="0685D95C">
      <w:pPr>
        <w:shd w:val="clear" w:color="auto" w:fill="auto"/>
        <w:snapToGrid w:val="0"/>
        <w:spacing w:line="480" w:lineRule="exact"/>
        <w:ind w:firstLine="542" w:firstLineChars="226"/>
        <w:jc w:val="left"/>
        <w:rPr>
          <w:rFonts w:hint="eastAsia" w:ascii="宋体" w:hAnsi="宋体" w:eastAsia="宋体" w:cs="宋体"/>
          <w:color w:val="auto"/>
          <w:kern w:val="0"/>
          <w:sz w:val="24"/>
          <w:szCs w:val="28"/>
          <w:highlight w:val="none"/>
          <w:lang w:eastAsia="zh-CN"/>
        </w:rPr>
      </w:pPr>
    </w:p>
    <w:p w14:paraId="36EBD46C">
      <w:pPr>
        <w:shd w:val="clear" w:color="auto" w:fill="auto"/>
        <w:snapToGrid w:val="0"/>
        <w:spacing w:line="480" w:lineRule="exact"/>
        <w:ind w:firstLine="542" w:firstLineChars="226"/>
        <w:jc w:val="center"/>
        <w:rPr>
          <w:rFonts w:hint="eastAsia" w:ascii="宋体" w:hAnsi="宋体" w:eastAsia="宋体" w:cs="宋体"/>
          <w:color w:val="auto"/>
          <w:sz w:val="24"/>
          <w:highlight w:val="none"/>
        </w:rPr>
      </w:pPr>
    </w:p>
    <w:p w14:paraId="24F62FFC">
      <w:pPr>
        <w:widowControl/>
        <w:shd w:val="clear" w:color="auto" w:fill="auto"/>
        <w:spacing w:line="330" w:lineRule="atLeast"/>
        <w:jc w:val="left"/>
        <w:rPr>
          <w:rFonts w:hint="eastAsia" w:ascii="宋体" w:hAnsi="宋体" w:eastAsia="宋体" w:cs="宋体"/>
          <w:color w:val="auto"/>
          <w:kern w:val="0"/>
          <w:szCs w:val="21"/>
          <w:highlight w:val="none"/>
        </w:rPr>
      </w:pPr>
    </w:p>
    <w:p w14:paraId="15A3FC96">
      <w:pPr>
        <w:widowControl/>
        <w:shd w:val="clear" w:color="auto" w:fill="auto"/>
        <w:spacing w:line="330" w:lineRule="atLeast"/>
        <w:jc w:val="left"/>
        <w:rPr>
          <w:rFonts w:hint="eastAsia" w:ascii="宋体" w:hAnsi="宋体" w:eastAsia="宋体" w:cs="宋体"/>
          <w:color w:val="auto"/>
          <w:kern w:val="0"/>
          <w:szCs w:val="21"/>
          <w:highlight w:val="none"/>
        </w:rPr>
      </w:pPr>
    </w:p>
    <w:p w14:paraId="5AB31DAE">
      <w:pPr>
        <w:tabs>
          <w:tab w:val="left" w:pos="567"/>
        </w:tabs>
        <w:snapToGrid w:val="0"/>
        <w:spacing w:line="360" w:lineRule="auto"/>
        <w:jc w:val="left"/>
        <w:outlineLvl w:val="2"/>
        <w:rPr>
          <w:rFonts w:hint="eastAsia" w:ascii="宋体" w:hAnsi="宋体" w:eastAsia="宋体" w:cs="宋体"/>
          <w:b/>
          <w:color w:val="auto"/>
          <w:kern w:val="0"/>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4"/>
          <w:highlight w:val="none"/>
        </w:rPr>
        <w:t>8．人员配备情况</w:t>
      </w:r>
    </w:p>
    <w:p w14:paraId="7102768E">
      <w:pPr>
        <w:rPr>
          <w:rFonts w:hint="eastAsia" w:ascii="宋体" w:hAnsi="宋体" w:eastAsia="宋体" w:cs="宋体"/>
          <w:color w:val="auto"/>
          <w:highlight w:val="none"/>
        </w:rPr>
      </w:pPr>
      <w:r>
        <w:rPr>
          <w:rFonts w:hint="eastAsia" w:ascii="宋体" w:hAnsi="宋体" w:eastAsia="宋体" w:cs="宋体"/>
          <w:b/>
          <w:color w:val="auto"/>
          <w:kern w:val="0"/>
          <w:sz w:val="24"/>
          <w:highlight w:val="none"/>
        </w:rPr>
        <w:t>（格式自拟，复印件或影印件加盖</w:t>
      </w:r>
      <w:r>
        <w:rPr>
          <w:rFonts w:hint="eastAsia" w:ascii="宋体" w:hAnsi="宋体" w:cs="宋体"/>
          <w:b/>
          <w:color w:val="auto"/>
          <w:kern w:val="0"/>
          <w:sz w:val="24"/>
          <w:highlight w:val="none"/>
          <w:lang w:eastAsia="zh-CN"/>
        </w:rPr>
        <w:t>投标人</w:t>
      </w:r>
      <w:r>
        <w:rPr>
          <w:rFonts w:hint="eastAsia" w:ascii="宋体" w:hAnsi="宋体" w:eastAsia="宋体" w:cs="宋体"/>
          <w:b/>
          <w:color w:val="auto"/>
          <w:kern w:val="0"/>
          <w:sz w:val="24"/>
          <w:highlight w:val="none"/>
        </w:rPr>
        <w:t>公章）</w:t>
      </w:r>
    </w:p>
    <w:p w14:paraId="4F0914A8">
      <w:pPr>
        <w:rPr>
          <w:rFonts w:hint="eastAsia" w:ascii="宋体" w:hAnsi="宋体" w:eastAsia="宋体" w:cs="宋体"/>
          <w:color w:val="auto"/>
          <w:highlight w:val="none"/>
        </w:rPr>
      </w:pPr>
    </w:p>
    <w:p w14:paraId="69602045">
      <w:pPr>
        <w:rPr>
          <w:rFonts w:hint="eastAsia" w:ascii="宋体" w:hAnsi="宋体" w:eastAsia="宋体" w:cs="宋体"/>
          <w:color w:val="auto"/>
          <w:highlight w:val="none"/>
        </w:rPr>
      </w:pPr>
    </w:p>
    <w:p w14:paraId="1374A63C">
      <w:pPr>
        <w:tabs>
          <w:tab w:val="left" w:pos="567"/>
        </w:tabs>
        <w:snapToGrid w:val="0"/>
        <w:spacing w:line="360" w:lineRule="auto"/>
        <w:jc w:val="left"/>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9．</w:t>
      </w:r>
      <w:r>
        <w:rPr>
          <w:rFonts w:hint="eastAsia" w:ascii="宋体" w:hAnsi="宋体" w:eastAsia="宋体" w:cs="宋体"/>
          <w:b/>
          <w:color w:val="auto"/>
          <w:kern w:val="0"/>
          <w:sz w:val="24"/>
          <w:highlight w:val="none"/>
          <w:lang w:eastAsia="zh-CN"/>
        </w:rPr>
        <w:t>服务方案</w:t>
      </w:r>
      <w:r>
        <w:rPr>
          <w:rFonts w:hint="eastAsia" w:ascii="宋体" w:hAnsi="宋体" w:eastAsia="宋体" w:cs="宋体"/>
          <w:b/>
          <w:color w:val="auto"/>
          <w:kern w:val="0"/>
          <w:sz w:val="24"/>
          <w:highlight w:val="none"/>
        </w:rPr>
        <w:t>及承诺</w:t>
      </w:r>
    </w:p>
    <w:p w14:paraId="723E7C85">
      <w:pPr>
        <w:rPr>
          <w:rFonts w:hint="eastAsia" w:ascii="宋体" w:hAnsi="宋体" w:eastAsia="宋体" w:cs="宋体"/>
          <w:color w:val="auto"/>
          <w:highlight w:val="none"/>
        </w:rPr>
      </w:pPr>
      <w:r>
        <w:rPr>
          <w:rFonts w:hint="eastAsia" w:ascii="宋体" w:hAnsi="宋体" w:eastAsia="宋体" w:cs="宋体"/>
          <w:b/>
          <w:color w:val="auto"/>
          <w:kern w:val="0"/>
          <w:sz w:val="24"/>
          <w:highlight w:val="none"/>
        </w:rPr>
        <w:t>（</w:t>
      </w:r>
      <w:r>
        <w:rPr>
          <w:rFonts w:hint="eastAsia" w:ascii="宋体" w:hAnsi="宋体" w:eastAsia="宋体" w:cs="宋体"/>
          <w:b/>
          <w:color w:val="auto"/>
          <w:kern w:val="0"/>
          <w:sz w:val="24"/>
          <w:highlight w:val="none"/>
          <w:lang w:eastAsia="zh-CN"/>
        </w:rPr>
        <w:t>根据评审标准，</w:t>
      </w:r>
      <w:r>
        <w:rPr>
          <w:rFonts w:hint="eastAsia" w:ascii="宋体" w:hAnsi="宋体" w:eastAsia="宋体" w:cs="宋体"/>
          <w:b/>
          <w:color w:val="auto"/>
          <w:kern w:val="0"/>
          <w:sz w:val="24"/>
          <w:highlight w:val="none"/>
        </w:rPr>
        <w:t>格式自拟）</w:t>
      </w:r>
    </w:p>
    <w:p w14:paraId="20B86A86">
      <w:pPr>
        <w:rPr>
          <w:rFonts w:hint="eastAsia" w:ascii="宋体" w:hAnsi="宋体" w:eastAsia="宋体" w:cs="宋体"/>
          <w:color w:val="auto"/>
          <w:highlight w:val="none"/>
        </w:rPr>
      </w:pPr>
    </w:p>
    <w:p w14:paraId="14C8E143">
      <w:pPr>
        <w:rPr>
          <w:rFonts w:hint="eastAsia" w:ascii="宋体" w:hAnsi="宋体" w:eastAsia="宋体" w:cs="宋体"/>
          <w:color w:val="auto"/>
          <w:highlight w:val="none"/>
        </w:rPr>
      </w:pPr>
    </w:p>
    <w:p w14:paraId="4ED0A030">
      <w:pPr>
        <w:tabs>
          <w:tab w:val="left" w:pos="567"/>
        </w:tabs>
        <w:snapToGrid w:val="0"/>
        <w:spacing w:line="360" w:lineRule="auto"/>
        <w:jc w:val="left"/>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10．</w:t>
      </w:r>
      <w:r>
        <w:rPr>
          <w:rFonts w:hint="eastAsia" w:ascii="宋体" w:hAnsi="宋体" w:cs="宋体"/>
          <w:b/>
          <w:color w:val="auto"/>
          <w:kern w:val="0"/>
          <w:sz w:val="24"/>
          <w:highlight w:val="none"/>
          <w:lang w:eastAsia="zh-CN"/>
        </w:rPr>
        <w:t>投标人</w:t>
      </w:r>
      <w:r>
        <w:rPr>
          <w:rFonts w:hint="eastAsia" w:ascii="宋体" w:hAnsi="宋体" w:eastAsia="宋体" w:cs="宋体"/>
          <w:b/>
          <w:color w:val="auto"/>
          <w:kern w:val="0"/>
          <w:sz w:val="24"/>
          <w:highlight w:val="none"/>
        </w:rPr>
        <w:t>认为需要提供的其他商务</w:t>
      </w:r>
      <w:r>
        <w:rPr>
          <w:rFonts w:hint="eastAsia" w:ascii="宋体" w:hAnsi="宋体" w:cs="宋体"/>
          <w:b/>
          <w:color w:val="auto"/>
          <w:kern w:val="0"/>
          <w:sz w:val="24"/>
          <w:highlight w:val="none"/>
          <w:lang w:val="en-US" w:eastAsia="zh-CN"/>
        </w:rPr>
        <w:t>技术</w:t>
      </w:r>
      <w:r>
        <w:rPr>
          <w:rFonts w:hint="eastAsia" w:ascii="宋体" w:hAnsi="宋体" w:eastAsia="宋体" w:cs="宋体"/>
          <w:b/>
          <w:color w:val="auto"/>
          <w:kern w:val="0"/>
          <w:sz w:val="24"/>
          <w:highlight w:val="none"/>
        </w:rPr>
        <w:t>材料</w:t>
      </w:r>
    </w:p>
    <w:p w14:paraId="1D93FC39">
      <w:pPr>
        <w:shd w:val="clear" w:color="auto" w:fill="auto"/>
        <w:snapToGrid w:val="0"/>
        <w:spacing w:line="360" w:lineRule="auto"/>
        <w:outlineLvl w:val="9"/>
        <w:rPr>
          <w:rFonts w:hint="eastAsia" w:ascii="宋体" w:hAnsi="宋体" w:eastAsia="宋体" w:cs="宋体"/>
          <w:b/>
          <w:color w:val="auto"/>
          <w:sz w:val="24"/>
          <w:highlight w:val="none"/>
        </w:rPr>
      </w:pPr>
    </w:p>
    <w:p w14:paraId="5219F938">
      <w:pPr>
        <w:bidi w:val="0"/>
        <w:rPr>
          <w:rFonts w:hint="eastAsia" w:ascii="宋体" w:hAnsi="宋体" w:eastAsia="宋体" w:cs="宋体"/>
          <w:color w:val="auto"/>
          <w:highlight w:val="none"/>
        </w:rPr>
      </w:pPr>
    </w:p>
    <w:p w14:paraId="18C7E2C6">
      <w:pPr>
        <w:pStyle w:val="29"/>
        <w:rPr>
          <w:rFonts w:hint="eastAsia" w:ascii="宋体" w:hAnsi="宋体" w:eastAsia="宋体" w:cs="宋体"/>
          <w:b/>
          <w:color w:val="auto"/>
          <w:sz w:val="24"/>
          <w:highlight w:val="none"/>
        </w:rPr>
      </w:pPr>
    </w:p>
    <w:p w14:paraId="411256E9">
      <w:pPr>
        <w:rPr>
          <w:rFonts w:hint="eastAsia" w:ascii="宋体" w:hAnsi="宋体" w:eastAsia="宋体" w:cs="宋体"/>
          <w:color w:val="auto"/>
          <w:highlight w:val="none"/>
        </w:rPr>
      </w:pPr>
    </w:p>
    <w:p w14:paraId="71AEE726">
      <w:pPr>
        <w:rPr>
          <w:rFonts w:hint="eastAsia" w:ascii="宋体" w:hAnsi="宋体" w:eastAsia="宋体" w:cs="宋体"/>
          <w:color w:val="auto"/>
          <w:highlight w:val="none"/>
        </w:rPr>
      </w:pPr>
    </w:p>
    <w:p w14:paraId="169F59AD">
      <w:pPr>
        <w:shd w:val="clear" w:color="auto" w:fill="auto"/>
        <w:snapToGrid w:val="0"/>
        <w:spacing w:line="360" w:lineRule="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kern w:val="0"/>
          <w:sz w:val="24"/>
          <w:highlight w:val="none"/>
        </w:rPr>
        <w:t>．</w:t>
      </w:r>
      <w:r>
        <w:rPr>
          <w:rFonts w:hint="eastAsia" w:ascii="宋体" w:hAnsi="宋体" w:eastAsia="宋体" w:cs="宋体"/>
          <w:b/>
          <w:color w:val="auto"/>
          <w:sz w:val="24"/>
          <w:highlight w:val="none"/>
        </w:rPr>
        <w:t>政策性要求（如有）</w:t>
      </w:r>
    </w:p>
    <w:p w14:paraId="46F17701">
      <w:pPr>
        <w:shd w:val="clear" w:color="auto" w:fill="auto"/>
        <w:tabs>
          <w:tab w:val="left" w:pos="1680"/>
        </w:tabs>
        <w:snapToGrid w:val="0"/>
        <w:spacing w:line="360" w:lineRule="auto"/>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（一）</w:t>
      </w:r>
      <w:r>
        <w:rPr>
          <w:rFonts w:hint="eastAsia" w:ascii="宋体" w:hAnsi="宋体" w:eastAsia="宋体" w:cs="宋体"/>
          <w:color w:val="auto"/>
          <w:sz w:val="24"/>
          <w:highlight w:val="none"/>
        </w:rPr>
        <w:t>环保节能产品证明材料</w:t>
      </w:r>
      <w:r>
        <w:rPr>
          <w:rFonts w:hint="eastAsia" w:ascii="宋体" w:hAnsi="宋体" w:eastAsia="宋体" w:cs="宋体"/>
          <w:b/>
          <w:color w:val="auto"/>
          <w:kern w:val="0"/>
          <w:sz w:val="24"/>
          <w:highlight w:val="none"/>
        </w:rPr>
        <w:t>（如不涉及，此函可不提供）</w:t>
      </w:r>
    </w:p>
    <w:p w14:paraId="185330DE">
      <w:pPr>
        <w:shd w:val="clear" w:color="auto" w:fill="auto"/>
        <w:tabs>
          <w:tab w:val="left" w:pos="1680"/>
        </w:tabs>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（1）强制节能产品明细表格式（以包为单位分别填写，如本项目所投产品中不涉及强制节能产品，此表可不提供）</w:t>
      </w:r>
    </w:p>
    <w:p w14:paraId="5E59AB0F">
      <w:pPr>
        <w:shd w:val="clear" w:color="auto" w:fill="auto"/>
        <w:tabs>
          <w:tab w:val="left" w:pos="1680"/>
        </w:tabs>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强制节能产品明细表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6391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5265EAC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955" w:type="dxa"/>
            <w:noWrap w:val="0"/>
            <w:vAlign w:val="center"/>
          </w:tcPr>
          <w:p w14:paraId="6940D4F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产品名称</w:t>
            </w:r>
          </w:p>
        </w:tc>
        <w:tc>
          <w:tcPr>
            <w:tcW w:w="955" w:type="dxa"/>
            <w:noWrap w:val="0"/>
            <w:vAlign w:val="center"/>
          </w:tcPr>
          <w:p w14:paraId="25EE542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955" w:type="dxa"/>
            <w:noWrap w:val="0"/>
            <w:vAlign w:val="center"/>
          </w:tcPr>
          <w:p w14:paraId="1A329822">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产品型号</w:t>
            </w:r>
          </w:p>
        </w:tc>
        <w:tc>
          <w:tcPr>
            <w:tcW w:w="1637" w:type="dxa"/>
            <w:noWrap w:val="0"/>
            <w:vAlign w:val="center"/>
          </w:tcPr>
          <w:p w14:paraId="47BAD9A2">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节能产品认证证书号</w:t>
            </w:r>
          </w:p>
        </w:tc>
        <w:tc>
          <w:tcPr>
            <w:tcW w:w="1860" w:type="dxa"/>
            <w:noWrap w:val="0"/>
            <w:vAlign w:val="center"/>
          </w:tcPr>
          <w:p w14:paraId="4662E54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认证证书有效截止日期</w:t>
            </w:r>
          </w:p>
        </w:tc>
        <w:tc>
          <w:tcPr>
            <w:tcW w:w="1850" w:type="dxa"/>
            <w:noWrap w:val="0"/>
            <w:vAlign w:val="center"/>
          </w:tcPr>
          <w:p w14:paraId="4F6603BE">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认证机构名录</w:t>
            </w:r>
          </w:p>
        </w:tc>
      </w:tr>
      <w:tr w14:paraId="68C7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B1F1432">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955" w:type="dxa"/>
            <w:noWrap w:val="0"/>
            <w:vAlign w:val="top"/>
          </w:tcPr>
          <w:p w14:paraId="75504BB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955" w:type="dxa"/>
            <w:noWrap w:val="0"/>
            <w:vAlign w:val="top"/>
          </w:tcPr>
          <w:p w14:paraId="7C392E5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955" w:type="dxa"/>
            <w:noWrap w:val="0"/>
            <w:vAlign w:val="top"/>
          </w:tcPr>
          <w:p w14:paraId="6E8D3F3E">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1637" w:type="dxa"/>
            <w:noWrap w:val="0"/>
            <w:vAlign w:val="top"/>
          </w:tcPr>
          <w:p w14:paraId="7D03F7E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1860" w:type="dxa"/>
            <w:noWrap w:val="0"/>
            <w:vAlign w:val="top"/>
          </w:tcPr>
          <w:p w14:paraId="1178A93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1850" w:type="dxa"/>
            <w:noWrap w:val="0"/>
            <w:vAlign w:val="top"/>
          </w:tcPr>
          <w:p w14:paraId="08D3DB0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r>
      <w:tr w14:paraId="6BA6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FA08999">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955" w:type="dxa"/>
            <w:noWrap w:val="0"/>
            <w:vAlign w:val="top"/>
          </w:tcPr>
          <w:p w14:paraId="1526F5A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955" w:type="dxa"/>
            <w:noWrap w:val="0"/>
            <w:vAlign w:val="top"/>
          </w:tcPr>
          <w:p w14:paraId="70CD9BD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955" w:type="dxa"/>
            <w:noWrap w:val="0"/>
            <w:vAlign w:val="top"/>
          </w:tcPr>
          <w:p w14:paraId="30D7425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1637" w:type="dxa"/>
            <w:noWrap w:val="0"/>
            <w:vAlign w:val="top"/>
          </w:tcPr>
          <w:p w14:paraId="5F84ED42">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1860" w:type="dxa"/>
            <w:noWrap w:val="0"/>
            <w:vAlign w:val="top"/>
          </w:tcPr>
          <w:p w14:paraId="06A1AF4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1850" w:type="dxa"/>
            <w:noWrap w:val="0"/>
            <w:vAlign w:val="top"/>
          </w:tcPr>
          <w:p w14:paraId="50CAF26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r>
      <w:tr w14:paraId="10E9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63BABA7F">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955" w:type="dxa"/>
            <w:noWrap w:val="0"/>
            <w:vAlign w:val="top"/>
          </w:tcPr>
          <w:p w14:paraId="04EA928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955" w:type="dxa"/>
            <w:noWrap w:val="0"/>
            <w:vAlign w:val="top"/>
          </w:tcPr>
          <w:p w14:paraId="2441920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955" w:type="dxa"/>
            <w:noWrap w:val="0"/>
            <w:vAlign w:val="top"/>
          </w:tcPr>
          <w:p w14:paraId="730A437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1637" w:type="dxa"/>
            <w:noWrap w:val="0"/>
            <w:vAlign w:val="top"/>
          </w:tcPr>
          <w:p w14:paraId="46ABB87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1860" w:type="dxa"/>
            <w:noWrap w:val="0"/>
            <w:vAlign w:val="top"/>
          </w:tcPr>
          <w:p w14:paraId="44D6EA8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c>
          <w:tcPr>
            <w:tcW w:w="1850" w:type="dxa"/>
            <w:noWrap w:val="0"/>
            <w:vAlign w:val="top"/>
          </w:tcPr>
          <w:p w14:paraId="7A9791F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highlight w:val="none"/>
              </w:rPr>
            </w:pPr>
          </w:p>
        </w:tc>
      </w:tr>
    </w:tbl>
    <w:p w14:paraId="2E38AA60">
      <w:pPr>
        <w:shd w:val="clear" w:color="auto" w:fill="auto"/>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4961C1DC">
      <w:pPr>
        <w:shd w:val="clear" w:color="auto" w:fill="auto"/>
        <w:tabs>
          <w:tab w:val="left" w:pos="1680"/>
        </w:tabs>
        <w:snapToGrid w:val="0"/>
        <w:spacing w:line="360" w:lineRule="auto"/>
        <w:rPr>
          <w:rFonts w:hint="eastAsia" w:ascii="宋体" w:hAnsi="宋体" w:eastAsia="宋体" w:cs="宋体"/>
          <w:bCs/>
          <w:color w:val="auto"/>
          <w:sz w:val="24"/>
          <w:highlight w:val="none"/>
        </w:rPr>
      </w:pPr>
    </w:p>
    <w:p w14:paraId="2FB56B89">
      <w:pPr>
        <w:shd w:val="clear" w:color="auto" w:fill="auto"/>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1060D1E">
      <w:pPr>
        <w:shd w:val="clear" w:color="auto" w:fill="auto"/>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1．采购货物中如含有强制节能产品的，须如实填写强制节能产品明细表；</w:t>
      </w:r>
    </w:p>
    <w:p w14:paraId="680E45C1">
      <w:pPr>
        <w:shd w:val="clear" w:color="auto" w:fill="auto"/>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提供所投产品获得国家确定的认证机构出具的、处于有效期之内的产品认证证书。</w:t>
      </w:r>
    </w:p>
    <w:p w14:paraId="080B8915">
      <w:pPr>
        <w:shd w:val="clear" w:color="auto" w:fill="auto"/>
        <w:tabs>
          <w:tab w:val="left" w:pos="1680"/>
        </w:tabs>
        <w:snapToGrid w:val="0"/>
        <w:spacing w:line="360" w:lineRule="exact"/>
        <w:rPr>
          <w:rFonts w:hint="eastAsia" w:ascii="宋体" w:hAnsi="宋体" w:eastAsia="宋体" w:cs="宋体"/>
          <w:bCs/>
          <w:color w:val="auto"/>
          <w:sz w:val="24"/>
          <w:highlight w:val="none"/>
        </w:rPr>
      </w:pPr>
    </w:p>
    <w:p w14:paraId="6FBFE9ED">
      <w:pPr>
        <w:shd w:val="clear" w:color="auto" w:fill="auto"/>
        <w:tabs>
          <w:tab w:val="left" w:pos="1680"/>
        </w:tabs>
        <w:snapToGrid w:val="0"/>
        <w:spacing w:line="360" w:lineRule="exact"/>
        <w:rPr>
          <w:rFonts w:hint="eastAsia" w:ascii="宋体" w:hAnsi="宋体" w:eastAsia="宋体" w:cs="宋体"/>
          <w:bCs/>
          <w:color w:val="auto"/>
          <w:sz w:val="24"/>
          <w:highlight w:val="none"/>
        </w:rPr>
      </w:pPr>
    </w:p>
    <w:p w14:paraId="23E83B20">
      <w:pPr>
        <w:pStyle w:val="10"/>
        <w:shd w:val="clear" w:color="auto" w:fill="auto"/>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br w:type="page"/>
      </w:r>
      <w:r>
        <w:rPr>
          <w:rFonts w:hint="eastAsia" w:ascii="宋体" w:hAnsi="宋体" w:eastAsia="宋体" w:cs="宋体"/>
          <w:b/>
          <w:color w:val="auto"/>
          <w:sz w:val="24"/>
          <w:highlight w:val="none"/>
        </w:rPr>
        <w:t>（二）正版软件承诺格式</w:t>
      </w:r>
      <w:r>
        <w:rPr>
          <w:rFonts w:hint="eastAsia" w:ascii="宋体" w:hAnsi="宋体" w:eastAsia="宋体" w:cs="宋体"/>
          <w:b/>
          <w:color w:val="auto"/>
          <w:kern w:val="0"/>
          <w:sz w:val="24"/>
          <w:highlight w:val="none"/>
        </w:rPr>
        <w:t>（如不涉及，此函可不提供）</w:t>
      </w:r>
    </w:p>
    <w:p w14:paraId="6D485541">
      <w:pPr>
        <w:shd w:val="clear" w:color="auto" w:fill="auto"/>
        <w:spacing w:line="48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正版软件承诺</w:t>
      </w:r>
    </w:p>
    <w:p w14:paraId="1D99D5FF">
      <w:pPr>
        <w:widowControl/>
        <w:shd w:val="clear" w:color="auto" w:fill="auto"/>
        <w:snapToGrid w:val="0"/>
        <w:spacing w:line="360" w:lineRule="auto"/>
        <w:jc w:val="left"/>
        <w:rPr>
          <w:rFonts w:hint="eastAsia" w:ascii="宋体" w:hAnsi="宋体" w:eastAsia="宋体" w:cs="宋体"/>
          <w:color w:val="auto"/>
          <w:kern w:val="0"/>
          <w:sz w:val="24"/>
          <w:highlight w:val="none"/>
          <w:u w:val="single"/>
        </w:rPr>
      </w:pPr>
    </w:p>
    <w:p w14:paraId="4C7C62AD">
      <w:pPr>
        <w:shd w:val="clear" w:color="auto" w:fill="auto"/>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eastAsia="zh-CN"/>
        </w:rPr>
        <w:t>山西麟辉项目管理有限公司</w:t>
      </w:r>
      <w:r>
        <w:rPr>
          <w:rFonts w:hint="eastAsia" w:ascii="宋体" w:hAnsi="宋体" w:eastAsia="宋体" w:cs="宋体"/>
          <w:color w:val="auto"/>
          <w:sz w:val="24"/>
          <w:highlight w:val="none"/>
          <w:u w:val="single"/>
        </w:rPr>
        <w:t>：</w:t>
      </w:r>
    </w:p>
    <w:p w14:paraId="76B24018">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现参与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）的采购活动，本公司承诺投报的计算机产品预装正版操作系统，投报的硬件产品内的预装软件为正版软件。</w:t>
      </w:r>
    </w:p>
    <w:p w14:paraId="3C6BCBB3">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如上述声明不真实，愿意按照政府采购有关法律法规的规定接受处罚。</w:t>
      </w:r>
    </w:p>
    <w:p w14:paraId="0DA440F8">
      <w:pPr>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6494B8EC">
      <w:pPr>
        <w:shd w:val="clear" w:color="auto" w:fill="auto"/>
        <w:snapToGrid w:val="0"/>
        <w:spacing w:line="520" w:lineRule="exact"/>
        <w:rPr>
          <w:rFonts w:hint="eastAsia" w:ascii="宋体" w:hAnsi="宋体" w:eastAsia="宋体" w:cs="宋体"/>
          <w:color w:val="auto"/>
          <w:sz w:val="24"/>
          <w:highlight w:val="none"/>
        </w:rPr>
      </w:pPr>
    </w:p>
    <w:p w14:paraId="1A04D43A">
      <w:pPr>
        <w:shd w:val="clear" w:color="auto" w:fill="auto"/>
        <w:snapToGrid w:val="0"/>
        <w:spacing w:line="480" w:lineRule="exact"/>
        <w:rPr>
          <w:rFonts w:hint="eastAsia" w:ascii="宋体" w:hAnsi="宋体" w:eastAsia="宋体" w:cs="宋体"/>
          <w:color w:val="auto"/>
          <w:sz w:val="24"/>
          <w:highlight w:val="none"/>
        </w:rPr>
      </w:pPr>
    </w:p>
    <w:p w14:paraId="7BD4879E">
      <w:pPr>
        <w:shd w:val="clear" w:color="auto" w:fill="auto"/>
        <w:snapToGrid w:val="0"/>
        <w:spacing w:line="480" w:lineRule="exact"/>
        <w:rPr>
          <w:rFonts w:hint="eastAsia" w:ascii="宋体" w:hAnsi="宋体" w:eastAsia="宋体" w:cs="宋体"/>
          <w:color w:val="auto"/>
          <w:sz w:val="24"/>
          <w:highlight w:val="none"/>
        </w:rPr>
      </w:pPr>
    </w:p>
    <w:p w14:paraId="5E185764">
      <w:pPr>
        <w:shd w:val="clear" w:color="auto" w:fill="auto"/>
        <w:snapToGrid w:val="0"/>
        <w:spacing w:line="480" w:lineRule="exact"/>
        <w:rPr>
          <w:rFonts w:hint="eastAsia" w:ascii="宋体" w:hAnsi="宋体" w:eastAsia="宋体" w:cs="宋体"/>
          <w:color w:val="auto"/>
          <w:sz w:val="24"/>
          <w:highlight w:val="none"/>
        </w:rPr>
      </w:pPr>
    </w:p>
    <w:p w14:paraId="416004D5">
      <w:pPr>
        <w:shd w:val="clear" w:color="auto" w:fill="auto"/>
        <w:snapToGrid w:val="0"/>
        <w:spacing w:line="480" w:lineRule="exact"/>
        <w:ind w:firstLine="4440" w:firstLineChars="18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       （盖章）</w:t>
      </w:r>
    </w:p>
    <w:p w14:paraId="67FF4284">
      <w:pPr>
        <w:shd w:val="clear" w:color="auto" w:fill="auto"/>
        <w:spacing w:line="480" w:lineRule="exact"/>
        <w:ind w:firstLine="4560" w:firstLineChars="19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日     期：</w:t>
      </w:r>
    </w:p>
    <w:p w14:paraId="2C492F95">
      <w:pPr>
        <w:widowControl/>
        <w:shd w:val="clear" w:color="auto" w:fill="auto"/>
        <w:snapToGrid w:val="0"/>
        <w:spacing w:line="360" w:lineRule="auto"/>
        <w:jc w:val="left"/>
        <w:rPr>
          <w:rFonts w:hint="eastAsia" w:ascii="宋体" w:hAnsi="宋体" w:eastAsia="宋体" w:cs="宋体"/>
          <w:b/>
          <w:color w:val="auto"/>
          <w:kern w:val="0"/>
          <w:sz w:val="24"/>
          <w:highlight w:val="none"/>
        </w:rPr>
      </w:pPr>
    </w:p>
    <w:p w14:paraId="6A20E436">
      <w:pPr>
        <w:widowControl/>
        <w:shd w:val="clear" w:color="auto" w:fill="auto"/>
        <w:snapToGrid w:val="0"/>
        <w:spacing w:line="360" w:lineRule="auto"/>
        <w:jc w:val="left"/>
        <w:rPr>
          <w:rFonts w:hint="eastAsia" w:ascii="宋体" w:hAnsi="宋体" w:eastAsia="宋体" w:cs="宋体"/>
          <w:b/>
          <w:color w:val="auto"/>
          <w:kern w:val="0"/>
          <w:sz w:val="24"/>
          <w:highlight w:val="none"/>
        </w:rPr>
      </w:pPr>
    </w:p>
    <w:p w14:paraId="6256E792">
      <w:pPr>
        <w:shd w:val="clear" w:color="auto" w:fill="auto"/>
        <w:snapToGrid w:val="0"/>
        <w:spacing w:line="480" w:lineRule="exact"/>
        <w:rPr>
          <w:rFonts w:hint="eastAsia" w:ascii="宋体" w:hAnsi="宋体" w:eastAsia="宋体" w:cs="宋体"/>
          <w:color w:val="auto"/>
          <w:sz w:val="24"/>
          <w:highlight w:val="none"/>
        </w:rPr>
      </w:pPr>
    </w:p>
    <w:p w14:paraId="5434503A">
      <w:pPr>
        <w:widowControl/>
        <w:shd w:val="clear" w:color="auto" w:fill="auto"/>
        <w:snapToGrid w:val="0"/>
        <w:spacing w:line="360" w:lineRule="auto"/>
        <w:jc w:val="left"/>
        <w:rPr>
          <w:rFonts w:hint="eastAsia" w:ascii="宋体" w:hAnsi="宋体" w:eastAsia="宋体" w:cs="宋体"/>
          <w:b/>
          <w:color w:val="auto"/>
          <w:kern w:val="0"/>
          <w:sz w:val="24"/>
          <w:highlight w:val="none"/>
        </w:rPr>
      </w:pPr>
    </w:p>
    <w:p w14:paraId="38C405BE">
      <w:pPr>
        <w:numPr>
          <w:ilvl w:val="0"/>
          <w:numId w:val="0"/>
        </w:numPr>
        <w:shd w:val="clear" w:color="auto" w:fill="auto"/>
        <w:jc w:val="left"/>
        <w:rPr>
          <w:rFonts w:hint="eastAsia" w:ascii="宋体" w:hAnsi="宋体" w:eastAsia="宋体" w:cs="宋体"/>
          <w:b/>
          <w:color w:val="auto"/>
          <w:kern w:val="0"/>
          <w:sz w:val="24"/>
          <w:szCs w:val="24"/>
          <w:highlight w:val="none"/>
          <w:lang w:val="en-US" w:eastAsia="zh-CN" w:bidi="ar-SA"/>
        </w:rPr>
      </w:pPr>
    </w:p>
    <w:p w14:paraId="72ADFD60">
      <w:pPr>
        <w:numPr>
          <w:ilvl w:val="0"/>
          <w:numId w:val="0"/>
        </w:numPr>
        <w:shd w:val="clear" w:color="auto" w:fill="auto"/>
        <w:jc w:val="left"/>
        <w:rPr>
          <w:rFonts w:hint="eastAsia" w:ascii="宋体" w:hAnsi="宋体" w:eastAsia="宋体" w:cs="宋体"/>
          <w:b/>
          <w:color w:val="auto"/>
          <w:kern w:val="0"/>
          <w:sz w:val="24"/>
          <w:szCs w:val="24"/>
          <w:highlight w:val="none"/>
          <w:lang w:val="en-US" w:eastAsia="zh-CN" w:bidi="ar-SA"/>
        </w:rPr>
      </w:pPr>
    </w:p>
    <w:p w14:paraId="7B2EC6B3">
      <w:pPr>
        <w:numPr>
          <w:ilvl w:val="0"/>
          <w:numId w:val="0"/>
        </w:numPr>
        <w:shd w:val="clear" w:color="auto" w:fill="auto"/>
        <w:jc w:val="left"/>
        <w:rPr>
          <w:rFonts w:hint="eastAsia" w:ascii="宋体" w:hAnsi="宋体" w:eastAsia="宋体" w:cs="宋体"/>
          <w:b/>
          <w:color w:val="auto"/>
          <w:kern w:val="0"/>
          <w:sz w:val="24"/>
          <w:szCs w:val="24"/>
          <w:highlight w:val="none"/>
          <w:lang w:val="en-US" w:eastAsia="zh-CN" w:bidi="ar-SA"/>
        </w:rPr>
        <w:sectPr>
          <w:pgSz w:w="11906" w:h="16838"/>
          <w:pgMar w:top="1417" w:right="1247" w:bottom="1417" w:left="124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3107763">
      <w:pPr>
        <w:numPr>
          <w:ilvl w:val="0"/>
          <w:numId w:val="0"/>
        </w:numPr>
        <w:shd w:val="clear" w:color="auto" w:fill="auto"/>
        <w:jc w:val="left"/>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szCs w:val="24"/>
          <w:highlight w:val="none"/>
          <w:lang w:val="en-US" w:eastAsia="zh-CN" w:bidi="ar-SA"/>
        </w:rPr>
        <w:t>（</w:t>
      </w:r>
      <w:r>
        <w:rPr>
          <w:rFonts w:hint="eastAsia" w:ascii="宋体" w:hAnsi="宋体" w:cs="宋体"/>
          <w:b/>
          <w:color w:val="auto"/>
          <w:kern w:val="0"/>
          <w:sz w:val="24"/>
          <w:szCs w:val="24"/>
          <w:highlight w:val="none"/>
          <w:lang w:val="en-US" w:eastAsia="zh-CN" w:bidi="ar-SA"/>
        </w:rPr>
        <w:t>三</w:t>
      </w:r>
      <w:r>
        <w:rPr>
          <w:rFonts w:hint="eastAsia" w:ascii="宋体" w:hAnsi="宋体" w:eastAsia="宋体" w:cs="宋体"/>
          <w:b/>
          <w:color w:val="auto"/>
          <w:kern w:val="0"/>
          <w:sz w:val="24"/>
          <w:szCs w:val="24"/>
          <w:highlight w:val="none"/>
          <w:lang w:val="en-US" w:eastAsia="zh-CN" w:bidi="ar-SA"/>
        </w:rPr>
        <w:t>）</w:t>
      </w:r>
      <w:r>
        <w:rPr>
          <w:rFonts w:hint="eastAsia" w:ascii="宋体" w:hAnsi="宋体" w:eastAsia="宋体" w:cs="宋体"/>
          <w:b/>
          <w:color w:val="auto"/>
          <w:kern w:val="0"/>
          <w:sz w:val="24"/>
          <w:highlight w:val="none"/>
          <w:lang w:eastAsia="zh-CN"/>
        </w:rPr>
        <w:t>商品包装和快递包装承诺</w:t>
      </w:r>
    </w:p>
    <w:p w14:paraId="3A4BC3AE">
      <w:pPr>
        <w:pStyle w:val="15"/>
        <w:numPr>
          <w:ilvl w:val="0"/>
          <w:numId w:val="0"/>
        </w:numPr>
        <w:shd w:val="clear" w:color="auto" w:fill="auto"/>
        <w:rPr>
          <w:rFonts w:hint="eastAsia" w:ascii="宋体" w:hAnsi="宋体" w:eastAsia="宋体" w:cs="宋体"/>
          <w:color w:val="auto"/>
          <w:highlight w:val="none"/>
          <w:lang w:eastAsia="zh-CN"/>
        </w:rPr>
      </w:pPr>
    </w:p>
    <w:p w14:paraId="281158D2">
      <w:pPr>
        <w:shd w:val="clear" w:color="auto" w:fill="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4"/>
          <w:szCs w:val="24"/>
          <w:highlight w:val="none"/>
        </w:rPr>
        <w:t>商品包装和快递包装承诺</w:t>
      </w:r>
    </w:p>
    <w:p w14:paraId="6C78D47C">
      <w:pPr>
        <w:pStyle w:val="30"/>
        <w:widowControl w:val="0"/>
        <w:shd w:val="clear" w:color="auto" w:fill="auto"/>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p>
    <w:p w14:paraId="6B425DC8">
      <w:pPr>
        <w:shd w:val="clear" w:color="auto" w:fill="auto"/>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现参与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）的采购活动，本公司承诺所供商品包装符合《商品包装政府采购需求标准（试行）》，快递包装符合《快递包装政府采购需求标准（试行）》。</w:t>
      </w:r>
    </w:p>
    <w:p w14:paraId="7D734C04">
      <w:pPr>
        <w:pStyle w:val="30"/>
        <w:widowControl w:val="0"/>
        <w:shd w:val="clear" w:color="auto" w:fill="auto"/>
        <w:adjustRightInd w:val="0"/>
        <w:snapToGrid w:val="0"/>
        <w:spacing w:before="0" w:beforeAutospacing="0" w:after="0" w:afterAutospacing="0" w:line="48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如上述声明不真实，愿意按照政府采购有关法律法规的规定接受处罚。</w:t>
      </w:r>
    </w:p>
    <w:p w14:paraId="7657A9A8">
      <w:pPr>
        <w:pStyle w:val="30"/>
        <w:widowControl w:val="0"/>
        <w:shd w:val="clear" w:color="auto" w:fill="auto"/>
        <w:adjustRightInd w:val="0"/>
        <w:snapToGrid w:val="0"/>
        <w:spacing w:before="0" w:beforeAutospacing="0" w:after="0" w:afterAutospacing="0" w:line="48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8CF7928">
      <w:pPr>
        <w:shd w:val="clear" w:color="auto" w:fill="auto"/>
        <w:adjustRightInd w:val="0"/>
        <w:snapToGrid w:val="0"/>
        <w:spacing w:line="360" w:lineRule="auto"/>
        <w:ind w:firstLine="4800" w:firstLineChars="2000"/>
        <w:jc w:val="left"/>
        <w:rPr>
          <w:rFonts w:hint="eastAsia" w:ascii="宋体" w:hAnsi="宋体" w:eastAsia="宋体" w:cs="宋体"/>
          <w:color w:val="auto"/>
          <w:sz w:val="24"/>
          <w:szCs w:val="24"/>
          <w:highlight w:val="none"/>
        </w:rPr>
      </w:pPr>
    </w:p>
    <w:p w14:paraId="2ADFD6B3">
      <w:pPr>
        <w:pStyle w:val="17"/>
        <w:shd w:val="clear" w:color="auto" w:fill="auto"/>
        <w:ind w:left="0" w:leftChars="0" w:firstLine="4560" w:firstLineChars="19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名称（加盖单位公章）：</w:t>
      </w:r>
      <w:r>
        <w:rPr>
          <w:rFonts w:hint="eastAsia" w:ascii="宋体" w:hAnsi="宋体" w:eastAsia="宋体" w:cs="宋体"/>
          <w:color w:val="auto"/>
          <w:sz w:val="24"/>
          <w:szCs w:val="24"/>
          <w:highlight w:val="none"/>
          <w:u w:val="single"/>
        </w:rPr>
        <w:t xml:space="preserve">   </w:t>
      </w:r>
    </w:p>
    <w:p w14:paraId="15A96099">
      <w:pPr>
        <w:keepNext/>
        <w:keepLines/>
        <w:shd w:val="clear" w:color="auto" w:fill="auto"/>
        <w:overflowPunct w:val="0"/>
        <w:topLinePunct/>
        <w:autoSpaceDN w:val="0"/>
        <w:adjustRightInd w:val="0"/>
        <w:snapToGrid w:val="0"/>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eastAsia="zh-CN"/>
        </w:rPr>
        <w:t>日期：</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p>
    <w:p w14:paraId="0168E148">
      <w:pPr>
        <w:keepNext/>
        <w:keepLines/>
        <w:shd w:val="clear" w:color="auto" w:fill="auto"/>
        <w:overflowPunct w:val="0"/>
        <w:topLinePunct/>
        <w:autoSpaceDN w:val="0"/>
        <w:adjustRightInd w:val="0"/>
        <w:snapToGrid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u w:val="single"/>
        </w:rPr>
        <w:br w:type="page"/>
      </w:r>
      <w:r>
        <w:rPr>
          <w:rFonts w:hint="eastAsia" w:ascii="宋体" w:hAnsi="宋体" w:eastAsia="宋体" w:cs="宋体"/>
          <w:b/>
          <w:bCs/>
          <w:i w:val="0"/>
          <w:iCs w:val="0"/>
          <w:color w:val="auto"/>
          <w:sz w:val="24"/>
          <w:szCs w:val="24"/>
          <w:highlight w:val="none"/>
          <w:u w:val="none"/>
          <w:lang w:eastAsia="zh-CN"/>
        </w:rPr>
        <w:t>（</w:t>
      </w:r>
      <w:r>
        <w:rPr>
          <w:rFonts w:hint="eastAsia" w:ascii="宋体" w:hAnsi="宋体" w:cs="宋体"/>
          <w:b/>
          <w:bCs/>
          <w:i w:val="0"/>
          <w:iCs w:val="0"/>
          <w:color w:val="auto"/>
          <w:sz w:val="24"/>
          <w:szCs w:val="24"/>
          <w:highlight w:val="none"/>
          <w:u w:val="none"/>
          <w:lang w:val="en-US" w:eastAsia="zh-CN"/>
        </w:rPr>
        <w:t>四</w:t>
      </w:r>
      <w:r>
        <w:rPr>
          <w:rFonts w:hint="eastAsia" w:ascii="宋体" w:hAnsi="宋体" w:eastAsia="宋体" w:cs="宋体"/>
          <w:b/>
          <w:bCs/>
          <w:i w:val="0"/>
          <w:iCs w:val="0"/>
          <w:color w:val="auto"/>
          <w:sz w:val="24"/>
          <w:szCs w:val="24"/>
          <w:highlight w:val="none"/>
          <w:u w:val="none"/>
          <w:lang w:eastAsia="zh-CN"/>
        </w:rPr>
        <w:t>）投标人</w:t>
      </w:r>
      <w:r>
        <w:rPr>
          <w:rFonts w:hint="eastAsia" w:ascii="宋体" w:hAnsi="宋体" w:eastAsia="宋体" w:cs="宋体"/>
          <w:b/>
          <w:bCs/>
          <w:i w:val="0"/>
          <w:iCs w:val="0"/>
          <w:color w:val="auto"/>
          <w:sz w:val="24"/>
          <w:szCs w:val="24"/>
          <w:highlight w:val="none"/>
          <w:u w:val="none"/>
        </w:rPr>
        <w:t>提供创新产品或创新服务属于《山西省创新产品和服务推荐清单》中创新产品或创新服务（如适用）（需提供证明材料）。</w:t>
      </w:r>
    </w:p>
    <w:p w14:paraId="50EACFD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784D1F2">
      <w:pPr>
        <w:pStyle w:val="23"/>
        <w:rPr>
          <w:rFonts w:hint="eastAsia" w:ascii="宋体" w:hAnsi="宋体" w:eastAsia="宋体" w:cs="宋体"/>
          <w:b/>
          <w:color w:val="auto"/>
          <w:sz w:val="24"/>
          <w:szCs w:val="24"/>
          <w:highlight w:val="none"/>
        </w:rPr>
      </w:pPr>
      <w:r>
        <w:rPr>
          <w:rFonts w:hint="eastAsia" w:ascii="宋体" w:hAnsi="宋体" w:eastAsia="宋体" w:cs="宋体"/>
          <w:b/>
          <w:bCs/>
          <w:i w:val="0"/>
          <w:iCs w:val="0"/>
          <w:color w:val="auto"/>
          <w:sz w:val="24"/>
          <w:szCs w:val="24"/>
          <w:highlight w:val="none"/>
          <w:u w:val="none"/>
          <w:lang w:eastAsia="zh-CN"/>
        </w:rPr>
        <w:t>（</w:t>
      </w:r>
      <w:r>
        <w:rPr>
          <w:rFonts w:hint="eastAsia" w:ascii="宋体" w:hAnsi="宋体" w:cs="宋体"/>
          <w:b/>
          <w:bCs/>
          <w:i w:val="0"/>
          <w:iCs w:val="0"/>
          <w:color w:val="auto"/>
          <w:sz w:val="24"/>
          <w:szCs w:val="24"/>
          <w:highlight w:val="none"/>
          <w:u w:val="none"/>
          <w:lang w:val="en-US" w:eastAsia="zh-CN"/>
        </w:rPr>
        <w:t>五</w:t>
      </w:r>
      <w:r>
        <w:rPr>
          <w:rFonts w:hint="eastAsia" w:ascii="宋体" w:hAnsi="宋体" w:eastAsia="宋体" w:cs="宋体"/>
          <w:b/>
          <w:bCs/>
          <w:i w:val="0"/>
          <w:iCs w:val="0"/>
          <w:color w:val="auto"/>
          <w:sz w:val="24"/>
          <w:szCs w:val="24"/>
          <w:highlight w:val="none"/>
          <w:u w:val="none"/>
          <w:lang w:eastAsia="zh-CN"/>
        </w:rPr>
        <w:t>）</w:t>
      </w:r>
      <w:r>
        <w:rPr>
          <w:rFonts w:hint="eastAsia" w:ascii="宋体" w:hAnsi="宋体" w:eastAsia="宋体" w:cs="宋体"/>
          <w:b/>
          <w:color w:val="auto"/>
          <w:sz w:val="24"/>
          <w:szCs w:val="24"/>
          <w:highlight w:val="none"/>
        </w:rPr>
        <w:t>中小企业声明函格式（如不涉及，此函可不提供）</w:t>
      </w:r>
    </w:p>
    <w:p w14:paraId="075B83CF">
      <w:pPr>
        <w:tabs>
          <w:tab w:val="left" w:pos="1680"/>
        </w:tabs>
        <w:snapToGrid w:val="0"/>
        <w:spacing w:line="360" w:lineRule="auto"/>
        <w:jc w:val="center"/>
        <w:rPr>
          <w:rFonts w:hint="eastAsia" w:ascii="宋体" w:hAnsi="宋体" w:eastAsia="宋体" w:cs="宋体"/>
          <w:b/>
          <w:color w:val="auto"/>
          <w:sz w:val="24"/>
          <w:szCs w:val="24"/>
          <w:highlight w:val="none"/>
        </w:rPr>
      </w:pPr>
    </w:p>
    <w:p w14:paraId="7DF0904D">
      <w:pPr>
        <w:widowControl/>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中小企业声明函（工程、服务）</w:t>
      </w:r>
      <w:r>
        <w:rPr>
          <w:rFonts w:hint="eastAsia" w:ascii="宋体" w:hAnsi="宋体" w:cs="宋体"/>
          <w:b/>
          <w:color w:val="auto"/>
          <w:spacing w:val="6"/>
          <w:sz w:val="24"/>
          <w:szCs w:val="24"/>
          <w:highlight w:val="none"/>
        </w:rPr>
        <w:t>（如涉及提供）</w:t>
      </w:r>
    </w:p>
    <w:p w14:paraId="2B54CF06">
      <w:pPr>
        <w:spacing w:line="480" w:lineRule="auto"/>
        <w:ind w:firstLine="448" w:firstLineChars="200"/>
        <w:rPr>
          <w:rFonts w:hint="eastAsia" w:ascii="宋体" w:hAnsi="宋体" w:cs="宋体"/>
          <w:color w:val="auto"/>
          <w:spacing w:val="-8"/>
          <w:sz w:val="24"/>
          <w:szCs w:val="24"/>
          <w:highlight w:val="none"/>
          <w:shd w:val="clear" w:color="auto" w:fill="FFFFFF"/>
        </w:rPr>
      </w:pPr>
      <w:r>
        <w:rPr>
          <w:rFonts w:hint="eastAsia" w:ascii="宋体" w:hAnsi="宋体" w:cs="宋体"/>
          <w:color w:val="auto"/>
          <w:spacing w:val="-8"/>
          <w:sz w:val="24"/>
          <w:szCs w:val="24"/>
          <w:highlight w:val="none"/>
          <w:shd w:val="clear" w:color="auto" w:fill="FFFFFF"/>
        </w:rPr>
        <w:t>本公司（联合体）郑重声明，根据《政府采购促进中小企业发展管理办法》（财库﹝2020﹞46 号）的规定，本公司（联合体）参加</w:t>
      </w:r>
      <w:r>
        <w:rPr>
          <w:rFonts w:hint="eastAsia" w:ascii="宋体" w:hAnsi="宋体" w:cs="宋体"/>
          <w:color w:val="auto"/>
          <w:spacing w:val="-8"/>
          <w:sz w:val="24"/>
          <w:szCs w:val="24"/>
          <w:highlight w:val="none"/>
          <w:u w:val="single"/>
          <w:shd w:val="clear" w:color="auto" w:fill="FFFFFF"/>
        </w:rPr>
        <w:t>（单位名称）</w:t>
      </w:r>
      <w:r>
        <w:rPr>
          <w:rFonts w:hint="eastAsia" w:ascii="宋体" w:hAnsi="宋体" w:cs="宋体"/>
          <w:color w:val="auto"/>
          <w:spacing w:val="-8"/>
          <w:sz w:val="24"/>
          <w:szCs w:val="24"/>
          <w:highlight w:val="none"/>
          <w:shd w:val="clear" w:color="auto" w:fill="FFFFFF"/>
        </w:rPr>
        <w:t>的</w:t>
      </w:r>
      <w:r>
        <w:rPr>
          <w:rFonts w:hint="eastAsia" w:ascii="宋体" w:hAnsi="宋体" w:cs="宋体"/>
          <w:color w:val="auto"/>
          <w:spacing w:val="-8"/>
          <w:sz w:val="24"/>
          <w:szCs w:val="24"/>
          <w:highlight w:val="none"/>
          <w:u w:val="single"/>
          <w:shd w:val="clear" w:color="auto" w:fill="FFFFFF"/>
        </w:rPr>
        <w:t>（项目名称）</w:t>
      </w:r>
      <w:r>
        <w:rPr>
          <w:rFonts w:hint="eastAsia" w:ascii="宋体" w:hAnsi="宋体" w:cs="宋体"/>
          <w:color w:val="auto"/>
          <w:spacing w:val="-8"/>
          <w:sz w:val="24"/>
          <w:szCs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6C0C6424">
      <w:pPr>
        <w:spacing w:line="480" w:lineRule="auto"/>
        <w:ind w:firstLine="448" w:firstLineChars="200"/>
        <w:rPr>
          <w:rFonts w:hint="eastAsia" w:ascii="宋体" w:hAnsi="宋体" w:cs="宋体"/>
          <w:color w:val="auto"/>
          <w:spacing w:val="-8"/>
          <w:sz w:val="24"/>
          <w:szCs w:val="24"/>
          <w:highlight w:val="none"/>
          <w:shd w:val="clear" w:color="auto" w:fill="FFFFFF"/>
        </w:rPr>
      </w:pPr>
      <w:r>
        <w:rPr>
          <w:rFonts w:hint="eastAsia" w:ascii="宋体" w:hAnsi="宋体" w:cs="宋体"/>
          <w:color w:val="auto"/>
          <w:spacing w:val="-8"/>
          <w:sz w:val="24"/>
          <w:szCs w:val="24"/>
          <w:highlight w:val="none"/>
          <w:shd w:val="clear" w:color="auto" w:fill="FFFFFF"/>
        </w:rPr>
        <w:t xml:space="preserve">1. </w:t>
      </w:r>
      <w:r>
        <w:rPr>
          <w:rFonts w:hint="eastAsia" w:ascii="宋体" w:hAnsi="宋体" w:cs="宋体"/>
          <w:color w:val="auto"/>
          <w:spacing w:val="-8"/>
          <w:sz w:val="24"/>
          <w:szCs w:val="24"/>
          <w:highlight w:val="none"/>
          <w:u w:val="single"/>
          <w:shd w:val="clear" w:color="auto" w:fill="FFFFFF"/>
        </w:rPr>
        <w:t>（标的名称）</w:t>
      </w:r>
      <w:r>
        <w:rPr>
          <w:rFonts w:hint="eastAsia" w:ascii="宋体" w:hAnsi="宋体" w:cs="宋体"/>
          <w:color w:val="auto"/>
          <w:spacing w:val="-8"/>
          <w:sz w:val="24"/>
          <w:szCs w:val="24"/>
          <w:highlight w:val="none"/>
          <w:shd w:val="clear" w:color="auto" w:fill="FFFFFF"/>
        </w:rPr>
        <w:t xml:space="preserve"> ，属 于</w:t>
      </w:r>
      <w:r>
        <w:rPr>
          <w:rFonts w:hint="eastAsia" w:ascii="宋体" w:hAnsi="宋体" w:cs="宋体"/>
          <w:color w:val="auto"/>
          <w:spacing w:val="-8"/>
          <w:sz w:val="24"/>
          <w:szCs w:val="24"/>
          <w:highlight w:val="none"/>
          <w:u w:val="single"/>
          <w:shd w:val="clear" w:color="auto" w:fill="FFFFFF"/>
        </w:rPr>
        <w:t>（采购文件中明确的所属行业）</w:t>
      </w:r>
      <w:r>
        <w:rPr>
          <w:rFonts w:hint="eastAsia" w:ascii="宋体" w:hAnsi="宋体" w:cs="宋体"/>
          <w:color w:val="auto"/>
          <w:spacing w:val="-8"/>
          <w:sz w:val="24"/>
          <w:szCs w:val="24"/>
          <w:highlight w:val="none"/>
          <w:shd w:val="clear" w:color="auto" w:fill="FFFFFF"/>
        </w:rPr>
        <w:t>；承建（承接）企业为</w:t>
      </w:r>
      <w:r>
        <w:rPr>
          <w:rFonts w:hint="eastAsia" w:ascii="宋体" w:hAnsi="宋体" w:cs="宋体"/>
          <w:color w:val="auto"/>
          <w:spacing w:val="-8"/>
          <w:sz w:val="24"/>
          <w:szCs w:val="24"/>
          <w:highlight w:val="none"/>
          <w:u w:val="single"/>
          <w:shd w:val="clear" w:color="auto" w:fill="FFFFFF"/>
        </w:rPr>
        <w:t>（企业名称）</w:t>
      </w:r>
      <w:r>
        <w:rPr>
          <w:rFonts w:hint="eastAsia" w:ascii="宋体" w:hAnsi="宋体" w:cs="宋体"/>
          <w:color w:val="auto"/>
          <w:spacing w:val="-8"/>
          <w:sz w:val="24"/>
          <w:szCs w:val="24"/>
          <w:highlight w:val="none"/>
          <w:shd w:val="clear" w:color="auto" w:fill="FFFFFF"/>
        </w:rPr>
        <w:t>，从业人员</w:t>
      </w:r>
      <w:r>
        <w:rPr>
          <w:rFonts w:hint="eastAsia" w:ascii="宋体" w:hAnsi="宋体" w:cs="宋体"/>
          <w:color w:val="auto"/>
          <w:spacing w:val="-8"/>
          <w:sz w:val="24"/>
          <w:szCs w:val="24"/>
          <w:highlight w:val="none"/>
          <w:u w:val="single"/>
          <w:shd w:val="clear" w:color="auto" w:fill="FFFFFF"/>
        </w:rPr>
        <w:t xml:space="preserve">       </w:t>
      </w:r>
      <w:r>
        <w:rPr>
          <w:rFonts w:hint="eastAsia" w:ascii="宋体" w:hAnsi="宋体" w:cs="宋体"/>
          <w:color w:val="auto"/>
          <w:spacing w:val="-8"/>
          <w:sz w:val="24"/>
          <w:szCs w:val="24"/>
          <w:highlight w:val="none"/>
          <w:shd w:val="clear" w:color="auto" w:fill="FFFFFF"/>
        </w:rPr>
        <w:t>人，营业收入为</w:t>
      </w:r>
      <w:r>
        <w:rPr>
          <w:rFonts w:hint="eastAsia" w:ascii="宋体" w:hAnsi="宋体" w:cs="宋体"/>
          <w:color w:val="auto"/>
          <w:spacing w:val="-8"/>
          <w:sz w:val="24"/>
          <w:szCs w:val="24"/>
          <w:highlight w:val="none"/>
          <w:u w:val="single"/>
          <w:shd w:val="clear" w:color="auto" w:fill="FFFFFF"/>
        </w:rPr>
        <w:t xml:space="preserve">      </w:t>
      </w:r>
      <w:r>
        <w:rPr>
          <w:rFonts w:hint="eastAsia" w:ascii="宋体" w:hAnsi="宋体" w:cs="宋体"/>
          <w:color w:val="auto"/>
          <w:spacing w:val="-8"/>
          <w:sz w:val="24"/>
          <w:szCs w:val="24"/>
          <w:highlight w:val="none"/>
          <w:shd w:val="clear" w:color="auto" w:fill="FFFFFF"/>
        </w:rPr>
        <w:t>万元，资产总额为</w:t>
      </w:r>
      <w:r>
        <w:rPr>
          <w:rFonts w:hint="eastAsia" w:ascii="宋体" w:hAnsi="宋体" w:cs="宋体"/>
          <w:color w:val="auto"/>
          <w:spacing w:val="-8"/>
          <w:sz w:val="24"/>
          <w:szCs w:val="24"/>
          <w:highlight w:val="none"/>
          <w:u w:val="single"/>
          <w:shd w:val="clear" w:color="auto" w:fill="FFFFFF"/>
        </w:rPr>
        <w:t xml:space="preserve">        </w:t>
      </w:r>
      <w:r>
        <w:rPr>
          <w:rFonts w:hint="eastAsia" w:ascii="宋体" w:hAnsi="宋体" w:cs="宋体"/>
          <w:color w:val="auto"/>
          <w:spacing w:val="-8"/>
          <w:sz w:val="24"/>
          <w:szCs w:val="24"/>
          <w:highlight w:val="none"/>
          <w:shd w:val="clear" w:color="auto" w:fill="FFFFFF"/>
        </w:rPr>
        <w:t>万元 ，属于（</w:t>
      </w:r>
      <w:r>
        <w:rPr>
          <w:rFonts w:hint="eastAsia" w:ascii="宋体" w:hAnsi="宋体" w:cs="宋体"/>
          <w:color w:val="auto"/>
          <w:spacing w:val="-8"/>
          <w:sz w:val="24"/>
          <w:szCs w:val="24"/>
          <w:highlight w:val="none"/>
          <w:u w:val="single"/>
          <w:shd w:val="clear" w:color="auto" w:fill="FFFFFF"/>
        </w:rPr>
        <w:t>中型企业、小型企业、微型企业</w:t>
      </w:r>
      <w:r>
        <w:rPr>
          <w:rFonts w:hint="eastAsia" w:ascii="宋体" w:hAnsi="宋体" w:cs="宋体"/>
          <w:color w:val="auto"/>
          <w:spacing w:val="-8"/>
          <w:sz w:val="24"/>
          <w:szCs w:val="24"/>
          <w:highlight w:val="none"/>
          <w:shd w:val="clear" w:color="auto" w:fill="FFFFFF"/>
        </w:rPr>
        <w:t>）；</w:t>
      </w:r>
    </w:p>
    <w:p w14:paraId="438431F6">
      <w:pPr>
        <w:spacing w:line="480" w:lineRule="auto"/>
        <w:ind w:firstLine="448" w:firstLineChars="200"/>
        <w:rPr>
          <w:rFonts w:hint="eastAsia" w:ascii="宋体" w:hAnsi="宋体" w:cs="宋体"/>
          <w:color w:val="auto"/>
          <w:spacing w:val="-8"/>
          <w:sz w:val="24"/>
          <w:szCs w:val="24"/>
          <w:highlight w:val="none"/>
          <w:shd w:val="clear" w:color="auto" w:fill="FFFFFF"/>
        </w:rPr>
      </w:pPr>
      <w:r>
        <w:rPr>
          <w:rFonts w:hint="eastAsia" w:ascii="宋体" w:hAnsi="宋体" w:cs="宋体"/>
          <w:color w:val="auto"/>
          <w:spacing w:val="-8"/>
          <w:sz w:val="24"/>
          <w:szCs w:val="24"/>
          <w:highlight w:val="none"/>
          <w:shd w:val="clear" w:color="auto" w:fill="FFFFFF"/>
        </w:rPr>
        <w:t xml:space="preserve">2. </w:t>
      </w:r>
      <w:r>
        <w:rPr>
          <w:rFonts w:hint="eastAsia" w:ascii="宋体" w:hAnsi="宋体" w:cs="宋体"/>
          <w:color w:val="auto"/>
          <w:spacing w:val="-8"/>
          <w:sz w:val="24"/>
          <w:szCs w:val="24"/>
          <w:highlight w:val="none"/>
          <w:u w:val="single"/>
          <w:shd w:val="clear" w:color="auto" w:fill="FFFFFF"/>
        </w:rPr>
        <w:t>（标的名称）</w:t>
      </w:r>
      <w:r>
        <w:rPr>
          <w:rFonts w:hint="eastAsia" w:ascii="宋体" w:hAnsi="宋体" w:cs="宋体"/>
          <w:color w:val="auto"/>
          <w:spacing w:val="-8"/>
          <w:sz w:val="24"/>
          <w:szCs w:val="24"/>
          <w:highlight w:val="none"/>
          <w:shd w:val="clear" w:color="auto" w:fill="FFFFFF"/>
        </w:rPr>
        <w:t xml:space="preserve"> ，属于（</w:t>
      </w:r>
      <w:r>
        <w:rPr>
          <w:rFonts w:hint="eastAsia" w:ascii="宋体" w:hAnsi="宋体" w:cs="宋体"/>
          <w:color w:val="auto"/>
          <w:spacing w:val="-8"/>
          <w:sz w:val="24"/>
          <w:szCs w:val="24"/>
          <w:highlight w:val="none"/>
          <w:u w:val="single"/>
          <w:shd w:val="clear" w:color="auto" w:fill="FFFFFF"/>
        </w:rPr>
        <w:t>采购文件中明确的所属行业</w:t>
      </w:r>
      <w:r>
        <w:rPr>
          <w:rFonts w:hint="eastAsia" w:ascii="宋体" w:hAnsi="宋体" w:cs="宋体"/>
          <w:color w:val="auto"/>
          <w:spacing w:val="-8"/>
          <w:sz w:val="24"/>
          <w:szCs w:val="24"/>
          <w:highlight w:val="none"/>
          <w:shd w:val="clear" w:color="auto" w:fill="FFFFFF"/>
        </w:rPr>
        <w:t>）；承建（承接）企业为</w:t>
      </w:r>
      <w:r>
        <w:rPr>
          <w:rFonts w:hint="eastAsia" w:ascii="宋体" w:hAnsi="宋体" w:cs="宋体"/>
          <w:color w:val="auto"/>
          <w:spacing w:val="-8"/>
          <w:sz w:val="24"/>
          <w:szCs w:val="24"/>
          <w:highlight w:val="none"/>
          <w:u w:val="single"/>
          <w:shd w:val="clear" w:color="auto" w:fill="FFFFFF"/>
        </w:rPr>
        <w:t>（企业名称）</w:t>
      </w:r>
      <w:r>
        <w:rPr>
          <w:rFonts w:hint="eastAsia" w:ascii="宋体" w:hAnsi="宋体" w:cs="宋体"/>
          <w:color w:val="auto"/>
          <w:spacing w:val="-8"/>
          <w:sz w:val="24"/>
          <w:szCs w:val="24"/>
          <w:highlight w:val="none"/>
          <w:shd w:val="clear" w:color="auto" w:fill="FFFFFF"/>
        </w:rPr>
        <w:t>，从业人员</w:t>
      </w:r>
      <w:r>
        <w:rPr>
          <w:rFonts w:hint="eastAsia" w:ascii="宋体" w:hAnsi="宋体" w:cs="宋体"/>
          <w:color w:val="auto"/>
          <w:spacing w:val="-8"/>
          <w:sz w:val="24"/>
          <w:szCs w:val="24"/>
          <w:highlight w:val="none"/>
          <w:u w:val="single"/>
          <w:shd w:val="clear" w:color="auto" w:fill="FFFFFF"/>
        </w:rPr>
        <w:t xml:space="preserve">       </w:t>
      </w:r>
      <w:r>
        <w:rPr>
          <w:rFonts w:hint="eastAsia" w:ascii="宋体" w:hAnsi="宋体" w:cs="宋体"/>
          <w:color w:val="auto"/>
          <w:spacing w:val="-8"/>
          <w:sz w:val="24"/>
          <w:szCs w:val="24"/>
          <w:highlight w:val="none"/>
          <w:shd w:val="clear" w:color="auto" w:fill="FFFFFF"/>
        </w:rPr>
        <w:t>人，营业收入为</w:t>
      </w:r>
      <w:r>
        <w:rPr>
          <w:rFonts w:hint="eastAsia" w:ascii="宋体" w:hAnsi="宋体" w:cs="宋体"/>
          <w:color w:val="auto"/>
          <w:spacing w:val="-8"/>
          <w:sz w:val="24"/>
          <w:szCs w:val="24"/>
          <w:highlight w:val="none"/>
          <w:u w:val="single"/>
          <w:shd w:val="clear" w:color="auto" w:fill="FFFFFF"/>
        </w:rPr>
        <w:t xml:space="preserve">       </w:t>
      </w:r>
      <w:r>
        <w:rPr>
          <w:rFonts w:hint="eastAsia" w:ascii="宋体" w:hAnsi="宋体" w:cs="宋体"/>
          <w:color w:val="auto"/>
          <w:spacing w:val="-8"/>
          <w:sz w:val="24"/>
          <w:szCs w:val="24"/>
          <w:highlight w:val="none"/>
          <w:shd w:val="clear" w:color="auto" w:fill="FFFFFF"/>
        </w:rPr>
        <w:t>万元，资产总额为</w:t>
      </w:r>
      <w:r>
        <w:rPr>
          <w:rFonts w:hint="eastAsia" w:ascii="宋体" w:hAnsi="宋体" w:cs="宋体"/>
          <w:color w:val="auto"/>
          <w:spacing w:val="-8"/>
          <w:sz w:val="24"/>
          <w:szCs w:val="24"/>
          <w:highlight w:val="none"/>
          <w:u w:val="single"/>
          <w:shd w:val="clear" w:color="auto" w:fill="FFFFFF"/>
        </w:rPr>
        <w:t xml:space="preserve">      </w:t>
      </w:r>
      <w:r>
        <w:rPr>
          <w:rFonts w:hint="eastAsia" w:ascii="宋体" w:hAnsi="宋体" w:cs="宋体"/>
          <w:color w:val="auto"/>
          <w:spacing w:val="-8"/>
          <w:sz w:val="24"/>
          <w:szCs w:val="24"/>
          <w:highlight w:val="none"/>
          <w:shd w:val="clear" w:color="auto" w:fill="FFFFFF"/>
        </w:rPr>
        <w:t>万元，属于（</w:t>
      </w:r>
      <w:r>
        <w:rPr>
          <w:rFonts w:hint="eastAsia" w:ascii="宋体" w:hAnsi="宋体" w:cs="宋体"/>
          <w:color w:val="auto"/>
          <w:spacing w:val="-8"/>
          <w:sz w:val="24"/>
          <w:szCs w:val="24"/>
          <w:highlight w:val="none"/>
          <w:u w:val="single"/>
          <w:shd w:val="clear" w:color="auto" w:fill="FFFFFF"/>
        </w:rPr>
        <w:t>中型企业、小型企业、微型企业</w:t>
      </w:r>
      <w:r>
        <w:rPr>
          <w:rFonts w:hint="eastAsia" w:ascii="宋体" w:hAnsi="宋体" w:cs="宋体"/>
          <w:color w:val="auto"/>
          <w:spacing w:val="-8"/>
          <w:sz w:val="24"/>
          <w:szCs w:val="24"/>
          <w:highlight w:val="none"/>
          <w:shd w:val="clear" w:color="auto" w:fill="FFFFFF"/>
        </w:rPr>
        <w:t>）；</w:t>
      </w:r>
    </w:p>
    <w:p w14:paraId="0AD65731">
      <w:pPr>
        <w:spacing w:line="480" w:lineRule="auto"/>
        <w:ind w:firstLine="448" w:firstLineChars="200"/>
        <w:rPr>
          <w:rFonts w:hint="eastAsia" w:ascii="宋体" w:hAnsi="宋体" w:cs="宋体"/>
          <w:color w:val="auto"/>
          <w:spacing w:val="-8"/>
          <w:sz w:val="24"/>
          <w:szCs w:val="24"/>
          <w:highlight w:val="none"/>
          <w:shd w:val="clear" w:color="auto" w:fill="FFFFFF"/>
        </w:rPr>
      </w:pPr>
      <w:r>
        <w:rPr>
          <w:rFonts w:hint="eastAsia" w:ascii="宋体" w:hAnsi="宋体" w:cs="宋体"/>
          <w:color w:val="auto"/>
          <w:spacing w:val="-8"/>
          <w:sz w:val="24"/>
          <w:szCs w:val="24"/>
          <w:highlight w:val="none"/>
          <w:shd w:val="clear" w:color="auto" w:fill="FFFFFF"/>
        </w:rPr>
        <w:t>……</w:t>
      </w:r>
    </w:p>
    <w:p w14:paraId="5DBF5C88">
      <w:pPr>
        <w:spacing w:line="480" w:lineRule="auto"/>
        <w:ind w:firstLine="448" w:firstLineChars="200"/>
        <w:rPr>
          <w:rFonts w:hint="eastAsia" w:ascii="宋体" w:hAnsi="宋体" w:cs="宋体"/>
          <w:color w:val="auto"/>
          <w:spacing w:val="-8"/>
          <w:sz w:val="24"/>
          <w:szCs w:val="24"/>
          <w:highlight w:val="none"/>
          <w:shd w:val="clear" w:color="auto" w:fill="FFFFFF"/>
        </w:rPr>
      </w:pPr>
      <w:r>
        <w:rPr>
          <w:rFonts w:hint="eastAsia" w:ascii="宋体" w:hAnsi="宋体" w:cs="宋体"/>
          <w:color w:val="auto"/>
          <w:spacing w:val="-8"/>
          <w:sz w:val="24"/>
          <w:szCs w:val="24"/>
          <w:highlight w:val="none"/>
          <w:shd w:val="clear" w:color="auto" w:fill="FFFFFF"/>
        </w:rPr>
        <w:t>以上企业，不属于大企业的分支机构，不存在控股股东为大企业的情形，也不存在与大企业的负责人为同一人的情形。</w:t>
      </w:r>
    </w:p>
    <w:p w14:paraId="24A0DBB8">
      <w:pPr>
        <w:spacing w:line="480" w:lineRule="auto"/>
        <w:ind w:firstLine="448" w:firstLineChars="200"/>
        <w:rPr>
          <w:rFonts w:hint="eastAsia" w:ascii="宋体" w:hAnsi="宋体" w:cs="宋体"/>
          <w:color w:val="auto"/>
          <w:spacing w:val="-8"/>
          <w:sz w:val="24"/>
          <w:szCs w:val="24"/>
          <w:highlight w:val="none"/>
          <w:shd w:val="clear" w:color="auto" w:fill="FFFFFF"/>
        </w:rPr>
      </w:pPr>
      <w:r>
        <w:rPr>
          <w:rFonts w:hint="eastAsia" w:ascii="宋体" w:hAnsi="宋体" w:cs="宋体"/>
          <w:color w:val="auto"/>
          <w:spacing w:val="-8"/>
          <w:sz w:val="24"/>
          <w:szCs w:val="24"/>
          <w:highlight w:val="none"/>
          <w:shd w:val="clear" w:color="auto" w:fill="FFFFFF"/>
        </w:rPr>
        <w:t>本企业对上述声明内容的真实性负责。如有虚假，将依法承担相应责任。</w:t>
      </w:r>
    </w:p>
    <w:p w14:paraId="2DC30417">
      <w:pPr>
        <w:spacing w:line="360" w:lineRule="auto"/>
        <w:rPr>
          <w:rFonts w:hint="eastAsia" w:ascii="宋体" w:hAnsi="宋体" w:cs="宋体"/>
          <w:color w:val="auto"/>
          <w:spacing w:val="-8"/>
          <w:sz w:val="24"/>
          <w:szCs w:val="24"/>
          <w:highlight w:val="none"/>
          <w:shd w:val="clear" w:color="auto" w:fill="FFFFFF"/>
        </w:rPr>
      </w:pPr>
    </w:p>
    <w:p w14:paraId="667FA8B3">
      <w:pPr>
        <w:spacing w:line="360" w:lineRule="auto"/>
        <w:ind w:firstLine="5152" w:firstLineChars="2300"/>
        <w:rPr>
          <w:rFonts w:hint="eastAsia" w:ascii="宋体" w:hAnsi="宋体" w:cs="宋体"/>
          <w:color w:val="auto"/>
          <w:spacing w:val="-8"/>
          <w:sz w:val="24"/>
          <w:szCs w:val="24"/>
          <w:highlight w:val="none"/>
          <w:shd w:val="clear" w:color="auto" w:fill="FFFFFF"/>
        </w:rPr>
      </w:pPr>
      <w:r>
        <w:rPr>
          <w:rFonts w:hint="eastAsia" w:ascii="宋体" w:hAnsi="宋体" w:cs="宋体"/>
          <w:color w:val="auto"/>
          <w:spacing w:val="-8"/>
          <w:sz w:val="24"/>
          <w:szCs w:val="24"/>
          <w:highlight w:val="none"/>
          <w:shd w:val="clear" w:color="auto" w:fill="FFFFFF"/>
        </w:rPr>
        <w:t>企业名称（盖章）：</w:t>
      </w:r>
    </w:p>
    <w:p w14:paraId="4550D569">
      <w:pPr>
        <w:pStyle w:val="68"/>
        <w:snapToGrid w:val="0"/>
        <w:spacing w:line="520" w:lineRule="exact"/>
        <w:ind w:firstLine="5152" w:firstLineChars="2300"/>
        <w:jc w:val="both"/>
        <w:rPr>
          <w:rFonts w:hint="eastAsia" w:cs="宋体"/>
          <w:color w:val="auto"/>
          <w:sz w:val="24"/>
          <w:szCs w:val="24"/>
          <w:highlight w:val="none"/>
        </w:rPr>
      </w:pPr>
      <w:r>
        <w:rPr>
          <w:rFonts w:hint="eastAsia" w:cs="宋体"/>
          <w:color w:val="auto"/>
          <w:spacing w:val="-8"/>
          <w:sz w:val="24"/>
          <w:szCs w:val="24"/>
          <w:highlight w:val="none"/>
          <w:shd w:val="clear" w:color="auto" w:fill="FFFFFF"/>
        </w:rPr>
        <w:t>日 期：</w:t>
      </w:r>
    </w:p>
    <w:p w14:paraId="5F588CE3">
      <w:pPr>
        <w:spacing w:line="360" w:lineRule="auto"/>
        <w:jc w:val="center"/>
        <w:rPr>
          <w:rFonts w:hint="eastAsia" w:ascii="宋体" w:hAnsi="宋体" w:eastAsia="宋体" w:cs="宋体"/>
          <w:b/>
          <w:bCs/>
          <w:color w:val="auto"/>
          <w:kern w:val="0"/>
          <w:sz w:val="24"/>
          <w:szCs w:val="24"/>
          <w:highlight w:val="none"/>
        </w:rPr>
      </w:pPr>
    </w:p>
    <w:p w14:paraId="59EB49C3">
      <w:pPr>
        <w:spacing w:line="360" w:lineRule="auto"/>
        <w:jc w:val="center"/>
        <w:rPr>
          <w:rFonts w:hint="eastAsia" w:ascii="宋体" w:hAnsi="宋体" w:eastAsia="宋体" w:cs="宋体"/>
          <w:b/>
          <w:bCs/>
          <w:color w:val="auto"/>
          <w:kern w:val="0"/>
          <w:sz w:val="24"/>
          <w:szCs w:val="24"/>
          <w:highlight w:val="none"/>
        </w:rPr>
      </w:pPr>
    </w:p>
    <w:p w14:paraId="239FBA4D">
      <w:pPr>
        <w:pStyle w:val="68"/>
        <w:snapToGrid w:val="0"/>
        <w:spacing w:line="480" w:lineRule="exact"/>
        <w:ind w:firstLine="482" w:firstLineChars="200"/>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bCs/>
          <w:color w:val="auto"/>
          <w:sz w:val="24"/>
          <w:szCs w:val="24"/>
          <w:highlight w:val="none"/>
        </w:rPr>
        <w:t>从业人员、营业收入、资产总额填报上一年度数据，无上一年度数据的新成立企业可不填报。</w:t>
      </w:r>
    </w:p>
    <w:p w14:paraId="62539523">
      <w:pPr>
        <w:pStyle w:val="68"/>
        <w:snapToGrid w:val="0"/>
        <w:spacing w:line="480" w:lineRule="exact"/>
        <w:ind w:firstLine="6720" w:firstLineChars="2800"/>
        <w:rPr>
          <w:rFonts w:hint="eastAsia" w:ascii="宋体" w:hAnsi="宋体" w:eastAsia="宋体" w:cs="宋体"/>
          <w:color w:val="auto"/>
          <w:sz w:val="24"/>
          <w:szCs w:val="24"/>
          <w:highlight w:val="none"/>
        </w:rPr>
      </w:pPr>
    </w:p>
    <w:p w14:paraId="1BDAAF2D">
      <w:pPr>
        <w:pStyle w:val="23"/>
        <w:rPr>
          <w:rFonts w:hint="eastAsia" w:ascii="宋体" w:hAnsi="宋体" w:eastAsia="宋体" w:cs="宋体"/>
          <w:b/>
          <w:color w:val="auto"/>
          <w:sz w:val="24"/>
          <w:szCs w:val="24"/>
          <w:highlight w:val="none"/>
        </w:rPr>
      </w:pPr>
      <w:bookmarkStart w:id="95" w:name="OLE_LINK13"/>
      <w:bookmarkStart w:id="96" w:name="OLE_LINK14"/>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残疾人福利性单位声明函格式（如不涉及，此函可不提供）</w:t>
      </w:r>
    </w:p>
    <w:p w14:paraId="4C078634">
      <w:pPr>
        <w:tabs>
          <w:tab w:val="left" w:pos="1680"/>
        </w:tabs>
        <w:snapToGrid w:val="0"/>
        <w:spacing w:line="480" w:lineRule="exact"/>
        <w:rPr>
          <w:rFonts w:hint="eastAsia" w:ascii="宋体" w:hAnsi="宋体" w:eastAsia="宋体" w:cs="宋体"/>
          <w:b/>
          <w:color w:val="auto"/>
          <w:sz w:val="24"/>
          <w:szCs w:val="24"/>
          <w:highlight w:val="none"/>
        </w:rPr>
      </w:pPr>
    </w:p>
    <w:bookmarkEnd w:id="95"/>
    <w:bookmarkEnd w:id="96"/>
    <w:p w14:paraId="7A5CB874">
      <w:pPr>
        <w:tabs>
          <w:tab w:val="left" w:pos="1680"/>
        </w:tabs>
        <w:snapToGrid w:val="0"/>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残疾人福利性单位声明函</w:t>
      </w:r>
      <w:r>
        <w:rPr>
          <w:rFonts w:hint="eastAsia" w:ascii="宋体" w:hAnsi="宋体" w:eastAsia="宋体" w:cs="宋体"/>
          <w:b/>
          <w:bCs/>
          <w:color w:val="auto"/>
          <w:sz w:val="24"/>
          <w:szCs w:val="24"/>
          <w:highlight w:val="none"/>
        </w:rPr>
        <w:t>（格式）</w:t>
      </w:r>
    </w:p>
    <w:p w14:paraId="0170C0D5">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）采购活动提供本单位制造的货物（由本单位承担工程/提供服务），或者提供其他残疾人福利性单位制造的货物（不包括使用非残疾人福利性单位注册商标的货物）。</w:t>
      </w:r>
    </w:p>
    <w:p w14:paraId="0EDC23DC">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4E898093">
      <w:pPr>
        <w:spacing w:line="588" w:lineRule="exact"/>
        <w:ind w:firstLine="504" w:firstLineChars="200"/>
        <w:rPr>
          <w:rFonts w:hint="eastAsia" w:ascii="宋体" w:hAnsi="宋体" w:eastAsia="宋体" w:cs="宋体"/>
          <w:color w:val="auto"/>
          <w:spacing w:val="6"/>
          <w:sz w:val="24"/>
          <w:szCs w:val="24"/>
          <w:highlight w:val="none"/>
        </w:rPr>
      </w:pPr>
    </w:p>
    <w:p w14:paraId="5A425569">
      <w:pPr>
        <w:pStyle w:val="68"/>
        <w:snapToGrid w:val="0"/>
        <w:spacing w:line="480" w:lineRule="exact"/>
        <w:ind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snapToGrid w:val="0"/>
          <w:color w:val="auto"/>
          <w:sz w:val="24"/>
          <w:szCs w:val="24"/>
          <w:highlight w:val="none"/>
        </w:rPr>
        <w:t>投标人</w:t>
      </w:r>
      <w:r>
        <w:rPr>
          <w:rFonts w:hint="eastAsia" w:ascii="宋体" w:hAnsi="宋体" w:eastAsia="宋体" w:cs="宋体"/>
          <w:color w:val="auto"/>
          <w:spacing w:val="6"/>
          <w:sz w:val="24"/>
          <w:szCs w:val="24"/>
          <w:highlight w:val="none"/>
        </w:rPr>
        <w:t>（盖单位公章）：</w:t>
      </w:r>
    </w:p>
    <w:p w14:paraId="0FEB8EC7">
      <w:pPr>
        <w:pStyle w:val="68"/>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52AC813">
      <w:pPr>
        <w:pStyle w:val="68"/>
        <w:snapToGrid w:val="0"/>
        <w:spacing w:line="480" w:lineRule="exact"/>
        <w:ind w:firstLine="480" w:firstLineChars="200"/>
        <w:rPr>
          <w:rFonts w:hint="eastAsia" w:ascii="宋体" w:hAnsi="宋体" w:eastAsia="宋体" w:cs="宋体"/>
          <w:color w:val="auto"/>
          <w:sz w:val="24"/>
          <w:szCs w:val="24"/>
          <w:highlight w:val="none"/>
        </w:rPr>
      </w:pPr>
    </w:p>
    <w:p w14:paraId="098BA2CB">
      <w:pPr>
        <w:pStyle w:val="68"/>
        <w:snapToGrid w:val="0"/>
        <w:spacing w:line="480" w:lineRule="exact"/>
        <w:ind w:firstLine="480" w:firstLineChars="200"/>
        <w:rPr>
          <w:rFonts w:hint="eastAsia" w:ascii="宋体" w:hAnsi="宋体" w:eastAsia="宋体" w:cs="宋体"/>
          <w:color w:val="auto"/>
          <w:sz w:val="24"/>
          <w:szCs w:val="24"/>
          <w:highlight w:val="none"/>
        </w:rPr>
      </w:pPr>
    </w:p>
    <w:p w14:paraId="65117F00">
      <w:pPr>
        <w:spacing w:line="560" w:lineRule="exact"/>
        <w:ind w:right="640"/>
        <w:rPr>
          <w:rFonts w:hint="eastAsia" w:ascii="宋体" w:hAnsi="宋体" w:eastAsia="宋体" w:cs="宋体"/>
          <w:color w:val="auto"/>
          <w:spacing w:val="6"/>
          <w:sz w:val="24"/>
          <w:szCs w:val="24"/>
          <w:highlight w:val="none"/>
        </w:rPr>
      </w:pPr>
      <w:r>
        <w:rPr>
          <w:rFonts w:hint="eastAsia" w:ascii="宋体" w:hAnsi="宋体" w:eastAsia="宋体" w:cs="宋体"/>
          <w:b/>
          <w:color w:val="auto"/>
          <w:sz w:val="24"/>
          <w:szCs w:val="24"/>
          <w:highlight w:val="none"/>
        </w:rPr>
        <w:br w:type="page"/>
      </w:r>
      <w:bookmarkStart w:id="97" w:name="_Hlk76544236"/>
      <w:r>
        <w:rPr>
          <w:rFonts w:hint="eastAsia" w:ascii="宋体" w:hAnsi="宋体" w:eastAsia="宋体" w:cs="宋体"/>
          <w:b/>
          <w:color w:val="auto"/>
          <w:sz w:val="24"/>
          <w:szCs w:val="24"/>
          <w:highlight w:val="none"/>
        </w:rPr>
        <w:t>监狱企业证明文件格式</w:t>
      </w:r>
      <w:bookmarkEnd w:id="97"/>
      <w:r>
        <w:rPr>
          <w:rFonts w:hint="eastAsia" w:ascii="宋体" w:hAnsi="宋体" w:eastAsia="宋体" w:cs="宋体"/>
          <w:b/>
          <w:color w:val="auto"/>
          <w:kern w:val="0"/>
          <w:sz w:val="24"/>
          <w:szCs w:val="24"/>
          <w:highlight w:val="none"/>
        </w:rPr>
        <w:t>（如不涉及，此函可不提供）</w:t>
      </w:r>
    </w:p>
    <w:p w14:paraId="1B7BFF7E">
      <w:pPr>
        <w:spacing w:line="560" w:lineRule="exact"/>
        <w:ind w:right="640"/>
        <w:jc w:val="center"/>
        <w:rPr>
          <w:rFonts w:hint="eastAsia" w:ascii="宋体" w:hAnsi="宋体" w:eastAsia="宋体" w:cs="宋体"/>
          <w:color w:val="auto"/>
          <w:spacing w:val="6"/>
          <w:sz w:val="24"/>
          <w:szCs w:val="24"/>
          <w:highlight w:val="none"/>
        </w:rPr>
      </w:pPr>
    </w:p>
    <w:p w14:paraId="1E44B2E0">
      <w:pPr>
        <w:spacing w:line="560" w:lineRule="exact"/>
        <w:ind w:right="640"/>
        <w:jc w:val="center"/>
        <w:rPr>
          <w:rFonts w:hint="eastAsia"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t>监狱企业证明文件</w:t>
      </w:r>
      <w:r>
        <w:rPr>
          <w:rFonts w:hint="eastAsia" w:ascii="宋体" w:hAnsi="宋体" w:eastAsia="宋体" w:cs="宋体"/>
          <w:b/>
          <w:bCs/>
          <w:color w:val="auto"/>
          <w:sz w:val="24"/>
          <w:szCs w:val="24"/>
          <w:highlight w:val="none"/>
        </w:rPr>
        <w:t>（格式）</w:t>
      </w:r>
    </w:p>
    <w:p w14:paraId="39AC80B6">
      <w:pPr>
        <w:rPr>
          <w:rFonts w:hint="eastAsia" w:ascii="宋体" w:hAnsi="宋体" w:eastAsia="宋体" w:cs="宋体"/>
          <w:color w:val="auto"/>
          <w:sz w:val="24"/>
          <w:szCs w:val="24"/>
          <w:highlight w:val="none"/>
        </w:rPr>
      </w:pPr>
    </w:p>
    <w:p w14:paraId="7D097BB9">
      <w:pPr>
        <w:spacing w:line="6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司法部关于政府采购支持监狱企业发展有关问题的通知》（财库〔2014〕68号）的规定，本单位为符合条件的监狱企业，且本单位参加单位的项目采购活动提供本单位提供的服务，或者提供其他监狱企业的服务。</w:t>
      </w:r>
    </w:p>
    <w:p w14:paraId="727561DA">
      <w:pPr>
        <w:spacing w:line="6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附：监狱企业证明文件</w:t>
      </w:r>
    </w:p>
    <w:p w14:paraId="3EB6A0B1">
      <w:pPr>
        <w:spacing w:line="620" w:lineRule="exact"/>
        <w:ind w:firstLine="480" w:firstLineChars="200"/>
        <w:rPr>
          <w:rFonts w:hint="eastAsia" w:ascii="宋体" w:hAnsi="宋体" w:eastAsia="宋体" w:cs="宋体"/>
          <w:color w:val="auto"/>
          <w:sz w:val="24"/>
          <w:szCs w:val="24"/>
          <w:highlight w:val="none"/>
        </w:rPr>
      </w:pPr>
    </w:p>
    <w:p w14:paraId="79B47670">
      <w:pPr>
        <w:spacing w:line="6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5FAB1656">
      <w:pPr>
        <w:spacing w:line="588" w:lineRule="exact"/>
        <w:ind w:firstLine="480" w:firstLineChars="200"/>
        <w:rPr>
          <w:rFonts w:hint="eastAsia" w:ascii="宋体" w:hAnsi="宋体" w:eastAsia="宋体" w:cs="宋体"/>
          <w:color w:val="auto"/>
          <w:sz w:val="24"/>
          <w:szCs w:val="24"/>
          <w:highlight w:val="none"/>
        </w:rPr>
      </w:pPr>
    </w:p>
    <w:p w14:paraId="2447816B">
      <w:pPr>
        <w:spacing w:line="588" w:lineRule="exact"/>
        <w:ind w:firstLine="480" w:firstLineChars="200"/>
        <w:rPr>
          <w:rFonts w:hint="eastAsia" w:ascii="宋体" w:hAnsi="宋体" w:eastAsia="宋体" w:cs="宋体"/>
          <w:color w:val="auto"/>
          <w:sz w:val="24"/>
          <w:szCs w:val="24"/>
          <w:highlight w:val="none"/>
        </w:rPr>
      </w:pPr>
    </w:p>
    <w:p w14:paraId="3B458D89">
      <w:pPr>
        <w:tabs>
          <w:tab w:val="left" w:pos="4860"/>
        </w:tabs>
        <w:spacing w:line="588" w:lineRule="exact"/>
        <w:ind w:right="1560"/>
        <w:rPr>
          <w:rFonts w:hint="eastAsia" w:ascii="宋体" w:hAnsi="宋体" w:eastAsia="宋体" w:cs="宋体"/>
          <w:color w:val="auto"/>
          <w:sz w:val="24"/>
          <w:szCs w:val="24"/>
          <w:highlight w:val="none"/>
        </w:rPr>
      </w:pPr>
    </w:p>
    <w:p w14:paraId="347CE7D1">
      <w:pPr>
        <w:tabs>
          <w:tab w:val="left" w:pos="4860"/>
        </w:tabs>
        <w:spacing w:line="588" w:lineRule="exact"/>
        <w:ind w:right="1560" w:firstLine="480"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snapToGrid w:val="0"/>
          <w:color w:val="auto"/>
          <w:sz w:val="24"/>
          <w:szCs w:val="24"/>
          <w:highlight w:val="none"/>
        </w:rPr>
        <w:t xml:space="preserve">                                投标人</w:t>
      </w:r>
      <w:r>
        <w:rPr>
          <w:rFonts w:hint="eastAsia" w:ascii="宋体" w:hAnsi="宋体" w:eastAsia="宋体" w:cs="宋体"/>
          <w:color w:val="auto"/>
          <w:spacing w:val="6"/>
          <w:sz w:val="24"/>
          <w:szCs w:val="24"/>
          <w:highlight w:val="none"/>
        </w:rPr>
        <w:t>（盖单位公章）：</w:t>
      </w:r>
    </w:p>
    <w:p w14:paraId="58D6CD47">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p>
    <w:p w14:paraId="23998934">
      <w:pPr>
        <w:ind w:right="640" w:firstLine="5040" w:firstLineChars="20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14:paraId="0F61307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CB5ADB5">
      <w:pPr>
        <w:keepNext/>
        <w:spacing w:line="360" w:lineRule="auto"/>
        <w:jc w:val="center"/>
        <w:outlineLvl w:val="0"/>
        <w:rPr>
          <w:rFonts w:hint="eastAsia" w:ascii="宋体" w:hAnsi="宋体" w:cs="宋体"/>
          <w:b/>
          <w:bCs/>
          <w:color w:val="auto"/>
          <w:kern w:val="0"/>
          <w:sz w:val="36"/>
          <w:szCs w:val="36"/>
          <w:highlight w:val="none"/>
        </w:rPr>
      </w:pPr>
      <w:bookmarkStart w:id="98" w:name="_Toc4111"/>
      <w:r>
        <w:rPr>
          <w:rFonts w:hint="eastAsia" w:ascii="宋体" w:hAnsi="宋体" w:cs="宋体"/>
          <w:b/>
          <w:bCs/>
          <w:color w:val="auto"/>
          <w:kern w:val="0"/>
          <w:sz w:val="36"/>
          <w:szCs w:val="36"/>
          <w:highlight w:val="none"/>
        </w:rPr>
        <w:t>相关附件</w:t>
      </w:r>
      <w:bookmarkEnd w:id="98"/>
    </w:p>
    <w:p w14:paraId="3AD54FC1">
      <w:pPr>
        <w:keepNext/>
        <w:outlineLvl w:val="0"/>
        <w:rPr>
          <w:rFonts w:hint="eastAsia" w:ascii="宋体" w:hAnsi="宋体" w:eastAsia="宋体" w:cs="宋体"/>
          <w:b/>
          <w:color w:val="auto"/>
          <w:sz w:val="30"/>
          <w:szCs w:val="30"/>
          <w:highlight w:val="none"/>
        </w:rPr>
      </w:pPr>
      <w:bookmarkStart w:id="99" w:name="_Toc30607"/>
      <w:r>
        <w:rPr>
          <w:rFonts w:hint="eastAsia" w:ascii="宋体" w:hAnsi="宋体" w:eastAsia="宋体" w:cs="宋体"/>
          <w:b/>
          <w:color w:val="auto"/>
          <w:sz w:val="30"/>
          <w:szCs w:val="30"/>
          <w:highlight w:val="none"/>
          <w:lang w:val="en-US" w:eastAsia="zh-CN"/>
        </w:rPr>
        <w:t>附件1：</w:t>
      </w:r>
      <w:r>
        <w:rPr>
          <w:rFonts w:hint="eastAsia" w:ascii="宋体" w:hAnsi="宋体" w:eastAsia="宋体" w:cs="宋体"/>
          <w:b/>
          <w:color w:val="auto"/>
          <w:sz w:val="30"/>
          <w:szCs w:val="30"/>
          <w:highlight w:val="none"/>
        </w:rPr>
        <w:t>质疑函制作说明</w:t>
      </w:r>
      <w:bookmarkEnd w:id="99"/>
    </w:p>
    <w:p w14:paraId="7301C08C">
      <w:pPr>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供应商提出质疑时，按照《山西省财政厅关于政府采购项目全面实施在线质疑的通知》的规定、本文件的要求及政采云平台要求制作。</w:t>
      </w:r>
    </w:p>
    <w:p w14:paraId="4FB01186">
      <w:pPr>
        <w:keepNext/>
        <w:outlineLvl w:val="0"/>
        <w:rPr>
          <w:rFonts w:hint="eastAsia" w:ascii="宋体" w:hAnsi="宋体" w:cs="宋体"/>
          <w:b/>
          <w:color w:val="auto"/>
          <w:sz w:val="30"/>
          <w:szCs w:val="30"/>
          <w:highlight w:val="none"/>
        </w:rPr>
      </w:pPr>
      <w:r>
        <w:rPr>
          <w:rFonts w:ascii="宋体" w:hAnsi="宋体" w:cs="宋体"/>
          <w:b/>
          <w:bCs/>
          <w:color w:val="auto"/>
          <w:sz w:val="30"/>
          <w:szCs w:val="30"/>
          <w:highlight w:val="none"/>
        </w:rPr>
        <w:br w:type="page"/>
      </w:r>
      <w:bookmarkStart w:id="100" w:name="_Toc3718"/>
      <w:bookmarkStart w:id="101" w:name="_Toc20516"/>
      <w:bookmarkStart w:id="102" w:name="_Toc10112"/>
      <w:r>
        <w:rPr>
          <w:rFonts w:hint="eastAsia" w:ascii="宋体" w:hAnsi="宋体" w:cs="宋体"/>
          <w:b/>
          <w:bCs/>
          <w:color w:val="auto"/>
          <w:sz w:val="30"/>
          <w:szCs w:val="30"/>
          <w:highlight w:val="none"/>
        </w:rPr>
        <w:t>附件</w:t>
      </w:r>
      <w:r>
        <w:rPr>
          <w:rFonts w:hint="eastAsia" w:ascii="宋体" w:hAnsi="宋体" w:cs="宋体"/>
          <w:b/>
          <w:bCs/>
          <w:color w:val="auto"/>
          <w:sz w:val="30"/>
          <w:szCs w:val="30"/>
          <w:highlight w:val="none"/>
          <w:lang w:val="en-US" w:eastAsia="zh-CN"/>
        </w:rPr>
        <w:t>2</w:t>
      </w:r>
      <w:r>
        <w:rPr>
          <w:rFonts w:hint="eastAsia" w:ascii="宋体" w:hAnsi="宋体" w:cs="宋体"/>
          <w:b/>
          <w:bCs/>
          <w:color w:val="auto"/>
          <w:sz w:val="30"/>
          <w:szCs w:val="30"/>
          <w:highlight w:val="none"/>
        </w:rPr>
        <w:t>：</w:t>
      </w:r>
      <w:r>
        <w:rPr>
          <w:rFonts w:hint="eastAsia" w:ascii="宋体" w:hAnsi="宋体" w:cs="宋体"/>
          <w:b/>
          <w:color w:val="auto"/>
          <w:sz w:val="30"/>
          <w:szCs w:val="30"/>
          <w:highlight w:val="none"/>
        </w:rPr>
        <w:t>投诉书范本</w:t>
      </w:r>
      <w:bookmarkEnd w:id="100"/>
      <w:bookmarkEnd w:id="101"/>
      <w:bookmarkEnd w:id="102"/>
    </w:p>
    <w:p w14:paraId="70F9B52C">
      <w:pPr>
        <w:keepNext/>
        <w:rPr>
          <w:rFonts w:hint="eastAsia" w:ascii="宋体" w:hAnsi="宋体" w:cs="宋体"/>
          <w:color w:val="auto"/>
          <w:sz w:val="24"/>
          <w:highlight w:val="none"/>
        </w:rPr>
      </w:pPr>
    </w:p>
    <w:p w14:paraId="0A2A2E64">
      <w:pPr>
        <w:keepNext/>
        <w:spacing w:line="360" w:lineRule="auto"/>
        <w:rPr>
          <w:rFonts w:hint="eastAsia" w:ascii="宋体" w:hAnsi="宋体" w:cs="宋体"/>
          <w:color w:val="auto"/>
          <w:sz w:val="24"/>
          <w:highlight w:val="none"/>
        </w:rPr>
      </w:pPr>
      <w:r>
        <w:rPr>
          <w:rFonts w:hint="eastAsia" w:ascii="宋体" w:hAnsi="宋体" w:cs="宋体"/>
          <w:color w:val="auto"/>
          <w:sz w:val="24"/>
          <w:highlight w:val="none"/>
        </w:rPr>
        <w:t>一、投诉相关主体基本情况</w:t>
      </w:r>
    </w:p>
    <w:p w14:paraId="2CD66D29">
      <w:pPr>
        <w:keepNext/>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75CC7BB2">
      <w:pPr>
        <w:keepNex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CC89B21">
      <w:pPr>
        <w:keepNext/>
        <w:tabs>
          <w:tab w:val="left" w:pos="651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CF4DE29">
      <w:pPr>
        <w:keepNext/>
        <w:tabs>
          <w:tab w:val="left" w:pos="6510"/>
        </w:tabs>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BD46DC8">
      <w:pPr>
        <w:keepNext/>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0D611AB">
      <w:pPr>
        <w:keepNext/>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EC8C139">
      <w:pPr>
        <w:keepNex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p>
    <w:p w14:paraId="7873908C">
      <w:pPr>
        <w:keepNex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94F9F86">
      <w:pPr>
        <w:keepNex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F9DAECF">
      <w:pPr>
        <w:keepNext/>
        <w:spacing w:line="360" w:lineRule="auto"/>
        <w:rPr>
          <w:rFonts w:hint="eastAsia" w:ascii="宋体" w:hAnsi="宋体" w:cs="宋体"/>
          <w:color w:val="auto"/>
          <w:sz w:val="24"/>
          <w:highlight w:val="none"/>
        </w:rPr>
      </w:pPr>
      <w:r>
        <w:rPr>
          <w:rFonts w:hint="eastAsia" w:ascii="宋体" w:hAnsi="宋体" w:cs="宋体"/>
          <w:color w:val="auto"/>
          <w:sz w:val="24"/>
          <w:highlight w:val="none"/>
        </w:rPr>
        <w:t>被投诉人2</w:t>
      </w:r>
    </w:p>
    <w:p w14:paraId="3688EAAF">
      <w:pPr>
        <w:keepNext/>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36AD0A56">
      <w:pPr>
        <w:keepNex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p>
    <w:p w14:paraId="25A0380E">
      <w:pPr>
        <w:keepNex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E984490">
      <w:pPr>
        <w:keepNex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7489B50">
      <w:pPr>
        <w:keepNext/>
        <w:spacing w:line="360" w:lineRule="auto"/>
        <w:rPr>
          <w:rFonts w:hint="eastAsia" w:ascii="宋体" w:hAnsi="宋体" w:cs="宋体"/>
          <w:color w:val="auto"/>
          <w:sz w:val="24"/>
          <w:highlight w:val="none"/>
        </w:rPr>
      </w:pPr>
      <w:r>
        <w:rPr>
          <w:rFonts w:hint="eastAsia" w:ascii="宋体" w:hAnsi="宋体" w:cs="宋体"/>
          <w:color w:val="auto"/>
          <w:sz w:val="24"/>
          <w:highlight w:val="none"/>
        </w:rPr>
        <w:t>二、投诉项目基本情况</w:t>
      </w:r>
    </w:p>
    <w:p w14:paraId="0337E9A5">
      <w:pPr>
        <w:keepNext/>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7B96D1B9">
      <w:pPr>
        <w:keepNex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9E2A27D">
      <w:pPr>
        <w:keepNext/>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A22659D">
      <w:pPr>
        <w:keepNex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采购代理机构名称：</w:t>
      </w:r>
      <w:r>
        <w:rPr>
          <w:rFonts w:hint="eastAsia" w:ascii="宋体" w:hAnsi="宋体" w:cs="宋体"/>
          <w:color w:val="auto"/>
          <w:sz w:val="24"/>
          <w:highlight w:val="none"/>
          <w:u w:val="dotted"/>
        </w:rPr>
        <w:t xml:space="preserve">                                         </w:t>
      </w:r>
    </w:p>
    <w:p w14:paraId="7DC5651B">
      <w:pPr>
        <w:keepNext/>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01560A5">
      <w:pPr>
        <w:keepNex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CE3D16A">
      <w:pPr>
        <w:keepNext/>
        <w:spacing w:line="360" w:lineRule="auto"/>
        <w:rPr>
          <w:rFonts w:hint="eastAsia" w:ascii="宋体" w:hAnsi="宋体" w:cs="宋体"/>
          <w:color w:val="auto"/>
          <w:sz w:val="24"/>
          <w:highlight w:val="none"/>
        </w:rPr>
      </w:pPr>
      <w:r>
        <w:rPr>
          <w:rFonts w:hint="eastAsia" w:ascii="宋体" w:hAnsi="宋体" w:cs="宋体"/>
          <w:color w:val="auto"/>
          <w:sz w:val="24"/>
          <w:highlight w:val="none"/>
        </w:rPr>
        <w:t>三、质疑基本情况</w:t>
      </w:r>
    </w:p>
    <w:p w14:paraId="7CA971BE">
      <w:pPr>
        <w:keepNext/>
        <w:spacing w:line="360" w:lineRule="auto"/>
        <w:ind w:firstLine="480" w:firstLineChars="200"/>
        <w:rPr>
          <w:rFonts w:hint="eastAsia"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4C4D2D5E">
      <w:pPr>
        <w:keepNext/>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901E178">
      <w:pPr>
        <w:keepNext/>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u w:val="dotted"/>
        </w:rPr>
        <w:t>采购人/采购代理机构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4829E474">
      <w:pPr>
        <w:keepNext/>
        <w:spacing w:line="360" w:lineRule="auto"/>
        <w:rPr>
          <w:rFonts w:hint="eastAsia" w:ascii="宋体" w:hAnsi="宋体" w:cs="宋体"/>
          <w:color w:val="auto"/>
          <w:sz w:val="24"/>
          <w:highlight w:val="none"/>
        </w:rPr>
      </w:pPr>
      <w:r>
        <w:rPr>
          <w:rFonts w:hint="eastAsia" w:ascii="宋体" w:hAnsi="宋体" w:cs="宋体"/>
          <w:color w:val="auto"/>
          <w:sz w:val="24"/>
          <w:highlight w:val="none"/>
        </w:rPr>
        <w:t>四、投诉事项具体内容</w:t>
      </w:r>
    </w:p>
    <w:p w14:paraId="0D8F14DD">
      <w:pPr>
        <w:keepNex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2DBFF5D7">
      <w:pPr>
        <w:keepNext/>
        <w:spacing w:line="360" w:lineRule="auto"/>
        <w:rPr>
          <w:rFonts w:hint="eastAsia"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585A512">
      <w:pPr>
        <w:keepNext/>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EA8ED87">
      <w:pPr>
        <w:keepNex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24C8577">
      <w:pPr>
        <w:keepNext/>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A67AEFC">
      <w:pPr>
        <w:keepNext/>
        <w:spacing w:line="360" w:lineRule="auto"/>
        <w:rPr>
          <w:rFonts w:hint="eastAsia" w:ascii="宋体" w:hAnsi="宋体" w:cs="宋体"/>
          <w:color w:val="auto"/>
          <w:sz w:val="24"/>
          <w:highlight w:val="none"/>
        </w:rPr>
      </w:pPr>
      <w:r>
        <w:rPr>
          <w:rFonts w:hint="eastAsia" w:ascii="宋体" w:hAnsi="宋体" w:cs="宋体"/>
          <w:color w:val="auto"/>
          <w:sz w:val="24"/>
          <w:highlight w:val="none"/>
        </w:rPr>
        <w:t>投诉事项2</w:t>
      </w:r>
    </w:p>
    <w:p w14:paraId="43DA0FB1">
      <w:pPr>
        <w:keepNext/>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2919CE6B">
      <w:pPr>
        <w:keepNext/>
        <w:spacing w:line="360" w:lineRule="auto"/>
        <w:rPr>
          <w:rFonts w:hint="eastAsia" w:ascii="宋体" w:hAnsi="宋体" w:cs="宋体"/>
          <w:color w:val="auto"/>
          <w:sz w:val="24"/>
          <w:highlight w:val="none"/>
        </w:rPr>
      </w:pPr>
      <w:r>
        <w:rPr>
          <w:rFonts w:hint="eastAsia" w:ascii="宋体" w:hAnsi="宋体" w:cs="宋体"/>
          <w:color w:val="auto"/>
          <w:sz w:val="24"/>
          <w:highlight w:val="none"/>
        </w:rPr>
        <w:t>五、与投诉事项相关的投诉请求</w:t>
      </w:r>
    </w:p>
    <w:p w14:paraId="73A262A6">
      <w:pPr>
        <w:keepNext/>
        <w:spacing w:line="360" w:lineRule="auto"/>
        <w:rPr>
          <w:rFonts w:hint="eastAsia"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DE87E02">
      <w:pPr>
        <w:keepNext/>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p>
    <w:p w14:paraId="460317FE">
      <w:pPr>
        <w:keepNext/>
        <w:spacing w:line="360" w:lineRule="auto"/>
        <w:ind w:firstLine="2400" w:firstLineChars="1000"/>
        <w:rPr>
          <w:rFonts w:hint="eastAsia" w:ascii="宋体" w:hAnsi="宋体" w:cs="宋体"/>
          <w:color w:val="auto"/>
          <w:sz w:val="24"/>
          <w:highlight w:val="none"/>
        </w:rPr>
      </w:pPr>
      <w:r>
        <w:rPr>
          <w:rFonts w:hint="eastAsia" w:ascii="宋体" w:hAnsi="宋体" w:cs="宋体"/>
          <w:color w:val="auto"/>
          <w:sz w:val="24"/>
          <w:highlight w:val="none"/>
        </w:rPr>
        <w:t>签字(签章)：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公章：</w:t>
      </w:r>
      <w:r>
        <w:rPr>
          <w:rFonts w:hint="eastAsia" w:ascii="宋体" w:hAnsi="宋体" w:cs="宋体"/>
          <w:color w:val="auto"/>
          <w:sz w:val="24"/>
          <w:highlight w:val="none"/>
          <w:u w:val="single"/>
        </w:rPr>
        <w:t xml:space="preserve">               </w:t>
      </w:r>
    </w:p>
    <w:p w14:paraId="47D0F7E1">
      <w:pPr>
        <w:keepNext/>
        <w:spacing w:line="360" w:lineRule="auto"/>
        <w:rPr>
          <w:rFonts w:hint="eastAsia" w:ascii="宋体" w:hAnsi="宋体" w:cs="宋体"/>
          <w:color w:val="auto"/>
          <w:sz w:val="24"/>
          <w:highlight w:val="none"/>
        </w:rPr>
      </w:pPr>
    </w:p>
    <w:p w14:paraId="7D0493D4">
      <w:pPr>
        <w:pStyle w:val="29"/>
        <w:keepLines/>
        <w:widowControl w:val="0"/>
        <w:ind w:firstLine="2400" w:firstLineChars="1000"/>
        <w:rPr>
          <w:color w:val="auto"/>
          <w:kern w:val="0"/>
          <w:sz w:val="20"/>
          <w:szCs w:val="20"/>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CB5CDAE">
      <w:pPr>
        <w:rPr>
          <w:rFonts w:hint="eastAsia"/>
          <w:color w:val="auto"/>
          <w:highlight w:val="none"/>
        </w:rPr>
      </w:pPr>
    </w:p>
    <w:sectPr>
      <w:pgSz w:w="11906" w:h="16838"/>
      <w:pgMar w:top="1417" w:right="1247" w:bottom="1417" w:left="124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C78A0">
    <w:pPr>
      <w:pStyle w:val="23"/>
      <w:jc w:val="right"/>
      <w:rPr>
        <w:rFonts w:ascii="楷体" w:hAnsi="楷体" w:eastAsia="楷体"/>
        <w:b/>
        <w:sz w:val="24"/>
        <w:szCs w:val="24"/>
      </w:rPr>
    </w:pPr>
    <w:r>
      <w:rPr>
        <w:rFonts w:hint="eastAsia" w:ascii="仿宋" w:hAnsi="仿宋" w:eastAsia="仿宋" w:cs="仿宋"/>
        <w:b/>
        <w:bCs/>
        <w:sz w:val="24"/>
        <w:szCs w:val="24"/>
        <w:lang w:val="en-US" w:eastAsia="zh-CN"/>
      </w:rPr>
      <w:t>山西麟辉项目管理有限公司编制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4B1BE">
    <w:pPr>
      <w:pStyle w:val="23"/>
      <w:tabs>
        <w:tab w:val="center" w:pos="447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C665A">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5D33A">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C5D33A">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A297">
    <w:pPr>
      <w:pStyle w:val="23"/>
      <w:tabs>
        <w:tab w:val="center" w:pos="447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211C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A211C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2E2E1">
    <w:pPr>
      <w:pStyle w:val="2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1AFEB">
                          <w:pPr>
                            <w:pStyle w:val="2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91AFEB">
                    <w:pPr>
                      <w:pStyle w:val="2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6B936">
    <w:pPr>
      <w:pStyle w:val="23"/>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7554B">
                          <w:pPr>
                            <w:pStyle w:val="2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67554B">
                    <w:pPr>
                      <w:pStyle w:val="2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7634">
    <w:pPr>
      <w:pStyle w:val="2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02634">
                          <w:pPr>
                            <w:pStyle w:val="2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902634">
                    <w:pPr>
                      <w:pStyle w:val="2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5E93">
    <w:pPr>
      <w:pBdr>
        <w:bottom w:val="none" w:color="auto" w:sz="0" w:space="0"/>
      </w:pBdr>
      <w:spacing w:line="560" w:lineRule="exact"/>
      <w:jc w:val="both"/>
      <w:rPr>
        <w:spacing w:val="-6"/>
        <w:sz w:val="18"/>
        <w:szCs w:val="18"/>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5C38E">
    <w:pPr>
      <w:pStyle w:val="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13BFC">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0F026"/>
    <w:multiLevelType w:val="multilevel"/>
    <w:tmpl w:val="B250F026"/>
    <w:lvl w:ilvl="0" w:tentative="0">
      <w:start w:val="1"/>
      <w:numFmt w:val="chineseCounting"/>
      <w:lvlText w:val="%1."/>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5527374B"/>
    <w:multiLevelType w:val="singleLevel"/>
    <w:tmpl w:val="5527374B"/>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hNjVkODE5ZDg1NjVlNWY4ZmY4NzgwMTU2ZDFmM2EifQ=="/>
  </w:docVars>
  <w:rsids>
    <w:rsidRoot w:val="001516FC"/>
    <w:rsid w:val="00002A35"/>
    <w:rsid w:val="00003443"/>
    <w:rsid w:val="000068EA"/>
    <w:rsid w:val="00013D5F"/>
    <w:rsid w:val="000241FA"/>
    <w:rsid w:val="0003221E"/>
    <w:rsid w:val="000326AC"/>
    <w:rsid w:val="000340B1"/>
    <w:rsid w:val="00043D00"/>
    <w:rsid w:val="0004478F"/>
    <w:rsid w:val="000457E7"/>
    <w:rsid w:val="000617C5"/>
    <w:rsid w:val="000624ED"/>
    <w:rsid w:val="000659DC"/>
    <w:rsid w:val="00065D1B"/>
    <w:rsid w:val="00072119"/>
    <w:rsid w:val="00074A34"/>
    <w:rsid w:val="00074B5E"/>
    <w:rsid w:val="00074C12"/>
    <w:rsid w:val="00075618"/>
    <w:rsid w:val="000802B9"/>
    <w:rsid w:val="00081607"/>
    <w:rsid w:val="00083ECC"/>
    <w:rsid w:val="000856BE"/>
    <w:rsid w:val="00090C03"/>
    <w:rsid w:val="00091898"/>
    <w:rsid w:val="000A4000"/>
    <w:rsid w:val="000A5D81"/>
    <w:rsid w:val="000B0211"/>
    <w:rsid w:val="000B0F5F"/>
    <w:rsid w:val="000B3B93"/>
    <w:rsid w:val="000C2118"/>
    <w:rsid w:val="000C45C3"/>
    <w:rsid w:val="000C5526"/>
    <w:rsid w:val="000D40AC"/>
    <w:rsid w:val="000D421F"/>
    <w:rsid w:val="000E4B16"/>
    <w:rsid w:val="000F3596"/>
    <w:rsid w:val="000F5679"/>
    <w:rsid w:val="000F6417"/>
    <w:rsid w:val="001010AE"/>
    <w:rsid w:val="001036D2"/>
    <w:rsid w:val="001078AC"/>
    <w:rsid w:val="001100DB"/>
    <w:rsid w:val="001107F0"/>
    <w:rsid w:val="00114447"/>
    <w:rsid w:val="00114F5A"/>
    <w:rsid w:val="00117737"/>
    <w:rsid w:val="00123881"/>
    <w:rsid w:val="001333B6"/>
    <w:rsid w:val="00134DD7"/>
    <w:rsid w:val="00135E5B"/>
    <w:rsid w:val="00136677"/>
    <w:rsid w:val="00144B19"/>
    <w:rsid w:val="001516FC"/>
    <w:rsid w:val="001531D8"/>
    <w:rsid w:val="00156C17"/>
    <w:rsid w:val="00163728"/>
    <w:rsid w:val="001649B5"/>
    <w:rsid w:val="00165319"/>
    <w:rsid w:val="001658E8"/>
    <w:rsid w:val="00167A85"/>
    <w:rsid w:val="0017423B"/>
    <w:rsid w:val="001754C1"/>
    <w:rsid w:val="0017606C"/>
    <w:rsid w:val="00177797"/>
    <w:rsid w:val="0018028D"/>
    <w:rsid w:val="00182258"/>
    <w:rsid w:val="001838C6"/>
    <w:rsid w:val="0019079B"/>
    <w:rsid w:val="00197344"/>
    <w:rsid w:val="0019742F"/>
    <w:rsid w:val="001A0684"/>
    <w:rsid w:val="001A119A"/>
    <w:rsid w:val="001A57B0"/>
    <w:rsid w:val="001B055F"/>
    <w:rsid w:val="001B2F0C"/>
    <w:rsid w:val="001B57CF"/>
    <w:rsid w:val="001B5EE7"/>
    <w:rsid w:val="001B7AF1"/>
    <w:rsid w:val="001C2F00"/>
    <w:rsid w:val="001C5B85"/>
    <w:rsid w:val="001D2485"/>
    <w:rsid w:val="001D519B"/>
    <w:rsid w:val="001E7715"/>
    <w:rsid w:val="001F3874"/>
    <w:rsid w:val="001F5A9E"/>
    <w:rsid w:val="00210512"/>
    <w:rsid w:val="002150B7"/>
    <w:rsid w:val="00221D64"/>
    <w:rsid w:val="00223E38"/>
    <w:rsid w:val="0022575E"/>
    <w:rsid w:val="002309DD"/>
    <w:rsid w:val="002312B5"/>
    <w:rsid w:val="002328F3"/>
    <w:rsid w:val="00233C93"/>
    <w:rsid w:val="0024090C"/>
    <w:rsid w:val="00243234"/>
    <w:rsid w:val="002521EE"/>
    <w:rsid w:val="002526A2"/>
    <w:rsid w:val="002530B9"/>
    <w:rsid w:val="002543FF"/>
    <w:rsid w:val="00257575"/>
    <w:rsid w:val="002613B3"/>
    <w:rsid w:val="0026243A"/>
    <w:rsid w:val="0026480D"/>
    <w:rsid w:val="00275420"/>
    <w:rsid w:val="00276CCA"/>
    <w:rsid w:val="002841E4"/>
    <w:rsid w:val="00285016"/>
    <w:rsid w:val="0028727A"/>
    <w:rsid w:val="00291ECE"/>
    <w:rsid w:val="00292C44"/>
    <w:rsid w:val="0029326C"/>
    <w:rsid w:val="002A00B2"/>
    <w:rsid w:val="002A32B6"/>
    <w:rsid w:val="002A5689"/>
    <w:rsid w:val="002A6839"/>
    <w:rsid w:val="002A6D2F"/>
    <w:rsid w:val="002B20E0"/>
    <w:rsid w:val="002B5451"/>
    <w:rsid w:val="002C0815"/>
    <w:rsid w:val="002C14C6"/>
    <w:rsid w:val="002C6415"/>
    <w:rsid w:val="002C748C"/>
    <w:rsid w:val="002D6033"/>
    <w:rsid w:val="002D6EEE"/>
    <w:rsid w:val="002E478A"/>
    <w:rsid w:val="00304570"/>
    <w:rsid w:val="00312874"/>
    <w:rsid w:val="00312DBB"/>
    <w:rsid w:val="00313034"/>
    <w:rsid w:val="00313BEF"/>
    <w:rsid w:val="00315162"/>
    <w:rsid w:val="003237D1"/>
    <w:rsid w:val="00324D3D"/>
    <w:rsid w:val="003359EA"/>
    <w:rsid w:val="003415F1"/>
    <w:rsid w:val="003433E9"/>
    <w:rsid w:val="003523C7"/>
    <w:rsid w:val="00361478"/>
    <w:rsid w:val="00363E67"/>
    <w:rsid w:val="003727A1"/>
    <w:rsid w:val="00372C95"/>
    <w:rsid w:val="00375929"/>
    <w:rsid w:val="003803BC"/>
    <w:rsid w:val="003817E3"/>
    <w:rsid w:val="00390771"/>
    <w:rsid w:val="00392FAB"/>
    <w:rsid w:val="00395C9B"/>
    <w:rsid w:val="00397AF2"/>
    <w:rsid w:val="003A2BD0"/>
    <w:rsid w:val="003A415B"/>
    <w:rsid w:val="003A7225"/>
    <w:rsid w:val="003B0759"/>
    <w:rsid w:val="003B5DE4"/>
    <w:rsid w:val="003C3583"/>
    <w:rsid w:val="003C3EBD"/>
    <w:rsid w:val="003C48B6"/>
    <w:rsid w:val="003C4A85"/>
    <w:rsid w:val="003C5B3E"/>
    <w:rsid w:val="003C7927"/>
    <w:rsid w:val="003D05DB"/>
    <w:rsid w:val="003D200A"/>
    <w:rsid w:val="003D44EC"/>
    <w:rsid w:val="003E16AD"/>
    <w:rsid w:val="003E4E11"/>
    <w:rsid w:val="003E52B2"/>
    <w:rsid w:val="003E7FF9"/>
    <w:rsid w:val="003F2E7B"/>
    <w:rsid w:val="004025A8"/>
    <w:rsid w:val="004031DC"/>
    <w:rsid w:val="0040578A"/>
    <w:rsid w:val="004122C2"/>
    <w:rsid w:val="00415644"/>
    <w:rsid w:val="0041612E"/>
    <w:rsid w:val="00417C01"/>
    <w:rsid w:val="004202DF"/>
    <w:rsid w:val="00427CEE"/>
    <w:rsid w:val="004314A2"/>
    <w:rsid w:val="0043472C"/>
    <w:rsid w:val="00435232"/>
    <w:rsid w:val="00435DB8"/>
    <w:rsid w:val="00440CFF"/>
    <w:rsid w:val="0044128A"/>
    <w:rsid w:val="00442F59"/>
    <w:rsid w:val="00444F86"/>
    <w:rsid w:val="00446B56"/>
    <w:rsid w:val="004503FC"/>
    <w:rsid w:val="004511C1"/>
    <w:rsid w:val="004613A3"/>
    <w:rsid w:val="004646A5"/>
    <w:rsid w:val="00464DA8"/>
    <w:rsid w:val="00470F32"/>
    <w:rsid w:val="0047316B"/>
    <w:rsid w:val="00475970"/>
    <w:rsid w:val="004777E1"/>
    <w:rsid w:val="00482094"/>
    <w:rsid w:val="0048356D"/>
    <w:rsid w:val="00483A70"/>
    <w:rsid w:val="00483AFB"/>
    <w:rsid w:val="0048509B"/>
    <w:rsid w:val="004869FC"/>
    <w:rsid w:val="004870DB"/>
    <w:rsid w:val="00494394"/>
    <w:rsid w:val="00497EFD"/>
    <w:rsid w:val="004A1094"/>
    <w:rsid w:val="004A20B6"/>
    <w:rsid w:val="004A3DC6"/>
    <w:rsid w:val="004A5EDA"/>
    <w:rsid w:val="004A7C6C"/>
    <w:rsid w:val="004B5FB0"/>
    <w:rsid w:val="004D0757"/>
    <w:rsid w:val="004D67C8"/>
    <w:rsid w:val="004D7595"/>
    <w:rsid w:val="004E6430"/>
    <w:rsid w:val="004F276C"/>
    <w:rsid w:val="004F34D3"/>
    <w:rsid w:val="004F466F"/>
    <w:rsid w:val="0050203F"/>
    <w:rsid w:val="00503D56"/>
    <w:rsid w:val="00511355"/>
    <w:rsid w:val="00512AD9"/>
    <w:rsid w:val="005140E4"/>
    <w:rsid w:val="00515BBA"/>
    <w:rsid w:val="005239D4"/>
    <w:rsid w:val="00524A51"/>
    <w:rsid w:val="005260ED"/>
    <w:rsid w:val="00526B2F"/>
    <w:rsid w:val="00527040"/>
    <w:rsid w:val="005276BC"/>
    <w:rsid w:val="005335BA"/>
    <w:rsid w:val="00535ED4"/>
    <w:rsid w:val="005436A3"/>
    <w:rsid w:val="00550A6D"/>
    <w:rsid w:val="00551DD6"/>
    <w:rsid w:val="00553BB0"/>
    <w:rsid w:val="0056345F"/>
    <w:rsid w:val="00563FBF"/>
    <w:rsid w:val="00567397"/>
    <w:rsid w:val="00572054"/>
    <w:rsid w:val="00575102"/>
    <w:rsid w:val="005752D4"/>
    <w:rsid w:val="00575D46"/>
    <w:rsid w:val="0058227A"/>
    <w:rsid w:val="00582611"/>
    <w:rsid w:val="005826B6"/>
    <w:rsid w:val="00586334"/>
    <w:rsid w:val="005876FA"/>
    <w:rsid w:val="00591AE1"/>
    <w:rsid w:val="0059225B"/>
    <w:rsid w:val="005922F9"/>
    <w:rsid w:val="005A04E0"/>
    <w:rsid w:val="005A27B5"/>
    <w:rsid w:val="005B335B"/>
    <w:rsid w:val="005B39D2"/>
    <w:rsid w:val="005C2C87"/>
    <w:rsid w:val="005C789E"/>
    <w:rsid w:val="005D2AEF"/>
    <w:rsid w:val="005D314F"/>
    <w:rsid w:val="005D4603"/>
    <w:rsid w:val="005D5CCD"/>
    <w:rsid w:val="005E1DAA"/>
    <w:rsid w:val="005F58CE"/>
    <w:rsid w:val="005F677A"/>
    <w:rsid w:val="0060238C"/>
    <w:rsid w:val="006077AC"/>
    <w:rsid w:val="00610277"/>
    <w:rsid w:val="00610E77"/>
    <w:rsid w:val="00612E6C"/>
    <w:rsid w:val="0061355E"/>
    <w:rsid w:val="00621043"/>
    <w:rsid w:val="00621902"/>
    <w:rsid w:val="0062267B"/>
    <w:rsid w:val="00623313"/>
    <w:rsid w:val="0062340C"/>
    <w:rsid w:val="00625876"/>
    <w:rsid w:val="006379CE"/>
    <w:rsid w:val="00643E36"/>
    <w:rsid w:val="00646223"/>
    <w:rsid w:val="00647E07"/>
    <w:rsid w:val="0065195E"/>
    <w:rsid w:val="006544CE"/>
    <w:rsid w:val="00656E53"/>
    <w:rsid w:val="00660493"/>
    <w:rsid w:val="00660FCF"/>
    <w:rsid w:val="00665D9C"/>
    <w:rsid w:val="00667C65"/>
    <w:rsid w:val="00670BBA"/>
    <w:rsid w:val="00670DC2"/>
    <w:rsid w:val="00674A15"/>
    <w:rsid w:val="00682038"/>
    <w:rsid w:val="006820DA"/>
    <w:rsid w:val="00684636"/>
    <w:rsid w:val="006864A9"/>
    <w:rsid w:val="00687AD4"/>
    <w:rsid w:val="006A1720"/>
    <w:rsid w:val="006A393D"/>
    <w:rsid w:val="006A5DC7"/>
    <w:rsid w:val="006A6C7E"/>
    <w:rsid w:val="006B67CB"/>
    <w:rsid w:val="006C3556"/>
    <w:rsid w:val="006C3A21"/>
    <w:rsid w:val="006C582E"/>
    <w:rsid w:val="006C636D"/>
    <w:rsid w:val="006C6654"/>
    <w:rsid w:val="006D6E3B"/>
    <w:rsid w:val="006E0181"/>
    <w:rsid w:val="006E089A"/>
    <w:rsid w:val="006E1AEC"/>
    <w:rsid w:val="006E3CD8"/>
    <w:rsid w:val="006F39FC"/>
    <w:rsid w:val="006F5716"/>
    <w:rsid w:val="006F6E95"/>
    <w:rsid w:val="00706586"/>
    <w:rsid w:val="007075DB"/>
    <w:rsid w:val="00713C76"/>
    <w:rsid w:val="0071416D"/>
    <w:rsid w:val="0071579C"/>
    <w:rsid w:val="00716E20"/>
    <w:rsid w:val="00720AC6"/>
    <w:rsid w:val="007259EE"/>
    <w:rsid w:val="0074078E"/>
    <w:rsid w:val="00742A12"/>
    <w:rsid w:val="00747E38"/>
    <w:rsid w:val="00753028"/>
    <w:rsid w:val="00754CC3"/>
    <w:rsid w:val="00754D12"/>
    <w:rsid w:val="00755DB9"/>
    <w:rsid w:val="00761CF5"/>
    <w:rsid w:val="00767C18"/>
    <w:rsid w:val="00770EFA"/>
    <w:rsid w:val="00775657"/>
    <w:rsid w:val="007766D8"/>
    <w:rsid w:val="0077691C"/>
    <w:rsid w:val="0077701E"/>
    <w:rsid w:val="00786D0E"/>
    <w:rsid w:val="00791538"/>
    <w:rsid w:val="0079183E"/>
    <w:rsid w:val="00792C98"/>
    <w:rsid w:val="00794FFB"/>
    <w:rsid w:val="007A0E26"/>
    <w:rsid w:val="007A7523"/>
    <w:rsid w:val="007B534A"/>
    <w:rsid w:val="007B6634"/>
    <w:rsid w:val="007B6886"/>
    <w:rsid w:val="007C0D5B"/>
    <w:rsid w:val="007C41C6"/>
    <w:rsid w:val="007C44F5"/>
    <w:rsid w:val="007C4F06"/>
    <w:rsid w:val="007C5097"/>
    <w:rsid w:val="007C6163"/>
    <w:rsid w:val="007D7275"/>
    <w:rsid w:val="007E2E10"/>
    <w:rsid w:val="007E3A30"/>
    <w:rsid w:val="007E43DC"/>
    <w:rsid w:val="007F330C"/>
    <w:rsid w:val="007F3501"/>
    <w:rsid w:val="00800174"/>
    <w:rsid w:val="008001F1"/>
    <w:rsid w:val="00805E63"/>
    <w:rsid w:val="008076BD"/>
    <w:rsid w:val="00822C6A"/>
    <w:rsid w:val="00824525"/>
    <w:rsid w:val="00825996"/>
    <w:rsid w:val="00833507"/>
    <w:rsid w:val="0083460D"/>
    <w:rsid w:val="00842E0B"/>
    <w:rsid w:val="00845AB1"/>
    <w:rsid w:val="00846035"/>
    <w:rsid w:val="00846737"/>
    <w:rsid w:val="00853AEA"/>
    <w:rsid w:val="00855926"/>
    <w:rsid w:val="00857C10"/>
    <w:rsid w:val="0086535A"/>
    <w:rsid w:val="00866EC3"/>
    <w:rsid w:val="00870ED6"/>
    <w:rsid w:val="008710F5"/>
    <w:rsid w:val="008712F4"/>
    <w:rsid w:val="00871854"/>
    <w:rsid w:val="00887D45"/>
    <w:rsid w:val="00893649"/>
    <w:rsid w:val="0089369D"/>
    <w:rsid w:val="00893F8B"/>
    <w:rsid w:val="008957F3"/>
    <w:rsid w:val="0089619F"/>
    <w:rsid w:val="00897751"/>
    <w:rsid w:val="008A0CCE"/>
    <w:rsid w:val="008A3CC9"/>
    <w:rsid w:val="008B1B2E"/>
    <w:rsid w:val="008B1C54"/>
    <w:rsid w:val="008B2743"/>
    <w:rsid w:val="008B3306"/>
    <w:rsid w:val="008B493C"/>
    <w:rsid w:val="008B755B"/>
    <w:rsid w:val="008C47D2"/>
    <w:rsid w:val="008C67E6"/>
    <w:rsid w:val="008C7ECA"/>
    <w:rsid w:val="008D0C4C"/>
    <w:rsid w:val="008D4ED8"/>
    <w:rsid w:val="008E5A27"/>
    <w:rsid w:val="008E7598"/>
    <w:rsid w:val="008F09CE"/>
    <w:rsid w:val="0090260A"/>
    <w:rsid w:val="00904FD2"/>
    <w:rsid w:val="00906F7B"/>
    <w:rsid w:val="00912910"/>
    <w:rsid w:val="00924EE0"/>
    <w:rsid w:val="00925719"/>
    <w:rsid w:val="0093010C"/>
    <w:rsid w:val="00932FDB"/>
    <w:rsid w:val="0093457B"/>
    <w:rsid w:val="009351F9"/>
    <w:rsid w:val="00936226"/>
    <w:rsid w:val="00937706"/>
    <w:rsid w:val="00946D29"/>
    <w:rsid w:val="00951FEE"/>
    <w:rsid w:val="00952918"/>
    <w:rsid w:val="009552FD"/>
    <w:rsid w:val="00967055"/>
    <w:rsid w:val="0097149B"/>
    <w:rsid w:val="009861A6"/>
    <w:rsid w:val="00987431"/>
    <w:rsid w:val="00990452"/>
    <w:rsid w:val="00992FC3"/>
    <w:rsid w:val="00997ACD"/>
    <w:rsid w:val="00997F71"/>
    <w:rsid w:val="009A39E8"/>
    <w:rsid w:val="009A3CCD"/>
    <w:rsid w:val="009A3DCB"/>
    <w:rsid w:val="009A3DFE"/>
    <w:rsid w:val="009B341E"/>
    <w:rsid w:val="009B3FF3"/>
    <w:rsid w:val="009B7063"/>
    <w:rsid w:val="009C026D"/>
    <w:rsid w:val="009C4142"/>
    <w:rsid w:val="009D6CF0"/>
    <w:rsid w:val="009D79E6"/>
    <w:rsid w:val="009E2FE2"/>
    <w:rsid w:val="009E7612"/>
    <w:rsid w:val="00A00D2A"/>
    <w:rsid w:val="00A03850"/>
    <w:rsid w:val="00A05169"/>
    <w:rsid w:val="00A06013"/>
    <w:rsid w:val="00A06EAF"/>
    <w:rsid w:val="00A13D2B"/>
    <w:rsid w:val="00A13DFD"/>
    <w:rsid w:val="00A1527E"/>
    <w:rsid w:val="00A16757"/>
    <w:rsid w:val="00A23FE0"/>
    <w:rsid w:val="00A2443A"/>
    <w:rsid w:val="00A270B1"/>
    <w:rsid w:val="00A27400"/>
    <w:rsid w:val="00A27E54"/>
    <w:rsid w:val="00A319B1"/>
    <w:rsid w:val="00A3358D"/>
    <w:rsid w:val="00A33FD7"/>
    <w:rsid w:val="00A34A40"/>
    <w:rsid w:val="00A35856"/>
    <w:rsid w:val="00A36382"/>
    <w:rsid w:val="00A374AF"/>
    <w:rsid w:val="00A42591"/>
    <w:rsid w:val="00A42AB3"/>
    <w:rsid w:val="00A46912"/>
    <w:rsid w:val="00A51397"/>
    <w:rsid w:val="00A54560"/>
    <w:rsid w:val="00A554F8"/>
    <w:rsid w:val="00A5562C"/>
    <w:rsid w:val="00A569AF"/>
    <w:rsid w:val="00A62090"/>
    <w:rsid w:val="00A70C9D"/>
    <w:rsid w:val="00A7249E"/>
    <w:rsid w:val="00A80A73"/>
    <w:rsid w:val="00A8629D"/>
    <w:rsid w:val="00A86F92"/>
    <w:rsid w:val="00A928DC"/>
    <w:rsid w:val="00A93AC8"/>
    <w:rsid w:val="00A95F77"/>
    <w:rsid w:val="00AA0120"/>
    <w:rsid w:val="00AA137D"/>
    <w:rsid w:val="00AA231A"/>
    <w:rsid w:val="00AA2D70"/>
    <w:rsid w:val="00AA32E1"/>
    <w:rsid w:val="00AA3BBB"/>
    <w:rsid w:val="00AA7128"/>
    <w:rsid w:val="00AB738C"/>
    <w:rsid w:val="00AB740A"/>
    <w:rsid w:val="00AC1516"/>
    <w:rsid w:val="00AC7F9E"/>
    <w:rsid w:val="00AD10CD"/>
    <w:rsid w:val="00AD3901"/>
    <w:rsid w:val="00AD4498"/>
    <w:rsid w:val="00AE0572"/>
    <w:rsid w:val="00AE07C5"/>
    <w:rsid w:val="00AE3147"/>
    <w:rsid w:val="00AF3EEA"/>
    <w:rsid w:val="00AF4678"/>
    <w:rsid w:val="00AF53E3"/>
    <w:rsid w:val="00AF7355"/>
    <w:rsid w:val="00B1174C"/>
    <w:rsid w:val="00B15BBA"/>
    <w:rsid w:val="00B15FD1"/>
    <w:rsid w:val="00B174F0"/>
    <w:rsid w:val="00B312D6"/>
    <w:rsid w:val="00B33E40"/>
    <w:rsid w:val="00B3763B"/>
    <w:rsid w:val="00B4034C"/>
    <w:rsid w:val="00B42D42"/>
    <w:rsid w:val="00B43059"/>
    <w:rsid w:val="00B45FFF"/>
    <w:rsid w:val="00B54DDE"/>
    <w:rsid w:val="00B617CF"/>
    <w:rsid w:val="00B62D34"/>
    <w:rsid w:val="00B63734"/>
    <w:rsid w:val="00B641BD"/>
    <w:rsid w:val="00B71440"/>
    <w:rsid w:val="00B801F2"/>
    <w:rsid w:val="00B80BBF"/>
    <w:rsid w:val="00B81E03"/>
    <w:rsid w:val="00B82152"/>
    <w:rsid w:val="00B82778"/>
    <w:rsid w:val="00B83880"/>
    <w:rsid w:val="00B86E12"/>
    <w:rsid w:val="00B9083E"/>
    <w:rsid w:val="00B91573"/>
    <w:rsid w:val="00B916AA"/>
    <w:rsid w:val="00B942AF"/>
    <w:rsid w:val="00B944F9"/>
    <w:rsid w:val="00B94CF4"/>
    <w:rsid w:val="00BA2B47"/>
    <w:rsid w:val="00BB6BC1"/>
    <w:rsid w:val="00BC2FB0"/>
    <w:rsid w:val="00BC6936"/>
    <w:rsid w:val="00BC73A9"/>
    <w:rsid w:val="00BD01CB"/>
    <w:rsid w:val="00BD2109"/>
    <w:rsid w:val="00BD65C2"/>
    <w:rsid w:val="00BD6B9A"/>
    <w:rsid w:val="00BE7D96"/>
    <w:rsid w:val="00BF04A3"/>
    <w:rsid w:val="00BF1C0C"/>
    <w:rsid w:val="00C00838"/>
    <w:rsid w:val="00C01828"/>
    <w:rsid w:val="00C05F72"/>
    <w:rsid w:val="00C06685"/>
    <w:rsid w:val="00C12820"/>
    <w:rsid w:val="00C13ADA"/>
    <w:rsid w:val="00C17FDF"/>
    <w:rsid w:val="00C21064"/>
    <w:rsid w:val="00C24926"/>
    <w:rsid w:val="00C2793A"/>
    <w:rsid w:val="00C357E8"/>
    <w:rsid w:val="00C35AA8"/>
    <w:rsid w:val="00C3687B"/>
    <w:rsid w:val="00C40A16"/>
    <w:rsid w:val="00C4182C"/>
    <w:rsid w:val="00C41DD2"/>
    <w:rsid w:val="00C4207F"/>
    <w:rsid w:val="00C4337A"/>
    <w:rsid w:val="00C444D5"/>
    <w:rsid w:val="00C4609F"/>
    <w:rsid w:val="00C47EF7"/>
    <w:rsid w:val="00C505F4"/>
    <w:rsid w:val="00C5174B"/>
    <w:rsid w:val="00C517F2"/>
    <w:rsid w:val="00C52B6C"/>
    <w:rsid w:val="00C52C3D"/>
    <w:rsid w:val="00C530BF"/>
    <w:rsid w:val="00C54D22"/>
    <w:rsid w:val="00C55CEF"/>
    <w:rsid w:val="00C5605A"/>
    <w:rsid w:val="00C577F7"/>
    <w:rsid w:val="00C631EC"/>
    <w:rsid w:val="00C67ECD"/>
    <w:rsid w:val="00C709DD"/>
    <w:rsid w:val="00C75D1A"/>
    <w:rsid w:val="00C80091"/>
    <w:rsid w:val="00C80711"/>
    <w:rsid w:val="00C82CF5"/>
    <w:rsid w:val="00C851E9"/>
    <w:rsid w:val="00C87D5D"/>
    <w:rsid w:val="00C95C45"/>
    <w:rsid w:val="00CA4071"/>
    <w:rsid w:val="00CA40D2"/>
    <w:rsid w:val="00CA6C02"/>
    <w:rsid w:val="00CB1C57"/>
    <w:rsid w:val="00CB4244"/>
    <w:rsid w:val="00CB49A8"/>
    <w:rsid w:val="00CB5B5E"/>
    <w:rsid w:val="00CB5E9B"/>
    <w:rsid w:val="00CB6277"/>
    <w:rsid w:val="00CB7B8E"/>
    <w:rsid w:val="00CC03AA"/>
    <w:rsid w:val="00CC2616"/>
    <w:rsid w:val="00CD583B"/>
    <w:rsid w:val="00CE5488"/>
    <w:rsid w:val="00CF1E3D"/>
    <w:rsid w:val="00CF348F"/>
    <w:rsid w:val="00CF3D08"/>
    <w:rsid w:val="00CF794B"/>
    <w:rsid w:val="00D00D1F"/>
    <w:rsid w:val="00D16BBC"/>
    <w:rsid w:val="00D423DE"/>
    <w:rsid w:val="00D428D9"/>
    <w:rsid w:val="00D4350B"/>
    <w:rsid w:val="00D4407A"/>
    <w:rsid w:val="00D47CAD"/>
    <w:rsid w:val="00D52507"/>
    <w:rsid w:val="00D61DF1"/>
    <w:rsid w:val="00D65498"/>
    <w:rsid w:val="00D660B2"/>
    <w:rsid w:val="00D76D19"/>
    <w:rsid w:val="00D80796"/>
    <w:rsid w:val="00D81951"/>
    <w:rsid w:val="00D83E19"/>
    <w:rsid w:val="00D84463"/>
    <w:rsid w:val="00D94724"/>
    <w:rsid w:val="00D94C43"/>
    <w:rsid w:val="00D95A96"/>
    <w:rsid w:val="00D97415"/>
    <w:rsid w:val="00DA43A3"/>
    <w:rsid w:val="00DB37E7"/>
    <w:rsid w:val="00DB471C"/>
    <w:rsid w:val="00DB6FC2"/>
    <w:rsid w:val="00DC15BE"/>
    <w:rsid w:val="00DC5193"/>
    <w:rsid w:val="00DE2977"/>
    <w:rsid w:val="00DE3995"/>
    <w:rsid w:val="00DF46E4"/>
    <w:rsid w:val="00DF66F0"/>
    <w:rsid w:val="00E00929"/>
    <w:rsid w:val="00E053A5"/>
    <w:rsid w:val="00E05507"/>
    <w:rsid w:val="00E05E30"/>
    <w:rsid w:val="00E075FE"/>
    <w:rsid w:val="00E126B0"/>
    <w:rsid w:val="00E12ECA"/>
    <w:rsid w:val="00E209A9"/>
    <w:rsid w:val="00E22C75"/>
    <w:rsid w:val="00E25A62"/>
    <w:rsid w:val="00E25D42"/>
    <w:rsid w:val="00E25ED1"/>
    <w:rsid w:val="00E2738F"/>
    <w:rsid w:val="00E4530A"/>
    <w:rsid w:val="00E45D0A"/>
    <w:rsid w:val="00E51807"/>
    <w:rsid w:val="00E55DA7"/>
    <w:rsid w:val="00E56F4D"/>
    <w:rsid w:val="00E570F3"/>
    <w:rsid w:val="00E57283"/>
    <w:rsid w:val="00E60247"/>
    <w:rsid w:val="00E60FF9"/>
    <w:rsid w:val="00E66F3E"/>
    <w:rsid w:val="00E70AEF"/>
    <w:rsid w:val="00E80443"/>
    <w:rsid w:val="00E80A23"/>
    <w:rsid w:val="00E87147"/>
    <w:rsid w:val="00E87C87"/>
    <w:rsid w:val="00E87E0D"/>
    <w:rsid w:val="00E9074B"/>
    <w:rsid w:val="00E938FF"/>
    <w:rsid w:val="00EA2B53"/>
    <w:rsid w:val="00EA2E4C"/>
    <w:rsid w:val="00EA312F"/>
    <w:rsid w:val="00EA316A"/>
    <w:rsid w:val="00EA3EC6"/>
    <w:rsid w:val="00EA6B69"/>
    <w:rsid w:val="00EB1D7A"/>
    <w:rsid w:val="00EB51D2"/>
    <w:rsid w:val="00EB5EE7"/>
    <w:rsid w:val="00EC1AEF"/>
    <w:rsid w:val="00EC2B2D"/>
    <w:rsid w:val="00EC4671"/>
    <w:rsid w:val="00EF41B8"/>
    <w:rsid w:val="00EF545D"/>
    <w:rsid w:val="00EF5A2A"/>
    <w:rsid w:val="00F00A67"/>
    <w:rsid w:val="00F04192"/>
    <w:rsid w:val="00F04B3B"/>
    <w:rsid w:val="00F051F5"/>
    <w:rsid w:val="00F209BD"/>
    <w:rsid w:val="00F23A27"/>
    <w:rsid w:val="00F25072"/>
    <w:rsid w:val="00F3043B"/>
    <w:rsid w:val="00F34B68"/>
    <w:rsid w:val="00F36365"/>
    <w:rsid w:val="00F378B1"/>
    <w:rsid w:val="00F4065C"/>
    <w:rsid w:val="00F53E57"/>
    <w:rsid w:val="00F55090"/>
    <w:rsid w:val="00F56E28"/>
    <w:rsid w:val="00F712AC"/>
    <w:rsid w:val="00F72995"/>
    <w:rsid w:val="00F72D19"/>
    <w:rsid w:val="00F932A3"/>
    <w:rsid w:val="00F94BEF"/>
    <w:rsid w:val="00F94C0A"/>
    <w:rsid w:val="00FA0DF5"/>
    <w:rsid w:val="00FA27EC"/>
    <w:rsid w:val="00FA5695"/>
    <w:rsid w:val="00FB16B6"/>
    <w:rsid w:val="00FB2A37"/>
    <w:rsid w:val="00FC43C2"/>
    <w:rsid w:val="00FD2887"/>
    <w:rsid w:val="00FE018E"/>
    <w:rsid w:val="00FE4820"/>
    <w:rsid w:val="00FE65D3"/>
    <w:rsid w:val="00FF7626"/>
    <w:rsid w:val="01026394"/>
    <w:rsid w:val="0113359B"/>
    <w:rsid w:val="013347FC"/>
    <w:rsid w:val="01455EB6"/>
    <w:rsid w:val="01475100"/>
    <w:rsid w:val="015339A8"/>
    <w:rsid w:val="0177780C"/>
    <w:rsid w:val="017C1262"/>
    <w:rsid w:val="017D4196"/>
    <w:rsid w:val="0188180F"/>
    <w:rsid w:val="01A06E9D"/>
    <w:rsid w:val="01A356F0"/>
    <w:rsid w:val="01AC6B68"/>
    <w:rsid w:val="01B4154F"/>
    <w:rsid w:val="01B42264"/>
    <w:rsid w:val="01B61473"/>
    <w:rsid w:val="01B64D30"/>
    <w:rsid w:val="01B71D86"/>
    <w:rsid w:val="01C61BEB"/>
    <w:rsid w:val="01D76BCB"/>
    <w:rsid w:val="01E06145"/>
    <w:rsid w:val="01EB25B8"/>
    <w:rsid w:val="01FF3BC3"/>
    <w:rsid w:val="01FF5E32"/>
    <w:rsid w:val="02001A3E"/>
    <w:rsid w:val="020F62BB"/>
    <w:rsid w:val="022A2815"/>
    <w:rsid w:val="022A287C"/>
    <w:rsid w:val="023D1587"/>
    <w:rsid w:val="02497522"/>
    <w:rsid w:val="024D0ED5"/>
    <w:rsid w:val="024E1F04"/>
    <w:rsid w:val="02557C87"/>
    <w:rsid w:val="02566BBE"/>
    <w:rsid w:val="025F75AC"/>
    <w:rsid w:val="02727A51"/>
    <w:rsid w:val="02731135"/>
    <w:rsid w:val="02733DB9"/>
    <w:rsid w:val="02AC29E7"/>
    <w:rsid w:val="02BF568E"/>
    <w:rsid w:val="02DF0237"/>
    <w:rsid w:val="02E35293"/>
    <w:rsid w:val="02E57EAA"/>
    <w:rsid w:val="02E66D81"/>
    <w:rsid w:val="02EC733B"/>
    <w:rsid w:val="02EE3798"/>
    <w:rsid w:val="02FB2766"/>
    <w:rsid w:val="03007DE6"/>
    <w:rsid w:val="03065636"/>
    <w:rsid w:val="030D1630"/>
    <w:rsid w:val="031418F0"/>
    <w:rsid w:val="031C07A5"/>
    <w:rsid w:val="03226A84"/>
    <w:rsid w:val="03257F44"/>
    <w:rsid w:val="032F2286"/>
    <w:rsid w:val="0338682A"/>
    <w:rsid w:val="03396CB0"/>
    <w:rsid w:val="034B1806"/>
    <w:rsid w:val="03530F2D"/>
    <w:rsid w:val="03572251"/>
    <w:rsid w:val="0363387A"/>
    <w:rsid w:val="0363749D"/>
    <w:rsid w:val="037468D2"/>
    <w:rsid w:val="037607C0"/>
    <w:rsid w:val="0397603C"/>
    <w:rsid w:val="0397607D"/>
    <w:rsid w:val="039F0DAD"/>
    <w:rsid w:val="039F70F5"/>
    <w:rsid w:val="03B309BF"/>
    <w:rsid w:val="03B37C04"/>
    <w:rsid w:val="03BA1195"/>
    <w:rsid w:val="03E52C13"/>
    <w:rsid w:val="03E921F1"/>
    <w:rsid w:val="03F21355"/>
    <w:rsid w:val="03FB660C"/>
    <w:rsid w:val="040463F9"/>
    <w:rsid w:val="04210DFC"/>
    <w:rsid w:val="04270FDF"/>
    <w:rsid w:val="042E4B57"/>
    <w:rsid w:val="04493317"/>
    <w:rsid w:val="044D4291"/>
    <w:rsid w:val="0450069B"/>
    <w:rsid w:val="045C36CB"/>
    <w:rsid w:val="046066CC"/>
    <w:rsid w:val="046C4372"/>
    <w:rsid w:val="04785EAF"/>
    <w:rsid w:val="047D2BD6"/>
    <w:rsid w:val="047E3DDB"/>
    <w:rsid w:val="048902FD"/>
    <w:rsid w:val="04937FEC"/>
    <w:rsid w:val="049745E6"/>
    <w:rsid w:val="049747E0"/>
    <w:rsid w:val="049C1B9D"/>
    <w:rsid w:val="04AD2CBA"/>
    <w:rsid w:val="04BA6A55"/>
    <w:rsid w:val="04C722BE"/>
    <w:rsid w:val="04CB2483"/>
    <w:rsid w:val="04CD61FB"/>
    <w:rsid w:val="04E11CA6"/>
    <w:rsid w:val="04E50550"/>
    <w:rsid w:val="04EA2A9E"/>
    <w:rsid w:val="04EA49D7"/>
    <w:rsid w:val="04ED2CAB"/>
    <w:rsid w:val="04FC698D"/>
    <w:rsid w:val="04FE2375"/>
    <w:rsid w:val="05025B78"/>
    <w:rsid w:val="050B1577"/>
    <w:rsid w:val="0528244F"/>
    <w:rsid w:val="052C157C"/>
    <w:rsid w:val="05305319"/>
    <w:rsid w:val="053D0CC2"/>
    <w:rsid w:val="05412745"/>
    <w:rsid w:val="05427E50"/>
    <w:rsid w:val="056359EB"/>
    <w:rsid w:val="05701819"/>
    <w:rsid w:val="05896E14"/>
    <w:rsid w:val="058A0A88"/>
    <w:rsid w:val="059134CC"/>
    <w:rsid w:val="05A13249"/>
    <w:rsid w:val="05B253F0"/>
    <w:rsid w:val="05B61A8D"/>
    <w:rsid w:val="05BB035D"/>
    <w:rsid w:val="05C72C4A"/>
    <w:rsid w:val="05D02834"/>
    <w:rsid w:val="05D1525D"/>
    <w:rsid w:val="05D711C7"/>
    <w:rsid w:val="05F44087"/>
    <w:rsid w:val="061C2963"/>
    <w:rsid w:val="061D6CB7"/>
    <w:rsid w:val="06214714"/>
    <w:rsid w:val="062E2CC9"/>
    <w:rsid w:val="063B2460"/>
    <w:rsid w:val="06451DC1"/>
    <w:rsid w:val="06520F24"/>
    <w:rsid w:val="06550D6F"/>
    <w:rsid w:val="06637B0A"/>
    <w:rsid w:val="066E7569"/>
    <w:rsid w:val="067E0385"/>
    <w:rsid w:val="068A1EE8"/>
    <w:rsid w:val="06966E13"/>
    <w:rsid w:val="06B02BE4"/>
    <w:rsid w:val="06CB5BD4"/>
    <w:rsid w:val="06D23B5E"/>
    <w:rsid w:val="06DC5936"/>
    <w:rsid w:val="06F358D4"/>
    <w:rsid w:val="06F40D2D"/>
    <w:rsid w:val="06F957DE"/>
    <w:rsid w:val="06FD25B9"/>
    <w:rsid w:val="0706153B"/>
    <w:rsid w:val="071242C0"/>
    <w:rsid w:val="0717096E"/>
    <w:rsid w:val="071F2345"/>
    <w:rsid w:val="07227EEC"/>
    <w:rsid w:val="07341101"/>
    <w:rsid w:val="073B2ACB"/>
    <w:rsid w:val="074F1952"/>
    <w:rsid w:val="07563412"/>
    <w:rsid w:val="07610E7C"/>
    <w:rsid w:val="076D7121"/>
    <w:rsid w:val="077F71CD"/>
    <w:rsid w:val="078806DB"/>
    <w:rsid w:val="07975C67"/>
    <w:rsid w:val="07B5607B"/>
    <w:rsid w:val="07BF43FE"/>
    <w:rsid w:val="07C93293"/>
    <w:rsid w:val="07D958E5"/>
    <w:rsid w:val="07E1506B"/>
    <w:rsid w:val="07E53F4E"/>
    <w:rsid w:val="07E74EE4"/>
    <w:rsid w:val="07ED2710"/>
    <w:rsid w:val="07F827F0"/>
    <w:rsid w:val="07FB5FE8"/>
    <w:rsid w:val="08006A2F"/>
    <w:rsid w:val="080E0F3B"/>
    <w:rsid w:val="08333360"/>
    <w:rsid w:val="08340680"/>
    <w:rsid w:val="08466AE7"/>
    <w:rsid w:val="08685FC8"/>
    <w:rsid w:val="086A2F11"/>
    <w:rsid w:val="086F122C"/>
    <w:rsid w:val="08833DF0"/>
    <w:rsid w:val="088455D1"/>
    <w:rsid w:val="089A2898"/>
    <w:rsid w:val="08CB683E"/>
    <w:rsid w:val="08D63D72"/>
    <w:rsid w:val="08E1101C"/>
    <w:rsid w:val="08E66160"/>
    <w:rsid w:val="08ED3CD8"/>
    <w:rsid w:val="08F460A3"/>
    <w:rsid w:val="091C444F"/>
    <w:rsid w:val="091D7619"/>
    <w:rsid w:val="0935731C"/>
    <w:rsid w:val="0938239A"/>
    <w:rsid w:val="093D0B2B"/>
    <w:rsid w:val="09412960"/>
    <w:rsid w:val="09412E4A"/>
    <w:rsid w:val="0941483F"/>
    <w:rsid w:val="0948254F"/>
    <w:rsid w:val="094D790A"/>
    <w:rsid w:val="095E2B42"/>
    <w:rsid w:val="0966724E"/>
    <w:rsid w:val="09703594"/>
    <w:rsid w:val="097413E6"/>
    <w:rsid w:val="097F1A8E"/>
    <w:rsid w:val="09814B8A"/>
    <w:rsid w:val="099033C8"/>
    <w:rsid w:val="099647B8"/>
    <w:rsid w:val="09AE4D7F"/>
    <w:rsid w:val="09B23C11"/>
    <w:rsid w:val="09B533FA"/>
    <w:rsid w:val="09B806E3"/>
    <w:rsid w:val="09BE750C"/>
    <w:rsid w:val="09E729C3"/>
    <w:rsid w:val="09F83049"/>
    <w:rsid w:val="0A026946"/>
    <w:rsid w:val="0A036E58"/>
    <w:rsid w:val="0A0C44DD"/>
    <w:rsid w:val="0A122403"/>
    <w:rsid w:val="0A1B0F91"/>
    <w:rsid w:val="0A1F3AE5"/>
    <w:rsid w:val="0A2543E3"/>
    <w:rsid w:val="0A2D3298"/>
    <w:rsid w:val="0A380551"/>
    <w:rsid w:val="0A4A0883"/>
    <w:rsid w:val="0A4A4BFF"/>
    <w:rsid w:val="0A4D36EF"/>
    <w:rsid w:val="0A4E2D94"/>
    <w:rsid w:val="0A585D05"/>
    <w:rsid w:val="0A650C83"/>
    <w:rsid w:val="0A663A0B"/>
    <w:rsid w:val="0A7D3C48"/>
    <w:rsid w:val="0A9637BC"/>
    <w:rsid w:val="0AA36050"/>
    <w:rsid w:val="0AA87667"/>
    <w:rsid w:val="0AAF446E"/>
    <w:rsid w:val="0AB343F0"/>
    <w:rsid w:val="0ACC123A"/>
    <w:rsid w:val="0ACD691B"/>
    <w:rsid w:val="0AE2585A"/>
    <w:rsid w:val="0AE778EA"/>
    <w:rsid w:val="0AF0486A"/>
    <w:rsid w:val="0AFA01E7"/>
    <w:rsid w:val="0B0326EF"/>
    <w:rsid w:val="0B103806"/>
    <w:rsid w:val="0B353684"/>
    <w:rsid w:val="0B38749D"/>
    <w:rsid w:val="0B406739"/>
    <w:rsid w:val="0B41221F"/>
    <w:rsid w:val="0B5029E9"/>
    <w:rsid w:val="0B6A00F5"/>
    <w:rsid w:val="0B7C44D7"/>
    <w:rsid w:val="0B7D193A"/>
    <w:rsid w:val="0B964DCF"/>
    <w:rsid w:val="0B9B048F"/>
    <w:rsid w:val="0BB33761"/>
    <w:rsid w:val="0BC70C25"/>
    <w:rsid w:val="0BC86BFF"/>
    <w:rsid w:val="0BD049D6"/>
    <w:rsid w:val="0BEB51B8"/>
    <w:rsid w:val="0C082FAF"/>
    <w:rsid w:val="0C094933"/>
    <w:rsid w:val="0C1C7246"/>
    <w:rsid w:val="0C3D37F5"/>
    <w:rsid w:val="0C4A4B62"/>
    <w:rsid w:val="0C4F4380"/>
    <w:rsid w:val="0C540B73"/>
    <w:rsid w:val="0C5D43C4"/>
    <w:rsid w:val="0C6838CF"/>
    <w:rsid w:val="0C6D40EC"/>
    <w:rsid w:val="0CB31B7F"/>
    <w:rsid w:val="0CD940F9"/>
    <w:rsid w:val="0CEA1C33"/>
    <w:rsid w:val="0CF305F1"/>
    <w:rsid w:val="0D081E40"/>
    <w:rsid w:val="0D0E73B0"/>
    <w:rsid w:val="0D141481"/>
    <w:rsid w:val="0D15073F"/>
    <w:rsid w:val="0D3A3D4E"/>
    <w:rsid w:val="0D4E6F1E"/>
    <w:rsid w:val="0D5059EA"/>
    <w:rsid w:val="0D5713D6"/>
    <w:rsid w:val="0D5B453C"/>
    <w:rsid w:val="0D5D716A"/>
    <w:rsid w:val="0D610F98"/>
    <w:rsid w:val="0D6202F7"/>
    <w:rsid w:val="0D665B4B"/>
    <w:rsid w:val="0D6C49CD"/>
    <w:rsid w:val="0D796AF7"/>
    <w:rsid w:val="0D814026"/>
    <w:rsid w:val="0D8C34F6"/>
    <w:rsid w:val="0D8F1F8E"/>
    <w:rsid w:val="0D90518E"/>
    <w:rsid w:val="0D9D7E2D"/>
    <w:rsid w:val="0DB77A48"/>
    <w:rsid w:val="0DC45CC1"/>
    <w:rsid w:val="0DD2455E"/>
    <w:rsid w:val="0DDE23FC"/>
    <w:rsid w:val="0DE46363"/>
    <w:rsid w:val="0DEA7C36"/>
    <w:rsid w:val="0DEE0E3A"/>
    <w:rsid w:val="0DFC3F15"/>
    <w:rsid w:val="0DFE11D3"/>
    <w:rsid w:val="0E141364"/>
    <w:rsid w:val="0E172295"/>
    <w:rsid w:val="0E1F739B"/>
    <w:rsid w:val="0E252C04"/>
    <w:rsid w:val="0E260B56"/>
    <w:rsid w:val="0E5B25EF"/>
    <w:rsid w:val="0E5F676E"/>
    <w:rsid w:val="0E6F1119"/>
    <w:rsid w:val="0E746889"/>
    <w:rsid w:val="0E8B6F12"/>
    <w:rsid w:val="0E8D69FB"/>
    <w:rsid w:val="0E901E9A"/>
    <w:rsid w:val="0E903615"/>
    <w:rsid w:val="0E925DBF"/>
    <w:rsid w:val="0EA37FCC"/>
    <w:rsid w:val="0EB33187"/>
    <w:rsid w:val="0EB777EE"/>
    <w:rsid w:val="0EBA199D"/>
    <w:rsid w:val="0EBD1572"/>
    <w:rsid w:val="0EC1253A"/>
    <w:rsid w:val="0EC42A86"/>
    <w:rsid w:val="0ECA7541"/>
    <w:rsid w:val="0ECC4AEA"/>
    <w:rsid w:val="0EF22FAB"/>
    <w:rsid w:val="0EF51B20"/>
    <w:rsid w:val="0EFB5BA4"/>
    <w:rsid w:val="0F11131D"/>
    <w:rsid w:val="0F1113DA"/>
    <w:rsid w:val="0F127011"/>
    <w:rsid w:val="0F127FC0"/>
    <w:rsid w:val="0F1F775E"/>
    <w:rsid w:val="0F3F6293"/>
    <w:rsid w:val="0F4001FD"/>
    <w:rsid w:val="0F4119EA"/>
    <w:rsid w:val="0F4C0412"/>
    <w:rsid w:val="0F4C5F6E"/>
    <w:rsid w:val="0F552F32"/>
    <w:rsid w:val="0F5F7E6B"/>
    <w:rsid w:val="0F647E61"/>
    <w:rsid w:val="0F692F34"/>
    <w:rsid w:val="0F6F41D0"/>
    <w:rsid w:val="0F734F9B"/>
    <w:rsid w:val="0F776271"/>
    <w:rsid w:val="0F7F7920"/>
    <w:rsid w:val="0F8F385D"/>
    <w:rsid w:val="0F9C6070"/>
    <w:rsid w:val="0F9D38B8"/>
    <w:rsid w:val="0FA617E8"/>
    <w:rsid w:val="0FCF5C3E"/>
    <w:rsid w:val="0FE51099"/>
    <w:rsid w:val="0FE82963"/>
    <w:rsid w:val="0FF13672"/>
    <w:rsid w:val="100434ED"/>
    <w:rsid w:val="10075607"/>
    <w:rsid w:val="101933BF"/>
    <w:rsid w:val="102007D4"/>
    <w:rsid w:val="102B4617"/>
    <w:rsid w:val="102E47D5"/>
    <w:rsid w:val="10314227"/>
    <w:rsid w:val="10576F9B"/>
    <w:rsid w:val="105A7250"/>
    <w:rsid w:val="106F5DD9"/>
    <w:rsid w:val="10707DED"/>
    <w:rsid w:val="107B0A99"/>
    <w:rsid w:val="10811B51"/>
    <w:rsid w:val="10891318"/>
    <w:rsid w:val="108B5960"/>
    <w:rsid w:val="108F369D"/>
    <w:rsid w:val="10A53609"/>
    <w:rsid w:val="10AE21D6"/>
    <w:rsid w:val="10B16995"/>
    <w:rsid w:val="10D40911"/>
    <w:rsid w:val="10EA0134"/>
    <w:rsid w:val="10EA2A39"/>
    <w:rsid w:val="1117403A"/>
    <w:rsid w:val="112F5B47"/>
    <w:rsid w:val="11414DF3"/>
    <w:rsid w:val="11615CA0"/>
    <w:rsid w:val="117874EE"/>
    <w:rsid w:val="117B3C36"/>
    <w:rsid w:val="118D50A1"/>
    <w:rsid w:val="118F0639"/>
    <w:rsid w:val="11985505"/>
    <w:rsid w:val="11A141A9"/>
    <w:rsid w:val="11B0086C"/>
    <w:rsid w:val="11BE797B"/>
    <w:rsid w:val="11C35C56"/>
    <w:rsid w:val="11D370A7"/>
    <w:rsid w:val="11DC2360"/>
    <w:rsid w:val="11E93F48"/>
    <w:rsid w:val="11EA4A32"/>
    <w:rsid w:val="11F535FE"/>
    <w:rsid w:val="12034887"/>
    <w:rsid w:val="121623F7"/>
    <w:rsid w:val="12170AB5"/>
    <w:rsid w:val="12185038"/>
    <w:rsid w:val="12216172"/>
    <w:rsid w:val="12281CBC"/>
    <w:rsid w:val="12356FC0"/>
    <w:rsid w:val="123A54B8"/>
    <w:rsid w:val="123F3E65"/>
    <w:rsid w:val="1250377D"/>
    <w:rsid w:val="1255155D"/>
    <w:rsid w:val="126535C0"/>
    <w:rsid w:val="12657834"/>
    <w:rsid w:val="12766AD6"/>
    <w:rsid w:val="127A617D"/>
    <w:rsid w:val="127C4DBC"/>
    <w:rsid w:val="1285312B"/>
    <w:rsid w:val="12A762DD"/>
    <w:rsid w:val="12A941DE"/>
    <w:rsid w:val="12B96010"/>
    <w:rsid w:val="12CB2F94"/>
    <w:rsid w:val="130452CF"/>
    <w:rsid w:val="13060C1B"/>
    <w:rsid w:val="130B7137"/>
    <w:rsid w:val="13300548"/>
    <w:rsid w:val="133534B2"/>
    <w:rsid w:val="134B3B75"/>
    <w:rsid w:val="1360718B"/>
    <w:rsid w:val="13713C34"/>
    <w:rsid w:val="138F513F"/>
    <w:rsid w:val="13905C3E"/>
    <w:rsid w:val="13906D71"/>
    <w:rsid w:val="13914897"/>
    <w:rsid w:val="13961EAE"/>
    <w:rsid w:val="139660E0"/>
    <w:rsid w:val="139C7FD0"/>
    <w:rsid w:val="13B161D1"/>
    <w:rsid w:val="13B708B9"/>
    <w:rsid w:val="13C0543A"/>
    <w:rsid w:val="13C62672"/>
    <w:rsid w:val="13D257FD"/>
    <w:rsid w:val="13D42FA3"/>
    <w:rsid w:val="13D5296B"/>
    <w:rsid w:val="13D970BE"/>
    <w:rsid w:val="13DB5D0F"/>
    <w:rsid w:val="13DD3A82"/>
    <w:rsid w:val="13F041CD"/>
    <w:rsid w:val="13F56E39"/>
    <w:rsid w:val="140B60A8"/>
    <w:rsid w:val="14163C6B"/>
    <w:rsid w:val="141E04FD"/>
    <w:rsid w:val="142851FC"/>
    <w:rsid w:val="143020F5"/>
    <w:rsid w:val="14360905"/>
    <w:rsid w:val="143C4803"/>
    <w:rsid w:val="143D4E8F"/>
    <w:rsid w:val="14464516"/>
    <w:rsid w:val="14602291"/>
    <w:rsid w:val="146432F4"/>
    <w:rsid w:val="146628F8"/>
    <w:rsid w:val="146E1CBF"/>
    <w:rsid w:val="146E79EA"/>
    <w:rsid w:val="147D6BCA"/>
    <w:rsid w:val="147E34A9"/>
    <w:rsid w:val="1486146A"/>
    <w:rsid w:val="14BA3609"/>
    <w:rsid w:val="14BA7E1E"/>
    <w:rsid w:val="14CC4C3E"/>
    <w:rsid w:val="14D74116"/>
    <w:rsid w:val="14EF2E55"/>
    <w:rsid w:val="14FA65CF"/>
    <w:rsid w:val="14FC0CD7"/>
    <w:rsid w:val="151A0E0E"/>
    <w:rsid w:val="151A5581"/>
    <w:rsid w:val="15214F1A"/>
    <w:rsid w:val="15231C6B"/>
    <w:rsid w:val="15233EB1"/>
    <w:rsid w:val="15323E58"/>
    <w:rsid w:val="153C7797"/>
    <w:rsid w:val="153F4003"/>
    <w:rsid w:val="15445A89"/>
    <w:rsid w:val="15451DDD"/>
    <w:rsid w:val="154A643F"/>
    <w:rsid w:val="154F0198"/>
    <w:rsid w:val="155C7A6B"/>
    <w:rsid w:val="155D53FF"/>
    <w:rsid w:val="15663FDE"/>
    <w:rsid w:val="15866987"/>
    <w:rsid w:val="158E167D"/>
    <w:rsid w:val="158F0F7F"/>
    <w:rsid w:val="1595422E"/>
    <w:rsid w:val="159B25D8"/>
    <w:rsid w:val="159D20D5"/>
    <w:rsid w:val="15A80D6D"/>
    <w:rsid w:val="15C04E67"/>
    <w:rsid w:val="15DE0225"/>
    <w:rsid w:val="15EA6956"/>
    <w:rsid w:val="15F85D34"/>
    <w:rsid w:val="161D2412"/>
    <w:rsid w:val="162D0289"/>
    <w:rsid w:val="1637002D"/>
    <w:rsid w:val="163B3A75"/>
    <w:rsid w:val="16414353"/>
    <w:rsid w:val="164F609E"/>
    <w:rsid w:val="165338EF"/>
    <w:rsid w:val="165D4F05"/>
    <w:rsid w:val="16735490"/>
    <w:rsid w:val="16750B10"/>
    <w:rsid w:val="167D03A0"/>
    <w:rsid w:val="168D57EA"/>
    <w:rsid w:val="168F79C9"/>
    <w:rsid w:val="16933CF2"/>
    <w:rsid w:val="16A833A8"/>
    <w:rsid w:val="16B26082"/>
    <w:rsid w:val="16B36C25"/>
    <w:rsid w:val="16B936DB"/>
    <w:rsid w:val="16BA262B"/>
    <w:rsid w:val="16C46D32"/>
    <w:rsid w:val="16C536D8"/>
    <w:rsid w:val="16D6663E"/>
    <w:rsid w:val="16DA3A6D"/>
    <w:rsid w:val="16DE4297"/>
    <w:rsid w:val="16E3365C"/>
    <w:rsid w:val="16F2564D"/>
    <w:rsid w:val="16F340A6"/>
    <w:rsid w:val="170A0BE8"/>
    <w:rsid w:val="170B0EEA"/>
    <w:rsid w:val="17142E42"/>
    <w:rsid w:val="1718638B"/>
    <w:rsid w:val="17320640"/>
    <w:rsid w:val="173C2D6C"/>
    <w:rsid w:val="1740285C"/>
    <w:rsid w:val="174B0F3E"/>
    <w:rsid w:val="17506B0A"/>
    <w:rsid w:val="176410F3"/>
    <w:rsid w:val="17662E55"/>
    <w:rsid w:val="177B148E"/>
    <w:rsid w:val="178B0C16"/>
    <w:rsid w:val="17AA0EA9"/>
    <w:rsid w:val="17AD6B97"/>
    <w:rsid w:val="17AF4F55"/>
    <w:rsid w:val="17B15508"/>
    <w:rsid w:val="17B82E66"/>
    <w:rsid w:val="17CB6EEE"/>
    <w:rsid w:val="17D1317C"/>
    <w:rsid w:val="17D27772"/>
    <w:rsid w:val="17D35D21"/>
    <w:rsid w:val="17EB28DA"/>
    <w:rsid w:val="17F26ECC"/>
    <w:rsid w:val="17FB1EAE"/>
    <w:rsid w:val="180D5BDE"/>
    <w:rsid w:val="18113658"/>
    <w:rsid w:val="18147058"/>
    <w:rsid w:val="18185587"/>
    <w:rsid w:val="181E33A1"/>
    <w:rsid w:val="1853036D"/>
    <w:rsid w:val="18590B71"/>
    <w:rsid w:val="186305B5"/>
    <w:rsid w:val="1867123B"/>
    <w:rsid w:val="186F0547"/>
    <w:rsid w:val="18795D56"/>
    <w:rsid w:val="18824183"/>
    <w:rsid w:val="189701DE"/>
    <w:rsid w:val="189C3090"/>
    <w:rsid w:val="18A5168B"/>
    <w:rsid w:val="18B232E6"/>
    <w:rsid w:val="18B34FA3"/>
    <w:rsid w:val="18B84674"/>
    <w:rsid w:val="18BB684E"/>
    <w:rsid w:val="18C6435F"/>
    <w:rsid w:val="18D52320"/>
    <w:rsid w:val="18D53F72"/>
    <w:rsid w:val="19000543"/>
    <w:rsid w:val="191F0629"/>
    <w:rsid w:val="192817FA"/>
    <w:rsid w:val="193266CA"/>
    <w:rsid w:val="193878CF"/>
    <w:rsid w:val="19400E38"/>
    <w:rsid w:val="195769BD"/>
    <w:rsid w:val="19752810"/>
    <w:rsid w:val="197A13BB"/>
    <w:rsid w:val="197C2AA7"/>
    <w:rsid w:val="19943B09"/>
    <w:rsid w:val="19963BF9"/>
    <w:rsid w:val="199649B5"/>
    <w:rsid w:val="19A90B8D"/>
    <w:rsid w:val="19AA437B"/>
    <w:rsid w:val="19BE68BB"/>
    <w:rsid w:val="19C60B17"/>
    <w:rsid w:val="19CE05F3"/>
    <w:rsid w:val="19D723D4"/>
    <w:rsid w:val="19D93928"/>
    <w:rsid w:val="19E266D9"/>
    <w:rsid w:val="1A311E73"/>
    <w:rsid w:val="1A313F19"/>
    <w:rsid w:val="1A426422"/>
    <w:rsid w:val="1A492E84"/>
    <w:rsid w:val="1A6E7D9F"/>
    <w:rsid w:val="1A701E90"/>
    <w:rsid w:val="1A73358A"/>
    <w:rsid w:val="1A734CF7"/>
    <w:rsid w:val="1A8D2737"/>
    <w:rsid w:val="1A911FDC"/>
    <w:rsid w:val="1AA55D3E"/>
    <w:rsid w:val="1AB05757"/>
    <w:rsid w:val="1AB30D84"/>
    <w:rsid w:val="1AB43864"/>
    <w:rsid w:val="1AC41C40"/>
    <w:rsid w:val="1AC740AA"/>
    <w:rsid w:val="1AE94FB9"/>
    <w:rsid w:val="1B037F4C"/>
    <w:rsid w:val="1B0B06A1"/>
    <w:rsid w:val="1B0D74A2"/>
    <w:rsid w:val="1B12015C"/>
    <w:rsid w:val="1B1262BE"/>
    <w:rsid w:val="1B20669F"/>
    <w:rsid w:val="1B222279"/>
    <w:rsid w:val="1B2939A3"/>
    <w:rsid w:val="1B2B5EC1"/>
    <w:rsid w:val="1B426994"/>
    <w:rsid w:val="1B5C3C47"/>
    <w:rsid w:val="1B5E1503"/>
    <w:rsid w:val="1B677821"/>
    <w:rsid w:val="1B693C84"/>
    <w:rsid w:val="1B726C65"/>
    <w:rsid w:val="1B8563DF"/>
    <w:rsid w:val="1BA31284"/>
    <w:rsid w:val="1BC47653"/>
    <w:rsid w:val="1BD6378F"/>
    <w:rsid w:val="1BDF0435"/>
    <w:rsid w:val="1BDF431D"/>
    <w:rsid w:val="1C024584"/>
    <w:rsid w:val="1C112A19"/>
    <w:rsid w:val="1C1D4385"/>
    <w:rsid w:val="1C217C9F"/>
    <w:rsid w:val="1C2A3ADB"/>
    <w:rsid w:val="1C2B3B01"/>
    <w:rsid w:val="1C3E7BB6"/>
    <w:rsid w:val="1C5E5533"/>
    <w:rsid w:val="1C6546EE"/>
    <w:rsid w:val="1C6C700D"/>
    <w:rsid w:val="1C6F16B0"/>
    <w:rsid w:val="1C7E3CD2"/>
    <w:rsid w:val="1C8036FB"/>
    <w:rsid w:val="1C872CDB"/>
    <w:rsid w:val="1C8807CA"/>
    <w:rsid w:val="1C8B56E4"/>
    <w:rsid w:val="1C8E479F"/>
    <w:rsid w:val="1C964054"/>
    <w:rsid w:val="1CAA3E1F"/>
    <w:rsid w:val="1CAF6E03"/>
    <w:rsid w:val="1CB64A31"/>
    <w:rsid w:val="1CBB46EB"/>
    <w:rsid w:val="1CC87964"/>
    <w:rsid w:val="1CE31607"/>
    <w:rsid w:val="1CE356EF"/>
    <w:rsid w:val="1CE87AF9"/>
    <w:rsid w:val="1CF013A0"/>
    <w:rsid w:val="1CF97A6A"/>
    <w:rsid w:val="1D144E9D"/>
    <w:rsid w:val="1D145CEF"/>
    <w:rsid w:val="1D3335A9"/>
    <w:rsid w:val="1D3F0E99"/>
    <w:rsid w:val="1D4A2099"/>
    <w:rsid w:val="1D5030CD"/>
    <w:rsid w:val="1D7007B3"/>
    <w:rsid w:val="1D8B5C02"/>
    <w:rsid w:val="1D8C151B"/>
    <w:rsid w:val="1D9D6CB2"/>
    <w:rsid w:val="1DB02E37"/>
    <w:rsid w:val="1DB95792"/>
    <w:rsid w:val="1DC0450D"/>
    <w:rsid w:val="1DCF7104"/>
    <w:rsid w:val="1DD0420E"/>
    <w:rsid w:val="1DE81558"/>
    <w:rsid w:val="1DEF28E6"/>
    <w:rsid w:val="1E067C30"/>
    <w:rsid w:val="1E07061E"/>
    <w:rsid w:val="1E165C30"/>
    <w:rsid w:val="1E200537"/>
    <w:rsid w:val="1E281B04"/>
    <w:rsid w:val="1E3977AF"/>
    <w:rsid w:val="1E422498"/>
    <w:rsid w:val="1E4C162B"/>
    <w:rsid w:val="1E4F7901"/>
    <w:rsid w:val="1E646E0B"/>
    <w:rsid w:val="1E686C73"/>
    <w:rsid w:val="1E895EF4"/>
    <w:rsid w:val="1E9207E0"/>
    <w:rsid w:val="1E926904"/>
    <w:rsid w:val="1E9D561F"/>
    <w:rsid w:val="1EAA389B"/>
    <w:rsid w:val="1EAE489C"/>
    <w:rsid w:val="1EB04050"/>
    <w:rsid w:val="1EB36FF4"/>
    <w:rsid w:val="1ECC0E79"/>
    <w:rsid w:val="1ED847E6"/>
    <w:rsid w:val="1EDD6E46"/>
    <w:rsid w:val="1F035894"/>
    <w:rsid w:val="1F0D1BEB"/>
    <w:rsid w:val="1F0F7F3D"/>
    <w:rsid w:val="1F1153BA"/>
    <w:rsid w:val="1F3A6CFF"/>
    <w:rsid w:val="1F3E3285"/>
    <w:rsid w:val="1F4D7114"/>
    <w:rsid w:val="1F5F1E65"/>
    <w:rsid w:val="1F604EB3"/>
    <w:rsid w:val="1F615A67"/>
    <w:rsid w:val="1F680BA2"/>
    <w:rsid w:val="1F733CD6"/>
    <w:rsid w:val="1F810443"/>
    <w:rsid w:val="1F824712"/>
    <w:rsid w:val="1F824A12"/>
    <w:rsid w:val="1F9A63A2"/>
    <w:rsid w:val="1FA96268"/>
    <w:rsid w:val="1FB1438B"/>
    <w:rsid w:val="1FBC2C9C"/>
    <w:rsid w:val="1FC15271"/>
    <w:rsid w:val="1FC83EB3"/>
    <w:rsid w:val="1FDB73ED"/>
    <w:rsid w:val="1FE65F6B"/>
    <w:rsid w:val="2002647C"/>
    <w:rsid w:val="20034A7D"/>
    <w:rsid w:val="201769FD"/>
    <w:rsid w:val="201C7209"/>
    <w:rsid w:val="203660D8"/>
    <w:rsid w:val="203A6BC1"/>
    <w:rsid w:val="20552DF5"/>
    <w:rsid w:val="205E1D30"/>
    <w:rsid w:val="20684BD2"/>
    <w:rsid w:val="206D21E8"/>
    <w:rsid w:val="206F2A21"/>
    <w:rsid w:val="207B4BA8"/>
    <w:rsid w:val="20880AF3"/>
    <w:rsid w:val="209E05F3"/>
    <w:rsid w:val="20B118AB"/>
    <w:rsid w:val="20B57751"/>
    <w:rsid w:val="20C649DD"/>
    <w:rsid w:val="20CE19CA"/>
    <w:rsid w:val="20DD6A14"/>
    <w:rsid w:val="20EA3839"/>
    <w:rsid w:val="20FD10FA"/>
    <w:rsid w:val="20FF5536"/>
    <w:rsid w:val="2102243B"/>
    <w:rsid w:val="211D03FB"/>
    <w:rsid w:val="211D7A3F"/>
    <w:rsid w:val="21225039"/>
    <w:rsid w:val="213C3D37"/>
    <w:rsid w:val="213F2708"/>
    <w:rsid w:val="214E201A"/>
    <w:rsid w:val="215A00E8"/>
    <w:rsid w:val="21707F49"/>
    <w:rsid w:val="217C26E3"/>
    <w:rsid w:val="217F58F7"/>
    <w:rsid w:val="21845A3B"/>
    <w:rsid w:val="2191470F"/>
    <w:rsid w:val="219A0AF0"/>
    <w:rsid w:val="21A13A5B"/>
    <w:rsid w:val="21B5791C"/>
    <w:rsid w:val="21BF0368"/>
    <w:rsid w:val="21CC405F"/>
    <w:rsid w:val="21DB773C"/>
    <w:rsid w:val="21E008B2"/>
    <w:rsid w:val="21F91F85"/>
    <w:rsid w:val="21FA7AAB"/>
    <w:rsid w:val="2204688E"/>
    <w:rsid w:val="222114DC"/>
    <w:rsid w:val="22355BCC"/>
    <w:rsid w:val="223A10F5"/>
    <w:rsid w:val="2259182F"/>
    <w:rsid w:val="225B36AB"/>
    <w:rsid w:val="22606DFF"/>
    <w:rsid w:val="22667F03"/>
    <w:rsid w:val="226D1939"/>
    <w:rsid w:val="22715E88"/>
    <w:rsid w:val="22794E74"/>
    <w:rsid w:val="22A45C83"/>
    <w:rsid w:val="22BA6A00"/>
    <w:rsid w:val="22CC1ECF"/>
    <w:rsid w:val="22CD0E39"/>
    <w:rsid w:val="22D20E98"/>
    <w:rsid w:val="22E4522A"/>
    <w:rsid w:val="22E5498D"/>
    <w:rsid w:val="22E961CD"/>
    <w:rsid w:val="22F86AB7"/>
    <w:rsid w:val="23020545"/>
    <w:rsid w:val="23077BDC"/>
    <w:rsid w:val="23093735"/>
    <w:rsid w:val="230C189F"/>
    <w:rsid w:val="23115084"/>
    <w:rsid w:val="23195B11"/>
    <w:rsid w:val="231D62E6"/>
    <w:rsid w:val="23260C4C"/>
    <w:rsid w:val="2335526F"/>
    <w:rsid w:val="233E60B2"/>
    <w:rsid w:val="23407BAE"/>
    <w:rsid w:val="23442BAE"/>
    <w:rsid w:val="234658C8"/>
    <w:rsid w:val="23503E27"/>
    <w:rsid w:val="2355768F"/>
    <w:rsid w:val="23583318"/>
    <w:rsid w:val="23610240"/>
    <w:rsid w:val="237755C0"/>
    <w:rsid w:val="239E5F7C"/>
    <w:rsid w:val="23A3724B"/>
    <w:rsid w:val="23AD74CB"/>
    <w:rsid w:val="23BA0AFE"/>
    <w:rsid w:val="23C60706"/>
    <w:rsid w:val="23D96059"/>
    <w:rsid w:val="23DA7498"/>
    <w:rsid w:val="23E43C2A"/>
    <w:rsid w:val="23E93F81"/>
    <w:rsid w:val="23F956CF"/>
    <w:rsid w:val="242D596D"/>
    <w:rsid w:val="2434111D"/>
    <w:rsid w:val="243B3073"/>
    <w:rsid w:val="244176EE"/>
    <w:rsid w:val="24455956"/>
    <w:rsid w:val="245C32BD"/>
    <w:rsid w:val="245D2152"/>
    <w:rsid w:val="246758CC"/>
    <w:rsid w:val="246F28F2"/>
    <w:rsid w:val="24761A2D"/>
    <w:rsid w:val="2477539B"/>
    <w:rsid w:val="24853FA4"/>
    <w:rsid w:val="24A9517E"/>
    <w:rsid w:val="24B0415B"/>
    <w:rsid w:val="24B7634F"/>
    <w:rsid w:val="24C4172F"/>
    <w:rsid w:val="24D524CF"/>
    <w:rsid w:val="24E65A5E"/>
    <w:rsid w:val="24F5375A"/>
    <w:rsid w:val="24F56F3E"/>
    <w:rsid w:val="24F9343E"/>
    <w:rsid w:val="250A51D3"/>
    <w:rsid w:val="252B253D"/>
    <w:rsid w:val="252D7C9D"/>
    <w:rsid w:val="253F50D4"/>
    <w:rsid w:val="255C4982"/>
    <w:rsid w:val="256570B8"/>
    <w:rsid w:val="25697422"/>
    <w:rsid w:val="256C21D6"/>
    <w:rsid w:val="257476D5"/>
    <w:rsid w:val="258A3C4D"/>
    <w:rsid w:val="25951944"/>
    <w:rsid w:val="259D70CC"/>
    <w:rsid w:val="25B0699F"/>
    <w:rsid w:val="25BE1E3F"/>
    <w:rsid w:val="25CD0F29"/>
    <w:rsid w:val="25CE7631"/>
    <w:rsid w:val="25D056B4"/>
    <w:rsid w:val="25D36F91"/>
    <w:rsid w:val="25D56858"/>
    <w:rsid w:val="25EB4EA4"/>
    <w:rsid w:val="25EF4F13"/>
    <w:rsid w:val="2632030C"/>
    <w:rsid w:val="26446E8E"/>
    <w:rsid w:val="2652562D"/>
    <w:rsid w:val="26572B07"/>
    <w:rsid w:val="26584F04"/>
    <w:rsid w:val="26864004"/>
    <w:rsid w:val="26890340"/>
    <w:rsid w:val="268F3C12"/>
    <w:rsid w:val="269404CF"/>
    <w:rsid w:val="269C7383"/>
    <w:rsid w:val="26A050C5"/>
    <w:rsid w:val="26A4798B"/>
    <w:rsid w:val="26A86AE9"/>
    <w:rsid w:val="26A96697"/>
    <w:rsid w:val="26AC4BA6"/>
    <w:rsid w:val="26B02B33"/>
    <w:rsid w:val="26C75D8F"/>
    <w:rsid w:val="26C81DFB"/>
    <w:rsid w:val="26DB1FEE"/>
    <w:rsid w:val="26E700E8"/>
    <w:rsid w:val="26EB755E"/>
    <w:rsid w:val="2730304F"/>
    <w:rsid w:val="273505C8"/>
    <w:rsid w:val="274A6DDF"/>
    <w:rsid w:val="275A4B42"/>
    <w:rsid w:val="27626317"/>
    <w:rsid w:val="276F5E13"/>
    <w:rsid w:val="279640AC"/>
    <w:rsid w:val="27965C2C"/>
    <w:rsid w:val="279D0FCE"/>
    <w:rsid w:val="27AC64B6"/>
    <w:rsid w:val="27AE284A"/>
    <w:rsid w:val="27BF7AFA"/>
    <w:rsid w:val="27C1133E"/>
    <w:rsid w:val="27CC78CD"/>
    <w:rsid w:val="27E42543"/>
    <w:rsid w:val="27E56B08"/>
    <w:rsid w:val="27F57ED5"/>
    <w:rsid w:val="28055100"/>
    <w:rsid w:val="280671AA"/>
    <w:rsid w:val="28121594"/>
    <w:rsid w:val="28155927"/>
    <w:rsid w:val="281950A5"/>
    <w:rsid w:val="28237D78"/>
    <w:rsid w:val="283535EA"/>
    <w:rsid w:val="28365A1B"/>
    <w:rsid w:val="285C50B8"/>
    <w:rsid w:val="288578C0"/>
    <w:rsid w:val="28862099"/>
    <w:rsid w:val="28890B3D"/>
    <w:rsid w:val="289435A4"/>
    <w:rsid w:val="28A03390"/>
    <w:rsid w:val="28A53C30"/>
    <w:rsid w:val="28AF0F29"/>
    <w:rsid w:val="28B946BA"/>
    <w:rsid w:val="28CF0010"/>
    <w:rsid w:val="28CF4E6A"/>
    <w:rsid w:val="28D2422F"/>
    <w:rsid w:val="28D53F35"/>
    <w:rsid w:val="28E53D65"/>
    <w:rsid w:val="28F14AFE"/>
    <w:rsid w:val="28F419C3"/>
    <w:rsid w:val="28F52584"/>
    <w:rsid w:val="28FD2DF6"/>
    <w:rsid w:val="291122AA"/>
    <w:rsid w:val="291A6A49"/>
    <w:rsid w:val="291F0C8E"/>
    <w:rsid w:val="29362051"/>
    <w:rsid w:val="29472B94"/>
    <w:rsid w:val="29484978"/>
    <w:rsid w:val="2980636E"/>
    <w:rsid w:val="29835009"/>
    <w:rsid w:val="2989080C"/>
    <w:rsid w:val="29975E41"/>
    <w:rsid w:val="299E348B"/>
    <w:rsid w:val="299F3927"/>
    <w:rsid w:val="29A1545C"/>
    <w:rsid w:val="29A350D5"/>
    <w:rsid w:val="29A94967"/>
    <w:rsid w:val="29B82726"/>
    <w:rsid w:val="29BF06C8"/>
    <w:rsid w:val="29C27101"/>
    <w:rsid w:val="29D46E34"/>
    <w:rsid w:val="29D878DC"/>
    <w:rsid w:val="29DE5984"/>
    <w:rsid w:val="29DE711E"/>
    <w:rsid w:val="29F56101"/>
    <w:rsid w:val="29FB1F57"/>
    <w:rsid w:val="29FF6A30"/>
    <w:rsid w:val="2A1410D6"/>
    <w:rsid w:val="2A230C9B"/>
    <w:rsid w:val="2A246C48"/>
    <w:rsid w:val="2A283640"/>
    <w:rsid w:val="2A4A2C16"/>
    <w:rsid w:val="2A5645EA"/>
    <w:rsid w:val="2A593C60"/>
    <w:rsid w:val="2A6B7306"/>
    <w:rsid w:val="2A757EFF"/>
    <w:rsid w:val="2A786BC3"/>
    <w:rsid w:val="2A7E4AB2"/>
    <w:rsid w:val="2A8E3994"/>
    <w:rsid w:val="2AA45B13"/>
    <w:rsid w:val="2AC0077D"/>
    <w:rsid w:val="2AC26E2F"/>
    <w:rsid w:val="2AD50B87"/>
    <w:rsid w:val="2AE85548"/>
    <w:rsid w:val="2AF035A6"/>
    <w:rsid w:val="2AF60F41"/>
    <w:rsid w:val="2B0573AE"/>
    <w:rsid w:val="2B0C416F"/>
    <w:rsid w:val="2B3B51D7"/>
    <w:rsid w:val="2B437973"/>
    <w:rsid w:val="2B4451D2"/>
    <w:rsid w:val="2B525DFF"/>
    <w:rsid w:val="2B5E20DE"/>
    <w:rsid w:val="2B691BDB"/>
    <w:rsid w:val="2B6B15C0"/>
    <w:rsid w:val="2B7050B6"/>
    <w:rsid w:val="2B725B05"/>
    <w:rsid w:val="2B761BC9"/>
    <w:rsid w:val="2B7A2827"/>
    <w:rsid w:val="2B8A6344"/>
    <w:rsid w:val="2B977110"/>
    <w:rsid w:val="2BAD0C2F"/>
    <w:rsid w:val="2BB7426D"/>
    <w:rsid w:val="2BC36034"/>
    <w:rsid w:val="2BD60C3A"/>
    <w:rsid w:val="2BDA071F"/>
    <w:rsid w:val="2BE4354F"/>
    <w:rsid w:val="2BE75544"/>
    <w:rsid w:val="2BED7120"/>
    <w:rsid w:val="2BF95101"/>
    <w:rsid w:val="2BFA3401"/>
    <w:rsid w:val="2C056DE6"/>
    <w:rsid w:val="2C2371EB"/>
    <w:rsid w:val="2C2B6E7C"/>
    <w:rsid w:val="2C336F38"/>
    <w:rsid w:val="2C385DA0"/>
    <w:rsid w:val="2C5343E5"/>
    <w:rsid w:val="2C5E20C2"/>
    <w:rsid w:val="2C716705"/>
    <w:rsid w:val="2C7B2D8A"/>
    <w:rsid w:val="2C7B4659"/>
    <w:rsid w:val="2C886012"/>
    <w:rsid w:val="2C9254B0"/>
    <w:rsid w:val="2CA30956"/>
    <w:rsid w:val="2CA528E3"/>
    <w:rsid w:val="2CA85296"/>
    <w:rsid w:val="2CAD4098"/>
    <w:rsid w:val="2CB90C8F"/>
    <w:rsid w:val="2CBB46B5"/>
    <w:rsid w:val="2CBD7D14"/>
    <w:rsid w:val="2CDF621C"/>
    <w:rsid w:val="2CF235FA"/>
    <w:rsid w:val="2CF4583C"/>
    <w:rsid w:val="2CF9552F"/>
    <w:rsid w:val="2CFD6C66"/>
    <w:rsid w:val="2D00158D"/>
    <w:rsid w:val="2D097662"/>
    <w:rsid w:val="2D17219F"/>
    <w:rsid w:val="2D18600E"/>
    <w:rsid w:val="2D202C25"/>
    <w:rsid w:val="2D2417C1"/>
    <w:rsid w:val="2D361AC0"/>
    <w:rsid w:val="2D380DD8"/>
    <w:rsid w:val="2D6824BE"/>
    <w:rsid w:val="2D684463"/>
    <w:rsid w:val="2D7A0CE6"/>
    <w:rsid w:val="2D807DFD"/>
    <w:rsid w:val="2D8178D2"/>
    <w:rsid w:val="2D86558F"/>
    <w:rsid w:val="2D9044A2"/>
    <w:rsid w:val="2DA85A9C"/>
    <w:rsid w:val="2DA91AF5"/>
    <w:rsid w:val="2DBB4E4C"/>
    <w:rsid w:val="2DBC66B0"/>
    <w:rsid w:val="2DBF3DA9"/>
    <w:rsid w:val="2DD07382"/>
    <w:rsid w:val="2DEA1AA1"/>
    <w:rsid w:val="2DEF248E"/>
    <w:rsid w:val="2DF4181D"/>
    <w:rsid w:val="2DFB52D7"/>
    <w:rsid w:val="2E0657A8"/>
    <w:rsid w:val="2E0C11E8"/>
    <w:rsid w:val="2E246FB8"/>
    <w:rsid w:val="2E253E0B"/>
    <w:rsid w:val="2E261D0E"/>
    <w:rsid w:val="2E2959A0"/>
    <w:rsid w:val="2E3C1C9A"/>
    <w:rsid w:val="2E4A115F"/>
    <w:rsid w:val="2E50117F"/>
    <w:rsid w:val="2E604F8B"/>
    <w:rsid w:val="2E6526A9"/>
    <w:rsid w:val="2E74293F"/>
    <w:rsid w:val="2E751EAC"/>
    <w:rsid w:val="2E772B3A"/>
    <w:rsid w:val="2E7B0DB2"/>
    <w:rsid w:val="2E7C15AE"/>
    <w:rsid w:val="2E80101E"/>
    <w:rsid w:val="2E8C0FA8"/>
    <w:rsid w:val="2EA66FF1"/>
    <w:rsid w:val="2EA87E19"/>
    <w:rsid w:val="2EAC61EC"/>
    <w:rsid w:val="2ED52EBC"/>
    <w:rsid w:val="2EEE2746"/>
    <w:rsid w:val="2EFB570F"/>
    <w:rsid w:val="2EFF2BA5"/>
    <w:rsid w:val="2F000197"/>
    <w:rsid w:val="2F1704AF"/>
    <w:rsid w:val="2F454A5C"/>
    <w:rsid w:val="2F477003"/>
    <w:rsid w:val="2F487E7B"/>
    <w:rsid w:val="2F650C5A"/>
    <w:rsid w:val="2F6A0D67"/>
    <w:rsid w:val="2FB24F03"/>
    <w:rsid w:val="2FBE28E6"/>
    <w:rsid w:val="2FCA4F61"/>
    <w:rsid w:val="2FD47B8E"/>
    <w:rsid w:val="2FD836F5"/>
    <w:rsid w:val="2FDF27B5"/>
    <w:rsid w:val="2FF14F7E"/>
    <w:rsid w:val="30006C9E"/>
    <w:rsid w:val="30021CCD"/>
    <w:rsid w:val="3008000E"/>
    <w:rsid w:val="3015351D"/>
    <w:rsid w:val="30241CB9"/>
    <w:rsid w:val="303201B8"/>
    <w:rsid w:val="30416492"/>
    <w:rsid w:val="30610DAB"/>
    <w:rsid w:val="307C0B69"/>
    <w:rsid w:val="307C6734"/>
    <w:rsid w:val="307F38D7"/>
    <w:rsid w:val="30834489"/>
    <w:rsid w:val="30864293"/>
    <w:rsid w:val="308E66F4"/>
    <w:rsid w:val="30991634"/>
    <w:rsid w:val="30A64C0F"/>
    <w:rsid w:val="30B838E5"/>
    <w:rsid w:val="30BD1619"/>
    <w:rsid w:val="30D7395D"/>
    <w:rsid w:val="30D92FEC"/>
    <w:rsid w:val="30E20088"/>
    <w:rsid w:val="30ED7B4B"/>
    <w:rsid w:val="30F47947"/>
    <w:rsid w:val="30F83C67"/>
    <w:rsid w:val="31036B1D"/>
    <w:rsid w:val="31050064"/>
    <w:rsid w:val="31102E48"/>
    <w:rsid w:val="31192BFA"/>
    <w:rsid w:val="311D1646"/>
    <w:rsid w:val="31244B45"/>
    <w:rsid w:val="31444AF4"/>
    <w:rsid w:val="314744EF"/>
    <w:rsid w:val="3150491A"/>
    <w:rsid w:val="315414FD"/>
    <w:rsid w:val="315E252D"/>
    <w:rsid w:val="315F6975"/>
    <w:rsid w:val="318B33B6"/>
    <w:rsid w:val="319A726C"/>
    <w:rsid w:val="319E1DF4"/>
    <w:rsid w:val="319E4E8E"/>
    <w:rsid w:val="319E66A5"/>
    <w:rsid w:val="31A17DF8"/>
    <w:rsid w:val="31A52FE8"/>
    <w:rsid w:val="31B001F6"/>
    <w:rsid w:val="31B4661E"/>
    <w:rsid w:val="31B67773"/>
    <w:rsid w:val="31D27480"/>
    <w:rsid w:val="31DF7927"/>
    <w:rsid w:val="31E01BEE"/>
    <w:rsid w:val="31ED71F0"/>
    <w:rsid w:val="31FC147B"/>
    <w:rsid w:val="32052D4B"/>
    <w:rsid w:val="32061B91"/>
    <w:rsid w:val="320B59E4"/>
    <w:rsid w:val="32153829"/>
    <w:rsid w:val="321D101F"/>
    <w:rsid w:val="32272EED"/>
    <w:rsid w:val="32287B80"/>
    <w:rsid w:val="322A7F2B"/>
    <w:rsid w:val="323C1AE3"/>
    <w:rsid w:val="3254607F"/>
    <w:rsid w:val="32594268"/>
    <w:rsid w:val="325B0810"/>
    <w:rsid w:val="32624A13"/>
    <w:rsid w:val="326979CB"/>
    <w:rsid w:val="326A4966"/>
    <w:rsid w:val="326D2393"/>
    <w:rsid w:val="326E58E9"/>
    <w:rsid w:val="32752290"/>
    <w:rsid w:val="329C5424"/>
    <w:rsid w:val="32B12408"/>
    <w:rsid w:val="32C25277"/>
    <w:rsid w:val="32C417C5"/>
    <w:rsid w:val="32DB1DF4"/>
    <w:rsid w:val="32E32E4B"/>
    <w:rsid w:val="32E44202"/>
    <w:rsid w:val="32E4458C"/>
    <w:rsid w:val="32E97489"/>
    <w:rsid w:val="32EB3F5A"/>
    <w:rsid w:val="32EC3D98"/>
    <w:rsid w:val="32F41DF8"/>
    <w:rsid w:val="32F81778"/>
    <w:rsid w:val="32F94F64"/>
    <w:rsid w:val="33093F6B"/>
    <w:rsid w:val="331544AF"/>
    <w:rsid w:val="3328091C"/>
    <w:rsid w:val="332A4BB9"/>
    <w:rsid w:val="332B0AFE"/>
    <w:rsid w:val="334D2131"/>
    <w:rsid w:val="334F56CA"/>
    <w:rsid w:val="336523F9"/>
    <w:rsid w:val="33660DD3"/>
    <w:rsid w:val="337C6524"/>
    <w:rsid w:val="33A337CD"/>
    <w:rsid w:val="33A47B1A"/>
    <w:rsid w:val="33AC0274"/>
    <w:rsid w:val="33B148A6"/>
    <w:rsid w:val="33B73A4E"/>
    <w:rsid w:val="33BA02C6"/>
    <w:rsid w:val="33BF3B31"/>
    <w:rsid w:val="33C24CB6"/>
    <w:rsid w:val="33D158C0"/>
    <w:rsid w:val="33D20D58"/>
    <w:rsid w:val="33D37F3D"/>
    <w:rsid w:val="33E13178"/>
    <w:rsid w:val="33F0102A"/>
    <w:rsid w:val="33F842B3"/>
    <w:rsid w:val="34017ED3"/>
    <w:rsid w:val="34044C55"/>
    <w:rsid w:val="340D3FED"/>
    <w:rsid w:val="341D189C"/>
    <w:rsid w:val="344258B8"/>
    <w:rsid w:val="34481F5E"/>
    <w:rsid w:val="34536D08"/>
    <w:rsid w:val="345B3646"/>
    <w:rsid w:val="34683799"/>
    <w:rsid w:val="346E2F65"/>
    <w:rsid w:val="3475396F"/>
    <w:rsid w:val="34844022"/>
    <w:rsid w:val="34945B3E"/>
    <w:rsid w:val="34967B08"/>
    <w:rsid w:val="349853FF"/>
    <w:rsid w:val="34A54FF1"/>
    <w:rsid w:val="34AC534F"/>
    <w:rsid w:val="34BC30BB"/>
    <w:rsid w:val="34BF6350"/>
    <w:rsid w:val="34C42040"/>
    <w:rsid w:val="34DA207D"/>
    <w:rsid w:val="34E00D83"/>
    <w:rsid w:val="34E61D44"/>
    <w:rsid w:val="34E72111"/>
    <w:rsid w:val="34F37911"/>
    <w:rsid w:val="35067908"/>
    <w:rsid w:val="350A2B1E"/>
    <w:rsid w:val="351948E5"/>
    <w:rsid w:val="351E048B"/>
    <w:rsid w:val="352358DC"/>
    <w:rsid w:val="354B26A0"/>
    <w:rsid w:val="357A1BBA"/>
    <w:rsid w:val="357B19A4"/>
    <w:rsid w:val="35973DF6"/>
    <w:rsid w:val="35997983"/>
    <w:rsid w:val="359E0601"/>
    <w:rsid w:val="35A25D24"/>
    <w:rsid w:val="35C652A3"/>
    <w:rsid w:val="35CA5CBB"/>
    <w:rsid w:val="35D50D51"/>
    <w:rsid w:val="35E94C78"/>
    <w:rsid w:val="35F36723"/>
    <w:rsid w:val="35FA5CAD"/>
    <w:rsid w:val="360A7D81"/>
    <w:rsid w:val="36191067"/>
    <w:rsid w:val="36223259"/>
    <w:rsid w:val="36543C17"/>
    <w:rsid w:val="36556ADB"/>
    <w:rsid w:val="3672559D"/>
    <w:rsid w:val="368F2A60"/>
    <w:rsid w:val="36907D19"/>
    <w:rsid w:val="36B31352"/>
    <w:rsid w:val="36BD442F"/>
    <w:rsid w:val="36D27A70"/>
    <w:rsid w:val="36DD37CC"/>
    <w:rsid w:val="36E7464B"/>
    <w:rsid w:val="36F7304E"/>
    <w:rsid w:val="3715740A"/>
    <w:rsid w:val="371708EF"/>
    <w:rsid w:val="372955E9"/>
    <w:rsid w:val="372C319C"/>
    <w:rsid w:val="372D4F66"/>
    <w:rsid w:val="37492644"/>
    <w:rsid w:val="37585DD6"/>
    <w:rsid w:val="375A59F8"/>
    <w:rsid w:val="376679EE"/>
    <w:rsid w:val="37674F60"/>
    <w:rsid w:val="37723020"/>
    <w:rsid w:val="377D0DE1"/>
    <w:rsid w:val="3784725B"/>
    <w:rsid w:val="3787568B"/>
    <w:rsid w:val="37912ECB"/>
    <w:rsid w:val="379509DD"/>
    <w:rsid w:val="37B02C8E"/>
    <w:rsid w:val="37C17049"/>
    <w:rsid w:val="37CE19BF"/>
    <w:rsid w:val="37DB32AA"/>
    <w:rsid w:val="37E67063"/>
    <w:rsid w:val="38185828"/>
    <w:rsid w:val="381F54C3"/>
    <w:rsid w:val="382B67B9"/>
    <w:rsid w:val="383C394D"/>
    <w:rsid w:val="383D2BEB"/>
    <w:rsid w:val="38545D10"/>
    <w:rsid w:val="38567A25"/>
    <w:rsid w:val="385E25A5"/>
    <w:rsid w:val="386A2340"/>
    <w:rsid w:val="386C414F"/>
    <w:rsid w:val="387169A3"/>
    <w:rsid w:val="388176C5"/>
    <w:rsid w:val="3885091B"/>
    <w:rsid w:val="3894622B"/>
    <w:rsid w:val="38A0587E"/>
    <w:rsid w:val="38AA544C"/>
    <w:rsid w:val="38AC47E0"/>
    <w:rsid w:val="38BD3037"/>
    <w:rsid w:val="38D01112"/>
    <w:rsid w:val="38D328E4"/>
    <w:rsid w:val="38D9744D"/>
    <w:rsid w:val="38DC2EE8"/>
    <w:rsid w:val="38EC22C0"/>
    <w:rsid w:val="38F50BB0"/>
    <w:rsid w:val="390D05A1"/>
    <w:rsid w:val="391726D1"/>
    <w:rsid w:val="391A4F7C"/>
    <w:rsid w:val="392B3DF9"/>
    <w:rsid w:val="3945339C"/>
    <w:rsid w:val="39487399"/>
    <w:rsid w:val="3964610A"/>
    <w:rsid w:val="396C04F2"/>
    <w:rsid w:val="396D55F7"/>
    <w:rsid w:val="397F35B2"/>
    <w:rsid w:val="39840A65"/>
    <w:rsid w:val="399F30A0"/>
    <w:rsid w:val="39B33CF8"/>
    <w:rsid w:val="39D07243"/>
    <w:rsid w:val="39E64392"/>
    <w:rsid w:val="39EC1291"/>
    <w:rsid w:val="39EC1AC0"/>
    <w:rsid w:val="39F01A68"/>
    <w:rsid w:val="3A0B4AF4"/>
    <w:rsid w:val="3A0D33E1"/>
    <w:rsid w:val="3A127DC0"/>
    <w:rsid w:val="3A1D4425"/>
    <w:rsid w:val="3A211C22"/>
    <w:rsid w:val="3A2404D7"/>
    <w:rsid w:val="3A281F84"/>
    <w:rsid w:val="3A285511"/>
    <w:rsid w:val="3A2D4A6A"/>
    <w:rsid w:val="3A342C47"/>
    <w:rsid w:val="3A35277D"/>
    <w:rsid w:val="3A3B1CF2"/>
    <w:rsid w:val="3A3D063A"/>
    <w:rsid w:val="3A431C35"/>
    <w:rsid w:val="3A5D7DC9"/>
    <w:rsid w:val="3A6853C7"/>
    <w:rsid w:val="3A745C62"/>
    <w:rsid w:val="3A77442C"/>
    <w:rsid w:val="3A781D0E"/>
    <w:rsid w:val="3A791A5E"/>
    <w:rsid w:val="3AAE4628"/>
    <w:rsid w:val="3AAF2386"/>
    <w:rsid w:val="3ABA7710"/>
    <w:rsid w:val="3ABC078C"/>
    <w:rsid w:val="3ABF3E34"/>
    <w:rsid w:val="3AC76698"/>
    <w:rsid w:val="3ACF0065"/>
    <w:rsid w:val="3AEF0371"/>
    <w:rsid w:val="3AF455B0"/>
    <w:rsid w:val="3AF50414"/>
    <w:rsid w:val="3AFC6E57"/>
    <w:rsid w:val="3AFE35CF"/>
    <w:rsid w:val="3B0F3A36"/>
    <w:rsid w:val="3B14592F"/>
    <w:rsid w:val="3B1D688D"/>
    <w:rsid w:val="3B2958BE"/>
    <w:rsid w:val="3B462BF9"/>
    <w:rsid w:val="3B4F5C63"/>
    <w:rsid w:val="3B5178FA"/>
    <w:rsid w:val="3B543D4D"/>
    <w:rsid w:val="3B547717"/>
    <w:rsid w:val="3B567820"/>
    <w:rsid w:val="3B572AFC"/>
    <w:rsid w:val="3B6B6844"/>
    <w:rsid w:val="3B6C297A"/>
    <w:rsid w:val="3B7C6206"/>
    <w:rsid w:val="3B8263EE"/>
    <w:rsid w:val="3B9D432D"/>
    <w:rsid w:val="3BB70A8F"/>
    <w:rsid w:val="3BBA01EB"/>
    <w:rsid w:val="3BC13C92"/>
    <w:rsid w:val="3BDD63AE"/>
    <w:rsid w:val="3BE236DE"/>
    <w:rsid w:val="3BE46009"/>
    <w:rsid w:val="3C153A08"/>
    <w:rsid w:val="3C1D7D4D"/>
    <w:rsid w:val="3C1F2BFB"/>
    <w:rsid w:val="3C2F3253"/>
    <w:rsid w:val="3C492848"/>
    <w:rsid w:val="3C4E1CF2"/>
    <w:rsid w:val="3C6504EB"/>
    <w:rsid w:val="3C6A2EEF"/>
    <w:rsid w:val="3C70354E"/>
    <w:rsid w:val="3C720E5A"/>
    <w:rsid w:val="3C762246"/>
    <w:rsid w:val="3C9506A5"/>
    <w:rsid w:val="3C9C4DD6"/>
    <w:rsid w:val="3CA60E9D"/>
    <w:rsid w:val="3CAA3895"/>
    <w:rsid w:val="3CB119DA"/>
    <w:rsid w:val="3CBD2815"/>
    <w:rsid w:val="3CBE3A21"/>
    <w:rsid w:val="3CD20737"/>
    <w:rsid w:val="3CE5162C"/>
    <w:rsid w:val="3CFC621C"/>
    <w:rsid w:val="3CFF3AC4"/>
    <w:rsid w:val="3D02400E"/>
    <w:rsid w:val="3D035F79"/>
    <w:rsid w:val="3D0C6BB9"/>
    <w:rsid w:val="3D0E3B21"/>
    <w:rsid w:val="3D197BB5"/>
    <w:rsid w:val="3D1F4F02"/>
    <w:rsid w:val="3D736D63"/>
    <w:rsid w:val="3D761C02"/>
    <w:rsid w:val="3D826E7B"/>
    <w:rsid w:val="3D895469"/>
    <w:rsid w:val="3DAA29BA"/>
    <w:rsid w:val="3DC772B9"/>
    <w:rsid w:val="3DDC3A87"/>
    <w:rsid w:val="3E030016"/>
    <w:rsid w:val="3E065707"/>
    <w:rsid w:val="3E1219F1"/>
    <w:rsid w:val="3E1D4DF6"/>
    <w:rsid w:val="3E2D5039"/>
    <w:rsid w:val="3E3A5AE0"/>
    <w:rsid w:val="3E3E00DD"/>
    <w:rsid w:val="3E4A6448"/>
    <w:rsid w:val="3E4C4B0E"/>
    <w:rsid w:val="3E50174F"/>
    <w:rsid w:val="3E5A3259"/>
    <w:rsid w:val="3E5C0316"/>
    <w:rsid w:val="3E6E3E90"/>
    <w:rsid w:val="3E712F6F"/>
    <w:rsid w:val="3E862568"/>
    <w:rsid w:val="3EC05BD5"/>
    <w:rsid w:val="3EC42C39"/>
    <w:rsid w:val="3EE002FD"/>
    <w:rsid w:val="3EED39A0"/>
    <w:rsid w:val="3EEF26F1"/>
    <w:rsid w:val="3F0435F4"/>
    <w:rsid w:val="3F0709CF"/>
    <w:rsid w:val="3F073ADC"/>
    <w:rsid w:val="3F1855D9"/>
    <w:rsid w:val="3F185CE9"/>
    <w:rsid w:val="3F1F2786"/>
    <w:rsid w:val="3F3D012F"/>
    <w:rsid w:val="3F486FD4"/>
    <w:rsid w:val="3F4C690D"/>
    <w:rsid w:val="3F5121A6"/>
    <w:rsid w:val="3F717531"/>
    <w:rsid w:val="3F7349CA"/>
    <w:rsid w:val="3F7E6170"/>
    <w:rsid w:val="3F870779"/>
    <w:rsid w:val="3F906E4B"/>
    <w:rsid w:val="3FC52C55"/>
    <w:rsid w:val="3FCD4934"/>
    <w:rsid w:val="3FDE5A59"/>
    <w:rsid w:val="3FE32673"/>
    <w:rsid w:val="3FE361D0"/>
    <w:rsid w:val="3FE73AD8"/>
    <w:rsid w:val="3FED2DDB"/>
    <w:rsid w:val="3FF32608"/>
    <w:rsid w:val="3FF40A7F"/>
    <w:rsid w:val="3FF6563C"/>
    <w:rsid w:val="3FF65832"/>
    <w:rsid w:val="3FF676AC"/>
    <w:rsid w:val="3FFB5841"/>
    <w:rsid w:val="40097857"/>
    <w:rsid w:val="400B33AE"/>
    <w:rsid w:val="4012396E"/>
    <w:rsid w:val="401C1A53"/>
    <w:rsid w:val="40296CAD"/>
    <w:rsid w:val="402E4650"/>
    <w:rsid w:val="403B3CFB"/>
    <w:rsid w:val="403D755F"/>
    <w:rsid w:val="403E42C4"/>
    <w:rsid w:val="4057639D"/>
    <w:rsid w:val="406701F7"/>
    <w:rsid w:val="409475F1"/>
    <w:rsid w:val="40A77BE8"/>
    <w:rsid w:val="40A8087E"/>
    <w:rsid w:val="40A92A88"/>
    <w:rsid w:val="40AD070C"/>
    <w:rsid w:val="40AE60D4"/>
    <w:rsid w:val="40E40065"/>
    <w:rsid w:val="41160006"/>
    <w:rsid w:val="41190079"/>
    <w:rsid w:val="411E780E"/>
    <w:rsid w:val="412165CA"/>
    <w:rsid w:val="412600C3"/>
    <w:rsid w:val="41326F3F"/>
    <w:rsid w:val="413275CF"/>
    <w:rsid w:val="414C2F58"/>
    <w:rsid w:val="416C412F"/>
    <w:rsid w:val="416D7B42"/>
    <w:rsid w:val="41732898"/>
    <w:rsid w:val="417D6F99"/>
    <w:rsid w:val="41822A20"/>
    <w:rsid w:val="41860C99"/>
    <w:rsid w:val="418615CC"/>
    <w:rsid w:val="41863A79"/>
    <w:rsid w:val="418F04C5"/>
    <w:rsid w:val="419608F7"/>
    <w:rsid w:val="41A36C7A"/>
    <w:rsid w:val="41A628BB"/>
    <w:rsid w:val="41A94BE2"/>
    <w:rsid w:val="41B95694"/>
    <w:rsid w:val="41BA1C65"/>
    <w:rsid w:val="41D01F06"/>
    <w:rsid w:val="41EA6CFB"/>
    <w:rsid w:val="41F113B7"/>
    <w:rsid w:val="41FD4922"/>
    <w:rsid w:val="420348A2"/>
    <w:rsid w:val="42070365"/>
    <w:rsid w:val="420E47DF"/>
    <w:rsid w:val="421B5967"/>
    <w:rsid w:val="421C7275"/>
    <w:rsid w:val="421E283A"/>
    <w:rsid w:val="421E44F4"/>
    <w:rsid w:val="42395247"/>
    <w:rsid w:val="424B6411"/>
    <w:rsid w:val="424F7440"/>
    <w:rsid w:val="425176DC"/>
    <w:rsid w:val="42557B31"/>
    <w:rsid w:val="42580B73"/>
    <w:rsid w:val="425B5FCD"/>
    <w:rsid w:val="425C3DBA"/>
    <w:rsid w:val="425E25A2"/>
    <w:rsid w:val="428C0CFF"/>
    <w:rsid w:val="42994780"/>
    <w:rsid w:val="429A1DCC"/>
    <w:rsid w:val="429A6E42"/>
    <w:rsid w:val="42AB03C4"/>
    <w:rsid w:val="42B51AA1"/>
    <w:rsid w:val="42B6230E"/>
    <w:rsid w:val="42BB7828"/>
    <w:rsid w:val="42BD02CF"/>
    <w:rsid w:val="42E67EAC"/>
    <w:rsid w:val="42FB3958"/>
    <w:rsid w:val="43016A94"/>
    <w:rsid w:val="43077BF5"/>
    <w:rsid w:val="430A7D4C"/>
    <w:rsid w:val="431467C7"/>
    <w:rsid w:val="43220AE7"/>
    <w:rsid w:val="43280ACE"/>
    <w:rsid w:val="432A10C9"/>
    <w:rsid w:val="43370708"/>
    <w:rsid w:val="4342053A"/>
    <w:rsid w:val="434F0845"/>
    <w:rsid w:val="435C1F1C"/>
    <w:rsid w:val="43607AA0"/>
    <w:rsid w:val="437A49AC"/>
    <w:rsid w:val="437F16F7"/>
    <w:rsid w:val="43821B7C"/>
    <w:rsid w:val="43843600"/>
    <w:rsid w:val="438D6F02"/>
    <w:rsid w:val="439763D1"/>
    <w:rsid w:val="439B1BD6"/>
    <w:rsid w:val="43A152E1"/>
    <w:rsid w:val="43AA712C"/>
    <w:rsid w:val="43B527EA"/>
    <w:rsid w:val="43CD2DF2"/>
    <w:rsid w:val="43E17924"/>
    <w:rsid w:val="43ED0DC6"/>
    <w:rsid w:val="43F46FFC"/>
    <w:rsid w:val="441550E8"/>
    <w:rsid w:val="44220E7C"/>
    <w:rsid w:val="442719E2"/>
    <w:rsid w:val="442D3C97"/>
    <w:rsid w:val="4432571E"/>
    <w:rsid w:val="44450152"/>
    <w:rsid w:val="444E121C"/>
    <w:rsid w:val="445760A9"/>
    <w:rsid w:val="445C6678"/>
    <w:rsid w:val="445E078E"/>
    <w:rsid w:val="44630D8A"/>
    <w:rsid w:val="44641580"/>
    <w:rsid w:val="44753296"/>
    <w:rsid w:val="4475652B"/>
    <w:rsid w:val="447845F0"/>
    <w:rsid w:val="44811BF6"/>
    <w:rsid w:val="4487554F"/>
    <w:rsid w:val="44896CFB"/>
    <w:rsid w:val="448F4B5A"/>
    <w:rsid w:val="448F752A"/>
    <w:rsid w:val="44924DA7"/>
    <w:rsid w:val="449B7D57"/>
    <w:rsid w:val="44A8366B"/>
    <w:rsid w:val="44A95BA2"/>
    <w:rsid w:val="44AA1C0A"/>
    <w:rsid w:val="44B27A36"/>
    <w:rsid w:val="44B553B7"/>
    <w:rsid w:val="44B71B00"/>
    <w:rsid w:val="44C1768E"/>
    <w:rsid w:val="44C45FCB"/>
    <w:rsid w:val="44D501D8"/>
    <w:rsid w:val="44D87F96"/>
    <w:rsid w:val="44E8242B"/>
    <w:rsid w:val="44FF5255"/>
    <w:rsid w:val="450D45D2"/>
    <w:rsid w:val="451A4F5C"/>
    <w:rsid w:val="452B5505"/>
    <w:rsid w:val="45311038"/>
    <w:rsid w:val="45451E05"/>
    <w:rsid w:val="45464C32"/>
    <w:rsid w:val="45501DCD"/>
    <w:rsid w:val="455A2B65"/>
    <w:rsid w:val="45644E54"/>
    <w:rsid w:val="456D7390"/>
    <w:rsid w:val="45770EAB"/>
    <w:rsid w:val="458A2CCA"/>
    <w:rsid w:val="45B352DC"/>
    <w:rsid w:val="45CB3C1A"/>
    <w:rsid w:val="46133B1F"/>
    <w:rsid w:val="46176FF5"/>
    <w:rsid w:val="461B60BF"/>
    <w:rsid w:val="463112A1"/>
    <w:rsid w:val="46476EB4"/>
    <w:rsid w:val="46591650"/>
    <w:rsid w:val="465E3AC4"/>
    <w:rsid w:val="46626AE8"/>
    <w:rsid w:val="46665417"/>
    <w:rsid w:val="466C3F07"/>
    <w:rsid w:val="466C46A9"/>
    <w:rsid w:val="46795908"/>
    <w:rsid w:val="46803289"/>
    <w:rsid w:val="46945C37"/>
    <w:rsid w:val="46A63E69"/>
    <w:rsid w:val="46B74393"/>
    <w:rsid w:val="46C44AED"/>
    <w:rsid w:val="46CC3BF2"/>
    <w:rsid w:val="46CE5E75"/>
    <w:rsid w:val="46D06EA9"/>
    <w:rsid w:val="46D24C32"/>
    <w:rsid w:val="46D549D6"/>
    <w:rsid w:val="46EC64E9"/>
    <w:rsid w:val="470C2E09"/>
    <w:rsid w:val="473A7B98"/>
    <w:rsid w:val="4750541F"/>
    <w:rsid w:val="476451F1"/>
    <w:rsid w:val="47795A16"/>
    <w:rsid w:val="477D2FA6"/>
    <w:rsid w:val="47854BA2"/>
    <w:rsid w:val="47863A0C"/>
    <w:rsid w:val="479C383A"/>
    <w:rsid w:val="47B512B6"/>
    <w:rsid w:val="47B83DB5"/>
    <w:rsid w:val="47CF7161"/>
    <w:rsid w:val="47DE6A2D"/>
    <w:rsid w:val="47EC5231"/>
    <w:rsid w:val="480D5AB8"/>
    <w:rsid w:val="4826396A"/>
    <w:rsid w:val="483139AC"/>
    <w:rsid w:val="483A7445"/>
    <w:rsid w:val="484B5F3E"/>
    <w:rsid w:val="485A1120"/>
    <w:rsid w:val="485A1BA7"/>
    <w:rsid w:val="48636F40"/>
    <w:rsid w:val="486A6177"/>
    <w:rsid w:val="487F189B"/>
    <w:rsid w:val="488C583E"/>
    <w:rsid w:val="489B7043"/>
    <w:rsid w:val="48A44ECA"/>
    <w:rsid w:val="48B74986"/>
    <w:rsid w:val="48B873E7"/>
    <w:rsid w:val="48CB1BB3"/>
    <w:rsid w:val="48D27FE9"/>
    <w:rsid w:val="48E64762"/>
    <w:rsid w:val="490C3672"/>
    <w:rsid w:val="49191E6B"/>
    <w:rsid w:val="49241182"/>
    <w:rsid w:val="49316E8E"/>
    <w:rsid w:val="4943641F"/>
    <w:rsid w:val="494C6DFB"/>
    <w:rsid w:val="49654721"/>
    <w:rsid w:val="496E5BEF"/>
    <w:rsid w:val="4983508B"/>
    <w:rsid w:val="4996235C"/>
    <w:rsid w:val="499A6958"/>
    <w:rsid w:val="499D0F1C"/>
    <w:rsid w:val="49A40179"/>
    <w:rsid w:val="49A809E1"/>
    <w:rsid w:val="49AB78D4"/>
    <w:rsid w:val="49B61C99"/>
    <w:rsid w:val="49C168C7"/>
    <w:rsid w:val="49D7563D"/>
    <w:rsid w:val="49E113CD"/>
    <w:rsid w:val="49ED18AF"/>
    <w:rsid w:val="4A034234"/>
    <w:rsid w:val="4A0C7D5B"/>
    <w:rsid w:val="4A0D2C2D"/>
    <w:rsid w:val="4A1E5F6B"/>
    <w:rsid w:val="4A241124"/>
    <w:rsid w:val="4A2F5158"/>
    <w:rsid w:val="4A38723F"/>
    <w:rsid w:val="4A3B288C"/>
    <w:rsid w:val="4A4000B3"/>
    <w:rsid w:val="4A4060F4"/>
    <w:rsid w:val="4A5A0321"/>
    <w:rsid w:val="4A6C1445"/>
    <w:rsid w:val="4A6C563D"/>
    <w:rsid w:val="4A707A82"/>
    <w:rsid w:val="4A767BAB"/>
    <w:rsid w:val="4A7853B9"/>
    <w:rsid w:val="4A78588E"/>
    <w:rsid w:val="4A7B3631"/>
    <w:rsid w:val="4A804742"/>
    <w:rsid w:val="4A8B0C8E"/>
    <w:rsid w:val="4A8F7847"/>
    <w:rsid w:val="4AA20D18"/>
    <w:rsid w:val="4AA76173"/>
    <w:rsid w:val="4AB60E99"/>
    <w:rsid w:val="4ABB488B"/>
    <w:rsid w:val="4ADC1542"/>
    <w:rsid w:val="4AE419C4"/>
    <w:rsid w:val="4AEE43B0"/>
    <w:rsid w:val="4B0C5FD6"/>
    <w:rsid w:val="4B0F758D"/>
    <w:rsid w:val="4B181824"/>
    <w:rsid w:val="4B2332C2"/>
    <w:rsid w:val="4B2940EF"/>
    <w:rsid w:val="4B2A14C4"/>
    <w:rsid w:val="4B2B7E32"/>
    <w:rsid w:val="4B3009DE"/>
    <w:rsid w:val="4B346979"/>
    <w:rsid w:val="4B653894"/>
    <w:rsid w:val="4B6A027E"/>
    <w:rsid w:val="4B7324F9"/>
    <w:rsid w:val="4B8849F7"/>
    <w:rsid w:val="4BA25FB0"/>
    <w:rsid w:val="4BAB3A41"/>
    <w:rsid w:val="4BB5666E"/>
    <w:rsid w:val="4BB9178E"/>
    <w:rsid w:val="4BC148B0"/>
    <w:rsid w:val="4BC61928"/>
    <w:rsid w:val="4BD3449D"/>
    <w:rsid w:val="4BD56D10"/>
    <w:rsid w:val="4C0475C6"/>
    <w:rsid w:val="4C1F2BC2"/>
    <w:rsid w:val="4C2E66D4"/>
    <w:rsid w:val="4C354AD4"/>
    <w:rsid w:val="4C3561D9"/>
    <w:rsid w:val="4C4B6478"/>
    <w:rsid w:val="4C5C53A5"/>
    <w:rsid w:val="4C6073EB"/>
    <w:rsid w:val="4C6A3603"/>
    <w:rsid w:val="4C772E46"/>
    <w:rsid w:val="4C7A4D8F"/>
    <w:rsid w:val="4C7C6940"/>
    <w:rsid w:val="4C7D53DD"/>
    <w:rsid w:val="4C7F5ABB"/>
    <w:rsid w:val="4C820910"/>
    <w:rsid w:val="4C923322"/>
    <w:rsid w:val="4C967082"/>
    <w:rsid w:val="4C973B41"/>
    <w:rsid w:val="4CA83983"/>
    <w:rsid w:val="4CB11EFB"/>
    <w:rsid w:val="4CB64CC6"/>
    <w:rsid w:val="4CC03B80"/>
    <w:rsid w:val="4CC248BC"/>
    <w:rsid w:val="4CD0188E"/>
    <w:rsid w:val="4CE03208"/>
    <w:rsid w:val="4CF27851"/>
    <w:rsid w:val="4CFE662D"/>
    <w:rsid w:val="4D016703"/>
    <w:rsid w:val="4D0B58DC"/>
    <w:rsid w:val="4D202CAD"/>
    <w:rsid w:val="4D225F85"/>
    <w:rsid w:val="4D2B3B7C"/>
    <w:rsid w:val="4D347246"/>
    <w:rsid w:val="4D4238CC"/>
    <w:rsid w:val="4D4373FC"/>
    <w:rsid w:val="4D4D1E00"/>
    <w:rsid w:val="4D4E272B"/>
    <w:rsid w:val="4D5B11C3"/>
    <w:rsid w:val="4D735EAE"/>
    <w:rsid w:val="4D935EF6"/>
    <w:rsid w:val="4D991938"/>
    <w:rsid w:val="4D9D2EFA"/>
    <w:rsid w:val="4D9F3679"/>
    <w:rsid w:val="4DA41FFF"/>
    <w:rsid w:val="4DA90E86"/>
    <w:rsid w:val="4DB04403"/>
    <w:rsid w:val="4DB539B8"/>
    <w:rsid w:val="4DB928D3"/>
    <w:rsid w:val="4DD159FA"/>
    <w:rsid w:val="4DDA10BD"/>
    <w:rsid w:val="4DE90850"/>
    <w:rsid w:val="4DF25957"/>
    <w:rsid w:val="4DF34FC7"/>
    <w:rsid w:val="4E13390E"/>
    <w:rsid w:val="4E252216"/>
    <w:rsid w:val="4E261E39"/>
    <w:rsid w:val="4E2D798E"/>
    <w:rsid w:val="4E4C150B"/>
    <w:rsid w:val="4E5324A7"/>
    <w:rsid w:val="4E5B5D72"/>
    <w:rsid w:val="4E5E2FEC"/>
    <w:rsid w:val="4E661607"/>
    <w:rsid w:val="4E6E7536"/>
    <w:rsid w:val="4E797764"/>
    <w:rsid w:val="4E837930"/>
    <w:rsid w:val="4E872466"/>
    <w:rsid w:val="4E9B1B9C"/>
    <w:rsid w:val="4E9B7D9D"/>
    <w:rsid w:val="4EA026A4"/>
    <w:rsid w:val="4EA41FCE"/>
    <w:rsid w:val="4EB46120"/>
    <w:rsid w:val="4EB60AC7"/>
    <w:rsid w:val="4EC63853"/>
    <w:rsid w:val="4ECA4BD3"/>
    <w:rsid w:val="4ECA68D4"/>
    <w:rsid w:val="4ED81DCC"/>
    <w:rsid w:val="4EEA49EE"/>
    <w:rsid w:val="4EFF0BA7"/>
    <w:rsid w:val="4F111E0D"/>
    <w:rsid w:val="4F1304EC"/>
    <w:rsid w:val="4F1A33B7"/>
    <w:rsid w:val="4F1B1A9B"/>
    <w:rsid w:val="4F3930C1"/>
    <w:rsid w:val="4F440F80"/>
    <w:rsid w:val="4F4915A7"/>
    <w:rsid w:val="4F500A8E"/>
    <w:rsid w:val="4F6A3CC7"/>
    <w:rsid w:val="4F6B4B63"/>
    <w:rsid w:val="4F7D47B6"/>
    <w:rsid w:val="4F840831"/>
    <w:rsid w:val="4F9A349C"/>
    <w:rsid w:val="4F9C201E"/>
    <w:rsid w:val="4F9D5C1A"/>
    <w:rsid w:val="4FAB0B6E"/>
    <w:rsid w:val="4FB85BAA"/>
    <w:rsid w:val="4FBE3141"/>
    <w:rsid w:val="4FC7121C"/>
    <w:rsid w:val="4FD72953"/>
    <w:rsid w:val="4FE05EFF"/>
    <w:rsid w:val="4FE45773"/>
    <w:rsid w:val="50044B0C"/>
    <w:rsid w:val="5007020E"/>
    <w:rsid w:val="50216371"/>
    <w:rsid w:val="5023254C"/>
    <w:rsid w:val="50463D38"/>
    <w:rsid w:val="50475A6F"/>
    <w:rsid w:val="504D6505"/>
    <w:rsid w:val="505017E5"/>
    <w:rsid w:val="50546455"/>
    <w:rsid w:val="505E4442"/>
    <w:rsid w:val="507D1C6A"/>
    <w:rsid w:val="509A4E37"/>
    <w:rsid w:val="50A524AB"/>
    <w:rsid w:val="50AE50FD"/>
    <w:rsid w:val="50AF7B2F"/>
    <w:rsid w:val="50BE2864"/>
    <w:rsid w:val="50BF16B8"/>
    <w:rsid w:val="50C926E5"/>
    <w:rsid w:val="50CD1EFF"/>
    <w:rsid w:val="50D514A0"/>
    <w:rsid w:val="50DB4F93"/>
    <w:rsid w:val="50DC33FB"/>
    <w:rsid w:val="50DE1D53"/>
    <w:rsid w:val="50EB3D0E"/>
    <w:rsid w:val="50EF4B73"/>
    <w:rsid w:val="50FB4E14"/>
    <w:rsid w:val="511D163F"/>
    <w:rsid w:val="5120766A"/>
    <w:rsid w:val="512978E2"/>
    <w:rsid w:val="513021C5"/>
    <w:rsid w:val="51327A4F"/>
    <w:rsid w:val="5136326D"/>
    <w:rsid w:val="513A29DF"/>
    <w:rsid w:val="51491D32"/>
    <w:rsid w:val="515626A1"/>
    <w:rsid w:val="515B192B"/>
    <w:rsid w:val="515B1A65"/>
    <w:rsid w:val="517F39A6"/>
    <w:rsid w:val="5180409A"/>
    <w:rsid w:val="51813C24"/>
    <w:rsid w:val="5182766F"/>
    <w:rsid w:val="51836CB2"/>
    <w:rsid w:val="518B246C"/>
    <w:rsid w:val="518E1E3B"/>
    <w:rsid w:val="51A56788"/>
    <w:rsid w:val="51AB241A"/>
    <w:rsid w:val="51B45C54"/>
    <w:rsid w:val="51BE30D9"/>
    <w:rsid w:val="51C42E00"/>
    <w:rsid w:val="51D57A5F"/>
    <w:rsid w:val="51D76AA5"/>
    <w:rsid w:val="51E25EDD"/>
    <w:rsid w:val="51E65C94"/>
    <w:rsid w:val="51EE4687"/>
    <w:rsid w:val="52097713"/>
    <w:rsid w:val="520D1EFB"/>
    <w:rsid w:val="521A121E"/>
    <w:rsid w:val="523209C9"/>
    <w:rsid w:val="52532208"/>
    <w:rsid w:val="52642626"/>
    <w:rsid w:val="52643179"/>
    <w:rsid w:val="527959D7"/>
    <w:rsid w:val="52796647"/>
    <w:rsid w:val="527C1C93"/>
    <w:rsid w:val="52843A9A"/>
    <w:rsid w:val="52906CB4"/>
    <w:rsid w:val="52980E9C"/>
    <w:rsid w:val="52A075B6"/>
    <w:rsid w:val="52A73A14"/>
    <w:rsid w:val="52B10802"/>
    <w:rsid w:val="52BF46A2"/>
    <w:rsid w:val="52CD15D1"/>
    <w:rsid w:val="52CF6267"/>
    <w:rsid w:val="52E01B54"/>
    <w:rsid w:val="52E01B8C"/>
    <w:rsid w:val="52E5263E"/>
    <w:rsid w:val="52EC34A3"/>
    <w:rsid w:val="5306340C"/>
    <w:rsid w:val="530E63CF"/>
    <w:rsid w:val="53105918"/>
    <w:rsid w:val="531D3C2E"/>
    <w:rsid w:val="531F6D51"/>
    <w:rsid w:val="53290E40"/>
    <w:rsid w:val="532E7545"/>
    <w:rsid w:val="533D3818"/>
    <w:rsid w:val="534419C3"/>
    <w:rsid w:val="53476D02"/>
    <w:rsid w:val="53482A54"/>
    <w:rsid w:val="534A6A87"/>
    <w:rsid w:val="536174AC"/>
    <w:rsid w:val="53676D67"/>
    <w:rsid w:val="536B5DC4"/>
    <w:rsid w:val="53907F8B"/>
    <w:rsid w:val="539A2EEC"/>
    <w:rsid w:val="53A878C8"/>
    <w:rsid w:val="53A96AB8"/>
    <w:rsid w:val="53C17C7A"/>
    <w:rsid w:val="53C50672"/>
    <w:rsid w:val="53CD7CD2"/>
    <w:rsid w:val="53D5465E"/>
    <w:rsid w:val="53E136CF"/>
    <w:rsid w:val="53F817ED"/>
    <w:rsid w:val="54010677"/>
    <w:rsid w:val="5406215C"/>
    <w:rsid w:val="5416572D"/>
    <w:rsid w:val="541C1CEE"/>
    <w:rsid w:val="54217DA0"/>
    <w:rsid w:val="5422686A"/>
    <w:rsid w:val="542645AC"/>
    <w:rsid w:val="543211F5"/>
    <w:rsid w:val="54372316"/>
    <w:rsid w:val="54391285"/>
    <w:rsid w:val="54484893"/>
    <w:rsid w:val="544A604F"/>
    <w:rsid w:val="544C525F"/>
    <w:rsid w:val="54557D16"/>
    <w:rsid w:val="5457179B"/>
    <w:rsid w:val="54617393"/>
    <w:rsid w:val="54640C31"/>
    <w:rsid w:val="5465423A"/>
    <w:rsid w:val="546E12C1"/>
    <w:rsid w:val="54863492"/>
    <w:rsid w:val="548C2372"/>
    <w:rsid w:val="548D3AA9"/>
    <w:rsid w:val="54A14178"/>
    <w:rsid w:val="54C3004D"/>
    <w:rsid w:val="54C55B73"/>
    <w:rsid w:val="54C719D2"/>
    <w:rsid w:val="54DC6468"/>
    <w:rsid w:val="54DC71CD"/>
    <w:rsid w:val="54EB0EB9"/>
    <w:rsid w:val="54F10959"/>
    <w:rsid w:val="54F568B8"/>
    <w:rsid w:val="54F774D3"/>
    <w:rsid w:val="550D1BFF"/>
    <w:rsid w:val="551929A0"/>
    <w:rsid w:val="553C6E48"/>
    <w:rsid w:val="55420FE4"/>
    <w:rsid w:val="5543561E"/>
    <w:rsid w:val="55457072"/>
    <w:rsid w:val="55576C7D"/>
    <w:rsid w:val="55580900"/>
    <w:rsid w:val="55632A07"/>
    <w:rsid w:val="556C5AC4"/>
    <w:rsid w:val="55764667"/>
    <w:rsid w:val="5591185C"/>
    <w:rsid w:val="55941C35"/>
    <w:rsid w:val="55A547A9"/>
    <w:rsid w:val="55A94B7D"/>
    <w:rsid w:val="55BE7F85"/>
    <w:rsid w:val="55C53951"/>
    <w:rsid w:val="55D903A7"/>
    <w:rsid w:val="55EF3DB3"/>
    <w:rsid w:val="55F82812"/>
    <w:rsid w:val="560001DD"/>
    <w:rsid w:val="56050ADF"/>
    <w:rsid w:val="56094016"/>
    <w:rsid w:val="560D64C1"/>
    <w:rsid w:val="56237571"/>
    <w:rsid w:val="562C1C22"/>
    <w:rsid w:val="56306067"/>
    <w:rsid w:val="5633031C"/>
    <w:rsid w:val="563B278F"/>
    <w:rsid w:val="5658074D"/>
    <w:rsid w:val="567B4D02"/>
    <w:rsid w:val="56841F5C"/>
    <w:rsid w:val="5686792A"/>
    <w:rsid w:val="569B0A1E"/>
    <w:rsid w:val="569B2844"/>
    <w:rsid w:val="56AA7E40"/>
    <w:rsid w:val="56C14945"/>
    <w:rsid w:val="56CA4099"/>
    <w:rsid w:val="56D70F61"/>
    <w:rsid w:val="56D7393C"/>
    <w:rsid w:val="56E72986"/>
    <w:rsid w:val="56F06A47"/>
    <w:rsid w:val="56F13DAB"/>
    <w:rsid w:val="56F51310"/>
    <w:rsid w:val="57015CA9"/>
    <w:rsid w:val="57037506"/>
    <w:rsid w:val="57095CAB"/>
    <w:rsid w:val="57266BFB"/>
    <w:rsid w:val="57283155"/>
    <w:rsid w:val="572F1EA4"/>
    <w:rsid w:val="573334AC"/>
    <w:rsid w:val="57346FE0"/>
    <w:rsid w:val="57350051"/>
    <w:rsid w:val="5737087F"/>
    <w:rsid w:val="573E0456"/>
    <w:rsid w:val="57421ADC"/>
    <w:rsid w:val="57444BB0"/>
    <w:rsid w:val="574532C8"/>
    <w:rsid w:val="57471F1B"/>
    <w:rsid w:val="576A01EF"/>
    <w:rsid w:val="57741544"/>
    <w:rsid w:val="577D6F8D"/>
    <w:rsid w:val="57832C40"/>
    <w:rsid w:val="5785783C"/>
    <w:rsid w:val="579B0BC9"/>
    <w:rsid w:val="57A96A78"/>
    <w:rsid w:val="57AA72A2"/>
    <w:rsid w:val="57AC6145"/>
    <w:rsid w:val="57B01610"/>
    <w:rsid w:val="57B5525F"/>
    <w:rsid w:val="57B65C47"/>
    <w:rsid w:val="57D921BB"/>
    <w:rsid w:val="57DA2E75"/>
    <w:rsid w:val="57DB0E4A"/>
    <w:rsid w:val="57EE4085"/>
    <w:rsid w:val="57F178E2"/>
    <w:rsid w:val="580E0441"/>
    <w:rsid w:val="58247CF3"/>
    <w:rsid w:val="583148E0"/>
    <w:rsid w:val="58547248"/>
    <w:rsid w:val="585600BE"/>
    <w:rsid w:val="586C32FD"/>
    <w:rsid w:val="58735960"/>
    <w:rsid w:val="587825C3"/>
    <w:rsid w:val="587D3583"/>
    <w:rsid w:val="588B2DFC"/>
    <w:rsid w:val="588F7CDF"/>
    <w:rsid w:val="589D1E9C"/>
    <w:rsid w:val="58AF1500"/>
    <w:rsid w:val="58B435B9"/>
    <w:rsid w:val="58B45590"/>
    <w:rsid w:val="58C779E0"/>
    <w:rsid w:val="58DD4EB3"/>
    <w:rsid w:val="58EB1371"/>
    <w:rsid w:val="58EE2027"/>
    <w:rsid w:val="58FA1B64"/>
    <w:rsid w:val="5901414A"/>
    <w:rsid w:val="5918259E"/>
    <w:rsid w:val="5922383E"/>
    <w:rsid w:val="59232842"/>
    <w:rsid w:val="59273AAC"/>
    <w:rsid w:val="593A22C6"/>
    <w:rsid w:val="593B60AA"/>
    <w:rsid w:val="595219A0"/>
    <w:rsid w:val="595C281E"/>
    <w:rsid w:val="595C2BC4"/>
    <w:rsid w:val="59616B10"/>
    <w:rsid w:val="59682444"/>
    <w:rsid w:val="596C68E5"/>
    <w:rsid w:val="5973309F"/>
    <w:rsid w:val="597868C2"/>
    <w:rsid w:val="597B0EF6"/>
    <w:rsid w:val="59985966"/>
    <w:rsid w:val="599F33EF"/>
    <w:rsid w:val="59AA1518"/>
    <w:rsid w:val="59AC5554"/>
    <w:rsid w:val="59B2596F"/>
    <w:rsid w:val="59BE3D89"/>
    <w:rsid w:val="59D20856"/>
    <w:rsid w:val="59D840C1"/>
    <w:rsid w:val="59DC0F71"/>
    <w:rsid w:val="59E44FFB"/>
    <w:rsid w:val="59E85E60"/>
    <w:rsid w:val="59EC5A3B"/>
    <w:rsid w:val="59F71085"/>
    <w:rsid w:val="5A061DB8"/>
    <w:rsid w:val="5A115ED1"/>
    <w:rsid w:val="5A247938"/>
    <w:rsid w:val="5A28132D"/>
    <w:rsid w:val="5A4C4E80"/>
    <w:rsid w:val="5A511C57"/>
    <w:rsid w:val="5A587151"/>
    <w:rsid w:val="5A5D5A42"/>
    <w:rsid w:val="5A6529A8"/>
    <w:rsid w:val="5A673602"/>
    <w:rsid w:val="5A7F2D25"/>
    <w:rsid w:val="5A863F1D"/>
    <w:rsid w:val="5A8B7E42"/>
    <w:rsid w:val="5A942221"/>
    <w:rsid w:val="5A944992"/>
    <w:rsid w:val="5AA6261C"/>
    <w:rsid w:val="5AA83A7A"/>
    <w:rsid w:val="5AB37B07"/>
    <w:rsid w:val="5ABE5DDA"/>
    <w:rsid w:val="5ACE32A8"/>
    <w:rsid w:val="5AD55868"/>
    <w:rsid w:val="5AD95CF1"/>
    <w:rsid w:val="5ADD430A"/>
    <w:rsid w:val="5ADE4C04"/>
    <w:rsid w:val="5AE539AA"/>
    <w:rsid w:val="5AE5485E"/>
    <w:rsid w:val="5AE60B2D"/>
    <w:rsid w:val="5AFA4724"/>
    <w:rsid w:val="5AFC6D35"/>
    <w:rsid w:val="5B100FE8"/>
    <w:rsid w:val="5B1677A6"/>
    <w:rsid w:val="5B1A6EEC"/>
    <w:rsid w:val="5B244340"/>
    <w:rsid w:val="5B30538B"/>
    <w:rsid w:val="5B404CF2"/>
    <w:rsid w:val="5B423B22"/>
    <w:rsid w:val="5B5F5692"/>
    <w:rsid w:val="5B6D0D13"/>
    <w:rsid w:val="5B9F3195"/>
    <w:rsid w:val="5BB350D3"/>
    <w:rsid w:val="5BBE156E"/>
    <w:rsid w:val="5BCB07B9"/>
    <w:rsid w:val="5C277B30"/>
    <w:rsid w:val="5C38562E"/>
    <w:rsid w:val="5C652D4F"/>
    <w:rsid w:val="5C692DFB"/>
    <w:rsid w:val="5C7C0323"/>
    <w:rsid w:val="5C7E07EA"/>
    <w:rsid w:val="5C7E6D7D"/>
    <w:rsid w:val="5C8320E4"/>
    <w:rsid w:val="5C8852BB"/>
    <w:rsid w:val="5C9D7A7A"/>
    <w:rsid w:val="5CA00900"/>
    <w:rsid w:val="5CAE4CEF"/>
    <w:rsid w:val="5CB038BA"/>
    <w:rsid w:val="5CB12E81"/>
    <w:rsid w:val="5CBB666C"/>
    <w:rsid w:val="5CC13E28"/>
    <w:rsid w:val="5CCC1A69"/>
    <w:rsid w:val="5CDA5F34"/>
    <w:rsid w:val="5CDC5DCF"/>
    <w:rsid w:val="5CDE1CC1"/>
    <w:rsid w:val="5CE26B1F"/>
    <w:rsid w:val="5CE96177"/>
    <w:rsid w:val="5CF42506"/>
    <w:rsid w:val="5CFD5D49"/>
    <w:rsid w:val="5D041E24"/>
    <w:rsid w:val="5D0C5002"/>
    <w:rsid w:val="5D105083"/>
    <w:rsid w:val="5D192F00"/>
    <w:rsid w:val="5D2D5C33"/>
    <w:rsid w:val="5D437CB5"/>
    <w:rsid w:val="5D454D39"/>
    <w:rsid w:val="5D4D6706"/>
    <w:rsid w:val="5D5A11CC"/>
    <w:rsid w:val="5D5C3A10"/>
    <w:rsid w:val="5D5E6B65"/>
    <w:rsid w:val="5D6056A3"/>
    <w:rsid w:val="5D681E2B"/>
    <w:rsid w:val="5D9D1CB8"/>
    <w:rsid w:val="5DB81DEE"/>
    <w:rsid w:val="5DC9521E"/>
    <w:rsid w:val="5DD902A3"/>
    <w:rsid w:val="5DE019B7"/>
    <w:rsid w:val="5DE465A7"/>
    <w:rsid w:val="5DEF4196"/>
    <w:rsid w:val="5DF71A7D"/>
    <w:rsid w:val="5E0F4D4B"/>
    <w:rsid w:val="5E192A8C"/>
    <w:rsid w:val="5E3B5434"/>
    <w:rsid w:val="5E3D420D"/>
    <w:rsid w:val="5E471144"/>
    <w:rsid w:val="5E7D5156"/>
    <w:rsid w:val="5E844D55"/>
    <w:rsid w:val="5E9159B0"/>
    <w:rsid w:val="5E9F71B6"/>
    <w:rsid w:val="5ECB1D84"/>
    <w:rsid w:val="5ECE157C"/>
    <w:rsid w:val="5ED779D7"/>
    <w:rsid w:val="5EE56C2D"/>
    <w:rsid w:val="5EEB267A"/>
    <w:rsid w:val="5EFE1852"/>
    <w:rsid w:val="5F013C4C"/>
    <w:rsid w:val="5F2B3792"/>
    <w:rsid w:val="5F357D7B"/>
    <w:rsid w:val="5F383FC8"/>
    <w:rsid w:val="5F3C4C84"/>
    <w:rsid w:val="5F42093F"/>
    <w:rsid w:val="5F47188E"/>
    <w:rsid w:val="5F521C60"/>
    <w:rsid w:val="5F552269"/>
    <w:rsid w:val="5F5652DD"/>
    <w:rsid w:val="5F5E0E54"/>
    <w:rsid w:val="5F611769"/>
    <w:rsid w:val="5F6F20FE"/>
    <w:rsid w:val="5F7535C7"/>
    <w:rsid w:val="5F7A62E9"/>
    <w:rsid w:val="5F950127"/>
    <w:rsid w:val="5F97010C"/>
    <w:rsid w:val="5FA356F6"/>
    <w:rsid w:val="5FA5345F"/>
    <w:rsid w:val="5FA628C6"/>
    <w:rsid w:val="5FAA42E4"/>
    <w:rsid w:val="5FBD5D3B"/>
    <w:rsid w:val="5FCF5BFD"/>
    <w:rsid w:val="5FD66302"/>
    <w:rsid w:val="5FDA449D"/>
    <w:rsid w:val="5FDD6BFC"/>
    <w:rsid w:val="5FDE73BF"/>
    <w:rsid w:val="5FE64E7D"/>
    <w:rsid w:val="5FF53622"/>
    <w:rsid w:val="600159C2"/>
    <w:rsid w:val="601047C4"/>
    <w:rsid w:val="601D2D07"/>
    <w:rsid w:val="60296E20"/>
    <w:rsid w:val="60381E9F"/>
    <w:rsid w:val="60394B7B"/>
    <w:rsid w:val="60416E8C"/>
    <w:rsid w:val="604B5101"/>
    <w:rsid w:val="604F6C5D"/>
    <w:rsid w:val="605204D7"/>
    <w:rsid w:val="606C1831"/>
    <w:rsid w:val="60727485"/>
    <w:rsid w:val="60856E73"/>
    <w:rsid w:val="609E130C"/>
    <w:rsid w:val="60A35EE8"/>
    <w:rsid w:val="60AF0445"/>
    <w:rsid w:val="60B544BC"/>
    <w:rsid w:val="60B621B1"/>
    <w:rsid w:val="60B72CDB"/>
    <w:rsid w:val="60DB4382"/>
    <w:rsid w:val="60E455D3"/>
    <w:rsid w:val="60EE1748"/>
    <w:rsid w:val="60FA66B2"/>
    <w:rsid w:val="61131A15"/>
    <w:rsid w:val="61140169"/>
    <w:rsid w:val="611C11BC"/>
    <w:rsid w:val="611D39BB"/>
    <w:rsid w:val="612507BA"/>
    <w:rsid w:val="612B61A3"/>
    <w:rsid w:val="612C0D28"/>
    <w:rsid w:val="613308F5"/>
    <w:rsid w:val="613C516C"/>
    <w:rsid w:val="615C63B0"/>
    <w:rsid w:val="615D063E"/>
    <w:rsid w:val="615D5386"/>
    <w:rsid w:val="61617E42"/>
    <w:rsid w:val="616552DD"/>
    <w:rsid w:val="61770BCF"/>
    <w:rsid w:val="61795EDC"/>
    <w:rsid w:val="618127D9"/>
    <w:rsid w:val="6198128F"/>
    <w:rsid w:val="61A0578B"/>
    <w:rsid w:val="61A129F7"/>
    <w:rsid w:val="61AD00BB"/>
    <w:rsid w:val="61B7023A"/>
    <w:rsid w:val="61CD1AB7"/>
    <w:rsid w:val="61E42010"/>
    <w:rsid w:val="61E525A6"/>
    <w:rsid w:val="61F85239"/>
    <w:rsid w:val="61FA4510"/>
    <w:rsid w:val="61FE6804"/>
    <w:rsid w:val="62036E28"/>
    <w:rsid w:val="62155F22"/>
    <w:rsid w:val="62226AB8"/>
    <w:rsid w:val="624932D1"/>
    <w:rsid w:val="62516C98"/>
    <w:rsid w:val="62535A1A"/>
    <w:rsid w:val="625433CF"/>
    <w:rsid w:val="62626B0C"/>
    <w:rsid w:val="626F5572"/>
    <w:rsid w:val="62791F17"/>
    <w:rsid w:val="627B51F9"/>
    <w:rsid w:val="628F6062"/>
    <w:rsid w:val="629348FB"/>
    <w:rsid w:val="62A57F72"/>
    <w:rsid w:val="62A80882"/>
    <w:rsid w:val="62AD2620"/>
    <w:rsid w:val="62B461AD"/>
    <w:rsid w:val="62B5766A"/>
    <w:rsid w:val="62C1790A"/>
    <w:rsid w:val="62C5329C"/>
    <w:rsid w:val="62C76F5B"/>
    <w:rsid w:val="62CB35BF"/>
    <w:rsid w:val="62EE7583"/>
    <w:rsid w:val="63087FC2"/>
    <w:rsid w:val="63115637"/>
    <w:rsid w:val="63124547"/>
    <w:rsid w:val="63173685"/>
    <w:rsid w:val="63177443"/>
    <w:rsid w:val="631A319B"/>
    <w:rsid w:val="63316ACA"/>
    <w:rsid w:val="633E2E84"/>
    <w:rsid w:val="63460133"/>
    <w:rsid w:val="634E10A9"/>
    <w:rsid w:val="636915AE"/>
    <w:rsid w:val="636A45CE"/>
    <w:rsid w:val="636E62C8"/>
    <w:rsid w:val="63864F79"/>
    <w:rsid w:val="6397692D"/>
    <w:rsid w:val="63A36353"/>
    <w:rsid w:val="63B601E3"/>
    <w:rsid w:val="63D9397B"/>
    <w:rsid w:val="63FA6ABD"/>
    <w:rsid w:val="641309B4"/>
    <w:rsid w:val="64145435"/>
    <w:rsid w:val="64191A38"/>
    <w:rsid w:val="641B4B2B"/>
    <w:rsid w:val="641C6E32"/>
    <w:rsid w:val="642C1870"/>
    <w:rsid w:val="643310CA"/>
    <w:rsid w:val="64441B82"/>
    <w:rsid w:val="64445E97"/>
    <w:rsid w:val="64471DB5"/>
    <w:rsid w:val="645102A7"/>
    <w:rsid w:val="64513ED4"/>
    <w:rsid w:val="64557305"/>
    <w:rsid w:val="64591EA1"/>
    <w:rsid w:val="6468651B"/>
    <w:rsid w:val="646961C6"/>
    <w:rsid w:val="646E78D8"/>
    <w:rsid w:val="646F3C71"/>
    <w:rsid w:val="647B0956"/>
    <w:rsid w:val="647B7FFD"/>
    <w:rsid w:val="648C1AF2"/>
    <w:rsid w:val="64A2021B"/>
    <w:rsid w:val="64C25C2B"/>
    <w:rsid w:val="64C25F72"/>
    <w:rsid w:val="64C465A4"/>
    <w:rsid w:val="64C816F1"/>
    <w:rsid w:val="64CA5274"/>
    <w:rsid w:val="64DE2012"/>
    <w:rsid w:val="651F4987"/>
    <w:rsid w:val="6521589F"/>
    <w:rsid w:val="65242DAF"/>
    <w:rsid w:val="65246F9E"/>
    <w:rsid w:val="652F7BE3"/>
    <w:rsid w:val="65366BBA"/>
    <w:rsid w:val="653E61D3"/>
    <w:rsid w:val="65466A80"/>
    <w:rsid w:val="65483659"/>
    <w:rsid w:val="656211BC"/>
    <w:rsid w:val="6569254B"/>
    <w:rsid w:val="656C5B5F"/>
    <w:rsid w:val="656E0662"/>
    <w:rsid w:val="657C3F50"/>
    <w:rsid w:val="658156F8"/>
    <w:rsid w:val="658628DE"/>
    <w:rsid w:val="65951811"/>
    <w:rsid w:val="65A34851"/>
    <w:rsid w:val="65A73937"/>
    <w:rsid w:val="65A82ABD"/>
    <w:rsid w:val="65AA135E"/>
    <w:rsid w:val="65B80FE8"/>
    <w:rsid w:val="65B9763E"/>
    <w:rsid w:val="65BB7186"/>
    <w:rsid w:val="65C47781"/>
    <w:rsid w:val="65D8147F"/>
    <w:rsid w:val="65DA292A"/>
    <w:rsid w:val="65DC49EB"/>
    <w:rsid w:val="65DC6686"/>
    <w:rsid w:val="65DE6A46"/>
    <w:rsid w:val="65F72C0B"/>
    <w:rsid w:val="65F938CF"/>
    <w:rsid w:val="6602597D"/>
    <w:rsid w:val="66037052"/>
    <w:rsid w:val="660A186D"/>
    <w:rsid w:val="661946BF"/>
    <w:rsid w:val="663C2E09"/>
    <w:rsid w:val="6642164B"/>
    <w:rsid w:val="664930D7"/>
    <w:rsid w:val="664B5439"/>
    <w:rsid w:val="66560D21"/>
    <w:rsid w:val="666D7E19"/>
    <w:rsid w:val="6671147A"/>
    <w:rsid w:val="66866446"/>
    <w:rsid w:val="66A1445D"/>
    <w:rsid w:val="66A952F2"/>
    <w:rsid w:val="66B0547D"/>
    <w:rsid w:val="66B5531C"/>
    <w:rsid w:val="66BE0674"/>
    <w:rsid w:val="66CC6ABC"/>
    <w:rsid w:val="66CF0385"/>
    <w:rsid w:val="66F27971"/>
    <w:rsid w:val="66FE4F15"/>
    <w:rsid w:val="6703217D"/>
    <w:rsid w:val="670B7901"/>
    <w:rsid w:val="67195A90"/>
    <w:rsid w:val="671C1627"/>
    <w:rsid w:val="67230A4F"/>
    <w:rsid w:val="6723158E"/>
    <w:rsid w:val="67252DF1"/>
    <w:rsid w:val="67284FC8"/>
    <w:rsid w:val="672C6957"/>
    <w:rsid w:val="673E2874"/>
    <w:rsid w:val="675265E4"/>
    <w:rsid w:val="67550FD9"/>
    <w:rsid w:val="675E6122"/>
    <w:rsid w:val="676029FF"/>
    <w:rsid w:val="676D2B1D"/>
    <w:rsid w:val="67712A9D"/>
    <w:rsid w:val="67762F18"/>
    <w:rsid w:val="677671A1"/>
    <w:rsid w:val="677F7E04"/>
    <w:rsid w:val="67915C65"/>
    <w:rsid w:val="67921BBD"/>
    <w:rsid w:val="67C04A18"/>
    <w:rsid w:val="67C56A77"/>
    <w:rsid w:val="67C57E67"/>
    <w:rsid w:val="67E92D4F"/>
    <w:rsid w:val="67F450A0"/>
    <w:rsid w:val="67F73E3E"/>
    <w:rsid w:val="67FF1B4B"/>
    <w:rsid w:val="68080747"/>
    <w:rsid w:val="680C3FD1"/>
    <w:rsid w:val="680E1B3B"/>
    <w:rsid w:val="681708B9"/>
    <w:rsid w:val="68262F1E"/>
    <w:rsid w:val="682637C7"/>
    <w:rsid w:val="68282249"/>
    <w:rsid w:val="6848469A"/>
    <w:rsid w:val="68503944"/>
    <w:rsid w:val="68550B65"/>
    <w:rsid w:val="686E62F9"/>
    <w:rsid w:val="686F30EB"/>
    <w:rsid w:val="68781AE2"/>
    <w:rsid w:val="6883338F"/>
    <w:rsid w:val="688B28A7"/>
    <w:rsid w:val="688F19B6"/>
    <w:rsid w:val="68935A33"/>
    <w:rsid w:val="68AD09A1"/>
    <w:rsid w:val="68B52E6B"/>
    <w:rsid w:val="68BE6FAB"/>
    <w:rsid w:val="68C006D4"/>
    <w:rsid w:val="68C31F72"/>
    <w:rsid w:val="68C83FA6"/>
    <w:rsid w:val="68D37D88"/>
    <w:rsid w:val="68DD3525"/>
    <w:rsid w:val="68DF6375"/>
    <w:rsid w:val="68EA74FF"/>
    <w:rsid w:val="68F02EE7"/>
    <w:rsid w:val="68F106C2"/>
    <w:rsid w:val="68F81E8A"/>
    <w:rsid w:val="690B41A6"/>
    <w:rsid w:val="690C4D72"/>
    <w:rsid w:val="69886D18"/>
    <w:rsid w:val="698F33C5"/>
    <w:rsid w:val="69927E51"/>
    <w:rsid w:val="69B0699A"/>
    <w:rsid w:val="69B47ED4"/>
    <w:rsid w:val="69D3205D"/>
    <w:rsid w:val="69D664CD"/>
    <w:rsid w:val="69DE5947"/>
    <w:rsid w:val="69E46D19"/>
    <w:rsid w:val="69F03E09"/>
    <w:rsid w:val="6A06480C"/>
    <w:rsid w:val="6A341812"/>
    <w:rsid w:val="6A531FC9"/>
    <w:rsid w:val="6A5850ED"/>
    <w:rsid w:val="6A6E725A"/>
    <w:rsid w:val="6AA6164F"/>
    <w:rsid w:val="6AA915A7"/>
    <w:rsid w:val="6AAB3E09"/>
    <w:rsid w:val="6AD05C51"/>
    <w:rsid w:val="6AD13FA2"/>
    <w:rsid w:val="6AD420EE"/>
    <w:rsid w:val="6AD56E00"/>
    <w:rsid w:val="6AE245D3"/>
    <w:rsid w:val="6AE6019A"/>
    <w:rsid w:val="6AFC24E4"/>
    <w:rsid w:val="6B254524"/>
    <w:rsid w:val="6B2905B8"/>
    <w:rsid w:val="6B4155CC"/>
    <w:rsid w:val="6B5E3D9E"/>
    <w:rsid w:val="6B62302D"/>
    <w:rsid w:val="6B786386"/>
    <w:rsid w:val="6BA325D3"/>
    <w:rsid w:val="6BB2595D"/>
    <w:rsid w:val="6BC45B5B"/>
    <w:rsid w:val="6BCE3782"/>
    <w:rsid w:val="6BDE0817"/>
    <w:rsid w:val="6C066D46"/>
    <w:rsid w:val="6C1F1BB5"/>
    <w:rsid w:val="6C213531"/>
    <w:rsid w:val="6C240F7A"/>
    <w:rsid w:val="6C290BE5"/>
    <w:rsid w:val="6C2D780F"/>
    <w:rsid w:val="6C31419B"/>
    <w:rsid w:val="6C3F0429"/>
    <w:rsid w:val="6C4755B5"/>
    <w:rsid w:val="6C485021"/>
    <w:rsid w:val="6C545752"/>
    <w:rsid w:val="6C600E73"/>
    <w:rsid w:val="6C805632"/>
    <w:rsid w:val="6C861C34"/>
    <w:rsid w:val="6C9222F1"/>
    <w:rsid w:val="6C9A56E0"/>
    <w:rsid w:val="6CBA7B30"/>
    <w:rsid w:val="6CBB5C40"/>
    <w:rsid w:val="6CBD6329"/>
    <w:rsid w:val="6CBE15D4"/>
    <w:rsid w:val="6CCA6B95"/>
    <w:rsid w:val="6CCD33BF"/>
    <w:rsid w:val="6CD35FD9"/>
    <w:rsid w:val="6CD504C6"/>
    <w:rsid w:val="6CD93D16"/>
    <w:rsid w:val="6CDE5D70"/>
    <w:rsid w:val="6CE6676D"/>
    <w:rsid w:val="6CF3253E"/>
    <w:rsid w:val="6CF86FC2"/>
    <w:rsid w:val="6D0C5172"/>
    <w:rsid w:val="6D0E2A37"/>
    <w:rsid w:val="6D1F5B6A"/>
    <w:rsid w:val="6D5F3715"/>
    <w:rsid w:val="6D8D60DA"/>
    <w:rsid w:val="6D8F2465"/>
    <w:rsid w:val="6D9F4AFC"/>
    <w:rsid w:val="6DB150D8"/>
    <w:rsid w:val="6DC80101"/>
    <w:rsid w:val="6DD15131"/>
    <w:rsid w:val="6DDD2361"/>
    <w:rsid w:val="6DEE7A91"/>
    <w:rsid w:val="6DF22170"/>
    <w:rsid w:val="6DFB4F9E"/>
    <w:rsid w:val="6DFE66EE"/>
    <w:rsid w:val="6E0B682D"/>
    <w:rsid w:val="6E0C22A8"/>
    <w:rsid w:val="6E1405F0"/>
    <w:rsid w:val="6E25015A"/>
    <w:rsid w:val="6E2561D5"/>
    <w:rsid w:val="6E4113DB"/>
    <w:rsid w:val="6E470F4F"/>
    <w:rsid w:val="6E49729F"/>
    <w:rsid w:val="6E5B4B00"/>
    <w:rsid w:val="6E7D7592"/>
    <w:rsid w:val="6E7F693B"/>
    <w:rsid w:val="6E82143B"/>
    <w:rsid w:val="6E8F685A"/>
    <w:rsid w:val="6E9E6C4E"/>
    <w:rsid w:val="6EA33880"/>
    <w:rsid w:val="6EAA2FD1"/>
    <w:rsid w:val="6EB8054A"/>
    <w:rsid w:val="6EC67E1E"/>
    <w:rsid w:val="6ED15B19"/>
    <w:rsid w:val="6EE14D69"/>
    <w:rsid w:val="6EF7795F"/>
    <w:rsid w:val="6EF90976"/>
    <w:rsid w:val="6F0648CA"/>
    <w:rsid w:val="6F201503"/>
    <w:rsid w:val="6F246E38"/>
    <w:rsid w:val="6F4255E5"/>
    <w:rsid w:val="6F481423"/>
    <w:rsid w:val="6F4E0E08"/>
    <w:rsid w:val="6F552484"/>
    <w:rsid w:val="6F557B1F"/>
    <w:rsid w:val="6F590F9A"/>
    <w:rsid w:val="6F6E56EE"/>
    <w:rsid w:val="6F742686"/>
    <w:rsid w:val="6F7B6C59"/>
    <w:rsid w:val="6F8112BF"/>
    <w:rsid w:val="6F8142E8"/>
    <w:rsid w:val="6F822CAA"/>
    <w:rsid w:val="6F942142"/>
    <w:rsid w:val="6F997143"/>
    <w:rsid w:val="6F9A3F5D"/>
    <w:rsid w:val="6FAE654D"/>
    <w:rsid w:val="6FB203E3"/>
    <w:rsid w:val="6FD62EAD"/>
    <w:rsid w:val="6FDD7D5D"/>
    <w:rsid w:val="6FE17DD1"/>
    <w:rsid w:val="6FE31A98"/>
    <w:rsid w:val="6FE42FF4"/>
    <w:rsid w:val="6FE56CCD"/>
    <w:rsid w:val="6FEC2350"/>
    <w:rsid w:val="6FFA07CD"/>
    <w:rsid w:val="700641DF"/>
    <w:rsid w:val="700F65B1"/>
    <w:rsid w:val="70185601"/>
    <w:rsid w:val="703D1A66"/>
    <w:rsid w:val="704C496B"/>
    <w:rsid w:val="7054787E"/>
    <w:rsid w:val="706252BB"/>
    <w:rsid w:val="70651263"/>
    <w:rsid w:val="706B6064"/>
    <w:rsid w:val="706E1E73"/>
    <w:rsid w:val="70797034"/>
    <w:rsid w:val="708E362C"/>
    <w:rsid w:val="70AF7167"/>
    <w:rsid w:val="70B675DD"/>
    <w:rsid w:val="70C46777"/>
    <w:rsid w:val="70E07CDC"/>
    <w:rsid w:val="70EC6AAA"/>
    <w:rsid w:val="70EE256C"/>
    <w:rsid w:val="70F40C0D"/>
    <w:rsid w:val="710B6BAC"/>
    <w:rsid w:val="710D535A"/>
    <w:rsid w:val="710E0482"/>
    <w:rsid w:val="71104836"/>
    <w:rsid w:val="71166312"/>
    <w:rsid w:val="7125466D"/>
    <w:rsid w:val="712A510B"/>
    <w:rsid w:val="71392364"/>
    <w:rsid w:val="713A12C1"/>
    <w:rsid w:val="713E2ADE"/>
    <w:rsid w:val="714640A3"/>
    <w:rsid w:val="714B51FB"/>
    <w:rsid w:val="714C7D9F"/>
    <w:rsid w:val="71534870"/>
    <w:rsid w:val="716100AF"/>
    <w:rsid w:val="716E7508"/>
    <w:rsid w:val="717007BD"/>
    <w:rsid w:val="71762335"/>
    <w:rsid w:val="717C0B98"/>
    <w:rsid w:val="718D50B2"/>
    <w:rsid w:val="719C7804"/>
    <w:rsid w:val="71A14E1B"/>
    <w:rsid w:val="71A57C2C"/>
    <w:rsid w:val="71AA058E"/>
    <w:rsid w:val="71AA6B8E"/>
    <w:rsid w:val="71BB5EDC"/>
    <w:rsid w:val="71BD454A"/>
    <w:rsid w:val="71BF78E4"/>
    <w:rsid w:val="71DB5236"/>
    <w:rsid w:val="71E071B7"/>
    <w:rsid w:val="71EB3256"/>
    <w:rsid w:val="71F65AD4"/>
    <w:rsid w:val="71F97F09"/>
    <w:rsid w:val="71FB318C"/>
    <w:rsid w:val="721003B0"/>
    <w:rsid w:val="72203F91"/>
    <w:rsid w:val="7224794F"/>
    <w:rsid w:val="7236407E"/>
    <w:rsid w:val="723B6198"/>
    <w:rsid w:val="724E4AFF"/>
    <w:rsid w:val="72540163"/>
    <w:rsid w:val="72597081"/>
    <w:rsid w:val="72663411"/>
    <w:rsid w:val="72734A09"/>
    <w:rsid w:val="728602FC"/>
    <w:rsid w:val="728E37CE"/>
    <w:rsid w:val="7299672B"/>
    <w:rsid w:val="72A6078D"/>
    <w:rsid w:val="72AB217A"/>
    <w:rsid w:val="72D869DA"/>
    <w:rsid w:val="72D903DE"/>
    <w:rsid w:val="72D908F5"/>
    <w:rsid w:val="72DB0748"/>
    <w:rsid w:val="72DE70C1"/>
    <w:rsid w:val="730206BF"/>
    <w:rsid w:val="731246FA"/>
    <w:rsid w:val="7318110C"/>
    <w:rsid w:val="73267420"/>
    <w:rsid w:val="733D0A01"/>
    <w:rsid w:val="73423B21"/>
    <w:rsid w:val="735D64C7"/>
    <w:rsid w:val="73630278"/>
    <w:rsid w:val="73930A26"/>
    <w:rsid w:val="73994BA5"/>
    <w:rsid w:val="73A548CD"/>
    <w:rsid w:val="73AE6778"/>
    <w:rsid w:val="73BB5AAB"/>
    <w:rsid w:val="73BF4F98"/>
    <w:rsid w:val="73CB6C54"/>
    <w:rsid w:val="73E00E62"/>
    <w:rsid w:val="73E82648"/>
    <w:rsid w:val="73EF00BF"/>
    <w:rsid w:val="740D49E9"/>
    <w:rsid w:val="7410076D"/>
    <w:rsid w:val="741471DB"/>
    <w:rsid w:val="743F5BB4"/>
    <w:rsid w:val="744301AD"/>
    <w:rsid w:val="744C793B"/>
    <w:rsid w:val="7479207F"/>
    <w:rsid w:val="74792321"/>
    <w:rsid w:val="7482737C"/>
    <w:rsid w:val="74861DAA"/>
    <w:rsid w:val="749173C8"/>
    <w:rsid w:val="74A013B9"/>
    <w:rsid w:val="74B01C78"/>
    <w:rsid w:val="74B32897"/>
    <w:rsid w:val="74B44378"/>
    <w:rsid w:val="74BE1905"/>
    <w:rsid w:val="74C81CDD"/>
    <w:rsid w:val="74CD6F79"/>
    <w:rsid w:val="74D32DDC"/>
    <w:rsid w:val="74DC2825"/>
    <w:rsid w:val="74E36979"/>
    <w:rsid w:val="74E521FD"/>
    <w:rsid w:val="74EE5ACA"/>
    <w:rsid w:val="751D6B13"/>
    <w:rsid w:val="75255850"/>
    <w:rsid w:val="752A71AE"/>
    <w:rsid w:val="7540263A"/>
    <w:rsid w:val="75480ED2"/>
    <w:rsid w:val="75483F2B"/>
    <w:rsid w:val="756624E9"/>
    <w:rsid w:val="756E770A"/>
    <w:rsid w:val="756F6066"/>
    <w:rsid w:val="757765BE"/>
    <w:rsid w:val="757D16FB"/>
    <w:rsid w:val="758317AD"/>
    <w:rsid w:val="75837AB8"/>
    <w:rsid w:val="75842A89"/>
    <w:rsid w:val="758A319A"/>
    <w:rsid w:val="75BE5F9B"/>
    <w:rsid w:val="75C8195C"/>
    <w:rsid w:val="75CA62C8"/>
    <w:rsid w:val="75D51537"/>
    <w:rsid w:val="75D6166F"/>
    <w:rsid w:val="75E07011"/>
    <w:rsid w:val="75E26B46"/>
    <w:rsid w:val="75FE5368"/>
    <w:rsid w:val="75FF6F29"/>
    <w:rsid w:val="76171B4F"/>
    <w:rsid w:val="761B1298"/>
    <w:rsid w:val="761E3068"/>
    <w:rsid w:val="762A2C8E"/>
    <w:rsid w:val="76392BDB"/>
    <w:rsid w:val="763A3641"/>
    <w:rsid w:val="764A16E1"/>
    <w:rsid w:val="766259D0"/>
    <w:rsid w:val="768014A2"/>
    <w:rsid w:val="76944F4E"/>
    <w:rsid w:val="769E4D37"/>
    <w:rsid w:val="76A20275"/>
    <w:rsid w:val="76A34966"/>
    <w:rsid w:val="76AA0ABE"/>
    <w:rsid w:val="76AA113F"/>
    <w:rsid w:val="76AA52BD"/>
    <w:rsid w:val="76CD6578"/>
    <w:rsid w:val="76DB5DA8"/>
    <w:rsid w:val="770E7677"/>
    <w:rsid w:val="77130569"/>
    <w:rsid w:val="774834C4"/>
    <w:rsid w:val="7760701D"/>
    <w:rsid w:val="77731AA5"/>
    <w:rsid w:val="779658E3"/>
    <w:rsid w:val="7797523E"/>
    <w:rsid w:val="779C70B1"/>
    <w:rsid w:val="77A962C9"/>
    <w:rsid w:val="77D30D6D"/>
    <w:rsid w:val="77D65415"/>
    <w:rsid w:val="77DF17FF"/>
    <w:rsid w:val="77EC2028"/>
    <w:rsid w:val="78080A9B"/>
    <w:rsid w:val="78095B42"/>
    <w:rsid w:val="781140FE"/>
    <w:rsid w:val="781B4001"/>
    <w:rsid w:val="782E021C"/>
    <w:rsid w:val="78301DE6"/>
    <w:rsid w:val="78312F3D"/>
    <w:rsid w:val="783B7D77"/>
    <w:rsid w:val="7840713B"/>
    <w:rsid w:val="784B203D"/>
    <w:rsid w:val="786077DD"/>
    <w:rsid w:val="786254DA"/>
    <w:rsid w:val="788944C1"/>
    <w:rsid w:val="78A709A4"/>
    <w:rsid w:val="78B74F24"/>
    <w:rsid w:val="78E20B70"/>
    <w:rsid w:val="78E24251"/>
    <w:rsid w:val="78F14F60"/>
    <w:rsid w:val="78F341AE"/>
    <w:rsid w:val="78FF3F8C"/>
    <w:rsid w:val="79134EC5"/>
    <w:rsid w:val="79292867"/>
    <w:rsid w:val="792A1421"/>
    <w:rsid w:val="793E06DC"/>
    <w:rsid w:val="7949417E"/>
    <w:rsid w:val="794C346C"/>
    <w:rsid w:val="795D5ACB"/>
    <w:rsid w:val="796E5F2A"/>
    <w:rsid w:val="797562A8"/>
    <w:rsid w:val="798968C0"/>
    <w:rsid w:val="79976E81"/>
    <w:rsid w:val="79982722"/>
    <w:rsid w:val="79A75D0B"/>
    <w:rsid w:val="79A80D6F"/>
    <w:rsid w:val="79AD5EC5"/>
    <w:rsid w:val="79B25E17"/>
    <w:rsid w:val="79D868E4"/>
    <w:rsid w:val="79E9626F"/>
    <w:rsid w:val="79EE3F60"/>
    <w:rsid w:val="7A062657"/>
    <w:rsid w:val="7A0F441B"/>
    <w:rsid w:val="7A174906"/>
    <w:rsid w:val="7A184059"/>
    <w:rsid w:val="7A20151A"/>
    <w:rsid w:val="7A2834C9"/>
    <w:rsid w:val="7A3E4CD1"/>
    <w:rsid w:val="7A450285"/>
    <w:rsid w:val="7A4E3666"/>
    <w:rsid w:val="7A5B2C12"/>
    <w:rsid w:val="7A630627"/>
    <w:rsid w:val="7A635307"/>
    <w:rsid w:val="7A7514BC"/>
    <w:rsid w:val="7A87203F"/>
    <w:rsid w:val="7A8E436A"/>
    <w:rsid w:val="7AAF1529"/>
    <w:rsid w:val="7AB865AB"/>
    <w:rsid w:val="7ABC4A73"/>
    <w:rsid w:val="7ABE10C0"/>
    <w:rsid w:val="7AC31793"/>
    <w:rsid w:val="7AE000C0"/>
    <w:rsid w:val="7AE52C46"/>
    <w:rsid w:val="7B026076"/>
    <w:rsid w:val="7B027C2C"/>
    <w:rsid w:val="7B046186"/>
    <w:rsid w:val="7B20027E"/>
    <w:rsid w:val="7B234EB8"/>
    <w:rsid w:val="7B245EFE"/>
    <w:rsid w:val="7B2A2985"/>
    <w:rsid w:val="7B31720F"/>
    <w:rsid w:val="7B450F0D"/>
    <w:rsid w:val="7B4E7E93"/>
    <w:rsid w:val="7B537B58"/>
    <w:rsid w:val="7B6C264E"/>
    <w:rsid w:val="7B883084"/>
    <w:rsid w:val="7B8A32BE"/>
    <w:rsid w:val="7B8B2344"/>
    <w:rsid w:val="7BAE0B39"/>
    <w:rsid w:val="7BB229D4"/>
    <w:rsid w:val="7BC92FD6"/>
    <w:rsid w:val="7BDD1F8F"/>
    <w:rsid w:val="7BDF27F5"/>
    <w:rsid w:val="7C04568B"/>
    <w:rsid w:val="7C133289"/>
    <w:rsid w:val="7C1515CB"/>
    <w:rsid w:val="7C1936C7"/>
    <w:rsid w:val="7C4C5E9B"/>
    <w:rsid w:val="7C5115A1"/>
    <w:rsid w:val="7C5A1F45"/>
    <w:rsid w:val="7C5C4760"/>
    <w:rsid w:val="7C6467A4"/>
    <w:rsid w:val="7C6A497F"/>
    <w:rsid w:val="7C6F7820"/>
    <w:rsid w:val="7C7F52F3"/>
    <w:rsid w:val="7C900DCC"/>
    <w:rsid w:val="7C92311B"/>
    <w:rsid w:val="7CA54FDB"/>
    <w:rsid w:val="7CA67789"/>
    <w:rsid w:val="7CAA582C"/>
    <w:rsid w:val="7CB059F6"/>
    <w:rsid w:val="7CB531C4"/>
    <w:rsid w:val="7CB6373B"/>
    <w:rsid w:val="7CC47637"/>
    <w:rsid w:val="7CD460A4"/>
    <w:rsid w:val="7CDB44CA"/>
    <w:rsid w:val="7CF31AF4"/>
    <w:rsid w:val="7CF81EAA"/>
    <w:rsid w:val="7CF91FAF"/>
    <w:rsid w:val="7CF93D5D"/>
    <w:rsid w:val="7D0D7808"/>
    <w:rsid w:val="7D173F02"/>
    <w:rsid w:val="7D2736B1"/>
    <w:rsid w:val="7D296128"/>
    <w:rsid w:val="7D2C0E5B"/>
    <w:rsid w:val="7D2C732A"/>
    <w:rsid w:val="7D32101D"/>
    <w:rsid w:val="7D366D5F"/>
    <w:rsid w:val="7D3A4C98"/>
    <w:rsid w:val="7D3B4375"/>
    <w:rsid w:val="7D416C77"/>
    <w:rsid w:val="7D43264B"/>
    <w:rsid w:val="7D480502"/>
    <w:rsid w:val="7D4A0EA6"/>
    <w:rsid w:val="7D4B1AA1"/>
    <w:rsid w:val="7D4B67F5"/>
    <w:rsid w:val="7D5B609A"/>
    <w:rsid w:val="7D633F4F"/>
    <w:rsid w:val="7D695F0E"/>
    <w:rsid w:val="7D6A601E"/>
    <w:rsid w:val="7D7F24B4"/>
    <w:rsid w:val="7DA474E7"/>
    <w:rsid w:val="7DB74763"/>
    <w:rsid w:val="7DBB6758"/>
    <w:rsid w:val="7DBF70DD"/>
    <w:rsid w:val="7DC23446"/>
    <w:rsid w:val="7DD45B5F"/>
    <w:rsid w:val="7DE8525B"/>
    <w:rsid w:val="7DED4EC7"/>
    <w:rsid w:val="7E0E63BD"/>
    <w:rsid w:val="7E293656"/>
    <w:rsid w:val="7E404A21"/>
    <w:rsid w:val="7E565A4B"/>
    <w:rsid w:val="7E566C54"/>
    <w:rsid w:val="7E8901F3"/>
    <w:rsid w:val="7E9B5AE7"/>
    <w:rsid w:val="7EB2322F"/>
    <w:rsid w:val="7EB81511"/>
    <w:rsid w:val="7EB86264"/>
    <w:rsid w:val="7EC67F4B"/>
    <w:rsid w:val="7ED625A7"/>
    <w:rsid w:val="7ED76B56"/>
    <w:rsid w:val="7EE437DA"/>
    <w:rsid w:val="7F1C6F81"/>
    <w:rsid w:val="7F2C4864"/>
    <w:rsid w:val="7F3563D6"/>
    <w:rsid w:val="7F3B68AE"/>
    <w:rsid w:val="7F435B4E"/>
    <w:rsid w:val="7F49147B"/>
    <w:rsid w:val="7F4B474E"/>
    <w:rsid w:val="7F59588E"/>
    <w:rsid w:val="7F7465EF"/>
    <w:rsid w:val="7F7C7D0A"/>
    <w:rsid w:val="7F7E0DE1"/>
    <w:rsid w:val="7F9A1827"/>
    <w:rsid w:val="7FB87EFF"/>
    <w:rsid w:val="7FC543CA"/>
    <w:rsid w:val="7FD0249F"/>
    <w:rsid w:val="7FD72BF9"/>
    <w:rsid w:val="7FDC12CB"/>
    <w:rsid w:val="7FDE1A48"/>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96"/>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qFormat="1" w:uiPriority="99"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6"/>
    <w:autoRedefine/>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87"/>
    <w:autoRedefine/>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92"/>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unhideWhenUsed/>
    <w:qFormat/>
    <w:uiPriority w:val="0"/>
    <w:pPr>
      <w:keepNext/>
      <w:keepLines/>
      <w:numPr>
        <w:ilvl w:val="4"/>
        <w:numId w:val="1"/>
      </w:numPr>
      <w:spacing w:beforeLines="0" w:beforeAutospacing="0" w:afterLines="0" w:afterAutospacing="0" w:line="372" w:lineRule="auto"/>
      <w:ind w:left="1008" w:hanging="1008"/>
      <w:outlineLvl w:val="4"/>
    </w:pPr>
    <w:rPr>
      <w:rFonts w:asciiTheme="minorAscii" w:hAnsiTheme="minorAscii"/>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7">
    <w:name w:val="table of authorities"/>
    <w:basedOn w:val="1"/>
    <w:next w:val="1"/>
    <w:autoRedefine/>
    <w:unhideWhenUsed/>
    <w:qFormat/>
    <w:uiPriority w:val="99"/>
    <w:pPr>
      <w:ind w:left="420"/>
    </w:pPr>
  </w:style>
  <w:style w:type="paragraph" w:styleId="8">
    <w:name w:val="Normal Indent"/>
    <w:basedOn w:val="1"/>
    <w:next w:val="9"/>
    <w:autoRedefine/>
    <w:unhideWhenUsed/>
    <w:qFormat/>
    <w:uiPriority w:val="99"/>
    <w:pPr>
      <w:spacing w:line="360" w:lineRule="auto"/>
      <w:ind w:firstLine="454"/>
    </w:pPr>
    <w:rPr>
      <w:sz w:val="24"/>
      <w:szCs w:val="20"/>
    </w:rPr>
  </w:style>
  <w:style w:type="paragraph" w:styleId="9">
    <w:name w:val="header"/>
    <w:basedOn w:val="1"/>
    <w:next w:val="10"/>
    <w:link w:val="89"/>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text"/>
    <w:basedOn w:val="1"/>
    <w:link w:val="101"/>
    <w:autoRedefine/>
    <w:semiHidden/>
    <w:qFormat/>
    <w:uiPriority w:val="0"/>
    <w:pPr>
      <w:jc w:val="left"/>
    </w:pPr>
  </w:style>
  <w:style w:type="paragraph" w:styleId="11">
    <w:name w:val="Document Map"/>
    <w:basedOn w:val="1"/>
    <w:link w:val="74"/>
    <w:autoRedefine/>
    <w:qFormat/>
    <w:uiPriority w:val="0"/>
    <w:pPr>
      <w:shd w:val="clear" w:color="auto" w:fill="000080"/>
    </w:pPr>
  </w:style>
  <w:style w:type="paragraph" w:styleId="12">
    <w:name w:val="toa heading"/>
    <w:basedOn w:val="1"/>
    <w:next w:val="1"/>
    <w:autoRedefine/>
    <w:qFormat/>
    <w:uiPriority w:val="0"/>
    <w:pPr>
      <w:spacing w:before="120"/>
    </w:pPr>
    <w:rPr>
      <w:rFonts w:ascii="Arial" w:hAnsi="Arial" w:cs="Arial"/>
      <w:sz w:val="24"/>
    </w:rPr>
  </w:style>
  <w:style w:type="paragraph" w:styleId="13">
    <w:name w:val="Body Text 3"/>
    <w:next w:val="14"/>
    <w:autoRedefine/>
    <w:qFormat/>
    <w:uiPriority w:val="0"/>
    <w:pPr>
      <w:widowControl w:val="0"/>
      <w:spacing w:after="120"/>
      <w:ind w:firstLine="3584"/>
      <w:jc w:val="both"/>
    </w:pPr>
    <w:rPr>
      <w:rFonts w:ascii="Times New Roman" w:hAnsi="Times New Roman" w:eastAsia="宋体" w:cs="Times New Roman"/>
      <w:kern w:val="2"/>
      <w:sz w:val="21"/>
      <w:szCs w:val="24"/>
      <w:lang w:val="en-US" w:eastAsia="zh-CN" w:bidi="ar-SA"/>
    </w:rPr>
  </w:style>
  <w:style w:type="paragraph" w:styleId="14">
    <w:name w:val="Balloon Text"/>
    <w:basedOn w:val="1"/>
    <w:next w:val="1"/>
    <w:link w:val="96"/>
    <w:autoRedefine/>
    <w:unhideWhenUsed/>
    <w:qFormat/>
    <w:uiPriority w:val="99"/>
    <w:rPr>
      <w:sz w:val="18"/>
      <w:szCs w:val="18"/>
    </w:rPr>
  </w:style>
  <w:style w:type="paragraph" w:styleId="15">
    <w:name w:val="Body Text"/>
    <w:basedOn w:val="1"/>
    <w:next w:val="1"/>
    <w:link w:val="99"/>
    <w:autoRedefine/>
    <w:unhideWhenUsed/>
    <w:qFormat/>
    <w:uiPriority w:val="99"/>
    <w:pPr>
      <w:spacing w:after="120"/>
    </w:pPr>
  </w:style>
  <w:style w:type="paragraph" w:styleId="16">
    <w:name w:val="Body Text Indent"/>
    <w:basedOn w:val="1"/>
    <w:next w:val="17"/>
    <w:link w:val="90"/>
    <w:autoRedefine/>
    <w:qFormat/>
    <w:uiPriority w:val="0"/>
    <w:pPr>
      <w:ind w:firstLine="560" w:firstLineChars="200"/>
    </w:pPr>
    <w:rPr>
      <w:sz w:val="24"/>
    </w:rPr>
  </w:style>
  <w:style w:type="paragraph" w:styleId="17">
    <w:name w:val="Body Text First Indent 2"/>
    <w:basedOn w:val="16"/>
    <w:next w:val="1"/>
    <w:autoRedefine/>
    <w:semiHidden/>
    <w:unhideWhenUsed/>
    <w:qFormat/>
    <w:uiPriority w:val="99"/>
    <w:pPr>
      <w:ind w:firstLine="420" w:firstLineChars="200"/>
    </w:pPr>
  </w:style>
  <w:style w:type="paragraph" w:styleId="18">
    <w:name w:val="List 2"/>
    <w:basedOn w:val="1"/>
    <w:autoRedefine/>
    <w:qFormat/>
    <w:uiPriority w:val="0"/>
    <w:pPr>
      <w:ind w:left="100" w:leftChars="200" w:hanging="200" w:hangingChars="200"/>
    </w:pPr>
    <w:rPr>
      <w:rFonts w:ascii="Times New Roman" w:hAnsi="Times New Roman" w:eastAsia="宋体" w:cs="Times New Roman"/>
      <w:szCs w:val="24"/>
    </w:rPr>
  </w:style>
  <w:style w:type="paragraph" w:styleId="19">
    <w:name w:val="List Continue"/>
    <w:basedOn w:val="1"/>
    <w:autoRedefine/>
    <w:unhideWhenUsed/>
    <w:qFormat/>
    <w:uiPriority w:val="99"/>
    <w:pPr>
      <w:widowControl/>
      <w:spacing w:after="119" w:line="351" w:lineRule="atLeast"/>
      <w:ind w:firstLine="419"/>
    </w:pPr>
    <w:rPr>
      <w:rFonts w:ascii="仿宋_GB2312" w:eastAsia="仿宋_GB2312"/>
      <w:color w:val="000000"/>
      <w:sz w:val="28"/>
    </w:rPr>
  </w:style>
  <w:style w:type="paragraph" w:styleId="20">
    <w:name w:val="Plain Text"/>
    <w:basedOn w:val="1"/>
    <w:link w:val="80"/>
    <w:autoRedefine/>
    <w:unhideWhenUsed/>
    <w:qFormat/>
    <w:uiPriority w:val="0"/>
    <w:rPr>
      <w:rFonts w:ascii="宋体" w:hAnsi="Courier New"/>
      <w:szCs w:val="20"/>
    </w:rPr>
  </w:style>
  <w:style w:type="paragraph" w:styleId="21">
    <w:name w:val="Date"/>
    <w:basedOn w:val="1"/>
    <w:next w:val="1"/>
    <w:link w:val="95"/>
    <w:autoRedefine/>
    <w:qFormat/>
    <w:uiPriority w:val="0"/>
  </w:style>
  <w:style w:type="paragraph" w:styleId="22">
    <w:name w:val="Body Text Indent 2"/>
    <w:basedOn w:val="1"/>
    <w:link w:val="98"/>
    <w:autoRedefine/>
    <w:unhideWhenUsed/>
    <w:qFormat/>
    <w:uiPriority w:val="99"/>
    <w:pPr>
      <w:spacing w:after="120" w:line="480" w:lineRule="auto"/>
      <w:ind w:left="420" w:leftChars="200"/>
    </w:pPr>
  </w:style>
  <w:style w:type="paragraph" w:styleId="23">
    <w:name w:val="footer"/>
    <w:basedOn w:val="1"/>
    <w:link w:val="88"/>
    <w:autoRedefine/>
    <w:qFormat/>
    <w:uiPriority w:val="99"/>
    <w:pPr>
      <w:tabs>
        <w:tab w:val="center" w:pos="4153"/>
        <w:tab w:val="right" w:pos="8306"/>
      </w:tabs>
      <w:snapToGrid w:val="0"/>
      <w:jc w:val="left"/>
    </w:pPr>
    <w:rPr>
      <w:sz w:val="18"/>
      <w:szCs w:val="18"/>
    </w:rPr>
  </w:style>
  <w:style w:type="paragraph" w:styleId="24">
    <w:name w:val="toc 1"/>
    <w:basedOn w:val="1"/>
    <w:next w:val="1"/>
    <w:autoRedefine/>
    <w:qFormat/>
    <w:uiPriority w:val="0"/>
    <w:pPr>
      <w:spacing w:after="7" w:line="257" w:lineRule="auto"/>
      <w:ind w:left="15" w:right="134" w:firstLine="62"/>
    </w:pPr>
    <w:rPr>
      <w:rFonts w:eastAsia="Calibri" w:cs="Calibri"/>
      <w:color w:val="000000"/>
      <w:szCs w:val="22"/>
    </w:rPr>
  </w:style>
  <w:style w:type="paragraph" w:styleId="25">
    <w:name w:val="toc 4"/>
    <w:next w:val="1"/>
    <w:qFormat/>
    <w:uiPriority w:val="0"/>
    <w:pPr>
      <w:wordWrap w:val="0"/>
      <w:ind w:left="850"/>
      <w:jc w:val="both"/>
    </w:pPr>
    <w:rPr>
      <w:rFonts w:ascii="Calibri" w:hAnsi="Calibri" w:eastAsia="宋体" w:cs="Times New Roman"/>
      <w:sz w:val="21"/>
      <w:lang w:val="en-US" w:eastAsia="zh-CN" w:bidi="ar-SA"/>
    </w:rPr>
  </w:style>
  <w:style w:type="paragraph" w:styleId="26">
    <w:name w:val="Subtitle"/>
    <w:basedOn w:val="1"/>
    <w:next w:val="1"/>
    <w:link w:val="94"/>
    <w:autoRedefine/>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7">
    <w:name w:val="toc 2"/>
    <w:basedOn w:val="1"/>
    <w:next w:val="1"/>
    <w:autoRedefine/>
    <w:qFormat/>
    <w:uiPriority w:val="39"/>
    <w:pPr>
      <w:ind w:left="420" w:leftChars="200"/>
    </w:pPr>
    <w:rPr>
      <w:rFonts w:ascii="Times New Roman" w:hAnsi="Times New Roman"/>
    </w:rPr>
  </w:style>
  <w:style w:type="paragraph" w:styleId="28">
    <w:name w:val="Body Text 2"/>
    <w:basedOn w:val="1"/>
    <w:link w:val="97"/>
    <w:autoRedefine/>
    <w:unhideWhenUsed/>
    <w:qFormat/>
    <w:uiPriority w:val="99"/>
    <w:pPr>
      <w:spacing w:after="120" w:line="480" w:lineRule="auto"/>
    </w:pPr>
  </w:style>
  <w:style w:type="paragraph" w:styleId="29">
    <w:name w:val="HTML Preformatted"/>
    <w:basedOn w:val="1"/>
    <w:link w:val="8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30">
    <w:name w:val="Normal (Web)"/>
    <w:basedOn w:val="1"/>
    <w:autoRedefine/>
    <w:qFormat/>
    <w:uiPriority w:val="99"/>
    <w:pPr>
      <w:widowControl/>
      <w:wordWrap w:val="0"/>
      <w:spacing w:before="100" w:beforeAutospacing="1" w:after="100" w:afterAutospacing="1"/>
      <w:jc w:val="left"/>
    </w:pPr>
    <w:rPr>
      <w:rFonts w:ascii="宋体" w:hAnsi="宋体" w:cs="宋体"/>
      <w:kern w:val="0"/>
      <w:sz w:val="24"/>
    </w:rPr>
  </w:style>
  <w:style w:type="paragraph" w:styleId="31">
    <w:name w:val="Title"/>
    <w:basedOn w:val="1"/>
    <w:next w:val="1"/>
    <w:link w:val="91"/>
    <w:autoRedefine/>
    <w:qFormat/>
    <w:uiPriority w:val="10"/>
    <w:pPr>
      <w:spacing w:before="240" w:after="60"/>
      <w:jc w:val="center"/>
      <w:outlineLvl w:val="0"/>
    </w:pPr>
    <w:rPr>
      <w:rFonts w:ascii="Cambria" w:hAnsi="Cambria"/>
      <w:b/>
      <w:bCs/>
      <w:sz w:val="32"/>
      <w:szCs w:val="32"/>
    </w:rPr>
  </w:style>
  <w:style w:type="paragraph" w:styleId="32">
    <w:name w:val="Body Text First Indent"/>
    <w:basedOn w:val="15"/>
    <w:link w:val="83"/>
    <w:autoRedefine/>
    <w:unhideWhenUsed/>
    <w:qFormat/>
    <w:uiPriority w:val="99"/>
    <w:pPr>
      <w:ind w:firstLine="420" w:firstLineChars="100"/>
    </w:pPr>
  </w:style>
  <w:style w:type="table" w:styleId="34">
    <w:name w:val="Table Grid"/>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22"/>
    <w:rPr>
      <w:b/>
      <w:bCs/>
      <w:kern w:val="0"/>
    </w:rPr>
  </w:style>
  <w:style w:type="character" w:styleId="37">
    <w:name w:val="page number"/>
    <w:basedOn w:val="35"/>
    <w:autoRedefine/>
    <w:qFormat/>
    <w:uiPriority w:val="0"/>
  </w:style>
  <w:style w:type="character" w:styleId="38">
    <w:name w:val="FollowedHyperlink"/>
    <w:basedOn w:val="35"/>
    <w:autoRedefine/>
    <w:unhideWhenUsed/>
    <w:qFormat/>
    <w:uiPriority w:val="99"/>
    <w:rPr>
      <w:color w:val="156356"/>
      <w:u w:val="none"/>
    </w:rPr>
  </w:style>
  <w:style w:type="character" w:styleId="39">
    <w:name w:val="Emphasis"/>
    <w:autoRedefine/>
    <w:qFormat/>
    <w:uiPriority w:val="20"/>
    <w:rPr>
      <w:i/>
      <w:iCs/>
    </w:rPr>
  </w:style>
  <w:style w:type="character" w:styleId="40">
    <w:name w:val="Hyperlink"/>
    <w:autoRedefine/>
    <w:qFormat/>
    <w:uiPriority w:val="0"/>
    <w:rPr>
      <w:color w:val="0368A8"/>
      <w:kern w:val="0"/>
      <w:u w:val="none"/>
    </w:rPr>
  </w:style>
  <w:style w:type="character" w:styleId="41">
    <w:name w:val="annotation reference"/>
    <w:basedOn w:val="35"/>
    <w:qFormat/>
    <w:uiPriority w:val="0"/>
    <w:rPr>
      <w:sz w:val="21"/>
      <w:szCs w:val="21"/>
    </w:rPr>
  </w:style>
  <w:style w:type="character" w:styleId="42">
    <w:name w:val="HTML Sample"/>
    <w:basedOn w:val="35"/>
    <w:autoRedefine/>
    <w:semiHidden/>
    <w:unhideWhenUsed/>
    <w:qFormat/>
    <w:uiPriority w:val="99"/>
    <w:rPr>
      <w:rFonts w:ascii="Courier New" w:hAnsi="Courier New"/>
    </w:rPr>
  </w:style>
  <w:style w:type="paragraph" w:customStyle="1" w:styleId="43">
    <w:name w:val="正文2"/>
    <w:basedOn w:val="1"/>
    <w:qFormat/>
    <w:uiPriority w:val="0"/>
    <w:pPr>
      <w:ind w:firstLine="200"/>
    </w:pPr>
    <w:rPr>
      <w:rFonts w:ascii="Calibri" w:hAnsi="Calibri" w:eastAsia="宋体" w:cs="Times New Roman"/>
      <w:szCs w:val="22"/>
    </w:rPr>
  </w:style>
  <w:style w:type="paragraph" w:customStyle="1" w:styleId="44">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5">
    <w:name w:val="NormalCharacter"/>
    <w:autoRedefine/>
    <w:qFormat/>
    <w:uiPriority w:val="0"/>
  </w:style>
  <w:style w:type="character" w:customStyle="1" w:styleId="46">
    <w:name w:val="标题 1 Char"/>
    <w:link w:val="2"/>
    <w:autoRedefine/>
    <w:qFormat/>
    <w:uiPriority w:val="9"/>
    <w:rPr>
      <w:rFonts w:ascii="Times New Roman" w:hAnsi="Times New Roman" w:eastAsia="宋体" w:cs="Times New Roman"/>
      <w:b/>
      <w:bCs/>
      <w:kern w:val="44"/>
      <w:sz w:val="44"/>
      <w:szCs w:val="44"/>
    </w:rPr>
  </w:style>
  <w:style w:type="paragraph" w:customStyle="1" w:styleId="47">
    <w:name w:val="Style1"/>
    <w:basedOn w:val="1"/>
    <w:autoRedefine/>
    <w:qFormat/>
    <w:uiPriority w:val="99"/>
    <w:pPr>
      <w:tabs>
        <w:tab w:val="left" w:pos="-720"/>
      </w:tabs>
      <w:spacing w:after="120"/>
    </w:pPr>
    <w:rPr>
      <w:spacing w:val="-3"/>
      <w:sz w:val="24"/>
      <w:szCs w:val="20"/>
      <w:lang w:val="en-AU" w:eastAsia="en-US"/>
    </w:rPr>
  </w:style>
  <w:style w:type="paragraph" w:customStyle="1" w:styleId="48">
    <w:name w:val="列出段落11"/>
    <w:basedOn w:val="1"/>
    <w:autoRedefine/>
    <w:qFormat/>
    <w:uiPriority w:val="0"/>
    <w:pPr>
      <w:ind w:firstLine="420" w:firstLineChars="200"/>
    </w:pPr>
    <w:rPr>
      <w:szCs w:val="22"/>
    </w:rPr>
  </w:style>
  <w:style w:type="paragraph" w:customStyle="1" w:styleId="49">
    <w:name w:val="_Style 1"/>
    <w:basedOn w:val="1"/>
    <w:autoRedefine/>
    <w:qFormat/>
    <w:uiPriority w:val="0"/>
  </w:style>
  <w:style w:type="paragraph" w:customStyle="1" w:styleId="50">
    <w:name w:val="p1"/>
    <w:basedOn w:val="1"/>
    <w:autoRedefine/>
    <w:qFormat/>
    <w:uiPriority w:val="0"/>
    <w:pPr>
      <w:widowControl/>
      <w:jc w:val="left"/>
    </w:pPr>
    <w:rPr>
      <w:rFonts w:ascii="Arial" w:hAnsi="Arial" w:eastAsia="等线" w:cs="Arial"/>
      <w:color w:val="333333"/>
      <w:kern w:val="0"/>
      <w:sz w:val="20"/>
      <w:szCs w:val="20"/>
    </w:rPr>
  </w:style>
  <w:style w:type="paragraph" w:customStyle="1" w:styleId="51">
    <w:name w:val="列出段落2"/>
    <w:basedOn w:val="1"/>
    <w:autoRedefine/>
    <w:qFormat/>
    <w:uiPriority w:val="0"/>
    <w:pPr>
      <w:ind w:firstLine="420" w:firstLineChars="200"/>
    </w:pPr>
  </w:style>
  <w:style w:type="paragraph" w:customStyle="1" w:styleId="52">
    <w:name w:val="Agilent Doc Title"/>
    <w:next w:val="1"/>
    <w:autoRedefine/>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53">
    <w:name w:val="列出段落1"/>
    <w:basedOn w:val="1"/>
    <w:autoRedefine/>
    <w:qFormat/>
    <w:uiPriority w:val="0"/>
    <w:pPr>
      <w:ind w:firstLine="420" w:firstLineChars="200"/>
    </w:pPr>
  </w:style>
  <w:style w:type="paragraph" w:customStyle="1" w:styleId="54">
    <w:name w:val="样式 标题 3h3H3sect1.2.3 + 五号 段前: 6 磅 段后: 6 磅 行距: 单倍行距"/>
    <w:basedOn w:val="4"/>
    <w:autoRedefine/>
    <w:qFormat/>
    <w:uiPriority w:val="0"/>
    <w:pPr>
      <w:spacing w:before="120" w:after="120" w:line="240" w:lineRule="auto"/>
    </w:pPr>
    <w:rPr>
      <w:sz w:val="21"/>
      <w:szCs w:val="20"/>
    </w:rPr>
  </w:style>
  <w:style w:type="paragraph" w:customStyle="1" w:styleId="55">
    <w:name w:val="Char Char Char Char"/>
    <w:basedOn w:val="11"/>
    <w:autoRedefine/>
    <w:qFormat/>
    <w:uiPriority w:val="0"/>
    <w:pPr>
      <w:adjustRightInd w:val="0"/>
      <w:snapToGrid w:val="0"/>
      <w:spacing w:line="360" w:lineRule="auto"/>
    </w:pPr>
    <w:rPr>
      <w:rFonts w:ascii="Tahoma" w:hAnsi="Tahoma"/>
      <w:sz w:val="24"/>
    </w:rPr>
  </w:style>
  <w:style w:type="paragraph" w:customStyle="1" w:styleId="56">
    <w:name w:val="2级正文"/>
    <w:basedOn w:val="1"/>
    <w:autoRedefine/>
    <w:qFormat/>
    <w:uiPriority w:val="0"/>
    <w:pPr>
      <w:ind w:left="721" w:hanging="420"/>
      <w:jc w:val="left"/>
    </w:pPr>
    <w:rPr>
      <w:rFonts w:ascii="宋体" w:hAnsi="宋体" w:cs="宋体"/>
      <w:szCs w:val="21"/>
    </w:rPr>
  </w:style>
  <w:style w:type="paragraph" w:customStyle="1" w:styleId="57">
    <w:name w:val="彩色列表 - 着色 11"/>
    <w:basedOn w:val="1"/>
    <w:autoRedefine/>
    <w:qFormat/>
    <w:uiPriority w:val="34"/>
    <w:pPr>
      <w:ind w:firstLine="420" w:firstLineChars="200"/>
    </w:pPr>
  </w:style>
  <w:style w:type="paragraph" w:customStyle="1" w:styleId="58">
    <w:name w:val="列表段落1"/>
    <w:basedOn w:val="1"/>
    <w:autoRedefine/>
    <w:qFormat/>
    <w:uiPriority w:val="34"/>
    <w:pPr>
      <w:ind w:firstLine="420" w:firstLineChars="200"/>
    </w:pPr>
    <w:rPr>
      <w:szCs w:val="22"/>
    </w:rPr>
  </w:style>
  <w:style w:type="paragraph" w:customStyle="1" w:styleId="59">
    <w:name w:val="font0"/>
    <w:basedOn w:val="1"/>
    <w:autoRedefine/>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60">
    <w:name w:val="型号"/>
    <w:basedOn w:val="1"/>
    <w:autoRedefine/>
    <w:qFormat/>
    <w:uiPriority w:val="0"/>
    <w:pPr>
      <w:ind w:left="357"/>
      <w:jc w:val="left"/>
    </w:pPr>
    <w:rPr>
      <w:rFonts w:ascii="宋体" w:hAnsi="宋体"/>
      <w:sz w:val="18"/>
      <w:szCs w:val="18"/>
    </w:rPr>
  </w:style>
  <w:style w:type="paragraph" w:customStyle="1" w:styleId="6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Char Char"/>
    <w:basedOn w:val="1"/>
    <w:autoRedefine/>
    <w:qFormat/>
    <w:uiPriority w:val="0"/>
    <w:rPr>
      <w:rFonts w:eastAsia="Times New Roman"/>
      <w:kern w:val="0"/>
      <w:sz w:val="20"/>
      <w:szCs w:val="20"/>
    </w:rPr>
  </w:style>
  <w:style w:type="paragraph" w:customStyle="1" w:styleId="63">
    <w:name w:val="样式"/>
    <w:autoRedefine/>
    <w:qFormat/>
    <w:uiPriority w:val="0"/>
    <w:pPr>
      <w:widowControl w:val="0"/>
      <w:autoSpaceDE w:val="0"/>
      <w:autoSpaceDN w:val="0"/>
      <w:adjustRightInd w:val="0"/>
    </w:pPr>
    <w:rPr>
      <w:rFonts w:ascii="Calibri" w:hAnsi="Calibri" w:eastAsia="宋体" w:cs="Times New Roman"/>
      <w:sz w:val="24"/>
      <w:lang w:val="en-US" w:eastAsia="zh-CN" w:bidi="ar-SA"/>
    </w:rPr>
  </w:style>
  <w:style w:type="paragraph" w:customStyle="1" w:styleId="64">
    <w:name w:val="正文－恩普"/>
    <w:basedOn w:val="8"/>
    <w:autoRedefine/>
    <w:qFormat/>
    <w:uiPriority w:val="0"/>
    <w:pPr>
      <w:widowControl/>
      <w:spacing w:after="156" w:afterLines="50"/>
      <w:ind w:firstLine="480" w:firstLineChars="200"/>
      <w:jc w:val="left"/>
    </w:pPr>
    <w:rPr>
      <w:kern w:val="0"/>
    </w:rPr>
  </w:style>
  <w:style w:type="paragraph" w:customStyle="1" w:styleId="65">
    <w:name w:val="样式 标题 2 + 宋体 五号 非加粗 黑色"/>
    <w:basedOn w:val="3"/>
    <w:autoRedefine/>
    <w:qFormat/>
    <w:uiPriority w:val="0"/>
    <w:pPr>
      <w:spacing w:line="416" w:lineRule="atLeast"/>
    </w:pPr>
    <w:rPr>
      <w:rFonts w:ascii="宋体" w:hAnsi="宋体"/>
      <w:b w:val="0"/>
      <w:bCs w:val="0"/>
      <w:color w:val="000000"/>
      <w:sz w:val="21"/>
    </w:rPr>
  </w:style>
  <w:style w:type="paragraph" w:customStyle="1" w:styleId="66">
    <w:name w:val="彩色列表 - 着色 12"/>
    <w:basedOn w:val="1"/>
    <w:autoRedefine/>
    <w:qFormat/>
    <w:uiPriority w:val="34"/>
    <w:pPr>
      <w:ind w:firstLine="420" w:firstLineChars="200"/>
    </w:pPr>
    <w:rPr>
      <w:szCs w:val="22"/>
    </w:rPr>
  </w:style>
  <w:style w:type="paragraph" w:customStyle="1" w:styleId="67">
    <w:name w:val="无间隔1"/>
    <w:autoRedefine/>
    <w:qFormat/>
    <w:uiPriority w:val="1"/>
    <w:pPr>
      <w:widowControl w:val="0"/>
      <w:jc w:val="both"/>
    </w:pPr>
    <w:rPr>
      <w:rFonts w:ascii="Calibri" w:hAnsi="Calibri" w:eastAsia="宋体" w:cs="Times New Roman"/>
      <w:kern w:val="2"/>
      <w:sz w:val="21"/>
      <w:szCs w:val="24"/>
      <w:lang w:val="en-US" w:eastAsia="zh-CN" w:bidi="ar-SA"/>
    </w:rPr>
  </w:style>
  <w:style w:type="paragraph" w:customStyle="1" w:styleId="68">
    <w:name w:val="样式1"/>
    <w:basedOn w:val="1"/>
    <w:autoRedefine/>
    <w:qFormat/>
    <w:uiPriority w:val="0"/>
    <w:pPr>
      <w:jc w:val="center"/>
    </w:pPr>
    <w:rPr>
      <w:rFonts w:ascii="宋体" w:hAnsi="宋体"/>
      <w:sz w:val="30"/>
      <w:szCs w:val="28"/>
    </w:rPr>
  </w:style>
  <w:style w:type="paragraph" w:customStyle="1" w:styleId="69">
    <w:name w:val="普通(网站)1"/>
    <w:basedOn w:val="1"/>
    <w:autoRedefine/>
    <w:qFormat/>
    <w:uiPriority w:val="0"/>
    <w:pPr>
      <w:widowControl/>
      <w:spacing w:before="100" w:beforeAutospacing="1" w:after="100" w:afterAutospacing="1"/>
      <w:jc w:val="left"/>
    </w:pPr>
    <w:rPr>
      <w:rFonts w:hint="eastAsia" w:ascii="宋体" w:hAnsi="宋体"/>
      <w:sz w:val="24"/>
      <w:szCs w:val="20"/>
    </w:rPr>
  </w:style>
  <w:style w:type="paragraph" w:customStyle="1" w:styleId="70">
    <w:name w:val="UserStyle_38"/>
    <w:basedOn w:val="71"/>
    <w:autoRedefine/>
    <w:qFormat/>
    <w:uiPriority w:val="0"/>
    <w:pPr>
      <w:spacing w:line="416" w:lineRule="atLeast"/>
    </w:pPr>
    <w:rPr>
      <w:rFonts w:ascii="宋体" w:hAnsi="宋体"/>
      <w:b w:val="0"/>
      <w:bCs w:val="0"/>
      <w:color w:val="000000"/>
      <w:sz w:val="21"/>
    </w:rPr>
  </w:style>
  <w:style w:type="paragraph" w:customStyle="1" w:styleId="71">
    <w:name w:val="Heading2"/>
    <w:basedOn w:val="1"/>
    <w:next w:val="1"/>
    <w:autoRedefine/>
    <w:qFormat/>
    <w:uiPriority w:val="0"/>
    <w:pPr>
      <w:keepNext/>
      <w:keepLines/>
      <w:spacing w:before="260" w:after="260" w:line="416" w:lineRule="auto"/>
      <w:textAlignment w:val="baseline"/>
    </w:pPr>
    <w:rPr>
      <w:rFonts w:ascii="Calibri Light" w:hAnsi="Calibri Light"/>
      <w:b/>
      <w:bCs/>
      <w:kern w:val="0"/>
      <w:sz w:val="32"/>
      <w:szCs w:val="32"/>
    </w:rPr>
  </w:style>
  <w:style w:type="character" w:customStyle="1" w:styleId="72">
    <w:name w:val="页脚 Char"/>
    <w:autoRedefine/>
    <w:qFormat/>
    <w:uiPriority w:val="99"/>
    <w:rPr>
      <w:rFonts w:ascii="Times New Roman" w:hAnsi="Times New Roman"/>
      <w:kern w:val="2"/>
      <w:sz w:val="18"/>
      <w:szCs w:val="18"/>
    </w:rPr>
  </w:style>
  <w:style w:type="character" w:customStyle="1" w:styleId="73">
    <w:name w:val="apple-converted-space"/>
    <w:basedOn w:val="35"/>
    <w:autoRedefine/>
    <w:qFormat/>
    <w:uiPriority w:val="0"/>
  </w:style>
  <w:style w:type="character" w:customStyle="1" w:styleId="74">
    <w:name w:val="文档结构图 Char"/>
    <w:link w:val="11"/>
    <w:autoRedefine/>
    <w:qFormat/>
    <w:uiPriority w:val="0"/>
    <w:rPr>
      <w:rFonts w:ascii="Times New Roman" w:hAnsi="Times New Roman" w:eastAsia="宋体" w:cs="Times New Roman"/>
      <w:szCs w:val="24"/>
      <w:shd w:val="clear" w:color="auto" w:fill="000080"/>
    </w:rPr>
  </w:style>
  <w:style w:type="character" w:customStyle="1" w:styleId="75">
    <w:name w:val="font112"/>
    <w:basedOn w:val="35"/>
    <w:autoRedefine/>
    <w:qFormat/>
    <w:uiPriority w:val="0"/>
    <w:rPr>
      <w:rFonts w:hint="default" w:ascii="Times New Roman" w:hAnsi="Times New Roman" w:cs="Times New Roman"/>
      <w:color w:val="FF0000"/>
      <w:sz w:val="20"/>
      <w:szCs w:val="20"/>
      <w:u w:val="none"/>
    </w:rPr>
  </w:style>
  <w:style w:type="character" w:customStyle="1" w:styleId="76">
    <w:name w:val="fontstyle01"/>
    <w:autoRedefine/>
    <w:qFormat/>
    <w:uiPriority w:val="0"/>
    <w:rPr>
      <w:rFonts w:hint="eastAsia" w:ascii="宋体" w:hAnsi="宋体" w:eastAsia="宋体"/>
      <w:color w:val="000000"/>
      <w:sz w:val="22"/>
      <w:szCs w:val="22"/>
    </w:rPr>
  </w:style>
  <w:style w:type="character" w:customStyle="1" w:styleId="77">
    <w:name w:val="px_10"/>
    <w:basedOn w:val="35"/>
    <w:autoRedefine/>
    <w:qFormat/>
    <w:uiPriority w:val="0"/>
  </w:style>
  <w:style w:type="character" w:customStyle="1" w:styleId="78">
    <w:name w:val="font11"/>
    <w:autoRedefine/>
    <w:qFormat/>
    <w:uiPriority w:val="0"/>
    <w:rPr>
      <w:rFonts w:hint="eastAsia" w:ascii="宋体" w:hAnsi="宋体" w:eastAsia="宋体" w:cs="宋体"/>
      <w:color w:val="000000"/>
      <w:kern w:val="0"/>
      <w:sz w:val="18"/>
      <w:szCs w:val="18"/>
      <w:u w:val="none"/>
    </w:rPr>
  </w:style>
  <w:style w:type="character" w:customStyle="1" w:styleId="79">
    <w:name w:val="font31"/>
    <w:basedOn w:val="35"/>
    <w:autoRedefine/>
    <w:qFormat/>
    <w:uiPriority w:val="0"/>
    <w:rPr>
      <w:rFonts w:hint="eastAsia" w:ascii="宋体" w:hAnsi="宋体" w:eastAsia="宋体" w:cs="宋体"/>
      <w:color w:val="FF0000"/>
      <w:sz w:val="20"/>
      <w:szCs w:val="20"/>
      <w:u w:val="none"/>
    </w:rPr>
  </w:style>
  <w:style w:type="character" w:customStyle="1" w:styleId="80">
    <w:name w:val="纯文本 Char"/>
    <w:link w:val="20"/>
    <w:autoRedefine/>
    <w:qFormat/>
    <w:uiPriority w:val="0"/>
    <w:rPr>
      <w:rFonts w:ascii="宋体" w:hAnsi="Courier New" w:eastAsia="宋体" w:cs="Times New Roman"/>
      <w:szCs w:val="20"/>
    </w:rPr>
  </w:style>
  <w:style w:type="character" w:customStyle="1" w:styleId="81">
    <w:name w:val="font01"/>
    <w:basedOn w:val="35"/>
    <w:autoRedefine/>
    <w:qFormat/>
    <w:uiPriority w:val="0"/>
    <w:rPr>
      <w:rFonts w:hint="eastAsia" w:ascii="宋体" w:hAnsi="宋体" w:eastAsia="宋体" w:cs="宋体"/>
      <w:color w:val="FF0000"/>
      <w:kern w:val="0"/>
      <w:sz w:val="18"/>
      <w:szCs w:val="18"/>
      <w:u w:val="none"/>
    </w:rPr>
  </w:style>
  <w:style w:type="character" w:customStyle="1" w:styleId="82">
    <w:name w:val="15"/>
    <w:basedOn w:val="35"/>
    <w:autoRedefine/>
    <w:qFormat/>
    <w:uiPriority w:val="0"/>
  </w:style>
  <w:style w:type="character" w:customStyle="1" w:styleId="83">
    <w:name w:val="正文首行缩进 Char"/>
    <w:link w:val="32"/>
    <w:autoRedefine/>
    <w:qFormat/>
    <w:uiPriority w:val="99"/>
    <w:rPr>
      <w:rFonts w:ascii="Times New Roman" w:hAnsi="Times New Roman" w:eastAsia="宋体" w:cs="Times New Roman"/>
      <w:szCs w:val="24"/>
    </w:rPr>
  </w:style>
  <w:style w:type="character" w:customStyle="1" w:styleId="84">
    <w:name w:val="批注框文本 Char"/>
    <w:autoRedefine/>
    <w:semiHidden/>
    <w:qFormat/>
    <w:uiPriority w:val="99"/>
    <w:rPr>
      <w:rFonts w:ascii="Times New Roman" w:hAnsi="Times New Roman"/>
      <w:kern w:val="2"/>
      <w:sz w:val="18"/>
      <w:szCs w:val="18"/>
    </w:rPr>
  </w:style>
  <w:style w:type="character" w:customStyle="1" w:styleId="85">
    <w:name w:val="apple-style-span"/>
    <w:basedOn w:val="35"/>
    <w:autoRedefine/>
    <w:qFormat/>
    <w:uiPriority w:val="0"/>
  </w:style>
  <w:style w:type="character" w:customStyle="1" w:styleId="86">
    <w:name w:val="HTML 预设格式 Char"/>
    <w:link w:val="29"/>
    <w:autoRedefine/>
    <w:qFormat/>
    <w:uiPriority w:val="99"/>
    <w:rPr>
      <w:rFonts w:ascii="Arial" w:hAnsi="Arial" w:eastAsia="宋体" w:cs="Arial"/>
      <w:kern w:val="0"/>
      <w:szCs w:val="21"/>
    </w:rPr>
  </w:style>
  <w:style w:type="character" w:customStyle="1" w:styleId="87">
    <w:name w:val="标题 2 Char"/>
    <w:link w:val="3"/>
    <w:autoRedefine/>
    <w:qFormat/>
    <w:uiPriority w:val="9"/>
    <w:rPr>
      <w:rFonts w:ascii="Calibri Light" w:hAnsi="Calibri Light" w:eastAsia="宋体" w:cs="Times New Roman"/>
      <w:b/>
      <w:bCs/>
      <w:sz w:val="32"/>
      <w:szCs w:val="32"/>
    </w:rPr>
  </w:style>
  <w:style w:type="character" w:customStyle="1" w:styleId="88">
    <w:name w:val="页脚 Char1"/>
    <w:link w:val="23"/>
    <w:autoRedefine/>
    <w:qFormat/>
    <w:uiPriority w:val="99"/>
    <w:rPr>
      <w:rFonts w:ascii="Times New Roman" w:hAnsi="Times New Roman" w:eastAsia="宋体" w:cs="Times New Roman"/>
      <w:sz w:val="18"/>
      <w:szCs w:val="18"/>
    </w:rPr>
  </w:style>
  <w:style w:type="character" w:customStyle="1" w:styleId="89">
    <w:name w:val="页眉 Char1"/>
    <w:link w:val="9"/>
    <w:autoRedefine/>
    <w:qFormat/>
    <w:uiPriority w:val="99"/>
    <w:rPr>
      <w:rFonts w:ascii="Times New Roman" w:hAnsi="Times New Roman" w:eastAsia="宋体" w:cs="Times New Roman"/>
      <w:sz w:val="18"/>
      <w:szCs w:val="18"/>
    </w:rPr>
  </w:style>
  <w:style w:type="character" w:customStyle="1" w:styleId="90">
    <w:name w:val="正文文本缩进 Char"/>
    <w:link w:val="16"/>
    <w:autoRedefine/>
    <w:qFormat/>
    <w:uiPriority w:val="0"/>
    <w:rPr>
      <w:rFonts w:ascii="Times New Roman" w:hAnsi="Times New Roman" w:eastAsia="宋体" w:cs="Times New Roman"/>
      <w:sz w:val="24"/>
      <w:szCs w:val="24"/>
    </w:rPr>
  </w:style>
  <w:style w:type="character" w:customStyle="1" w:styleId="91">
    <w:name w:val="标题 Char"/>
    <w:link w:val="31"/>
    <w:autoRedefine/>
    <w:qFormat/>
    <w:uiPriority w:val="10"/>
    <w:rPr>
      <w:rFonts w:ascii="Cambria" w:hAnsi="Cambria" w:eastAsia="宋体" w:cs="Times New Roman"/>
      <w:b/>
      <w:bCs/>
      <w:sz w:val="32"/>
      <w:szCs w:val="32"/>
    </w:rPr>
  </w:style>
  <w:style w:type="character" w:customStyle="1" w:styleId="92">
    <w:name w:val="标题 3 Char"/>
    <w:link w:val="4"/>
    <w:autoRedefine/>
    <w:qFormat/>
    <w:uiPriority w:val="9"/>
    <w:rPr>
      <w:rFonts w:ascii="Times New Roman" w:hAnsi="Times New Roman" w:eastAsia="宋体" w:cs="Times New Roman"/>
      <w:b/>
      <w:bCs/>
      <w:sz w:val="32"/>
      <w:szCs w:val="32"/>
    </w:rPr>
  </w:style>
  <w:style w:type="character" w:customStyle="1" w:styleId="93">
    <w:name w:val="font41"/>
    <w:basedOn w:val="35"/>
    <w:autoRedefine/>
    <w:qFormat/>
    <w:uiPriority w:val="0"/>
    <w:rPr>
      <w:rFonts w:hint="default" w:ascii="Times New Roman" w:hAnsi="Times New Roman" w:cs="Times New Roman"/>
      <w:color w:val="000000"/>
      <w:sz w:val="22"/>
      <w:szCs w:val="22"/>
      <w:u w:val="none"/>
    </w:rPr>
  </w:style>
  <w:style w:type="character" w:customStyle="1" w:styleId="94">
    <w:name w:val="副标题 Char"/>
    <w:link w:val="26"/>
    <w:autoRedefine/>
    <w:qFormat/>
    <w:uiPriority w:val="11"/>
    <w:rPr>
      <w:rFonts w:ascii="Cambria" w:hAnsi="Cambria" w:eastAsia="宋体" w:cs="Times New Roman"/>
      <w:b/>
      <w:bCs/>
      <w:kern w:val="28"/>
      <w:sz w:val="28"/>
      <w:szCs w:val="32"/>
    </w:rPr>
  </w:style>
  <w:style w:type="character" w:customStyle="1" w:styleId="95">
    <w:name w:val="日期 Char"/>
    <w:link w:val="21"/>
    <w:autoRedefine/>
    <w:qFormat/>
    <w:uiPriority w:val="0"/>
    <w:rPr>
      <w:rFonts w:ascii="Times New Roman" w:hAnsi="Times New Roman" w:eastAsia="宋体" w:cs="Times New Roman"/>
      <w:szCs w:val="24"/>
    </w:rPr>
  </w:style>
  <w:style w:type="character" w:customStyle="1" w:styleId="96">
    <w:name w:val="批注框文本 Char1"/>
    <w:link w:val="14"/>
    <w:autoRedefine/>
    <w:qFormat/>
    <w:uiPriority w:val="99"/>
    <w:rPr>
      <w:rFonts w:ascii="Times New Roman" w:hAnsi="Times New Roman" w:eastAsia="宋体" w:cs="Times New Roman"/>
      <w:sz w:val="18"/>
      <w:szCs w:val="18"/>
    </w:rPr>
  </w:style>
  <w:style w:type="character" w:customStyle="1" w:styleId="97">
    <w:name w:val="正文文本 2 Char"/>
    <w:link w:val="28"/>
    <w:autoRedefine/>
    <w:qFormat/>
    <w:uiPriority w:val="99"/>
    <w:rPr>
      <w:rFonts w:ascii="Times New Roman" w:hAnsi="Times New Roman" w:eastAsia="宋体" w:cs="Times New Roman"/>
      <w:szCs w:val="24"/>
    </w:rPr>
  </w:style>
  <w:style w:type="character" w:customStyle="1" w:styleId="98">
    <w:name w:val="正文文本缩进 2 Char"/>
    <w:link w:val="22"/>
    <w:autoRedefine/>
    <w:qFormat/>
    <w:uiPriority w:val="99"/>
    <w:rPr>
      <w:rFonts w:ascii="Times New Roman" w:hAnsi="Times New Roman" w:eastAsia="宋体" w:cs="Times New Roman"/>
      <w:szCs w:val="24"/>
    </w:rPr>
  </w:style>
  <w:style w:type="character" w:customStyle="1" w:styleId="99">
    <w:name w:val="正文文本 Char"/>
    <w:link w:val="15"/>
    <w:autoRedefine/>
    <w:semiHidden/>
    <w:qFormat/>
    <w:uiPriority w:val="99"/>
    <w:rPr>
      <w:rFonts w:ascii="Times New Roman" w:hAnsi="Times New Roman" w:eastAsia="宋体" w:cs="Times New Roman"/>
      <w:szCs w:val="24"/>
    </w:rPr>
  </w:style>
  <w:style w:type="character" w:customStyle="1" w:styleId="100">
    <w:name w:val="font61"/>
    <w:basedOn w:val="35"/>
    <w:autoRedefine/>
    <w:qFormat/>
    <w:uiPriority w:val="0"/>
    <w:rPr>
      <w:rFonts w:hint="eastAsia" w:ascii="宋体" w:hAnsi="宋体" w:eastAsia="宋体" w:cs="宋体"/>
      <w:color w:val="000000"/>
      <w:sz w:val="22"/>
      <w:szCs w:val="22"/>
      <w:u w:val="none"/>
    </w:rPr>
  </w:style>
  <w:style w:type="character" w:customStyle="1" w:styleId="101">
    <w:name w:val="批注文字 Char"/>
    <w:link w:val="10"/>
    <w:autoRedefine/>
    <w:semiHidden/>
    <w:qFormat/>
    <w:uiPriority w:val="0"/>
    <w:rPr>
      <w:rFonts w:ascii="Times New Roman" w:hAnsi="Times New Roman" w:eastAsia="宋体" w:cs="Times New Roman"/>
      <w:szCs w:val="24"/>
    </w:rPr>
  </w:style>
  <w:style w:type="character" w:customStyle="1" w:styleId="102">
    <w:name w:val="页眉 Char"/>
    <w:autoRedefine/>
    <w:qFormat/>
    <w:uiPriority w:val="0"/>
    <w:rPr>
      <w:rFonts w:ascii="Times New Roman" w:hAnsi="Times New Roman" w:eastAsia="宋体" w:cs="Times New Roman"/>
      <w:sz w:val="18"/>
      <w:szCs w:val="18"/>
    </w:rPr>
  </w:style>
  <w:style w:type="character" w:customStyle="1" w:styleId="103">
    <w:name w:val="font21"/>
    <w:basedOn w:val="35"/>
    <w:autoRedefine/>
    <w:qFormat/>
    <w:uiPriority w:val="0"/>
    <w:rPr>
      <w:rFonts w:hint="eastAsia" w:ascii="宋体" w:hAnsi="宋体" w:eastAsia="宋体" w:cs="宋体"/>
      <w:color w:val="000000"/>
      <w:sz w:val="20"/>
      <w:szCs w:val="20"/>
      <w:u w:val="none"/>
    </w:rPr>
  </w:style>
  <w:style w:type="character" w:customStyle="1" w:styleId="104">
    <w:name w:val="font171"/>
    <w:basedOn w:val="35"/>
    <w:autoRedefine/>
    <w:qFormat/>
    <w:uiPriority w:val="0"/>
    <w:rPr>
      <w:rFonts w:hint="default" w:ascii="Times New Roman" w:hAnsi="Times New Roman" w:cs="Times New Roman"/>
      <w:b/>
      <w:bCs/>
      <w:color w:val="000000"/>
      <w:sz w:val="20"/>
      <w:szCs w:val="20"/>
      <w:u w:val="none"/>
    </w:rPr>
  </w:style>
  <w:style w:type="character" w:customStyle="1" w:styleId="105">
    <w:name w:val="font51"/>
    <w:basedOn w:val="35"/>
    <w:autoRedefine/>
    <w:qFormat/>
    <w:uiPriority w:val="0"/>
    <w:rPr>
      <w:rFonts w:hint="eastAsia" w:ascii="宋体" w:hAnsi="宋体" w:eastAsia="宋体" w:cs="宋体"/>
      <w:b/>
      <w:bCs/>
      <w:color w:val="000000"/>
      <w:sz w:val="20"/>
      <w:szCs w:val="20"/>
      <w:u w:val="none"/>
    </w:rPr>
  </w:style>
  <w:style w:type="character" w:customStyle="1" w:styleId="106">
    <w:name w:val="font91"/>
    <w:basedOn w:val="35"/>
    <w:autoRedefine/>
    <w:qFormat/>
    <w:uiPriority w:val="0"/>
    <w:rPr>
      <w:rFonts w:ascii="方正书宋_GBK" w:hAnsi="方正书宋_GBK" w:eastAsia="方正书宋_GBK" w:cs="方正书宋_GBK"/>
      <w:color w:val="000000"/>
      <w:sz w:val="20"/>
      <w:szCs w:val="20"/>
      <w:u w:val="none"/>
    </w:rPr>
  </w:style>
  <w:style w:type="character" w:customStyle="1" w:styleId="107">
    <w:name w:val="font111"/>
    <w:basedOn w:val="35"/>
    <w:autoRedefine/>
    <w:qFormat/>
    <w:uiPriority w:val="0"/>
    <w:rPr>
      <w:rFonts w:hint="eastAsia" w:ascii="宋体" w:hAnsi="宋体" w:eastAsia="宋体" w:cs="宋体"/>
      <w:color w:val="000000"/>
      <w:sz w:val="20"/>
      <w:szCs w:val="20"/>
      <w:u w:val="none"/>
    </w:rPr>
  </w:style>
  <w:style w:type="character" w:customStyle="1" w:styleId="108">
    <w:name w:val="font181"/>
    <w:basedOn w:val="35"/>
    <w:autoRedefine/>
    <w:qFormat/>
    <w:uiPriority w:val="0"/>
    <w:rPr>
      <w:rFonts w:hint="eastAsia" w:ascii="宋体" w:hAnsi="宋体" w:eastAsia="宋体" w:cs="宋体"/>
      <w:color w:val="FF0000"/>
      <w:sz w:val="20"/>
      <w:szCs w:val="20"/>
      <w:u w:val="none"/>
    </w:rPr>
  </w:style>
  <w:style w:type="character" w:customStyle="1" w:styleId="109">
    <w:name w:val="font191"/>
    <w:basedOn w:val="35"/>
    <w:autoRedefine/>
    <w:qFormat/>
    <w:uiPriority w:val="0"/>
    <w:rPr>
      <w:rFonts w:hint="eastAsia" w:ascii="宋体" w:hAnsi="宋体" w:eastAsia="宋体" w:cs="宋体"/>
      <w:b/>
      <w:bCs/>
      <w:color w:val="FF0000"/>
      <w:sz w:val="20"/>
      <w:szCs w:val="20"/>
      <w:u w:val="none"/>
    </w:rPr>
  </w:style>
  <w:style w:type="character" w:customStyle="1" w:styleId="110">
    <w:name w:val="font211"/>
    <w:basedOn w:val="35"/>
    <w:autoRedefine/>
    <w:qFormat/>
    <w:uiPriority w:val="0"/>
    <w:rPr>
      <w:rFonts w:hint="eastAsia" w:ascii="宋体" w:hAnsi="宋体" w:eastAsia="宋体" w:cs="宋体"/>
      <w:color w:val="FFFF00"/>
      <w:sz w:val="20"/>
      <w:szCs w:val="20"/>
      <w:u w:val="none"/>
    </w:rPr>
  </w:style>
  <w:style w:type="character" w:customStyle="1" w:styleId="111">
    <w:name w:val="font231"/>
    <w:basedOn w:val="35"/>
    <w:autoRedefine/>
    <w:qFormat/>
    <w:uiPriority w:val="0"/>
    <w:rPr>
      <w:rFonts w:hint="eastAsia" w:ascii="宋体" w:hAnsi="宋体" w:eastAsia="宋体" w:cs="宋体"/>
      <w:color w:val="000000"/>
      <w:sz w:val="18"/>
      <w:szCs w:val="18"/>
      <w:u w:val="none"/>
    </w:rPr>
  </w:style>
  <w:style w:type="character" w:customStyle="1" w:styleId="112">
    <w:name w:val="font241"/>
    <w:basedOn w:val="35"/>
    <w:autoRedefine/>
    <w:qFormat/>
    <w:uiPriority w:val="0"/>
    <w:rPr>
      <w:rFonts w:hint="eastAsia" w:ascii="宋体" w:hAnsi="宋体" w:eastAsia="宋体" w:cs="宋体"/>
      <w:b/>
      <w:bCs/>
      <w:color w:val="000000"/>
      <w:sz w:val="18"/>
      <w:szCs w:val="18"/>
      <w:u w:val="none"/>
    </w:rPr>
  </w:style>
  <w:style w:type="character" w:customStyle="1" w:styleId="113">
    <w:name w:val="font222"/>
    <w:basedOn w:val="35"/>
    <w:autoRedefine/>
    <w:qFormat/>
    <w:uiPriority w:val="0"/>
    <w:rPr>
      <w:rFonts w:ascii="宋体" w:hAnsi="宋体" w:eastAsia="宋体" w:cs="宋体"/>
      <w:color w:val="FF0000"/>
      <w:sz w:val="18"/>
      <w:szCs w:val="18"/>
      <w:u w:val="none"/>
    </w:rPr>
  </w:style>
  <w:style w:type="character" w:customStyle="1" w:styleId="114">
    <w:name w:val="font251"/>
    <w:basedOn w:val="35"/>
    <w:autoRedefine/>
    <w:qFormat/>
    <w:uiPriority w:val="0"/>
    <w:rPr>
      <w:rFonts w:hint="eastAsia" w:ascii="宋体" w:hAnsi="宋体" w:eastAsia="宋体" w:cs="宋体"/>
      <w:color w:val="FF0000"/>
      <w:sz w:val="18"/>
      <w:szCs w:val="18"/>
      <w:u w:val="none"/>
    </w:rPr>
  </w:style>
  <w:style w:type="character" w:customStyle="1" w:styleId="115">
    <w:name w:val="font261"/>
    <w:basedOn w:val="35"/>
    <w:autoRedefine/>
    <w:qFormat/>
    <w:uiPriority w:val="0"/>
    <w:rPr>
      <w:rFonts w:hint="eastAsia" w:ascii="宋体" w:hAnsi="宋体" w:eastAsia="宋体" w:cs="宋体"/>
      <w:color w:val="FF0000"/>
      <w:sz w:val="22"/>
      <w:szCs w:val="22"/>
      <w:u w:val="none"/>
    </w:rPr>
  </w:style>
  <w:style w:type="character" w:customStyle="1" w:styleId="116">
    <w:name w:val="font101"/>
    <w:basedOn w:val="35"/>
    <w:autoRedefine/>
    <w:qFormat/>
    <w:uiPriority w:val="0"/>
    <w:rPr>
      <w:rFonts w:hint="eastAsia" w:ascii="宋体" w:hAnsi="宋体" w:eastAsia="宋体" w:cs="宋体"/>
      <w:color w:val="000000"/>
      <w:sz w:val="22"/>
      <w:szCs w:val="22"/>
      <w:u w:val="none"/>
    </w:rPr>
  </w:style>
  <w:style w:type="character" w:customStyle="1" w:styleId="117">
    <w:name w:val="font271"/>
    <w:basedOn w:val="35"/>
    <w:autoRedefine/>
    <w:qFormat/>
    <w:uiPriority w:val="0"/>
    <w:rPr>
      <w:rFonts w:ascii="宋体" w:hAnsi="宋体" w:eastAsia="宋体" w:cs="宋体"/>
      <w:color w:val="FF0000"/>
      <w:sz w:val="22"/>
      <w:szCs w:val="22"/>
      <w:u w:val="none"/>
    </w:rPr>
  </w:style>
  <w:style w:type="character" w:customStyle="1" w:styleId="118">
    <w:name w:val="font201"/>
    <w:basedOn w:val="35"/>
    <w:autoRedefine/>
    <w:qFormat/>
    <w:uiPriority w:val="0"/>
    <w:rPr>
      <w:rFonts w:hint="default" w:ascii="方正书宋_GBK" w:hAnsi="方正书宋_GBK" w:eastAsia="方正书宋_GBK" w:cs="方正书宋_GBK"/>
      <w:color w:val="000000"/>
      <w:sz w:val="20"/>
      <w:szCs w:val="20"/>
      <w:u w:val="none"/>
    </w:rPr>
  </w:style>
  <w:style w:type="character" w:customStyle="1" w:styleId="119">
    <w:name w:val="UserStyle_0"/>
    <w:link w:val="120"/>
    <w:autoRedefine/>
    <w:qFormat/>
    <w:uiPriority w:val="0"/>
    <w:rPr>
      <w:rFonts w:ascii="Times New Roman" w:hAnsi="Times New Roman"/>
      <w:kern w:val="2"/>
      <w:sz w:val="24"/>
      <w:szCs w:val="24"/>
      <w:lang w:val="en-US" w:eastAsia="zh-CN" w:bidi="ar-SA"/>
    </w:rPr>
  </w:style>
  <w:style w:type="paragraph" w:customStyle="1" w:styleId="120">
    <w:name w:val="BodyTextIndent"/>
    <w:basedOn w:val="1"/>
    <w:link w:val="119"/>
    <w:autoRedefine/>
    <w:qFormat/>
    <w:uiPriority w:val="0"/>
    <w:pPr>
      <w:ind w:firstLine="560" w:firstLineChars="200"/>
      <w:textAlignment w:val="baseline"/>
    </w:pPr>
    <w:rPr>
      <w:rFonts w:ascii="Times New Roman" w:hAnsi="Times New Roman"/>
      <w:sz w:val="24"/>
    </w:rPr>
  </w:style>
  <w:style w:type="character" w:customStyle="1" w:styleId="121">
    <w:name w:val="label"/>
    <w:basedOn w:val="35"/>
    <w:autoRedefine/>
    <w:qFormat/>
    <w:uiPriority w:val="0"/>
    <w:rPr>
      <w:color w:val="999999"/>
    </w:rPr>
  </w:style>
  <w:style w:type="character" w:customStyle="1" w:styleId="122">
    <w:name w:val="layui-laypage-curr"/>
    <w:basedOn w:val="35"/>
    <w:autoRedefine/>
    <w:qFormat/>
    <w:uiPriority w:val="0"/>
  </w:style>
  <w:style w:type="paragraph" w:customStyle="1" w:styleId="123">
    <w:name w:val=" Char Char Char"/>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样式 标题 1 + 四号 居中 段前: 12 磅 段后: 12 磅 行距: 单倍行距"/>
    <w:basedOn w:val="2"/>
    <w:autoRedefine/>
    <w:qFormat/>
    <w:uiPriority w:val="0"/>
    <w:pPr>
      <w:spacing w:before="240" w:after="240" w:line="240" w:lineRule="auto"/>
      <w:jc w:val="center"/>
    </w:pPr>
    <w:rPr>
      <w:b w:val="0"/>
      <w:kern w:val="0"/>
      <w:sz w:val="28"/>
    </w:rPr>
  </w:style>
  <w:style w:type="character" w:customStyle="1" w:styleId="125">
    <w:name w:val="current"/>
    <w:basedOn w:val="35"/>
    <w:autoRedefine/>
    <w:qFormat/>
    <w:uiPriority w:val="0"/>
    <w:rPr>
      <w:color w:val="00C1DE"/>
    </w:rPr>
  </w:style>
  <w:style w:type="character" w:customStyle="1" w:styleId="126">
    <w:name w:val="current1"/>
    <w:basedOn w:val="35"/>
    <w:autoRedefine/>
    <w:qFormat/>
    <w:uiPriority w:val="0"/>
    <w:rPr>
      <w:color w:val="00C1DE"/>
    </w:rPr>
  </w:style>
  <w:style w:type="character" w:customStyle="1" w:styleId="127">
    <w:name w:val="info-label"/>
    <w:basedOn w:val="35"/>
    <w:autoRedefine/>
    <w:qFormat/>
    <w:uiPriority w:val="0"/>
    <w:rPr>
      <w:b/>
      <w:bCs/>
    </w:rPr>
  </w:style>
  <w:style w:type="character" w:customStyle="1" w:styleId="128">
    <w:name w:val="info-content"/>
    <w:basedOn w:val="35"/>
    <w:autoRedefine/>
    <w:qFormat/>
    <w:uiPriority w:val="0"/>
    <w:rPr>
      <w:color w:val="808080"/>
    </w:rPr>
  </w:style>
  <w:style w:type="paragraph" w:customStyle="1" w:styleId="129">
    <w:name w:val="首行缩进"/>
    <w:basedOn w:val="1"/>
    <w:autoRedefine/>
    <w:qFormat/>
    <w:uiPriority w:val="0"/>
    <w:pPr>
      <w:ind w:firstLine="480" w:firstLineChars="200"/>
    </w:pPr>
    <w:rPr>
      <w:lang w:val="zh-CN"/>
    </w:rPr>
  </w:style>
  <w:style w:type="paragraph" w:customStyle="1" w:styleId="130">
    <w:name w:val="List Paragraph"/>
    <w:basedOn w:val="1"/>
    <w:qFormat/>
    <w:uiPriority w:val="0"/>
    <w:pPr>
      <w:ind w:firstLine="420" w:firstLineChars="200"/>
    </w:pPr>
  </w:style>
  <w:style w:type="paragraph" w:customStyle="1" w:styleId="1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2">
    <w:name w:val="文件正文"/>
    <w:basedOn w:val="1"/>
    <w:qFormat/>
    <w:uiPriority w:val="0"/>
    <w:pPr>
      <w:ind w:firstLine="200" w:firstLineChars="200"/>
    </w:pPr>
    <w:rPr>
      <w:rFonts w:ascii="Times" w:hAnsi="Times" w:cstheme="minorHAnsi"/>
    </w:rPr>
  </w:style>
  <w:style w:type="paragraph" w:customStyle="1" w:styleId="133">
    <w:name w:val="_Style 3"/>
    <w:basedOn w:val="1"/>
    <w:qFormat/>
    <w:uiPriority w:val="34"/>
    <w:pPr>
      <w:ind w:firstLine="420" w:firstLineChars="200"/>
    </w:pPr>
  </w:style>
  <w:style w:type="paragraph" w:customStyle="1" w:styleId="134">
    <w:name w:val="style4"/>
    <w:basedOn w:val="1"/>
    <w:next w:val="135"/>
    <w:qFormat/>
    <w:uiPriority w:val="0"/>
    <w:pPr>
      <w:widowControl/>
      <w:spacing w:before="280" w:after="280"/>
    </w:pPr>
    <w:rPr>
      <w:rFonts w:ascii="宋体"/>
      <w:sz w:val="18"/>
    </w:rPr>
  </w:style>
  <w:style w:type="paragraph" w:customStyle="1" w:styleId="135">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136">
    <w:name w:val="表格文本居左"/>
    <w:basedOn w:val="1"/>
    <w:qFormat/>
    <w:uiPriority w:val="0"/>
    <w:pPr>
      <w:spacing w:line="360" w:lineRule="auto"/>
      <w:jc w:val="center"/>
    </w:pPr>
    <w:rPr>
      <w:rFonts w:ascii="宋体" w:hAnsi="宋体" w:cs="Times New Roman"/>
    </w:rPr>
  </w:style>
  <w:style w:type="paragraph" w:customStyle="1" w:styleId="137">
    <w:name w:val="table of authorities1"/>
    <w:basedOn w:val="1"/>
    <w:next w:val="1"/>
    <w:qFormat/>
    <w:uiPriority w:val="0"/>
    <w:pPr>
      <w:widowControl w:val="0"/>
      <w:spacing w:before="0" w:beforeLines="0" w:after="0" w:afterLines="0"/>
      <w:ind w:left="420" w:leftChars="200" w:right="0"/>
      <w:jc w:val="both"/>
    </w:pPr>
    <w:rPr>
      <w:rFonts w:ascii="Calibri" w:hAnsi="Calibri" w:eastAsia="宋体" w:cs="Times New Roman"/>
      <w:kern w:val="2"/>
      <w:sz w:val="32"/>
      <w:szCs w:val="32"/>
      <w:lang w:val="en-US" w:eastAsia="zh-CN"/>
    </w:rPr>
  </w:style>
  <w:style w:type="table" w:customStyle="1" w:styleId="138">
    <w:name w:val="网格型2"/>
    <w:basedOn w:val="33"/>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4373</Words>
  <Characters>4795</Characters>
  <Lines>1</Lines>
  <Paragraphs>1</Paragraphs>
  <TotalTime>3</TotalTime>
  <ScaleCrop>false</ScaleCrop>
  <LinksUpToDate>false</LinksUpToDate>
  <CharactersWithSpaces>4838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2021-10-30T17:13:00Z</dcterms:created>
  <dc:creator>lenovn</dc:creator>
  <cp:lastModifiedBy>zdk</cp:lastModifiedBy>
  <cp:lastPrinted>2025-01-15T09:47:00Z</cp:lastPrinted>
  <dcterms:modified xsi:type="dcterms:W3CDTF">2026-05-24T12:26:44Z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F1582C7E22504087B3386E9C2A7A0124_13</vt:lpwstr>
  </property>
  <property fmtid="{D5CDD505-2E9C-101B-9397-08002B2CF9AE}" pid="4" name="KSOTemplateDocerSaveRecord">
    <vt:lpwstr>eyJoZGlkIjoiY2I3NDIyYjk2MDBiMzgxZTRjNGVmZWE1ZTBlZjJlMjEiLCJ1c2VySWQiOiI1OTc3ODI3NDYifQ==</vt:lpwstr>
  </property>
</Properties>
</file>