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37741">
      <w:pPr>
        <w:pStyle w:val="5"/>
        <w:ind w:firstLine="600"/>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中标人公告内容</w:t>
      </w:r>
    </w:p>
    <w:p w14:paraId="66AB8912">
      <w:pPr>
        <w:spacing w:line="360" w:lineRule="auto"/>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采购项目：莲都区桑垵安置公墓墓具采购</w:t>
      </w:r>
    </w:p>
    <w:p w14:paraId="66B85ED4">
      <w:pPr>
        <w:spacing w:line="360" w:lineRule="auto"/>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采购编号</w:t>
      </w:r>
      <w:r>
        <w:rPr>
          <w:rFonts w:hint="eastAsia" w:ascii="仿宋" w:hAnsi="仿宋" w:eastAsia="仿宋" w:cs="仿宋"/>
          <w:color w:val="auto"/>
          <w:sz w:val="24"/>
          <w:szCs w:val="28"/>
          <w:highlight w:val="none"/>
        </w:rPr>
        <w:t>：331102263140150000004-浙明丽采2026004号</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75"/>
        <w:gridCol w:w="1200"/>
        <w:gridCol w:w="1110"/>
        <w:gridCol w:w="166"/>
        <w:gridCol w:w="1843"/>
        <w:gridCol w:w="302"/>
        <w:gridCol w:w="1541"/>
      </w:tblGrid>
      <w:tr w14:paraId="6D88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gridSpan w:val="2"/>
            <w:tcBorders>
              <w:top w:val="single" w:color="auto" w:sz="4" w:space="0"/>
              <w:left w:val="single" w:color="auto" w:sz="4" w:space="0"/>
              <w:bottom w:val="single" w:color="auto" w:sz="4" w:space="0"/>
              <w:right w:val="single" w:color="auto" w:sz="4" w:space="0"/>
            </w:tcBorders>
            <w:vAlign w:val="center"/>
          </w:tcPr>
          <w:p w14:paraId="0BFCEC9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中标人名称</w:t>
            </w:r>
          </w:p>
        </w:tc>
        <w:tc>
          <w:tcPr>
            <w:tcW w:w="2310" w:type="dxa"/>
            <w:gridSpan w:val="2"/>
            <w:tcBorders>
              <w:top w:val="single" w:color="auto" w:sz="4" w:space="0"/>
              <w:left w:val="single" w:color="auto" w:sz="4" w:space="0"/>
              <w:bottom w:val="single" w:color="auto" w:sz="4" w:space="0"/>
              <w:right w:val="single" w:color="auto" w:sz="4" w:space="0"/>
            </w:tcBorders>
            <w:vAlign w:val="center"/>
          </w:tcPr>
          <w:p w14:paraId="5A7AFD1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浙江吉丰源实业有限公司</w:t>
            </w:r>
          </w:p>
        </w:tc>
        <w:tc>
          <w:tcPr>
            <w:tcW w:w="2311" w:type="dxa"/>
            <w:gridSpan w:val="3"/>
            <w:tcBorders>
              <w:top w:val="single" w:color="auto" w:sz="4" w:space="0"/>
              <w:left w:val="single" w:color="auto" w:sz="4" w:space="0"/>
              <w:bottom w:val="single" w:color="auto" w:sz="4" w:space="0"/>
              <w:right w:val="single" w:color="auto" w:sz="4" w:space="0"/>
            </w:tcBorders>
            <w:vAlign w:val="center"/>
          </w:tcPr>
          <w:p w14:paraId="71BBD9C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中标人负责人</w:t>
            </w:r>
          </w:p>
        </w:tc>
        <w:tc>
          <w:tcPr>
            <w:tcW w:w="1541" w:type="dxa"/>
            <w:tcBorders>
              <w:top w:val="single" w:color="auto" w:sz="4" w:space="0"/>
              <w:left w:val="single" w:color="auto" w:sz="4" w:space="0"/>
              <w:bottom w:val="single" w:color="auto" w:sz="4" w:space="0"/>
              <w:right w:val="single" w:color="auto" w:sz="4" w:space="0"/>
            </w:tcBorders>
            <w:vAlign w:val="center"/>
          </w:tcPr>
          <w:p w14:paraId="552C6E1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lang w:val="en-US" w:eastAsia="zh-CN"/>
              </w:rPr>
            </w:pPr>
            <w:r>
              <w:rPr>
                <w:rFonts w:hint="eastAsia" w:ascii="仿宋" w:hAnsi="仿宋" w:eastAsia="仿宋" w:cs="仿宋"/>
                <w:color w:val="auto"/>
                <w:spacing w:val="20"/>
                <w:sz w:val="24"/>
                <w:highlight w:val="none"/>
                <w:lang w:val="en-US" w:eastAsia="zh-CN"/>
              </w:rPr>
              <w:t>袁磊</w:t>
            </w:r>
          </w:p>
        </w:tc>
      </w:tr>
      <w:tr w14:paraId="7E34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310" w:type="dxa"/>
            <w:gridSpan w:val="2"/>
            <w:tcBorders>
              <w:top w:val="single" w:color="auto" w:sz="4" w:space="0"/>
              <w:left w:val="single" w:color="auto" w:sz="4" w:space="0"/>
              <w:bottom w:val="single" w:color="auto" w:sz="4" w:space="0"/>
              <w:right w:val="single" w:color="auto" w:sz="4" w:space="0"/>
            </w:tcBorders>
            <w:vAlign w:val="center"/>
          </w:tcPr>
          <w:p w14:paraId="059EEBE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中标人地址</w:t>
            </w:r>
          </w:p>
        </w:tc>
        <w:tc>
          <w:tcPr>
            <w:tcW w:w="6162" w:type="dxa"/>
            <w:gridSpan w:val="6"/>
            <w:tcBorders>
              <w:top w:val="single" w:color="auto" w:sz="4" w:space="0"/>
              <w:left w:val="single" w:color="auto" w:sz="4" w:space="0"/>
              <w:bottom w:val="single" w:color="auto" w:sz="4" w:space="0"/>
              <w:right w:val="single" w:color="auto" w:sz="4" w:space="0"/>
            </w:tcBorders>
            <w:vAlign w:val="center"/>
          </w:tcPr>
          <w:p w14:paraId="0BD45F0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浙江省杭州市桐庐县钟山乡陇西村小市</w:t>
            </w:r>
          </w:p>
        </w:tc>
      </w:tr>
      <w:tr w14:paraId="1925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2" w:type="dxa"/>
            <w:gridSpan w:val="8"/>
            <w:tcBorders>
              <w:top w:val="single" w:color="auto" w:sz="4" w:space="0"/>
              <w:left w:val="single" w:color="auto" w:sz="4" w:space="0"/>
              <w:bottom w:val="single" w:color="auto" w:sz="4" w:space="0"/>
              <w:right w:val="single" w:color="auto" w:sz="4" w:space="0"/>
            </w:tcBorders>
            <w:vAlign w:val="center"/>
          </w:tcPr>
          <w:p w14:paraId="656272A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中标标的</w:t>
            </w:r>
          </w:p>
        </w:tc>
      </w:tr>
      <w:tr w14:paraId="39E8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tcBorders>
              <w:top w:val="single" w:color="auto" w:sz="4" w:space="0"/>
              <w:left w:val="single" w:color="auto" w:sz="4" w:space="0"/>
              <w:bottom w:val="single" w:color="auto" w:sz="4" w:space="0"/>
              <w:right w:val="single" w:color="auto" w:sz="4" w:space="0"/>
            </w:tcBorders>
            <w:vAlign w:val="center"/>
          </w:tcPr>
          <w:p w14:paraId="4C7F3A6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内容</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25B53E5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单位</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886A8F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数量</w:t>
            </w:r>
          </w:p>
        </w:tc>
        <w:tc>
          <w:tcPr>
            <w:tcW w:w="1843" w:type="dxa"/>
            <w:tcBorders>
              <w:top w:val="single" w:color="auto" w:sz="4" w:space="0"/>
              <w:left w:val="single" w:color="auto" w:sz="4" w:space="0"/>
              <w:bottom w:val="single" w:color="auto" w:sz="4" w:space="0"/>
              <w:right w:val="single" w:color="auto" w:sz="4" w:space="0"/>
            </w:tcBorders>
            <w:vAlign w:val="center"/>
          </w:tcPr>
          <w:p w14:paraId="43B4872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单价（元/套）</w:t>
            </w: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66375E6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合计（元）</w:t>
            </w:r>
          </w:p>
        </w:tc>
      </w:tr>
      <w:tr w14:paraId="3F20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tcBorders>
              <w:top w:val="single" w:color="auto" w:sz="4" w:space="0"/>
              <w:left w:val="single" w:color="auto" w:sz="4" w:space="0"/>
              <w:bottom w:val="single" w:color="auto" w:sz="4" w:space="0"/>
              <w:right w:val="single" w:color="auto" w:sz="4" w:space="0"/>
            </w:tcBorders>
            <w:vAlign w:val="center"/>
          </w:tcPr>
          <w:p w14:paraId="5D8ED520">
            <w:pPr>
              <w:jc w:val="center"/>
              <w:rPr>
                <w:rFonts w:hint="eastAsia" w:ascii="仿宋" w:hAnsi="仿宋" w:eastAsia="仿宋" w:cs="仿宋"/>
                <w:color w:val="auto"/>
                <w:spacing w:val="20"/>
                <w:sz w:val="24"/>
                <w:highlight w:val="none"/>
              </w:rPr>
            </w:pPr>
            <w:r>
              <w:rPr>
                <w:rFonts w:hint="eastAsia" w:ascii="仿宋" w:hAnsi="仿宋" w:eastAsia="仿宋" w:cs="仿宋"/>
                <w:color w:val="auto"/>
                <w:sz w:val="24"/>
                <w:highlight w:val="none"/>
                <w:lang w:eastAsia="zh-CN"/>
              </w:rPr>
              <w:t>安置</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单</w:t>
            </w:r>
            <w:r>
              <w:rPr>
                <w:rFonts w:hint="eastAsia" w:ascii="仿宋" w:hAnsi="仿宋" w:eastAsia="仿宋" w:cs="仿宋"/>
                <w:color w:val="auto"/>
                <w:sz w:val="24"/>
                <w:highlight w:val="none"/>
              </w:rPr>
              <w:t>墓</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1F836B7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val="0"/>
                <w:bCs w:val="0"/>
                <w:color w:val="auto"/>
                <w:spacing w:val="20"/>
                <w:sz w:val="24"/>
                <w:highlight w:val="none"/>
              </w:rPr>
            </w:pPr>
            <w:r>
              <w:rPr>
                <w:rFonts w:hint="eastAsia" w:ascii="仿宋" w:hAnsi="仿宋" w:eastAsia="仿宋" w:cs="仿宋"/>
                <w:b w:val="0"/>
                <w:bCs w:val="0"/>
                <w:color w:val="auto"/>
                <w:sz w:val="24"/>
                <w:highlight w:val="none"/>
              </w:rPr>
              <w:t>套</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8EDFED4">
            <w:pPr>
              <w:jc w:val="center"/>
              <w:rPr>
                <w:rFonts w:hint="eastAsia" w:ascii="仿宋" w:hAnsi="仿宋" w:eastAsia="仿宋" w:cs="仿宋"/>
                <w:color w:val="auto"/>
                <w:spacing w:val="20"/>
                <w:sz w:val="24"/>
                <w:highlight w:val="none"/>
              </w:rPr>
            </w:pPr>
            <w:r>
              <w:rPr>
                <w:rFonts w:hint="eastAsia" w:ascii="仿宋" w:hAnsi="仿宋" w:eastAsia="仿宋" w:cs="仿宋"/>
                <w:color w:val="auto"/>
                <w:sz w:val="24"/>
                <w:highlight w:val="none"/>
                <w:lang w:val="en-US" w:eastAsia="zh-CN"/>
              </w:rPr>
              <w:t>200</w:t>
            </w:r>
          </w:p>
        </w:tc>
        <w:tc>
          <w:tcPr>
            <w:tcW w:w="1843" w:type="dxa"/>
            <w:tcBorders>
              <w:top w:val="single" w:color="auto" w:sz="4" w:space="0"/>
              <w:left w:val="single" w:color="auto" w:sz="4" w:space="0"/>
              <w:bottom w:val="single" w:color="auto" w:sz="4" w:space="0"/>
              <w:right w:val="single" w:color="auto" w:sz="4" w:space="0"/>
            </w:tcBorders>
            <w:vAlign w:val="center"/>
          </w:tcPr>
          <w:p w14:paraId="44D4E492">
            <w:pPr>
              <w:jc w:val="center"/>
              <w:rPr>
                <w:rFonts w:hint="eastAsia" w:ascii="仿宋" w:hAnsi="仿宋" w:eastAsia="仿宋" w:cs="仿宋"/>
                <w:color w:val="auto"/>
                <w:spacing w:val="20"/>
                <w:sz w:val="24"/>
                <w:highlight w:val="none"/>
              </w:rPr>
            </w:pPr>
            <w:r>
              <w:rPr>
                <w:rFonts w:hint="eastAsia" w:ascii="仿宋" w:hAnsi="仿宋" w:eastAsia="仿宋" w:cs="仿宋"/>
                <w:color w:val="auto"/>
                <w:sz w:val="24"/>
                <w:highlight w:val="none"/>
                <w:lang w:val="en-US" w:eastAsia="zh-CN"/>
              </w:rPr>
              <w:t>1050</w:t>
            </w: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0598B243">
            <w:pPr>
              <w:jc w:val="center"/>
              <w:rPr>
                <w:rFonts w:hint="eastAsia" w:ascii="仿宋" w:hAnsi="仿宋" w:eastAsia="仿宋" w:cs="仿宋"/>
                <w:color w:val="auto"/>
                <w:spacing w:val="20"/>
                <w:sz w:val="24"/>
                <w:highlight w:val="none"/>
              </w:rPr>
            </w:pPr>
            <w:r>
              <w:rPr>
                <w:rFonts w:hint="eastAsia" w:ascii="仿宋" w:hAnsi="仿宋" w:eastAsia="仿宋" w:cs="仿宋"/>
                <w:color w:val="auto"/>
                <w:sz w:val="24"/>
                <w:highlight w:val="none"/>
              </w:rPr>
              <w:t>210000</w:t>
            </w:r>
          </w:p>
        </w:tc>
      </w:tr>
      <w:tr w14:paraId="1109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tcBorders>
              <w:top w:val="single" w:color="auto" w:sz="4" w:space="0"/>
              <w:left w:val="single" w:color="auto" w:sz="4" w:space="0"/>
              <w:bottom w:val="single" w:color="auto" w:sz="4" w:space="0"/>
              <w:right w:val="single" w:color="auto" w:sz="4" w:space="0"/>
            </w:tcBorders>
            <w:vAlign w:val="center"/>
          </w:tcPr>
          <w:p w14:paraId="751745BC">
            <w:pPr>
              <w:jc w:val="center"/>
              <w:rPr>
                <w:rFonts w:hint="eastAsia" w:ascii="仿宋" w:hAnsi="仿宋" w:eastAsia="仿宋" w:cs="仿宋"/>
                <w:color w:val="auto"/>
                <w:spacing w:val="20"/>
                <w:sz w:val="24"/>
                <w:highlight w:val="none"/>
              </w:rPr>
            </w:pPr>
            <w:r>
              <w:rPr>
                <w:rFonts w:hint="eastAsia" w:ascii="仿宋" w:hAnsi="仿宋" w:eastAsia="仿宋" w:cs="仿宋"/>
                <w:color w:val="auto"/>
                <w:sz w:val="24"/>
                <w:highlight w:val="none"/>
                <w:lang w:eastAsia="zh-CN"/>
              </w:rPr>
              <w:t>安置</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#双墓</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484C1B6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val="0"/>
                <w:bCs w:val="0"/>
                <w:color w:val="auto"/>
                <w:spacing w:val="20"/>
                <w:sz w:val="24"/>
                <w:highlight w:val="none"/>
              </w:rPr>
            </w:pPr>
            <w:r>
              <w:rPr>
                <w:rFonts w:hint="eastAsia" w:ascii="仿宋" w:hAnsi="仿宋" w:eastAsia="仿宋" w:cs="仿宋"/>
                <w:b w:val="0"/>
                <w:bCs w:val="0"/>
                <w:color w:val="auto"/>
                <w:sz w:val="24"/>
                <w:highlight w:val="none"/>
              </w:rPr>
              <w:t>套</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3695EB8">
            <w:pPr>
              <w:jc w:val="center"/>
              <w:rPr>
                <w:rFonts w:hint="eastAsia" w:ascii="仿宋" w:hAnsi="仿宋" w:eastAsia="仿宋" w:cs="仿宋"/>
                <w:color w:val="auto"/>
                <w:spacing w:val="20"/>
                <w:sz w:val="24"/>
                <w:highlight w:val="none"/>
              </w:rPr>
            </w:pPr>
            <w:r>
              <w:rPr>
                <w:rFonts w:hint="eastAsia" w:ascii="仿宋" w:hAnsi="仿宋" w:eastAsia="仿宋" w:cs="仿宋"/>
                <w:color w:val="auto"/>
                <w:sz w:val="24"/>
                <w:highlight w:val="none"/>
                <w:lang w:val="en-US" w:eastAsia="zh-CN"/>
              </w:rPr>
              <w:t xml:space="preserve">700 </w:t>
            </w:r>
          </w:p>
        </w:tc>
        <w:tc>
          <w:tcPr>
            <w:tcW w:w="1843" w:type="dxa"/>
            <w:tcBorders>
              <w:top w:val="single" w:color="auto" w:sz="4" w:space="0"/>
              <w:left w:val="single" w:color="auto" w:sz="4" w:space="0"/>
              <w:bottom w:val="single" w:color="auto" w:sz="4" w:space="0"/>
              <w:right w:val="single" w:color="auto" w:sz="4" w:space="0"/>
            </w:tcBorders>
            <w:vAlign w:val="center"/>
          </w:tcPr>
          <w:p w14:paraId="3B4885A8">
            <w:pPr>
              <w:jc w:val="center"/>
              <w:rPr>
                <w:rFonts w:hint="eastAsia" w:ascii="仿宋" w:hAnsi="仿宋" w:eastAsia="仿宋" w:cs="仿宋"/>
                <w:color w:val="auto"/>
                <w:spacing w:val="20"/>
                <w:sz w:val="24"/>
                <w:highlight w:val="none"/>
              </w:rPr>
            </w:pPr>
            <w:r>
              <w:rPr>
                <w:rFonts w:hint="eastAsia" w:ascii="仿宋" w:hAnsi="仿宋" w:eastAsia="仿宋" w:cs="仿宋"/>
                <w:color w:val="auto"/>
                <w:sz w:val="24"/>
                <w:highlight w:val="none"/>
                <w:lang w:val="en-US" w:eastAsia="zh-CN"/>
              </w:rPr>
              <w:t>1200</w:t>
            </w: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116AC6A3">
            <w:pPr>
              <w:jc w:val="center"/>
              <w:rPr>
                <w:rFonts w:hint="eastAsia" w:ascii="仿宋" w:hAnsi="仿宋" w:eastAsia="仿宋" w:cs="仿宋"/>
                <w:color w:val="auto"/>
                <w:spacing w:val="20"/>
                <w:sz w:val="24"/>
                <w:highlight w:val="none"/>
              </w:rPr>
            </w:pPr>
            <w:r>
              <w:rPr>
                <w:rFonts w:hint="eastAsia" w:ascii="仿宋" w:hAnsi="仿宋" w:eastAsia="仿宋" w:cs="仿宋"/>
                <w:color w:val="auto"/>
                <w:sz w:val="24"/>
                <w:highlight w:val="none"/>
              </w:rPr>
              <w:t>840000</w:t>
            </w:r>
          </w:p>
        </w:tc>
      </w:tr>
      <w:tr w14:paraId="77F6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tcBorders>
              <w:top w:val="single" w:color="auto" w:sz="4" w:space="0"/>
              <w:left w:val="single" w:color="auto" w:sz="4" w:space="0"/>
              <w:bottom w:val="single" w:color="auto" w:sz="4" w:space="0"/>
              <w:right w:val="single" w:color="auto" w:sz="4" w:space="0"/>
            </w:tcBorders>
            <w:vAlign w:val="center"/>
          </w:tcPr>
          <w:p w14:paraId="49B531C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750F541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FE388A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7903C61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1D58877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p>
        </w:tc>
      </w:tr>
      <w:tr w14:paraId="57C5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tcBorders>
              <w:top w:val="single" w:color="auto" w:sz="4" w:space="0"/>
              <w:left w:val="single" w:color="auto" w:sz="4" w:space="0"/>
              <w:bottom w:val="single" w:color="auto" w:sz="4" w:space="0"/>
              <w:right w:val="single" w:color="auto" w:sz="4" w:space="0"/>
            </w:tcBorders>
            <w:vAlign w:val="center"/>
          </w:tcPr>
          <w:p w14:paraId="477B968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3173FC7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B2335D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CFF95F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1DBB0D7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p>
        </w:tc>
      </w:tr>
      <w:tr w14:paraId="4804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tcBorders>
              <w:top w:val="single" w:color="auto" w:sz="4" w:space="0"/>
              <w:left w:val="single" w:color="auto" w:sz="4" w:space="0"/>
              <w:bottom w:val="single" w:color="auto" w:sz="4" w:space="0"/>
              <w:right w:val="single" w:color="auto" w:sz="4" w:space="0"/>
            </w:tcBorders>
            <w:vAlign w:val="center"/>
          </w:tcPr>
          <w:p w14:paraId="23D35E1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1876B29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3EE99F9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849055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0B54167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p>
        </w:tc>
      </w:tr>
      <w:tr w14:paraId="2D54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tcBorders>
              <w:top w:val="single" w:color="auto" w:sz="4" w:space="0"/>
              <w:left w:val="single" w:color="auto" w:sz="4" w:space="0"/>
              <w:bottom w:val="single" w:color="auto" w:sz="4" w:space="0"/>
              <w:right w:val="single" w:color="auto" w:sz="4" w:space="0"/>
            </w:tcBorders>
            <w:vAlign w:val="center"/>
          </w:tcPr>
          <w:p w14:paraId="084240E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4BFC15D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51B858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5081092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79D78F5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p>
        </w:tc>
      </w:tr>
      <w:tr w14:paraId="5B11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9" w:type="dxa"/>
            <w:gridSpan w:val="6"/>
            <w:tcBorders>
              <w:top w:val="single" w:color="auto" w:sz="4" w:space="0"/>
              <w:left w:val="single" w:color="auto" w:sz="4" w:space="0"/>
              <w:bottom w:val="single" w:color="auto" w:sz="4" w:space="0"/>
              <w:right w:val="single" w:color="auto" w:sz="4" w:space="0"/>
            </w:tcBorders>
            <w:vAlign w:val="center"/>
          </w:tcPr>
          <w:p w14:paraId="302DCE4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中标金额合计</w:t>
            </w: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2F919B7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r>
              <w:rPr>
                <w:rFonts w:hint="eastAsia" w:ascii="仿宋" w:hAnsi="仿宋" w:eastAsia="仿宋" w:cs="仿宋"/>
                <w:color w:val="auto"/>
                <w:sz w:val="24"/>
                <w:highlight w:val="none"/>
                <w:lang w:val="en-US" w:eastAsia="zh-CN"/>
              </w:rPr>
              <w:t>1050000元</w:t>
            </w:r>
          </w:p>
        </w:tc>
      </w:tr>
      <w:tr w14:paraId="3B58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8472" w:type="dxa"/>
            <w:gridSpan w:val="8"/>
            <w:tcBorders>
              <w:top w:val="single" w:color="auto" w:sz="4" w:space="0"/>
              <w:left w:val="single" w:color="auto" w:sz="4" w:space="0"/>
              <w:bottom w:val="single" w:color="auto" w:sz="4" w:space="0"/>
              <w:right w:val="single" w:color="auto" w:sz="4" w:space="0"/>
            </w:tcBorders>
            <w:vAlign w:val="center"/>
          </w:tcPr>
          <w:p w14:paraId="1840354F">
            <w:pPr>
              <w:spacing w:line="360" w:lineRule="auto"/>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服务承诺：</w:t>
            </w:r>
          </w:p>
          <w:p w14:paraId="55DA97BF">
            <w:pPr>
              <w:spacing w:line="360" w:lineRule="auto"/>
              <w:ind w:firstLine="420" w:firstLineChars="150"/>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质保期限为项目验收合格之日起满</w:t>
            </w:r>
            <w:r>
              <w:rPr>
                <w:rFonts w:hint="eastAsia" w:ascii="仿宋" w:hAnsi="仿宋" w:eastAsia="仿宋" w:cs="仿宋"/>
                <w:color w:val="auto"/>
                <w:spacing w:val="20"/>
                <w:sz w:val="24"/>
                <w:highlight w:val="none"/>
                <w:lang w:val="en-US" w:eastAsia="zh-CN"/>
              </w:rPr>
              <w:t>六</w:t>
            </w:r>
            <w:r>
              <w:rPr>
                <w:rFonts w:hint="eastAsia" w:ascii="仿宋" w:hAnsi="仿宋" w:eastAsia="仿宋" w:cs="仿宋"/>
                <w:color w:val="auto"/>
                <w:spacing w:val="20"/>
                <w:sz w:val="24"/>
                <w:highlight w:val="none"/>
              </w:rPr>
              <w:t>年，质保期外提供终身维修服务。</w:t>
            </w:r>
          </w:p>
          <w:p w14:paraId="38737C31">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仿宋" w:hAnsi="仿宋" w:eastAsia="仿宋" w:cs="仿宋"/>
                <w:color w:val="auto"/>
                <w:spacing w:val="20"/>
                <w:sz w:val="24"/>
                <w:highlight w:val="none"/>
              </w:rPr>
            </w:pPr>
          </w:p>
          <w:p w14:paraId="2A21CC5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p>
          <w:p w14:paraId="4206C87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pacing w:val="20"/>
                <w:sz w:val="24"/>
                <w:highlight w:val="none"/>
              </w:rPr>
            </w:pPr>
          </w:p>
        </w:tc>
      </w:tr>
    </w:tbl>
    <w:p w14:paraId="12E67519">
      <w:pPr>
        <w:rPr>
          <w:rFonts w:hint="eastAsia" w:ascii="仿宋" w:hAnsi="仿宋" w:eastAsia="仿宋" w:cs="仿宋"/>
          <w:color w:val="auto"/>
          <w:spacing w:val="20"/>
          <w:szCs w:val="21"/>
          <w:highlight w:val="none"/>
        </w:rPr>
      </w:pPr>
      <w:r>
        <w:rPr>
          <w:rFonts w:hint="eastAsia" w:ascii="仿宋" w:hAnsi="仿宋" w:eastAsia="仿宋" w:cs="仿宋"/>
          <w:color w:val="auto"/>
          <w:spacing w:val="20"/>
          <w:szCs w:val="21"/>
          <w:highlight w:val="none"/>
        </w:rPr>
        <w:t>注：</w:t>
      </w:r>
    </w:p>
    <w:p w14:paraId="40C6C94A">
      <w:pPr>
        <w:ind w:firstLine="500" w:firstLineChars="200"/>
        <w:rPr>
          <w:rFonts w:hint="eastAsia" w:ascii="仿宋" w:hAnsi="仿宋" w:eastAsia="仿宋" w:cs="仿宋"/>
          <w:color w:val="auto"/>
          <w:spacing w:val="20"/>
          <w:szCs w:val="21"/>
          <w:highlight w:val="none"/>
        </w:rPr>
      </w:pPr>
      <w:r>
        <w:rPr>
          <w:rFonts w:hint="eastAsia" w:ascii="仿宋" w:hAnsi="仿宋" w:eastAsia="仿宋" w:cs="仿宋"/>
          <w:color w:val="auto"/>
          <w:spacing w:val="20"/>
          <w:szCs w:val="21"/>
          <w:highlight w:val="none"/>
        </w:rPr>
        <w:t>1.中标人应根据其投标情况填写该表，并保证其与投标文件内容的一致性、正确性和真实性；</w:t>
      </w:r>
    </w:p>
    <w:p w14:paraId="2A96FAEF">
      <w:pPr>
        <w:ind w:firstLine="490" w:firstLineChars="196"/>
        <w:rPr>
          <w:rFonts w:hint="eastAsia" w:ascii="仿宋" w:hAnsi="仿宋" w:eastAsia="仿宋" w:cs="仿宋"/>
          <w:color w:val="auto"/>
          <w:spacing w:val="20"/>
          <w:szCs w:val="21"/>
          <w:highlight w:val="none"/>
        </w:rPr>
      </w:pPr>
      <w:r>
        <w:rPr>
          <w:rFonts w:hint="eastAsia" w:ascii="仿宋" w:hAnsi="仿宋" w:eastAsia="仿宋" w:cs="仿宋"/>
          <w:color w:val="auto"/>
          <w:spacing w:val="20"/>
          <w:szCs w:val="21"/>
          <w:highlight w:val="none"/>
        </w:rPr>
        <w:t>2.填写该表不代表中标人已具有中标人资格。本表只作为中标结果公告内容的一部分，进行公告使用；</w:t>
      </w:r>
    </w:p>
    <w:p w14:paraId="55E7EB99">
      <w:pPr>
        <w:ind w:firstLine="490" w:firstLineChars="196"/>
        <w:rPr>
          <w:rFonts w:hint="eastAsia" w:ascii="仿宋" w:hAnsi="仿宋" w:eastAsia="仿宋" w:cs="仿宋"/>
          <w:color w:val="auto"/>
          <w:spacing w:val="20"/>
          <w:szCs w:val="21"/>
          <w:highlight w:val="none"/>
        </w:rPr>
      </w:pPr>
      <w:r>
        <w:rPr>
          <w:rFonts w:hint="eastAsia" w:ascii="仿宋" w:hAnsi="仿宋" w:eastAsia="仿宋" w:cs="仿宋"/>
          <w:color w:val="auto"/>
          <w:spacing w:val="20"/>
          <w:szCs w:val="21"/>
          <w:highlight w:val="none"/>
        </w:rPr>
        <w:t>3.本表内容涉及较多，中标人可以适当增减表格行数，以保证表格内容的完整；</w:t>
      </w:r>
    </w:p>
    <w:p w14:paraId="3C718877">
      <w:pPr>
        <w:ind w:firstLine="490" w:firstLineChars="196"/>
        <w:rPr>
          <w:rFonts w:hint="eastAsia" w:ascii="仿宋" w:hAnsi="仿宋" w:eastAsia="仿宋" w:cs="仿宋"/>
          <w:color w:val="auto"/>
          <w:spacing w:val="20"/>
          <w:szCs w:val="21"/>
          <w:highlight w:val="none"/>
        </w:rPr>
      </w:pPr>
      <w:r>
        <w:rPr>
          <w:rFonts w:hint="eastAsia" w:ascii="仿宋" w:hAnsi="仿宋" w:eastAsia="仿宋" w:cs="仿宋"/>
          <w:color w:val="auto"/>
          <w:spacing w:val="20"/>
          <w:szCs w:val="21"/>
          <w:highlight w:val="none"/>
        </w:rPr>
        <w:t>4.评审结果排名第一的中标人在评审结束后</w:t>
      </w:r>
      <w:r>
        <w:rPr>
          <w:rFonts w:hint="eastAsia" w:ascii="仿宋" w:hAnsi="仿宋" w:eastAsia="仿宋" w:cs="仿宋"/>
          <w:b/>
          <w:color w:val="auto"/>
          <w:spacing w:val="20"/>
          <w:szCs w:val="21"/>
          <w:highlight w:val="none"/>
        </w:rPr>
        <w:t>2个工作日内</w:t>
      </w:r>
      <w:r>
        <w:rPr>
          <w:rFonts w:hint="eastAsia" w:ascii="仿宋" w:hAnsi="仿宋" w:eastAsia="仿宋" w:cs="仿宋"/>
          <w:color w:val="auto"/>
          <w:spacing w:val="20"/>
          <w:szCs w:val="21"/>
          <w:highlight w:val="none"/>
        </w:rPr>
        <w:t>将该表格提交给代理机构的项目负责人。未按时提交规定内容造成后果由中标人自行承担；</w:t>
      </w:r>
    </w:p>
    <w:p w14:paraId="4E8BA996">
      <w:pPr>
        <w:ind w:firstLine="490" w:firstLineChars="196"/>
        <w:rPr>
          <w:rFonts w:hint="eastAsia" w:ascii="仿宋" w:hAnsi="仿宋" w:eastAsia="仿宋" w:cs="仿宋"/>
          <w:color w:val="auto"/>
          <w:spacing w:val="20"/>
          <w:szCs w:val="21"/>
          <w:highlight w:val="none"/>
        </w:rPr>
      </w:pPr>
      <w:r>
        <w:rPr>
          <w:rFonts w:hint="eastAsia" w:ascii="仿宋" w:hAnsi="仿宋" w:eastAsia="仿宋" w:cs="仿宋"/>
          <w:color w:val="auto"/>
          <w:spacing w:val="20"/>
          <w:szCs w:val="21"/>
          <w:highlight w:val="none"/>
        </w:rPr>
        <w:t>5.中标结果公告内容如涉及中标人的商业秘密等法律法规规定可以不予公告的情形，中标人应另附书面说明，如未事前书面说明造成的后果由中标人自行承担。</w:t>
      </w:r>
    </w:p>
    <w:p w14:paraId="64FF31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740D1"/>
    <w:rsid w:val="330740D1"/>
    <w:rsid w:val="39874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outlineLvl w:val="0"/>
    </w:pPr>
    <w:rPr>
      <w:rFonts w:ascii="Arial" w:hAnsi="Arial" w:eastAsia="宋体" w:cs="Arial"/>
      <w:b/>
      <w:snapToGrid w:val="0"/>
      <w:color w:val="000000"/>
      <w:kern w:val="44"/>
      <w:sz w:val="36"/>
      <w:szCs w:val="21"/>
      <w:lang w:eastAsia="en-US"/>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6"/>
    <w:qFormat/>
    <w:uiPriority w:val="0"/>
    <w:pPr>
      <w:keepNext/>
      <w:keepLines/>
      <w:spacing w:before="260" w:after="260" w:line="360" w:lineRule="auto"/>
      <w:ind w:firstLine="602" w:firstLineChars="200"/>
      <w:outlineLvl w:val="2"/>
    </w:pPr>
    <w:rPr>
      <w:rFonts w:ascii="仿宋_GB2312" w:eastAsia="仿宋_GB2312"/>
      <w:b/>
      <w:bCs/>
      <w:sz w:val="30"/>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tabs>
        <w:tab w:val="left" w:pos="1470"/>
        <w:tab w:val="right" w:leader="dot" w:pos="9016"/>
      </w:tabs>
      <w:ind w:firstLine="480"/>
    </w:pPr>
    <w:rPr>
      <w:rFonts w:ascii="宋体" w:hAnsi="宋体" w:eastAsia="仿宋_GB2312"/>
      <w:b/>
      <w:sz w:val="30"/>
      <w:szCs w:val="30"/>
    </w:rPr>
  </w:style>
  <w:style w:type="paragraph" w:styleId="6">
    <w:name w:val="Normal Indent"/>
    <w:basedOn w:val="1"/>
    <w:qFormat/>
    <w:uiPriority w:val="0"/>
    <w:pPr>
      <w:ind w:firstLine="42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2026-05-29T07:53:00Z</dcterms:created>
  <dc:creator>程因斯坦</dc:creator>
  <cp:lastModifiedBy>程因斯坦</cp:lastModifiedBy>
  <dcterms:modified xsi:type="dcterms:W3CDTF">2026-05-29T07:57:47Z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CA41114294C64007898008541CBC38E6_11</vt:lpwstr>
  </property>
  <property fmtid="{D5CDD505-2E9C-101B-9397-08002B2CF9AE}" pid="4" name="KSOTemplateDocerSaveRecord">
    <vt:lpwstr>eyJoZGlkIjoiY2I5YmY2YWU2MzQyY2Q1NzBjYjNlNmQ3MDA2ODhkZjgiLCJ1c2VySWQiOiI1MTk4MzM2NDYifQ==</vt:lpwstr>
  </property>
</Properties>
</file>