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0167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b/>
          <w:color w:val="auto"/>
          <w:sz w:val="60"/>
          <w:szCs w:val="60"/>
          <w:lang w:eastAsia="zh-CN"/>
        </w:rPr>
      </w:pPr>
    </w:p>
    <w:p w14:paraId="7FF478F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仿宋" w:hAnsi="仿宋" w:eastAsia="仿宋" w:cs="仿宋"/>
          <w:b/>
          <w:color w:val="auto"/>
          <w:sz w:val="40"/>
          <w:szCs w:val="40"/>
          <w:lang w:val="en-US"/>
        </w:rPr>
      </w:pPr>
      <w:r>
        <w:rPr>
          <w:rFonts w:hint="eastAsia" w:ascii="仿宋" w:hAnsi="仿宋" w:eastAsia="仿宋" w:cs="仿宋"/>
          <w:b/>
          <w:color w:val="auto"/>
          <w:sz w:val="60"/>
          <w:szCs w:val="60"/>
          <w:lang w:eastAsia="zh-CN"/>
        </w:rPr>
        <w:t>清徐中学片区排水防涝及地下管网改造工程</w:t>
      </w:r>
      <w:r>
        <w:rPr>
          <w:rFonts w:hint="eastAsia" w:ascii="仿宋" w:hAnsi="仿宋" w:eastAsia="仿宋" w:cs="仿宋"/>
          <w:b/>
          <w:color w:val="auto"/>
          <w:sz w:val="60"/>
          <w:szCs w:val="60"/>
          <w:lang w:val="en-US" w:eastAsia="zh-CN"/>
        </w:rPr>
        <w:t>监理</w:t>
      </w:r>
    </w:p>
    <w:p w14:paraId="2560FF83">
      <w:pPr>
        <w:pageBreakBefore w:val="0"/>
        <w:kinsoku/>
        <w:wordWrap/>
        <w:overflowPunct/>
        <w:topLinePunct w:val="0"/>
        <w:autoSpaceDE/>
        <w:autoSpaceDN/>
        <w:bidi w:val="0"/>
        <w:spacing w:line="500" w:lineRule="exact"/>
        <w:ind w:firstLine="560"/>
        <w:textAlignment w:val="auto"/>
        <w:rPr>
          <w:rFonts w:hint="eastAsia" w:ascii="仿宋" w:hAnsi="仿宋" w:eastAsia="仿宋" w:cs="仿宋"/>
          <w:color w:val="auto"/>
          <w:sz w:val="28"/>
          <w:szCs w:val="28"/>
          <w:highlight w:val="none"/>
        </w:rPr>
      </w:pPr>
    </w:p>
    <w:p w14:paraId="6861EAAE">
      <w:pPr>
        <w:pageBreakBefore w:val="0"/>
        <w:kinsoku/>
        <w:wordWrap/>
        <w:overflowPunct/>
        <w:topLinePunct w:val="0"/>
        <w:autoSpaceDE/>
        <w:autoSpaceDN/>
        <w:bidi w:val="0"/>
        <w:spacing w:line="500" w:lineRule="exact"/>
        <w:ind w:left="0" w:leftChars="0" w:firstLine="482"/>
        <w:jc w:val="center"/>
        <w:textAlignment w:val="auto"/>
        <w:rPr>
          <w:rFonts w:hint="eastAsia" w:ascii="仿宋" w:hAnsi="仿宋" w:eastAsia="仿宋" w:cs="仿宋"/>
          <w:b/>
          <w:bCs/>
          <w:color w:val="auto"/>
          <w:highlight w:val="none"/>
        </w:rPr>
      </w:pPr>
    </w:p>
    <w:p w14:paraId="007856E9">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36A6686B">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eastAsia" w:ascii="仿宋" w:hAnsi="仿宋" w:eastAsia="仿宋" w:cs="仿宋"/>
          <w:b/>
          <w:bCs/>
          <w:color w:val="auto"/>
          <w:sz w:val="84"/>
          <w:szCs w:val="84"/>
          <w:highlight w:val="none"/>
          <w:lang w:val="en-US" w:eastAsia="zh-CN"/>
        </w:rPr>
      </w:pPr>
    </w:p>
    <w:p w14:paraId="7CAF5E9C">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lang w:val="en-US" w:eastAsia="zh-CN"/>
        </w:rPr>
        <w:t>竞争性</w:t>
      </w:r>
      <w:r>
        <w:rPr>
          <w:rFonts w:hint="eastAsia" w:ascii="仿宋" w:hAnsi="仿宋" w:eastAsia="仿宋" w:cs="仿宋"/>
          <w:b/>
          <w:bCs/>
          <w:color w:val="auto"/>
          <w:sz w:val="84"/>
          <w:szCs w:val="84"/>
          <w:highlight w:val="none"/>
          <w:lang w:eastAsia="zh-CN"/>
        </w:rPr>
        <w:t>磋商</w:t>
      </w:r>
      <w:r>
        <w:rPr>
          <w:rFonts w:hint="eastAsia" w:ascii="仿宋" w:hAnsi="仿宋" w:eastAsia="仿宋" w:cs="仿宋"/>
          <w:b/>
          <w:bCs/>
          <w:color w:val="auto"/>
          <w:sz w:val="84"/>
          <w:szCs w:val="84"/>
          <w:highlight w:val="none"/>
        </w:rPr>
        <w:t>文件</w:t>
      </w:r>
    </w:p>
    <w:p w14:paraId="6C6EC902">
      <w:pPr>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 w:hAnsi="仿宋" w:eastAsia="仿宋" w:cs="仿宋"/>
          <w:b/>
          <w:bCs/>
          <w:color w:val="auto"/>
          <w:sz w:val="28"/>
          <w:szCs w:val="28"/>
          <w:highlight w:val="red"/>
        </w:rPr>
      </w:pPr>
    </w:p>
    <w:p w14:paraId="61AF8A6B">
      <w:pPr>
        <w:keepNext w:val="0"/>
        <w:keepLines w:val="0"/>
        <w:pageBreakBefore w:val="0"/>
        <w:widowControl w:val="0"/>
        <w:kinsoku/>
        <w:wordWrap/>
        <w:overflowPunct/>
        <w:topLinePunct w:val="0"/>
        <w:autoSpaceDE/>
        <w:autoSpaceDN/>
        <w:bidi w:val="0"/>
        <w:adjustRightInd/>
        <w:snapToGrid/>
        <w:spacing w:line="360" w:lineRule="auto"/>
        <w:ind w:left="1285" w:leftChars="0" w:right="321" w:rightChars="153" w:hanging="1285" w:hangingChars="400"/>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项目编号：1401212026CCS00030</w:t>
      </w:r>
    </w:p>
    <w:p w14:paraId="0A4140E0">
      <w:pPr>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 w:hAnsi="仿宋" w:eastAsia="仿宋" w:cs="仿宋"/>
          <w:b/>
          <w:bCs/>
          <w:color w:val="0000FF"/>
          <w:sz w:val="28"/>
          <w:szCs w:val="28"/>
          <w:highlight w:val="red"/>
          <w:lang w:val="en-US"/>
        </w:rPr>
      </w:pPr>
    </w:p>
    <w:p w14:paraId="5A67F082">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44240767">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6D802EF4">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76D8E4D0">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12FFDE66">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5DB3315E">
      <w:pPr>
        <w:pageBreakBefore w:val="0"/>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highlight w:val="none"/>
        </w:rPr>
      </w:pPr>
    </w:p>
    <w:p w14:paraId="171B7D79">
      <w:pPr>
        <w:keepNext w:val="0"/>
        <w:keepLines w:val="0"/>
        <w:pageBreakBefore w:val="0"/>
        <w:widowControl w:val="0"/>
        <w:kinsoku/>
        <w:wordWrap/>
        <w:overflowPunct/>
        <w:topLinePunct w:val="0"/>
        <w:autoSpaceDE/>
        <w:autoSpaceDN/>
        <w:bidi w:val="0"/>
        <w:adjustRightInd/>
        <w:snapToGrid/>
        <w:spacing w:line="360" w:lineRule="auto"/>
        <w:ind w:left="1645" w:leftChars="0" w:right="321" w:rightChars="153" w:hanging="1645" w:hangingChars="400"/>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pacing w:val="45"/>
          <w:sz w:val="32"/>
          <w:szCs w:val="32"/>
          <w:lang w:val="en-US" w:eastAsia="zh-CN"/>
        </w:rPr>
        <w:t>采购</w:t>
      </w:r>
      <w:r>
        <w:rPr>
          <w:rFonts w:hint="eastAsia" w:ascii="仿宋" w:hAnsi="仿宋" w:eastAsia="仿宋" w:cs="仿宋"/>
          <w:b/>
          <w:color w:val="auto"/>
          <w:spacing w:val="45"/>
          <w:sz w:val="32"/>
          <w:szCs w:val="32"/>
        </w:rPr>
        <w:t>人</w:t>
      </w:r>
      <w:r>
        <w:rPr>
          <w:rFonts w:hint="eastAsia" w:ascii="仿宋" w:hAnsi="仿宋" w:eastAsia="仿宋" w:cs="仿宋"/>
          <w:b/>
          <w:color w:val="auto"/>
          <w:sz w:val="32"/>
          <w:szCs w:val="32"/>
        </w:rPr>
        <w:t>：</w:t>
      </w:r>
      <w:r>
        <w:rPr>
          <w:rFonts w:hint="eastAsia" w:ascii="仿宋" w:hAnsi="仿宋" w:eastAsia="仿宋" w:cs="仿宋"/>
          <w:b/>
          <w:color w:val="auto"/>
          <w:sz w:val="32"/>
          <w:szCs w:val="32"/>
          <w:lang w:eastAsia="zh-CN"/>
        </w:rPr>
        <w:t>清徐县城乡建设中心</w:t>
      </w:r>
    </w:p>
    <w:p w14:paraId="3A64D8A4">
      <w:pPr>
        <w:keepNext w:val="0"/>
        <w:keepLines w:val="0"/>
        <w:pageBreakBefore w:val="0"/>
        <w:widowControl w:val="0"/>
        <w:kinsoku/>
        <w:wordWrap/>
        <w:overflowPunct/>
        <w:topLinePunct w:val="0"/>
        <w:autoSpaceDE/>
        <w:autoSpaceDN/>
        <w:bidi w:val="0"/>
        <w:adjustRightInd/>
        <w:snapToGrid/>
        <w:spacing w:line="360" w:lineRule="auto"/>
        <w:ind w:left="1285" w:leftChars="0" w:right="321" w:rightChars="153" w:hanging="1285" w:hangingChars="400"/>
        <w:jc w:val="center"/>
        <w:textAlignment w:val="auto"/>
        <w:rPr>
          <w:rFonts w:hint="eastAsia" w:ascii="仿宋" w:hAnsi="仿宋" w:eastAsia="仿宋" w:cs="仿宋"/>
          <w:b/>
          <w:color w:val="auto"/>
          <w:sz w:val="32"/>
          <w:szCs w:val="32"/>
          <w:lang w:eastAsia="zh-CN"/>
        </w:rPr>
      </w:pPr>
    </w:p>
    <w:p w14:paraId="3EB1E606">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val="en-US" w:eastAsia="zh-CN"/>
        </w:rPr>
        <w:t>采购</w:t>
      </w:r>
      <w:r>
        <w:rPr>
          <w:rFonts w:hint="eastAsia" w:ascii="仿宋" w:hAnsi="仿宋" w:eastAsia="仿宋" w:cs="仿宋"/>
          <w:b/>
          <w:color w:val="auto"/>
          <w:sz w:val="32"/>
          <w:szCs w:val="32"/>
        </w:rPr>
        <w:t>代理</w:t>
      </w:r>
      <w:r>
        <w:rPr>
          <w:rFonts w:hint="eastAsia" w:ascii="仿宋" w:hAnsi="仿宋" w:eastAsia="仿宋" w:cs="仿宋"/>
          <w:b/>
          <w:color w:val="auto"/>
          <w:sz w:val="32"/>
          <w:szCs w:val="32"/>
          <w:lang w:val="en-US" w:eastAsia="zh-CN"/>
        </w:rPr>
        <w:t>机构</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山西广宇工程咨询有限公司</w:t>
      </w:r>
    </w:p>
    <w:p w14:paraId="7FF03808">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二〇二六年五月</w:t>
      </w:r>
    </w:p>
    <w:p w14:paraId="47D36E04">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val="en-US" w:eastAsia="zh-CN"/>
        </w:rPr>
        <w:sectPr>
          <w:footerReference r:id="rId5" w:type="first"/>
          <w:headerReference r:id="rId3" w:type="default"/>
          <w:footerReference r:id="rId4" w:type="default"/>
          <w:footnotePr>
            <w:numFmt w:val="decimalEnclosedCircleChinese"/>
          </w:footnotePr>
          <w:pgSz w:w="11906" w:h="16838"/>
          <w:pgMar w:top="1134" w:right="1134" w:bottom="1134" w:left="1417" w:header="850" w:footer="992" w:gutter="0"/>
          <w:pgNumType w:fmt="decimal" w:start="0"/>
          <w:cols w:space="0" w:num="1"/>
          <w:titlePg/>
          <w:rtlGutter w:val="0"/>
          <w:docGrid w:type="lines" w:linePitch="312" w:charSpace="0"/>
        </w:sectPr>
      </w:pPr>
    </w:p>
    <w:sdt>
      <w:sdtPr>
        <w:rPr>
          <w:rFonts w:hint="eastAsia" w:ascii="仿宋" w:hAnsi="仿宋" w:eastAsia="仿宋" w:cs="仿宋"/>
          <w:color w:val="auto"/>
          <w:kern w:val="2"/>
          <w:sz w:val="36"/>
          <w:szCs w:val="36"/>
          <w:lang w:val="en-US" w:eastAsia="zh-CN" w:bidi="ar-SA"/>
        </w:rPr>
        <w:id w:val="147482264"/>
        <w15:color w:val="DBDBDB"/>
        <w:docPartObj>
          <w:docPartGallery w:val="Table of Contents"/>
          <w:docPartUnique/>
        </w:docPartObj>
      </w:sdtPr>
      <w:sdtEndPr>
        <w:rPr>
          <w:rFonts w:hint="eastAsia" w:ascii="仿宋" w:hAnsi="仿宋" w:eastAsia="仿宋" w:cs="仿宋"/>
          <w:b/>
          <w:bCs/>
          <w:color w:val="auto"/>
          <w:spacing w:val="20"/>
          <w:kern w:val="44"/>
          <w:sz w:val="28"/>
          <w:szCs w:val="28"/>
          <w:lang w:val="en-US" w:eastAsia="zh-CN" w:bidi="ar-SA"/>
        </w:rPr>
      </w:sdtEndPr>
      <w:sdtContent>
        <w:p w14:paraId="03B2B6F2">
          <w:pPr>
            <w:pageBreakBefore w:val="0"/>
            <w:kinsoku/>
            <w:bidi w:val="0"/>
            <w:spacing w:beforeAutospacing="0" w:afterAutospacing="0" w:line="360" w:lineRule="auto"/>
            <w:ind w:left="0" w:leftChars="0" w:right="0" w:rightChars="0" w:firstLine="0" w:firstLineChars="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目</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录</w:t>
          </w:r>
        </w:p>
        <w:p w14:paraId="1AD18FFF">
          <w:pPr>
            <w:pStyle w:val="75"/>
            <w:pageBreakBefore w:val="0"/>
            <w:tabs>
              <w:tab w:val="right" w:leader="dot" w:pos="9643"/>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color w:val="auto"/>
              <w:spacing w:val="20"/>
              <w:sz w:val="28"/>
              <w:szCs w:val="28"/>
            </w:rPr>
          </w:pPr>
        </w:p>
        <w:p w14:paraId="45054292">
          <w:pPr>
            <w:pStyle w:val="29"/>
            <w:pageBreakBefore w:val="0"/>
            <w:widowControl w:val="0"/>
            <w:tabs>
              <w:tab w:val="right" w:leader="dot" w:pos="9643"/>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pacing w:val="20"/>
              <w:sz w:val="28"/>
              <w:szCs w:val="28"/>
            </w:rPr>
            <w:fldChar w:fldCharType="begin"/>
          </w:r>
          <w:r>
            <w:rPr>
              <w:rFonts w:hint="eastAsia" w:ascii="仿宋" w:hAnsi="仿宋" w:eastAsia="仿宋" w:cs="仿宋"/>
              <w:b/>
              <w:bCs/>
              <w:color w:val="auto"/>
              <w:spacing w:val="20"/>
              <w:sz w:val="28"/>
              <w:szCs w:val="28"/>
            </w:rPr>
            <w:instrText xml:space="preserve">TOC \o "1-1" \h \u </w:instrText>
          </w:r>
          <w:r>
            <w:rPr>
              <w:rFonts w:hint="eastAsia" w:ascii="仿宋" w:hAnsi="仿宋" w:eastAsia="仿宋" w:cs="仿宋"/>
              <w:b/>
              <w:bCs/>
              <w:color w:val="auto"/>
              <w:spacing w:val="20"/>
              <w:sz w:val="28"/>
              <w:szCs w:val="28"/>
            </w:rPr>
            <w:fldChar w:fldCharType="separate"/>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_Toc30738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第一部分  采购公告</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_Toc30738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14:paraId="49E72E98">
          <w:pPr>
            <w:pStyle w:val="29"/>
            <w:pageBreakBefore w:val="0"/>
            <w:widowControl w:val="0"/>
            <w:tabs>
              <w:tab w:val="right" w:leader="dot" w:pos="9643"/>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pacing w:val="20"/>
              <w:sz w:val="28"/>
              <w:szCs w:val="28"/>
            </w:rPr>
            <w:fldChar w:fldCharType="begin"/>
          </w:r>
          <w:r>
            <w:rPr>
              <w:rFonts w:hint="eastAsia" w:ascii="仿宋" w:hAnsi="仿宋" w:eastAsia="仿宋" w:cs="仿宋"/>
              <w:b/>
              <w:bCs/>
              <w:color w:val="auto"/>
              <w:spacing w:val="20"/>
              <w:sz w:val="28"/>
              <w:szCs w:val="28"/>
            </w:rPr>
            <w:instrText xml:space="preserve"> HYPERLINK \l _Toc3313 </w:instrText>
          </w:r>
          <w:r>
            <w:rPr>
              <w:rFonts w:hint="eastAsia" w:ascii="仿宋" w:hAnsi="仿宋" w:eastAsia="仿宋" w:cs="仿宋"/>
              <w:b/>
              <w:bCs/>
              <w:color w:val="auto"/>
              <w:spacing w:val="20"/>
              <w:sz w:val="28"/>
              <w:szCs w:val="28"/>
            </w:rPr>
            <w:fldChar w:fldCharType="separate"/>
          </w:r>
          <w:r>
            <w:rPr>
              <w:rFonts w:hint="eastAsia" w:ascii="仿宋" w:hAnsi="仿宋" w:eastAsia="仿宋" w:cs="仿宋"/>
              <w:b/>
              <w:bCs/>
              <w:color w:val="auto"/>
              <w:sz w:val="28"/>
              <w:szCs w:val="28"/>
            </w:rPr>
            <w:t>第二部分  磋商供应商须知前附表</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_Toc3313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4</w:t>
          </w:r>
          <w:r>
            <w:rPr>
              <w:rFonts w:hint="eastAsia" w:ascii="仿宋" w:hAnsi="仿宋" w:eastAsia="仿宋" w:cs="仿宋"/>
              <w:b/>
              <w:bCs/>
              <w:color w:val="auto"/>
              <w:sz w:val="28"/>
              <w:szCs w:val="28"/>
            </w:rPr>
            <w:fldChar w:fldCharType="end"/>
          </w:r>
          <w:r>
            <w:rPr>
              <w:rFonts w:hint="eastAsia" w:ascii="仿宋" w:hAnsi="仿宋" w:eastAsia="仿宋" w:cs="仿宋"/>
              <w:b/>
              <w:bCs/>
              <w:color w:val="auto"/>
              <w:spacing w:val="20"/>
              <w:sz w:val="28"/>
              <w:szCs w:val="28"/>
            </w:rPr>
            <w:fldChar w:fldCharType="end"/>
          </w:r>
        </w:p>
        <w:p w14:paraId="4C1F027B">
          <w:pPr>
            <w:pStyle w:val="29"/>
            <w:pageBreakBefore w:val="0"/>
            <w:widowControl w:val="0"/>
            <w:tabs>
              <w:tab w:val="right" w:leader="dot" w:pos="9643"/>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pacing w:val="20"/>
              <w:sz w:val="28"/>
              <w:szCs w:val="28"/>
            </w:rPr>
            <w:fldChar w:fldCharType="begin"/>
          </w:r>
          <w:r>
            <w:rPr>
              <w:rFonts w:hint="eastAsia" w:ascii="仿宋" w:hAnsi="仿宋" w:eastAsia="仿宋" w:cs="仿宋"/>
              <w:b/>
              <w:bCs/>
              <w:color w:val="auto"/>
              <w:spacing w:val="20"/>
              <w:sz w:val="28"/>
              <w:szCs w:val="28"/>
            </w:rPr>
            <w:instrText xml:space="preserve"> HYPERLINK \l _Toc9489 </w:instrText>
          </w:r>
          <w:r>
            <w:rPr>
              <w:rFonts w:hint="eastAsia" w:ascii="仿宋" w:hAnsi="仿宋" w:eastAsia="仿宋" w:cs="仿宋"/>
              <w:b/>
              <w:bCs/>
              <w:color w:val="auto"/>
              <w:spacing w:val="20"/>
              <w:sz w:val="28"/>
              <w:szCs w:val="28"/>
            </w:rPr>
            <w:fldChar w:fldCharType="separate"/>
          </w:r>
          <w:r>
            <w:rPr>
              <w:rFonts w:hint="eastAsia" w:ascii="仿宋" w:hAnsi="仿宋" w:eastAsia="仿宋" w:cs="仿宋"/>
              <w:b/>
              <w:bCs/>
              <w:color w:val="auto"/>
              <w:sz w:val="28"/>
              <w:szCs w:val="28"/>
            </w:rPr>
            <w:t>第三部分  磋商供应商须知</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_Toc9489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9</w:t>
          </w:r>
          <w:r>
            <w:rPr>
              <w:rFonts w:hint="eastAsia" w:ascii="仿宋" w:hAnsi="仿宋" w:eastAsia="仿宋" w:cs="仿宋"/>
              <w:b/>
              <w:bCs/>
              <w:color w:val="auto"/>
              <w:sz w:val="28"/>
              <w:szCs w:val="28"/>
            </w:rPr>
            <w:fldChar w:fldCharType="end"/>
          </w:r>
          <w:r>
            <w:rPr>
              <w:rFonts w:hint="eastAsia" w:ascii="仿宋" w:hAnsi="仿宋" w:eastAsia="仿宋" w:cs="仿宋"/>
              <w:b/>
              <w:bCs/>
              <w:color w:val="auto"/>
              <w:spacing w:val="20"/>
              <w:sz w:val="28"/>
              <w:szCs w:val="28"/>
            </w:rPr>
            <w:fldChar w:fldCharType="end"/>
          </w:r>
        </w:p>
        <w:p w14:paraId="69B932E1">
          <w:pPr>
            <w:pStyle w:val="29"/>
            <w:pageBreakBefore w:val="0"/>
            <w:widowControl w:val="0"/>
            <w:tabs>
              <w:tab w:val="right" w:leader="dot" w:pos="9643"/>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pacing w:val="20"/>
              <w:sz w:val="28"/>
              <w:szCs w:val="28"/>
            </w:rPr>
            <w:fldChar w:fldCharType="begin"/>
          </w:r>
          <w:r>
            <w:rPr>
              <w:rFonts w:hint="eastAsia" w:ascii="仿宋" w:hAnsi="仿宋" w:eastAsia="仿宋" w:cs="仿宋"/>
              <w:b/>
              <w:bCs/>
              <w:color w:val="auto"/>
              <w:spacing w:val="20"/>
              <w:sz w:val="28"/>
              <w:szCs w:val="28"/>
            </w:rPr>
            <w:instrText xml:space="preserve"> HYPERLINK \l _Toc29539 </w:instrText>
          </w:r>
          <w:r>
            <w:rPr>
              <w:rFonts w:hint="eastAsia" w:ascii="仿宋" w:hAnsi="仿宋" w:eastAsia="仿宋" w:cs="仿宋"/>
              <w:b/>
              <w:bCs/>
              <w:color w:val="auto"/>
              <w:spacing w:val="20"/>
              <w:sz w:val="28"/>
              <w:szCs w:val="28"/>
            </w:rPr>
            <w:fldChar w:fldCharType="separate"/>
          </w:r>
          <w:r>
            <w:rPr>
              <w:rFonts w:hint="eastAsia" w:ascii="仿宋" w:hAnsi="仿宋" w:eastAsia="仿宋" w:cs="仿宋"/>
              <w:b/>
              <w:bCs/>
              <w:snapToGrid w:val="0"/>
              <w:color w:val="auto"/>
              <w:kern w:val="44"/>
              <w:sz w:val="28"/>
              <w:szCs w:val="28"/>
              <w:lang w:val="en-US" w:eastAsia="zh-CN" w:bidi="ar-SA"/>
            </w:rPr>
            <w:t>第四部分  评审标准和评审方法</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_Toc29539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19</w:t>
          </w:r>
          <w:r>
            <w:rPr>
              <w:rFonts w:hint="eastAsia" w:ascii="仿宋" w:hAnsi="仿宋" w:eastAsia="仿宋" w:cs="仿宋"/>
              <w:b/>
              <w:bCs/>
              <w:color w:val="auto"/>
              <w:sz w:val="28"/>
              <w:szCs w:val="28"/>
            </w:rPr>
            <w:fldChar w:fldCharType="end"/>
          </w:r>
          <w:r>
            <w:rPr>
              <w:rFonts w:hint="eastAsia" w:ascii="仿宋" w:hAnsi="仿宋" w:eastAsia="仿宋" w:cs="仿宋"/>
              <w:b/>
              <w:bCs/>
              <w:color w:val="auto"/>
              <w:spacing w:val="20"/>
              <w:sz w:val="28"/>
              <w:szCs w:val="28"/>
            </w:rPr>
            <w:fldChar w:fldCharType="end"/>
          </w:r>
        </w:p>
        <w:p w14:paraId="2C9697D1">
          <w:pPr>
            <w:pStyle w:val="29"/>
            <w:pageBreakBefore w:val="0"/>
            <w:widowControl w:val="0"/>
            <w:tabs>
              <w:tab w:val="right" w:leader="dot" w:pos="9643"/>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pacing w:val="20"/>
              <w:sz w:val="28"/>
              <w:szCs w:val="28"/>
            </w:rPr>
            <w:fldChar w:fldCharType="begin"/>
          </w:r>
          <w:r>
            <w:rPr>
              <w:rFonts w:hint="eastAsia" w:ascii="仿宋" w:hAnsi="仿宋" w:eastAsia="仿宋" w:cs="仿宋"/>
              <w:b/>
              <w:bCs/>
              <w:color w:val="auto"/>
              <w:spacing w:val="20"/>
              <w:sz w:val="28"/>
              <w:szCs w:val="28"/>
            </w:rPr>
            <w:instrText xml:space="preserve"> HYPERLINK \l _Toc4490 </w:instrText>
          </w:r>
          <w:r>
            <w:rPr>
              <w:rFonts w:hint="eastAsia" w:ascii="仿宋" w:hAnsi="仿宋" w:eastAsia="仿宋" w:cs="仿宋"/>
              <w:b/>
              <w:bCs/>
              <w:color w:val="auto"/>
              <w:spacing w:val="20"/>
              <w:sz w:val="28"/>
              <w:szCs w:val="28"/>
            </w:rPr>
            <w:fldChar w:fldCharType="separate"/>
          </w:r>
          <w:r>
            <w:rPr>
              <w:rFonts w:hint="eastAsia" w:ascii="仿宋" w:hAnsi="仿宋" w:eastAsia="仿宋" w:cs="仿宋"/>
              <w:b/>
              <w:bCs/>
              <w:snapToGrid w:val="0"/>
              <w:color w:val="auto"/>
              <w:kern w:val="44"/>
              <w:sz w:val="28"/>
              <w:szCs w:val="28"/>
              <w:lang w:val="en-US" w:eastAsia="zh-CN" w:bidi="ar-SA"/>
            </w:rPr>
            <w:t>第五部分  商务、技术要求</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_Toc4490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24</w:t>
          </w:r>
          <w:r>
            <w:rPr>
              <w:rFonts w:hint="eastAsia" w:ascii="仿宋" w:hAnsi="仿宋" w:eastAsia="仿宋" w:cs="仿宋"/>
              <w:b/>
              <w:bCs/>
              <w:color w:val="auto"/>
              <w:sz w:val="28"/>
              <w:szCs w:val="28"/>
            </w:rPr>
            <w:fldChar w:fldCharType="end"/>
          </w:r>
          <w:r>
            <w:rPr>
              <w:rFonts w:hint="eastAsia" w:ascii="仿宋" w:hAnsi="仿宋" w:eastAsia="仿宋" w:cs="仿宋"/>
              <w:b/>
              <w:bCs/>
              <w:color w:val="auto"/>
              <w:spacing w:val="20"/>
              <w:sz w:val="28"/>
              <w:szCs w:val="28"/>
            </w:rPr>
            <w:fldChar w:fldCharType="end"/>
          </w:r>
        </w:p>
        <w:p w14:paraId="7CE31AF6">
          <w:pPr>
            <w:pStyle w:val="29"/>
            <w:pageBreakBefore w:val="0"/>
            <w:widowControl w:val="0"/>
            <w:tabs>
              <w:tab w:val="right" w:leader="dot" w:pos="9643"/>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pacing w:val="20"/>
              <w:sz w:val="28"/>
              <w:szCs w:val="28"/>
            </w:rPr>
            <w:fldChar w:fldCharType="begin"/>
          </w:r>
          <w:r>
            <w:rPr>
              <w:rFonts w:hint="eastAsia" w:ascii="仿宋" w:hAnsi="仿宋" w:eastAsia="仿宋" w:cs="仿宋"/>
              <w:b/>
              <w:bCs/>
              <w:color w:val="auto"/>
              <w:spacing w:val="20"/>
              <w:sz w:val="28"/>
              <w:szCs w:val="28"/>
            </w:rPr>
            <w:instrText xml:space="preserve"> HYPERLINK \l _Toc29747 </w:instrText>
          </w:r>
          <w:r>
            <w:rPr>
              <w:rFonts w:hint="eastAsia" w:ascii="仿宋" w:hAnsi="仿宋" w:eastAsia="仿宋" w:cs="仿宋"/>
              <w:b/>
              <w:bCs/>
              <w:color w:val="auto"/>
              <w:spacing w:val="20"/>
              <w:sz w:val="28"/>
              <w:szCs w:val="28"/>
            </w:rPr>
            <w:fldChar w:fldCharType="separate"/>
          </w:r>
          <w:r>
            <w:rPr>
              <w:rFonts w:hint="eastAsia" w:ascii="仿宋" w:hAnsi="仿宋" w:eastAsia="仿宋" w:cs="仿宋"/>
              <w:b/>
              <w:bCs/>
              <w:color w:val="auto"/>
              <w:kern w:val="44"/>
              <w:sz w:val="28"/>
              <w:szCs w:val="28"/>
              <w:lang w:val="en-US" w:eastAsia="zh-CN" w:bidi="ar-SA"/>
            </w:rPr>
            <w:t>第六部分  合同条款</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_Toc29747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26</w:t>
          </w:r>
          <w:r>
            <w:rPr>
              <w:rFonts w:hint="eastAsia" w:ascii="仿宋" w:hAnsi="仿宋" w:eastAsia="仿宋" w:cs="仿宋"/>
              <w:b/>
              <w:bCs/>
              <w:color w:val="auto"/>
              <w:sz w:val="28"/>
              <w:szCs w:val="28"/>
            </w:rPr>
            <w:fldChar w:fldCharType="end"/>
          </w:r>
          <w:r>
            <w:rPr>
              <w:rFonts w:hint="eastAsia" w:ascii="仿宋" w:hAnsi="仿宋" w:eastAsia="仿宋" w:cs="仿宋"/>
              <w:b/>
              <w:bCs/>
              <w:color w:val="auto"/>
              <w:spacing w:val="20"/>
              <w:sz w:val="28"/>
              <w:szCs w:val="28"/>
            </w:rPr>
            <w:fldChar w:fldCharType="end"/>
          </w:r>
        </w:p>
        <w:p w14:paraId="1B8A2ADF">
          <w:pPr>
            <w:pStyle w:val="29"/>
            <w:pageBreakBefore w:val="0"/>
            <w:widowControl w:val="0"/>
            <w:tabs>
              <w:tab w:val="right" w:leader="dot" w:pos="9643"/>
            </w:tabs>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pacing w:val="20"/>
              <w:sz w:val="28"/>
              <w:szCs w:val="28"/>
            </w:rPr>
            <w:fldChar w:fldCharType="begin"/>
          </w:r>
          <w:r>
            <w:rPr>
              <w:rFonts w:hint="eastAsia" w:ascii="仿宋" w:hAnsi="仿宋" w:eastAsia="仿宋" w:cs="仿宋"/>
              <w:b/>
              <w:bCs/>
              <w:color w:val="auto"/>
              <w:spacing w:val="20"/>
              <w:sz w:val="28"/>
              <w:szCs w:val="28"/>
            </w:rPr>
            <w:instrText xml:space="preserve"> HYPERLINK \l _Toc25450 </w:instrText>
          </w:r>
          <w:r>
            <w:rPr>
              <w:rFonts w:hint="eastAsia" w:ascii="仿宋" w:hAnsi="仿宋" w:eastAsia="仿宋" w:cs="仿宋"/>
              <w:b/>
              <w:bCs/>
              <w:color w:val="auto"/>
              <w:spacing w:val="20"/>
              <w:sz w:val="28"/>
              <w:szCs w:val="28"/>
            </w:rPr>
            <w:fldChar w:fldCharType="separate"/>
          </w: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部分</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 xml:space="preserve"> 响应文件内容要求及格式</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_Toc25450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43</w:t>
          </w:r>
          <w:r>
            <w:rPr>
              <w:rFonts w:hint="eastAsia" w:ascii="仿宋" w:hAnsi="仿宋" w:eastAsia="仿宋" w:cs="仿宋"/>
              <w:b/>
              <w:bCs/>
              <w:color w:val="auto"/>
              <w:sz w:val="28"/>
              <w:szCs w:val="28"/>
            </w:rPr>
            <w:fldChar w:fldCharType="end"/>
          </w:r>
          <w:r>
            <w:rPr>
              <w:rFonts w:hint="eastAsia" w:ascii="仿宋" w:hAnsi="仿宋" w:eastAsia="仿宋" w:cs="仿宋"/>
              <w:b/>
              <w:bCs/>
              <w:color w:val="auto"/>
              <w:spacing w:val="20"/>
              <w:sz w:val="28"/>
              <w:szCs w:val="28"/>
            </w:rPr>
            <w:fldChar w:fldCharType="end"/>
          </w:r>
        </w:p>
        <w:p w14:paraId="342F3724">
          <w:pPr>
            <w:pStyle w:val="2"/>
            <w:keepNext/>
            <w:keepLines/>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auto"/>
            <w:outlineLvl w:val="9"/>
            <w:rPr>
              <w:rFonts w:hint="eastAsia" w:ascii="仿宋" w:hAnsi="仿宋" w:eastAsia="仿宋" w:cs="仿宋"/>
              <w:color w:val="auto"/>
              <w:spacing w:val="20"/>
              <w:sz w:val="28"/>
              <w:szCs w:val="28"/>
            </w:rPr>
            <w:sectPr>
              <w:headerReference r:id="rId7" w:type="first"/>
              <w:footerReference r:id="rId9" w:type="first"/>
              <w:headerReference r:id="rId6" w:type="default"/>
              <w:footerReference r:id="rId8" w:type="default"/>
              <w:pgSz w:w="11911" w:h="16838"/>
              <w:pgMar w:top="1134" w:right="1134" w:bottom="1134" w:left="1417" w:header="850" w:footer="975"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仿宋" w:hAnsi="仿宋" w:eastAsia="仿宋" w:cs="仿宋"/>
              <w:b/>
              <w:bCs/>
              <w:color w:val="auto"/>
              <w:spacing w:val="20"/>
              <w:sz w:val="28"/>
              <w:szCs w:val="28"/>
            </w:rPr>
            <w:fldChar w:fldCharType="end"/>
          </w:r>
        </w:p>
      </w:sdtContent>
    </w:sdt>
    <w:p w14:paraId="786A0E01">
      <w:pPr>
        <w:pStyle w:val="66"/>
        <w:pageBreakBefore w:val="0"/>
        <w:kinsoku/>
        <w:bidi w:val="0"/>
        <w:adjustRightInd/>
        <w:spacing w:before="0" w:beforeAutospacing="0" w:after="0" w:afterAutospacing="0" w:line="360" w:lineRule="auto"/>
        <w:ind w:left="0" w:leftChars="0" w:firstLine="0" w:firstLineChars="0"/>
        <w:jc w:val="center"/>
        <w:textAlignment w:val="auto"/>
        <w:rPr>
          <w:rStyle w:val="51"/>
          <w:rFonts w:hint="eastAsia" w:ascii="仿宋" w:hAnsi="仿宋" w:eastAsia="仿宋" w:cs="仿宋"/>
          <w:b/>
          <w:bCs/>
          <w:color w:val="auto"/>
          <w:sz w:val="30"/>
          <w:szCs w:val="30"/>
          <w:lang w:val="en-US" w:eastAsia="zh-CN"/>
        </w:rPr>
      </w:pPr>
      <w:bookmarkStart w:id="0" w:name="_Toc24441"/>
      <w:bookmarkStart w:id="1" w:name="_Toc1423"/>
      <w:bookmarkStart w:id="2" w:name="_Toc30738"/>
      <w:r>
        <w:rPr>
          <w:rStyle w:val="51"/>
          <w:rFonts w:hint="eastAsia" w:ascii="仿宋" w:hAnsi="仿宋" w:eastAsia="仿宋" w:cs="仿宋"/>
          <w:b/>
          <w:bCs/>
          <w:color w:val="auto"/>
          <w:sz w:val="30"/>
          <w:szCs w:val="30"/>
          <w:lang w:val="en-US" w:eastAsia="zh-CN"/>
        </w:rPr>
        <w:t xml:space="preserve">第一部分  </w:t>
      </w:r>
      <w:bookmarkEnd w:id="0"/>
      <w:bookmarkEnd w:id="1"/>
      <w:bookmarkEnd w:id="2"/>
      <w:r>
        <w:rPr>
          <w:rStyle w:val="51"/>
          <w:rFonts w:hint="eastAsia" w:ascii="仿宋" w:hAnsi="仿宋" w:eastAsia="仿宋" w:cs="仿宋"/>
          <w:b/>
          <w:bCs/>
          <w:color w:val="auto"/>
          <w:sz w:val="30"/>
          <w:szCs w:val="30"/>
          <w:lang w:val="en-US" w:eastAsia="zh-CN"/>
        </w:rPr>
        <w:t>竞争性磋商采购公告</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045D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9835" w:type="dxa"/>
            <w:noWrap w:val="0"/>
            <w:vAlign w:val="top"/>
          </w:tcPr>
          <w:p w14:paraId="24838A69">
            <w:pPr>
              <w:pageBreakBefore w:val="0"/>
              <w:kinsoku/>
              <w:bidi w:val="0"/>
              <w:adjustRightInd w:val="0"/>
              <w:snapToGrid w:val="0"/>
              <w:spacing w:beforeAutospacing="0" w:afterAutospacing="0" w:line="360" w:lineRule="auto"/>
              <w:contextualSpacing/>
              <w:jc w:val="left"/>
              <w:rPr>
                <w:rFonts w:hint="eastAsia" w:ascii="仿宋" w:hAnsi="仿宋" w:eastAsia="仿宋" w:cs="仿宋"/>
                <w:b/>
                <w:bCs/>
                <w:color w:val="auto"/>
                <w:sz w:val="24"/>
                <w:szCs w:val="24"/>
              </w:rPr>
            </w:pPr>
            <w:bookmarkStart w:id="3" w:name="_Toc35393798"/>
            <w:bookmarkStart w:id="4" w:name="_Toc28359012"/>
            <w:bookmarkStart w:id="5" w:name="_Toc28359089"/>
            <w:bookmarkStart w:id="6" w:name="_Toc35393629"/>
            <w:r>
              <w:rPr>
                <w:rFonts w:hint="eastAsia" w:ascii="仿宋" w:hAnsi="仿宋" w:eastAsia="仿宋" w:cs="仿宋"/>
                <w:b/>
                <w:bCs/>
                <w:color w:val="auto"/>
                <w:sz w:val="24"/>
                <w:szCs w:val="24"/>
              </w:rPr>
              <w:t>项目概况</w:t>
            </w:r>
          </w:p>
          <w:p w14:paraId="1E0C1CD0">
            <w:pPr>
              <w:pageBreakBefore w:val="0"/>
              <w:kinsoku/>
              <w:bidi w:val="0"/>
              <w:spacing w:beforeAutospacing="0" w:afterAutospacing="0" w:line="360" w:lineRule="auto"/>
              <w:ind w:firstLine="480" w:firstLineChars="200"/>
              <w:jc w:val="left"/>
              <w:rPr>
                <w:rFonts w:hint="eastAsia" w:ascii="仿宋" w:hAnsi="仿宋" w:eastAsia="仿宋" w:cs="仿宋"/>
                <w:color w:val="auto"/>
              </w:rPr>
            </w:pPr>
            <w:r>
              <w:rPr>
                <w:rFonts w:hint="eastAsia" w:ascii="仿宋" w:hAnsi="仿宋" w:eastAsia="仿宋" w:cs="仿宋"/>
                <w:color w:val="auto"/>
                <w:sz w:val="24"/>
                <w:szCs w:val="24"/>
                <w:lang w:eastAsia="zh-CN"/>
              </w:rPr>
              <w:t>清徐中学片区排水防涝及地下管网改造工程监理的</w:t>
            </w:r>
            <w:r>
              <w:rPr>
                <w:rFonts w:hint="eastAsia" w:ascii="仿宋" w:hAnsi="仿宋" w:eastAsia="仿宋" w:cs="仿宋"/>
                <w:sz w:val="24"/>
                <w:szCs w:val="24"/>
                <w:highlight w:val="none"/>
                <w:lang w:eastAsia="zh-CN"/>
              </w:rPr>
              <w:t>潜在</w:t>
            </w:r>
            <w:r>
              <w:rPr>
                <w:rFonts w:hint="eastAsia" w:ascii="仿宋" w:hAnsi="仿宋" w:eastAsia="仿宋" w:cs="仿宋"/>
                <w:sz w:val="24"/>
                <w:szCs w:val="24"/>
              </w:rPr>
              <w:t>供应商应在政采云平台线上获取获取采购文件，</w:t>
            </w:r>
            <w:r>
              <w:rPr>
                <w:rFonts w:hint="eastAsia" w:ascii="仿宋" w:hAnsi="仿宋" w:eastAsia="仿宋" w:cs="仿宋"/>
                <w:sz w:val="24"/>
                <w:szCs w:val="24"/>
                <w:highlight w:val="none"/>
              </w:rPr>
              <w:t>并于202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（北京时间）前提交</w:t>
            </w:r>
            <w:r>
              <w:rPr>
                <w:rFonts w:hint="eastAsia" w:ascii="仿宋" w:hAnsi="仿宋" w:eastAsia="仿宋" w:cs="仿宋"/>
                <w:sz w:val="24"/>
                <w:szCs w:val="24"/>
              </w:rPr>
              <w:t>响应文件</w:t>
            </w:r>
            <w:r>
              <w:rPr>
                <w:rFonts w:hint="eastAsia" w:ascii="仿宋" w:hAnsi="仿宋" w:eastAsia="仿宋" w:cs="仿宋"/>
                <w:color w:val="auto"/>
                <w:sz w:val="24"/>
                <w:szCs w:val="24"/>
                <w:highlight w:val="none"/>
                <w:lang w:eastAsia="zh-CN"/>
              </w:rPr>
              <w:t>。</w:t>
            </w:r>
          </w:p>
        </w:tc>
      </w:tr>
    </w:tbl>
    <w:p w14:paraId="54453A42">
      <w:pPr>
        <w:keepNext w:val="0"/>
        <w:keepLines w:val="0"/>
        <w:pageBreakBefore w:val="0"/>
        <w:widowControl w:val="0"/>
        <w:shd w:val="clear" w:color="auto" w:fill="FFFFFF"/>
        <w:kinsoku/>
        <w:wordWrap/>
        <w:overflowPunct/>
        <w:topLinePunct w:val="0"/>
        <w:autoSpaceDE/>
        <w:autoSpaceDN/>
        <w:bidi w:val="0"/>
        <w:adjustRightInd/>
        <w:snapToGrid w:val="0"/>
        <w:spacing w:beforeAutospacing="0" w:afterAutospacing="0" w:line="360" w:lineRule="auto"/>
        <w:ind w:firstLine="420"/>
        <w:jc w:val="left"/>
        <w:textAlignment w:val="auto"/>
        <w:rPr>
          <w:rFonts w:hint="eastAsia" w:ascii="仿宋" w:hAnsi="仿宋" w:eastAsia="仿宋" w:cs="仿宋"/>
          <w:b/>
          <w:bCs/>
          <w:color w:val="auto"/>
          <w:sz w:val="21"/>
          <w:szCs w:val="21"/>
        </w:rPr>
      </w:pPr>
    </w:p>
    <w:p w14:paraId="2CD07652">
      <w:pPr>
        <w:pStyle w:val="3"/>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仿宋" w:hAnsi="仿宋" w:eastAsia="仿宋" w:cs="仿宋"/>
          <w:sz w:val="24"/>
          <w:szCs w:val="24"/>
        </w:rPr>
      </w:pPr>
      <w:bookmarkStart w:id="7" w:name="_Toc29764"/>
      <w:bookmarkStart w:id="8" w:name="_Toc24889"/>
      <w:bookmarkStart w:id="9" w:name="_Toc19666"/>
      <w:bookmarkStart w:id="10" w:name="_Toc27007"/>
      <w:r>
        <w:rPr>
          <w:rFonts w:hint="eastAsia" w:ascii="仿宋" w:hAnsi="仿宋" w:eastAsia="仿宋" w:cs="仿宋"/>
          <w:sz w:val="24"/>
          <w:szCs w:val="24"/>
          <w:lang w:val="en-US" w:eastAsia="zh-CN"/>
        </w:rPr>
        <w:t>一</w:t>
      </w:r>
      <w:r>
        <w:rPr>
          <w:rFonts w:hint="eastAsia" w:ascii="仿宋" w:hAnsi="仿宋" w:eastAsia="仿宋" w:cs="仿宋"/>
          <w:sz w:val="24"/>
          <w:szCs w:val="24"/>
        </w:rPr>
        <w:t>、项目基本情况</w:t>
      </w:r>
    </w:p>
    <w:p w14:paraId="4B99A901">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项目编号：1401212026CCS00030</w:t>
      </w:r>
    </w:p>
    <w:p w14:paraId="136E4D5B">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项目名称：清徐中学片区排水防涝及地下管网改造工程</w:t>
      </w:r>
      <w:r>
        <w:rPr>
          <w:rFonts w:hint="eastAsia" w:ascii="仿宋" w:hAnsi="仿宋" w:eastAsia="仿宋" w:cs="仿宋"/>
          <w:sz w:val="24"/>
          <w:szCs w:val="24"/>
          <w:highlight w:val="none"/>
          <w:lang w:val="en-US" w:eastAsia="zh-CN"/>
        </w:rPr>
        <w:t>监理</w:t>
      </w:r>
    </w:p>
    <w:p w14:paraId="380B005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ACA6589">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预算金额（元）：511700.00</w:t>
      </w:r>
    </w:p>
    <w:p w14:paraId="2E046152">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最高限价（元）：511700.00</w:t>
      </w:r>
    </w:p>
    <w:p w14:paraId="3E645E3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left="479" w:leftChars="228"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000000"/>
          <w:spacing w:val="0"/>
          <w:sz w:val="24"/>
          <w:szCs w:val="24"/>
        </w:rPr>
        <w:t>采购需求：</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标项名称：</w:t>
      </w:r>
      <w:r>
        <w:rPr>
          <w:rFonts w:hint="eastAsia" w:ascii="仿宋" w:hAnsi="仿宋" w:eastAsia="仿宋" w:cs="仿宋"/>
          <w:sz w:val="24"/>
          <w:szCs w:val="24"/>
          <w:highlight w:val="none"/>
          <w:lang w:eastAsia="zh-CN"/>
        </w:rPr>
        <w:t>清徐中学片区排水防涝及地下管网改造工程</w:t>
      </w:r>
      <w:r>
        <w:rPr>
          <w:rFonts w:hint="eastAsia" w:ascii="仿宋" w:hAnsi="仿宋" w:eastAsia="仿宋" w:cs="仿宋"/>
          <w:sz w:val="24"/>
          <w:szCs w:val="24"/>
          <w:highlight w:val="none"/>
          <w:lang w:val="en-US" w:eastAsia="zh-CN"/>
        </w:rPr>
        <w:t>监理</w:t>
      </w:r>
      <w:r>
        <w:rPr>
          <w:rFonts w:hint="eastAsia" w:ascii="仿宋" w:hAnsi="仿宋" w:eastAsia="仿宋" w:cs="仿宋"/>
          <w:i w:val="0"/>
          <w:iCs w:val="0"/>
          <w:caps w:val="0"/>
          <w:color w:val="000000"/>
          <w:spacing w:val="0"/>
          <w:kern w:val="0"/>
          <w:sz w:val="24"/>
          <w:szCs w:val="24"/>
          <w:shd w:val="clear" w:fill="F7F7F7"/>
          <w:lang w:val="en-US" w:eastAsia="zh-CN" w:bidi="ar"/>
        </w:rPr>
        <w:t> </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数量：</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预算金额（元）：</w:t>
      </w:r>
      <w:r>
        <w:rPr>
          <w:rStyle w:val="43"/>
          <w:rFonts w:hint="eastAsia" w:ascii="仿宋" w:hAnsi="仿宋" w:eastAsia="仿宋" w:cs="仿宋"/>
          <w:i w:val="0"/>
          <w:iCs w:val="0"/>
          <w:caps w:val="0"/>
          <w:color w:val="000000"/>
          <w:spacing w:val="0"/>
          <w:kern w:val="0"/>
          <w:sz w:val="24"/>
          <w:szCs w:val="24"/>
          <w:shd w:val="clear" w:fill="F7F7F7"/>
          <w:lang w:val="en-US" w:eastAsia="zh-CN" w:bidi="ar"/>
        </w:rPr>
        <w:t>511700.00</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单位：</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简要规格描述：</w:t>
      </w:r>
      <w:r>
        <w:rPr>
          <w:rStyle w:val="43"/>
          <w:rFonts w:hint="eastAsia" w:ascii="仿宋" w:hAnsi="仿宋" w:eastAsia="仿宋" w:cs="仿宋"/>
          <w:i w:val="0"/>
          <w:iCs w:val="0"/>
          <w:caps w:val="0"/>
          <w:color w:val="000000"/>
          <w:spacing w:val="0"/>
          <w:kern w:val="0"/>
          <w:sz w:val="24"/>
          <w:szCs w:val="24"/>
          <w:shd w:val="clear" w:fill="F7F7F7"/>
          <w:lang w:val="en-US" w:eastAsia="zh-CN" w:bidi="ar"/>
        </w:rPr>
        <w:t>清徐中学片区排水防涝及地下管网改造工程监理，</w:t>
      </w:r>
      <w:r>
        <w:rPr>
          <w:rFonts w:hint="eastAsia" w:ascii="仿宋" w:hAnsi="仿宋" w:eastAsia="仿宋" w:cs="仿宋"/>
          <w:color w:val="auto"/>
          <w:sz w:val="24"/>
          <w:szCs w:val="24"/>
          <w:lang w:val="zh-CN" w:eastAsia="zh-CN"/>
        </w:rPr>
        <w:t>具体要求以本磋商文件“</w:t>
      </w:r>
      <w:r>
        <w:rPr>
          <w:rFonts w:hint="eastAsia" w:ascii="仿宋" w:hAnsi="仿宋" w:eastAsia="仿宋" w:cs="仿宋"/>
          <w:color w:val="auto"/>
          <w:sz w:val="24"/>
          <w:szCs w:val="24"/>
          <w:lang w:val="en-US" w:eastAsia="zh-CN"/>
        </w:rPr>
        <w:t>第五部分：商务、技术要求</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中</w:t>
      </w:r>
      <w:r>
        <w:rPr>
          <w:rFonts w:hint="eastAsia" w:ascii="仿宋" w:hAnsi="仿宋" w:eastAsia="仿宋" w:cs="仿宋"/>
          <w:color w:val="auto"/>
          <w:sz w:val="24"/>
          <w:szCs w:val="24"/>
          <w:lang w:val="zh-CN" w:eastAsia="zh-CN"/>
        </w:rPr>
        <w:t>的相应规定为准</w:t>
      </w:r>
      <w:r>
        <w:rPr>
          <w:rFonts w:hint="eastAsia" w:ascii="仿宋" w:hAnsi="仿宋" w:eastAsia="仿宋" w:cs="仿宋"/>
          <w:color w:val="auto"/>
          <w:sz w:val="24"/>
          <w:szCs w:val="24"/>
          <w:lang w:val="en-US" w:eastAsia="zh-CN"/>
        </w:rPr>
        <w:t>。</w:t>
      </w:r>
    </w:p>
    <w:p w14:paraId="5689BD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7"/>
        <w:wordWrap/>
        <w:topLinePunct w:val="0"/>
        <w:bidi w:val="0"/>
        <w:adjustRightInd w:val="0"/>
        <w:snapToGrid w:val="0"/>
        <w:spacing w:line="300" w:lineRule="auto"/>
        <w:ind w:left="479" w:leftChars="228" w:firstLine="0" w:firstLineChars="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7F7F7"/>
          <w:lang w:val="en-US" w:eastAsia="zh-CN" w:bidi="ar"/>
        </w:rPr>
        <w:t>备注：    </w:t>
      </w:r>
    </w:p>
    <w:p w14:paraId="54F34DD3">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合同履约期限：</w:t>
      </w:r>
      <w:r>
        <w:rPr>
          <w:rStyle w:val="43"/>
          <w:rFonts w:hint="eastAsia" w:ascii="仿宋" w:hAnsi="仿宋" w:eastAsia="仿宋" w:cs="仿宋"/>
          <w:i w:val="0"/>
          <w:iCs w:val="0"/>
          <w:caps w:val="0"/>
          <w:color w:val="000000"/>
          <w:spacing w:val="0"/>
          <w:sz w:val="24"/>
          <w:szCs w:val="24"/>
        </w:rPr>
        <w:t>包 1，</w:t>
      </w:r>
      <w:r>
        <w:rPr>
          <w:rFonts w:hint="eastAsia" w:ascii="仿宋" w:hAnsi="仿宋" w:eastAsia="仿宋" w:cs="仿宋"/>
          <w:color w:val="auto"/>
          <w:sz w:val="24"/>
          <w:szCs w:val="24"/>
          <w:highlight w:val="none"/>
          <w:lang w:val="en-US" w:eastAsia="zh-CN"/>
        </w:rPr>
        <w:t>施工总工期及缺陷责任期</w:t>
      </w:r>
      <w:r>
        <w:rPr>
          <w:rStyle w:val="43"/>
          <w:rFonts w:hint="eastAsia" w:ascii="仿宋" w:hAnsi="仿宋" w:eastAsia="仿宋" w:cs="仿宋"/>
          <w:i w:val="0"/>
          <w:iCs w:val="0"/>
          <w:caps w:val="0"/>
          <w:color w:val="000000"/>
          <w:spacing w:val="0"/>
          <w:kern w:val="0"/>
          <w:sz w:val="24"/>
          <w:szCs w:val="24"/>
          <w:shd w:val="clear" w:fill="F7F7F7"/>
          <w:lang w:val="en-US" w:eastAsia="zh-CN" w:bidi="ar"/>
        </w:rPr>
        <w:t xml:space="preserve">。     </w:t>
      </w:r>
      <w:r>
        <w:rPr>
          <w:rFonts w:hint="eastAsia" w:ascii="仿宋" w:hAnsi="仿宋" w:eastAsia="仿宋" w:cs="仿宋"/>
          <w:i w:val="0"/>
          <w:iCs w:val="0"/>
          <w:caps w:val="0"/>
          <w:color w:val="000000"/>
          <w:spacing w:val="0"/>
          <w:sz w:val="24"/>
          <w:szCs w:val="24"/>
        </w:rPr>
        <w:t>   </w:t>
      </w:r>
    </w:p>
    <w:p w14:paraId="654B0693">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rPr>
        <w:t>本项目（</w:t>
      </w:r>
      <w:r>
        <w:rPr>
          <w:rStyle w:val="43"/>
          <w:rFonts w:hint="eastAsia" w:ascii="仿宋" w:hAnsi="仿宋" w:eastAsia="仿宋" w:cs="仿宋"/>
          <w:i w:val="0"/>
          <w:iCs w:val="0"/>
          <w:caps w:val="0"/>
          <w:color w:val="000000"/>
          <w:spacing w:val="0"/>
          <w:sz w:val="24"/>
          <w:szCs w:val="24"/>
        </w:rPr>
        <w:t>否</w:t>
      </w:r>
      <w:r>
        <w:rPr>
          <w:rFonts w:hint="eastAsia" w:ascii="仿宋" w:hAnsi="仿宋" w:eastAsia="仿宋" w:cs="仿宋"/>
          <w:i w:val="0"/>
          <w:iCs w:val="0"/>
          <w:caps w:val="0"/>
          <w:color w:val="000000"/>
          <w:spacing w:val="0"/>
          <w:sz w:val="24"/>
          <w:szCs w:val="24"/>
        </w:rPr>
        <w:t>）接受联合体投标。        </w:t>
      </w:r>
    </w:p>
    <w:bookmarkEnd w:id="3"/>
    <w:bookmarkEnd w:id="4"/>
    <w:bookmarkEnd w:id="5"/>
    <w:bookmarkEnd w:id="6"/>
    <w:bookmarkEnd w:id="7"/>
    <w:bookmarkEnd w:id="8"/>
    <w:bookmarkEnd w:id="9"/>
    <w:bookmarkEnd w:id="10"/>
    <w:p w14:paraId="219E03EE">
      <w:pPr>
        <w:pStyle w:val="3"/>
        <w:pageBreakBefore w:val="0"/>
        <w:kinsoku/>
        <w:wordWrap/>
        <w:overflowPunct/>
        <w:topLinePunct w:val="0"/>
        <w:autoSpaceDE/>
        <w:autoSpaceDN/>
        <w:bidi w:val="0"/>
        <w:adjustRightInd w:val="0"/>
        <w:snapToGrid w:val="0"/>
        <w:spacing w:line="300" w:lineRule="auto"/>
        <w:ind w:left="0" w:leftChars="0" w:firstLine="0" w:firstLineChars="0"/>
        <w:textAlignment w:val="auto"/>
        <w:rPr>
          <w:rFonts w:hint="eastAsia" w:ascii="仿宋" w:hAnsi="仿宋" w:eastAsia="仿宋" w:cs="仿宋"/>
          <w:sz w:val="24"/>
          <w:szCs w:val="24"/>
        </w:rPr>
      </w:pPr>
      <w:bookmarkStart w:id="11" w:name="_Toc28359090"/>
      <w:bookmarkStart w:id="12" w:name="_Toc35393799"/>
      <w:bookmarkStart w:id="13" w:name="_Toc24196"/>
      <w:bookmarkStart w:id="14" w:name="_Toc35393630"/>
      <w:bookmarkStart w:id="15" w:name="_Toc28359013"/>
      <w:bookmarkStart w:id="16" w:name="_Toc9356"/>
      <w:bookmarkStart w:id="17" w:name="_Toc7113"/>
      <w:bookmarkStart w:id="18" w:name="_Toc28096"/>
      <w:r>
        <w:rPr>
          <w:rFonts w:hint="eastAsia" w:ascii="仿宋" w:hAnsi="仿宋" w:eastAsia="仿宋" w:cs="仿宋"/>
          <w:sz w:val="24"/>
          <w:szCs w:val="24"/>
          <w:lang w:val="en-US" w:eastAsia="zh-CN"/>
        </w:rPr>
        <w:t>二</w:t>
      </w:r>
      <w:r>
        <w:rPr>
          <w:rFonts w:hint="eastAsia" w:ascii="仿宋" w:hAnsi="仿宋" w:eastAsia="仿宋" w:cs="仿宋"/>
          <w:sz w:val="24"/>
          <w:szCs w:val="24"/>
        </w:rPr>
        <w:t>、申请人的资格要求：</w:t>
      </w:r>
    </w:p>
    <w:p w14:paraId="26F370A6">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1.满足《中华人民共和国政府采购法》第二十二条规定。</w:t>
      </w:r>
    </w:p>
    <w:p w14:paraId="6EFD2D0B">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2.落实政府采购政策需满足的资格要</w:t>
      </w:r>
      <w:r>
        <w:rPr>
          <w:rFonts w:hint="eastAsia" w:ascii="仿宋" w:hAnsi="仿宋" w:eastAsia="仿宋" w:cs="仿宋"/>
          <w:sz w:val="24"/>
          <w:szCs w:val="24"/>
          <w:highlight w:val="none"/>
          <w:lang w:val="en-US" w:eastAsia="zh-CN"/>
        </w:rPr>
        <w:t>求：</w:t>
      </w:r>
      <w:r>
        <w:rPr>
          <w:rStyle w:val="43"/>
          <w:rFonts w:hint="eastAsia" w:ascii="仿宋" w:hAnsi="仿宋" w:eastAsia="仿宋" w:cs="仿宋"/>
          <w:i w:val="0"/>
          <w:iCs w:val="0"/>
          <w:caps w:val="0"/>
          <w:color w:val="000000"/>
          <w:spacing w:val="0"/>
          <w:sz w:val="24"/>
          <w:szCs w:val="24"/>
        </w:rPr>
        <w:t>包</w:t>
      </w:r>
      <w:r>
        <w:rPr>
          <w:rStyle w:val="43"/>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color w:val="auto"/>
          <w:sz w:val="24"/>
          <w:szCs w:val="24"/>
          <w:highlight w:val="none"/>
          <w:lang w:val="en-US" w:eastAsia="zh-CN"/>
        </w:rPr>
        <w:t>供应商为中小企业/小微企业。本项目专门面向中小企业，监狱企业、残疾人福利性单位视同小微企业</w:t>
      </w:r>
      <w:r>
        <w:rPr>
          <w:rFonts w:hint="eastAsia" w:ascii="仿宋" w:hAnsi="仿宋" w:eastAsia="仿宋" w:cs="仿宋"/>
          <w:sz w:val="24"/>
          <w:szCs w:val="24"/>
          <w:highlight w:val="none"/>
          <w:lang w:val="en-US" w:eastAsia="zh-CN"/>
        </w:rPr>
        <w:t>。</w:t>
      </w:r>
    </w:p>
    <w:p w14:paraId="44944A06">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3.本项目的特定资格要</w:t>
      </w:r>
      <w:r>
        <w:rPr>
          <w:rFonts w:hint="eastAsia" w:ascii="仿宋" w:hAnsi="仿宋" w:eastAsia="仿宋" w:cs="仿宋"/>
          <w:sz w:val="24"/>
          <w:szCs w:val="24"/>
          <w:highlight w:val="none"/>
          <w:lang w:val="en-US" w:eastAsia="zh-CN"/>
        </w:rPr>
        <w:t>求：</w:t>
      </w:r>
    </w:p>
    <w:p w14:paraId="2688F35B">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Style w:val="43"/>
          <w:rFonts w:hint="eastAsia" w:ascii="仿宋" w:hAnsi="仿宋" w:eastAsia="仿宋" w:cs="仿宋"/>
          <w:i w:val="0"/>
          <w:iCs w:val="0"/>
          <w:caps w:val="0"/>
          <w:color w:val="000000"/>
          <w:spacing w:val="0"/>
          <w:sz w:val="24"/>
          <w:szCs w:val="24"/>
        </w:rPr>
        <w:t>【包1】</w:t>
      </w:r>
    </w:p>
    <w:p w14:paraId="6872A9D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供应商须具备建设行政主管部门核发的市政公用工程监理乙级及以上资质或者工程监理综合资质，有效的营业执照，供应商拟派项目总监理工程师须具备市政公用工程专业国家级注册监理工程师</w:t>
      </w:r>
      <w:r>
        <w:rPr>
          <w:rFonts w:hint="eastAsia" w:ascii="仿宋" w:hAnsi="仿宋" w:eastAsia="仿宋" w:cs="仿宋"/>
          <w:color w:val="auto"/>
          <w:sz w:val="24"/>
          <w:szCs w:val="24"/>
          <w:lang w:val="en-US" w:eastAsia="zh-CN"/>
        </w:rPr>
        <w:t>执业</w:t>
      </w:r>
      <w:r>
        <w:rPr>
          <w:rFonts w:hint="eastAsia" w:ascii="仿宋" w:hAnsi="仿宋" w:eastAsia="仿宋" w:cs="仿宋"/>
          <w:color w:val="auto"/>
          <w:sz w:val="24"/>
          <w:szCs w:val="24"/>
          <w:lang w:val="zh-CN" w:eastAsia="zh-CN"/>
        </w:rPr>
        <w:t>资格</w:t>
      </w:r>
      <w:r>
        <w:rPr>
          <w:rFonts w:hint="eastAsia" w:ascii="仿宋" w:hAnsi="仿宋" w:eastAsia="仿宋" w:cs="仿宋"/>
          <w:color w:val="auto"/>
          <w:sz w:val="24"/>
          <w:szCs w:val="24"/>
          <w:lang w:val="en-US" w:eastAsia="zh-CN"/>
        </w:rPr>
        <w:t>。</w:t>
      </w:r>
    </w:p>
    <w:p w14:paraId="5AB2F93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单位负责人为同一人或者存在控股、管理关系的不同单位，不得参加同一标段投标或者未划分标段的同一招标项目投标。</w:t>
      </w:r>
    </w:p>
    <w:bookmarkEnd w:id="11"/>
    <w:bookmarkEnd w:id="12"/>
    <w:bookmarkEnd w:id="13"/>
    <w:bookmarkEnd w:id="14"/>
    <w:bookmarkEnd w:id="15"/>
    <w:bookmarkEnd w:id="16"/>
    <w:bookmarkEnd w:id="17"/>
    <w:bookmarkEnd w:id="18"/>
    <w:p w14:paraId="3F31D869">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bookmarkStart w:id="19" w:name="_Toc12864"/>
      <w:bookmarkStart w:id="20" w:name="_Toc20756"/>
      <w:bookmarkStart w:id="21" w:name="_Toc35393803"/>
      <w:bookmarkStart w:id="22" w:name="_Toc19313"/>
      <w:bookmarkStart w:id="23" w:name="_Toc9888"/>
      <w:bookmarkStart w:id="24" w:name="_Toc28359017"/>
      <w:bookmarkStart w:id="25" w:name="_Toc28359094"/>
      <w:bookmarkStart w:id="26" w:name="_Toc35393634"/>
      <w:r>
        <w:rPr>
          <w:rFonts w:hint="eastAsia" w:ascii="仿宋" w:hAnsi="仿宋" w:eastAsia="仿宋" w:cs="仿宋"/>
          <w:sz w:val="24"/>
          <w:szCs w:val="24"/>
          <w:lang w:val="en-US" w:eastAsia="zh-CN"/>
        </w:rPr>
        <w:t>三</w:t>
      </w:r>
      <w:r>
        <w:rPr>
          <w:rFonts w:hint="eastAsia" w:ascii="仿宋" w:hAnsi="仿宋" w:eastAsia="仿宋" w:cs="仿宋"/>
          <w:sz w:val="24"/>
          <w:szCs w:val="24"/>
        </w:rPr>
        <w:t>、获取采购文件</w:t>
      </w:r>
    </w:p>
    <w:p w14:paraId="211384F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1、时</w:t>
      </w:r>
      <w:r>
        <w:rPr>
          <w:rFonts w:hint="eastAsia" w:ascii="仿宋" w:hAnsi="仿宋" w:eastAsia="仿宋" w:cs="仿宋"/>
          <w:sz w:val="24"/>
          <w:szCs w:val="24"/>
          <w:highlight w:val="none"/>
          <w:lang w:val="en-US" w:eastAsia="zh-CN"/>
        </w:rPr>
        <w:t>间：</w:t>
      </w:r>
      <w:r>
        <w:rPr>
          <w:rFonts w:hint="eastAsia" w:ascii="仿宋" w:hAnsi="仿宋" w:eastAsia="仿宋" w:cs="仿宋"/>
          <w:color w:val="auto"/>
          <w:sz w:val="24"/>
          <w:szCs w:val="24"/>
          <w:highlight w:val="none"/>
          <w:lang w:val="en-US" w:eastAsia="zh-CN"/>
        </w:rPr>
        <w:t>2026年05月</w:t>
      </w:r>
      <w:r>
        <w:rPr>
          <w:rFonts w:hint="eastAsia" w:ascii="仿宋" w:hAnsi="仿宋" w:eastAsia="仿宋" w:cs="仿宋"/>
          <w:color w:val="auto"/>
          <w:sz w:val="24"/>
          <w:szCs w:val="24"/>
          <w:highlight w:val="none"/>
          <w:u w:val="single"/>
          <w:lang w:val="en-US" w:eastAsia="zh-CN"/>
        </w:rPr>
        <w:t>08</w:t>
      </w:r>
      <w:r>
        <w:rPr>
          <w:rFonts w:hint="eastAsia" w:ascii="仿宋" w:hAnsi="仿宋" w:eastAsia="仿宋" w:cs="仿宋"/>
          <w:color w:val="auto"/>
          <w:sz w:val="24"/>
          <w:szCs w:val="24"/>
          <w:highlight w:val="none"/>
          <w:lang w:val="en-US" w:eastAsia="zh-CN"/>
        </w:rPr>
        <w:t>日00点00分00秒至2026年05月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lang w:val="en-US" w:eastAsia="zh-CN"/>
        </w:rPr>
        <w:t>日23点59分59秒（</w:t>
      </w:r>
      <w:r>
        <w:rPr>
          <w:rFonts w:hint="eastAsia" w:ascii="仿宋" w:hAnsi="仿宋" w:eastAsia="仿宋" w:cs="仿宋"/>
          <w:i w:val="0"/>
          <w:iCs w:val="0"/>
          <w:caps w:val="0"/>
          <w:color w:val="000000"/>
          <w:spacing w:val="0"/>
          <w:sz w:val="24"/>
          <w:szCs w:val="24"/>
          <w:highlight w:val="none"/>
        </w:rPr>
        <w:t>北京时间，法定节假日除外</w:t>
      </w:r>
      <w:r>
        <w:rPr>
          <w:rFonts w:hint="eastAsia" w:ascii="仿宋" w:hAnsi="仿宋" w:eastAsia="仿宋" w:cs="仿宋"/>
          <w:color w:val="auto"/>
          <w:sz w:val="24"/>
          <w:szCs w:val="24"/>
          <w:highlight w:val="none"/>
          <w:lang w:val="en-US" w:eastAsia="zh-CN"/>
        </w:rPr>
        <w:t>）</w:t>
      </w:r>
    </w:p>
    <w:p w14:paraId="6C926BE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2、地点：</w:t>
      </w:r>
      <w:r>
        <w:rPr>
          <w:rFonts w:hint="eastAsia" w:ascii="仿宋" w:hAnsi="仿宋" w:eastAsia="仿宋" w:cs="仿宋"/>
          <w:i w:val="0"/>
          <w:iCs w:val="0"/>
          <w:caps w:val="0"/>
          <w:color w:val="000000"/>
          <w:spacing w:val="0"/>
          <w:sz w:val="24"/>
          <w:szCs w:val="24"/>
          <w:highlight w:val="none"/>
        </w:rPr>
        <w:t>：</w:t>
      </w:r>
      <w:r>
        <w:rPr>
          <w:rStyle w:val="43"/>
          <w:rFonts w:hint="eastAsia" w:ascii="仿宋" w:hAnsi="仿宋" w:eastAsia="仿宋" w:cs="仿宋"/>
          <w:i w:val="0"/>
          <w:iCs w:val="0"/>
          <w:caps w:val="0"/>
          <w:color w:val="000000"/>
          <w:spacing w:val="0"/>
          <w:sz w:val="24"/>
          <w:szCs w:val="24"/>
          <w:highlight w:val="none"/>
        </w:rPr>
        <w:t>政采云平台线上获取</w:t>
      </w:r>
    </w:p>
    <w:p w14:paraId="63A6F264">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3、方式：在线获取；</w:t>
      </w:r>
    </w:p>
    <w:p w14:paraId="59B381D4">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4、售</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p>
    <w:p w14:paraId="200483E4">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、响应文件提交</w:t>
      </w:r>
    </w:p>
    <w:p w14:paraId="69F6E6BA">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bookmarkStart w:id="27" w:name="_Toc28359093"/>
      <w:bookmarkStart w:id="28" w:name="_Toc28359016"/>
      <w:bookmarkStart w:id="29" w:name="_Toc35393633"/>
      <w:bookmarkStart w:id="30" w:name="_Toc35393802"/>
      <w:r>
        <w:rPr>
          <w:rFonts w:hint="eastAsia" w:ascii="仿宋" w:hAnsi="仿宋" w:eastAsia="仿宋" w:cs="仿宋"/>
          <w:color w:val="auto"/>
          <w:sz w:val="24"/>
          <w:szCs w:val="24"/>
          <w:lang w:val="en-US" w:eastAsia="zh-CN"/>
        </w:rPr>
        <w:t>1、截止时</w:t>
      </w:r>
      <w:r>
        <w:rPr>
          <w:rFonts w:hint="eastAsia" w:ascii="仿宋" w:hAnsi="仿宋" w:eastAsia="仿宋" w:cs="仿宋"/>
          <w:color w:val="auto"/>
          <w:sz w:val="24"/>
          <w:szCs w:val="24"/>
          <w:highlight w:val="none"/>
          <w:lang w:val="en-US" w:eastAsia="zh-CN"/>
        </w:rPr>
        <w:t>间：2026年05月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lang w:val="en-US" w:eastAsia="zh-CN"/>
        </w:rPr>
        <w:t>日09点30分（北京时间）</w:t>
      </w:r>
    </w:p>
    <w:p w14:paraId="3A175F59">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2、地点：</w:t>
      </w:r>
      <w:r>
        <w:rPr>
          <w:rStyle w:val="43"/>
          <w:rFonts w:hint="eastAsia" w:ascii="仿宋" w:hAnsi="仿宋" w:eastAsia="仿宋" w:cs="仿宋"/>
          <w:i w:val="0"/>
          <w:iCs w:val="0"/>
          <w:caps w:val="0"/>
          <w:color w:val="000000"/>
          <w:spacing w:val="0"/>
          <w:sz w:val="24"/>
          <w:szCs w:val="24"/>
          <w:highlight w:val="none"/>
        </w:rPr>
        <w:t>请登录政采云投标客户端投标</w:t>
      </w:r>
    </w:p>
    <w:p w14:paraId="5A36CF35">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开启</w:t>
      </w:r>
      <w:bookmarkEnd w:id="27"/>
      <w:bookmarkEnd w:id="28"/>
      <w:bookmarkEnd w:id="29"/>
      <w:bookmarkEnd w:id="30"/>
    </w:p>
    <w:p w14:paraId="07F7DEFF">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1、时间：2026年05月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lang w:val="en-US" w:eastAsia="zh-CN"/>
        </w:rPr>
        <w:t>日15点00分（北京时</w:t>
      </w:r>
      <w:r>
        <w:rPr>
          <w:rFonts w:hint="eastAsia" w:ascii="仿宋" w:hAnsi="仿宋" w:eastAsia="仿宋" w:cs="仿宋"/>
          <w:color w:val="auto"/>
          <w:sz w:val="24"/>
          <w:szCs w:val="24"/>
          <w:lang w:val="en-US" w:eastAsia="zh-CN"/>
        </w:rPr>
        <w:t>间）</w:t>
      </w:r>
    </w:p>
    <w:p w14:paraId="5FF5EC0D">
      <w:pPr>
        <w:pageBreakBefore w:val="0"/>
        <w:kinsoku/>
        <w:wordWrap/>
        <w:overflowPunct/>
        <w:topLinePunct w:val="0"/>
        <w:autoSpaceDE/>
        <w:autoSpaceDN/>
        <w:bidi w:val="0"/>
        <w:adjustRightInd w:val="0"/>
        <w:snapToGrid w:val="0"/>
        <w:spacing w:line="300" w:lineRule="auto"/>
        <w:ind w:firstLine="480" w:firstLineChars="200"/>
        <w:textAlignment w:val="auto"/>
        <w:rPr>
          <w:rStyle w:val="43"/>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color w:val="auto"/>
          <w:sz w:val="24"/>
          <w:szCs w:val="24"/>
          <w:lang w:val="en-US" w:eastAsia="zh-CN"/>
        </w:rPr>
        <w:t>2、地点：</w:t>
      </w:r>
      <w:r>
        <w:rPr>
          <w:rStyle w:val="43"/>
          <w:rFonts w:hint="eastAsia" w:ascii="仿宋" w:hAnsi="仿宋" w:eastAsia="仿宋" w:cs="仿宋"/>
          <w:i w:val="0"/>
          <w:iCs w:val="0"/>
          <w:caps w:val="0"/>
          <w:color w:val="000000"/>
          <w:spacing w:val="0"/>
          <w:sz w:val="24"/>
          <w:szCs w:val="24"/>
        </w:rPr>
        <w:t>山西省太原市清徐县梗阳西街中段428号（信和天禧城往南约150米）新政务大厅三楼清徐县政府采购中心开标室      </w:t>
      </w:r>
    </w:p>
    <w:p w14:paraId="3679DB08">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、公告期限</w:t>
      </w:r>
    </w:p>
    <w:p w14:paraId="45EB3710">
      <w:pPr>
        <w:pageBreakBefore w:val="0"/>
        <w:kinsoku/>
        <w:wordWrap/>
        <w:overflowPunct/>
        <w:topLinePunct w:val="0"/>
        <w:autoSpaceDE/>
        <w:autoSpaceDN/>
        <w:bidi w:val="0"/>
        <w:adjustRightInd w:val="0"/>
        <w:snapToGrid w:val="0"/>
        <w:spacing w:line="30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bookmarkEnd w:id="19"/>
    <w:bookmarkEnd w:id="20"/>
    <w:bookmarkEnd w:id="21"/>
    <w:bookmarkEnd w:id="22"/>
    <w:bookmarkEnd w:id="23"/>
    <w:bookmarkEnd w:id="24"/>
    <w:bookmarkEnd w:id="25"/>
    <w:bookmarkEnd w:id="26"/>
    <w:p w14:paraId="089385BF">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bookmarkStart w:id="31" w:name="_Toc35393635"/>
      <w:bookmarkStart w:id="32" w:name="_Toc35393804"/>
      <w:bookmarkStart w:id="33" w:name="_Toc28359018"/>
      <w:bookmarkStart w:id="34" w:name="_Toc35393805"/>
      <w:bookmarkStart w:id="35" w:name="OLE_LINK7"/>
      <w:bookmarkStart w:id="36" w:name="_Toc28359095"/>
      <w:bookmarkStart w:id="37" w:name="_Toc35393636"/>
      <w:r>
        <w:rPr>
          <w:rFonts w:hint="eastAsia" w:ascii="仿宋" w:hAnsi="仿宋" w:eastAsia="仿宋" w:cs="仿宋"/>
          <w:sz w:val="24"/>
          <w:szCs w:val="24"/>
          <w:lang w:val="en-US" w:eastAsia="zh-CN"/>
        </w:rPr>
        <w:t>七、</w:t>
      </w:r>
      <w:r>
        <w:rPr>
          <w:rFonts w:hint="eastAsia" w:ascii="仿宋" w:hAnsi="仿宋" w:eastAsia="仿宋" w:cs="仿宋"/>
          <w:sz w:val="24"/>
          <w:szCs w:val="24"/>
        </w:rPr>
        <w:t>其他补充事宜</w:t>
      </w:r>
      <w:bookmarkEnd w:id="31"/>
      <w:bookmarkEnd w:id="32"/>
    </w:p>
    <w:p w14:paraId="47CB6D27">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80" w:firstLineChars="200"/>
        <w:textAlignment w:val="auto"/>
        <w:rPr>
          <w:rStyle w:val="43"/>
          <w:rFonts w:hint="eastAsia" w:ascii="仿宋" w:hAnsi="仿宋" w:eastAsia="仿宋" w:cs="仿宋"/>
          <w:sz w:val="24"/>
          <w:szCs w:val="24"/>
        </w:rPr>
      </w:pPr>
      <w:r>
        <w:rPr>
          <w:rStyle w:val="43"/>
          <w:rFonts w:hint="eastAsia" w:ascii="仿宋" w:hAnsi="仿宋" w:eastAsia="仿宋" w:cs="仿宋"/>
          <w:sz w:val="24"/>
          <w:szCs w:val="24"/>
        </w:rPr>
        <w:t>针对本项目的质疑需一次性提出，多次提出将不予受理。供应商参与山西省政府采购项目时，符合法定质疑条件的，通过政府采购平台进入“项目质疑管理”栏目向采购人、采购代理机构在线提起质疑。    </w:t>
      </w:r>
    </w:p>
    <w:p w14:paraId="4E58B854">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bookmarkStart w:id="191" w:name="_GoBack"/>
      <w:bookmarkEnd w:id="191"/>
      <w:r>
        <w:rPr>
          <w:rFonts w:hint="eastAsia" w:ascii="仿宋" w:hAnsi="仿宋" w:eastAsia="仿宋" w:cs="仿宋"/>
          <w:sz w:val="24"/>
          <w:szCs w:val="24"/>
        </w:rPr>
        <w:t>  代理费支付方式： </w:t>
      </w:r>
      <w:r>
        <w:rPr>
          <w:rStyle w:val="43"/>
          <w:rFonts w:hint="eastAsia" w:ascii="仿宋" w:hAnsi="仿宋" w:eastAsia="仿宋" w:cs="仿宋"/>
          <w:sz w:val="24"/>
          <w:szCs w:val="24"/>
        </w:rPr>
        <w:t>供应商支付</w:t>
      </w:r>
      <w:r>
        <w:rPr>
          <w:rFonts w:hint="eastAsia" w:ascii="仿宋" w:hAnsi="仿宋" w:eastAsia="仿宋" w:cs="仿宋"/>
          <w:sz w:val="24"/>
          <w:szCs w:val="24"/>
        </w:rPr>
        <w:t> </w:t>
      </w:r>
    </w:p>
    <w:p w14:paraId="1FF00D3C">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代理费收费标准： </w:t>
      </w:r>
      <w:r>
        <w:rPr>
          <w:rStyle w:val="43"/>
          <w:rFonts w:hint="eastAsia" w:ascii="仿宋" w:hAnsi="仿宋" w:eastAsia="仿宋" w:cs="仿宋"/>
          <w:sz w:val="24"/>
          <w:szCs w:val="24"/>
        </w:rPr>
        <w:t>成交服务费参照计价格〔2002〕1980号文和国家发展改革委办公厅关于代理服务收费有关问题的通知（发改办价格〔2003〕857号）及国家发展和改革委员会文件发改价格〔2011〕534号文件的相关规定，以成交金额为基数，用差额累进计费方式计算。</w:t>
      </w:r>
      <w:r>
        <w:rPr>
          <w:rFonts w:hint="eastAsia" w:ascii="仿宋" w:hAnsi="仿宋" w:eastAsia="仿宋" w:cs="仿宋"/>
          <w:sz w:val="24"/>
          <w:szCs w:val="24"/>
        </w:rPr>
        <w:t> </w:t>
      </w:r>
    </w:p>
    <w:p w14:paraId="163FFCF0">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代理费收费金额（元）： </w:t>
      </w:r>
      <w:r>
        <w:rPr>
          <w:rStyle w:val="43"/>
          <w:rFonts w:hint="eastAsia" w:ascii="仿宋" w:hAnsi="仿宋" w:eastAsia="仿宋" w:cs="仿宋"/>
          <w:sz w:val="24"/>
          <w:szCs w:val="24"/>
        </w:rPr>
        <w:t>/</w:t>
      </w:r>
      <w:r>
        <w:rPr>
          <w:rFonts w:hint="eastAsia" w:ascii="仿宋" w:hAnsi="仿宋" w:eastAsia="仿宋" w:cs="仿宋"/>
          <w:sz w:val="24"/>
          <w:szCs w:val="24"/>
        </w:rPr>
        <w:t> </w:t>
      </w:r>
    </w:p>
    <w:bookmarkEnd w:id="33"/>
    <w:bookmarkEnd w:id="34"/>
    <w:bookmarkEnd w:id="35"/>
    <w:bookmarkEnd w:id="36"/>
    <w:bookmarkEnd w:id="37"/>
    <w:p w14:paraId="7505D5B6">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、凡对本次采购提出询问，请按以下方式联系。</w:t>
      </w:r>
    </w:p>
    <w:p w14:paraId="3578B455">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1.采购人信息            </w:t>
      </w:r>
    </w:p>
    <w:p w14:paraId="05733F33">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名称：清徐县城乡建设中心</w:t>
      </w:r>
    </w:p>
    <w:p w14:paraId="45E944C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地址：太原市清徐县文源路西段421号</w:t>
      </w:r>
    </w:p>
    <w:p w14:paraId="0760537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00" w:lineRule="auto"/>
        <w:ind w:firstLine="480" w:firstLineChars="200"/>
        <w:jc w:val="left"/>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联系方式：13453176667</w:t>
      </w:r>
    </w:p>
    <w:p w14:paraId="111BB85C">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2.采购代理机构信息            </w:t>
      </w:r>
    </w:p>
    <w:p w14:paraId="329F22F0">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名 称：</w:t>
      </w:r>
      <w:r>
        <w:rPr>
          <w:rStyle w:val="43"/>
          <w:rFonts w:hint="eastAsia" w:ascii="仿宋" w:hAnsi="仿宋" w:eastAsia="仿宋" w:cs="仿宋"/>
          <w:sz w:val="24"/>
          <w:szCs w:val="24"/>
        </w:rPr>
        <w:t>山西广宇工程咨询有限公司</w:t>
      </w:r>
      <w:r>
        <w:rPr>
          <w:rFonts w:hint="eastAsia" w:ascii="仿宋" w:hAnsi="仿宋" w:eastAsia="仿宋" w:cs="仿宋"/>
          <w:sz w:val="24"/>
          <w:szCs w:val="24"/>
        </w:rPr>
        <w:t>         </w:t>
      </w:r>
    </w:p>
    <w:p w14:paraId="418A5A56">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地 址：</w:t>
      </w:r>
      <w:r>
        <w:rPr>
          <w:rStyle w:val="43"/>
          <w:rFonts w:hint="eastAsia" w:ascii="仿宋" w:hAnsi="仿宋" w:eastAsia="仿宋" w:cs="仿宋"/>
          <w:sz w:val="24"/>
          <w:szCs w:val="24"/>
        </w:rPr>
        <w:t>太原市小店区南中环街企联大厦东区24层</w:t>
      </w:r>
      <w:r>
        <w:rPr>
          <w:rFonts w:hint="eastAsia" w:ascii="仿宋" w:hAnsi="仿宋" w:eastAsia="仿宋" w:cs="仿宋"/>
          <w:sz w:val="24"/>
          <w:szCs w:val="24"/>
        </w:rPr>
        <w:t>           </w:t>
      </w:r>
    </w:p>
    <w:p w14:paraId="1F42EE05">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联系方式：</w:t>
      </w:r>
      <w:r>
        <w:rPr>
          <w:rStyle w:val="43"/>
          <w:rFonts w:hint="eastAsia" w:ascii="仿宋" w:hAnsi="仿宋" w:eastAsia="仿宋" w:cs="仿宋"/>
          <w:sz w:val="24"/>
          <w:szCs w:val="24"/>
        </w:rPr>
        <w:t>0351-5619390、15383430800</w:t>
      </w:r>
      <w:r>
        <w:rPr>
          <w:rFonts w:hint="eastAsia" w:ascii="仿宋" w:hAnsi="仿宋" w:eastAsia="仿宋" w:cs="仿宋"/>
          <w:sz w:val="24"/>
          <w:szCs w:val="24"/>
        </w:rPr>
        <w:t>            </w:t>
      </w:r>
    </w:p>
    <w:p w14:paraId="2229FDC3">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3.项目联系方式    </w:t>
      </w:r>
    </w:p>
    <w:p w14:paraId="786C6D06">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Style w:val="43"/>
          <w:rFonts w:hint="eastAsia" w:ascii="仿宋" w:hAnsi="仿宋" w:eastAsia="仿宋" w:cs="仿宋"/>
          <w:sz w:val="24"/>
          <w:szCs w:val="24"/>
        </w:rPr>
        <w:t>王涛、席丽凤、武旗扬、刘方、周正</w:t>
      </w:r>
      <w:r>
        <w:rPr>
          <w:rFonts w:hint="eastAsia" w:ascii="仿宋" w:hAnsi="仿宋" w:eastAsia="仿宋" w:cs="仿宋"/>
          <w:sz w:val="24"/>
          <w:szCs w:val="24"/>
        </w:rPr>
        <w:t>   </w:t>
      </w:r>
    </w:p>
    <w:p w14:paraId="68DD87FF">
      <w:pPr>
        <w:pStyle w:val="25"/>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电 话：</w:t>
      </w:r>
      <w:r>
        <w:rPr>
          <w:rStyle w:val="43"/>
          <w:rFonts w:hint="eastAsia" w:ascii="仿宋" w:hAnsi="仿宋" w:eastAsia="仿宋" w:cs="仿宋"/>
          <w:sz w:val="24"/>
          <w:szCs w:val="24"/>
        </w:rPr>
        <w:t>0351-5619390、15383430800</w:t>
      </w:r>
      <w:r>
        <w:rPr>
          <w:rFonts w:hint="eastAsia" w:ascii="仿宋" w:hAnsi="仿宋" w:eastAsia="仿宋" w:cs="仿宋"/>
          <w:sz w:val="24"/>
          <w:szCs w:val="24"/>
        </w:rPr>
        <w:t>  </w:t>
      </w:r>
    </w:p>
    <w:p w14:paraId="529E5A34">
      <w:pPr>
        <w:pStyle w:val="27"/>
        <w:pageBreakBefore w:val="0"/>
        <w:kinsoku/>
        <w:bidi w:val="0"/>
        <w:spacing w:beforeAutospacing="0" w:afterAutospacing="0" w:line="360" w:lineRule="auto"/>
        <w:rPr>
          <w:rFonts w:hint="eastAsia" w:ascii="仿宋" w:hAnsi="仿宋" w:eastAsia="仿宋" w:cs="仿宋"/>
          <w:b/>
          <w:bCs/>
          <w:color w:val="auto"/>
          <w:kern w:val="44"/>
          <w:sz w:val="28"/>
          <w:szCs w:val="44"/>
        </w:rPr>
      </w:pPr>
      <w:r>
        <w:rPr>
          <w:rFonts w:hint="eastAsia" w:ascii="仿宋" w:hAnsi="仿宋" w:eastAsia="仿宋" w:cs="仿宋"/>
          <w:color w:val="auto"/>
        </w:rPr>
        <w:br w:type="page"/>
      </w:r>
    </w:p>
    <w:p w14:paraId="3118F033">
      <w:pPr>
        <w:pStyle w:val="66"/>
        <w:pageBreakBefore w:val="0"/>
        <w:kinsoku/>
        <w:bidi w:val="0"/>
        <w:adjustRightInd/>
        <w:spacing w:before="0" w:beforeAutospacing="0" w:after="0" w:afterAutospacing="0" w:line="360" w:lineRule="auto"/>
        <w:ind w:left="0" w:leftChars="0" w:firstLine="0" w:firstLineChars="0"/>
        <w:jc w:val="center"/>
        <w:textAlignment w:val="auto"/>
        <w:rPr>
          <w:rStyle w:val="51"/>
          <w:rFonts w:hint="eastAsia" w:ascii="仿宋" w:hAnsi="仿宋" w:eastAsia="仿宋" w:cs="仿宋"/>
          <w:b/>
          <w:bCs/>
          <w:color w:val="auto"/>
          <w:sz w:val="30"/>
          <w:szCs w:val="30"/>
          <w:lang w:val="en-US" w:eastAsia="zh-CN"/>
        </w:rPr>
      </w:pPr>
      <w:bookmarkStart w:id="38" w:name="_Toc3313"/>
      <w:bookmarkStart w:id="39" w:name="_Toc7093"/>
      <w:bookmarkStart w:id="40" w:name="_Toc20816"/>
      <w:r>
        <w:rPr>
          <w:rStyle w:val="51"/>
          <w:rFonts w:hint="eastAsia" w:ascii="仿宋" w:hAnsi="仿宋" w:eastAsia="仿宋" w:cs="仿宋"/>
          <w:b/>
          <w:bCs/>
          <w:color w:val="auto"/>
          <w:sz w:val="30"/>
          <w:szCs w:val="30"/>
          <w:lang w:val="en-US" w:eastAsia="zh-CN"/>
        </w:rPr>
        <w:t>第二部分  磋商供应商须知前附表</w:t>
      </w:r>
      <w:bookmarkEnd w:id="38"/>
      <w:bookmarkEnd w:id="39"/>
      <w:bookmarkEnd w:id="40"/>
    </w:p>
    <w:tbl>
      <w:tblPr>
        <w:tblStyle w:val="36"/>
        <w:tblW w:w="5008" w:type="pct"/>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799"/>
        <w:gridCol w:w="7064"/>
      </w:tblGrid>
      <w:tr w14:paraId="346E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79" w:type="pct"/>
            <w:vAlign w:val="center"/>
          </w:tcPr>
          <w:p w14:paraId="238FB331">
            <w:pPr>
              <w:pageBreakBefore w:val="0"/>
              <w:kinsoku/>
              <w:bidi w:val="0"/>
              <w:spacing w:beforeAutospacing="0" w:afterAutospacing="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937" w:type="pct"/>
            <w:vAlign w:val="center"/>
          </w:tcPr>
          <w:p w14:paraId="441351AA">
            <w:pPr>
              <w:pageBreakBefore w:val="0"/>
              <w:kinsoku/>
              <w:bidi w:val="0"/>
              <w:spacing w:beforeAutospacing="0" w:afterAutospacing="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内  容</w:t>
            </w:r>
          </w:p>
        </w:tc>
        <w:tc>
          <w:tcPr>
            <w:tcW w:w="3682" w:type="pct"/>
            <w:shd w:val="clear" w:color="auto" w:fill="auto"/>
            <w:vAlign w:val="center"/>
          </w:tcPr>
          <w:p w14:paraId="5DF00407">
            <w:pPr>
              <w:pageBreakBefore w:val="0"/>
              <w:kinsoku/>
              <w:bidi w:val="0"/>
              <w:spacing w:beforeAutospacing="0" w:afterAutospacing="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说明与要求</w:t>
            </w:r>
          </w:p>
        </w:tc>
      </w:tr>
      <w:tr w14:paraId="04AD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1" w:hRule="atLeast"/>
        </w:trPr>
        <w:tc>
          <w:tcPr>
            <w:tcW w:w="379" w:type="pct"/>
            <w:vAlign w:val="center"/>
          </w:tcPr>
          <w:p w14:paraId="5B8379A3">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37" w:type="pct"/>
            <w:vAlign w:val="center"/>
          </w:tcPr>
          <w:p w14:paraId="054F2510">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磋商供应商应具备的资格要求</w:t>
            </w:r>
          </w:p>
        </w:tc>
        <w:tc>
          <w:tcPr>
            <w:tcW w:w="3682" w:type="pct"/>
            <w:shd w:val="clear" w:color="auto" w:fill="auto"/>
            <w:vAlign w:val="center"/>
          </w:tcPr>
          <w:p w14:paraId="14ED30EA">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1、具备政府采购法第二十二条规定的条件：</w:t>
            </w:r>
          </w:p>
          <w:p w14:paraId="39FDA5FE">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①具有独立承担民事责任的能力；</w:t>
            </w:r>
          </w:p>
          <w:p w14:paraId="77FA7D74">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②具有良好的商业信誉和健全的财务会计制度；</w:t>
            </w:r>
          </w:p>
          <w:p w14:paraId="474BC1C5">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③具有履行合同所必需的设备和专业技术能力；</w:t>
            </w:r>
          </w:p>
          <w:p w14:paraId="40954AD8">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④有依法缴纳税收和社会保障资金的良好记录；</w:t>
            </w:r>
          </w:p>
          <w:p w14:paraId="1DC30280">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⑤参加政府采购活动前三年内，在经营活动中没有重大违法记录；</w:t>
            </w:r>
          </w:p>
          <w:p w14:paraId="046811A2">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⑥法律、行政法规规定的其他条件。</w:t>
            </w:r>
          </w:p>
          <w:p w14:paraId="022B7B8F">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2、本采购包是否接受联合体磋商：不接受</w:t>
            </w:r>
          </w:p>
          <w:p w14:paraId="53AB3172">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3、本采购包所需的其他特定资格条件：</w:t>
            </w:r>
          </w:p>
          <w:p w14:paraId="6B07D47F">
            <w:pPr>
              <w:pageBreakBefore w:val="0"/>
              <w:kinsoku/>
              <w:bidi w:val="0"/>
              <w:snapToGrid w:val="0"/>
              <w:spacing w:beforeAutospacing="0" w:afterAutospacing="0"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供应商须具备建设行政主管部门核发的市政公用工程监理乙级及以上资质或者工程监理综合资质，有效的营业执照，供应商拟派项目总监理工程师须具备市政公用工程专业国家级注册监理工程师</w:t>
            </w:r>
            <w:r>
              <w:rPr>
                <w:rFonts w:hint="eastAsia" w:ascii="仿宋" w:hAnsi="仿宋" w:eastAsia="仿宋" w:cs="仿宋"/>
                <w:color w:val="auto"/>
                <w:sz w:val="24"/>
                <w:szCs w:val="24"/>
                <w:highlight w:val="none"/>
                <w:lang w:val="en-US" w:eastAsia="zh-CN"/>
              </w:rPr>
              <w:t>执业</w:t>
            </w:r>
            <w:r>
              <w:rPr>
                <w:rFonts w:hint="eastAsia" w:ascii="仿宋" w:hAnsi="仿宋" w:eastAsia="仿宋" w:cs="仿宋"/>
                <w:color w:val="auto"/>
                <w:sz w:val="24"/>
                <w:szCs w:val="24"/>
                <w:highlight w:val="none"/>
                <w:lang w:val="zh-CN" w:eastAsia="zh-CN"/>
              </w:rPr>
              <w:t>资格</w:t>
            </w:r>
            <w:r>
              <w:rPr>
                <w:rFonts w:hint="eastAsia" w:ascii="仿宋" w:hAnsi="仿宋" w:eastAsia="仿宋" w:cs="仿宋"/>
                <w:color w:val="auto"/>
                <w:sz w:val="24"/>
                <w:szCs w:val="24"/>
                <w:highlight w:val="none"/>
                <w:lang w:val="en-US" w:eastAsia="zh-CN"/>
              </w:rPr>
              <w:t>。</w:t>
            </w:r>
          </w:p>
        </w:tc>
      </w:tr>
      <w:tr w14:paraId="1C3B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79" w:type="pct"/>
            <w:vAlign w:val="center"/>
          </w:tcPr>
          <w:p w14:paraId="0C72C53B">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937" w:type="pct"/>
            <w:vAlign w:val="center"/>
          </w:tcPr>
          <w:p w14:paraId="3AE22C6E">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是否专门面向</w:t>
            </w:r>
          </w:p>
          <w:p w14:paraId="365447A8">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中小企业采购</w:t>
            </w:r>
          </w:p>
        </w:tc>
        <w:tc>
          <w:tcPr>
            <w:tcW w:w="3682" w:type="pct"/>
            <w:shd w:val="clear" w:color="auto" w:fill="auto"/>
            <w:vAlign w:val="center"/>
          </w:tcPr>
          <w:p w14:paraId="33940C57">
            <w:pPr>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供应商为中小企业/小微企业。本项目专门面向中小企业，监狱企业、残疾人福利性单位视同小微企业。</w:t>
            </w:r>
          </w:p>
        </w:tc>
      </w:tr>
      <w:tr w14:paraId="3266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5FEDE0E5">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937" w:type="pct"/>
            <w:vAlign w:val="center"/>
          </w:tcPr>
          <w:p w14:paraId="11A3E49A">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本项目中小企业划分标准所属行业</w:t>
            </w:r>
          </w:p>
        </w:tc>
        <w:tc>
          <w:tcPr>
            <w:tcW w:w="3682" w:type="pct"/>
            <w:shd w:val="clear" w:color="auto" w:fill="auto"/>
            <w:vAlign w:val="center"/>
          </w:tcPr>
          <w:p w14:paraId="184A368B">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其他未列明行业</w:t>
            </w:r>
          </w:p>
        </w:tc>
      </w:tr>
      <w:tr w14:paraId="0927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79" w:type="pct"/>
            <w:vAlign w:val="center"/>
          </w:tcPr>
          <w:p w14:paraId="01A1C057">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937" w:type="pct"/>
            <w:vAlign w:val="center"/>
          </w:tcPr>
          <w:p w14:paraId="1C1BBE57">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w:t>
            </w:r>
          </w:p>
          <w:p w14:paraId="62B545D6">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（资格证明文件）</w:t>
            </w:r>
          </w:p>
        </w:tc>
        <w:tc>
          <w:tcPr>
            <w:tcW w:w="3682" w:type="pct"/>
            <w:shd w:val="clear" w:color="auto" w:fill="auto"/>
            <w:vAlign w:val="center"/>
          </w:tcPr>
          <w:p w14:paraId="012DB39D">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磋商供应商代表证明</w:t>
            </w:r>
          </w:p>
          <w:p w14:paraId="1F134526">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响应函</w:t>
            </w:r>
          </w:p>
          <w:p w14:paraId="4A3322BD">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供应商具有独立承担民事责任的能力的信用承诺书</w:t>
            </w:r>
          </w:p>
          <w:p w14:paraId="1E5484B5">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具有良好的商业信誉和健全的财务会计制度的信用承诺书</w:t>
            </w:r>
          </w:p>
          <w:p w14:paraId="298E7346">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具有履行合同所必需的设备和专业技术能力的信用承诺书</w:t>
            </w:r>
          </w:p>
          <w:p w14:paraId="469DE158">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具有依法缴纳税收和社会保障资金的良好记录的信用承诺书</w:t>
            </w:r>
          </w:p>
          <w:p w14:paraId="6F2276D7">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参加政府采购活动前三年内，在经营活动中没有重大违法记录</w:t>
            </w:r>
          </w:p>
          <w:p w14:paraId="2E54A672">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中小企业声明函</w:t>
            </w:r>
          </w:p>
          <w:p w14:paraId="49768BA9">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九、</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本项目要求的其他特定资格条件</w:t>
            </w:r>
          </w:p>
          <w:p w14:paraId="1BE409B1">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w:t>
            </w:r>
            <w:r>
              <w:rPr>
                <w:rFonts w:hint="eastAsia" w:ascii="仿宋" w:hAnsi="仿宋" w:eastAsia="仿宋" w:cs="仿宋"/>
                <w:color w:val="auto"/>
                <w:sz w:val="21"/>
                <w:szCs w:val="21"/>
              </w:rPr>
              <w:t>★</w:t>
            </w:r>
            <w:r>
              <w:rPr>
                <w:rFonts w:hint="eastAsia" w:ascii="仿宋" w:hAnsi="仿宋" w:eastAsia="仿宋" w:cs="仿宋"/>
                <w:color w:val="auto"/>
                <w:sz w:val="24"/>
                <w:szCs w:val="24"/>
                <w:lang w:val="en-US" w:eastAsia="zh-CN"/>
              </w:rPr>
              <w:t>磋商保证金的缴纳证明材料</w:t>
            </w:r>
          </w:p>
          <w:p w14:paraId="38181A0C">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说明：本项目将根据投标人提供的上述文件进行资格审查，具体资格审查内容及标准见</w:t>
            </w:r>
            <w:r>
              <w:rPr>
                <w:rFonts w:hint="eastAsia" w:ascii="仿宋" w:hAnsi="仿宋" w:eastAsia="仿宋" w:cs="仿宋"/>
                <w:color w:val="auto"/>
                <w:sz w:val="24"/>
                <w:szCs w:val="24"/>
                <w:lang w:val="en-US" w:eastAsia="zh-CN"/>
              </w:rPr>
              <w:t>磋商文件</w:t>
            </w: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部分。</w:t>
            </w:r>
          </w:p>
        </w:tc>
      </w:tr>
      <w:tr w14:paraId="2E8C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1A078333">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937" w:type="pct"/>
            <w:vAlign w:val="center"/>
          </w:tcPr>
          <w:p w14:paraId="70CD315C">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w:t>
            </w:r>
          </w:p>
          <w:p w14:paraId="5136DB42">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（商务技术文件）</w:t>
            </w:r>
          </w:p>
        </w:tc>
        <w:tc>
          <w:tcPr>
            <w:tcW w:w="3682" w:type="pct"/>
            <w:shd w:val="clear" w:color="auto" w:fill="auto"/>
            <w:vAlign w:val="center"/>
          </w:tcPr>
          <w:p w14:paraId="76F326AC">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涉及的格式资料详见</w:t>
            </w:r>
            <w:r>
              <w:rPr>
                <w:rFonts w:hint="eastAsia" w:ascii="仿宋" w:hAnsi="仿宋" w:eastAsia="仿宋" w:cs="仿宋"/>
                <w:color w:val="auto"/>
                <w:sz w:val="24"/>
                <w:szCs w:val="24"/>
                <w:lang w:val="en-US" w:eastAsia="zh-CN"/>
              </w:rPr>
              <w:t>磋商文件</w:t>
            </w: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部分；</w:t>
            </w:r>
          </w:p>
        </w:tc>
      </w:tr>
      <w:tr w14:paraId="279D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006DCBF5">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937" w:type="pct"/>
            <w:vAlign w:val="center"/>
          </w:tcPr>
          <w:p w14:paraId="6A734161">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磋商时间和地点</w:t>
            </w:r>
          </w:p>
        </w:tc>
        <w:tc>
          <w:tcPr>
            <w:tcW w:w="3682" w:type="pct"/>
            <w:shd w:val="clear" w:color="auto" w:fill="auto"/>
            <w:vAlign w:val="center"/>
          </w:tcPr>
          <w:p w14:paraId="02EF1F2F">
            <w:pPr>
              <w:pageBreakBefore w:val="0"/>
              <w:kinsoku/>
              <w:bidi w:val="0"/>
              <w:spacing w:beforeAutospacing="0" w:afterAutospacing="0" w:line="360" w:lineRule="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磋商</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2026年</w:t>
            </w:r>
            <w:r>
              <w:rPr>
                <w:rFonts w:hint="eastAsia" w:ascii="仿宋" w:hAnsi="仿宋" w:eastAsia="仿宋" w:cs="仿宋"/>
                <w:color w:val="auto"/>
                <w:sz w:val="24"/>
                <w:szCs w:val="24"/>
                <w:highlight w:val="none"/>
                <w:u w:val="single"/>
                <w:lang w:val="en-US" w:eastAsia="zh-CN"/>
              </w:rPr>
              <w:t>01</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lang w:val="en-US" w:eastAsia="zh-CN"/>
              </w:rPr>
              <w:t>日15时00分</w:t>
            </w:r>
          </w:p>
          <w:p w14:paraId="7BCB2D57">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磋商地点：</w:t>
            </w:r>
            <w:r>
              <w:rPr>
                <w:rFonts w:hint="eastAsia" w:ascii="仿宋" w:hAnsi="仿宋" w:eastAsia="仿宋" w:cs="仿宋"/>
                <w:color w:val="auto"/>
                <w:sz w:val="24"/>
                <w:szCs w:val="24"/>
                <w:lang w:val="en-US" w:eastAsia="zh-CN"/>
              </w:rPr>
              <w:t>山西政采云平台线上</w:t>
            </w:r>
          </w:p>
        </w:tc>
      </w:tr>
      <w:tr w14:paraId="41DF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68DF3730">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937" w:type="pct"/>
            <w:vAlign w:val="center"/>
          </w:tcPr>
          <w:p w14:paraId="51BAE974">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采用的磋商评分方法</w:t>
            </w:r>
          </w:p>
        </w:tc>
        <w:tc>
          <w:tcPr>
            <w:tcW w:w="3682" w:type="pct"/>
            <w:shd w:val="clear" w:color="auto" w:fill="auto"/>
            <w:vAlign w:val="center"/>
          </w:tcPr>
          <w:p w14:paraId="3ED24231">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综合评分法</w:t>
            </w:r>
          </w:p>
        </w:tc>
      </w:tr>
      <w:tr w14:paraId="0A04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3638B5C5">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937" w:type="pct"/>
            <w:vAlign w:val="center"/>
          </w:tcPr>
          <w:p w14:paraId="2300E03C">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磋商小组的组建</w:t>
            </w:r>
          </w:p>
        </w:tc>
        <w:tc>
          <w:tcPr>
            <w:tcW w:w="3682" w:type="pct"/>
            <w:shd w:val="clear" w:color="auto" w:fill="auto"/>
            <w:vAlign w:val="center"/>
          </w:tcPr>
          <w:p w14:paraId="3D161782">
            <w:pPr>
              <w:pageBreakBefore w:val="0"/>
              <w:kinsoku/>
              <w:bidi w:val="0"/>
              <w:spacing w:beforeAutospacing="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磋商小组构</w:t>
            </w:r>
            <w:r>
              <w:rPr>
                <w:rFonts w:hint="eastAsia" w:ascii="仿宋" w:hAnsi="仿宋" w:eastAsia="仿宋" w:cs="仿宋"/>
                <w:color w:val="auto"/>
                <w:sz w:val="24"/>
                <w:szCs w:val="24"/>
                <w:highlight w:val="none"/>
              </w:rPr>
              <w:t>成：</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其中采购人代表1人，专家2人</w:t>
            </w:r>
          </w:p>
          <w:p w14:paraId="275FD53B">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磋商评审专家确定方式：</w:t>
            </w:r>
            <w:r>
              <w:rPr>
                <w:rFonts w:hint="eastAsia" w:ascii="仿宋" w:hAnsi="仿宋" w:eastAsia="仿宋" w:cs="仿宋"/>
                <w:sz w:val="24"/>
              </w:rPr>
              <w:t>从山西省财政厅专家库管理系统中随机抽取</w:t>
            </w:r>
            <w:r>
              <w:rPr>
                <w:rFonts w:hint="eastAsia" w:ascii="仿宋" w:hAnsi="仿宋" w:eastAsia="仿宋" w:cs="仿宋"/>
                <w:color w:val="auto"/>
                <w:sz w:val="24"/>
                <w:szCs w:val="24"/>
              </w:rPr>
              <w:t>。</w:t>
            </w:r>
          </w:p>
        </w:tc>
      </w:tr>
      <w:tr w14:paraId="25C3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00CCC8BD">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937" w:type="pct"/>
            <w:vAlign w:val="center"/>
          </w:tcPr>
          <w:p w14:paraId="39AC06C0">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授权磋商小组确定成交人</w:t>
            </w:r>
          </w:p>
        </w:tc>
        <w:tc>
          <w:tcPr>
            <w:tcW w:w="3682" w:type="pct"/>
            <w:shd w:val="clear" w:color="auto" w:fill="auto"/>
            <w:vAlign w:val="center"/>
          </w:tcPr>
          <w:p w14:paraId="4236C22C">
            <w:pPr>
              <w:pageBreakBefore w:val="0"/>
              <w:kinsoku/>
              <w:bidi w:val="0"/>
              <w:spacing w:beforeAutospacing="0" w:afterAutospacing="0"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是</w:t>
            </w:r>
            <w:r>
              <w:rPr>
                <w:rFonts w:hint="eastAsia" w:ascii="仿宋" w:hAnsi="仿宋" w:eastAsia="仿宋" w:cs="仿宋"/>
                <w:color w:val="auto"/>
                <w:sz w:val="24"/>
                <w:szCs w:val="24"/>
                <w:lang w:eastAsia="zh-CN"/>
              </w:rPr>
              <w:t>。</w:t>
            </w:r>
          </w:p>
        </w:tc>
      </w:tr>
      <w:tr w14:paraId="42D8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8" w:hRule="atLeast"/>
        </w:trPr>
        <w:tc>
          <w:tcPr>
            <w:tcW w:w="379" w:type="pct"/>
            <w:vAlign w:val="center"/>
          </w:tcPr>
          <w:p w14:paraId="77FBAF32">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937" w:type="pct"/>
            <w:vAlign w:val="center"/>
          </w:tcPr>
          <w:p w14:paraId="77FA38C3">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磋商保证金</w:t>
            </w:r>
          </w:p>
          <w:p w14:paraId="457B5B71">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金额</w:t>
            </w:r>
          </w:p>
        </w:tc>
        <w:tc>
          <w:tcPr>
            <w:tcW w:w="3682" w:type="pct"/>
            <w:shd w:val="clear" w:color="auto" w:fill="auto"/>
            <w:vAlign w:val="center"/>
          </w:tcPr>
          <w:p w14:paraId="772C468E">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val="en-US" w:eastAsia="zh-CN"/>
              </w:rPr>
              <w:t>采购包</w:t>
            </w:r>
            <w:r>
              <w:rPr>
                <w:rFonts w:hint="eastAsia" w:ascii="仿宋" w:hAnsi="仿宋" w:eastAsia="仿宋" w:cs="仿宋"/>
                <w:color w:val="auto"/>
                <w:sz w:val="24"/>
                <w:szCs w:val="24"/>
              </w:rPr>
              <w:t>不要求提交</w:t>
            </w:r>
            <w:r>
              <w:rPr>
                <w:rFonts w:hint="eastAsia" w:ascii="仿宋" w:hAnsi="仿宋" w:eastAsia="仿宋" w:cs="仿宋"/>
                <w:color w:val="auto"/>
                <w:sz w:val="24"/>
                <w:szCs w:val="24"/>
                <w:lang w:val="en-US" w:eastAsia="zh-CN"/>
              </w:rPr>
              <w:t>磋商保证金</w:t>
            </w:r>
            <w:r>
              <w:rPr>
                <w:rFonts w:hint="eastAsia" w:ascii="仿宋" w:hAnsi="仿宋" w:eastAsia="仿宋" w:cs="仿宋"/>
                <w:color w:val="auto"/>
                <w:sz w:val="24"/>
                <w:szCs w:val="24"/>
              </w:rPr>
              <w:t>。</w:t>
            </w:r>
          </w:p>
          <w:p w14:paraId="10A52BA2">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w:t>
            </w:r>
            <w:r>
              <w:rPr>
                <w:rFonts w:hint="eastAsia" w:ascii="仿宋" w:hAnsi="仿宋" w:eastAsia="仿宋" w:cs="仿宋"/>
                <w:color w:val="auto"/>
                <w:sz w:val="24"/>
                <w:szCs w:val="24"/>
                <w:lang w:val="en-US" w:eastAsia="zh-CN"/>
              </w:rPr>
              <w:t>采购包</w:t>
            </w:r>
            <w:r>
              <w:rPr>
                <w:rFonts w:hint="eastAsia" w:ascii="仿宋" w:hAnsi="仿宋" w:eastAsia="仿宋" w:cs="仿宋"/>
                <w:color w:val="auto"/>
                <w:sz w:val="24"/>
                <w:szCs w:val="24"/>
              </w:rPr>
              <w:t>要求提交</w:t>
            </w:r>
            <w:r>
              <w:rPr>
                <w:rFonts w:hint="eastAsia" w:ascii="仿宋" w:hAnsi="仿宋" w:eastAsia="仿宋" w:cs="仿宋"/>
                <w:color w:val="auto"/>
                <w:sz w:val="24"/>
                <w:szCs w:val="24"/>
                <w:lang w:val="en-US" w:eastAsia="zh-CN"/>
              </w:rPr>
              <w:t>磋商保证金</w:t>
            </w:r>
            <w:r>
              <w:rPr>
                <w:rFonts w:hint="eastAsia" w:ascii="仿宋" w:hAnsi="仿宋" w:eastAsia="仿宋" w:cs="仿宋"/>
                <w:color w:val="auto"/>
                <w:sz w:val="24"/>
                <w:szCs w:val="24"/>
              </w:rPr>
              <w:t>。</w:t>
            </w:r>
          </w:p>
          <w:p w14:paraId="5FE3AA5E">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1、磋商保证金</w:t>
            </w:r>
            <w:r>
              <w:rPr>
                <w:rFonts w:hint="eastAsia" w:ascii="仿宋" w:hAnsi="仿宋" w:eastAsia="仿宋" w:cs="仿宋"/>
                <w:color w:val="auto"/>
                <w:sz w:val="24"/>
                <w:szCs w:val="24"/>
              </w:rPr>
              <w:t>的金额：</w:t>
            </w:r>
            <w:r>
              <w:rPr>
                <w:rFonts w:hint="eastAsia" w:ascii="仿宋" w:hAnsi="仿宋" w:eastAsia="仿宋" w:cs="仿宋"/>
                <w:color w:val="auto"/>
                <w:sz w:val="24"/>
                <w:szCs w:val="24"/>
                <w:highlight w:val="none"/>
                <w:lang w:val="en-US" w:eastAsia="zh-CN"/>
              </w:rPr>
              <w:t>5000元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伍仟</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val="en-US" w:eastAsia="zh-CN"/>
              </w:rPr>
              <w:t>整</w:t>
            </w:r>
            <w:r>
              <w:rPr>
                <w:rFonts w:hint="eastAsia" w:ascii="仿宋" w:hAnsi="仿宋" w:eastAsia="仿宋" w:cs="仿宋"/>
                <w:color w:val="auto"/>
                <w:sz w:val="24"/>
                <w:szCs w:val="24"/>
                <w:highlight w:val="none"/>
              </w:rPr>
              <w:t>）</w:t>
            </w:r>
          </w:p>
          <w:p w14:paraId="5FBD4F05">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2、保证金形式：转帐</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电汇、支票、汇票或保函</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自主选择银行转账或保函方式缴纳保证金，如选择保函，保单保函获取成功的时间须为所投项目保证金缴纳截止时间前。</w:t>
            </w:r>
            <w:r>
              <w:rPr>
                <w:rFonts w:hint="eastAsia" w:ascii="仿宋" w:hAnsi="仿宋" w:eastAsia="仿宋" w:cs="仿宋"/>
                <w:color w:val="auto"/>
                <w:sz w:val="24"/>
                <w:szCs w:val="24"/>
                <w:lang w:eastAsia="zh-CN"/>
              </w:rPr>
              <w:t>）</w:t>
            </w:r>
          </w:p>
          <w:p w14:paraId="2765EA68">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账户信息：</w:t>
            </w:r>
          </w:p>
          <w:p w14:paraId="43D5F6C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收款单位：山西广宇工程咨询有限公司</w:t>
            </w:r>
          </w:p>
          <w:p w14:paraId="77B74EF1">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开户银行：建行太原学府街支行（或分理处）</w:t>
            </w:r>
          </w:p>
          <w:p w14:paraId="2428CECB">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开户账号：1400 1826 0080 5001 4916</w:t>
            </w:r>
            <w:r>
              <w:rPr>
                <w:rFonts w:hint="eastAsia" w:ascii="仿宋" w:hAnsi="仿宋" w:eastAsia="仿宋" w:cs="仿宋"/>
                <w:sz w:val="24"/>
                <w:szCs w:val="21"/>
              </w:rPr>
              <w:tab/>
            </w:r>
          </w:p>
          <w:p w14:paraId="7E708A3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行    号：1051 6100 5026</w:t>
            </w:r>
            <w:r>
              <w:rPr>
                <w:rFonts w:hint="eastAsia" w:ascii="仿宋" w:hAnsi="仿宋" w:eastAsia="仿宋" w:cs="仿宋"/>
                <w:sz w:val="24"/>
                <w:szCs w:val="21"/>
              </w:rPr>
              <w:tab/>
            </w:r>
          </w:p>
          <w:p w14:paraId="2695CE97">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（2）保函：提供针对本项目且满足保证金金额的由金融机构或担保机构出具</w:t>
            </w:r>
            <w:r>
              <w:rPr>
                <w:rFonts w:hint="eastAsia" w:ascii="仿宋" w:hAnsi="仿宋" w:eastAsia="仿宋" w:cs="仿宋"/>
                <w:color w:val="auto"/>
                <w:sz w:val="24"/>
                <w:szCs w:val="24"/>
              </w:rPr>
              <w:t>的保函。</w:t>
            </w:r>
          </w:p>
        </w:tc>
      </w:tr>
      <w:tr w14:paraId="0A8B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133B46C7">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937" w:type="pct"/>
            <w:vAlign w:val="center"/>
          </w:tcPr>
          <w:p w14:paraId="63D76687">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3682" w:type="pct"/>
            <w:shd w:val="clear" w:color="auto" w:fill="auto"/>
            <w:vAlign w:val="center"/>
          </w:tcPr>
          <w:p w14:paraId="2695E869">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90日历天（从提交响应文件</w:t>
            </w:r>
            <w:r>
              <w:rPr>
                <w:rFonts w:hint="eastAsia" w:ascii="仿宋" w:hAnsi="仿宋" w:eastAsia="仿宋" w:cs="仿宋"/>
                <w:color w:val="auto"/>
                <w:sz w:val="24"/>
                <w:szCs w:val="24"/>
                <w:lang w:val="en-US" w:eastAsia="zh-CN"/>
              </w:rPr>
              <w:t>截止</w:t>
            </w:r>
            <w:r>
              <w:rPr>
                <w:rFonts w:hint="eastAsia" w:ascii="仿宋" w:hAnsi="仿宋" w:eastAsia="仿宋" w:cs="仿宋"/>
                <w:color w:val="auto"/>
                <w:sz w:val="24"/>
                <w:szCs w:val="24"/>
              </w:rPr>
              <w:t>之日起计算）</w:t>
            </w:r>
          </w:p>
        </w:tc>
      </w:tr>
      <w:tr w14:paraId="73A0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09BB136E">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937" w:type="pct"/>
            <w:vAlign w:val="center"/>
          </w:tcPr>
          <w:p w14:paraId="1B577F58">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w:t>
            </w:r>
          </w:p>
          <w:p w14:paraId="7C64DAAB">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相关政策要求</w:t>
            </w:r>
          </w:p>
          <w:p w14:paraId="4B46AB1D">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（如涉及的话）</w:t>
            </w:r>
          </w:p>
        </w:tc>
        <w:tc>
          <w:tcPr>
            <w:tcW w:w="3682" w:type="pct"/>
            <w:shd w:val="clear" w:color="auto" w:fill="auto"/>
            <w:vAlign w:val="center"/>
          </w:tcPr>
          <w:p w14:paraId="35538367">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1、涉及节能、环保产品的</w:t>
            </w:r>
          </w:p>
          <w:p w14:paraId="7C69A983">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5F1344CA">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2、涉及正版软件的</w:t>
            </w:r>
          </w:p>
          <w:p w14:paraId="0FB84D4E">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本项目所采购的货物中如包含计算机，必须预装正版操作系统软件产品；所采购的其它软件必须为正版软件。</w:t>
            </w:r>
          </w:p>
          <w:p w14:paraId="722795F3">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3、涉及信息安全产品的</w:t>
            </w:r>
          </w:p>
          <w:p w14:paraId="288CBF46">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4E262289">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4、涉及小型、微型企业参加评审的</w:t>
            </w:r>
          </w:p>
          <w:p w14:paraId="77044861">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涉及小型、微型企业参加评审的根据《山西省财政厅关于进一步加大政府采购支持中小企业力度助力扎实稳住经济的通知》晋财购〔2022〕6号的规定，各采购单位对于非专门面向中小企业采购的政府采购项目或者采购包，要在采购需求编制审查中予以明确，对符合规定的小微企业报价给予一定比例的扣除，用扣除后的价格参加评审。对于非专门面向中小企业采购的政府采购项目或者采购包，货物服务采购项目给予小微企业的价格扣除优惠为15%，采用大中型企业与小微企业组成联合体或者大中型企业向小微企业分包采购合同的，评审优惠幅度为5%。政府采购工程项目给予小微企业的价格扣除优惠为3%或者在原报价得分的基础上增加其价格得分的3%，采用大中型企业与小微企业组成联合体或者大中型企业向小微企业分包采购合同的，评审优惠幅度为1%或者在原报价得分的基础上增加其价格得分的1%。</w:t>
            </w:r>
          </w:p>
          <w:p w14:paraId="61150DC0">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涉及残疾人福利性单位参加评审的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637D5E49">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注：残疾人福利性单位属于小型、微型企业的，不重复享受政策。</w:t>
            </w:r>
          </w:p>
          <w:p w14:paraId="0BE215D6">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享受政府采购支持政策的残疾人福利性单位应当同时满足以下条件：</w:t>
            </w:r>
          </w:p>
          <w:p w14:paraId="72E45A74">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A.安置的残疾人占本单位在职职工人数的比例不低于25%（含25%），并且安置的残疾人人数不少于10人（含10人）；</w:t>
            </w:r>
          </w:p>
          <w:p w14:paraId="23768E1C">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B.依法与安置的每位残疾人签订了一年以上（含一年）的劳动合同或服务协议；</w:t>
            </w:r>
          </w:p>
          <w:p w14:paraId="2DB3D110">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C.为安置的每位残疾人按月足额缴纳了基本养老保险、基本医疗保险、失业保险、工伤保险和生育保险等社会保险费；</w:t>
            </w:r>
          </w:p>
          <w:p w14:paraId="6E928391">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D.通过银行等金融机构向安置的每位残疾人，按月支付了不低于单位所在区县适用的经省级人民政府批准的月最低工资标准的工资；</w:t>
            </w:r>
          </w:p>
          <w:p w14:paraId="3B84691F">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E．提供本单位制造的货物、承担的工程或者服务（以下简称产品），或者提供其他残疾人福利性单位制造的货物（不包括使用非残疾人福利性单位注册商标的货物）。</w:t>
            </w:r>
          </w:p>
          <w:p w14:paraId="1D422AE4">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4E2CEED">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6、涉及监狱企业参加评审的</w:t>
            </w:r>
          </w:p>
          <w:p w14:paraId="0A8934BA">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1132234D">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注：（1）监狱企业又属于小型、微型企业的，不重复享受政策。</w:t>
            </w:r>
          </w:p>
          <w:p w14:paraId="54E99BE7">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监狱企业证明文件［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tc>
      </w:tr>
      <w:tr w14:paraId="7B7A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71D39213">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937" w:type="pct"/>
            <w:vAlign w:val="center"/>
          </w:tcPr>
          <w:p w14:paraId="6A5358FE">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代理服务费</w:t>
            </w:r>
          </w:p>
        </w:tc>
        <w:tc>
          <w:tcPr>
            <w:tcW w:w="3682" w:type="pct"/>
            <w:shd w:val="clear" w:color="auto" w:fill="auto"/>
            <w:vAlign w:val="center"/>
          </w:tcPr>
          <w:p w14:paraId="03CAEF6E">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sz w:val="24"/>
              </w:rPr>
              <w:t>成交服务费由成交供应商交纳，成交服务费参照计价格〔2002〕1980号文和国家发展改革委办公厅关于代理服务收费有关问题的通知（发改办价格〔2003〕857号）及国家发展和改革委员会文件发改价格〔2011〕534号文件的相关规定，以成交金额为基数，用差额累进计费方式计算。</w:t>
            </w:r>
          </w:p>
        </w:tc>
      </w:tr>
      <w:tr w14:paraId="2E69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220E3D28">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937" w:type="pct"/>
            <w:vAlign w:val="center"/>
          </w:tcPr>
          <w:p w14:paraId="607EB18E">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现场</w:t>
            </w:r>
            <w:r>
              <w:rPr>
                <w:rFonts w:hint="eastAsia" w:ascii="仿宋" w:hAnsi="仿宋" w:eastAsia="仿宋" w:cs="仿宋"/>
                <w:color w:val="auto"/>
                <w:sz w:val="24"/>
                <w:szCs w:val="24"/>
                <w:lang w:val="en-US" w:eastAsia="zh-CN"/>
              </w:rPr>
              <w:t>踏勘</w:t>
            </w:r>
          </w:p>
        </w:tc>
        <w:tc>
          <w:tcPr>
            <w:tcW w:w="3682" w:type="pct"/>
            <w:shd w:val="clear" w:color="auto" w:fill="auto"/>
            <w:vAlign w:val="center"/>
          </w:tcPr>
          <w:p w14:paraId="04DADE38">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不组织</w:t>
            </w:r>
          </w:p>
        </w:tc>
      </w:tr>
      <w:tr w14:paraId="270A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76FD760C">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937" w:type="pct"/>
            <w:vAlign w:val="center"/>
          </w:tcPr>
          <w:p w14:paraId="3C48D847">
            <w:pPr>
              <w:pageBreakBefore w:val="0"/>
              <w:kinsoku/>
              <w:bidi w:val="0"/>
              <w:spacing w:beforeAutospacing="0" w:afterAutospacing="0"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标前答疑</w:t>
            </w:r>
          </w:p>
        </w:tc>
        <w:tc>
          <w:tcPr>
            <w:tcW w:w="3682" w:type="pct"/>
            <w:shd w:val="clear" w:color="auto" w:fill="auto"/>
            <w:vAlign w:val="center"/>
          </w:tcPr>
          <w:p w14:paraId="0F0F6D52">
            <w:pPr>
              <w:pageBreakBefore w:val="0"/>
              <w:kinsoku/>
              <w:bidi w:val="0"/>
              <w:spacing w:beforeAutospacing="0" w:afterAutospacing="0"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不组织</w:t>
            </w:r>
          </w:p>
        </w:tc>
      </w:tr>
      <w:tr w14:paraId="2716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9" w:type="pct"/>
            <w:vAlign w:val="center"/>
          </w:tcPr>
          <w:p w14:paraId="0D360900">
            <w:pPr>
              <w:pageBreakBefore w:val="0"/>
              <w:kinsoku/>
              <w:bidi w:val="0"/>
              <w:spacing w:beforeAutospacing="0" w:afterAutospacing="0"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799" w:type="dxa"/>
            <w:vAlign w:val="center"/>
          </w:tcPr>
          <w:p w14:paraId="7170839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sz w:val="24"/>
              </w:rPr>
              <w:t>异常低价的管理要求</w:t>
            </w:r>
          </w:p>
        </w:tc>
        <w:tc>
          <w:tcPr>
            <w:tcW w:w="7064" w:type="dxa"/>
            <w:shd w:val="clear" w:color="auto" w:fill="auto"/>
            <w:vAlign w:val="center"/>
          </w:tcPr>
          <w:p w14:paraId="050FC84A">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rPr>
              <w:t>根据财库(2026)2号关于异常低价的管理要求，政府采购评审中出现下列</w:t>
            </w:r>
            <w:r>
              <w:rPr>
                <w:rFonts w:hint="eastAsia" w:ascii="仿宋" w:hAnsi="仿宋" w:eastAsia="仿宋" w:cs="仿宋"/>
                <w:sz w:val="24"/>
                <w:lang w:val="en-US" w:eastAsia="zh-CN"/>
              </w:rPr>
              <w:t>情形之一的，评审委员会应当启动异常低价投标(响应)审查程序:</w:t>
            </w:r>
          </w:p>
          <w:p w14:paraId="51EFBD30">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1.投标（响应）报价低于全部通过符合性审查供应商投标（响应）报价平均值50%的，即投标（响应）报价&lt;全部通过符合性审查供应商投标（响应）报价平均值×50%；</w:t>
            </w:r>
          </w:p>
          <w:p w14:paraId="14D74DF1">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2.投标（响应）报价低于通过符合性审查的次低报价供应商投标（响应）报价50%的，即投标（响应）报价&lt;通过符合性审查的次低报价供应商投标（响应）报价×50%；</w:t>
            </w:r>
          </w:p>
          <w:p w14:paraId="5F6375CA">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3.投标（响应）报价低于采购项目最高限价45%的，即投标（响应）报价&lt;采购项目最高限价×45%；</w:t>
            </w:r>
          </w:p>
          <w:p w14:paraId="40C650C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rPr>
            </w:pPr>
            <w:r>
              <w:rPr>
                <w:rFonts w:hint="default" w:ascii="仿宋" w:hAnsi="仿宋" w:eastAsia="仿宋" w:cs="仿宋"/>
                <w:sz w:val="24"/>
                <w:lang w:val="en-US" w:eastAsia="zh-CN"/>
              </w:rPr>
              <w:t>4.评审委员会基于专业判断，认为供应商报价过低，有可能影响产品质量或者不能诚信履约的其他情形。</w:t>
            </w:r>
          </w:p>
        </w:tc>
      </w:tr>
    </w:tbl>
    <w:p w14:paraId="05BF90DA">
      <w:pPr>
        <w:pageBreakBefore w:val="0"/>
        <w:kinsoku/>
        <w:bidi w:val="0"/>
        <w:spacing w:beforeAutospacing="0" w:afterAutospacing="0" w:line="360" w:lineRule="auto"/>
        <w:rPr>
          <w:rFonts w:hint="eastAsia" w:ascii="仿宋" w:hAnsi="仿宋" w:eastAsia="仿宋" w:cs="仿宋"/>
          <w:color w:val="auto"/>
          <w:sz w:val="21"/>
          <w:szCs w:val="21"/>
        </w:rPr>
      </w:pPr>
    </w:p>
    <w:p w14:paraId="5019DAE5">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注：本表内容与磋商供应商须知内容不一致的，以本表内容为准。</w:t>
      </w:r>
    </w:p>
    <w:p w14:paraId="28315208">
      <w:pPr>
        <w:pageBreakBefore w:val="0"/>
        <w:kinsoku/>
        <w:bidi w:val="0"/>
        <w:spacing w:beforeAutospacing="0" w:afterAutospacing="0" w:line="360" w:lineRule="auto"/>
        <w:rPr>
          <w:rFonts w:hint="eastAsia" w:ascii="仿宋" w:hAnsi="仿宋" w:eastAsia="仿宋" w:cs="仿宋"/>
          <w:color w:val="auto"/>
        </w:rPr>
      </w:pPr>
      <w:r>
        <w:rPr>
          <w:rFonts w:hint="eastAsia" w:ascii="仿宋" w:hAnsi="仿宋" w:eastAsia="仿宋" w:cs="仿宋"/>
          <w:color w:val="auto"/>
        </w:rPr>
        <w:br w:type="page"/>
      </w:r>
    </w:p>
    <w:p w14:paraId="756E067A">
      <w:pPr>
        <w:pStyle w:val="66"/>
        <w:pageBreakBefore w:val="0"/>
        <w:kinsoku/>
        <w:bidi w:val="0"/>
        <w:adjustRightInd/>
        <w:spacing w:before="0" w:beforeAutospacing="0" w:after="0" w:afterAutospacing="0" w:line="360" w:lineRule="auto"/>
        <w:ind w:left="0" w:leftChars="0" w:firstLine="0" w:firstLineChars="0"/>
        <w:jc w:val="center"/>
        <w:textAlignment w:val="auto"/>
        <w:rPr>
          <w:rStyle w:val="51"/>
          <w:rFonts w:hint="eastAsia" w:ascii="仿宋" w:hAnsi="仿宋" w:eastAsia="仿宋" w:cs="仿宋"/>
          <w:b/>
          <w:bCs/>
          <w:color w:val="auto"/>
          <w:sz w:val="30"/>
          <w:szCs w:val="30"/>
          <w:lang w:val="en-US" w:eastAsia="zh-CN"/>
        </w:rPr>
      </w:pPr>
      <w:bookmarkStart w:id="41" w:name="_Toc9489"/>
      <w:bookmarkStart w:id="42" w:name="_Toc32312"/>
      <w:bookmarkStart w:id="43" w:name="_Toc24636"/>
      <w:r>
        <w:rPr>
          <w:rStyle w:val="51"/>
          <w:rFonts w:hint="eastAsia" w:ascii="仿宋" w:hAnsi="仿宋" w:eastAsia="仿宋" w:cs="仿宋"/>
          <w:b/>
          <w:bCs/>
          <w:color w:val="auto"/>
          <w:sz w:val="30"/>
          <w:szCs w:val="30"/>
          <w:lang w:val="en-US" w:eastAsia="zh-CN"/>
        </w:rPr>
        <w:t>第三部分  磋商供应商须知</w:t>
      </w:r>
      <w:bookmarkEnd w:id="41"/>
      <w:bookmarkEnd w:id="42"/>
      <w:bookmarkEnd w:id="43"/>
    </w:p>
    <w:p w14:paraId="1FE4CB6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1"/>
        <w:rPr>
          <w:rFonts w:hint="eastAsia" w:ascii="仿宋" w:hAnsi="仿宋" w:eastAsia="仿宋" w:cs="仿宋"/>
          <w:b/>
          <w:bCs/>
          <w:color w:val="auto"/>
          <w:sz w:val="21"/>
          <w:szCs w:val="21"/>
        </w:rPr>
      </w:pPr>
      <w:bookmarkStart w:id="44" w:name="_Toc71900456"/>
      <w:bookmarkStart w:id="45" w:name="_Toc7913"/>
      <w:r>
        <w:rPr>
          <w:rFonts w:hint="eastAsia" w:ascii="仿宋" w:hAnsi="仿宋" w:eastAsia="仿宋" w:cs="仿宋"/>
          <w:b/>
          <w:bCs/>
          <w:color w:val="auto"/>
          <w:sz w:val="21"/>
          <w:szCs w:val="21"/>
        </w:rPr>
        <w:t>一、总则</w:t>
      </w:r>
      <w:bookmarkEnd w:id="44"/>
      <w:bookmarkEnd w:id="45"/>
    </w:p>
    <w:p w14:paraId="02ECC41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rPr>
        <w:t>1. 适用范围</w:t>
      </w:r>
    </w:p>
    <w:p w14:paraId="684BEB3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本磋商文件适用于本次磋商活动的全过程。</w:t>
      </w:r>
    </w:p>
    <w:p w14:paraId="5EC9F9C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rPr>
        <w:t>2. 定义</w:t>
      </w:r>
    </w:p>
    <w:p w14:paraId="37169D2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2.1“采购人”指本次招标活动的采购单位。</w:t>
      </w:r>
    </w:p>
    <w:p w14:paraId="431EABF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2.2“采购代理机构”指组织本次招标活动的执行机构。</w:t>
      </w:r>
    </w:p>
    <w:p w14:paraId="5235E91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2.3“供应商”指符合本磋商文件规定并向采购代理机构提交响应文件的供应商。</w:t>
      </w:r>
    </w:p>
    <w:p w14:paraId="143A981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2.4“服务”指磋商文件所表述的供应商须向采购人提供的服务和应当履行的承诺和义务。</w:t>
      </w:r>
    </w:p>
    <w:p w14:paraId="40F0CBC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 本磋商文件各部分规定的期间以时、日、月、年计算。</w:t>
      </w:r>
    </w:p>
    <w:p w14:paraId="18B9F65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rPr>
        <w:t>3. 合格</w:t>
      </w:r>
      <w:r>
        <w:rPr>
          <w:rFonts w:hint="eastAsia" w:ascii="仿宋" w:hAnsi="仿宋" w:eastAsia="仿宋" w:cs="仿宋"/>
          <w:b/>
          <w:bCs/>
          <w:color w:val="auto"/>
          <w:sz w:val="21"/>
          <w:szCs w:val="21"/>
          <w:lang w:eastAsia="zh-CN"/>
        </w:rPr>
        <w:t>供应商</w:t>
      </w:r>
      <w:r>
        <w:rPr>
          <w:rFonts w:hint="eastAsia" w:ascii="仿宋" w:hAnsi="仿宋" w:eastAsia="仿宋" w:cs="仿宋"/>
          <w:b/>
          <w:bCs/>
          <w:color w:val="auto"/>
          <w:sz w:val="21"/>
          <w:szCs w:val="21"/>
        </w:rPr>
        <w:t>的资格条件</w:t>
      </w:r>
    </w:p>
    <w:p w14:paraId="72C248A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3.1具有本项目实施能力</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符合、承认并承诺履行本磋商文件各项规定的国内</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w:t>
      </w:r>
    </w:p>
    <w:p w14:paraId="7AAE7D8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 xml:space="preserve">3.2 </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必须是已在中国境内依法登记注册</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并持有符合法律法规规定的有效证件的</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 xml:space="preserve">。     </w:t>
      </w:r>
    </w:p>
    <w:p w14:paraId="7D7D409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3.3 具备《中华人民共和国政府采购法》第二十二条和本项目所需的特定条件及有关法律、法规关于供应商的规定，有能力提供招标采购服务的供应商。</w:t>
      </w:r>
    </w:p>
    <w:p w14:paraId="205E9B2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供应商不得为“信用中国网（http：//www.creditchina.gov.cn）”中列入失信被执行人、重大税收违法失信主体、政府采购不良行为记录名单的供应商，不得为“中国政府采购网（http：//www.ccgp.gov.cn）”中政府采购严重违法失信行为记录名单的供应商；</w:t>
      </w:r>
    </w:p>
    <w:p w14:paraId="666C020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单位负责人为同一人或者存在直接控股、管理关系的不同</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不得同时参加本项目同一包件的磋商。</w:t>
      </w:r>
    </w:p>
    <w:p w14:paraId="24AF14C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本次磋商是否允许由两个以上</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组成一个联合体以一个</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身份共同参加磋商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详见磋商公告。</w:t>
      </w:r>
    </w:p>
    <w:p w14:paraId="36FE4BA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 xml:space="preserve">4. </w:t>
      </w:r>
      <w:r>
        <w:rPr>
          <w:rFonts w:hint="eastAsia" w:ascii="仿宋" w:hAnsi="仿宋" w:eastAsia="仿宋" w:cs="仿宋"/>
          <w:b/>
          <w:bCs/>
          <w:color w:val="auto"/>
          <w:sz w:val="21"/>
          <w:szCs w:val="21"/>
        </w:rPr>
        <w:t>磋商费用</w:t>
      </w:r>
    </w:p>
    <w:p w14:paraId="029DE08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应当自行承担参与本次磋商活动发生的相关费用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采购代理机构和采购人在任何情况下均无义务和责任承担这些费用。</w:t>
      </w:r>
    </w:p>
    <w:p w14:paraId="5719425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5. 通知</w:t>
      </w:r>
      <w:bookmarkStart w:id="46" w:name="_Toc1317"/>
      <w:bookmarkStart w:id="47" w:name="_Toc71900457"/>
      <w:bookmarkStart w:id="48" w:name="_Toc33266850"/>
      <w:bookmarkStart w:id="49" w:name="_Toc33266690"/>
      <w:bookmarkStart w:id="50" w:name="_Toc33266488"/>
      <w:bookmarkStart w:id="51" w:name="_Toc33266575"/>
      <w:bookmarkStart w:id="52" w:name="_Toc8447"/>
    </w:p>
    <w:p w14:paraId="6606BF6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对与本项目有关的通知</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采购代理机构将</w:t>
      </w:r>
      <w:r>
        <w:rPr>
          <w:rFonts w:hint="eastAsia" w:ascii="仿宋" w:hAnsi="仿宋" w:eastAsia="仿宋" w:cs="仿宋"/>
          <w:color w:val="auto"/>
          <w:sz w:val="21"/>
          <w:szCs w:val="21"/>
          <w:lang w:eastAsia="zh-CN"/>
        </w:rPr>
        <w:t>在</w:t>
      </w:r>
      <w:r>
        <w:rPr>
          <w:rFonts w:hint="eastAsia" w:ascii="仿宋" w:hAnsi="仿宋" w:eastAsia="仿宋" w:cs="仿宋"/>
          <w:color w:val="auto"/>
          <w:sz w:val="21"/>
          <w:szCs w:val="21"/>
        </w:rPr>
        <w:t>山西政府采购平台政采云系统中</w:t>
      </w:r>
      <w:r>
        <w:rPr>
          <w:rFonts w:hint="eastAsia" w:ascii="仿宋" w:hAnsi="仿宋" w:eastAsia="仿宋" w:cs="仿宋"/>
          <w:color w:val="auto"/>
          <w:sz w:val="21"/>
          <w:szCs w:val="21"/>
          <w:lang w:eastAsia="zh-CN"/>
        </w:rPr>
        <w:t>发出，</w:t>
      </w:r>
      <w:r>
        <w:rPr>
          <w:rFonts w:hint="eastAsia" w:ascii="仿宋" w:hAnsi="仿宋" w:eastAsia="仿宋" w:cs="仿宋"/>
          <w:color w:val="auto"/>
          <w:sz w:val="21"/>
          <w:szCs w:val="21"/>
        </w:rPr>
        <w:t>因线路故障导致通知延迟或无法查看</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代理机构或采购方将不承担任何责任</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有关的磋商活动可以继续有效地进行。</w:t>
      </w:r>
    </w:p>
    <w:p w14:paraId="1A35A2A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1"/>
        <w:rPr>
          <w:rFonts w:hint="eastAsia" w:ascii="仿宋" w:hAnsi="仿宋" w:eastAsia="仿宋" w:cs="仿宋"/>
          <w:b/>
          <w:bCs/>
          <w:color w:val="auto"/>
          <w:sz w:val="21"/>
          <w:szCs w:val="21"/>
        </w:rPr>
      </w:pPr>
      <w:r>
        <w:rPr>
          <w:rFonts w:hint="eastAsia" w:ascii="仿宋" w:hAnsi="仿宋" w:eastAsia="仿宋" w:cs="仿宋"/>
          <w:b/>
          <w:bCs/>
          <w:color w:val="auto"/>
          <w:sz w:val="21"/>
          <w:szCs w:val="21"/>
          <w:lang w:eastAsia="zh-CN"/>
        </w:rPr>
        <w:t>二、</w:t>
      </w:r>
      <w:r>
        <w:rPr>
          <w:rFonts w:hint="eastAsia" w:ascii="仿宋" w:hAnsi="仿宋" w:eastAsia="仿宋" w:cs="仿宋"/>
          <w:b/>
          <w:bCs/>
          <w:color w:val="auto"/>
          <w:sz w:val="21"/>
          <w:szCs w:val="21"/>
        </w:rPr>
        <w:t>磋商文件</w:t>
      </w:r>
      <w:bookmarkEnd w:id="46"/>
      <w:bookmarkEnd w:id="47"/>
      <w:bookmarkEnd w:id="48"/>
      <w:bookmarkEnd w:id="49"/>
      <w:bookmarkEnd w:id="50"/>
      <w:bookmarkEnd w:id="51"/>
      <w:bookmarkEnd w:id="52"/>
    </w:p>
    <w:p w14:paraId="5DAF615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 xml:space="preserve">6. </w:t>
      </w:r>
      <w:r>
        <w:rPr>
          <w:rFonts w:hint="eastAsia" w:ascii="仿宋" w:hAnsi="仿宋" w:eastAsia="仿宋" w:cs="仿宋"/>
          <w:b/>
          <w:bCs/>
          <w:color w:val="auto"/>
          <w:sz w:val="21"/>
          <w:szCs w:val="21"/>
        </w:rPr>
        <w:t>磋商文件的内容</w:t>
      </w:r>
    </w:p>
    <w:p w14:paraId="6E80CB8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6.1磋商文件由下列八部分内容组成：</w:t>
      </w:r>
    </w:p>
    <w:p w14:paraId="327EC7B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第一部分 </w:t>
      </w:r>
      <w:r>
        <w:rPr>
          <w:rFonts w:hint="eastAsia" w:ascii="仿宋" w:hAnsi="仿宋" w:eastAsia="仿宋" w:cs="仿宋"/>
          <w:color w:val="auto"/>
          <w:sz w:val="21"/>
          <w:szCs w:val="21"/>
        </w:rPr>
        <w:t xml:space="preserve">磋商公告； </w:t>
      </w:r>
    </w:p>
    <w:p w14:paraId="3FF5446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eastAsia="zh-CN"/>
        </w:rPr>
        <w:t>第二部分</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须知前附表；</w:t>
      </w:r>
    </w:p>
    <w:p w14:paraId="0E05B9F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第三部分 </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 xml:space="preserve">须知； </w:t>
      </w:r>
    </w:p>
    <w:p w14:paraId="130C138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 xml:space="preserve">第四部分 商务、技术要求； </w:t>
      </w:r>
    </w:p>
    <w:p w14:paraId="154FC4E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第五部分 评定标准和成交标准；</w:t>
      </w:r>
    </w:p>
    <w:p w14:paraId="59E407E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第六部分 合同条款；</w:t>
      </w:r>
    </w:p>
    <w:p w14:paraId="682638A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第七部分 响应文件格式；</w:t>
      </w:r>
    </w:p>
    <w:p w14:paraId="6BDF3D3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第八部分 相关附件。</w:t>
      </w:r>
    </w:p>
    <w:p w14:paraId="6E68059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6.2</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应详细阅读磋商文件的全部内容。如果没有按照磋商文件要求提交全部资料或者没有对磋商文件在各方面的要求都做出实质性响应</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可能导致响应文件按无效响应文件处理。</w:t>
      </w:r>
    </w:p>
    <w:p w14:paraId="4FA2521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除非特殊要求</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磋商文件不单独提供招标项目使用地的自然环境、气候条件、公用设施情况</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被视为熟悉上述与履行合同有关的一切情况。</w:t>
      </w:r>
    </w:p>
    <w:p w14:paraId="71DA1A5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 xml:space="preserve"> 磋商文件的解释权归采购代理机构所有。当对一个问题有多种解释时以采购代理机构解释为准。</w:t>
      </w:r>
    </w:p>
    <w:p w14:paraId="2E0973A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磋商文件未作须知明示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而又有法律、法规规定的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采购代理机构将依据法律法规的规定进行解释。</w:t>
      </w:r>
    </w:p>
    <w:p w14:paraId="085B99C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rPr>
        <w:t>7. 磋商文件的澄清和修改</w:t>
      </w:r>
    </w:p>
    <w:p w14:paraId="6C59C070">
      <w:pPr>
        <w:pageBreakBefore w:val="0"/>
        <w:kinsoku/>
        <w:bidi w:val="0"/>
        <w:spacing w:beforeAutospacing="0" w:afterAutospacing="0" w:line="360" w:lineRule="auto"/>
        <w:ind w:firstLine="420" w:firstLineChars="200"/>
        <w:rPr>
          <w:rFonts w:hint="eastAsia" w:ascii="仿宋" w:hAnsi="仿宋" w:eastAsia="仿宋" w:cs="仿宋"/>
          <w:color w:val="auto"/>
          <w:sz w:val="21"/>
          <w:szCs w:val="21"/>
          <w:highlight w:val="none"/>
        </w:rPr>
      </w:pPr>
      <w:bookmarkStart w:id="53" w:name="_Toc24022"/>
      <w:bookmarkStart w:id="54" w:name="_Toc28205"/>
      <w:bookmarkStart w:id="55" w:name="_Toc18920"/>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.1采购人（采购代理机构）可以对已发出的磋商文件进行必要的澄清或者修改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澄清或者修改在原公告发布媒体上发布澄清公告。澄清或者修改的内容为磋商文件的组成部分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对所有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均具有约束作用。</w:t>
      </w:r>
    </w:p>
    <w:p w14:paraId="61D3701A">
      <w:pPr>
        <w:pageBreakBefore w:val="0"/>
        <w:kinsoku/>
        <w:bidi w:val="0"/>
        <w:spacing w:beforeAutospacing="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.2澄清或修改的内容可能影响响应文件编制的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采购人（采购代理机构）将在提交首次响应文件截止时间5日前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以发布公告的形式通知所有获取到磋商文件的潜在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不足5日的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采购人（采购代理机构）将顺延提交首次响应文件截止时间。</w:t>
      </w:r>
    </w:p>
    <w:p w14:paraId="56BFB352">
      <w:pPr>
        <w:pageBreakBefore w:val="0"/>
        <w:kinsoku/>
        <w:bidi w:val="0"/>
        <w:spacing w:beforeAutospacing="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.3采购人（采购代理机构）将视情况确定是否进行现场考察或召开标前答疑会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须知前附表的要求。</w:t>
      </w:r>
    </w:p>
    <w:p w14:paraId="57A1E6D8">
      <w:pPr>
        <w:pageBreakBefore w:val="0"/>
        <w:kinsoku/>
        <w:bidi w:val="0"/>
        <w:spacing w:beforeAutospacing="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对磋商文件有疑问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应当于公告发布之日起至公告期限满7个工作日内在山西政府采购平台上要求澄清。采购代理机构将在规定的时间内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在财政部门指定的政府采购信息发布媒体上发布更正公告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并通知所有获取到磋商文件的潜在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逾期提出采购人（采购代理机构）将不予受理。</w:t>
      </w:r>
    </w:p>
    <w:p w14:paraId="018E87F3">
      <w:pPr>
        <w:pageBreakBefore w:val="0"/>
        <w:kinsoku/>
        <w:bidi w:val="0"/>
        <w:spacing w:beforeAutospacing="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.5在磋商过程中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磋商小组可以根据磋商文件和磋商情况实质性变动采购需求中的技术、服务要求以及合同草案条款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但不得变动磋商文件中的其他内容。实质性变动的内容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须经采购人代表确认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该实质性变动是磋商文件的有效组成部分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并在山西政府采购平台上通知所有参加磋商的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p>
    <w:p w14:paraId="2634F6CD">
      <w:pPr>
        <w:pageBreakBefore w:val="0"/>
        <w:kinsoku/>
        <w:bidi w:val="0"/>
        <w:spacing w:beforeAutospacing="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.6磋商文件澄清、答复、修改、补充的内容为磋商文件的组成部分。当磋商文件与磋商文件的答复、澄清、修改、补充通知就同一内容的表述不一致时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以最后发出的电子文件为准。</w:t>
      </w:r>
    </w:p>
    <w:p w14:paraId="704F793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1"/>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三、响应文件的编制要求</w:t>
      </w:r>
      <w:bookmarkEnd w:id="53"/>
      <w:bookmarkEnd w:id="54"/>
      <w:bookmarkEnd w:id="55"/>
    </w:p>
    <w:p w14:paraId="6173893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rPr>
      </w:pPr>
      <w:r>
        <w:rPr>
          <w:rFonts w:hint="eastAsia" w:ascii="仿宋" w:hAnsi="仿宋" w:eastAsia="仿宋" w:cs="仿宋"/>
          <w:b/>
          <w:bCs/>
          <w:color w:val="auto"/>
          <w:sz w:val="21"/>
          <w:szCs w:val="21"/>
        </w:rPr>
        <w:t>8. 响应文件的语言和计量单位</w:t>
      </w:r>
    </w:p>
    <w:p w14:paraId="2088BDD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.1响应文件以及</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与采购人（采购代理机构）就有关磋商响应事宜的所有来往电子文件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均应以中文汉语书写。除签名、盖章、专用名称等特殊情形外</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以中文汉语以外的文字表述的响应文件视同未提供。</w:t>
      </w:r>
    </w:p>
    <w:p w14:paraId="09E3BD2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.2计量单位</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磋商文件已有明确规定的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使用磋商文件规定的计量单位；磋商文件没有规定的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应采用中华人民共和国法定计量单位（货币单位：人民币元）</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否则视同未响应。</w:t>
      </w:r>
    </w:p>
    <w:p w14:paraId="2F456B7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9. 响应文件的组成及相关要求</w:t>
      </w:r>
    </w:p>
    <w:p w14:paraId="0705EAC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9.1响应文件分为资格证明文件、商务技术文件。</w:t>
      </w:r>
    </w:p>
    <w:p w14:paraId="1BF70F4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本次磋商，供应商应按本磋商文件要求提交资格证明文件、商务技术文件和需要供应商自行编写的其他文件，其中加★项目若有缺失或无效，将导致响应文件被拒绝（具体填写要求及格式详见磋商文件第七部分）。</w:t>
      </w:r>
    </w:p>
    <w:p w14:paraId="10F924A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bookmarkStart w:id="56" w:name="_Hlk33276359"/>
      <w:r>
        <w:rPr>
          <w:rFonts w:hint="eastAsia" w:ascii="仿宋" w:hAnsi="仿宋" w:eastAsia="仿宋" w:cs="仿宋"/>
          <w:color w:val="auto"/>
          <w:sz w:val="21"/>
          <w:szCs w:val="21"/>
          <w:lang w:val="en-US" w:eastAsia="zh-CN"/>
        </w:rPr>
        <w:t>9.2磋商报价</w:t>
      </w:r>
    </w:p>
    <w:p w14:paraId="0A43F00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9.21磋商报价应按磋商文件中相关附表格式填报；</w:t>
      </w:r>
    </w:p>
    <w:p w14:paraId="507E159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9.2.2磋商最后报价是履行合同的最终价格，是供应商为提供本项目所要求的全部服务内容及其验收所发生的一切成本、保险、税金和利润等。</w:t>
      </w:r>
    </w:p>
    <w:p w14:paraId="61ADB80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9.3响应文件的有效期</w:t>
      </w:r>
    </w:p>
    <w:p w14:paraId="63143D9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9.3.1自提交响应文件截止之日起</w:t>
      </w:r>
      <w:bookmarkStart w:id="57" w:name="PO_3000000033_PM046"/>
      <w:r>
        <w:rPr>
          <w:rFonts w:hint="eastAsia" w:ascii="仿宋" w:hAnsi="仿宋" w:eastAsia="仿宋" w:cs="仿宋"/>
          <w:color w:val="auto"/>
          <w:sz w:val="21"/>
          <w:szCs w:val="21"/>
          <w:lang w:val="en-US" w:eastAsia="zh-CN"/>
        </w:rPr>
        <w:t>90日历天</w:t>
      </w:r>
      <w:bookmarkEnd w:id="57"/>
      <w:r>
        <w:rPr>
          <w:rFonts w:hint="eastAsia" w:ascii="仿宋" w:hAnsi="仿宋" w:eastAsia="仿宋" w:cs="仿宋"/>
          <w:color w:val="auto"/>
          <w:sz w:val="21"/>
          <w:szCs w:val="21"/>
          <w:lang w:val="en-US" w:eastAsia="zh-CN"/>
        </w:rPr>
        <w:t>内响应文件应保持有效。有效期不足的响应文件将被拒绝。</w:t>
      </w:r>
    </w:p>
    <w:p w14:paraId="72E42F8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9.3.2成交供应商的响应文件自磋商之日起至合同履行完毕止均应保持有效。</w:t>
      </w:r>
    </w:p>
    <w:p w14:paraId="412D5A0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bookmarkStart w:id="58" w:name="_Toc2997"/>
      <w:bookmarkStart w:id="59" w:name="_Toc451762178"/>
      <w:bookmarkStart w:id="60" w:name="_Toc451762247"/>
      <w:bookmarkStart w:id="61" w:name="_Toc510137464"/>
      <w:r>
        <w:rPr>
          <w:rFonts w:hint="eastAsia" w:ascii="仿宋" w:hAnsi="仿宋" w:eastAsia="仿宋" w:cs="仿宋"/>
          <w:color w:val="auto"/>
          <w:sz w:val="21"/>
          <w:szCs w:val="21"/>
          <w:lang w:val="en-US" w:eastAsia="zh-CN"/>
        </w:rPr>
        <w:t>9.4磋商保证金</w:t>
      </w:r>
      <w:bookmarkEnd w:id="58"/>
      <w:bookmarkEnd w:id="59"/>
      <w:bookmarkEnd w:id="60"/>
      <w:bookmarkEnd w:id="61"/>
    </w:p>
    <w:p w14:paraId="2BEFDFC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9.4.1供应商须按供应商须知前附表的规定提交磋商保证金。</w:t>
      </w:r>
    </w:p>
    <w:p w14:paraId="29F0D5D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9.4.2未成交供应商的磋商保证金在成交通知书发出后5个工作日内可办理退还手续，成交供应商的保证金可在采购合同签订后5个工作日内退还。保证金不计息。</w:t>
      </w:r>
    </w:p>
    <w:p w14:paraId="4B3EDFD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9.4.3供应商有下列情形之一的，磋商保证金将不予退还：</w:t>
      </w:r>
    </w:p>
    <w:p w14:paraId="169632A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9.4.3.1供应商在提交响应文件截止时间后撤回响应文件的；</w:t>
      </w:r>
    </w:p>
    <w:p w14:paraId="0B84533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9.4.3.2供应商在响应文件中提供虚假材料的；</w:t>
      </w:r>
    </w:p>
    <w:p w14:paraId="10D1709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9.4.3.3除因不可抗力以外，成交供应商不与采购人签订合同的；</w:t>
      </w:r>
    </w:p>
    <w:p w14:paraId="4249AA9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9.4.3.4供应商与采购人、其他供应商或者采购代理协议恶意串通的；</w:t>
      </w:r>
    </w:p>
    <w:p w14:paraId="5639C2B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9.4.3.5其他严重扰乱竞争性磋商活动的；</w:t>
      </w:r>
    </w:p>
    <w:p w14:paraId="640ACC4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bookmarkStart w:id="62" w:name="_Toc21181"/>
      <w:bookmarkStart w:id="63" w:name="_Toc510137465"/>
      <w:bookmarkStart w:id="64" w:name="_Toc451762249"/>
      <w:bookmarkStart w:id="65" w:name="_Toc451762180"/>
      <w:r>
        <w:rPr>
          <w:rFonts w:hint="eastAsia" w:ascii="仿宋" w:hAnsi="仿宋" w:eastAsia="仿宋" w:cs="仿宋"/>
          <w:color w:val="auto"/>
          <w:sz w:val="21"/>
          <w:szCs w:val="21"/>
          <w:lang w:val="en-US" w:eastAsia="zh-CN"/>
        </w:rPr>
        <w:t>9.5响应文件的编制和签署</w:t>
      </w:r>
      <w:bookmarkEnd w:id="62"/>
      <w:bookmarkEnd w:id="63"/>
      <w:bookmarkEnd w:id="64"/>
      <w:bookmarkEnd w:id="65"/>
    </w:p>
    <w:p w14:paraId="4027BAF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9.5.1供应商应按资格证明文件和商务技术文件顺序，以及磋商文件规定的格式编制响应文件并标注页码，响应文件内容不完整、编排混乱导致响应文件被误读、漏读或者查找不到相关内容的，是供应商的责任。   </w:t>
      </w:r>
    </w:p>
    <w:p w14:paraId="1AEDD4B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9.5.2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2950E49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9.6响应文件的密封</w:t>
      </w:r>
    </w:p>
    <w:p w14:paraId="102D3E2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供应商应当使用CA电子锁按山西政府采购平台的要求加密响应文件。</w:t>
      </w:r>
    </w:p>
    <w:bookmarkEnd w:id="56"/>
    <w:p w14:paraId="1D9222A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1"/>
        <w:rPr>
          <w:rFonts w:hint="eastAsia" w:ascii="仿宋" w:hAnsi="仿宋" w:eastAsia="仿宋" w:cs="仿宋"/>
          <w:b/>
          <w:bCs/>
          <w:color w:val="auto"/>
          <w:sz w:val="21"/>
          <w:szCs w:val="21"/>
          <w:lang w:eastAsia="zh-CN"/>
        </w:rPr>
      </w:pPr>
      <w:bookmarkStart w:id="66" w:name="_Toc33266503"/>
      <w:bookmarkStart w:id="67" w:name="_Toc9721"/>
      <w:bookmarkStart w:id="68" w:name="_Toc30524"/>
      <w:bookmarkStart w:id="69" w:name="_Toc33266693"/>
      <w:bookmarkStart w:id="70" w:name="_Toc33266578"/>
      <w:bookmarkStart w:id="71" w:name="_Toc21342"/>
      <w:bookmarkStart w:id="72" w:name="_Toc830"/>
      <w:bookmarkStart w:id="73" w:name="_Toc33266853"/>
      <w:bookmarkStart w:id="74" w:name="_Toc71900460"/>
      <w:r>
        <w:rPr>
          <w:rFonts w:hint="eastAsia" w:ascii="仿宋" w:hAnsi="仿宋" w:eastAsia="仿宋" w:cs="仿宋"/>
          <w:b/>
          <w:bCs/>
          <w:color w:val="auto"/>
          <w:sz w:val="21"/>
          <w:szCs w:val="21"/>
          <w:lang w:eastAsia="zh-CN"/>
        </w:rPr>
        <w:t>四、磋商采购程序</w:t>
      </w:r>
      <w:bookmarkEnd w:id="66"/>
      <w:bookmarkEnd w:id="67"/>
      <w:bookmarkEnd w:id="68"/>
      <w:bookmarkEnd w:id="69"/>
      <w:bookmarkEnd w:id="70"/>
      <w:bookmarkEnd w:id="71"/>
      <w:bookmarkEnd w:id="72"/>
      <w:bookmarkEnd w:id="73"/>
      <w:bookmarkEnd w:id="74"/>
    </w:p>
    <w:p w14:paraId="57D33F2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10. 本次磋商采取一轮磋商、二轮报价、综合评分方式进行。</w:t>
      </w:r>
    </w:p>
    <w:p w14:paraId="6ECED3A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11. 磋商开启仪式及其有关事项</w:t>
      </w:r>
    </w:p>
    <w:p w14:paraId="7CD8FCE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11.1采购代理机构按磋商文件规定的时间通过山西政府采购平台开标。</w:t>
      </w:r>
    </w:p>
    <w:p w14:paraId="2E8B9FC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11.2电子交易平台按以下程序进行第一轮报价：</w:t>
      </w:r>
    </w:p>
    <w:p w14:paraId="648D7E5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（1）在线签到。开标后15分钟内，供应商利用CA锁在线进行签到；</w:t>
      </w:r>
    </w:p>
    <w:p w14:paraId="56F547E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电子响应文件解密：响应文件递交时间截止，开始进入解密环节，供应商接到解密信息后，在规定的解密时间内使用加密电子文件时的电子CA进行解密（可远程解密），未在规定时间内解密，其报价视为无效；</w:t>
      </w:r>
    </w:p>
    <w:p w14:paraId="5867263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（3）第一轮报价。本项目实行密封报价，不进行公开唱标。</w:t>
      </w:r>
    </w:p>
    <w:p w14:paraId="5FD2ADE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12.组建磋商小组</w:t>
      </w:r>
    </w:p>
    <w:p w14:paraId="6330592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bookmarkStart w:id="75" w:name="_Toc3243"/>
      <w:bookmarkStart w:id="76" w:name="_Toc33266508"/>
      <w:r>
        <w:rPr>
          <w:rFonts w:hint="eastAsia" w:ascii="仿宋" w:hAnsi="仿宋" w:eastAsia="仿宋" w:cs="仿宋"/>
          <w:color w:val="auto"/>
          <w:sz w:val="21"/>
          <w:szCs w:val="21"/>
          <w:lang w:val="en-US" w:eastAsia="zh-CN"/>
        </w:rPr>
        <w:t>12.1 采购代理机构（或采购人）根据有关法律法规和本磋商文件的规定，结合本项目的特点组建磋商小组，磋商小组构成详见供应商须知前附表序号10的规定。</w:t>
      </w:r>
    </w:p>
    <w:p w14:paraId="436D43D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12.2 磋商小组成员在磋商当日确定。其中经济、技术方面的专家由采购代理机构工作人员从省财政厅政府采购专家库中通过随机方式抽取产生。</w:t>
      </w:r>
    </w:p>
    <w:p w14:paraId="27667DE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12.3 由采购代理机构工作人员主持，由所抽取的经济、技术专家通过推荐方式确定其中一人为磋商小组组长，负责主持本次磋商活动。</w:t>
      </w:r>
      <w:bookmarkStart w:id="77" w:name="_Toc33266506"/>
      <w:bookmarkStart w:id="78" w:name="_Toc28181"/>
    </w:p>
    <w:bookmarkEnd w:id="77"/>
    <w:bookmarkEnd w:id="78"/>
    <w:p w14:paraId="0CC310F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13. 响应文件评审</w:t>
      </w:r>
    </w:p>
    <w:p w14:paraId="5DC8843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13.1磋商小组进行资格性审查和符合性审查，应严格遵循本磋商文件中的相关规定。</w:t>
      </w:r>
    </w:p>
    <w:p w14:paraId="1F1C890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13.2资格性审查：评审工作开始后，磋商小组须对各响应文件所提供的资格证明文件是否符合响应文件的要求进行审核。以确定参加磋商的供应商是否具备磋商资格。资格性审查标准详见第五部分评定标准和成交标准。</w:t>
      </w:r>
    </w:p>
    <w:p w14:paraId="04BB543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13.3符合性审查：磋商小组依据磋商文件的规定对每个供应商递交的响应文件的有效性、完整性和实质性响应程度审查，以确定响应文件是否对磋商文件的实质性要求作出响应。符合性审查标准详见第五部分评定标准和成交标准。</w:t>
      </w:r>
    </w:p>
    <w:p w14:paraId="2F381AA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13.4实质性响应的响应文件是指与磋商文件的条款、条件和规格相符，根据本磋商文件规定的审查内容，经磋商小组认定的没有重大偏离或保留的响应文件，若供应商存在重大偏离视为无效响应。响应文件有下列情况之一者将视为响应无效：</w:t>
      </w:r>
    </w:p>
    <w:p w14:paraId="6022BB4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（1）响应文件未按照磋商文件的规定盖章或签字的；</w:t>
      </w:r>
    </w:p>
    <w:p w14:paraId="62010AE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（2）服务的服务内容、服务时间、服务承诺等不满足磋商文件中的相关要求和超出本磋商文件可接受的偏差范围的；</w:t>
      </w:r>
    </w:p>
    <w:p w14:paraId="6F21DC5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（3）未按磋商文件要求提交资格证明文件或未通过响应文件的有效性审查的；</w:t>
      </w:r>
    </w:p>
    <w:p w14:paraId="33AC3BA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（4）提交的响应文件有效期少于磋商文件规定有效期的；</w:t>
      </w:r>
    </w:p>
    <w:p w14:paraId="438A188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（5）未按磋商小组要求对响应文件进行澄清（说明或者更正）的；</w:t>
      </w:r>
    </w:p>
    <w:p w14:paraId="6933087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（6）磋商小组对响应文件评审后，认为在有效性、完整性和响应程度方面没有实质性响应磋商文件的；</w:t>
      </w:r>
    </w:p>
    <w:p w14:paraId="1AC93D4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（7）未按照磋商文件要求编制响应文件的；</w:t>
      </w:r>
    </w:p>
    <w:p w14:paraId="3E4A9B0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（8）响应文件中的项目名称和项目编号与磋商文件不符；</w:t>
      </w:r>
    </w:p>
    <w:p w14:paraId="1C7731E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（9）报价超过了采购预算或最高限价的；</w:t>
      </w:r>
    </w:p>
    <w:p w14:paraId="219805B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（10）在磋商过程中存在弄虚作假情形的；</w:t>
      </w:r>
    </w:p>
    <w:p w14:paraId="0F17211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（11）未按照磋商文件要求递交磋商保证金的（如有）；</w:t>
      </w:r>
    </w:p>
    <w:p w14:paraId="15BFF9C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（12）不符合磋商文件中有关分包、转包规定的；</w:t>
      </w:r>
    </w:p>
    <w:p w14:paraId="6046230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（13）响应文件附有采购人不能接受的条件；</w:t>
      </w:r>
    </w:p>
    <w:p w14:paraId="615C1C7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（14）重新提交的响应文件没有实质性响应磋商文件的；</w:t>
      </w:r>
    </w:p>
    <w:p w14:paraId="3E389FE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（15）法律法规规定的其它情形。</w:t>
      </w:r>
    </w:p>
    <w:p w14:paraId="51F76EE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13.5进行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4919FA8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13.6响应文件报价出现前后不一致的，按照下列规定修正：</w:t>
      </w:r>
    </w:p>
    <w:p w14:paraId="3485E3E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（一）响应文件中报价一览表内容与响应文件中相应内容不一致的，以报价一览表为准；</w:t>
      </w:r>
    </w:p>
    <w:p w14:paraId="1A108F3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（二）大写金额和小写金额不一致的，以大写金额为准；</w:t>
      </w:r>
    </w:p>
    <w:p w14:paraId="1DCA86D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（三）单价金额小数点或者百分比有明显错位的，以报价一览表的总价为准，并修改单价；</w:t>
      </w:r>
    </w:p>
    <w:p w14:paraId="2891558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（四）总价金额与按单价汇总金额不一致的，以单价金额计算结果为准。</w:t>
      </w:r>
    </w:p>
    <w:p w14:paraId="63C5A3A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同时出现两种以上不一致的，按照前款规定的顺序修正。修正后的响应文件按照本条的规定经供应商确认后产生约束力，供应商不确认的，其磋商无效。</w:t>
      </w:r>
    </w:p>
    <w:p w14:paraId="2575277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13.7在评标过程中发现供应商有下列情形的，磋商小组应认定其响应文件无效，并书面报告本级财政部门： </w:t>
      </w:r>
    </w:p>
    <w:p w14:paraId="6D17E03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（1）有恶意串通的；</w:t>
      </w:r>
    </w:p>
    <w:p w14:paraId="6A062E6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（2）有妨碍其他供应商的竞争行为的；</w:t>
      </w:r>
    </w:p>
    <w:p w14:paraId="1A08B78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（3）有损害采购人或者其他供应商的合法权益的。</w:t>
      </w:r>
    </w:p>
    <w:p w14:paraId="05D4FA9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13.8供应商有下列情形之一的，视为串通投标，其响应文件无效：</w:t>
      </w:r>
    </w:p>
    <w:p w14:paraId="7110C0A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（1）不同供应商的响应文件由同一单位或者个人编制；</w:t>
      </w:r>
    </w:p>
    <w:p w14:paraId="39967AE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（2）不同供应商委托同一单位或者个人办理磋商事宜；</w:t>
      </w:r>
    </w:p>
    <w:p w14:paraId="6995A98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（3）不同供应商的响应文件载明的项目管理成员或者联系人为同一人；</w:t>
      </w:r>
    </w:p>
    <w:p w14:paraId="40EBEBC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（4）不同供应商的响应文件异常一致或者投标报价呈规律性差异；</w:t>
      </w:r>
    </w:p>
    <w:p w14:paraId="3F53AE5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（5）不同供应商的响应文件相互混装；</w:t>
      </w:r>
    </w:p>
    <w:p w14:paraId="442D5A2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（6）不同供应商的磋商保证金从同一单位或者个人的账户转出。</w:t>
      </w:r>
    </w:p>
    <w:p w14:paraId="73E3D9D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bookmarkStart w:id="79" w:name="_Toc33266507"/>
      <w:bookmarkStart w:id="80" w:name="_Toc27885"/>
      <w:r>
        <w:rPr>
          <w:rFonts w:hint="eastAsia" w:ascii="仿宋" w:hAnsi="仿宋" w:eastAsia="仿宋" w:cs="仿宋"/>
          <w:b/>
          <w:bCs/>
          <w:color w:val="auto"/>
          <w:sz w:val="21"/>
          <w:szCs w:val="21"/>
          <w:lang w:val="en-US" w:eastAsia="zh-CN"/>
        </w:rPr>
        <w:t>14. 磋商程序</w:t>
      </w:r>
      <w:bookmarkEnd w:id="79"/>
      <w:bookmarkEnd w:id="80"/>
    </w:p>
    <w:p w14:paraId="599B770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14.1磋商小组成员与实质性响应磋商文件要求的供应商就本次采购需求中的技术、服务要求以及合同草案通过“政采云系统”分别进行磋商。</w:t>
      </w:r>
    </w:p>
    <w:p w14:paraId="7AC2050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14.2磋商小组可以根据磋商文件和磋商情况实质性变动采购需求中的技术、服务要求以及合同草案条款，但不得变动磋商文件中的其他内容。实质性变动的内容，需经采购人代表签字确认。</w:t>
      </w:r>
    </w:p>
    <w:p w14:paraId="593E44A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14.3在磋商过程中做出的实质性变动内容，是磋商文件的有效组成部分。磋商小组组长将实质性变动情况和磋商小组的要求通过“政采云系统”给各供应商发出询标函。各供应商在接到询标函通知后，在规定时间内通过“政采云系统”提交加盖供应商电子CA章的对询标函所有内容作出的答复函。</w:t>
      </w:r>
    </w:p>
    <w:p w14:paraId="3BB5CE0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14.4磋商结束后，磋商小组应当要求所有实质性响应的供应商在规定时间内提交最后报价。</w:t>
      </w:r>
    </w:p>
    <w:p w14:paraId="29BAC2A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15.最后报价</w:t>
      </w:r>
      <w:bookmarkEnd w:id="75"/>
      <w:bookmarkEnd w:id="76"/>
    </w:p>
    <w:p w14:paraId="5F12E12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15.1报价原则</w:t>
      </w:r>
    </w:p>
    <w:p w14:paraId="47A081D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15.1.1最后报价以人民币报价，供应商的最后报价应遵守《中华人民共和国价格法》。</w:t>
      </w:r>
    </w:p>
    <w:p w14:paraId="71E5895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15.1.2第二轮报价以电子形式进行，供应商须在磋商小组确定的最终报价时间内将最终报价在规定时间内上传至政采云系统中；</w:t>
      </w:r>
    </w:p>
    <w:p w14:paraId="3E6994D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15.1.3第二轮报价即最终报价为不公开报价，不再向任何供应商公布报价情况。</w:t>
      </w:r>
    </w:p>
    <w:p w14:paraId="63B6735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15.1.4供应商最后报价所报的价格在合同履行过程中是固定不变的，不得以任何理由予以变更。</w:t>
      </w:r>
    </w:p>
    <w:p w14:paraId="4E730EB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15.1.5本项目只能有一个总报价，且不得超过项目预算或最高限价，否则其报价将被拒绝。</w:t>
      </w:r>
    </w:p>
    <w:p w14:paraId="5BEF0E7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15.2报价符合性审核</w:t>
      </w:r>
    </w:p>
    <w:p w14:paraId="7B5D066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15.2.1最终报价结束后，磋商小组须对各供应商的最终报价进行符合性审核，如磋商小组一致认为某个供应商的最终报价明显不合理，有降低质量、不能诚信履行的可能时，磋商小组有权决定是否通过“政采云系统”要求供应商在规定时间内提供相关证明材料。若已要求，而该供应商在规定期限内未做出解释、做出的解释不合理或不能提供证明材料的，磋商小组有权拒绝该报价，并做无效响应处理。</w:t>
      </w:r>
    </w:p>
    <w:p w14:paraId="67B0B8A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15.2.2提交最终报价的供应商家数不足法定供应商数量的，需依法重新组织磋商活动或终止磋商活动。</w:t>
      </w:r>
    </w:p>
    <w:p w14:paraId="2DA9EB8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15.2.3经审查，合格供应商数量符合法定供应商家数时，对符合政策性要求优惠的各供应商的最终报价，按照磋商文件中确定的优惠率，对其最终报价进行调整后，形成各供应商最终评审价格。</w:t>
      </w:r>
    </w:p>
    <w:p w14:paraId="2B0718B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16.综合评分、推荐成交候选供应商顺序原则</w:t>
      </w:r>
    </w:p>
    <w:p w14:paraId="34C8E4D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经磋商确定最终商务、技术要求和提交最后报价的供应商后，由磋商小组采用综合评分法对提交最后报价的供应商的响应文件和最后报价进行综合评分。</w:t>
      </w:r>
    </w:p>
    <w:p w14:paraId="1DF1F86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bookmarkStart w:id="81" w:name="_Toc175644027"/>
      <w:r>
        <w:rPr>
          <w:rFonts w:hint="eastAsia" w:ascii="仿宋" w:hAnsi="仿宋" w:eastAsia="仿宋" w:cs="仿宋"/>
          <w:color w:val="auto"/>
          <w:sz w:val="21"/>
          <w:szCs w:val="21"/>
          <w:lang w:val="en-US" w:eastAsia="zh-CN"/>
        </w:rPr>
        <w:t>16.1</w:t>
      </w:r>
      <w:bookmarkEnd w:id="81"/>
      <w:bookmarkStart w:id="82" w:name="_Toc175644028"/>
      <w:r>
        <w:rPr>
          <w:rFonts w:hint="eastAsia" w:ascii="仿宋" w:hAnsi="仿宋" w:eastAsia="仿宋" w:cs="仿宋"/>
          <w:color w:val="auto"/>
          <w:sz w:val="21"/>
          <w:szCs w:val="21"/>
          <w:lang w:val="en-US" w:eastAsia="zh-CN"/>
        </w:rPr>
        <w:t>综合评分原则</w:t>
      </w:r>
    </w:p>
    <w:p w14:paraId="2EE1863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磋商小组在评标时，依据供应商提交的最终报价和各项承诺、服务因素对供应商进行综合评价。评审时，磋商小组各成员应当独立对每个有效响应的文件进行评价、打分，然后汇总每个供应商每项评分因素的得分。</w:t>
      </w:r>
    </w:p>
    <w:p w14:paraId="3A2F7E3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16.2 评审方法</w:t>
      </w:r>
      <w:bookmarkEnd w:id="82"/>
    </w:p>
    <w:p w14:paraId="5BFE37B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本次评审采用综合评分法，综合评分因素的主要因素为价格、商务、技术、服务以及对磋商文件的磋商响应程度。每一供应商的最终得分为所有评委评分的算术平均值。具体评审标准详见第五部分评定标准和成交标准。</w:t>
      </w:r>
    </w:p>
    <w:p w14:paraId="7332548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16.3 确定成交候选供应商</w:t>
      </w:r>
    </w:p>
    <w:p w14:paraId="4F2D97B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磋商小组根据第五部分评定和成交标准的规定，即从质量和服务均能满足磋商文件实质性响应要求的供应商中，按照综合得分由高到低的顺序推荐3名成交候选供应商。</w:t>
      </w:r>
    </w:p>
    <w:p w14:paraId="0B1D6E1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磋商小组组长根据磋商过程中形成的原始记录和评审结果编写评审报告，由磋商小组全体人员签字确认。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811A62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17.确定成交供应商</w:t>
      </w:r>
    </w:p>
    <w:p w14:paraId="0543BC5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17.1采购代理机构应当自评审结束之日起2个工作日内将评审报告送交采购人。采购人应当自收到评审报告之日起5个工作日内在评审报告推荐的成交候选人中按顺序确定成交供应商。</w:t>
      </w:r>
    </w:p>
    <w:p w14:paraId="7D39928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17.2确定成交供应商依据从评审报告提出的成交候选供应商中，按照排序由高到低的原则。</w:t>
      </w:r>
    </w:p>
    <w:p w14:paraId="4D706A2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17.3采购人未在收到评审报告后5个工作日内，确定成交供应商且不提出异议的，视为确定评审报告提出的排序第一的供应商为成交供应商。</w:t>
      </w:r>
    </w:p>
    <w:p w14:paraId="2015000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17.4成交供应商拒绝与采购人签订合同的，采购人可以按照评审报告推荐的成交候选人名单排序，确定下一候选人为成交供应商，也可以重新开展政府采购活动。</w:t>
      </w:r>
    </w:p>
    <w:p w14:paraId="071CE95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17.5成交供应商确定后，采购代理机构将于2个工作日内向成交供应商发出《成交通知书》，并在中国山西政府采购网上发布成交公告。</w:t>
      </w:r>
    </w:p>
    <w:p w14:paraId="67FAE96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18.评审复核</w:t>
      </w:r>
    </w:p>
    <w:p w14:paraId="6E75881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18.1磋商小组要对评审数据进行校对、核对。</w:t>
      </w:r>
    </w:p>
    <w:p w14:paraId="2AFDC15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18.2采购方、代理机构发现磋商小组未按磋商文件规定的评审标准进行评审的，应当重新开展磋商活动，并同时书面报告相关部门。</w:t>
      </w:r>
    </w:p>
    <w:p w14:paraId="106B3A9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19. 磋商过程保密</w:t>
      </w:r>
    </w:p>
    <w:p w14:paraId="591AEA0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19.1磋商开始之后，直到授予成交供应商合同止，凡是属于审查、澄清、评价和比较报价的有关资料以及授标意向等，均不得向供应商或其他与评审无关的人员透露。</w:t>
      </w:r>
    </w:p>
    <w:p w14:paraId="3A0B622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19.2在磋商期间，供应商企图影响采购代理机构或磋商小组的任何活动，将导致报价被拒绝，并由其承担相应的法律责任。</w:t>
      </w:r>
    </w:p>
    <w:p w14:paraId="4EA0A96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20. 关于供应商瑕疵滞后发现的处理规则</w:t>
      </w:r>
    </w:p>
    <w:p w14:paraId="43C719E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1207FE2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21. 采购项目终止</w:t>
      </w:r>
    </w:p>
    <w:p w14:paraId="4ED33D8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bookmarkStart w:id="83" w:name="_Hlk33275600"/>
      <w:r>
        <w:rPr>
          <w:rFonts w:hint="eastAsia" w:ascii="仿宋" w:hAnsi="仿宋" w:eastAsia="仿宋" w:cs="仿宋"/>
          <w:color w:val="auto"/>
          <w:sz w:val="21"/>
          <w:szCs w:val="21"/>
          <w:lang w:val="en-US" w:eastAsia="zh-CN"/>
        </w:rPr>
        <w:t>出现下列情形之一的，采购人或者采购代理机构应当终止竞争性磋商采购活动，发布项目终止公告并说明原因，重新开展采购活动：</w:t>
      </w:r>
    </w:p>
    <w:p w14:paraId="10F3BBF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（一）因情况变化，不再符合规定的竞争性磋商采购方式适用情形的；</w:t>
      </w:r>
    </w:p>
    <w:p w14:paraId="3FB581F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（二）出现影响采购公正的违法、违规行为的；</w:t>
      </w:r>
    </w:p>
    <w:p w14:paraId="4AB12A1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三）在采购过程中符合要求的供应商或者报价未超过采购预算的供应商不足3家的（“市场竞争不充分的科研项目以及需要扶持的科技成果转化项目”（财库〔2014〕214号），提交最后报价的供应商可以是2家。“政府购买服务项目（含政府和社会资本合作项目）”（财库〔2015〕124号），符合要求的供应商只有2家的，竞争性磋商采购活动可以继续进行）。</w:t>
      </w:r>
    </w:p>
    <w:bookmarkEnd w:id="83"/>
    <w:p w14:paraId="2CCCCC2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1"/>
        <w:rPr>
          <w:rFonts w:hint="eastAsia" w:ascii="仿宋" w:hAnsi="仿宋" w:eastAsia="仿宋" w:cs="仿宋"/>
          <w:b/>
          <w:bCs/>
          <w:color w:val="auto"/>
          <w:sz w:val="21"/>
          <w:szCs w:val="21"/>
        </w:rPr>
      </w:pPr>
      <w:bookmarkStart w:id="84" w:name="_Toc33266579"/>
      <w:bookmarkStart w:id="85" w:name="_Toc26462"/>
      <w:bookmarkStart w:id="86" w:name="_Toc71900461"/>
      <w:bookmarkStart w:id="87" w:name="_Toc33266515"/>
      <w:bookmarkStart w:id="88" w:name="_Toc18051"/>
      <w:bookmarkStart w:id="89" w:name="_Toc33266694"/>
      <w:bookmarkStart w:id="90" w:name="_Toc20230"/>
      <w:bookmarkStart w:id="91" w:name="_Toc33266854"/>
      <w:bookmarkStart w:id="92" w:name="_Toc1769"/>
      <w:r>
        <w:rPr>
          <w:rFonts w:hint="eastAsia" w:ascii="仿宋" w:hAnsi="仿宋" w:eastAsia="仿宋" w:cs="仿宋"/>
          <w:b/>
          <w:bCs/>
          <w:color w:val="auto"/>
          <w:sz w:val="21"/>
          <w:szCs w:val="21"/>
        </w:rPr>
        <w:t>六、签订合同</w:t>
      </w:r>
      <w:bookmarkEnd w:id="84"/>
      <w:bookmarkEnd w:id="85"/>
      <w:bookmarkEnd w:id="86"/>
      <w:bookmarkEnd w:id="87"/>
      <w:bookmarkEnd w:id="88"/>
      <w:bookmarkEnd w:id="89"/>
      <w:bookmarkEnd w:id="90"/>
      <w:bookmarkEnd w:id="91"/>
      <w:bookmarkEnd w:id="92"/>
    </w:p>
    <w:p w14:paraId="4D842D4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22.采购人与成交供应商应当在《成交通知书》发出之日起30日内签订政府采购合同。</w:t>
      </w:r>
    </w:p>
    <w:p w14:paraId="087FDE7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23.成交供应商无正当理由拒签合同的，其磋商保证金不予退还且成交无效，并按照《中华人民共和国政府采购法》第七十七条第一款的规定追究法律责任。</w:t>
      </w:r>
    </w:p>
    <w:p w14:paraId="1FCF588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24.成交供应商应当自合同或补充合同签订之日起五个工作日内将合同报采购代理机构备案。</w:t>
      </w:r>
    </w:p>
    <w:p w14:paraId="7F74E7F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1"/>
        <w:rPr>
          <w:rFonts w:hint="eastAsia" w:ascii="仿宋" w:hAnsi="仿宋" w:eastAsia="仿宋" w:cs="仿宋"/>
          <w:b/>
          <w:bCs/>
          <w:color w:val="auto"/>
          <w:sz w:val="21"/>
          <w:szCs w:val="21"/>
        </w:rPr>
      </w:pPr>
      <w:bookmarkStart w:id="93" w:name="_Toc16787"/>
      <w:bookmarkStart w:id="94" w:name="_Toc71900462"/>
      <w:bookmarkStart w:id="95" w:name="_Toc32145"/>
      <w:bookmarkStart w:id="96" w:name="_Toc30606"/>
      <w:bookmarkStart w:id="97" w:name="_Toc33266855"/>
      <w:bookmarkStart w:id="98" w:name="_Toc33266580"/>
      <w:bookmarkStart w:id="99" w:name="_Toc33266518"/>
      <w:bookmarkStart w:id="100" w:name="_Toc33266695"/>
      <w:bookmarkStart w:id="101" w:name="_Toc29447"/>
      <w:r>
        <w:rPr>
          <w:rFonts w:hint="eastAsia" w:ascii="仿宋" w:hAnsi="仿宋" w:eastAsia="仿宋" w:cs="仿宋"/>
          <w:b/>
          <w:bCs/>
          <w:color w:val="auto"/>
          <w:sz w:val="21"/>
          <w:szCs w:val="21"/>
        </w:rPr>
        <w:t>七、保密和披露</w:t>
      </w:r>
      <w:bookmarkEnd w:id="93"/>
      <w:bookmarkEnd w:id="94"/>
      <w:bookmarkEnd w:id="95"/>
      <w:bookmarkEnd w:id="96"/>
      <w:bookmarkEnd w:id="97"/>
      <w:bookmarkEnd w:id="98"/>
      <w:bookmarkEnd w:id="99"/>
      <w:bookmarkEnd w:id="100"/>
      <w:bookmarkEnd w:id="101"/>
    </w:p>
    <w:p w14:paraId="2E644DC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25. 保密</w:t>
      </w:r>
    </w:p>
    <w:p w14:paraId="06CFB72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供应商自领取磋商文件之日起，须承诺承担对本采购项目的保密义务，不得将因本次磋商获得的信息向第三人外传。</w:t>
      </w:r>
    </w:p>
    <w:p w14:paraId="1D5D9E6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26. 披露</w:t>
      </w:r>
    </w:p>
    <w:p w14:paraId="5C1391E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26</w:t>
      </w:r>
      <w:r>
        <w:rPr>
          <w:rFonts w:hint="eastAsia" w:ascii="仿宋" w:hAnsi="仿宋" w:eastAsia="仿宋" w:cs="仿宋"/>
          <w:color w:val="auto"/>
          <w:sz w:val="21"/>
          <w:szCs w:val="21"/>
        </w:rPr>
        <w:t>.1采购代理机构有权将</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提供的所有资料向有关政府部门或评审标书的有关人员披露。</w:t>
      </w:r>
    </w:p>
    <w:p w14:paraId="5416859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26</w:t>
      </w:r>
      <w:r>
        <w:rPr>
          <w:rFonts w:hint="eastAsia" w:ascii="仿宋" w:hAnsi="仿宋" w:eastAsia="仿宋" w:cs="仿宋"/>
          <w:color w:val="auto"/>
          <w:sz w:val="21"/>
          <w:szCs w:val="21"/>
        </w:rPr>
        <w:t>.2 在采购代理机构认为适当时、国家机关调查、审查、审计时以及其他符合法律规定的情形下</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采购代理机构无须事先征求</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/成交</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同意而可以披露关于采购过程、合同文本、签署情况的资料、</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/成交</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的名称及地址、响应文件的有关信息以及补充条款等</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但应当在合理的必要范围内。对任何已经公布过的内容或与之内容相同的资料</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以及</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/成交</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已经泄露或公开的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无须再承担保密责任。</w:t>
      </w:r>
    </w:p>
    <w:p w14:paraId="3BF6C5E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1"/>
        <w:rPr>
          <w:rFonts w:hint="eastAsia" w:ascii="仿宋" w:hAnsi="仿宋" w:eastAsia="仿宋" w:cs="仿宋"/>
          <w:b/>
          <w:bCs/>
          <w:color w:val="auto"/>
          <w:sz w:val="21"/>
          <w:szCs w:val="21"/>
        </w:rPr>
      </w:pPr>
      <w:bookmarkStart w:id="102" w:name="_Toc33266696"/>
      <w:bookmarkStart w:id="103" w:name="_Toc16305"/>
      <w:bookmarkStart w:id="104" w:name="_Toc33266856"/>
      <w:bookmarkStart w:id="105" w:name="_Toc7637"/>
      <w:bookmarkStart w:id="106" w:name="_Toc33266521"/>
      <w:bookmarkStart w:id="107" w:name="_Toc28134"/>
      <w:bookmarkStart w:id="108" w:name="_Toc27838"/>
      <w:bookmarkStart w:id="109" w:name="_Toc71900463"/>
      <w:bookmarkStart w:id="110" w:name="_Toc33266581"/>
      <w:r>
        <w:rPr>
          <w:rFonts w:hint="eastAsia" w:ascii="仿宋" w:hAnsi="仿宋" w:eastAsia="仿宋" w:cs="仿宋"/>
          <w:b/>
          <w:bCs/>
          <w:color w:val="auto"/>
          <w:sz w:val="21"/>
          <w:szCs w:val="21"/>
        </w:rPr>
        <w:t>八、询问和质疑</w:t>
      </w:r>
      <w:bookmarkEnd w:id="102"/>
      <w:bookmarkEnd w:id="103"/>
      <w:bookmarkEnd w:id="104"/>
      <w:bookmarkEnd w:id="105"/>
      <w:bookmarkEnd w:id="106"/>
      <w:bookmarkEnd w:id="107"/>
      <w:bookmarkEnd w:id="108"/>
      <w:bookmarkEnd w:id="109"/>
      <w:bookmarkEnd w:id="110"/>
    </w:p>
    <w:p w14:paraId="002F8FF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27. 询问</w:t>
      </w:r>
    </w:p>
    <w:p w14:paraId="145CBA6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27</w:t>
      </w:r>
      <w:r>
        <w:rPr>
          <w:rFonts w:hint="eastAsia" w:ascii="仿宋" w:hAnsi="仿宋" w:eastAsia="仿宋" w:cs="仿宋"/>
          <w:color w:val="auto"/>
          <w:sz w:val="21"/>
          <w:szCs w:val="21"/>
        </w:rPr>
        <w:t>.1</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对政府采购活动事项有疑问的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可以向采购代理机构提出询问</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采购代理机构应当及时作出答复</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但答复的内容不得涉及商业秘密。</w:t>
      </w:r>
    </w:p>
    <w:p w14:paraId="7CE4E47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28.质疑</w:t>
      </w:r>
    </w:p>
    <w:p w14:paraId="4A1AAB0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28.1供应商对磋商文件条款或技术、商务参数有异议的，应当在开标前通过澄清或修改程序提出。</w:t>
      </w:r>
    </w:p>
    <w:p w14:paraId="10A4125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28.2 供应商认为其投标未获公平评审或采购过程和成交结果使自己的合法权益受到损害的，应当在知道或者应知其权益受到损害之日起7个工作日内提出质疑。</w:t>
      </w:r>
    </w:p>
    <w:p w14:paraId="6F251B3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28.3供应商提出的质疑必须符合《中华人民共和国政府采购法实施条例》五十五条和《政府采购质疑和投诉办法》的规定，应当有明确的请求和必要的证明材料，否则不予受理。质疑应当通过政采云系统平台向采购代理机构（或采购人）提出，经法定代表人或者其授权代表签字，并盖单位公章。</w:t>
      </w:r>
    </w:p>
    <w:p w14:paraId="680498D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28.4质疑书应当包括以下主要内容：被质疑项目名称、项目编号、磋商公告发布时间、质疑事项、与质疑事项相关的请求、事实依据、法律依据（具体条款）、质疑人全称、法定代表人或供应商代表签字、盖章、有效联系方式（包括手机、传真号码）、提出质疑的日期。</w:t>
      </w:r>
    </w:p>
    <w:p w14:paraId="77F1580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28.5 质疑应按照“谁主张、谁举证”的原则，质疑书应当附相关证明材料。</w:t>
      </w:r>
    </w:p>
    <w:p w14:paraId="7047E96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28.6 有下列情形之一的，属于无效质疑，采购代理机构（或采购人）可不予受理：</w:t>
      </w:r>
    </w:p>
    <w:p w14:paraId="0A57FE0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（1）未在有效期限内提出质疑的；</w:t>
      </w:r>
    </w:p>
    <w:p w14:paraId="73221D2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（2）质疑未以电子形式提出的；</w:t>
      </w:r>
    </w:p>
    <w:p w14:paraId="4F3990E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（3）所提交材料未明示属于质疑材料的；</w:t>
      </w:r>
    </w:p>
    <w:p w14:paraId="7726038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（4）质疑书没有法定代表人签署本人姓名或印盖本人姓名章并加盖单位公章的；质疑书由参加采购项目的授权代表签署本人姓名或印盖本人姓名章，但没有法定代表人特别授权的；</w:t>
      </w:r>
    </w:p>
    <w:p w14:paraId="53D426C0">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（5）质疑书未提供有效联系人或联系方式的；</w:t>
      </w:r>
    </w:p>
    <w:p w14:paraId="61C728A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（6）质疑事项已经进入投诉或者行政复议或者诉讼程序的；</w:t>
      </w:r>
    </w:p>
    <w:p w14:paraId="0C43300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（7）质疑书未附相关证明材料，被视为无有效证据支持的；</w:t>
      </w:r>
    </w:p>
    <w:p w14:paraId="604E53D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（8）供应商对磋商文件条款或技术参数有异议，未在开标前通过澄清或修改程序提出，并且供应商已经参与投标，而于开标后对磋商文件 提出质疑的；</w:t>
      </w:r>
    </w:p>
    <w:p w14:paraId="261B92D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（9）在提出本次质疑前半年内连续三次质疑而无事实依据的；</w:t>
      </w:r>
    </w:p>
    <w:p w14:paraId="547D0BA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（10）其它不符合受理条件的情形。</w:t>
      </w:r>
    </w:p>
    <w:p w14:paraId="15B795B4">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28.7采购代理机构（或采购人）将在系统收到质疑后7个工作日内审查质疑事项，作出答复或相关处理决定，并通过政采云系统线上通知质疑供应商和其他有关供应商，但答复的内容不涉及商业秘密。</w:t>
      </w:r>
    </w:p>
    <w:p w14:paraId="55A778E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28.8质疑供应商对采购代理机构（或采购人）的答复不满意以及采购代理机构（或采购人）未在规定的时间内做出答复的，可以在答复期满后15个工作日内向政府采购监管部门投诉。</w:t>
      </w:r>
    </w:p>
    <w:p w14:paraId="365D418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28.9供应商进行虚假和恶意质疑的，采购代理机构、采购人可以提请政府采购监管部门将其列入不良记录名单，在一至三年内禁止参加政府采购活动，并将处理决定在相关政府采购媒体上公布。</w:t>
      </w:r>
    </w:p>
    <w:p w14:paraId="3D9947C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1"/>
        <w:rPr>
          <w:rFonts w:hint="eastAsia" w:ascii="仿宋" w:hAnsi="仿宋" w:eastAsia="仿宋" w:cs="仿宋"/>
          <w:b/>
          <w:bCs/>
          <w:color w:val="auto"/>
          <w:sz w:val="21"/>
          <w:szCs w:val="21"/>
          <w:lang w:val="en-US" w:eastAsia="zh-CN"/>
        </w:rPr>
      </w:pPr>
      <w:bookmarkStart w:id="111" w:name="_Toc15616"/>
      <w:bookmarkStart w:id="112" w:name="_Toc18529"/>
      <w:bookmarkStart w:id="113" w:name="_Toc4566"/>
      <w:r>
        <w:rPr>
          <w:rFonts w:hint="eastAsia" w:ascii="仿宋" w:hAnsi="仿宋" w:eastAsia="仿宋" w:cs="仿宋"/>
          <w:b/>
          <w:bCs/>
          <w:color w:val="auto"/>
          <w:sz w:val="21"/>
          <w:szCs w:val="21"/>
          <w:lang w:val="en-US" w:eastAsia="zh-CN"/>
        </w:rPr>
        <w:t>九、违约处罚</w:t>
      </w:r>
      <w:bookmarkEnd w:id="111"/>
      <w:bookmarkEnd w:id="112"/>
      <w:bookmarkEnd w:id="113"/>
    </w:p>
    <w:p w14:paraId="75D3181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 xml:space="preserve">29. 供应商发生下列情况之一的，磋商保证金将被没收，并可能被列入不良记录名单，同时采购代理机构将提请采购监管部门，依据政府采购法律法规的规定作出处理。 </w:t>
      </w:r>
    </w:p>
    <w:p w14:paraId="40F0914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29.1开标后在投标有效期内，供应商撤回其投标；</w:t>
      </w:r>
    </w:p>
    <w:p w14:paraId="191AD6A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29.2在磋商期间，供应商企图影响采购代理机构或磋商小组的任何活动，将导致报价被拒绝，并由其承担相应的法律责任；</w:t>
      </w:r>
    </w:p>
    <w:p w14:paraId="0E35983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29.3成交供应商未按本磋商文件规定签约； </w:t>
      </w:r>
    </w:p>
    <w:p w14:paraId="1EBB7FD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29.4成交供应商与采购人订立背离合同实质性内容的其它协议； </w:t>
      </w:r>
    </w:p>
    <w:p w14:paraId="040C480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29.5成交供应商未按磋商文件规定和合同约定履行义务的。</w:t>
      </w:r>
    </w:p>
    <w:p w14:paraId="51C8CED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30．采购人有下列情形之一的，由有关部门责令限期改正；情节严重的，给予警告，对直接负责的主管人员和其他直接责任人员由其行政主管部门或者有关机关依法给予处分，并予以通报；涉嫌犯罪的，移送司法机关处理：</w:t>
      </w:r>
    </w:p>
    <w:p w14:paraId="5895E74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（一）未按照本办法的规定编制商务、技术要求的；</w:t>
      </w:r>
    </w:p>
    <w:p w14:paraId="67C22E1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（二）采购人向供应商索要或者接受其给予的赠品、回扣或者与采购无关的其他商品、服务的；</w:t>
      </w:r>
    </w:p>
    <w:p w14:paraId="670BDB87">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（三）向成交供应商提出不合理要求作为签订合同条件的。</w:t>
      </w:r>
    </w:p>
    <w:p w14:paraId="6162FE32">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31．磋商小组及其成员不得有下列行为：</w:t>
      </w:r>
    </w:p>
    <w:p w14:paraId="2645C35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（一）确定参与评审至评审结束前私自接触供应商；</w:t>
      </w:r>
    </w:p>
    <w:p w14:paraId="3AA5FD6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（二）接受供应商提出的与响应文件不一致的澄清或者说明，对于响应文件中含义不明确、同类问题表述不一致或者有明显文字和计算错误的内容的情形除外；</w:t>
      </w:r>
    </w:p>
    <w:p w14:paraId="435D67E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（三）违反评审纪律发表倾向性意见或者征询采购人的倾向性意见；</w:t>
      </w:r>
    </w:p>
    <w:p w14:paraId="2BD0946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（四）对需要专业判断的主观评审因素协商评分；</w:t>
      </w:r>
    </w:p>
    <w:p w14:paraId="117D3E86">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（五）在评审过程中擅离职守，影响评审程序正常进行的；</w:t>
      </w:r>
    </w:p>
    <w:p w14:paraId="46E63FA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（六）记录、复制或者带走任何评标资料；</w:t>
      </w:r>
    </w:p>
    <w:p w14:paraId="7C6253A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（七）其他不遵守评标纪律的行为。</w:t>
      </w:r>
    </w:p>
    <w:p w14:paraId="3A362FB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磋商小组成员有前款第一至五项行为之一的，其评审意见无效，并不得获取评审劳务报酬和报销异地评审差旅费。</w:t>
      </w:r>
    </w:p>
    <w:p w14:paraId="45F9D89B">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2" w:firstLineChars="200"/>
        <w:textAlignment w:val="baseline"/>
        <w:outlineLvl w:val="2"/>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32．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14:paraId="7498D3A8">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（一）采购代理机构及其分支机构在所代理的采购项目中投标或者采购代理投标</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为所代理的采购项目的</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参加本项目提供投标咨询的；</w:t>
      </w:r>
    </w:p>
    <w:p w14:paraId="08DE0B7E">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（二）设定最低限价的；</w:t>
      </w:r>
    </w:p>
    <w:p w14:paraId="26583389">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（三）未按照规定进行资格预审或者资格审查的；</w:t>
      </w:r>
    </w:p>
    <w:p w14:paraId="76AFBF41">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（四）违反本办法规定确定磋商文件售价的；</w:t>
      </w:r>
    </w:p>
    <w:p w14:paraId="1A5B71E5">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（五）未按规定对开标、评标活动进行全程录音录像的；</w:t>
      </w:r>
    </w:p>
    <w:p w14:paraId="37A4528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（六）擅自终止招投标活动的；</w:t>
      </w:r>
    </w:p>
    <w:p w14:paraId="31B07DBD">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（七）未按照规定进行开标和组织评标的；</w:t>
      </w:r>
    </w:p>
    <w:p w14:paraId="3E395D3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（八）未按照规定退还投标保证金的；</w:t>
      </w:r>
    </w:p>
    <w:p w14:paraId="75183BFC">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（九）违反本办法规定进行重新评审或者重新组建磋商小组进行评审的；</w:t>
      </w:r>
    </w:p>
    <w:p w14:paraId="3588A3A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（十）开标前泄露已获取磋商文件的潜在</w:t>
      </w: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 xml:space="preserve">的名称、数量或者其他可能影响公平竞争的有关磋商投标情况的； </w:t>
      </w:r>
    </w:p>
    <w:p w14:paraId="6DE27753">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20" w:firstLineChars="200"/>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rPr>
        <w:t>（十一）未妥善保存磋商文件的；</w:t>
      </w:r>
    </w:p>
    <w:p w14:paraId="4F31F98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2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1"/>
          <w:szCs w:val="21"/>
        </w:rPr>
        <w:t>（十二）其他违反本办法规定的情形。</w:t>
      </w:r>
    </w:p>
    <w:p w14:paraId="0797CCF6">
      <w:pPr>
        <w:pageBreakBefore w:val="0"/>
        <w:kinsoku/>
        <w:bidi w:val="0"/>
        <w:spacing w:beforeAutospacing="0" w:afterAutospacing="0" w:line="360" w:lineRule="auto"/>
        <w:rPr>
          <w:rFonts w:hint="eastAsia" w:ascii="仿宋" w:hAnsi="仿宋" w:eastAsia="仿宋" w:cs="仿宋"/>
          <w:bCs/>
          <w:color w:val="auto"/>
          <w:spacing w:val="10"/>
          <w:sz w:val="21"/>
          <w:szCs w:val="21"/>
        </w:rPr>
      </w:pPr>
      <w:r>
        <w:rPr>
          <w:rFonts w:hint="eastAsia" w:ascii="仿宋" w:hAnsi="仿宋" w:eastAsia="仿宋" w:cs="仿宋"/>
          <w:bCs/>
          <w:color w:val="auto"/>
          <w:spacing w:val="10"/>
          <w:sz w:val="21"/>
          <w:szCs w:val="21"/>
        </w:rPr>
        <w:br w:type="page"/>
      </w:r>
    </w:p>
    <w:p w14:paraId="67DF7B06">
      <w:pPr>
        <w:pStyle w:val="2"/>
        <w:pageBreakBefore w:val="0"/>
        <w:kinsoku/>
        <w:bidi w:val="0"/>
        <w:spacing w:before="0" w:beforeAutospacing="0" w:after="0" w:afterAutospacing="0" w:line="360" w:lineRule="auto"/>
        <w:outlineLvl w:val="9"/>
        <w:rPr>
          <w:rFonts w:hint="eastAsia" w:ascii="仿宋" w:hAnsi="仿宋" w:eastAsia="仿宋" w:cs="仿宋"/>
          <w:color w:val="auto"/>
        </w:rPr>
        <w:sectPr>
          <w:footerReference r:id="rId10" w:type="default"/>
          <w:pgSz w:w="11911" w:h="16838"/>
          <w:pgMar w:top="1134" w:right="1134" w:bottom="1134" w:left="1417" w:header="850" w:footer="975" w:gutter="0"/>
          <w:pgBorders>
            <w:top w:val="none" w:sz="0" w:space="0"/>
            <w:left w:val="none" w:sz="0" w:space="0"/>
            <w:bottom w:val="none" w:sz="0" w:space="0"/>
            <w:right w:val="none" w:sz="0" w:space="0"/>
          </w:pgBorders>
          <w:pgNumType w:fmt="decimal"/>
          <w:cols w:space="0" w:num="1"/>
          <w:rtlGutter w:val="0"/>
          <w:docGrid w:linePitch="0" w:charSpace="0"/>
        </w:sectPr>
      </w:pPr>
      <w:bookmarkStart w:id="114" w:name="_Toc17892"/>
      <w:bookmarkStart w:id="115" w:name="_Toc27906"/>
    </w:p>
    <w:p w14:paraId="0B1CE3F7">
      <w:pPr>
        <w:pStyle w:val="66"/>
        <w:pageBreakBefore w:val="0"/>
        <w:kinsoku/>
        <w:bidi w:val="0"/>
        <w:adjustRightInd/>
        <w:spacing w:before="0" w:beforeAutospacing="0" w:after="0" w:afterAutospacing="0" w:line="360" w:lineRule="auto"/>
        <w:ind w:left="0" w:leftChars="0" w:firstLine="0" w:firstLineChars="0"/>
        <w:jc w:val="center"/>
        <w:textAlignment w:val="auto"/>
        <w:rPr>
          <w:rStyle w:val="51"/>
          <w:rFonts w:hint="eastAsia" w:ascii="仿宋" w:hAnsi="仿宋" w:eastAsia="仿宋" w:cs="仿宋"/>
          <w:b/>
          <w:bCs/>
          <w:color w:val="auto"/>
          <w:sz w:val="30"/>
          <w:szCs w:val="30"/>
          <w:lang w:val="en-US" w:eastAsia="zh-CN"/>
        </w:rPr>
      </w:pPr>
      <w:bookmarkStart w:id="116" w:name="_Toc175644026"/>
      <w:bookmarkStart w:id="117" w:name="_Toc278543498"/>
      <w:bookmarkStart w:id="118" w:name="_Toc13460"/>
      <w:bookmarkStart w:id="119" w:name="_Toc28852"/>
      <w:bookmarkStart w:id="120" w:name="_Toc44690683"/>
      <w:bookmarkStart w:id="121" w:name="_Toc44690609"/>
      <w:bookmarkStart w:id="122" w:name="_Toc29539"/>
      <w:r>
        <w:rPr>
          <w:rStyle w:val="51"/>
          <w:rFonts w:hint="eastAsia" w:ascii="仿宋" w:hAnsi="仿宋" w:eastAsia="仿宋" w:cs="仿宋"/>
          <w:b/>
          <w:bCs/>
          <w:color w:val="auto"/>
          <w:sz w:val="30"/>
          <w:szCs w:val="30"/>
          <w:lang w:val="en-US" w:eastAsia="zh-CN"/>
        </w:rPr>
        <w:t xml:space="preserve">第四部分  </w:t>
      </w:r>
      <w:bookmarkEnd w:id="116"/>
      <w:bookmarkEnd w:id="117"/>
      <w:bookmarkEnd w:id="118"/>
      <w:r>
        <w:rPr>
          <w:rStyle w:val="51"/>
          <w:rFonts w:hint="eastAsia" w:ascii="仿宋" w:hAnsi="仿宋" w:eastAsia="仿宋" w:cs="仿宋"/>
          <w:b/>
          <w:bCs/>
          <w:color w:val="auto"/>
          <w:sz w:val="30"/>
          <w:szCs w:val="30"/>
          <w:lang w:val="en-US" w:eastAsia="zh-CN"/>
        </w:rPr>
        <w:t>评审标准和评审方法</w:t>
      </w:r>
      <w:bookmarkEnd w:id="119"/>
      <w:bookmarkEnd w:id="120"/>
      <w:bookmarkEnd w:id="121"/>
      <w:bookmarkEnd w:id="122"/>
    </w:p>
    <w:p w14:paraId="1DC42AD6">
      <w:pPr>
        <w:keepNext w:val="0"/>
        <w:keepLines w:val="0"/>
        <w:pageBreakBefore w:val="0"/>
        <w:widowControl w:val="0"/>
        <w:kinsoku/>
        <w:wordWrap/>
        <w:overflowPunct w:val="0"/>
        <w:topLinePunct/>
        <w:autoSpaceDE/>
        <w:autoSpaceDN w:val="0"/>
        <w:bidi w:val="0"/>
        <w:adjustRightInd w:val="0"/>
        <w:snapToGrid w:val="0"/>
        <w:spacing w:beforeAutospacing="0" w:afterAutospacing="0" w:line="360" w:lineRule="auto"/>
        <w:jc w:val="left"/>
        <w:textAlignment w:val="auto"/>
        <w:outlineLvl w:val="1"/>
        <w:rPr>
          <w:rFonts w:hint="eastAsia" w:ascii="仿宋" w:hAnsi="仿宋" w:eastAsia="仿宋" w:cs="仿宋"/>
          <w:b/>
          <w:bCs/>
          <w:snapToGrid w:val="0"/>
          <w:color w:val="auto"/>
          <w:kern w:val="0"/>
          <w:sz w:val="24"/>
          <w:szCs w:val="24"/>
        </w:rPr>
      </w:pPr>
      <w:bookmarkStart w:id="123" w:name="_Toc43363081"/>
      <w:bookmarkStart w:id="124" w:name="_Toc25917"/>
      <w:bookmarkStart w:id="125" w:name="_Toc44690684"/>
      <w:bookmarkStart w:id="126" w:name="_Toc44690610"/>
      <w:r>
        <w:rPr>
          <w:rFonts w:hint="eastAsia" w:ascii="仿宋" w:hAnsi="仿宋" w:eastAsia="仿宋" w:cs="仿宋"/>
          <w:b/>
          <w:bCs/>
          <w:snapToGrid w:val="0"/>
          <w:color w:val="auto"/>
          <w:kern w:val="0"/>
          <w:sz w:val="24"/>
          <w:szCs w:val="24"/>
        </w:rPr>
        <w:t>一、评审标准</w:t>
      </w:r>
      <w:bookmarkEnd w:id="123"/>
      <w:bookmarkEnd w:id="124"/>
      <w:bookmarkEnd w:id="125"/>
      <w:bookmarkEnd w:id="126"/>
    </w:p>
    <w:p w14:paraId="39B87806">
      <w:pPr>
        <w:keepNext w:val="0"/>
        <w:keepLines w:val="0"/>
        <w:pageBreakBefore w:val="0"/>
        <w:widowControl w:val="0"/>
        <w:kinsoku/>
        <w:wordWrap/>
        <w:overflowPunct w:val="0"/>
        <w:topLinePunct/>
        <w:autoSpaceDE/>
        <w:autoSpaceDN w:val="0"/>
        <w:bidi w:val="0"/>
        <w:adjustRightInd w:val="0"/>
        <w:snapToGrid w:val="0"/>
        <w:spacing w:beforeAutospacing="0" w:afterAutospacing="0" w:line="360" w:lineRule="auto"/>
        <w:ind w:firstLine="482" w:firstLineChars="200"/>
        <w:textAlignment w:val="auto"/>
        <w:rPr>
          <w:rFonts w:hint="eastAsia" w:ascii="仿宋" w:hAnsi="仿宋" w:eastAsia="仿宋" w:cs="仿宋"/>
          <w:b/>
          <w:bCs/>
          <w:snapToGrid w:val="0"/>
          <w:color w:val="auto"/>
          <w:kern w:val="0"/>
          <w:sz w:val="24"/>
          <w:szCs w:val="24"/>
        </w:rPr>
      </w:pPr>
      <w:r>
        <w:rPr>
          <w:rFonts w:hint="eastAsia" w:ascii="仿宋" w:hAnsi="仿宋" w:eastAsia="仿宋" w:cs="仿宋"/>
          <w:b/>
          <w:bCs/>
          <w:snapToGrid w:val="0"/>
          <w:color w:val="auto"/>
          <w:kern w:val="0"/>
          <w:sz w:val="24"/>
          <w:szCs w:val="24"/>
        </w:rPr>
        <w:t>（一）评审原则和方法</w:t>
      </w:r>
    </w:p>
    <w:p w14:paraId="2BB2C6F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磋商小组在评审时，依据最后报价和各项商务、技术等因素量化指标对磋商供应商进行综合评分（具体评分见评分细则），得分最高的磋商供应商为成交供应商或成交第一候选供应商。</w:t>
      </w:r>
    </w:p>
    <w:p w14:paraId="3ACE07D3">
      <w:pPr>
        <w:keepNext w:val="0"/>
        <w:keepLines w:val="0"/>
        <w:pageBreakBefore w:val="0"/>
        <w:widowControl w:val="0"/>
        <w:kinsoku/>
        <w:wordWrap/>
        <w:overflowPunct w:val="0"/>
        <w:topLinePunct/>
        <w:autoSpaceDE/>
        <w:autoSpaceDN w:val="0"/>
        <w:bidi w:val="0"/>
        <w:adjustRightInd w:val="0"/>
        <w:snapToGrid w:val="0"/>
        <w:spacing w:beforeAutospacing="0" w:afterAutospacing="0" w:line="360" w:lineRule="auto"/>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snapToGrid w:val="0"/>
          <w:color w:val="auto"/>
          <w:kern w:val="0"/>
          <w:sz w:val="24"/>
          <w:szCs w:val="24"/>
        </w:rPr>
        <w:t>（二）</w:t>
      </w:r>
      <w:r>
        <w:rPr>
          <w:rFonts w:hint="eastAsia" w:ascii="仿宋" w:hAnsi="仿宋" w:eastAsia="仿宋" w:cs="仿宋"/>
          <w:b/>
          <w:color w:val="auto"/>
          <w:sz w:val="24"/>
          <w:szCs w:val="24"/>
        </w:rPr>
        <w:t>资格审查内容及标准</w:t>
      </w:r>
    </w:p>
    <w:tbl>
      <w:tblPr>
        <w:tblStyle w:val="36"/>
        <w:tblW w:w="4806" w:type="pct"/>
        <w:tblInd w:w="3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10"/>
        <w:gridCol w:w="2638"/>
        <w:gridCol w:w="5756"/>
      </w:tblGrid>
      <w:tr w14:paraId="321E4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0D346820">
            <w:pPr>
              <w:pageBreakBefore w:val="0"/>
              <w:kinsoku/>
              <w:bidi w:val="0"/>
              <w:spacing w:beforeAutospacing="0" w:afterAutospacing="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0437A145">
            <w:pPr>
              <w:pageBreakBefore w:val="0"/>
              <w:kinsoku/>
              <w:bidi w:val="0"/>
              <w:spacing w:beforeAutospacing="0" w:afterAutospacing="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5ED81BC2">
            <w:pPr>
              <w:pageBreakBefore w:val="0"/>
              <w:kinsoku/>
              <w:bidi w:val="0"/>
              <w:spacing w:beforeAutospacing="0" w:afterAutospacing="0"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w:t>
            </w:r>
          </w:p>
        </w:tc>
      </w:tr>
      <w:tr w14:paraId="036AF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6"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343C671F">
            <w:pPr>
              <w:pageBreakBefore w:val="0"/>
              <w:kinsoku/>
              <w:bidi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398213E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磋商供应商代表证明</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268C311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（1）法定代表人（负责人）参加磋商的，</w:t>
            </w:r>
            <w:r>
              <w:rPr>
                <w:rFonts w:hint="eastAsia" w:ascii="仿宋" w:hAnsi="仿宋" w:eastAsia="仿宋" w:cs="仿宋"/>
                <w:color w:val="auto"/>
                <w:sz w:val="22"/>
                <w:szCs w:val="22"/>
                <w:lang w:val="en-US" w:eastAsia="zh-CN"/>
              </w:rPr>
              <w:t>仅</w:t>
            </w:r>
            <w:r>
              <w:rPr>
                <w:rFonts w:hint="eastAsia" w:ascii="仿宋" w:hAnsi="仿宋" w:eastAsia="仿宋" w:cs="仿宋"/>
                <w:color w:val="auto"/>
                <w:sz w:val="22"/>
                <w:szCs w:val="22"/>
              </w:rPr>
              <w:t>提供“法定代表人（负责人）</w:t>
            </w:r>
            <w:r>
              <w:rPr>
                <w:rFonts w:hint="eastAsia" w:ascii="仿宋" w:hAnsi="仿宋" w:eastAsia="仿宋" w:cs="仿宋"/>
                <w:color w:val="auto"/>
                <w:sz w:val="22"/>
                <w:szCs w:val="22"/>
                <w:lang w:val="en-US" w:eastAsia="zh-CN"/>
              </w:rPr>
              <w:t>身份</w:t>
            </w:r>
            <w:r>
              <w:rPr>
                <w:rFonts w:hint="eastAsia" w:ascii="仿宋" w:hAnsi="仿宋" w:eastAsia="仿宋" w:cs="仿宋"/>
                <w:color w:val="auto"/>
                <w:sz w:val="22"/>
                <w:szCs w:val="22"/>
              </w:rPr>
              <w:t>证明书”</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委托代理人参加磋商的，</w:t>
            </w:r>
            <w:r>
              <w:rPr>
                <w:rFonts w:hint="eastAsia" w:ascii="仿宋" w:hAnsi="仿宋" w:eastAsia="仿宋" w:cs="仿宋"/>
                <w:color w:val="auto"/>
                <w:sz w:val="22"/>
                <w:szCs w:val="22"/>
                <w:lang w:val="en-US" w:eastAsia="zh-CN"/>
              </w:rPr>
              <w:t>还须</w:t>
            </w:r>
            <w:r>
              <w:rPr>
                <w:rFonts w:hint="eastAsia" w:ascii="仿宋" w:hAnsi="仿宋" w:eastAsia="仿宋" w:cs="仿宋"/>
                <w:color w:val="auto"/>
                <w:sz w:val="22"/>
                <w:szCs w:val="22"/>
              </w:rPr>
              <w:t>提供“法定代表人（负责人）授权委托书”</w:t>
            </w:r>
          </w:p>
          <w:p w14:paraId="17B6DA6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）自然人参加磋商的，提供个人身份证明扫描件</w:t>
            </w:r>
          </w:p>
          <w:p w14:paraId="21F1FC8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内容齐全，</w:t>
            </w:r>
            <w:r>
              <w:rPr>
                <w:rFonts w:hint="eastAsia" w:ascii="仿宋" w:hAnsi="仿宋" w:eastAsia="仿宋" w:cs="仿宋"/>
                <w:color w:val="auto"/>
                <w:sz w:val="22"/>
                <w:szCs w:val="22"/>
                <w:lang w:val="en-US" w:eastAsia="zh-CN"/>
              </w:rPr>
              <w:t>盖</w:t>
            </w:r>
            <w:r>
              <w:rPr>
                <w:rFonts w:hint="eastAsia" w:ascii="仿宋" w:hAnsi="仿宋" w:eastAsia="仿宋" w:cs="仿宋"/>
                <w:color w:val="auto"/>
                <w:sz w:val="22"/>
                <w:szCs w:val="22"/>
              </w:rPr>
              <w:t>章符合要求。</w:t>
            </w:r>
          </w:p>
        </w:tc>
      </w:tr>
      <w:tr w14:paraId="5451F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1"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7DDB404B">
            <w:pPr>
              <w:pageBreakBefore w:val="0"/>
              <w:kinsoku/>
              <w:bidi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0C93E0EC">
            <w:pPr>
              <w:pageBreakBefore w:val="0"/>
              <w:kinsoku/>
              <w:bidi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响应函</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6058B24E">
            <w:pPr>
              <w:pageBreakBefore w:val="0"/>
              <w:kinsoku/>
              <w:bidi w:val="0"/>
              <w:spacing w:beforeAutospacing="0" w:afterAutospacing="0" w:line="360" w:lineRule="auto"/>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内容齐全，</w:t>
            </w:r>
            <w:r>
              <w:rPr>
                <w:rFonts w:hint="eastAsia" w:ascii="仿宋" w:hAnsi="仿宋" w:eastAsia="仿宋" w:cs="仿宋"/>
                <w:color w:val="auto"/>
                <w:sz w:val="22"/>
                <w:szCs w:val="22"/>
                <w:lang w:val="en-US" w:eastAsia="zh-CN"/>
              </w:rPr>
              <w:t>盖</w:t>
            </w:r>
            <w:r>
              <w:rPr>
                <w:rFonts w:hint="eastAsia" w:ascii="仿宋" w:hAnsi="仿宋" w:eastAsia="仿宋" w:cs="仿宋"/>
                <w:color w:val="auto"/>
                <w:sz w:val="22"/>
                <w:szCs w:val="22"/>
              </w:rPr>
              <w:t>章符合要求。</w:t>
            </w:r>
          </w:p>
        </w:tc>
      </w:tr>
      <w:tr w14:paraId="61FD1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269B5B40">
            <w:pPr>
              <w:pageBreakBefore w:val="0"/>
              <w:kinsoku/>
              <w:bidi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51EB557A">
            <w:pPr>
              <w:pageBreakBefore w:val="0"/>
              <w:kinsoku/>
              <w:bidi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具有独立承担民事责任的能力</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578AB5C0">
            <w:pPr>
              <w:pageBreakBefore w:val="0"/>
              <w:kinsoku/>
              <w:bidi w:val="0"/>
              <w:spacing w:beforeAutospacing="0" w:afterAutospacing="0" w:line="360" w:lineRule="auto"/>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提供供应商信用承诺书。</w:t>
            </w:r>
          </w:p>
          <w:p w14:paraId="37B3CDCA">
            <w:pPr>
              <w:pageBreakBefore w:val="0"/>
              <w:kinsoku/>
              <w:bidi w:val="0"/>
              <w:spacing w:beforeAutospacing="0" w:afterAutospacing="0" w:line="360" w:lineRule="auto"/>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以上证明材料须符合要求、有效、完整。否则，响应无效。</w:t>
            </w:r>
          </w:p>
        </w:tc>
      </w:tr>
      <w:tr w14:paraId="15685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4809B356">
            <w:pPr>
              <w:pageBreakBefore w:val="0"/>
              <w:kinsoku/>
              <w:bidi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3C92E747">
            <w:pPr>
              <w:pageBreakBefore w:val="0"/>
              <w:kinsoku/>
              <w:bidi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具有良好的商业信誉和健全的财务会计制度</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7F9AB59F">
            <w:pPr>
              <w:pageBreakBefore w:val="0"/>
              <w:kinsoku/>
              <w:bidi w:val="0"/>
              <w:spacing w:beforeAutospacing="0" w:afterAutospacing="0" w:line="360" w:lineRule="auto"/>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提供供应商信用承诺书。</w:t>
            </w:r>
          </w:p>
          <w:p w14:paraId="683D5D95">
            <w:pPr>
              <w:pageBreakBefore w:val="0"/>
              <w:kinsoku/>
              <w:bidi w:val="0"/>
              <w:spacing w:beforeAutospacing="0" w:afterAutospacing="0" w:line="360" w:lineRule="auto"/>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以上证明材料须符合要求、有效、完整。否则，响应无效。</w:t>
            </w:r>
          </w:p>
        </w:tc>
      </w:tr>
      <w:tr w14:paraId="0F69A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0"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6EE93115">
            <w:pPr>
              <w:pageBreakBefore w:val="0"/>
              <w:kinsoku/>
              <w:bidi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213E9CB7">
            <w:pPr>
              <w:pageBreakBefore w:val="0"/>
              <w:kinsoku/>
              <w:bidi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具有履行合同所必需的设备和专业技术能力</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3DAC94C0">
            <w:pPr>
              <w:pageBreakBefore w:val="0"/>
              <w:kinsoku/>
              <w:bidi w:val="0"/>
              <w:spacing w:beforeAutospacing="0" w:afterAutospacing="0" w:line="360" w:lineRule="auto"/>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提供供应商信用承诺书。</w:t>
            </w:r>
          </w:p>
          <w:p w14:paraId="6ACDC340">
            <w:pPr>
              <w:pageBreakBefore w:val="0"/>
              <w:kinsoku/>
              <w:bidi w:val="0"/>
              <w:spacing w:beforeAutospacing="0" w:afterAutospacing="0" w:line="360" w:lineRule="auto"/>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以上证明材料须符合要求、有效、完整。否则，响应无效。</w:t>
            </w:r>
          </w:p>
        </w:tc>
      </w:tr>
      <w:tr w14:paraId="0B36C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5"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5A7F9866">
            <w:pPr>
              <w:pageBreakBefore w:val="0"/>
              <w:kinsoku/>
              <w:bidi w:val="0"/>
              <w:spacing w:beforeAutospacing="0" w:afterAutospacing="0"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6</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23ABF8A4">
            <w:pPr>
              <w:pageBreakBefore w:val="0"/>
              <w:kinsoku/>
              <w:bidi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有依法缴纳税收和社会保障资金的良好记录</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1587DA91">
            <w:pPr>
              <w:pageBreakBefore w:val="0"/>
              <w:kinsoku/>
              <w:bidi w:val="0"/>
              <w:spacing w:beforeAutospacing="0" w:afterAutospacing="0" w:line="360" w:lineRule="auto"/>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提供供应商信用承诺书。</w:t>
            </w:r>
          </w:p>
          <w:p w14:paraId="25172F35">
            <w:pPr>
              <w:pageBreakBefore w:val="0"/>
              <w:kinsoku/>
              <w:bidi w:val="0"/>
              <w:spacing w:beforeAutospacing="0" w:afterAutospacing="0" w:line="360" w:lineRule="auto"/>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以上证明材料须符合要求、有效、完整。否则，响应无效。</w:t>
            </w:r>
          </w:p>
        </w:tc>
      </w:tr>
      <w:tr w14:paraId="29B1F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3"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76FFF502">
            <w:pPr>
              <w:pageBreakBefore w:val="0"/>
              <w:kinsoku/>
              <w:bidi w:val="0"/>
              <w:spacing w:beforeAutospacing="0" w:afterAutospacing="0"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7</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526A130B">
            <w:pPr>
              <w:pageBreakBefore w:val="0"/>
              <w:kinsoku/>
              <w:bidi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参加政府采购活动前三年内，在经营活动中没有重大违法记录</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781F5A90">
            <w:pPr>
              <w:pageBreakBefore w:val="0"/>
              <w:kinsoku/>
              <w:bidi w:val="0"/>
              <w:spacing w:beforeAutospacing="0" w:afterAutospacing="0" w:line="360" w:lineRule="auto"/>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提供供应商信用承诺书。</w:t>
            </w:r>
          </w:p>
          <w:p w14:paraId="6CC1DF81">
            <w:pPr>
              <w:pageBreakBefore w:val="0"/>
              <w:kinsoku/>
              <w:bidi w:val="0"/>
              <w:spacing w:beforeAutospacing="0" w:afterAutospacing="0" w:line="360" w:lineRule="auto"/>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以上证明材料须符合要求、有效、完整。否则，响应无效。</w:t>
            </w:r>
          </w:p>
        </w:tc>
      </w:tr>
      <w:tr w14:paraId="112B22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76D5E856">
            <w:pPr>
              <w:pageBreakBefore w:val="0"/>
              <w:kinsoku/>
              <w:bidi w:val="0"/>
              <w:spacing w:beforeAutospacing="0" w:afterAutospacing="0" w:line="36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4A79B1D1">
            <w:pPr>
              <w:pageBreakBefore w:val="0"/>
              <w:kinsoku/>
              <w:bidi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中小企业声明函</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005DD016">
            <w:pPr>
              <w:pageBreakBefore w:val="0"/>
              <w:kinsoku/>
              <w:bidi w:val="0"/>
              <w:spacing w:beforeAutospacing="0" w:afterAutospacing="0" w:line="360" w:lineRule="auto"/>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符合磋商文件要求</w:t>
            </w:r>
          </w:p>
        </w:tc>
      </w:tr>
      <w:tr w14:paraId="744CB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1"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73E09DEA">
            <w:pPr>
              <w:pageBreakBefore w:val="0"/>
              <w:kinsoku/>
              <w:bidi w:val="0"/>
              <w:spacing w:beforeAutospacing="0" w:afterAutospacing="0"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9</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377E730D">
            <w:pPr>
              <w:pageBreakBefore w:val="0"/>
              <w:kinsoku/>
              <w:bidi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b w:val="0"/>
                <w:bCs/>
                <w:color w:val="auto"/>
                <w:sz w:val="22"/>
                <w:szCs w:val="22"/>
                <w:lang w:val="en-US" w:eastAsia="zh-CN"/>
              </w:rPr>
              <w:t>本项目要求的其他特定资格条件</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020FD37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资质条件：</w:t>
            </w:r>
            <w:r>
              <w:rPr>
                <w:rFonts w:hint="eastAsia" w:ascii="仿宋" w:hAnsi="仿宋" w:eastAsia="仿宋" w:cs="仿宋"/>
                <w:color w:val="auto"/>
                <w:sz w:val="22"/>
                <w:szCs w:val="22"/>
                <w:lang w:val="zh-CN" w:eastAsia="zh-CN"/>
              </w:rPr>
              <w:t>供应商须具备建设行政主管部门核发的市政公用工程监理乙级及以上资质或者工程监理综合资质，供应商拟派项目总监理工程师须具备市政公用工程专业国家级注册监理工程师</w:t>
            </w:r>
            <w:r>
              <w:rPr>
                <w:rFonts w:hint="eastAsia" w:ascii="仿宋" w:hAnsi="仿宋" w:eastAsia="仿宋" w:cs="仿宋"/>
                <w:color w:val="auto"/>
                <w:sz w:val="22"/>
                <w:szCs w:val="22"/>
                <w:lang w:val="en-US" w:eastAsia="zh-CN"/>
              </w:rPr>
              <w:t>执业</w:t>
            </w:r>
            <w:r>
              <w:rPr>
                <w:rFonts w:hint="eastAsia" w:ascii="仿宋" w:hAnsi="仿宋" w:eastAsia="仿宋" w:cs="仿宋"/>
                <w:color w:val="auto"/>
                <w:sz w:val="22"/>
                <w:szCs w:val="22"/>
                <w:lang w:val="zh-CN" w:eastAsia="zh-CN"/>
              </w:rPr>
              <w:t>资格</w:t>
            </w:r>
            <w:r>
              <w:rPr>
                <w:rFonts w:hint="eastAsia" w:ascii="仿宋" w:hAnsi="仿宋" w:eastAsia="仿宋" w:cs="仿宋"/>
                <w:color w:val="auto"/>
                <w:sz w:val="22"/>
                <w:szCs w:val="22"/>
                <w:lang w:val="en-US" w:eastAsia="zh-CN"/>
              </w:rPr>
              <w:t>。</w:t>
            </w:r>
          </w:p>
          <w:p w14:paraId="0DCB285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扫描件清晰、符合要求。</w:t>
            </w:r>
          </w:p>
        </w:tc>
      </w:tr>
      <w:tr w14:paraId="40B62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trPr>
        <w:tc>
          <w:tcPr>
            <w:tcW w:w="440" w:type="pct"/>
            <w:tcBorders>
              <w:top w:val="single" w:color="auto" w:sz="2" w:space="0"/>
              <w:left w:val="single" w:color="auto" w:sz="2" w:space="0"/>
              <w:bottom w:val="single" w:color="auto" w:sz="2" w:space="0"/>
              <w:right w:val="single" w:color="auto" w:sz="2" w:space="0"/>
            </w:tcBorders>
            <w:noWrap w:val="0"/>
            <w:vAlign w:val="center"/>
          </w:tcPr>
          <w:p w14:paraId="3F2D5A13">
            <w:pPr>
              <w:pageBreakBefore w:val="0"/>
              <w:kinsoku/>
              <w:bidi w:val="0"/>
              <w:spacing w:beforeAutospacing="0" w:afterAutospacing="0" w:line="36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w:t>
            </w:r>
          </w:p>
        </w:tc>
        <w:tc>
          <w:tcPr>
            <w:tcW w:w="1433" w:type="pct"/>
            <w:tcBorders>
              <w:top w:val="single" w:color="auto" w:sz="2" w:space="0"/>
              <w:left w:val="single" w:color="auto" w:sz="2" w:space="0"/>
              <w:bottom w:val="single" w:color="auto" w:sz="2" w:space="0"/>
              <w:right w:val="single" w:color="auto" w:sz="2" w:space="0"/>
            </w:tcBorders>
            <w:noWrap w:val="0"/>
            <w:vAlign w:val="center"/>
          </w:tcPr>
          <w:p w14:paraId="235C8EF9">
            <w:pPr>
              <w:pageBreakBefore w:val="0"/>
              <w:kinsoku/>
              <w:bidi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保证金的</w:t>
            </w:r>
            <w:r>
              <w:rPr>
                <w:rFonts w:hint="eastAsia" w:ascii="仿宋" w:hAnsi="仿宋" w:eastAsia="仿宋" w:cs="仿宋"/>
                <w:color w:val="auto"/>
                <w:sz w:val="22"/>
                <w:szCs w:val="22"/>
                <w:lang w:val="en-US" w:eastAsia="zh-CN"/>
              </w:rPr>
              <w:t>缴纳</w:t>
            </w:r>
            <w:r>
              <w:rPr>
                <w:rFonts w:hint="eastAsia" w:ascii="仿宋" w:hAnsi="仿宋" w:eastAsia="仿宋" w:cs="仿宋"/>
                <w:color w:val="auto"/>
                <w:sz w:val="22"/>
                <w:szCs w:val="22"/>
              </w:rPr>
              <w:t>情况</w:t>
            </w:r>
          </w:p>
        </w:tc>
        <w:tc>
          <w:tcPr>
            <w:tcW w:w="3126" w:type="pct"/>
            <w:tcBorders>
              <w:top w:val="single" w:color="auto" w:sz="2" w:space="0"/>
              <w:left w:val="single" w:color="auto" w:sz="2" w:space="0"/>
              <w:bottom w:val="single" w:color="auto" w:sz="2" w:space="0"/>
              <w:right w:val="single" w:color="auto" w:sz="2" w:space="0"/>
            </w:tcBorders>
            <w:noWrap w:val="0"/>
            <w:vAlign w:val="center"/>
          </w:tcPr>
          <w:p w14:paraId="22B55138">
            <w:pPr>
              <w:pageBreakBefore w:val="0"/>
              <w:kinsoku/>
              <w:bidi w:val="0"/>
              <w:spacing w:beforeAutospacing="0" w:afterAutospacing="0" w:line="360" w:lineRule="auto"/>
              <w:jc w:val="both"/>
              <w:rPr>
                <w:rFonts w:hint="eastAsia" w:ascii="仿宋" w:hAnsi="仿宋" w:eastAsia="仿宋" w:cs="仿宋"/>
                <w:color w:val="auto"/>
                <w:sz w:val="22"/>
                <w:szCs w:val="22"/>
              </w:rPr>
            </w:pPr>
            <w:r>
              <w:rPr>
                <w:rFonts w:hint="eastAsia" w:ascii="仿宋" w:hAnsi="仿宋" w:eastAsia="仿宋" w:cs="仿宋"/>
                <w:color w:val="auto"/>
                <w:sz w:val="22"/>
                <w:szCs w:val="22"/>
              </w:rPr>
              <w:t>磋商保证金要足额</w:t>
            </w:r>
            <w:r>
              <w:rPr>
                <w:rFonts w:hint="eastAsia" w:ascii="仿宋" w:hAnsi="仿宋" w:eastAsia="仿宋" w:cs="仿宋"/>
                <w:color w:val="auto"/>
                <w:sz w:val="22"/>
                <w:szCs w:val="22"/>
                <w:lang w:val="en-US" w:eastAsia="zh-CN"/>
              </w:rPr>
              <w:t>缴纳，形式符合磋商供应商须知前附表第10条的规定，并在响应文件中附相关证明材料。</w:t>
            </w:r>
          </w:p>
          <w:p w14:paraId="472DA01C">
            <w:pPr>
              <w:pageBreakBefore w:val="0"/>
              <w:kinsoku/>
              <w:bidi w:val="0"/>
              <w:spacing w:beforeAutospacing="0" w:afterAutospacing="0" w:line="360" w:lineRule="auto"/>
              <w:jc w:val="both"/>
              <w:rPr>
                <w:rFonts w:hint="eastAsia" w:ascii="仿宋" w:hAnsi="仿宋" w:eastAsia="仿宋" w:cs="仿宋"/>
                <w:color w:val="auto"/>
                <w:sz w:val="22"/>
                <w:szCs w:val="22"/>
              </w:rPr>
            </w:pPr>
            <w:r>
              <w:rPr>
                <w:rFonts w:hint="eastAsia" w:ascii="仿宋" w:hAnsi="仿宋" w:eastAsia="仿宋" w:cs="仿宋"/>
                <w:color w:val="auto"/>
                <w:sz w:val="22"/>
                <w:szCs w:val="22"/>
              </w:rPr>
              <w:t>证明</w:t>
            </w:r>
            <w:r>
              <w:rPr>
                <w:rFonts w:hint="eastAsia" w:ascii="仿宋" w:hAnsi="仿宋" w:eastAsia="仿宋" w:cs="仿宋"/>
                <w:color w:val="auto"/>
                <w:sz w:val="22"/>
                <w:szCs w:val="22"/>
                <w:lang w:val="en-US" w:eastAsia="zh-CN"/>
              </w:rPr>
              <w:t>材料</w:t>
            </w:r>
            <w:r>
              <w:rPr>
                <w:rFonts w:hint="eastAsia" w:ascii="仿宋" w:hAnsi="仿宋" w:eastAsia="仿宋" w:cs="仿宋"/>
                <w:color w:val="auto"/>
                <w:sz w:val="22"/>
                <w:szCs w:val="22"/>
              </w:rPr>
              <w:t>扫描件清晰</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有效、符合要求</w:t>
            </w:r>
            <w:r>
              <w:rPr>
                <w:rFonts w:hint="eastAsia" w:ascii="仿宋" w:hAnsi="仿宋" w:eastAsia="仿宋" w:cs="仿宋"/>
                <w:color w:val="auto"/>
                <w:sz w:val="22"/>
                <w:szCs w:val="22"/>
              </w:rPr>
              <w:t>。</w:t>
            </w:r>
          </w:p>
        </w:tc>
      </w:tr>
    </w:tbl>
    <w:p w14:paraId="2A7B90D6">
      <w:pPr>
        <w:pageBreakBefore w:val="0"/>
        <w:kinsoku/>
        <w:bidi w:val="0"/>
        <w:spacing w:beforeAutospacing="0" w:afterAutospacing="0" w:line="360" w:lineRule="auto"/>
        <w:ind w:left="1050" w:hanging="1200" w:hangingChars="500"/>
        <w:rPr>
          <w:rFonts w:hint="eastAsia" w:ascii="仿宋" w:hAnsi="仿宋" w:eastAsia="仿宋" w:cs="仿宋"/>
          <w:color w:val="auto"/>
          <w:sz w:val="24"/>
          <w:szCs w:val="24"/>
        </w:rPr>
      </w:pPr>
    </w:p>
    <w:p w14:paraId="7A7F1F0F">
      <w:pPr>
        <w:keepNext w:val="0"/>
        <w:keepLines w:val="0"/>
        <w:pageBreakBefore w:val="0"/>
        <w:widowControl w:val="0"/>
        <w:kinsoku/>
        <w:wordWrap/>
        <w:autoSpaceDE/>
        <w:bidi w:val="0"/>
        <w:snapToGrid w:val="0"/>
        <w:spacing w:beforeAutospacing="0" w:afterAutospacing="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p w14:paraId="3CC4645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1.资格检查的内容若有一项未提供或达不到检查标准，将导致其不具备磋商资格，且不允许在响应文件提交截止时间后补正。</w:t>
      </w:r>
    </w:p>
    <w:p w14:paraId="6305727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2.依法免税或不需要缴纳社会保障金的磋商供应商，应提供相应的证明文件扫描件并加盖公章。</w:t>
      </w:r>
    </w:p>
    <w:p w14:paraId="477B82A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3.磋商供应商提供的其他材料，不作为资格检查的内容。</w:t>
      </w:r>
    </w:p>
    <w:p w14:paraId="5ACDA4F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4.上述表中所列内容如与本项目所属行业的相关规定有不符之处，以行业相关规定为准。</w:t>
      </w:r>
    </w:p>
    <w:p w14:paraId="2DC00DEE">
      <w:pPr>
        <w:keepNext w:val="0"/>
        <w:keepLines w:val="0"/>
        <w:pageBreakBefore w:val="0"/>
        <w:widowControl w:val="0"/>
        <w:kinsoku/>
        <w:wordWrap/>
        <w:overflowPunct w:val="0"/>
        <w:topLinePunct/>
        <w:autoSpaceDE/>
        <w:autoSpaceDN w:val="0"/>
        <w:bidi w:val="0"/>
        <w:adjustRightInd w:val="0"/>
        <w:snapToGrid w:val="0"/>
        <w:spacing w:beforeAutospacing="0" w:afterAutospacing="0" w:line="360" w:lineRule="auto"/>
        <w:ind w:firstLine="482" w:firstLineChars="200"/>
        <w:textAlignment w:val="auto"/>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（三）</w:t>
      </w:r>
      <w:r>
        <w:rPr>
          <w:rFonts w:hint="eastAsia" w:ascii="仿宋" w:hAnsi="仿宋" w:eastAsia="仿宋" w:cs="仿宋"/>
          <w:b/>
          <w:snapToGrid w:val="0"/>
          <w:color w:val="auto"/>
          <w:kern w:val="0"/>
          <w:sz w:val="24"/>
          <w:szCs w:val="24"/>
          <w:lang w:val="en-US" w:eastAsia="zh-CN"/>
        </w:rPr>
        <w:t>符合性</w:t>
      </w:r>
      <w:r>
        <w:rPr>
          <w:rFonts w:hint="eastAsia" w:ascii="仿宋" w:hAnsi="仿宋" w:eastAsia="仿宋" w:cs="仿宋"/>
          <w:b/>
          <w:snapToGrid w:val="0"/>
          <w:color w:val="auto"/>
          <w:kern w:val="0"/>
          <w:sz w:val="24"/>
          <w:szCs w:val="24"/>
        </w:rPr>
        <w:t>审查及标准</w:t>
      </w:r>
    </w:p>
    <w:tbl>
      <w:tblPr>
        <w:tblStyle w:val="36"/>
        <w:tblW w:w="8940"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3060"/>
        <w:gridCol w:w="4950"/>
      </w:tblGrid>
      <w:tr w14:paraId="0E37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0" w:type="dxa"/>
            <w:noWrap w:val="0"/>
            <w:vAlign w:val="center"/>
          </w:tcPr>
          <w:p w14:paraId="5F947413">
            <w:pPr>
              <w:keepNext w:val="0"/>
              <w:keepLines w:val="0"/>
              <w:pageBreakBefore w:val="0"/>
              <w:widowControl w:val="0"/>
              <w:kinsoku/>
              <w:wordWrap/>
              <w:overflowPunct w:val="0"/>
              <w:topLinePunct/>
              <w:autoSpaceDE/>
              <w:autoSpaceDN w:val="0"/>
              <w:bidi w:val="0"/>
              <w:adjustRightInd w:val="0"/>
              <w:snapToGrid w:val="0"/>
              <w:spacing w:beforeAutospacing="0" w:afterAutospacing="0" w:line="360" w:lineRule="auto"/>
              <w:jc w:val="center"/>
              <w:textAlignment w:val="auto"/>
              <w:rPr>
                <w:rFonts w:hint="eastAsia" w:ascii="仿宋" w:hAnsi="仿宋" w:eastAsia="仿宋" w:cs="仿宋"/>
                <w:b/>
                <w:snapToGrid w:val="0"/>
                <w:color w:val="auto"/>
                <w:kern w:val="0"/>
                <w:sz w:val="22"/>
                <w:szCs w:val="22"/>
              </w:rPr>
            </w:pPr>
            <w:r>
              <w:rPr>
                <w:rFonts w:hint="eastAsia" w:ascii="仿宋" w:hAnsi="仿宋" w:eastAsia="仿宋" w:cs="仿宋"/>
                <w:b/>
                <w:snapToGrid w:val="0"/>
                <w:color w:val="auto"/>
                <w:kern w:val="0"/>
                <w:sz w:val="22"/>
                <w:szCs w:val="22"/>
              </w:rPr>
              <w:t>序号</w:t>
            </w:r>
          </w:p>
        </w:tc>
        <w:tc>
          <w:tcPr>
            <w:tcW w:w="3060" w:type="dxa"/>
            <w:noWrap w:val="0"/>
            <w:vAlign w:val="center"/>
          </w:tcPr>
          <w:p w14:paraId="63DE197E">
            <w:pPr>
              <w:keepNext w:val="0"/>
              <w:keepLines w:val="0"/>
              <w:pageBreakBefore w:val="0"/>
              <w:widowControl w:val="0"/>
              <w:kinsoku/>
              <w:wordWrap/>
              <w:overflowPunct w:val="0"/>
              <w:topLinePunct/>
              <w:autoSpaceDE/>
              <w:autoSpaceDN w:val="0"/>
              <w:bidi w:val="0"/>
              <w:adjustRightInd w:val="0"/>
              <w:snapToGrid w:val="0"/>
              <w:spacing w:beforeAutospacing="0" w:afterAutospacing="0" w:line="360" w:lineRule="auto"/>
              <w:jc w:val="center"/>
              <w:textAlignment w:val="auto"/>
              <w:rPr>
                <w:rFonts w:hint="eastAsia" w:ascii="仿宋" w:hAnsi="仿宋" w:eastAsia="仿宋" w:cs="仿宋"/>
                <w:b/>
                <w:snapToGrid w:val="0"/>
                <w:color w:val="auto"/>
                <w:kern w:val="0"/>
                <w:sz w:val="22"/>
                <w:szCs w:val="22"/>
              </w:rPr>
            </w:pPr>
            <w:r>
              <w:rPr>
                <w:rFonts w:hint="eastAsia" w:ascii="仿宋" w:hAnsi="仿宋" w:eastAsia="仿宋" w:cs="仿宋"/>
                <w:b/>
                <w:snapToGrid w:val="0"/>
                <w:color w:val="auto"/>
                <w:kern w:val="0"/>
                <w:sz w:val="22"/>
                <w:szCs w:val="22"/>
              </w:rPr>
              <w:t>内容</w:t>
            </w:r>
          </w:p>
        </w:tc>
        <w:tc>
          <w:tcPr>
            <w:tcW w:w="4950" w:type="dxa"/>
            <w:noWrap w:val="0"/>
            <w:vAlign w:val="center"/>
          </w:tcPr>
          <w:p w14:paraId="620CE164">
            <w:pPr>
              <w:keepNext w:val="0"/>
              <w:keepLines w:val="0"/>
              <w:pageBreakBefore w:val="0"/>
              <w:widowControl w:val="0"/>
              <w:kinsoku/>
              <w:wordWrap/>
              <w:overflowPunct w:val="0"/>
              <w:topLinePunct/>
              <w:autoSpaceDE/>
              <w:autoSpaceDN w:val="0"/>
              <w:bidi w:val="0"/>
              <w:adjustRightInd w:val="0"/>
              <w:snapToGrid w:val="0"/>
              <w:spacing w:beforeAutospacing="0" w:afterAutospacing="0" w:line="360" w:lineRule="auto"/>
              <w:jc w:val="center"/>
              <w:textAlignment w:val="auto"/>
              <w:rPr>
                <w:rFonts w:hint="eastAsia" w:ascii="仿宋" w:hAnsi="仿宋" w:eastAsia="仿宋" w:cs="仿宋"/>
                <w:b/>
                <w:snapToGrid w:val="0"/>
                <w:color w:val="auto"/>
                <w:kern w:val="0"/>
                <w:sz w:val="22"/>
                <w:szCs w:val="22"/>
              </w:rPr>
            </w:pPr>
            <w:r>
              <w:rPr>
                <w:rFonts w:hint="eastAsia" w:ascii="仿宋" w:hAnsi="仿宋" w:eastAsia="仿宋" w:cs="仿宋"/>
                <w:b/>
                <w:snapToGrid w:val="0"/>
                <w:color w:val="auto"/>
                <w:kern w:val="0"/>
                <w:sz w:val="22"/>
                <w:szCs w:val="22"/>
              </w:rPr>
              <w:t>评审标准</w:t>
            </w:r>
          </w:p>
        </w:tc>
      </w:tr>
      <w:tr w14:paraId="5F2F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0" w:type="dxa"/>
            <w:noWrap w:val="0"/>
            <w:vAlign w:val="center"/>
          </w:tcPr>
          <w:p w14:paraId="2E4B11AA">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w:t>
            </w:r>
          </w:p>
        </w:tc>
        <w:tc>
          <w:tcPr>
            <w:tcW w:w="3060" w:type="dxa"/>
            <w:noWrap w:val="0"/>
            <w:vAlign w:val="center"/>
          </w:tcPr>
          <w:p w14:paraId="35983C95">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rPr>
            </w:pPr>
            <w:r>
              <w:rPr>
                <w:rFonts w:hint="eastAsia" w:ascii="仿宋" w:hAnsi="仿宋" w:eastAsia="仿宋" w:cs="仿宋"/>
                <w:snapToGrid w:val="0"/>
                <w:color w:val="auto"/>
                <w:kern w:val="0"/>
                <w:sz w:val="22"/>
                <w:szCs w:val="22"/>
                <w:lang w:eastAsia="zh-CN"/>
              </w:rPr>
              <w:t>响应文件格式</w:t>
            </w:r>
          </w:p>
        </w:tc>
        <w:tc>
          <w:tcPr>
            <w:tcW w:w="4950" w:type="dxa"/>
            <w:noWrap w:val="0"/>
            <w:vAlign w:val="center"/>
          </w:tcPr>
          <w:p w14:paraId="6D14721C">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lang w:eastAsia="zh-CN"/>
              </w:rPr>
              <w:t>符合</w:t>
            </w:r>
            <w:r>
              <w:rPr>
                <w:rFonts w:hint="eastAsia" w:ascii="仿宋" w:hAnsi="仿宋" w:eastAsia="仿宋" w:cs="仿宋"/>
                <w:snapToGrid w:val="0"/>
                <w:color w:val="auto"/>
                <w:kern w:val="0"/>
                <w:sz w:val="22"/>
                <w:szCs w:val="22"/>
              </w:rPr>
              <w:t>磋商文件</w:t>
            </w:r>
            <w:r>
              <w:rPr>
                <w:rFonts w:hint="eastAsia" w:ascii="仿宋" w:hAnsi="仿宋" w:eastAsia="仿宋" w:cs="仿宋"/>
                <w:snapToGrid w:val="0"/>
                <w:color w:val="auto"/>
                <w:kern w:val="0"/>
                <w:sz w:val="22"/>
                <w:szCs w:val="22"/>
                <w:lang w:eastAsia="zh-CN"/>
              </w:rPr>
              <w:t>要求</w:t>
            </w:r>
          </w:p>
        </w:tc>
      </w:tr>
      <w:tr w14:paraId="6BE4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0" w:type="dxa"/>
            <w:noWrap w:val="0"/>
            <w:vAlign w:val="center"/>
          </w:tcPr>
          <w:p w14:paraId="61210A69">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snapToGrid w:val="0"/>
                <w:color w:val="auto"/>
                <w:kern w:val="0"/>
                <w:sz w:val="22"/>
                <w:szCs w:val="22"/>
              </w:rPr>
              <w:t>2</w:t>
            </w:r>
          </w:p>
        </w:tc>
        <w:tc>
          <w:tcPr>
            <w:tcW w:w="3060" w:type="dxa"/>
            <w:noWrap w:val="0"/>
            <w:vAlign w:val="center"/>
          </w:tcPr>
          <w:p w14:paraId="46865E0C">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snapToGrid w:val="0"/>
                <w:color w:val="auto"/>
                <w:kern w:val="0"/>
                <w:sz w:val="22"/>
                <w:szCs w:val="22"/>
                <w:lang w:eastAsia="zh-CN"/>
              </w:rPr>
              <w:t>响应文件签字、盖章</w:t>
            </w:r>
          </w:p>
        </w:tc>
        <w:tc>
          <w:tcPr>
            <w:tcW w:w="4950" w:type="dxa"/>
            <w:noWrap w:val="0"/>
            <w:vAlign w:val="center"/>
          </w:tcPr>
          <w:p w14:paraId="7493AE7A">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lang w:eastAsia="zh-CN"/>
              </w:rPr>
              <w:t>符合</w:t>
            </w:r>
            <w:r>
              <w:rPr>
                <w:rFonts w:hint="eastAsia" w:ascii="仿宋" w:hAnsi="仿宋" w:eastAsia="仿宋" w:cs="仿宋"/>
                <w:snapToGrid w:val="0"/>
                <w:color w:val="auto"/>
                <w:kern w:val="0"/>
                <w:sz w:val="22"/>
                <w:szCs w:val="22"/>
              </w:rPr>
              <w:t>磋商文件</w:t>
            </w:r>
            <w:r>
              <w:rPr>
                <w:rFonts w:hint="eastAsia" w:ascii="仿宋" w:hAnsi="仿宋" w:eastAsia="仿宋" w:cs="仿宋"/>
                <w:snapToGrid w:val="0"/>
                <w:color w:val="auto"/>
                <w:kern w:val="0"/>
                <w:sz w:val="22"/>
                <w:szCs w:val="22"/>
                <w:lang w:eastAsia="zh-CN"/>
              </w:rPr>
              <w:t>要求</w:t>
            </w:r>
          </w:p>
        </w:tc>
      </w:tr>
      <w:tr w14:paraId="10BD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0" w:type="dxa"/>
            <w:noWrap w:val="0"/>
            <w:vAlign w:val="center"/>
          </w:tcPr>
          <w:p w14:paraId="74E445B2">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snapToGrid w:val="0"/>
                <w:color w:val="auto"/>
                <w:kern w:val="0"/>
                <w:sz w:val="22"/>
                <w:szCs w:val="22"/>
              </w:rPr>
              <w:t>3</w:t>
            </w:r>
          </w:p>
        </w:tc>
        <w:tc>
          <w:tcPr>
            <w:tcW w:w="3060" w:type="dxa"/>
            <w:noWrap w:val="0"/>
            <w:vAlign w:val="center"/>
          </w:tcPr>
          <w:p w14:paraId="2C53A3BA">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rPr>
            </w:pPr>
            <w:r>
              <w:rPr>
                <w:rFonts w:hint="eastAsia" w:ascii="仿宋" w:hAnsi="仿宋" w:eastAsia="仿宋" w:cs="仿宋"/>
                <w:snapToGrid w:val="0"/>
                <w:color w:val="auto"/>
                <w:kern w:val="0"/>
                <w:sz w:val="22"/>
                <w:szCs w:val="22"/>
              </w:rPr>
              <w:t>总报价</w:t>
            </w:r>
          </w:p>
        </w:tc>
        <w:tc>
          <w:tcPr>
            <w:tcW w:w="4950" w:type="dxa"/>
            <w:noWrap w:val="0"/>
            <w:vAlign w:val="center"/>
          </w:tcPr>
          <w:p w14:paraId="61945A8F">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报价唯一且低于（含等于）</w:t>
            </w:r>
            <w:r>
              <w:rPr>
                <w:rFonts w:hint="eastAsia" w:ascii="仿宋" w:hAnsi="仿宋" w:eastAsia="仿宋" w:cs="仿宋"/>
                <w:snapToGrid w:val="0"/>
                <w:color w:val="auto"/>
                <w:kern w:val="0"/>
                <w:sz w:val="22"/>
                <w:szCs w:val="22"/>
                <w:lang w:val="en-US" w:eastAsia="zh-CN"/>
              </w:rPr>
              <w:t>最高限价</w:t>
            </w:r>
          </w:p>
        </w:tc>
      </w:tr>
      <w:tr w14:paraId="4305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0" w:type="dxa"/>
            <w:noWrap w:val="0"/>
            <w:vAlign w:val="center"/>
          </w:tcPr>
          <w:p w14:paraId="1CE2D3EE">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snapToGrid w:val="0"/>
                <w:color w:val="auto"/>
                <w:kern w:val="0"/>
                <w:sz w:val="22"/>
                <w:szCs w:val="22"/>
              </w:rPr>
              <w:t>4</w:t>
            </w:r>
          </w:p>
        </w:tc>
        <w:tc>
          <w:tcPr>
            <w:tcW w:w="3060" w:type="dxa"/>
            <w:noWrap w:val="0"/>
            <w:vAlign w:val="center"/>
          </w:tcPr>
          <w:p w14:paraId="662C22A4">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rPr>
            </w:pPr>
            <w:r>
              <w:rPr>
                <w:rFonts w:hint="eastAsia" w:ascii="仿宋" w:hAnsi="仿宋" w:eastAsia="仿宋" w:cs="仿宋"/>
                <w:snapToGrid w:val="0"/>
                <w:color w:val="auto"/>
                <w:kern w:val="0"/>
                <w:sz w:val="22"/>
                <w:szCs w:val="22"/>
                <w:lang w:val="zh-CN" w:eastAsia="zh-CN"/>
              </w:rPr>
              <w:t>监理服务期限</w:t>
            </w:r>
          </w:p>
        </w:tc>
        <w:tc>
          <w:tcPr>
            <w:tcW w:w="4950" w:type="dxa"/>
            <w:noWrap w:val="0"/>
            <w:vAlign w:val="center"/>
          </w:tcPr>
          <w:p w14:paraId="002ACBA8">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符合磋商文件要求</w:t>
            </w:r>
          </w:p>
        </w:tc>
      </w:tr>
      <w:tr w14:paraId="4A03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0" w:type="dxa"/>
            <w:noWrap w:val="0"/>
            <w:vAlign w:val="center"/>
          </w:tcPr>
          <w:p w14:paraId="3EEF0149">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snapToGrid w:val="0"/>
                <w:color w:val="auto"/>
                <w:kern w:val="0"/>
                <w:sz w:val="22"/>
                <w:szCs w:val="22"/>
                <w:lang w:val="en-US" w:eastAsia="zh-CN"/>
              </w:rPr>
              <w:t>5</w:t>
            </w:r>
          </w:p>
        </w:tc>
        <w:tc>
          <w:tcPr>
            <w:tcW w:w="3060" w:type="dxa"/>
            <w:noWrap w:val="0"/>
            <w:vAlign w:val="center"/>
          </w:tcPr>
          <w:p w14:paraId="7672E894">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rPr>
            </w:pPr>
            <w:r>
              <w:rPr>
                <w:rFonts w:hint="eastAsia" w:ascii="仿宋" w:hAnsi="仿宋" w:eastAsia="仿宋" w:cs="仿宋"/>
                <w:snapToGrid w:val="0"/>
                <w:color w:val="auto"/>
                <w:kern w:val="0"/>
                <w:sz w:val="22"/>
                <w:szCs w:val="22"/>
                <w:lang w:val="en-US" w:eastAsia="zh-CN"/>
              </w:rPr>
              <w:t>质量标准</w:t>
            </w:r>
          </w:p>
        </w:tc>
        <w:tc>
          <w:tcPr>
            <w:tcW w:w="4950" w:type="dxa"/>
            <w:noWrap w:val="0"/>
            <w:vAlign w:val="center"/>
          </w:tcPr>
          <w:p w14:paraId="067476E5">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符合磋商文件要求</w:t>
            </w:r>
          </w:p>
        </w:tc>
      </w:tr>
      <w:tr w14:paraId="203C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0" w:type="dxa"/>
            <w:noWrap w:val="0"/>
            <w:vAlign w:val="center"/>
          </w:tcPr>
          <w:p w14:paraId="0F7A9F1C">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snapToGrid w:val="0"/>
                <w:color w:val="auto"/>
                <w:kern w:val="0"/>
                <w:sz w:val="22"/>
                <w:szCs w:val="22"/>
                <w:lang w:val="en-US" w:eastAsia="zh-CN"/>
              </w:rPr>
              <w:t>6</w:t>
            </w:r>
          </w:p>
        </w:tc>
        <w:tc>
          <w:tcPr>
            <w:tcW w:w="3060" w:type="dxa"/>
            <w:noWrap w:val="0"/>
            <w:vAlign w:val="center"/>
          </w:tcPr>
          <w:p w14:paraId="50F7575C">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lang w:val="en-US" w:eastAsia="zh-CN"/>
              </w:rPr>
            </w:pPr>
            <w:r>
              <w:rPr>
                <w:rFonts w:hint="eastAsia" w:ascii="仿宋" w:hAnsi="仿宋" w:eastAsia="仿宋" w:cs="仿宋"/>
                <w:snapToGrid w:val="0"/>
                <w:color w:val="auto"/>
                <w:kern w:val="0"/>
                <w:sz w:val="22"/>
                <w:szCs w:val="22"/>
              </w:rPr>
              <w:t>响应有效期</w:t>
            </w:r>
          </w:p>
        </w:tc>
        <w:tc>
          <w:tcPr>
            <w:tcW w:w="4950" w:type="dxa"/>
            <w:noWrap w:val="0"/>
            <w:vAlign w:val="center"/>
          </w:tcPr>
          <w:p w14:paraId="3199B06A">
            <w:pPr>
              <w:keepNext w:val="0"/>
              <w:keepLines w:val="0"/>
              <w:pageBreakBefore w:val="0"/>
              <w:widowControl w:val="0"/>
              <w:kinsoku/>
              <w:wordWrap/>
              <w:autoSpaceDE/>
              <w:bidi w:val="0"/>
              <w:adjustRightInd w:val="0"/>
              <w:snapToGrid w:val="0"/>
              <w:spacing w:beforeAutospacing="0" w:afterAutospacing="0" w:line="360" w:lineRule="auto"/>
              <w:jc w:val="center"/>
              <w:textAlignment w:val="auto"/>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符合磋商文件要求</w:t>
            </w:r>
          </w:p>
        </w:tc>
      </w:tr>
      <w:tr w14:paraId="001C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exact"/>
        </w:trPr>
        <w:tc>
          <w:tcPr>
            <w:tcW w:w="8940" w:type="dxa"/>
            <w:gridSpan w:val="3"/>
            <w:noWrap w:val="0"/>
            <w:vAlign w:val="center"/>
          </w:tcPr>
          <w:p w14:paraId="123ACF8C">
            <w:pPr>
              <w:pageBreakBefore w:val="0"/>
              <w:kinsoku/>
              <w:overflowPunct w:val="0"/>
              <w:topLinePunct/>
              <w:autoSpaceDN w:val="0"/>
              <w:bidi w:val="0"/>
              <w:adjustRightInd w:val="0"/>
              <w:snapToGrid w:val="0"/>
              <w:spacing w:beforeAutospacing="0" w:afterAutospacing="0" w:line="360" w:lineRule="auto"/>
              <w:ind w:firstLine="440" w:firstLineChars="200"/>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1、审查内容若有一项未提供或提供的内容不符合规定，将导致其不具备磋商资格，且不允许在开标后补正。</w:t>
            </w:r>
          </w:p>
          <w:p w14:paraId="3B12D5B5">
            <w:pPr>
              <w:pageBreakBefore w:val="0"/>
              <w:kinsoku/>
              <w:overflowPunct w:val="0"/>
              <w:topLinePunct/>
              <w:autoSpaceDN w:val="0"/>
              <w:bidi w:val="0"/>
              <w:adjustRightInd w:val="0"/>
              <w:snapToGrid w:val="0"/>
              <w:spacing w:beforeAutospacing="0" w:afterAutospacing="0" w:line="360" w:lineRule="auto"/>
              <w:ind w:firstLine="440" w:firstLineChars="200"/>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2、上述表中所列内容如与本项目所属行业的相关规定有不符之处，以行业相关规定为准。</w:t>
            </w:r>
          </w:p>
        </w:tc>
      </w:tr>
    </w:tbl>
    <w:p w14:paraId="0B3B94F4">
      <w:pPr>
        <w:pageBreakBefore w:val="0"/>
        <w:kinsoku/>
        <w:bidi w:val="0"/>
        <w:spacing w:beforeAutospacing="0" w:afterAutospacing="0" w:line="360" w:lineRule="auto"/>
        <w:rPr>
          <w:rFonts w:hint="eastAsia" w:ascii="仿宋" w:hAnsi="仿宋" w:eastAsia="仿宋" w:cs="仿宋"/>
          <w:b/>
          <w:bCs/>
          <w:snapToGrid w:val="0"/>
          <w:color w:val="auto"/>
          <w:kern w:val="0"/>
          <w:sz w:val="24"/>
          <w:szCs w:val="24"/>
        </w:rPr>
      </w:pPr>
      <w:r>
        <w:rPr>
          <w:rFonts w:hint="eastAsia" w:ascii="仿宋" w:hAnsi="仿宋" w:eastAsia="仿宋" w:cs="仿宋"/>
          <w:b/>
          <w:bCs/>
          <w:snapToGrid w:val="0"/>
          <w:color w:val="auto"/>
          <w:kern w:val="0"/>
          <w:sz w:val="24"/>
          <w:szCs w:val="24"/>
        </w:rPr>
        <w:br w:type="page"/>
      </w:r>
    </w:p>
    <w:p w14:paraId="26BCD5DA">
      <w:pPr>
        <w:keepNext w:val="0"/>
        <w:keepLines w:val="0"/>
        <w:pageBreakBefore w:val="0"/>
        <w:widowControl w:val="0"/>
        <w:kinsoku/>
        <w:wordWrap/>
        <w:overflowPunct w:val="0"/>
        <w:topLinePunct/>
        <w:autoSpaceDE/>
        <w:autoSpaceDN w:val="0"/>
        <w:bidi w:val="0"/>
        <w:adjustRightInd w:val="0"/>
        <w:snapToGrid w:val="0"/>
        <w:spacing w:beforeAutospacing="0" w:afterAutospacing="0" w:line="360" w:lineRule="auto"/>
        <w:jc w:val="left"/>
        <w:textAlignment w:val="auto"/>
        <w:outlineLvl w:val="1"/>
        <w:rPr>
          <w:rFonts w:hint="eastAsia" w:ascii="仿宋" w:hAnsi="仿宋" w:eastAsia="仿宋" w:cs="仿宋"/>
          <w:b/>
          <w:bCs/>
          <w:snapToGrid w:val="0"/>
          <w:color w:val="auto"/>
          <w:kern w:val="0"/>
          <w:sz w:val="24"/>
          <w:szCs w:val="24"/>
        </w:rPr>
      </w:pPr>
      <w:r>
        <w:rPr>
          <w:rFonts w:hint="eastAsia" w:ascii="仿宋" w:hAnsi="仿宋" w:eastAsia="仿宋" w:cs="仿宋"/>
          <w:b/>
          <w:bCs/>
          <w:snapToGrid w:val="0"/>
          <w:color w:val="auto"/>
          <w:kern w:val="0"/>
          <w:sz w:val="24"/>
          <w:szCs w:val="24"/>
          <w:lang w:eastAsia="zh-CN"/>
        </w:rPr>
        <w:t>二、</w:t>
      </w:r>
      <w:r>
        <w:rPr>
          <w:rFonts w:hint="eastAsia" w:ascii="仿宋" w:hAnsi="仿宋" w:eastAsia="仿宋" w:cs="仿宋"/>
          <w:b/>
          <w:bCs/>
          <w:snapToGrid w:val="0"/>
          <w:color w:val="auto"/>
          <w:kern w:val="0"/>
          <w:sz w:val="24"/>
          <w:szCs w:val="24"/>
        </w:rPr>
        <w:t>评分细则</w:t>
      </w:r>
    </w:p>
    <w:p w14:paraId="1A6C41D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分值构成(总分100分）：1、商务部分：20分；2、技术部分：70分；3、报价部分：10分。</w:t>
      </w:r>
    </w:p>
    <w:p w14:paraId="36338618">
      <w:pPr>
        <w:pStyle w:val="27"/>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1、商务评分（20分）</w:t>
      </w:r>
    </w:p>
    <w:tbl>
      <w:tblPr>
        <w:tblStyle w:val="36"/>
        <w:tblW w:w="92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290"/>
        <w:gridCol w:w="1698"/>
        <w:gridCol w:w="700"/>
        <w:gridCol w:w="4915"/>
      </w:tblGrid>
      <w:tr w14:paraId="77954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9272" w:type="dxa"/>
            <w:gridSpan w:val="5"/>
            <w:tcBorders>
              <w:top w:val="single" w:color="auto" w:sz="4" w:space="0"/>
              <w:left w:val="single" w:color="auto" w:sz="4" w:space="0"/>
              <w:right w:val="single" w:color="auto" w:sz="4" w:space="0"/>
            </w:tcBorders>
            <w:noWrap w:val="0"/>
            <w:vAlign w:val="center"/>
          </w:tcPr>
          <w:p w14:paraId="2057610C">
            <w:pPr>
              <w:pageBreakBefore w:val="0"/>
              <w:kinsoku/>
              <w:bidi w:val="0"/>
              <w:snapToGrid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b/>
                <w:color w:val="auto"/>
                <w:sz w:val="22"/>
                <w:szCs w:val="22"/>
              </w:rPr>
              <w:t>商务部分评分</w:t>
            </w:r>
          </w:p>
        </w:tc>
      </w:tr>
      <w:tr w14:paraId="5339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669" w:type="dxa"/>
            <w:tcBorders>
              <w:left w:val="single" w:color="auto" w:sz="4" w:space="0"/>
              <w:bottom w:val="single" w:color="auto" w:sz="4" w:space="0"/>
              <w:right w:val="single" w:color="auto" w:sz="4" w:space="0"/>
            </w:tcBorders>
            <w:noWrap w:val="0"/>
            <w:vAlign w:val="center"/>
          </w:tcPr>
          <w:p w14:paraId="22AE5533">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rPr>
              <w:t>序号</w:t>
            </w:r>
          </w:p>
        </w:tc>
        <w:tc>
          <w:tcPr>
            <w:tcW w:w="2988" w:type="dxa"/>
            <w:gridSpan w:val="2"/>
            <w:tcBorders>
              <w:left w:val="single" w:color="auto" w:sz="4" w:space="0"/>
              <w:bottom w:val="single" w:color="auto" w:sz="4" w:space="0"/>
              <w:right w:val="single" w:color="auto" w:sz="4" w:space="0"/>
            </w:tcBorders>
            <w:noWrap w:val="0"/>
            <w:vAlign w:val="center"/>
          </w:tcPr>
          <w:p w14:paraId="045A2506">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rPr>
              <w:t>评审内容</w:t>
            </w:r>
          </w:p>
        </w:tc>
        <w:tc>
          <w:tcPr>
            <w:tcW w:w="700" w:type="dxa"/>
            <w:tcBorders>
              <w:top w:val="single" w:color="auto" w:sz="4" w:space="0"/>
              <w:left w:val="single" w:color="auto" w:sz="4" w:space="0"/>
              <w:right w:val="single" w:color="auto" w:sz="4" w:space="0"/>
            </w:tcBorders>
            <w:noWrap w:val="0"/>
            <w:vAlign w:val="center"/>
          </w:tcPr>
          <w:p w14:paraId="6999A52D">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lang w:val="en-US" w:eastAsia="zh-CN"/>
              </w:rPr>
              <w:t>分值</w:t>
            </w:r>
          </w:p>
        </w:tc>
        <w:tc>
          <w:tcPr>
            <w:tcW w:w="4915" w:type="dxa"/>
            <w:tcBorders>
              <w:top w:val="single" w:color="auto" w:sz="4" w:space="0"/>
              <w:left w:val="single" w:color="auto" w:sz="4" w:space="0"/>
              <w:bottom w:val="single" w:color="auto" w:sz="4" w:space="0"/>
              <w:right w:val="single" w:color="auto" w:sz="4" w:space="0"/>
            </w:tcBorders>
            <w:noWrap w:val="0"/>
            <w:vAlign w:val="center"/>
          </w:tcPr>
          <w:p w14:paraId="683E5238">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lang w:eastAsia="zh-CN"/>
              </w:rPr>
            </w:pPr>
            <w:r>
              <w:rPr>
                <w:rFonts w:hint="eastAsia" w:ascii="仿宋" w:hAnsi="仿宋" w:eastAsia="仿宋" w:cs="仿宋"/>
                <w:b/>
                <w:color w:val="auto"/>
                <w:sz w:val="22"/>
                <w:szCs w:val="22"/>
              </w:rPr>
              <w:t>评审标准和方法</w:t>
            </w:r>
          </w:p>
        </w:tc>
      </w:tr>
      <w:tr w14:paraId="12CFC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3" w:hRule="atLeast"/>
          <w:jc w:val="center"/>
        </w:trPr>
        <w:tc>
          <w:tcPr>
            <w:tcW w:w="669" w:type="dxa"/>
            <w:vMerge w:val="restart"/>
            <w:tcBorders>
              <w:left w:val="single" w:color="auto" w:sz="4" w:space="0"/>
              <w:right w:val="single" w:color="auto" w:sz="4" w:space="0"/>
            </w:tcBorders>
            <w:noWrap w:val="0"/>
            <w:vAlign w:val="center"/>
          </w:tcPr>
          <w:p w14:paraId="21E18B81">
            <w:pPr>
              <w:pageBreakBefore w:val="0"/>
              <w:kinsoku/>
              <w:bidi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color w:val="auto"/>
                <w:kern w:val="2"/>
                <w:sz w:val="22"/>
                <w:szCs w:val="22"/>
                <w:lang w:val="en-US" w:eastAsia="zh-CN" w:bidi="ar-SA"/>
              </w:rPr>
              <w:t>1</w:t>
            </w:r>
          </w:p>
        </w:tc>
        <w:tc>
          <w:tcPr>
            <w:tcW w:w="1290" w:type="dxa"/>
            <w:vMerge w:val="restart"/>
            <w:tcBorders>
              <w:left w:val="single" w:color="auto" w:sz="4" w:space="0"/>
              <w:right w:val="single" w:color="auto" w:sz="4" w:space="0"/>
            </w:tcBorders>
            <w:noWrap w:val="0"/>
            <w:vAlign w:val="center"/>
          </w:tcPr>
          <w:p w14:paraId="1B2DA446">
            <w:pPr>
              <w:pageBreakBefore w:val="0"/>
              <w:kinsoku/>
              <w:wordWrap w:val="0"/>
              <w:bidi w:val="0"/>
              <w:snapToGrid w:val="0"/>
              <w:spacing w:beforeAutospacing="0" w:afterAutospacing="0"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磋商供应商及</w:t>
            </w:r>
            <w:r>
              <w:rPr>
                <w:rFonts w:hint="eastAsia" w:ascii="仿宋" w:hAnsi="仿宋" w:eastAsia="仿宋" w:cs="仿宋"/>
                <w:b w:val="0"/>
                <w:bCs w:val="0"/>
                <w:color w:val="auto"/>
                <w:kern w:val="2"/>
                <w:sz w:val="22"/>
                <w:szCs w:val="22"/>
                <w:lang w:val="en-US" w:eastAsia="zh-CN" w:bidi="ar-SA"/>
              </w:rPr>
              <w:t>总监理工程师</w:t>
            </w:r>
            <w:r>
              <w:rPr>
                <w:rFonts w:hint="eastAsia" w:ascii="仿宋" w:hAnsi="仿宋" w:eastAsia="仿宋" w:cs="仿宋"/>
                <w:color w:val="auto"/>
                <w:sz w:val="22"/>
                <w:szCs w:val="22"/>
              </w:rPr>
              <w:t>资信</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00222D53">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磋商供应商</w:t>
            </w:r>
            <w:r>
              <w:rPr>
                <w:rFonts w:hint="eastAsia" w:ascii="仿宋" w:hAnsi="仿宋" w:eastAsia="仿宋" w:cs="仿宋"/>
                <w:color w:val="auto"/>
                <w:sz w:val="22"/>
                <w:szCs w:val="22"/>
                <w:lang w:eastAsia="zh-CN"/>
              </w:rPr>
              <w:t>同类型工程</w:t>
            </w:r>
            <w:r>
              <w:rPr>
                <w:rFonts w:hint="eastAsia" w:ascii="仿宋" w:hAnsi="仿宋" w:eastAsia="仿宋" w:cs="仿宋"/>
                <w:color w:val="auto"/>
                <w:sz w:val="22"/>
                <w:szCs w:val="22"/>
                <w:lang w:val="en-US" w:eastAsia="zh-CN"/>
              </w:rPr>
              <w:t>业绩</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62E34102">
            <w:pPr>
              <w:pageBreakBefore w:val="0"/>
              <w:kinsoku/>
              <w:wordWrap w:val="0"/>
              <w:bidi w:val="0"/>
              <w:snapToGrid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分</w:t>
            </w:r>
          </w:p>
        </w:tc>
        <w:tc>
          <w:tcPr>
            <w:tcW w:w="4915" w:type="dxa"/>
            <w:tcBorders>
              <w:top w:val="single" w:color="auto" w:sz="4" w:space="0"/>
              <w:left w:val="single" w:color="auto" w:sz="4" w:space="0"/>
              <w:bottom w:val="single" w:color="auto" w:sz="4" w:space="0"/>
              <w:right w:val="single" w:color="auto" w:sz="4" w:space="0"/>
            </w:tcBorders>
            <w:noWrap w:val="0"/>
            <w:vAlign w:val="center"/>
          </w:tcPr>
          <w:p w14:paraId="1FC64020">
            <w:pPr>
              <w:pageBreakBefore w:val="0"/>
              <w:numPr>
                <w:ilvl w:val="0"/>
                <w:numId w:val="0"/>
              </w:numPr>
              <w:kinsoku/>
              <w:wordWrap w:val="0"/>
              <w:bidi w:val="0"/>
              <w:snapToGrid w:val="0"/>
              <w:spacing w:beforeAutospacing="0" w:afterAutospacing="0" w:line="360" w:lineRule="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磋商供应商近</w:t>
            </w:r>
            <w:r>
              <w:rPr>
                <w:rFonts w:hint="eastAsia" w:ascii="仿宋" w:hAnsi="仿宋" w:eastAsia="仿宋" w:cs="仿宋"/>
                <w:color w:val="auto"/>
                <w:sz w:val="22"/>
                <w:szCs w:val="22"/>
                <w:lang w:val="en-US" w:eastAsia="zh-CN"/>
              </w:rPr>
              <w:t>三</w:t>
            </w:r>
            <w:r>
              <w:rPr>
                <w:rFonts w:hint="eastAsia" w:ascii="仿宋" w:hAnsi="仿宋" w:eastAsia="仿宋" w:cs="仿宋"/>
                <w:color w:val="auto"/>
                <w:sz w:val="22"/>
                <w:szCs w:val="22"/>
                <w:lang w:eastAsia="zh-CN"/>
              </w:rPr>
              <w:t>年承担过一项与拟磋商工程为同类型工程监理服务的，得</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lang w:eastAsia="zh-CN"/>
              </w:rPr>
              <w:t>分，</w:t>
            </w:r>
            <w:r>
              <w:rPr>
                <w:rFonts w:hint="eastAsia" w:ascii="仿宋" w:hAnsi="仿宋" w:eastAsia="仿宋" w:cs="仿宋"/>
                <w:color w:val="auto"/>
                <w:sz w:val="22"/>
                <w:szCs w:val="22"/>
                <w:lang w:val="en-US" w:eastAsia="zh-CN"/>
              </w:rPr>
              <w:t>满分10分。</w:t>
            </w:r>
          </w:p>
        </w:tc>
      </w:tr>
      <w:tr w14:paraId="2DE7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jc w:val="center"/>
        </w:trPr>
        <w:tc>
          <w:tcPr>
            <w:tcW w:w="669" w:type="dxa"/>
            <w:vMerge w:val="continue"/>
            <w:tcBorders>
              <w:left w:val="single" w:color="auto" w:sz="4" w:space="0"/>
              <w:bottom w:val="single" w:color="auto" w:sz="4" w:space="0"/>
              <w:right w:val="single" w:color="auto" w:sz="4" w:space="0"/>
            </w:tcBorders>
            <w:noWrap w:val="0"/>
            <w:vAlign w:val="center"/>
          </w:tcPr>
          <w:p w14:paraId="5A96A16B">
            <w:pPr>
              <w:pageBreakBefore w:val="0"/>
              <w:kinsoku/>
              <w:bidi w:val="0"/>
              <w:spacing w:beforeAutospacing="0" w:afterAutospacing="0" w:line="360" w:lineRule="auto"/>
              <w:jc w:val="center"/>
              <w:rPr>
                <w:rFonts w:hint="eastAsia" w:ascii="仿宋" w:hAnsi="仿宋" w:eastAsia="仿宋" w:cs="仿宋"/>
                <w:color w:val="auto"/>
                <w:sz w:val="22"/>
                <w:szCs w:val="22"/>
              </w:rPr>
            </w:pPr>
          </w:p>
        </w:tc>
        <w:tc>
          <w:tcPr>
            <w:tcW w:w="1290" w:type="dxa"/>
            <w:vMerge w:val="continue"/>
            <w:tcBorders>
              <w:left w:val="single" w:color="auto" w:sz="4" w:space="0"/>
              <w:bottom w:val="single" w:color="auto" w:sz="4" w:space="0"/>
              <w:right w:val="single" w:color="auto" w:sz="4" w:space="0"/>
            </w:tcBorders>
            <w:noWrap w:val="0"/>
            <w:vAlign w:val="center"/>
          </w:tcPr>
          <w:p w14:paraId="4ED05836">
            <w:pPr>
              <w:pageBreakBefore w:val="0"/>
              <w:kinsoku/>
              <w:bidi w:val="0"/>
              <w:spacing w:beforeAutospacing="0" w:afterAutospacing="0" w:line="360" w:lineRule="auto"/>
              <w:rPr>
                <w:rFonts w:hint="eastAsia" w:ascii="仿宋" w:hAnsi="仿宋" w:eastAsia="仿宋" w:cs="仿宋"/>
                <w:color w:val="auto"/>
                <w:sz w:val="22"/>
                <w:szCs w:val="22"/>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15DCAD53">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总监理工程师</w:t>
            </w:r>
            <w:r>
              <w:rPr>
                <w:rFonts w:hint="eastAsia" w:ascii="仿宋" w:hAnsi="仿宋" w:eastAsia="仿宋" w:cs="仿宋"/>
                <w:color w:val="auto"/>
                <w:sz w:val="22"/>
                <w:szCs w:val="22"/>
                <w:lang w:eastAsia="zh-CN"/>
              </w:rPr>
              <w:t>同类型工程</w:t>
            </w:r>
            <w:r>
              <w:rPr>
                <w:rFonts w:hint="eastAsia" w:ascii="仿宋" w:hAnsi="仿宋" w:eastAsia="仿宋" w:cs="仿宋"/>
                <w:color w:val="auto"/>
                <w:sz w:val="22"/>
                <w:szCs w:val="22"/>
                <w:lang w:val="en-US" w:eastAsia="zh-CN"/>
              </w:rPr>
              <w:t>业绩</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AF69235">
            <w:pPr>
              <w:pageBreakBefore w:val="0"/>
              <w:kinsoku/>
              <w:wordWrap w:val="0"/>
              <w:bidi w:val="0"/>
              <w:snapToGrid w:val="0"/>
              <w:spacing w:beforeAutospacing="0" w:afterAutospacing="0" w:line="360" w:lineRule="auto"/>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分</w:t>
            </w:r>
          </w:p>
        </w:tc>
        <w:tc>
          <w:tcPr>
            <w:tcW w:w="4915" w:type="dxa"/>
            <w:tcBorders>
              <w:top w:val="single" w:color="auto" w:sz="4" w:space="0"/>
              <w:left w:val="single" w:color="auto" w:sz="4" w:space="0"/>
              <w:bottom w:val="single" w:color="auto" w:sz="4" w:space="0"/>
              <w:right w:val="single" w:color="auto" w:sz="4" w:space="0"/>
            </w:tcBorders>
            <w:noWrap w:val="0"/>
            <w:vAlign w:val="center"/>
          </w:tcPr>
          <w:p w14:paraId="63A3822D">
            <w:pPr>
              <w:pageBreakBefore w:val="0"/>
              <w:numPr>
                <w:ilvl w:val="0"/>
                <w:numId w:val="0"/>
              </w:numPr>
              <w:kinsoku/>
              <w:wordWrap w:val="0"/>
              <w:bidi w:val="0"/>
              <w:snapToGrid w:val="0"/>
              <w:spacing w:beforeAutospacing="0" w:afterAutospacing="0" w:line="360" w:lineRule="auto"/>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总监理工程师</w:t>
            </w:r>
            <w:r>
              <w:rPr>
                <w:rFonts w:hint="eastAsia" w:ascii="仿宋" w:hAnsi="仿宋" w:eastAsia="仿宋" w:cs="仿宋"/>
                <w:color w:val="auto"/>
                <w:sz w:val="22"/>
                <w:szCs w:val="22"/>
                <w:lang w:eastAsia="zh-CN"/>
              </w:rPr>
              <w:t>近</w:t>
            </w:r>
            <w:r>
              <w:rPr>
                <w:rFonts w:hint="eastAsia" w:ascii="仿宋" w:hAnsi="仿宋" w:eastAsia="仿宋" w:cs="仿宋"/>
                <w:color w:val="auto"/>
                <w:sz w:val="22"/>
                <w:szCs w:val="22"/>
                <w:lang w:val="en-US" w:eastAsia="zh-CN"/>
              </w:rPr>
              <w:t>三</w:t>
            </w:r>
            <w:r>
              <w:rPr>
                <w:rFonts w:hint="eastAsia" w:ascii="仿宋" w:hAnsi="仿宋" w:eastAsia="仿宋" w:cs="仿宋"/>
                <w:color w:val="auto"/>
                <w:sz w:val="22"/>
                <w:szCs w:val="22"/>
                <w:lang w:eastAsia="zh-CN"/>
              </w:rPr>
              <w:t>年承担过一项与拟磋商工程为同类型工程监理服务的，得</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lang w:eastAsia="zh-CN"/>
              </w:rPr>
              <w:t>分，</w:t>
            </w:r>
            <w:r>
              <w:rPr>
                <w:rFonts w:hint="eastAsia" w:ascii="仿宋" w:hAnsi="仿宋" w:eastAsia="仿宋" w:cs="仿宋"/>
                <w:color w:val="auto"/>
                <w:sz w:val="22"/>
                <w:szCs w:val="22"/>
                <w:lang w:val="en-US" w:eastAsia="zh-CN"/>
              </w:rPr>
              <w:t>满分6分。</w:t>
            </w:r>
          </w:p>
        </w:tc>
      </w:tr>
      <w:tr w14:paraId="415B4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1" w:hRule="atLeast"/>
          <w:jc w:val="center"/>
        </w:trPr>
        <w:tc>
          <w:tcPr>
            <w:tcW w:w="669" w:type="dxa"/>
            <w:tcBorders>
              <w:left w:val="single" w:color="auto" w:sz="4" w:space="0"/>
              <w:bottom w:val="single" w:color="auto" w:sz="4" w:space="0"/>
              <w:right w:val="single" w:color="auto" w:sz="4" w:space="0"/>
            </w:tcBorders>
            <w:noWrap w:val="0"/>
            <w:vAlign w:val="center"/>
          </w:tcPr>
          <w:p w14:paraId="3515E10B">
            <w:pPr>
              <w:pageBreakBefore w:val="0"/>
              <w:kinsoku/>
              <w:bidi w:val="0"/>
              <w:spacing w:beforeAutospacing="0" w:afterAutospacing="0" w:line="36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c>
          <w:tcPr>
            <w:tcW w:w="2988" w:type="dxa"/>
            <w:gridSpan w:val="2"/>
            <w:tcBorders>
              <w:left w:val="single" w:color="auto" w:sz="4" w:space="0"/>
              <w:bottom w:val="single" w:color="auto" w:sz="4" w:space="0"/>
              <w:right w:val="single" w:color="auto" w:sz="4" w:space="0"/>
            </w:tcBorders>
            <w:noWrap w:val="0"/>
            <w:vAlign w:val="center"/>
          </w:tcPr>
          <w:p w14:paraId="0E116F9C">
            <w:pPr>
              <w:pageBreakBefore w:val="0"/>
              <w:kinsoku/>
              <w:wordWrap w:val="0"/>
              <w:bidi w:val="0"/>
              <w:snapToGrid w:val="0"/>
              <w:spacing w:beforeAutospacing="0" w:afterAutospacing="0" w:line="360" w:lineRule="auto"/>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项目监理人员配备</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F810501">
            <w:pPr>
              <w:pageBreakBefore w:val="0"/>
              <w:kinsoku/>
              <w:wordWrap w:val="0"/>
              <w:bidi w:val="0"/>
              <w:snapToGrid w:val="0"/>
              <w:spacing w:beforeAutospacing="0" w:afterAutospacing="0" w:line="36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4分</w:t>
            </w:r>
          </w:p>
        </w:tc>
        <w:tc>
          <w:tcPr>
            <w:tcW w:w="4915" w:type="dxa"/>
            <w:tcBorders>
              <w:top w:val="single" w:color="auto" w:sz="4" w:space="0"/>
              <w:left w:val="single" w:color="auto" w:sz="4" w:space="0"/>
              <w:bottom w:val="single" w:color="auto" w:sz="4" w:space="0"/>
              <w:right w:val="single" w:color="auto" w:sz="4" w:space="0"/>
            </w:tcBorders>
            <w:noWrap w:val="0"/>
            <w:vAlign w:val="center"/>
          </w:tcPr>
          <w:p w14:paraId="44879513">
            <w:pPr>
              <w:pageBreakBefore w:val="0"/>
              <w:widowControl w:val="0"/>
              <w:kinsoku/>
              <w:bidi w:val="0"/>
              <w:spacing w:beforeAutospacing="0" w:afterAutospacing="0" w:line="360" w:lineRule="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供应商在响应文件中载明的项目监理人员（总监理工程师除外），具有国家级注册监理工程师执业资格的，每有一位得1分，最高可累计得4分。</w:t>
            </w:r>
          </w:p>
        </w:tc>
      </w:tr>
      <w:tr w14:paraId="516C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99" w:hRule="atLeast"/>
          <w:jc w:val="center"/>
        </w:trPr>
        <w:tc>
          <w:tcPr>
            <w:tcW w:w="9272" w:type="dxa"/>
            <w:gridSpan w:val="5"/>
            <w:tcBorders>
              <w:top w:val="single" w:color="auto" w:sz="4" w:space="0"/>
              <w:left w:val="single" w:color="auto" w:sz="4" w:space="0"/>
              <w:bottom w:val="single" w:color="auto" w:sz="4" w:space="0"/>
              <w:right w:val="single" w:color="auto" w:sz="4" w:space="0"/>
            </w:tcBorders>
            <w:noWrap w:val="0"/>
            <w:vAlign w:val="center"/>
          </w:tcPr>
          <w:p w14:paraId="2BB58B1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注：</w:t>
            </w:r>
          </w:p>
          <w:p w14:paraId="597328A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1、同类型工程是指：</w:t>
            </w:r>
            <w:r>
              <w:rPr>
                <w:rFonts w:hint="eastAsia" w:ascii="仿宋" w:hAnsi="仿宋" w:eastAsia="仿宋" w:cs="仿宋"/>
                <w:color w:val="auto"/>
                <w:sz w:val="22"/>
                <w:szCs w:val="22"/>
                <w:lang w:val="en-US" w:eastAsia="zh-CN"/>
              </w:rPr>
              <w:t>市政工程监理（不区分规模）</w:t>
            </w:r>
          </w:p>
          <w:p w14:paraId="5471B32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2、</w:t>
            </w:r>
            <w:r>
              <w:rPr>
                <w:rFonts w:hint="eastAsia" w:ascii="仿宋" w:hAnsi="仿宋" w:eastAsia="仿宋" w:cs="仿宋"/>
                <w:color w:val="auto"/>
                <w:sz w:val="22"/>
                <w:szCs w:val="22"/>
                <w:lang w:eastAsia="zh-CN"/>
              </w:rPr>
              <w:t>近三年</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指响应文件提交截止日前三年内（以竣工验收日期为准）</w:t>
            </w:r>
          </w:p>
          <w:p w14:paraId="1178FFD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3、同类型工程业绩</w:t>
            </w:r>
            <w:r>
              <w:rPr>
                <w:rFonts w:hint="eastAsia" w:ascii="仿宋" w:hAnsi="仿宋" w:eastAsia="仿宋" w:cs="仿宋"/>
                <w:color w:val="auto"/>
                <w:sz w:val="22"/>
                <w:szCs w:val="22"/>
                <w:lang w:val="en-US" w:eastAsia="zh-CN"/>
              </w:rPr>
              <w:t>应附</w:t>
            </w:r>
            <w:r>
              <w:rPr>
                <w:rFonts w:hint="eastAsia" w:ascii="仿宋" w:hAnsi="仿宋" w:eastAsia="仿宋" w:cs="仿宋"/>
                <w:color w:val="auto"/>
                <w:sz w:val="22"/>
                <w:szCs w:val="22"/>
              </w:rPr>
              <w:t>同一工程中标（成交）通知书、合同（协议书）、工程接收证书（工程竣工验收证书）的扫描件</w:t>
            </w:r>
            <w:r>
              <w:rPr>
                <w:rFonts w:hint="eastAsia" w:ascii="仿宋" w:hAnsi="仿宋" w:eastAsia="仿宋" w:cs="仿宋"/>
                <w:color w:val="auto"/>
                <w:sz w:val="22"/>
                <w:szCs w:val="22"/>
                <w:lang w:val="en-US" w:eastAsia="zh-CN"/>
              </w:rPr>
              <w:t>。</w:t>
            </w:r>
          </w:p>
          <w:p w14:paraId="1F15769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textAlignment w:val="auto"/>
              <w:rPr>
                <w:rFonts w:hint="eastAsia" w:ascii="仿宋" w:hAnsi="仿宋" w:eastAsia="仿宋" w:cs="仿宋"/>
                <w:lang w:val="en-US" w:eastAsia="zh-CN"/>
              </w:rPr>
            </w:pPr>
            <w:r>
              <w:rPr>
                <w:rFonts w:hint="eastAsia" w:ascii="仿宋" w:hAnsi="仿宋" w:eastAsia="仿宋" w:cs="仿宋"/>
                <w:color w:val="auto"/>
                <w:sz w:val="22"/>
                <w:szCs w:val="22"/>
                <w:lang w:val="en-US" w:eastAsia="zh-CN"/>
              </w:rPr>
              <w:t>4、供应商业绩与项目总监理工程师业绩不重复计分。</w:t>
            </w:r>
          </w:p>
        </w:tc>
      </w:tr>
    </w:tbl>
    <w:p w14:paraId="6A0023A7">
      <w:pPr>
        <w:pStyle w:val="27"/>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2、技术评分（70分）</w:t>
      </w:r>
    </w:p>
    <w:tbl>
      <w:tblPr>
        <w:tblStyle w:val="36"/>
        <w:tblW w:w="92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46"/>
        <w:gridCol w:w="675"/>
        <w:gridCol w:w="6770"/>
      </w:tblGrid>
      <w:tr w14:paraId="3FC4A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9266" w:type="dxa"/>
            <w:gridSpan w:val="4"/>
            <w:tcBorders>
              <w:top w:val="single" w:color="auto" w:sz="4" w:space="0"/>
              <w:left w:val="single" w:color="auto" w:sz="4" w:space="0"/>
              <w:bottom w:val="single" w:color="auto" w:sz="4" w:space="0"/>
              <w:right w:val="single" w:color="auto" w:sz="4" w:space="0"/>
            </w:tcBorders>
            <w:noWrap w:val="0"/>
            <w:vAlign w:val="center"/>
          </w:tcPr>
          <w:p w14:paraId="138BA895">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技术部分评分</w:t>
            </w:r>
          </w:p>
        </w:tc>
      </w:tr>
      <w:tr w14:paraId="490A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63775D8">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序号</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B11E440">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评审内容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671F475">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lang w:val="en-US" w:eastAsia="zh-CN"/>
              </w:rPr>
              <w:t>分值</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69A78432">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评审标准和方法</w:t>
            </w:r>
          </w:p>
        </w:tc>
      </w:tr>
      <w:tr w14:paraId="04BA0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5B9A784">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1</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76C36F9">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质量控制</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11D9A05">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15分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5A59D02A">
            <w:pPr>
              <w:pageBreakBefore w:val="0"/>
              <w:kinsoku/>
              <w:bidi w:val="0"/>
              <w:snapToGrid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针对本项目的质量控制目标和措施，包括质量控制的①内容目标依据②程序、方法措施③关键部位的旁站监理④难点要点分析⑤质量控制措施。</w:t>
            </w:r>
          </w:p>
          <w:p w14:paraId="661A10C7">
            <w:pPr>
              <w:pageBreakBefore w:val="0"/>
              <w:kinsoku/>
              <w:bidi w:val="0"/>
              <w:snapToGrid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上述内容每有一项缺失扣3分，每有1处存在内容缺陷（缺陷是指以下情形中的任意一项：内容前后不一致；前后逻辑错误；项目及工作的理解与项目质量控制无关；方案内容不清晰或交叉混乱；方案内容与项目内在需求有漏项等）扣1.5分，扣完为止，无方案不得分。</w:t>
            </w:r>
          </w:p>
        </w:tc>
      </w:tr>
      <w:tr w14:paraId="4DF6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6"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6347237">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2</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1ABC062">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bookmarkStart w:id="127" w:name="OLE_LINK3"/>
            <w:r>
              <w:rPr>
                <w:rFonts w:hint="eastAsia" w:ascii="仿宋" w:hAnsi="仿宋" w:eastAsia="仿宋" w:cs="仿宋"/>
                <w:b w:val="0"/>
                <w:bCs/>
                <w:color w:val="auto"/>
                <w:sz w:val="22"/>
                <w:szCs w:val="22"/>
              </w:rPr>
              <w:t>安全生产监理工作</w:t>
            </w:r>
            <w:bookmarkEnd w:id="127"/>
          </w:p>
        </w:tc>
        <w:tc>
          <w:tcPr>
            <w:tcW w:w="675" w:type="dxa"/>
            <w:tcBorders>
              <w:top w:val="single" w:color="auto" w:sz="4" w:space="0"/>
              <w:left w:val="single" w:color="auto" w:sz="4" w:space="0"/>
              <w:bottom w:val="single" w:color="auto" w:sz="4" w:space="0"/>
              <w:right w:val="single" w:color="auto" w:sz="4" w:space="0"/>
            </w:tcBorders>
            <w:noWrap w:val="0"/>
            <w:vAlign w:val="center"/>
          </w:tcPr>
          <w:p w14:paraId="69BC9220">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10</w:t>
            </w:r>
            <w:r>
              <w:rPr>
                <w:rFonts w:hint="eastAsia" w:ascii="仿宋" w:hAnsi="仿宋" w:eastAsia="仿宋" w:cs="仿宋"/>
                <w:b w:val="0"/>
                <w:bCs/>
                <w:color w:val="auto"/>
                <w:sz w:val="22"/>
                <w:szCs w:val="22"/>
              </w:rPr>
              <w:t>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196C1C25">
            <w:pPr>
              <w:pageBreakBefore w:val="0"/>
              <w:kinsoku/>
              <w:bidi w:val="0"/>
              <w:snapToGrid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根据供应商制定的</w:t>
            </w:r>
            <w:r>
              <w:rPr>
                <w:rFonts w:hint="eastAsia" w:ascii="仿宋" w:hAnsi="仿宋" w:eastAsia="仿宋" w:cs="仿宋"/>
                <w:b w:val="0"/>
                <w:bCs/>
                <w:color w:val="auto"/>
                <w:sz w:val="22"/>
                <w:szCs w:val="22"/>
              </w:rPr>
              <w:t>安全生产监理工作</w:t>
            </w:r>
            <w:r>
              <w:rPr>
                <w:rFonts w:hint="eastAsia" w:ascii="仿宋" w:hAnsi="仿宋" w:eastAsia="仿宋" w:cs="仿宋"/>
                <w:b w:val="0"/>
                <w:bCs w:val="0"/>
                <w:color w:val="auto"/>
                <w:sz w:val="22"/>
                <w:szCs w:val="22"/>
                <w:lang w:val="en-US" w:eastAsia="zh-CN"/>
              </w:rPr>
              <w:t>①监理范围及目标②监理机构设置和岗位职责③监理工作程序、方法和制度④进度控制目标、措施⑤安全控制目标、措施⑥投资控制目标、措施⑦合同、信息管理方案⑧监理组织协调内容及措施⑨监理工作重点、难点分析⑩拟投入的检测设备情况。</w:t>
            </w:r>
          </w:p>
          <w:p w14:paraId="1470FF5D">
            <w:pPr>
              <w:pageBreakBefore w:val="0"/>
              <w:kinsoku/>
              <w:bidi w:val="0"/>
              <w:snapToGrid w:val="0"/>
              <w:spacing w:beforeAutospacing="0" w:afterAutospacing="0" w:line="360" w:lineRule="auto"/>
              <w:ind w:firstLine="440" w:firstLineChars="200"/>
              <w:jc w:val="left"/>
              <w:rPr>
                <w:rFonts w:hint="eastAsia" w:ascii="仿宋" w:hAnsi="仿宋" w:eastAsia="仿宋" w:cs="仿宋"/>
                <w:lang w:val="en-US" w:eastAsia="zh-CN"/>
              </w:rPr>
            </w:pPr>
            <w:r>
              <w:rPr>
                <w:rFonts w:hint="eastAsia" w:ascii="仿宋" w:hAnsi="仿宋" w:eastAsia="仿宋" w:cs="仿宋"/>
                <w:b w:val="0"/>
                <w:bCs w:val="0"/>
                <w:color w:val="auto"/>
                <w:sz w:val="22"/>
                <w:szCs w:val="22"/>
                <w:lang w:val="en-US" w:eastAsia="zh-CN"/>
              </w:rPr>
              <w:t>上述内容每有一项缺失扣1分，每有1处存在内容缺陷（缺陷是指以下情形中的任意一项：内容前后不一致；前后逻辑错误；项目及工作的与项目监理工作无关；方案内容不清晰或交叉混乱；方案内容与项目内在需求有漏项等）扣0.5分，扣完为止，无方案不得分。</w:t>
            </w:r>
          </w:p>
        </w:tc>
      </w:tr>
      <w:tr w14:paraId="636D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ADACD91">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3</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745708A">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rPr>
              <w:t>进度控制</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5B0E59A">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7</w:t>
            </w:r>
            <w:r>
              <w:rPr>
                <w:rFonts w:hint="eastAsia" w:ascii="仿宋" w:hAnsi="仿宋" w:eastAsia="仿宋" w:cs="仿宋"/>
                <w:b w:val="0"/>
                <w:bCs/>
                <w:color w:val="auto"/>
                <w:sz w:val="22"/>
                <w:szCs w:val="22"/>
              </w:rPr>
              <w:t>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2263B616">
            <w:pPr>
              <w:keepNext w:val="0"/>
              <w:keepLines w:val="0"/>
              <w:pageBreakBefore w:val="0"/>
              <w:widowControl/>
              <w:suppressLineNumbers w:val="0"/>
              <w:kinsoku/>
              <w:bidi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根据供应商制定的进度控制的①内容②目标③依据④程序⑤方法⑥措施⑦难点要点分析进行综合评审。</w:t>
            </w:r>
          </w:p>
          <w:p w14:paraId="2CB08DBC">
            <w:pPr>
              <w:keepNext w:val="0"/>
              <w:keepLines w:val="0"/>
              <w:pageBreakBefore w:val="0"/>
              <w:widowControl/>
              <w:suppressLineNumbers w:val="0"/>
              <w:kinsoku/>
              <w:bidi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上述内容每有一项缺失扣1分，每有1处存在内容缺陷（缺陷是指以下情形中的任意一项：内容前后不一致；前后逻辑错误；项目及工作与</w:t>
            </w:r>
            <w:r>
              <w:rPr>
                <w:rFonts w:hint="eastAsia" w:ascii="仿宋" w:hAnsi="仿宋" w:eastAsia="仿宋" w:cs="仿宋"/>
                <w:b w:val="0"/>
                <w:bCs/>
                <w:color w:val="auto"/>
                <w:sz w:val="22"/>
                <w:szCs w:val="22"/>
              </w:rPr>
              <w:t>进度控制</w:t>
            </w:r>
            <w:r>
              <w:rPr>
                <w:rFonts w:hint="eastAsia" w:ascii="仿宋" w:hAnsi="仿宋" w:eastAsia="仿宋" w:cs="仿宋"/>
                <w:b w:val="0"/>
                <w:bCs w:val="0"/>
                <w:color w:val="auto"/>
                <w:sz w:val="22"/>
                <w:szCs w:val="22"/>
                <w:lang w:val="en-US" w:eastAsia="zh-CN"/>
              </w:rPr>
              <w:t>无关；方案内容不清晰或交叉混乱；方案内容与项目内在需求有漏项等）扣 0.5分，扣完为止，无方案不得分。</w:t>
            </w:r>
          </w:p>
        </w:tc>
      </w:tr>
      <w:tr w14:paraId="0204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0ECC0B8">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4</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1FC3345">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造价</w:t>
            </w:r>
            <w:r>
              <w:rPr>
                <w:rFonts w:hint="eastAsia" w:ascii="仿宋" w:hAnsi="仿宋" w:eastAsia="仿宋" w:cs="仿宋"/>
                <w:b w:val="0"/>
                <w:bCs/>
                <w:color w:val="auto"/>
                <w:sz w:val="22"/>
                <w:szCs w:val="22"/>
              </w:rPr>
              <w:t>控制</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268DBA8">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7</w:t>
            </w:r>
            <w:r>
              <w:rPr>
                <w:rFonts w:hint="eastAsia" w:ascii="仿宋" w:hAnsi="仿宋" w:eastAsia="仿宋" w:cs="仿宋"/>
                <w:b w:val="0"/>
                <w:bCs/>
                <w:color w:val="auto"/>
                <w:sz w:val="22"/>
                <w:szCs w:val="22"/>
              </w:rPr>
              <w:t>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44B65BBD">
            <w:pPr>
              <w:pageBreakBefore w:val="0"/>
              <w:kinsoku/>
              <w:bidi w:val="0"/>
              <w:snapToGrid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根据供应商制定的投资控制的①内容②目标③依据④程序⑤方法⑥措施⑦难点要点分析进行综合评审。</w:t>
            </w:r>
          </w:p>
          <w:p w14:paraId="0238B558">
            <w:pPr>
              <w:pageBreakBefore w:val="0"/>
              <w:kinsoku/>
              <w:bidi w:val="0"/>
              <w:snapToGrid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上述内容每有一项缺失扣1分，每有1处存在内容缺陷（缺陷是指以下情形中的任意一项：内容前后不一致；前后逻辑错误；项目及工作与</w:t>
            </w:r>
            <w:r>
              <w:rPr>
                <w:rFonts w:hint="eastAsia" w:ascii="仿宋" w:hAnsi="仿宋" w:eastAsia="仿宋" w:cs="仿宋"/>
                <w:b w:val="0"/>
                <w:bCs/>
                <w:color w:val="auto"/>
                <w:sz w:val="22"/>
                <w:szCs w:val="22"/>
                <w:lang w:val="en-US" w:eastAsia="zh-CN"/>
              </w:rPr>
              <w:t>造价</w:t>
            </w:r>
            <w:r>
              <w:rPr>
                <w:rFonts w:hint="eastAsia" w:ascii="仿宋" w:hAnsi="仿宋" w:eastAsia="仿宋" w:cs="仿宋"/>
                <w:b w:val="0"/>
                <w:bCs/>
                <w:color w:val="auto"/>
                <w:sz w:val="22"/>
                <w:szCs w:val="22"/>
              </w:rPr>
              <w:t>控制</w:t>
            </w:r>
            <w:r>
              <w:rPr>
                <w:rFonts w:hint="eastAsia" w:ascii="仿宋" w:hAnsi="仿宋" w:eastAsia="仿宋" w:cs="仿宋"/>
                <w:b w:val="0"/>
                <w:bCs w:val="0"/>
                <w:color w:val="auto"/>
                <w:sz w:val="22"/>
                <w:szCs w:val="22"/>
                <w:lang w:val="en-US" w:eastAsia="zh-CN"/>
              </w:rPr>
              <w:t>无关；方案内容不清晰或交叉混乱；方案内容与项目内在需求有漏项等）扣 0.5分，扣完为止，无方案不得分。</w:t>
            </w:r>
          </w:p>
        </w:tc>
      </w:tr>
      <w:tr w14:paraId="4E205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9CB7D7C">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5</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FAC4923">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rPr>
              <w:t>合同管理、信息管理和组织协调</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D04F229">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10</w:t>
            </w:r>
            <w:r>
              <w:rPr>
                <w:rFonts w:hint="eastAsia" w:ascii="仿宋" w:hAnsi="仿宋" w:eastAsia="仿宋" w:cs="仿宋"/>
                <w:b w:val="0"/>
                <w:bCs/>
                <w:color w:val="auto"/>
                <w:sz w:val="22"/>
                <w:szCs w:val="22"/>
              </w:rPr>
              <w:t>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33C4E116">
            <w:pPr>
              <w:keepNext w:val="0"/>
              <w:keepLines w:val="0"/>
              <w:pageBreakBefore w:val="0"/>
              <w:widowControl/>
              <w:suppressLineNumbers w:val="0"/>
              <w:kinsoku/>
              <w:bidi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根据供应商制定的①合同管理②信息管理③组织协调控制措施④人员考核制度⑤档案资料管理制度等的内容进行综合评审。</w:t>
            </w:r>
          </w:p>
          <w:p w14:paraId="4380A543">
            <w:pPr>
              <w:keepNext w:val="0"/>
              <w:keepLines w:val="0"/>
              <w:pageBreakBefore w:val="0"/>
              <w:widowControl/>
              <w:suppressLineNumbers w:val="0"/>
              <w:kinsoku/>
              <w:bidi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上述内容每有一项缺失扣2分，每有1处存在内容缺陷（缺陷是指以下情形中的任意一项：内容前后不一致；前后逻辑错误；项目及工作与</w:t>
            </w:r>
            <w:r>
              <w:rPr>
                <w:rFonts w:hint="eastAsia" w:ascii="仿宋" w:hAnsi="仿宋" w:eastAsia="仿宋" w:cs="仿宋"/>
                <w:b w:val="0"/>
                <w:bCs/>
                <w:color w:val="auto"/>
                <w:sz w:val="22"/>
                <w:szCs w:val="22"/>
              </w:rPr>
              <w:t>管理和组织协调</w:t>
            </w:r>
            <w:r>
              <w:rPr>
                <w:rFonts w:hint="eastAsia" w:ascii="仿宋" w:hAnsi="仿宋" w:eastAsia="仿宋" w:cs="仿宋"/>
                <w:b w:val="0"/>
                <w:bCs w:val="0"/>
                <w:color w:val="auto"/>
                <w:sz w:val="22"/>
                <w:szCs w:val="22"/>
                <w:lang w:val="en-US" w:eastAsia="zh-CN"/>
              </w:rPr>
              <w:t>无关；方案内容不清晰或交叉混乱；方案内容与项目内在需求有漏项等）扣1分，扣完为止，无方案不得分。</w:t>
            </w:r>
          </w:p>
        </w:tc>
      </w:tr>
      <w:tr w14:paraId="339A0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AABF17E">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6</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E87D75F">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项目监理机构的组织形式、人员配备、岗位职责分工</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E288334">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9分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32201C2A">
            <w:pPr>
              <w:keepNext w:val="0"/>
              <w:keepLines w:val="0"/>
              <w:pageBreakBefore w:val="0"/>
              <w:widowControl/>
              <w:suppressLineNumbers w:val="0"/>
              <w:kinsoku/>
              <w:bidi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根据供应商制定的①机构组织形式明确性②人员配备齐全性③人员岗位职责分工进行综合评审。</w:t>
            </w:r>
          </w:p>
          <w:p w14:paraId="58428AE5">
            <w:pPr>
              <w:keepNext w:val="0"/>
              <w:keepLines w:val="0"/>
              <w:pageBreakBefore w:val="0"/>
              <w:widowControl/>
              <w:suppressLineNumbers w:val="0"/>
              <w:kinsoku/>
              <w:bidi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上述内容每有一项缺失扣3分，每有1处存在内容缺陷（缺陷是指以下情形中的任意一项：内容前后不一致；前后逻辑错误；项目及工作与人员</w:t>
            </w:r>
            <w:r>
              <w:rPr>
                <w:rFonts w:hint="eastAsia" w:ascii="仿宋" w:hAnsi="仿宋" w:eastAsia="仿宋" w:cs="仿宋"/>
                <w:b w:val="0"/>
                <w:bCs/>
                <w:color w:val="auto"/>
                <w:sz w:val="22"/>
                <w:szCs w:val="22"/>
                <w:lang w:val="en-US" w:eastAsia="zh-CN"/>
              </w:rPr>
              <w:t>配备、岗位</w:t>
            </w:r>
            <w:r>
              <w:rPr>
                <w:rFonts w:hint="eastAsia" w:ascii="仿宋" w:hAnsi="仿宋" w:eastAsia="仿宋" w:cs="仿宋"/>
                <w:b w:val="0"/>
                <w:bCs w:val="0"/>
                <w:color w:val="auto"/>
                <w:sz w:val="22"/>
                <w:szCs w:val="22"/>
                <w:lang w:val="en-US" w:eastAsia="zh-CN"/>
              </w:rPr>
              <w:t>无关；方案内容不清晰或交叉混乱；方案内容与项目内在需求有漏项等）扣 1.5分，扣完为止，无方案不得分。</w:t>
            </w:r>
          </w:p>
        </w:tc>
      </w:tr>
      <w:tr w14:paraId="64FA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A170D76">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7</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B1043E3">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rPr>
              <w:t>监理设施</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15511AB">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8</w:t>
            </w:r>
            <w:r>
              <w:rPr>
                <w:rFonts w:hint="eastAsia" w:ascii="仿宋" w:hAnsi="仿宋" w:eastAsia="仿宋" w:cs="仿宋"/>
                <w:b w:val="0"/>
                <w:bCs/>
                <w:color w:val="auto"/>
                <w:sz w:val="22"/>
                <w:szCs w:val="22"/>
              </w:rPr>
              <w:t>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559F4F8B">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针对本项目制定设备、仪器供应安排方案，包括但不限于：①设备仪器配置②设备仪器现场管理③设备仪器配备保障措施④设备仪器配置安全保证措施。</w:t>
            </w:r>
          </w:p>
          <w:p w14:paraId="59769323">
            <w:pPr>
              <w:keepNext w:val="0"/>
              <w:keepLines w:val="0"/>
              <w:pageBreakBefore w:val="0"/>
              <w:widowControl/>
              <w:suppressLineNumbers w:val="0"/>
              <w:kinsoku/>
              <w:wordWrap/>
              <w:overflowPunct/>
              <w:topLinePunct w:val="0"/>
              <w:autoSpaceDE/>
              <w:autoSpaceDN/>
              <w:bidi w:val="0"/>
              <w:snapToGrid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上述内容每有一项缺失的扣2分，每有1处存在内容缺陷（缺陷是指以下情形中的任意一项：内容前后不一致；前后逻辑错误；项目及工作与</w:t>
            </w:r>
            <w:r>
              <w:rPr>
                <w:rFonts w:hint="eastAsia" w:ascii="仿宋" w:hAnsi="仿宋" w:eastAsia="仿宋" w:cs="仿宋"/>
                <w:b w:val="0"/>
                <w:bCs/>
                <w:color w:val="auto"/>
                <w:sz w:val="22"/>
                <w:szCs w:val="22"/>
              </w:rPr>
              <w:t>监理设施</w:t>
            </w:r>
            <w:r>
              <w:rPr>
                <w:rFonts w:hint="eastAsia" w:ascii="仿宋" w:hAnsi="仿宋" w:eastAsia="仿宋" w:cs="仿宋"/>
                <w:b w:val="0"/>
                <w:bCs w:val="0"/>
                <w:color w:val="auto"/>
                <w:sz w:val="22"/>
                <w:szCs w:val="22"/>
                <w:lang w:val="en-US" w:eastAsia="zh-CN"/>
              </w:rPr>
              <w:t>无关；方案内容不清晰或交叉混乱；方案内容与项目内在需求有漏项等）扣1分，扣完为止，无方案不得分。</w:t>
            </w:r>
          </w:p>
        </w:tc>
      </w:tr>
      <w:tr w14:paraId="0990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2" w:hRule="atLeast"/>
          <w:jc w:val="center"/>
        </w:trPr>
        <w:tc>
          <w:tcPr>
            <w:tcW w:w="675" w:type="dxa"/>
            <w:tcBorders>
              <w:top w:val="single" w:color="auto" w:sz="4" w:space="0"/>
              <w:left w:val="single" w:color="auto" w:sz="4" w:space="0"/>
              <w:right w:val="single" w:color="auto" w:sz="4" w:space="0"/>
            </w:tcBorders>
            <w:noWrap w:val="0"/>
            <w:vAlign w:val="center"/>
          </w:tcPr>
          <w:p w14:paraId="1895FD6F">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8</w:t>
            </w:r>
          </w:p>
        </w:tc>
        <w:tc>
          <w:tcPr>
            <w:tcW w:w="1146" w:type="dxa"/>
            <w:tcBorders>
              <w:top w:val="single" w:color="auto" w:sz="4" w:space="0"/>
              <w:left w:val="single" w:color="auto" w:sz="4" w:space="0"/>
              <w:right w:val="single" w:color="auto" w:sz="4" w:space="0"/>
            </w:tcBorders>
            <w:noWrap w:val="0"/>
            <w:vAlign w:val="center"/>
          </w:tcPr>
          <w:p w14:paraId="57E8723E">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rPr>
              <w:t>合理化建议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A891360">
            <w:pPr>
              <w:pageBreakBefore w:val="0"/>
              <w:kinsoku/>
              <w:wordWrap w:val="0"/>
              <w:bidi w:val="0"/>
              <w:snapToGrid w:val="0"/>
              <w:spacing w:beforeAutospacing="0" w:afterAutospacing="0" w:line="360" w:lineRule="auto"/>
              <w:jc w:val="center"/>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4</w:t>
            </w:r>
            <w:r>
              <w:rPr>
                <w:rFonts w:hint="eastAsia" w:ascii="仿宋" w:hAnsi="仿宋" w:eastAsia="仿宋" w:cs="仿宋"/>
                <w:b w:val="0"/>
                <w:bCs/>
                <w:color w:val="auto"/>
                <w:sz w:val="22"/>
                <w:szCs w:val="22"/>
              </w:rPr>
              <w:t>分</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38DDCC0C">
            <w:pPr>
              <w:keepNext w:val="0"/>
              <w:keepLines w:val="0"/>
              <w:pageBreakBefore w:val="0"/>
              <w:widowControl/>
              <w:suppressLineNumbers w:val="0"/>
              <w:kinsoku/>
              <w:bidi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zh-CN" w:eastAsia="zh-CN"/>
              </w:rPr>
              <w:t>对本项目制定的</w:t>
            </w:r>
            <w:r>
              <w:rPr>
                <w:rFonts w:hint="eastAsia" w:ascii="仿宋" w:hAnsi="仿宋" w:eastAsia="仿宋" w:cs="仿宋"/>
                <w:b w:val="0"/>
                <w:bCs w:val="0"/>
                <w:color w:val="auto"/>
                <w:sz w:val="22"/>
                <w:szCs w:val="22"/>
                <w:lang w:val="en-US" w:eastAsia="zh-CN"/>
              </w:rPr>
              <w:t>合理化建议的</w:t>
            </w:r>
            <w:r>
              <w:rPr>
                <w:rFonts w:hint="eastAsia" w:ascii="仿宋" w:hAnsi="仿宋" w:eastAsia="仿宋" w:cs="仿宋"/>
                <w:b w:val="0"/>
                <w:bCs w:val="0"/>
                <w:color w:val="auto"/>
                <w:sz w:val="22"/>
                <w:szCs w:val="22"/>
                <w:lang w:val="zh-CN" w:eastAsia="zh-CN"/>
              </w:rPr>
              <w:t>合理性、</w:t>
            </w:r>
            <w:r>
              <w:rPr>
                <w:rFonts w:hint="eastAsia" w:ascii="仿宋" w:hAnsi="仿宋" w:eastAsia="仿宋" w:cs="仿宋"/>
                <w:b w:val="0"/>
                <w:bCs w:val="0"/>
                <w:color w:val="auto"/>
                <w:sz w:val="22"/>
                <w:szCs w:val="22"/>
                <w:lang w:val="en-US" w:eastAsia="zh-CN"/>
              </w:rPr>
              <w:t>针对性、科学性、可行性</w:t>
            </w:r>
            <w:r>
              <w:rPr>
                <w:rFonts w:hint="eastAsia" w:ascii="仿宋" w:hAnsi="仿宋" w:eastAsia="仿宋" w:cs="仿宋"/>
                <w:b w:val="0"/>
                <w:bCs w:val="0"/>
                <w:color w:val="auto"/>
                <w:sz w:val="22"/>
                <w:szCs w:val="22"/>
                <w:lang w:val="zh-CN" w:eastAsia="zh-CN"/>
              </w:rPr>
              <w:t>进行综合评价，</w:t>
            </w:r>
            <w:r>
              <w:rPr>
                <w:rFonts w:hint="eastAsia" w:ascii="仿宋" w:hAnsi="仿宋" w:eastAsia="仿宋" w:cs="仿宋"/>
                <w:color w:val="auto"/>
                <w:sz w:val="22"/>
                <w:szCs w:val="22"/>
                <w:lang w:val="en-US" w:eastAsia="zh-CN"/>
              </w:rPr>
              <w:t>包括以下四项内容：①对质量控制的合理化建议②对安全生产的合理化建议③对进度控制的合理化建议④对造价控制的合理化建议</w:t>
            </w:r>
            <w:r>
              <w:rPr>
                <w:rFonts w:hint="eastAsia" w:ascii="仿宋" w:hAnsi="仿宋" w:eastAsia="仿宋" w:cs="仿宋"/>
                <w:b w:val="0"/>
                <w:bCs w:val="0"/>
                <w:color w:val="auto"/>
                <w:sz w:val="22"/>
                <w:szCs w:val="22"/>
                <w:lang w:val="en-US" w:eastAsia="zh-CN"/>
              </w:rPr>
              <w:t>。</w:t>
            </w:r>
          </w:p>
          <w:p w14:paraId="11A5AEB8">
            <w:pPr>
              <w:pageBreakBefore w:val="0"/>
              <w:kinsoku/>
              <w:bidi w:val="0"/>
              <w:snapToGrid w:val="0"/>
              <w:spacing w:beforeAutospacing="0" w:afterAutospacing="0" w:line="360" w:lineRule="auto"/>
              <w:ind w:firstLine="440" w:firstLineChars="200"/>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上述内容每有一项缺失扣1分，每有1处存在内容缺陷（缺陷是指以下情形中的任意一项：内容前后不一致；前后逻辑错误；项目及工作与合理化</w:t>
            </w:r>
            <w:r>
              <w:rPr>
                <w:rFonts w:hint="eastAsia" w:ascii="仿宋" w:hAnsi="仿宋" w:eastAsia="仿宋" w:cs="仿宋"/>
                <w:b w:val="0"/>
                <w:bCs/>
                <w:color w:val="auto"/>
                <w:sz w:val="22"/>
                <w:szCs w:val="22"/>
              </w:rPr>
              <w:t>建议</w:t>
            </w:r>
            <w:r>
              <w:rPr>
                <w:rFonts w:hint="eastAsia" w:ascii="仿宋" w:hAnsi="仿宋" w:eastAsia="仿宋" w:cs="仿宋"/>
                <w:b w:val="0"/>
                <w:bCs w:val="0"/>
                <w:color w:val="auto"/>
                <w:sz w:val="22"/>
                <w:szCs w:val="22"/>
                <w:lang w:val="en-US" w:eastAsia="zh-CN"/>
              </w:rPr>
              <w:t>无关；方案内容不清晰或交叉混乱；方案内容与项目内在需求有漏项等）扣 0.5分，扣完为止，无方案不得分。</w:t>
            </w:r>
          </w:p>
        </w:tc>
      </w:tr>
    </w:tbl>
    <w:p w14:paraId="336B0EE2">
      <w:pPr>
        <w:pStyle w:val="27"/>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3、价格评分（10分）</w:t>
      </w:r>
    </w:p>
    <w:tbl>
      <w:tblPr>
        <w:tblStyle w:val="36"/>
        <w:tblW w:w="9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13"/>
        <w:gridCol w:w="1298"/>
        <w:gridCol w:w="6155"/>
      </w:tblGrid>
      <w:tr w14:paraId="5997C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813" w:type="dxa"/>
            <w:tcBorders>
              <w:right w:val="single" w:color="auto" w:sz="4" w:space="0"/>
            </w:tcBorders>
            <w:noWrap w:val="0"/>
            <w:vAlign w:val="center"/>
          </w:tcPr>
          <w:p w14:paraId="584A50A9">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lang w:val="zh-CN"/>
              </w:rPr>
            </w:pPr>
            <w:r>
              <w:rPr>
                <w:rFonts w:hint="eastAsia" w:ascii="仿宋" w:hAnsi="仿宋" w:eastAsia="仿宋" w:cs="仿宋"/>
                <w:b/>
                <w:color w:val="auto"/>
                <w:sz w:val="22"/>
                <w:szCs w:val="22"/>
                <w:lang w:val="zh-CN"/>
              </w:rPr>
              <w:t>评审项目</w:t>
            </w:r>
          </w:p>
        </w:tc>
        <w:tc>
          <w:tcPr>
            <w:tcW w:w="1298" w:type="dxa"/>
            <w:tcBorders>
              <w:left w:val="single" w:color="auto" w:sz="4" w:space="0"/>
            </w:tcBorders>
            <w:noWrap w:val="0"/>
            <w:vAlign w:val="center"/>
          </w:tcPr>
          <w:p w14:paraId="5408650D">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lang w:val="en-US" w:eastAsia="zh-CN"/>
              </w:rPr>
              <w:t>分值</w:t>
            </w:r>
          </w:p>
        </w:tc>
        <w:tc>
          <w:tcPr>
            <w:tcW w:w="6155" w:type="dxa"/>
            <w:noWrap w:val="0"/>
            <w:vAlign w:val="center"/>
          </w:tcPr>
          <w:p w14:paraId="6806FACC">
            <w:pPr>
              <w:pageBreakBefore w:val="0"/>
              <w:kinsoku/>
              <w:wordWrap w:val="0"/>
              <w:bidi w:val="0"/>
              <w:snapToGrid w:val="0"/>
              <w:spacing w:beforeAutospacing="0" w:afterAutospacing="0" w:line="360" w:lineRule="auto"/>
              <w:jc w:val="center"/>
              <w:rPr>
                <w:rFonts w:hint="eastAsia" w:ascii="仿宋" w:hAnsi="仿宋" w:eastAsia="仿宋" w:cs="仿宋"/>
                <w:b/>
                <w:color w:val="auto"/>
                <w:sz w:val="22"/>
                <w:szCs w:val="22"/>
                <w:lang w:val="zh-CN"/>
              </w:rPr>
            </w:pPr>
            <w:r>
              <w:rPr>
                <w:rFonts w:hint="eastAsia" w:ascii="仿宋" w:hAnsi="仿宋" w:eastAsia="仿宋" w:cs="仿宋"/>
                <w:b/>
                <w:color w:val="auto"/>
                <w:sz w:val="22"/>
                <w:szCs w:val="22"/>
                <w:lang w:val="en-US" w:eastAsia="zh-CN"/>
              </w:rPr>
              <w:t>评审</w:t>
            </w:r>
            <w:r>
              <w:rPr>
                <w:rFonts w:hint="eastAsia" w:ascii="仿宋" w:hAnsi="仿宋" w:eastAsia="仿宋" w:cs="仿宋"/>
                <w:b/>
                <w:color w:val="auto"/>
                <w:sz w:val="22"/>
                <w:szCs w:val="22"/>
                <w:lang w:val="zh-CN"/>
              </w:rPr>
              <w:t>标准</w:t>
            </w:r>
          </w:p>
        </w:tc>
      </w:tr>
      <w:tr w14:paraId="7D159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813" w:type="dxa"/>
            <w:tcBorders>
              <w:right w:val="single" w:color="auto" w:sz="4" w:space="0"/>
            </w:tcBorders>
            <w:noWrap w:val="0"/>
            <w:vAlign w:val="center"/>
          </w:tcPr>
          <w:p w14:paraId="0B6D720D">
            <w:pPr>
              <w:pageBreakBefore w:val="0"/>
              <w:kinsoku/>
              <w:bidi w:val="0"/>
              <w:snapToGrid w:val="0"/>
              <w:spacing w:beforeAutospacing="0" w:afterAutospacing="0" w:line="360" w:lineRule="auto"/>
              <w:jc w:val="center"/>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投标报价</w:t>
            </w:r>
          </w:p>
        </w:tc>
        <w:tc>
          <w:tcPr>
            <w:tcW w:w="1298" w:type="dxa"/>
            <w:tcBorders>
              <w:left w:val="single" w:color="auto" w:sz="4" w:space="0"/>
            </w:tcBorders>
            <w:noWrap w:val="0"/>
            <w:vAlign w:val="center"/>
          </w:tcPr>
          <w:p w14:paraId="40C23098">
            <w:pPr>
              <w:pageBreakBefore w:val="0"/>
              <w:kinsoku/>
              <w:bidi w:val="0"/>
              <w:snapToGrid w:val="0"/>
              <w:spacing w:beforeAutospacing="0" w:afterAutospacing="0" w:line="360" w:lineRule="auto"/>
              <w:jc w:val="center"/>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满分</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val="zh-CN"/>
              </w:rPr>
              <w:t>分</w:t>
            </w:r>
          </w:p>
        </w:tc>
        <w:tc>
          <w:tcPr>
            <w:tcW w:w="6155" w:type="dxa"/>
            <w:noWrap w:val="0"/>
            <w:vAlign w:val="center"/>
          </w:tcPr>
          <w:p w14:paraId="53DEF688">
            <w:pPr>
              <w:pageBreakBefore w:val="0"/>
              <w:kinsoku/>
              <w:bidi w:val="0"/>
              <w:snapToGrid w:val="0"/>
              <w:spacing w:beforeAutospacing="0" w:afterAutospacing="0" w:line="360" w:lineRule="auto"/>
              <w:jc w:val="left"/>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评标基准价即满足招标文件要求且投标价格最低的投标报价。</w:t>
            </w:r>
          </w:p>
          <w:p w14:paraId="78A3D62A">
            <w:pPr>
              <w:pageBreakBefore w:val="0"/>
              <w:kinsoku/>
              <w:bidi w:val="0"/>
              <w:snapToGrid w:val="0"/>
              <w:spacing w:beforeAutospacing="0" w:afterAutospacing="0" w:line="360" w:lineRule="auto"/>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zh-CN"/>
              </w:rPr>
              <w:t>投标报价得分=（评标基准价/投标报价）×</w:t>
            </w:r>
            <w:r>
              <w:rPr>
                <w:rFonts w:hint="eastAsia" w:ascii="仿宋" w:hAnsi="仿宋" w:eastAsia="仿宋" w:cs="仿宋"/>
                <w:color w:val="auto"/>
                <w:sz w:val="22"/>
                <w:szCs w:val="22"/>
                <w:lang w:val="en-US" w:eastAsia="zh-CN"/>
              </w:rPr>
              <w:t>10</w:t>
            </w:r>
          </w:p>
        </w:tc>
      </w:tr>
      <w:tr w14:paraId="741F0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266" w:type="dxa"/>
            <w:gridSpan w:val="3"/>
            <w:noWrap w:val="0"/>
            <w:vAlign w:val="center"/>
          </w:tcPr>
          <w:p w14:paraId="13848237">
            <w:pPr>
              <w:pageBreakBefore w:val="0"/>
              <w:kinsoku/>
              <w:autoSpaceDE w:val="0"/>
              <w:autoSpaceDN w:val="0"/>
              <w:bidi w:val="0"/>
              <w:adjustRightInd w:val="0"/>
              <w:spacing w:beforeAutospacing="0" w:afterAutospacing="0" w:line="360" w:lineRule="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en-US" w:eastAsia="zh-CN"/>
              </w:rPr>
              <w:t>注：</w:t>
            </w:r>
            <w:r>
              <w:rPr>
                <w:rFonts w:hint="eastAsia" w:ascii="仿宋" w:hAnsi="仿宋" w:eastAsia="仿宋" w:cs="仿宋"/>
                <w:color w:val="auto"/>
                <w:spacing w:val="6"/>
                <w:sz w:val="24"/>
                <w:szCs w:val="24"/>
                <w:highlight w:val="none"/>
                <w:lang w:val="en-US" w:eastAsia="zh-CN"/>
              </w:rPr>
              <w:t>本项目专门面向中小企业</w:t>
            </w:r>
            <w:r>
              <w:rPr>
                <w:rFonts w:hint="eastAsia" w:ascii="仿宋" w:hAnsi="仿宋" w:eastAsia="仿宋" w:cs="仿宋"/>
                <w:color w:val="auto"/>
                <w:sz w:val="24"/>
                <w:szCs w:val="24"/>
                <w:highlight w:val="none"/>
                <w:lang w:val="en-US" w:eastAsia="zh-CN"/>
              </w:rPr>
              <w:t>/小微企业，本项目专门面向中小企业，监狱企业、残疾人福利性单位视同小微企业。本项目属于专门面向中小企业采购的项目，不再执行价格评审优惠的扶持政策。</w:t>
            </w:r>
          </w:p>
        </w:tc>
      </w:tr>
    </w:tbl>
    <w:p w14:paraId="454A7613">
      <w:pPr>
        <w:pStyle w:val="2"/>
        <w:pageBreakBefore w:val="0"/>
        <w:kinsoku/>
        <w:bidi w:val="0"/>
        <w:spacing w:before="0" w:beforeAutospacing="0" w:after="0" w:afterAutospacing="0" w:line="360" w:lineRule="auto"/>
        <w:outlineLvl w:val="9"/>
        <w:rPr>
          <w:rFonts w:hint="eastAsia" w:ascii="仿宋" w:hAnsi="仿宋" w:eastAsia="仿宋" w:cs="仿宋"/>
          <w:color w:val="auto"/>
        </w:rPr>
        <w:sectPr>
          <w:pgSz w:w="11911" w:h="16838"/>
          <w:pgMar w:top="1134" w:right="1134" w:bottom="1134" w:left="1417" w:header="850" w:footer="975" w:gutter="0"/>
          <w:pgBorders>
            <w:top w:val="none" w:sz="0" w:space="0"/>
            <w:left w:val="none" w:sz="0" w:space="0"/>
            <w:bottom w:val="none" w:sz="0" w:space="0"/>
            <w:right w:val="none" w:sz="0" w:space="0"/>
          </w:pgBorders>
          <w:pgNumType w:fmt="decimal"/>
          <w:cols w:space="0" w:num="1"/>
          <w:rtlGutter w:val="0"/>
          <w:docGrid w:linePitch="312" w:charSpace="0"/>
        </w:sectPr>
      </w:pPr>
    </w:p>
    <w:bookmarkEnd w:id="114"/>
    <w:bookmarkEnd w:id="115"/>
    <w:p w14:paraId="476F411B">
      <w:pPr>
        <w:pStyle w:val="66"/>
        <w:pageBreakBefore w:val="0"/>
        <w:kinsoku/>
        <w:bidi w:val="0"/>
        <w:adjustRightInd/>
        <w:spacing w:before="0" w:beforeAutospacing="0" w:after="0" w:afterAutospacing="0" w:line="360" w:lineRule="auto"/>
        <w:ind w:left="0" w:leftChars="0" w:firstLine="0" w:firstLineChars="0"/>
        <w:jc w:val="center"/>
        <w:textAlignment w:val="auto"/>
        <w:rPr>
          <w:rStyle w:val="51"/>
          <w:rFonts w:hint="eastAsia" w:ascii="仿宋" w:hAnsi="仿宋" w:eastAsia="仿宋" w:cs="仿宋"/>
          <w:b/>
          <w:bCs/>
          <w:color w:val="auto"/>
          <w:sz w:val="30"/>
          <w:szCs w:val="30"/>
          <w:lang w:val="en-US" w:eastAsia="zh-CN"/>
        </w:rPr>
      </w:pPr>
      <w:bookmarkStart w:id="128" w:name="_Toc4490"/>
      <w:r>
        <w:rPr>
          <w:rStyle w:val="51"/>
          <w:rFonts w:hint="eastAsia" w:ascii="仿宋" w:hAnsi="仿宋" w:eastAsia="仿宋" w:cs="仿宋"/>
          <w:b/>
          <w:bCs/>
          <w:color w:val="auto"/>
          <w:sz w:val="30"/>
          <w:szCs w:val="30"/>
          <w:lang w:val="en-US" w:eastAsia="zh-CN"/>
        </w:rPr>
        <w:t>第五部分  商务、技术要求</w:t>
      </w:r>
      <w:bookmarkEnd w:id="128"/>
    </w:p>
    <w:p w14:paraId="0F8E8764">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一、项目概况</w:t>
      </w:r>
      <w:r>
        <w:rPr>
          <w:rFonts w:hint="eastAsia" w:ascii="仿宋" w:hAnsi="仿宋" w:eastAsia="仿宋" w:cs="仿宋"/>
          <w:b/>
          <w:bCs/>
          <w:sz w:val="24"/>
          <w:szCs w:val="28"/>
          <w:lang w:val="en-US" w:eastAsia="zh-CN"/>
        </w:rPr>
        <w:fldChar w:fldCharType="begin"/>
      </w:r>
      <w:r>
        <w:rPr>
          <w:rFonts w:hint="eastAsia" w:ascii="仿宋" w:hAnsi="仿宋" w:eastAsia="仿宋" w:cs="仿宋"/>
          <w:b/>
          <w:bCs/>
          <w:sz w:val="24"/>
          <w:szCs w:val="28"/>
          <w:lang w:val="en-US" w:eastAsia="zh-CN"/>
        </w:rPr>
        <w:instrText xml:space="preserve"> HYPERLINK "https://www.sxzfcg.zcygov.cn/project-center/_procurement_/project-result-detail/7165189324029399022" \t "https://www.sxzfcg.zcygov.cn/project-center/_procurement_/self-project/_blank" </w:instrText>
      </w:r>
      <w:r>
        <w:rPr>
          <w:rFonts w:hint="eastAsia" w:ascii="仿宋" w:hAnsi="仿宋" w:eastAsia="仿宋" w:cs="仿宋"/>
          <w:b/>
          <w:bCs/>
          <w:sz w:val="24"/>
          <w:szCs w:val="28"/>
          <w:lang w:val="en-US" w:eastAsia="zh-CN"/>
        </w:rPr>
        <w:fldChar w:fldCharType="separate"/>
      </w:r>
      <w:r>
        <w:rPr>
          <w:rFonts w:hint="eastAsia" w:ascii="仿宋" w:hAnsi="仿宋" w:eastAsia="仿宋" w:cs="仿宋"/>
          <w:b/>
          <w:bCs/>
          <w:sz w:val="24"/>
          <w:szCs w:val="28"/>
          <w:lang w:val="en-US" w:eastAsia="zh-CN"/>
        </w:rPr>
        <w:fldChar w:fldCharType="end"/>
      </w:r>
    </w:p>
    <w:p w14:paraId="27E2669A">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1、项目名称：清徐中学片区排水防涝及地下管网改造工程监理</w:t>
      </w:r>
    </w:p>
    <w:p w14:paraId="34B2371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2、预算金额/最高限价：</w:t>
      </w:r>
      <w:r>
        <w:rPr>
          <w:rFonts w:hint="eastAsia" w:ascii="仿宋" w:hAnsi="仿宋" w:eastAsia="仿宋" w:cs="仿宋"/>
          <w:color w:val="auto"/>
          <w:sz w:val="22"/>
          <w:szCs w:val="22"/>
          <w:highlight w:val="none"/>
          <w:lang w:val="en-US" w:eastAsia="zh-CN"/>
        </w:rPr>
        <w:t>511700.00元</w:t>
      </w:r>
    </w:p>
    <w:p w14:paraId="2FC7AD0F">
      <w:pPr>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none"/>
          <w:lang w:val="en-US" w:eastAsia="zh-CN"/>
        </w:rPr>
        <w:t>3、项目概况：</w:t>
      </w:r>
      <w:r>
        <w:rPr>
          <w:rFonts w:hint="eastAsia" w:ascii="仿宋" w:hAnsi="仿宋" w:eastAsia="仿宋" w:cs="仿宋"/>
          <w:color w:val="000000" w:themeColor="text1"/>
          <w:sz w:val="24"/>
          <w:szCs w:val="24"/>
          <w:lang w:val="en-US" w:eastAsia="zh-CN"/>
          <w14:textFill>
            <w14:solidFill>
              <w14:schemeClr w14:val="tx1"/>
            </w14:solidFill>
          </w14:textFill>
        </w:rPr>
        <w:t>本项目学苑街排水防涝及地下管网敷设范围全长 442.79m，育英路排水防涝及地下管网敷设范围全长 371.86m；建设内容包括给水工程（沟槽开挖与回填）、污水工程、雨水工程、电力工程、照明工程、 通信工程、供热工程、道路工程、绿化工程等。</w:t>
      </w:r>
    </w:p>
    <w:p w14:paraId="7FF5522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highlight w:val="yellow"/>
          <w:lang w:val="en-US" w:eastAsia="zh-CN"/>
        </w:rPr>
      </w:pPr>
      <w:r>
        <w:rPr>
          <w:rFonts w:hint="eastAsia" w:ascii="仿宋" w:hAnsi="仿宋" w:eastAsia="仿宋" w:cs="仿宋"/>
          <w:color w:val="auto"/>
          <w:sz w:val="22"/>
          <w:szCs w:val="22"/>
          <w:highlight w:val="none"/>
          <w:lang w:val="en-US" w:eastAsia="zh-CN"/>
        </w:rPr>
        <w:t>4、项目地点：</w:t>
      </w:r>
      <w:r>
        <w:rPr>
          <w:rFonts w:hint="eastAsia" w:ascii="仿宋" w:hAnsi="仿宋" w:eastAsia="仿宋" w:cs="仿宋"/>
          <w:color w:val="000000" w:themeColor="text1"/>
          <w:sz w:val="24"/>
          <w:szCs w:val="24"/>
          <w:lang w:val="en-US" w:eastAsia="zh-CN"/>
          <w14:textFill>
            <w14:solidFill>
              <w14:schemeClr w14:val="tx1"/>
            </w14:solidFill>
          </w14:textFill>
        </w:rPr>
        <w:t>清徐县学苑街（平泉路—规划滨河北路）和育英路（学苑街—梗阳西街）。</w:t>
      </w:r>
    </w:p>
    <w:p w14:paraId="58F4281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二、商务要求</w:t>
      </w:r>
    </w:p>
    <w:p w14:paraId="0E3F8E4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1、监理服务期限：</w:t>
      </w:r>
      <w:r>
        <w:rPr>
          <w:rFonts w:hint="eastAsia" w:ascii="仿宋" w:hAnsi="仿宋" w:eastAsia="仿宋" w:cs="仿宋"/>
          <w:color w:val="auto"/>
          <w:sz w:val="22"/>
          <w:szCs w:val="22"/>
          <w:highlight w:val="none"/>
          <w:lang w:val="en-US" w:eastAsia="zh-CN"/>
        </w:rPr>
        <w:t>施工总工期及缺陷责任期。</w:t>
      </w:r>
    </w:p>
    <w:p w14:paraId="44A1235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2、质量标准：符合国家现行相关监理技术规范、规定并达到合格标准。</w:t>
      </w:r>
    </w:p>
    <w:p w14:paraId="5FCC22E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3、响应有效期：90日历天（从提交响应文件截止之日起计算）。</w:t>
      </w:r>
    </w:p>
    <w:p w14:paraId="1C0EBF6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2"/>
          <w:szCs w:val="22"/>
          <w:lang w:val="en-US" w:eastAsia="zh-CN"/>
        </w:rPr>
        <w:t xml:space="preserve">4、报价范围：为完成本项目监理服务所需的一切相关费用，包括人工费、企业管理费、利润、税金等。 </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bCs/>
          <w:color w:val="auto"/>
          <w:sz w:val="28"/>
          <w:szCs w:val="28"/>
          <w:lang w:val="en-US" w:eastAsia="zh-CN"/>
        </w:rPr>
        <w:t xml:space="preserve">                  </w:t>
      </w:r>
    </w:p>
    <w:p w14:paraId="66A0393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2"/>
          <w:szCs w:val="22"/>
          <w:lang w:val="en-US" w:eastAsia="zh-CN"/>
        </w:rPr>
      </w:pPr>
      <w:r>
        <w:rPr>
          <w:rFonts w:hint="eastAsia" w:ascii="仿宋" w:hAnsi="仿宋" w:eastAsia="仿宋" w:cs="仿宋"/>
          <w:b/>
          <w:bCs/>
          <w:sz w:val="24"/>
          <w:szCs w:val="28"/>
          <w:lang w:val="en-US" w:eastAsia="zh-CN"/>
        </w:rPr>
        <w:t>三、技术要求</w:t>
      </w:r>
    </w:p>
    <w:p w14:paraId="183D4FF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2" w:firstLineChars="200"/>
        <w:jc w:val="left"/>
        <w:textAlignment w:val="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1、监理依据</w:t>
      </w:r>
    </w:p>
    <w:p w14:paraId="5401236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项目立项、审批文件。</w:t>
      </w:r>
    </w:p>
    <w:p w14:paraId="7819884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项目磋商文件。</w:t>
      </w:r>
    </w:p>
    <w:p w14:paraId="4D61E9E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工程勘察文件、设计文件（含设计图纸、设计变更等）。</w:t>
      </w:r>
    </w:p>
    <w:p w14:paraId="6D0E074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双方签订的建设工程监理合同。</w:t>
      </w:r>
    </w:p>
    <w:p w14:paraId="4E3586C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监理人提供的监理大纲。</w:t>
      </w:r>
    </w:p>
    <w:p w14:paraId="38EF792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经监理审核通过的施工组织设计、施工方案。</w:t>
      </w:r>
    </w:p>
    <w:p w14:paraId="37F989E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经审批的监理规划、监理实施细则。</w:t>
      </w:r>
    </w:p>
    <w:p w14:paraId="6A3E1FC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国家、省相关政策法律、法规及现行相关监理技术规范、规定。</w:t>
      </w:r>
    </w:p>
    <w:p w14:paraId="12527A4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建设单位提供的其他有关资料。</w:t>
      </w:r>
    </w:p>
    <w:p w14:paraId="4EAED6B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2" w:firstLineChars="200"/>
        <w:jc w:val="left"/>
        <w:textAlignment w:val="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2、监理范围及内容</w:t>
      </w:r>
    </w:p>
    <w:p w14:paraId="5374956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监理范围：本项目施工图纸设计中的全部工程内容的监理工作及后续相关服务。</w:t>
      </w:r>
    </w:p>
    <w:p w14:paraId="661A928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监理内容：完成工程施工准备阶段、实施阶段、竣工验收阶段的监理工作，具体包括：（工程质量控制、安全生产管理的监理工作、工程进度控制、工程造价控制、合同管理、信息管理、组织协调及与实施本工程监理服务相关的其他工作）。</w:t>
      </w:r>
    </w:p>
    <w:p w14:paraId="4596997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2" w:firstLineChars="200"/>
        <w:jc w:val="left"/>
        <w:textAlignment w:val="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3、适用的规范及标准</w:t>
      </w:r>
    </w:p>
    <w:p w14:paraId="007D4A5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建设工程监理规范。</w:t>
      </w:r>
    </w:p>
    <w:p w14:paraId="1A12F7D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本项目所适用的相关技术标准。</w:t>
      </w:r>
    </w:p>
    <w:p w14:paraId="06B87DC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国家及省市现行的相关法律、法规。</w:t>
      </w:r>
    </w:p>
    <w:p w14:paraId="29F9634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2" w:firstLineChars="200"/>
        <w:jc w:val="left"/>
        <w:textAlignment w:val="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4、监理人员配备要求</w:t>
      </w:r>
    </w:p>
    <w:p w14:paraId="51AC151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供应商应配备能满足本项目需要的监理人员。</w:t>
      </w:r>
    </w:p>
    <w:p w14:paraId="2ABE6A9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四、其他要求</w:t>
      </w:r>
    </w:p>
    <w:p w14:paraId="6FBB481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1、依据设计文件的要求，所监理项目的材料、设备、施工须达到现行中华人民共和国以及省、自治区、直辖市或行业的工程建设标准、规范的要求。 </w:t>
      </w:r>
    </w:p>
    <w:p w14:paraId="5159598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2、接受业主领导并严格按照现行规范开展监理工作，及时了解并掌握国家新政策、新规范的执行及适用，保证工程质量。 </w:t>
      </w:r>
    </w:p>
    <w:p w14:paraId="694B325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3、工程开工前，对工程的单元进行划分，明确分部、分项、检验批的划分办法，印发工程验收、质量控制、资料归档的具体办法和要求，并对建设单位、监理单位、施工单位相关人员进行培训。 </w:t>
      </w:r>
    </w:p>
    <w:p w14:paraId="19BA8CA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4、安全监管除按照国家、地方对安全管理要求外，还要服从甲方安全管理要求。 </w:t>
      </w:r>
    </w:p>
    <w:p w14:paraId="01B3D07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5、监督施工单位劳务分包协议的按时签订和劳务人员的考勤考核。 </w:t>
      </w:r>
    </w:p>
    <w:p w14:paraId="48B76A71">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6、每天统计当日完成的各项工程数量并进行工程数量累加，对工程完成量进行动态管理和向甲方进行周报。</w:t>
      </w:r>
    </w:p>
    <w:p w14:paraId="4625E7C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7、监理机构所有人员必须到位，必须实时在岗全程监理，对重点环节落实质量监控，尤其对隐蔽工程必须有详细的音视频记录，监理日志、检查记录自开工起必须齐全，杜绝监理代签名情况，且不能私自离开。 </w:t>
      </w:r>
    </w:p>
    <w:p w14:paraId="52DAD28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8、服从甲方项目管理的其它要求。</w:t>
      </w:r>
    </w:p>
    <w:p w14:paraId="2F42486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9、未尽事宜，以签订正式《合同》时由双方协商解决。</w:t>
      </w:r>
    </w:p>
    <w:p w14:paraId="550DEE72">
      <w:pPr>
        <w:pageBreakBefore w:val="0"/>
        <w:kinsoku/>
        <w:bidi w:val="0"/>
        <w:spacing w:beforeAutospacing="0" w:afterAutospacing="0" w:line="360" w:lineRule="auto"/>
        <w:rPr>
          <w:rFonts w:hint="eastAsia" w:ascii="仿宋" w:hAnsi="仿宋" w:eastAsia="仿宋" w:cs="仿宋"/>
          <w:i w:val="0"/>
          <w:iCs w:val="0"/>
          <w:color w:val="auto"/>
          <w:kern w:val="0"/>
          <w:sz w:val="32"/>
          <w:szCs w:val="32"/>
          <w:u w:val="none"/>
          <w:lang w:val="en-US" w:eastAsia="zh-CN" w:bidi="ar"/>
        </w:rPr>
      </w:pPr>
    </w:p>
    <w:p w14:paraId="6171F9B9">
      <w:pPr>
        <w:pageBreakBefore w:val="0"/>
        <w:kinsoku/>
        <w:bidi w:val="0"/>
        <w:spacing w:beforeAutospacing="0" w:afterAutospacing="0" w:line="360" w:lineRule="auto"/>
        <w:rPr>
          <w:rFonts w:hint="eastAsia" w:ascii="仿宋" w:hAnsi="仿宋" w:eastAsia="仿宋" w:cs="仿宋"/>
          <w:b/>
          <w:bCs/>
          <w:color w:val="auto"/>
          <w:kern w:val="44"/>
          <w:sz w:val="32"/>
          <w:szCs w:val="32"/>
          <w:lang w:val="en-US" w:eastAsia="zh-CN" w:bidi="ar-SA"/>
        </w:rPr>
      </w:pPr>
      <w:bookmarkStart w:id="129" w:name="_Toc44690691"/>
      <w:bookmarkStart w:id="130" w:name="_Toc29649"/>
      <w:bookmarkStart w:id="131" w:name="_Toc44690617"/>
      <w:r>
        <w:rPr>
          <w:rFonts w:hint="eastAsia" w:ascii="仿宋" w:hAnsi="仿宋" w:eastAsia="仿宋" w:cs="仿宋"/>
          <w:b/>
          <w:bCs/>
          <w:color w:val="auto"/>
          <w:kern w:val="44"/>
          <w:sz w:val="32"/>
          <w:szCs w:val="32"/>
          <w:lang w:val="en-US" w:eastAsia="zh-CN" w:bidi="ar-SA"/>
        </w:rPr>
        <w:br w:type="page"/>
      </w:r>
    </w:p>
    <w:p w14:paraId="53E1DEEF">
      <w:pPr>
        <w:pStyle w:val="66"/>
        <w:pageBreakBefore w:val="0"/>
        <w:kinsoku/>
        <w:bidi w:val="0"/>
        <w:adjustRightInd/>
        <w:spacing w:before="0" w:beforeAutospacing="0" w:after="0" w:afterAutospacing="0" w:line="360" w:lineRule="auto"/>
        <w:ind w:left="0" w:leftChars="0" w:firstLine="0" w:firstLineChars="0"/>
        <w:jc w:val="center"/>
        <w:textAlignment w:val="auto"/>
        <w:rPr>
          <w:rStyle w:val="51"/>
          <w:rFonts w:hint="eastAsia" w:ascii="仿宋" w:hAnsi="仿宋" w:eastAsia="仿宋" w:cs="仿宋"/>
          <w:b/>
          <w:bCs/>
          <w:color w:val="auto"/>
          <w:sz w:val="30"/>
          <w:szCs w:val="30"/>
          <w:lang w:val="en-US" w:eastAsia="zh-CN"/>
        </w:rPr>
      </w:pPr>
      <w:bookmarkStart w:id="132" w:name="_Toc29747"/>
      <w:r>
        <w:rPr>
          <w:rStyle w:val="51"/>
          <w:rFonts w:hint="eastAsia" w:ascii="仿宋" w:hAnsi="仿宋" w:eastAsia="仿宋" w:cs="仿宋"/>
          <w:b/>
          <w:bCs/>
          <w:color w:val="auto"/>
          <w:sz w:val="30"/>
          <w:szCs w:val="30"/>
          <w:lang w:val="en-US" w:eastAsia="zh-CN"/>
        </w:rPr>
        <w:t>第六部分  合同条款</w:t>
      </w:r>
      <w:bookmarkEnd w:id="129"/>
      <w:bookmarkEnd w:id="130"/>
      <w:bookmarkEnd w:id="131"/>
      <w:r>
        <w:rPr>
          <w:rStyle w:val="51"/>
          <w:rFonts w:hint="eastAsia" w:ascii="仿宋" w:hAnsi="仿宋" w:eastAsia="仿宋" w:cs="仿宋"/>
          <w:b/>
          <w:bCs/>
          <w:color w:val="auto"/>
          <w:sz w:val="30"/>
          <w:szCs w:val="30"/>
          <w:lang w:val="en-US" w:eastAsia="zh-CN"/>
        </w:rPr>
        <w:t>（仅供参考，可修改）</w:t>
      </w:r>
      <w:bookmarkEnd w:id="132"/>
    </w:p>
    <w:p w14:paraId="0C7D706F">
      <w:pPr>
        <w:pStyle w:val="94"/>
        <w:pageBreakBefore w:val="0"/>
        <w:kinsoku/>
        <w:bidi w:val="0"/>
        <w:spacing w:before="0" w:beforeAutospacing="0" w:after="0" w:afterAutospacing="0" w:line="360" w:lineRule="auto"/>
        <w:ind w:firstLine="472" w:firstLineChars="196"/>
        <w:rPr>
          <w:rFonts w:hint="eastAsia" w:ascii="仿宋" w:hAnsi="仿宋" w:eastAsia="仿宋" w:cs="仿宋"/>
          <w:b/>
          <w:color w:val="auto"/>
          <w:sz w:val="28"/>
          <w:szCs w:val="28"/>
        </w:rPr>
      </w:pPr>
      <w:bookmarkStart w:id="133" w:name="_Toc44690696"/>
      <w:bookmarkStart w:id="134" w:name="_Toc489536690"/>
      <w:bookmarkStart w:id="135" w:name="_Toc44690622"/>
      <w:bookmarkStart w:id="136" w:name="_Toc32005"/>
      <w:r>
        <w:rPr>
          <w:rStyle w:val="39"/>
          <w:rFonts w:hint="eastAsia" w:ascii="仿宋" w:hAnsi="仿宋" w:eastAsia="仿宋" w:cs="仿宋"/>
          <w:color w:val="auto"/>
        </w:rPr>
        <w:t>合同条款按中华人民共和国住房和城乡建设部和国家工商行政管理局制定的《建设工程监理合同》（示范文本）GF-2012-0202执行。</w:t>
      </w:r>
    </w:p>
    <w:p w14:paraId="3F7E624E">
      <w:pPr>
        <w:pStyle w:val="94"/>
        <w:pageBreakBefore w:val="0"/>
        <w:kinsoku/>
        <w:bidi w:val="0"/>
        <w:spacing w:before="0" w:beforeAutospacing="0" w:after="0" w:afterAutospacing="0" w:line="360" w:lineRule="auto"/>
        <w:jc w:val="center"/>
        <w:outlineLvl w:val="1"/>
        <w:rPr>
          <w:rFonts w:hint="eastAsia" w:ascii="仿宋" w:hAnsi="仿宋" w:eastAsia="仿宋" w:cs="仿宋"/>
          <w:b/>
          <w:color w:val="auto"/>
          <w:sz w:val="30"/>
          <w:szCs w:val="30"/>
        </w:rPr>
      </w:pPr>
      <w:r>
        <w:rPr>
          <w:rFonts w:hint="eastAsia" w:ascii="仿宋" w:hAnsi="仿宋" w:eastAsia="仿宋" w:cs="仿宋"/>
          <w:b/>
          <w:color w:val="auto"/>
          <w:sz w:val="30"/>
          <w:szCs w:val="30"/>
        </w:rPr>
        <w:t>第一部分 协议书</w:t>
      </w:r>
    </w:p>
    <w:p w14:paraId="106B496A">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委托人（全称）：_____________________________</w:t>
      </w:r>
    </w:p>
    <w:p w14:paraId="454E0DAB">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监理人（全称）：_____________________________</w:t>
      </w:r>
    </w:p>
    <w:p w14:paraId="0DBF3424">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8"/>
          <w:szCs w:val="28"/>
        </w:rPr>
      </w:pPr>
      <w:r>
        <w:rPr>
          <w:rFonts w:hint="eastAsia" w:ascii="仿宋" w:hAnsi="仿宋" w:eastAsia="仿宋" w:cs="仿宋"/>
          <w:color w:val="auto"/>
          <w:sz w:val="21"/>
          <w:szCs w:val="21"/>
        </w:rPr>
        <w:t>根据《中华人民共和国合同法》、《中华人民共和国建筑法》及其他有关法律、法规，遵循平等、自愿、公平和诚信的原则，双方就下述工程委托监理与相关服务事项协商一致，订立本合同。</w:t>
      </w:r>
    </w:p>
    <w:p w14:paraId="595DF56C">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一、工程概况</w:t>
      </w:r>
    </w:p>
    <w:p w14:paraId="43A2D02D">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1.工程名称：________________________________；</w:t>
      </w:r>
    </w:p>
    <w:p w14:paraId="00B78EC3">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2.工程地点：________________________________；</w:t>
      </w:r>
    </w:p>
    <w:p w14:paraId="5CD011B5">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3.工程规模：________________________________；</w:t>
      </w:r>
    </w:p>
    <w:p w14:paraId="65CC94B4">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4.工程概算投资额或建筑安装工程费：__________。</w:t>
      </w:r>
    </w:p>
    <w:p w14:paraId="3A9984BD">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二、词语限定</w:t>
      </w:r>
    </w:p>
    <w:p w14:paraId="7B50842B">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协议书中相关词语的含义与通用条件中的定义与解释相同。</w:t>
      </w:r>
    </w:p>
    <w:p w14:paraId="126E7113">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三、组成本合同的文件</w:t>
      </w:r>
    </w:p>
    <w:p w14:paraId="5955C44A">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1.协议书；</w:t>
      </w:r>
    </w:p>
    <w:p w14:paraId="70B7700F">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2.中标通知书（适用于招标工程）或委托书（适用于非招标工程）；</w:t>
      </w:r>
    </w:p>
    <w:p w14:paraId="5A995202">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3.投标文件（适用于招标工程）或监理与相关服务建议书（适用于非招标工程）；</w:t>
      </w:r>
    </w:p>
    <w:p w14:paraId="5EA78D5A">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4.专用条件；</w:t>
      </w:r>
    </w:p>
    <w:p w14:paraId="3BBFF82F">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5.通用条件；</w:t>
      </w:r>
    </w:p>
    <w:p w14:paraId="2DB8DA9A">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6.附录，即：</w:t>
      </w:r>
    </w:p>
    <w:p w14:paraId="46B60BE8">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附录A 相关服务的范围和内容</w:t>
      </w:r>
    </w:p>
    <w:p w14:paraId="48876FAB">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附录B 委托人派遣的人员和提供的房屋、资料、设备</w:t>
      </w:r>
    </w:p>
    <w:p w14:paraId="1BAEFDD2">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本合同签订后，双方依法签订的补充协议也是本合同文件的组成部分。</w:t>
      </w:r>
    </w:p>
    <w:p w14:paraId="63464784">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四、总监理工程师</w:t>
      </w:r>
    </w:p>
    <w:p w14:paraId="54CEF6E1">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总监理工程师姓名：________，身份证号码：____________________，注册号：_______________。</w:t>
      </w:r>
    </w:p>
    <w:p w14:paraId="277FF16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五、签约酬金</w:t>
      </w:r>
    </w:p>
    <w:p w14:paraId="7192EC9B">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签约酬金（大写）：___________________（¥________）。</w:t>
      </w:r>
    </w:p>
    <w:p w14:paraId="6393C9B7">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包括：</w:t>
      </w:r>
    </w:p>
    <w:p w14:paraId="5CECAA7B">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1.监理酬金：___________________。</w:t>
      </w:r>
    </w:p>
    <w:p w14:paraId="39141056">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2.相关服务酬金：_______________。</w:t>
      </w:r>
    </w:p>
    <w:p w14:paraId="09F246EB">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其中：</w:t>
      </w:r>
    </w:p>
    <w:p w14:paraId="45AA6491">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(1)勘察阶段服务酬金：_________________。</w:t>
      </w:r>
    </w:p>
    <w:p w14:paraId="77472B26">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(2)设计阶段服务酬金：_________________。</w:t>
      </w:r>
    </w:p>
    <w:p w14:paraId="44706EF8">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(3)保修阶段服务酬金：_________________。</w:t>
      </w:r>
    </w:p>
    <w:p w14:paraId="012C88D4">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(4)其他相关服务酬金：_________________。</w:t>
      </w:r>
    </w:p>
    <w:p w14:paraId="2DDBFEDC">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六、期限</w:t>
      </w:r>
    </w:p>
    <w:p w14:paraId="6A49DFD9">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1.监理期限：</w:t>
      </w:r>
    </w:p>
    <w:p w14:paraId="324F71F3">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自______年____月____日始，至______年____月____日止。</w:t>
      </w:r>
    </w:p>
    <w:p w14:paraId="55499DB1">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2.相关服务期限：</w:t>
      </w:r>
    </w:p>
    <w:p w14:paraId="1D7B72BF">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(1)勘察阶段服务期限自______年____月____日始，至______年____月____日止。</w:t>
      </w:r>
    </w:p>
    <w:p w14:paraId="3003AFEF">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(2)设计阶段服务期限自______年____月____日始，至______年____月____日止。</w:t>
      </w:r>
    </w:p>
    <w:p w14:paraId="793241BD">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(3)保修阶段服务期限自______年____月____日始，至______年____月____日止。</w:t>
      </w:r>
    </w:p>
    <w:p w14:paraId="076C9206">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(4)其他相关服务期限自______年____月____日始，至______年____月____日止。</w:t>
      </w:r>
    </w:p>
    <w:p w14:paraId="3EC14F56">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七、双方承诺</w:t>
      </w:r>
    </w:p>
    <w:p w14:paraId="608555B1">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1.监理人向委托人承诺，按照本合同约定提供监理与相关服务。</w:t>
      </w:r>
    </w:p>
    <w:p w14:paraId="7656CEC8">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2.委托人向监理人承诺，按照本合同约定派遣相应的人员，提供房屋、资料、设备，并按本合同约定支付酬金。</w:t>
      </w:r>
    </w:p>
    <w:p w14:paraId="0389CA4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八、合同订立</w:t>
      </w:r>
    </w:p>
    <w:p w14:paraId="664C3AB8">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1.订立时间：______年____月____日。</w:t>
      </w:r>
    </w:p>
    <w:p w14:paraId="36C67AD2">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2.订立地点：________________________________________。</w:t>
      </w:r>
    </w:p>
    <w:p w14:paraId="6466F580">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3.本合同一式____份，具有同等法律效力，双方各执____份。</w:t>
      </w:r>
    </w:p>
    <w:p w14:paraId="1E2D8E73">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委托人：____（盖章）______ 监理人：____（盖章_）__________</w:t>
      </w:r>
    </w:p>
    <w:p w14:paraId="441477D1">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住  所：__________________ 住  所：_______________________</w:t>
      </w:r>
    </w:p>
    <w:p w14:paraId="6A1E5C4B">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邮政编码：________________ 邮政编码：_____________________</w:t>
      </w:r>
    </w:p>
    <w:p w14:paraId="0180EE08">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法定代表人或其授权         法定代表人或其授权</w:t>
      </w:r>
    </w:p>
    <w:p w14:paraId="1BAE74E9">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的代理人：___（签字）_____ 的代理人：___（签字）__________</w:t>
      </w:r>
    </w:p>
    <w:p w14:paraId="36D02EB3">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开户银行：________________ 开户银行：_____________________</w:t>
      </w:r>
    </w:p>
    <w:p w14:paraId="56BA5667">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账  号：__________________ 账  号：_______________________</w:t>
      </w:r>
    </w:p>
    <w:p w14:paraId="15CB5914">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电  话：__________________ 电  话：_______________________</w:t>
      </w:r>
    </w:p>
    <w:p w14:paraId="5DAAE9C9">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传  真：__________________ 传  真：_______________________</w:t>
      </w:r>
    </w:p>
    <w:p w14:paraId="4630FBFB">
      <w:pPr>
        <w:pStyle w:val="94"/>
        <w:pageBreakBefore w:val="0"/>
        <w:kinsoku/>
        <w:bidi w:val="0"/>
        <w:spacing w:before="0" w:beforeAutospacing="0" w:after="0" w:afterAutospacing="0" w:line="360" w:lineRule="auto"/>
        <w:ind w:firstLine="420" w:firstLineChars="200"/>
        <w:rPr>
          <w:rFonts w:hint="eastAsia" w:ascii="仿宋" w:hAnsi="仿宋" w:eastAsia="仿宋" w:cs="仿宋"/>
          <w:color w:val="auto"/>
          <w:sz w:val="28"/>
          <w:szCs w:val="28"/>
        </w:rPr>
      </w:pPr>
      <w:r>
        <w:rPr>
          <w:rFonts w:hint="eastAsia" w:ascii="仿宋" w:hAnsi="仿宋" w:eastAsia="仿宋" w:cs="仿宋"/>
          <w:color w:val="auto"/>
          <w:sz w:val="21"/>
          <w:szCs w:val="21"/>
        </w:rPr>
        <w:t>电子邮箱：________________ 电子邮箱：_____________________</w:t>
      </w:r>
      <w:r>
        <w:rPr>
          <w:rFonts w:hint="eastAsia" w:ascii="仿宋" w:hAnsi="仿宋" w:eastAsia="仿宋" w:cs="仿宋"/>
          <w:color w:val="auto"/>
          <w:sz w:val="28"/>
          <w:szCs w:val="28"/>
        </w:rPr>
        <w:br w:type="page"/>
      </w:r>
    </w:p>
    <w:p w14:paraId="43BCE0DD">
      <w:pPr>
        <w:pStyle w:val="94"/>
        <w:pageBreakBefore w:val="0"/>
        <w:kinsoku/>
        <w:bidi w:val="0"/>
        <w:spacing w:before="0" w:beforeAutospacing="0" w:after="0" w:afterAutospacing="0"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第二部分 通用条件</w:t>
      </w:r>
    </w:p>
    <w:p w14:paraId="704A394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1.定义与解释</w:t>
      </w:r>
    </w:p>
    <w:p w14:paraId="3B49703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w:t>
      </w:r>
      <w:r>
        <w:rPr>
          <w:rFonts w:hint="eastAsia" w:ascii="仿宋" w:hAnsi="仿宋" w:eastAsia="仿宋" w:cs="仿宋"/>
          <w:color w:val="auto"/>
          <w:sz w:val="21"/>
          <w:szCs w:val="21"/>
        </w:rPr>
        <w:t>定义</w:t>
      </w:r>
    </w:p>
    <w:p w14:paraId="3F7A866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除根据上下文另有其意义外，组成本合同的全部文件中的下列名词和用语应具有本款所赋予的含义：</w:t>
      </w:r>
    </w:p>
    <w:p w14:paraId="05D74A2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w:t>
      </w:r>
      <w:r>
        <w:rPr>
          <w:rFonts w:hint="eastAsia" w:ascii="仿宋" w:hAnsi="仿宋" w:eastAsia="仿宋" w:cs="仿宋"/>
          <w:color w:val="auto"/>
          <w:sz w:val="21"/>
          <w:szCs w:val="21"/>
        </w:rPr>
        <w:t>“工程”是指按照本合同约定实施监理与相关服务的建设工程。</w:t>
      </w:r>
    </w:p>
    <w:p w14:paraId="10F8ACF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1.1.2</w:t>
      </w:r>
      <w:r>
        <w:rPr>
          <w:rFonts w:hint="eastAsia" w:ascii="仿宋" w:hAnsi="仿宋" w:eastAsia="仿宋" w:cs="仿宋"/>
          <w:color w:val="auto"/>
          <w:sz w:val="21"/>
          <w:szCs w:val="21"/>
        </w:rPr>
        <w:t>“委托人”是指本合同中委托监理与相关服务的一方，及其合法的继承人或受让人。</w:t>
      </w:r>
    </w:p>
    <w:p w14:paraId="18727F1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1.1.3</w:t>
      </w:r>
      <w:r>
        <w:rPr>
          <w:rFonts w:hint="eastAsia" w:ascii="仿宋" w:hAnsi="仿宋" w:eastAsia="仿宋" w:cs="仿宋"/>
          <w:color w:val="auto"/>
          <w:sz w:val="21"/>
          <w:szCs w:val="21"/>
        </w:rPr>
        <w:t>“监理人”是指本合同中提供监理与相关服务的一方，及其合法的继承人。</w:t>
      </w:r>
    </w:p>
    <w:p w14:paraId="5C151DA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1.1.4</w:t>
      </w:r>
      <w:r>
        <w:rPr>
          <w:rFonts w:hint="eastAsia" w:ascii="仿宋" w:hAnsi="仿宋" w:eastAsia="仿宋" w:cs="仿宋"/>
          <w:color w:val="auto"/>
          <w:sz w:val="21"/>
          <w:szCs w:val="21"/>
        </w:rPr>
        <w:t>“承包人”是指在工程范围内与委托人签订勘察、设计、施工等有关合同的当事人，及其合法的继承人。</w:t>
      </w:r>
    </w:p>
    <w:p w14:paraId="619DC30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1.1.5</w:t>
      </w:r>
      <w:r>
        <w:rPr>
          <w:rFonts w:hint="eastAsia" w:ascii="仿宋" w:hAnsi="仿宋" w:eastAsia="仿宋" w:cs="仿宋"/>
          <w:color w:val="auto"/>
          <w:sz w:val="21"/>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0E60B6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1.1.6</w:t>
      </w:r>
      <w:r>
        <w:rPr>
          <w:rFonts w:hint="eastAsia" w:ascii="仿宋" w:hAnsi="仿宋" w:eastAsia="仿宋" w:cs="仿宋"/>
          <w:color w:val="auto"/>
          <w:sz w:val="21"/>
          <w:szCs w:val="21"/>
        </w:rPr>
        <w:t>“相关服务”是指监理人受委托人的委托，按照本合同约定，在勘察、设计、保修等阶段提供的服务活动。</w:t>
      </w:r>
    </w:p>
    <w:p w14:paraId="7C27450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1.1.7</w:t>
      </w:r>
      <w:r>
        <w:rPr>
          <w:rFonts w:hint="eastAsia" w:ascii="仿宋" w:hAnsi="仿宋" w:eastAsia="仿宋" w:cs="仿宋"/>
          <w:color w:val="auto"/>
          <w:sz w:val="21"/>
          <w:szCs w:val="21"/>
        </w:rPr>
        <w:t>“正常工作”指本合同订立时通用条件和专用条件中约定的监理人的工作。</w:t>
      </w:r>
    </w:p>
    <w:p w14:paraId="6E9A5EF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1.1.8</w:t>
      </w:r>
      <w:r>
        <w:rPr>
          <w:rFonts w:hint="eastAsia" w:ascii="仿宋" w:hAnsi="仿宋" w:eastAsia="仿宋" w:cs="仿宋"/>
          <w:color w:val="auto"/>
          <w:sz w:val="21"/>
          <w:szCs w:val="21"/>
        </w:rPr>
        <w:t>“附加工作”是指本合同约定的正常工作以外监理人的工作。</w:t>
      </w:r>
    </w:p>
    <w:p w14:paraId="34CE33C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1.1.9</w:t>
      </w:r>
      <w:r>
        <w:rPr>
          <w:rFonts w:hint="eastAsia" w:ascii="仿宋" w:hAnsi="仿宋" w:eastAsia="仿宋" w:cs="仿宋"/>
          <w:color w:val="auto"/>
          <w:sz w:val="21"/>
          <w:szCs w:val="21"/>
        </w:rPr>
        <w:t>“项目监理机构”是指监理人派驻工程负责履行本合同的组织机构。</w:t>
      </w:r>
    </w:p>
    <w:p w14:paraId="77A7418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1.1.10</w:t>
      </w:r>
      <w:r>
        <w:rPr>
          <w:rFonts w:hint="eastAsia" w:ascii="仿宋" w:hAnsi="仿宋" w:eastAsia="仿宋" w:cs="仿宋"/>
          <w:color w:val="auto"/>
          <w:sz w:val="21"/>
          <w:szCs w:val="21"/>
        </w:rPr>
        <w:t>“总监理工程师”是指由监理人的法定代表人书面授权，全面负责履行本合同、主持项目监理机构工作的注册监理工程师。</w:t>
      </w:r>
    </w:p>
    <w:p w14:paraId="54C1777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1.1.11</w:t>
      </w:r>
      <w:r>
        <w:rPr>
          <w:rFonts w:hint="eastAsia" w:ascii="仿宋" w:hAnsi="仿宋" w:eastAsia="仿宋" w:cs="仿宋"/>
          <w:color w:val="auto"/>
          <w:sz w:val="21"/>
          <w:szCs w:val="21"/>
        </w:rPr>
        <w:t>“酬金”是指监理人履行本合同义务，委托人按照本合同约定给付监理人的金额。</w:t>
      </w:r>
    </w:p>
    <w:p w14:paraId="2199F5E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1.1.12</w:t>
      </w:r>
      <w:r>
        <w:rPr>
          <w:rFonts w:hint="eastAsia" w:ascii="仿宋" w:hAnsi="仿宋" w:eastAsia="仿宋" w:cs="仿宋"/>
          <w:color w:val="auto"/>
          <w:sz w:val="21"/>
          <w:szCs w:val="21"/>
        </w:rPr>
        <w:t>“正常工作酬金”是指监理人完成正常工作，委托人应给付监理人并在协议书中载明的签约酬金额。</w:t>
      </w:r>
    </w:p>
    <w:p w14:paraId="6D9F661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1.1.13</w:t>
      </w:r>
      <w:r>
        <w:rPr>
          <w:rFonts w:hint="eastAsia" w:ascii="仿宋" w:hAnsi="仿宋" w:eastAsia="仿宋" w:cs="仿宋"/>
          <w:color w:val="auto"/>
          <w:sz w:val="21"/>
          <w:szCs w:val="21"/>
        </w:rPr>
        <w:t>“附加工作酬金”是指监理人完成附加工作，委托人应给付监理人的金额。</w:t>
      </w:r>
    </w:p>
    <w:p w14:paraId="678A5FF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1.1.14</w:t>
      </w:r>
      <w:r>
        <w:rPr>
          <w:rFonts w:hint="eastAsia" w:ascii="仿宋" w:hAnsi="仿宋" w:eastAsia="仿宋" w:cs="仿宋"/>
          <w:color w:val="auto"/>
          <w:sz w:val="21"/>
          <w:szCs w:val="21"/>
        </w:rPr>
        <w:t>“一方”是指委托人或监理人；“双方”是指委托人和监理人；“第三方”是指除委托人和监理人以外的有关方。</w:t>
      </w:r>
    </w:p>
    <w:p w14:paraId="1EFA6CF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1.1.15</w:t>
      </w:r>
      <w:r>
        <w:rPr>
          <w:rFonts w:hint="eastAsia" w:ascii="仿宋" w:hAnsi="仿宋" w:eastAsia="仿宋" w:cs="仿宋"/>
          <w:color w:val="auto"/>
          <w:sz w:val="21"/>
          <w:szCs w:val="21"/>
        </w:rPr>
        <w:t>“书面形式”是指合同书、信件和数据电文（包括电报、电传、传真、电子数据交换和电子邮件）等可以有形地表现所载内容的形式。</w:t>
      </w:r>
    </w:p>
    <w:p w14:paraId="138D3EA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1.1.16</w:t>
      </w:r>
      <w:r>
        <w:rPr>
          <w:rFonts w:hint="eastAsia" w:ascii="仿宋" w:hAnsi="仿宋" w:eastAsia="仿宋" w:cs="仿宋"/>
          <w:color w:val="auto"/>
          <w:sz w:val="21"/>
          <w:szCs w:val="21"/>
        </w:rPr>
        <w:t>“天”是指第一天零时至第二天零时的时间。</w:t>
      </w:r>
    </w:p>
    <w:p w14:paraId="09821B4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1.1.17</w:t>
      </w:r>
      <w:r>
        <w:rPr>
          <w:rFonts w:hint="eastAsia" w:ascii="仿宋" w:hAnsi="仿宋" w:eastAsia="仿宋" w:cs="仿宋"/>
          <w:color w:val="auto"/>
          <w:sz w:val="21"/>
          <w:szCs w:val="21"/>
        </w:rPr>
        <w:t>“月”是指按公历从一个月中任何一天开始的一个公历月时间。</w:t>
      </w:r>
    </w:p>
    <w:p w14:paraId="405D102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1.1.18</w:t>
      </w:r>
      <w:r>
        <w:rPr>
          <w:rFonts w:hint="eastAsia" w:ascii="仿宋" w:hAnsi="仿宋" w:eastAsia="仿宋" w:cs="仿宋"/>
          <w:color w:val="auto"/>
          <w:sz w:val="21"/>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3FE72DA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1.2</w:t>
      </w:r>
      <w:r>
        <w:rPr>
          <w:rFonts w:hint="eastAsia" w:ascii="仿宋" w:hAnsi="仿宋" w:eastAsia="仿宋" w:cs="仿宋"/>
          <w:color w:val="auto"/>
          <w:sz w:val="21"/>
          <w:szCs w:val="21"/>
        </w:rPr>
        <w:t>解释</w:t>
      </w:r>
    </w:p>
    <w:p w14:paraId="1F52770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1.2.1</w:t>
      </w:r>
      <w:r>
        <w:rPr>
          <w:rFonts w:hint="eastAsia" w:ascii="仿宋" w:hAnsi="仿宋" w:eastAsia="仿宋" w:cs="仿宋"/>
          <w:color w:val="auto"/>
          <w:sz w:val="21"/>
          <w:szCs w:val="21"/>
        </w:rPr>
        <w:t>本合同使用中文书写、解释和说明。如专用条件约定使用两种及以上语言文字时，应以中文为准。</w:t>
      </w:r>
    </w:p>
    <w:p w14:paraId="066FE28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1.2.2</w:t>
      </w:r>
      <w:r>
        <w:rPr>
          <w:rFonts w:hint="eastAsia" w:ascii="仿宋" w:hAnsi="仿宋" w:eastAsia="仿宋" w:cs="仿宋"/>
          <w:color w:val="auto"/>
          <w:sz w:val="21"/>
          <w:szCs w:val="21"/>
        </w:rPr>
        <w:t>组成本合同的下列文件彼此应能相互解释、互为说明。除专用条件另有约定外，本合同文件的解释顺序如下：</w:t>
      </w:r>
    </w:p>
    <w:p w14:paraId="10783FE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(1)协议书；</w:t>
      </w:r>
    </w:p>
    <w:p w14:paraId="2D4D835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(2)中标通知书（适用于招标工程）或委托书（适用于非招标工程）；</w:t>
      </w:r>
    </w:p>
    <w:p w14:paraId="6279B1A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(3)专用条件及附录A、附录B；</w:t>
      </w:r>
    </w:p>
    <w:p w14:paraId="7A7BEE9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(4)通用条件；</w:t>
      </w:r>
    </w:p>
    <w:p w14:paraId="68E8A5E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(5)投标文件（适用于招标工程）或监理与相关服务建议书（适用于非招标工程）。</w:t>
      </w:r>
    </w:p>
    <w:p w14:paraId="764E9DC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双方签订的补充协议与其他文件发生矛盾或歧义时，属于同一类内容的文件，应以最新签署的为准。</w:t>
      </w:r>
    </w:p>
    <w:p w14:paraId="0DE9073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2.监理人的义务</w:t>
      </w:r>
    </w:p>
    <w:p w14:paraId="4D3D81F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2.1</w:t>
      </w:r>
      <w:r>
        <w:rPr>
          <w:rFonts w:hint="eastAsia" w:ascii="仿宋" w:hAnsi="仿宋" w:eastAsia="仿宋" w:cs="仿宋"/>
          <w:color w:val="auto"/>
          <w:sz w:val="21"/>
          <w:szCs w:val="21"/>
        </w:rPr>
        <w:t>监理的范围和工作内容</w:t>
      </w:r>
    </w:p>
    <w:p w14:paraId="6962BEA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2.1.1</w:t>
      </w:r>
      <w:r>
        <w:rPr>
          <w:rFonts w:hint="eastAsia" w:ascii="仿宋" w:hAnsi="仿宋" w:eastAsia="仿宋" w:cs="仿宋"/>
          <w:color w:val="auto"/>
          <w:sz w:val="21"/>
          <w:szCs w:val="21"/>
        </w:rPr>
        <w:t>监理范围在专用条件中约定。</w:t>
      </w:r>
    </w:p>
    <w:p w14:paraId="39DCC37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2.1.2</w:t>
      </w:r>
      <w:r>
        <w:rPr>
          <w:rFonts w:hint="eastAsia" w:ascii="仿宋" w:hAnsi="仿宋" w:eastAsia="仿宋" w:cs="仿宋"/>
          <w:color w:val="auto"/>
          <w:sz w:val="21"/>
          <w:szCs w:val="21"/>
        </w:rPr>
        <w:t>除专用条件另有约定外，监理工作内容包括：</w:t>
      </w:r>
    </w:p>
    <w:p w14:paraId="680630C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(1)收到工程设计文件后编制监理规划，并在第一次工地会议7天前报委托人。根据有关规定和监理工作需要，编制监理实施细则；</w:t>
      </w:r>
    </w:p>
    <w:p w14:paraId="13BDD4C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(2)熟悉工程设计文件，并参加由委托人主持的图纸会审和设计交底会议；</w:t>
      </w:r>
    </w:p>
    <w:p w14:paraId="50B6787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(3)参加由委托人主持的第一次工地会议；主持监理例会并根据工程需要主持或参加专题会议；</w:t>
      </w:r>
    </w:p>
    <w:p w14:paraId="6528136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(4)审查施工承包人提交的施工组织设计，重点审查其中的质量安全技术措施、专项施工方案与工程建设强制性标准的符合性；</w:t>
      </w:r>
    </w:p>
    <w:p w14:paraId="07FC50E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(5)检查施工承包人工程质量、安全生产管理制度及组织机构和人员资格；</w:t>
      </w:r>
    </w:p>
    <w:p w14:paraId="760B290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(6)检查施工承包人专职安全生产管理人员的配备情况；</w:t>
      </w:r>
    </w:p>
    <w:p w14:paraId="3A9B84E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(7)审查施工承包人提交的施工进度计划，核查承包人对施工进度计划的调整；</w:t>
      </w:r>
    </w:p>
    <w:p w14:paraId="75CE0F5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(8)检查施工承包人的试验室；</w:t>
      </w:r>
    </w:p>
    <w:p w14:paraId="29B4B39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(9)审核施工分包人资质条件；</w:t>
      </w:r>
    </w:p>
    <w:p w14:paraId="53B7B59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(10)查验施工承包人的施工测量放线成果；</w:t>
      </w:r>
    </w:p>
    <w:p w14:paraId="4BB71B8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(11)审查工程开工条件，对条件具备的签发开工令；</w:t>
      </w:r>
    </w:p>
    <w:p w14:paraId="4EDBE44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(12)审查施工承包人报送的工程材料、构配件、设备质量证明文件的有效性和符合性，并按规定对用于工程的材料采取平行检验或见证取样方式进行抽检；</w:t>
      </w:r>
    </w:p>
    <w:p w14:paraId="533ABFB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(13)审核施工承包人提交的工程款支付申请，签发或出具工程款支付证书，并报委托人审核、批准；</w:t>
      </w:r>
    </w:p>
    <w:p w14:paraId="7D4E88B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(14)在巡视、旁站和检验过程中，发现工程质量、施工安全存在事故隐患的，要求施工承包人整改并报委托人；</w:t>
      </w:r>
    </w:p>
    <w:p w14:paraId="0294BE8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(15)经委托人同意，签发工程暂停令和复工令；</w:t>
      </w:r>
    </w:p>
    <w:p w14:paraId="782685E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(16)审查施工承包人提交的采用新材料、新工艺、新技术、新设备的论证材料及相关验收标准；</w:t>
      </w:r>
    </w:p>
    <w:p w14:paraId="147699F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(17)验收隐蔽工程、分部分项工程；</w:t>
      </w:r>
    </w:p>
    <w:p w14:paraId="4AF3CB2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(18)审查施工承包人提交的工程变更申请，协调处理施工进度调整、费用索赔、合同争议等事项；</w:t>
      </w:r>
    </w:p>
    <w:p w14:paraId="4E53D67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(19)审查施工承包人提交的竣工验收申请，编写工程质量评估报告；</w:t>
      </w:r>
    </w:p>
    <w:p w14:paraId="591DD0D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(20)参加工程竣工验收，签署竣工验收意见；</w:t>
      </w:r>
    </w:p>
    <w:p w14:paraId="362ADC1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(21)审查施工承包人提交的竣工结算申请并报委托人；</w:t>
      </w:r>
    </w:p>
    <w:p w14:paraId="56C6924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(22)编制、整理工程监理归档文件并报委托人。</w:t>
      </w:r>
    </w:p>
    <w:p w14:paraId="44A7333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2.1.3</w:t>
      </w:r>
      <w:r>
        <w:rPr>
          <w:rFonts w:hint="eastAsia" w:ascii="仿宋" w:hAnsi="仿宋" w:eastAsia="仿宋" w:cs="仿宋"/>
          <w:color w:val="auto"/>
          <w:sz w:val="21"/>
          <w:szCs w:val="21"/>
        </w:rPr>
        <w:t>相关服务的范围和内容在附录A中约定。</w:t>
      </w:r>
    </w:p>
    <w:p w14:paraId="13E16B6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2.2</w:t>
      </w:r>
      <w:r>
        <w:rPr>
          <w:rFonts w:hint="eastAsia" w:ascii="仿宋" w:hAnsi="仿宋" w:eastAsia="仿宋" w:cs="仿宋"/>
          <w:color w:val="auto"/>
          <w:sz w:val="21"/>
          <w:szCs w:val="21"/>
        </w:rPr>
        <w:t>监理与相关服务依据</w:t>
      </w:r>
    </w:p>
    <w:p w14:paraId="625C032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2.2.1</w:t>
      </w:r>
      <w:r>
        <w:rPr>
          <w:rFonts w:hint="eastAsia" w:ascii="仿宋" w:hAnsi="仿宋" w:eastAsia="仿宋" w:cs="仿宋"/>
          <w:color w:val="auto"/>
          <w:sz w:val="21"/>
          <w:szCs w:val="21"/>
        </w:rPr>
        <w:t>监理依据包括：</w:t>
      </w:r>
    </w:p>
    <w:p w14:paraId="5F83D10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(1)适用的法律、行政法规及部门规章；</w:t>
      </w:r>
    </w:p>
    <w:p w14:paraId="2D5BD2F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(2)与工程有关的标准；</w:t>
      </w:r>
    </w:p>
    <w:p w14:paraId="629C383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(3)工程设计及有关文件；</w:t>
      </w:r>
    </w:p>
    <w:p w14:paraId="7F13AA8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(4)本合同及委托人与第三方签订的与实施工程有关的其他合同。</w:t>
      </w:r>
    </w:p>
    <w:p w14:paraId="2337A5C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双方根据工程的行业和地域特点，在专用条件中具体约定监理依据。</w:t>
      </w:r>
    </w:p>
    <w:p w14:paraId="0DC7828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2.2.2</w:t>
      </w:r>
      <w:r>
        <w:rPr>
          <w:rFonts w:hint="eastAsia" w:ascii="仿宋" w:hAnsi="仿宋" w:eastAsia="仿宋" w:cs="仿宋"/>
          <w:color w:val="auto"/>
          <w:sz w:val="21"/>
          <w:szCs w:val="21"/>
        </w:rPr>
        <w:t>相关服务依据在专用条件中约定。</w:t>
      </w:r>
    </w:p>
    <w:p w14:paraId="01F1665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2.3</w:t>
      </w:r>
      <w:r>
        <w:rPr>
          <w:rFonts w:hint="eastAsia" w:ascii="仿宋" w:hAnsi="仿宋" w:eastAsia="仿宋" w:cs="仿宋"/>
          <w:color w:val="auto"/>
          <w:sz w:val="21"/>
          <w:szCs w:val="21"/>
        </w:rPr>
        <w:t>项目监理机构和人员</w:t>
      </w:r>
    </w:p>
    <w:p w14:paraId="71E5A87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2.3.1</w:t>
      </w:r>
      <w:r>
        <w:rPr>
          <w:rFonts w:hint="eastAsia" w:ascii="仿宋" w:hAnsi="仿宋" w:eastAsia="仿宋" w:cs="仿宋"/>
          <w:color w:val="auto"/>
          <w:sz w:val="21"/>
          <w:szCs w:val="21"/>
        </w:rPr>
        <w:t>监理人应组建满足工作需要的项目监理机构，配备必要的检测设备。项目监理机构的主要人员应具有相应的资格条件。</w:t>
      </w:r>
    </w:p>
    <w:p w14:paraId="0DCCE53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2.3.2</w:t>
      </w:r>
      <w:r>
        <w:rPr>
          <w:rFonts w:hint="eastAsia" w:ascii="仿宋" w:hAnsi="仿宋" w:eastAsia="仿宋" w:cs="仿宋"/>
          <w:color w:val="auto"/>
          <w:sz w:val="21"/>
          <w:szCs w:val="21"/>
        </w:rPr>
        <w:t>本合同履行过程中，总监理工程师及重要岗位监理人员应保持相对稳定，以保证监理工作正常进行。</w:t>
      </w:r>
    </w:p>
    <w:p w14:paraId="083A306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2.3.3</w:t>
      </w:r>
      <w:r>
        <w:rPr>
          <w:rFonts w:hint="eastAsia" w:ascii="仿宋" w:hAnsi="仿宋" w:eastAsia="仿宋" w:cs="仿宋"/>
          <w:color w:val="auto"/>
          <w:sz w:val="21"/>
          <w:szCs w:val="21"/>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E2838E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2.3.4</w:t>
      </w:r>
      <w:r>
        <w:rPr>
          <w:rFonts w:hint="eastAsia" w:ascii="仿宋" w:hAnsi="仿宋" w:eastAsia="仿宋" w:cs="仿宋"/>
          <w:color w:val="auto"/>
          <w:sz w:val="21"/>
          <w:szCs w:val="21"/>
        </w:rPr>
        <w:t>监理人应及时更换有下列情形之一的监理人员：</w:t>
      </w:r>
    </w:p>
    <w:p w14:paraId="1524A23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(1)严重过失行为的；</w:t>
      </w:r>
    </w:p>
    <w:p w14:paraId="2092925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(2)有违法行为不能履行职责的；</w:t>
      </w:r>
    </w:p>
    <w:p w14:paraId="3FAA967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(3)涉嫌犯罪的；</w:t>
      </w:r>
    </w:p>
    <w:p w14:paraId="2591A9E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(4)不能胜任岗位职责的；</w:t>
      </w:r>
    </w:p>
    <w:p w14:paraId="10EA547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(5)严重违反职业道德的；</w:t>
      </w:r>
    </w:p>
    <w:p w14:paraId="53D4A83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(6)专用条件约定的其他情形。</w:t>
      </w:r>
    </w:p>
    <w:p w14:paraId="71F22BF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2.3.5</w:t>
      </w:r>
      <w:r>
        <w:rPr>
          <w:rFonts w:hint="eastAsia" w:ascii="仿宋" w:hAnsi="仿宋" w:eastAsia="仿宋" w:cs="仿宋"/>
          <w:color w:val="auto"/>
          <w:sz w:val="21"/>
          <w:szCs w:val="21"/>
        </w:rPr>
        <w:t>委托人可要求监理人更换不能胜任本职工作的项目监理机构人员。</w:t>
      </w:r>
    </w:p>
    <w:p w14:paraId="5312E51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2.4</w:t>
      </w:r>
      <w:r>
        <w:rPr>
          <w:rFonts w:hint="eastAsia" w:ascii="仿宋" w:hAnsi="仿宋" w:eastAsia="仿宋" w:cs="仿宋"/>
          <w:color w:val="auto"/>
          <w:sz w:val="21"/>
          <w:szCs w:val="21"/>
        </w:rPr>
        <w:t>履行职责</w:t>
      </w:r>
    </w:p>
    <w:p w14:paraId="39412D5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监理人应遵循职业道德准则和行为规范，严格按照法律法规、工程建设有关标准及本合同履行职责。</w:t>
      </w:r>
    </w:p>
    <w:p w14:paraId="19713AD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2.4.1</w:t>
      </w:r>
      <w:r>
        <w:rPr>
          <w:rFonts w:hint="eastAsia" w:ascii="仿宋" w:hAnsi="仿宋" w:eastAsia="仿宋" w:cs="仿宋"/>
          <w:color w:val="auto"/>
          <w:sz w:val="21"/>
          <w:szCs w:val="21"/>
        </w:rPr>
        <w:t>在监理与相关服务范围内，委托人和承包人提出的意见和要求，监理人应及时提出处置意见。当委托人与承包人之间发生合同争议时，监理人应协助委托人、承包人协商解决。</w:t>
      </w:r>
    </w:p>
    <w:p w14:paraId="3275011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2.4.2</w:t>
      </w:r>
      <w:r>
        <w:rPr>
          <w:rFonts w:hint="eastAsia" w:ascii="仿宋" w:hAnsi="仿宋" w:eastAsia="仿宋" w:cs="仿宋"/>
          <w:color w:val="auto"/>
          <w:sz w:val="21"/>
          <w:szCs w:val="21"/>
        </w:rPr>
        <w:t>当委托人与承包人之间的合同争议提交仲裁机构仲裁或人民法院审理时，监理人应提供必要的证明资料。</w:t>
      </w:r>
    </w:p>
    <w:p w14:paraId="19892F8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2.4.3</w:t>
      </w:r>
      <w:r>
        <w:rPr>
          <w:rFonts w:hint="eastAsia" w:ascii="仿宋" w:hAnsi="仿宋" w:eastAsia="仿宋" w:cs="仿宋"/>
          <w:color w:val="auto"/>
          <w:sz w:val="21"/>
          <w:szCs w:val="21"/>
        </w:rPr>
        <w:t>监理人应在专用条件约定的授权范围内，处理委托人与承包人所签订合同的变更事宜。如果变更超过授权范围，应以书面形式报委托人批准。</w:t>
      </w:r>
    </w:p>
    <w:p w14:paraId="64C73F0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在紧急情况下，为了保护财产和人身安全，监理人所发出的指令未能事先报委托人批准时，应在发出指令后的24小时内以书面形式报委托人。</w:t>
      </w:r>
    </w:p>
    <w:p w14:paraId="656ED5B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2.4.4</w:t>
      </w:r>
      <w:r>
        <w:rPr>
          <w:rFonts w:hint="eastAsia" w:ascii="仿宋" w:hAnsi="仿宋" w:eastAsia="仿宋" w:cs="仿宋"/>
          <w:color w:val="auto"/>
          <w:sz w:val="21"/>
          <w:szCs w:val="21"/>
        </w:rPr>
        <w:t>除专用条件另有约定外，监理人发现承包人的人员不能胜任本职工作的，有权要求承包人予以调换。</w:t>
      </w:r>
    </w:p>
    <w:p w14:paraId="3F0BA7F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2.5</w:t>
      </w:r>
      <w:r>
        <w:rPr>
          <w:rFonts w:hint="eastAsia" w:ascii="仿宋" w:hAnsi="仿宋" w:eastAsia="仿宋" w:cs="仿宋"/>
          <w:color w:val="auto"/>
          <w:sz w:val="21"/>
          <w:szCs w:val="21"/>
        </w:rPr>
        <w:t>提交报告</w:t>
      </w:r>
    </w:p>
    <w:p w14:paraId="5967F3B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监理人应按专用条件约定的种类、时间和份数向委托人提交监理与相关服务的报告。</w:t>
      </w:r>
    </w:p>
    <w:p w14:paraId="74CDC5D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2.6</w:t>
      </w:r>
      <w:r>
        <w:rPr>
          <w:rFonts w:hint="eastAsia" w:ascii="仿宋" w:hAnsi="仿宋" w:eastAsia="仿宋" w:cs="仿宋"/>
          <w:color w:val="auto"/>
          <w:sz w:val="21"/>
          <w:szCs w:val="21"/>
        </w:rPr>
        <w:t>文件资料</w:t>
      </w:r>
    </w:p>
    <w:p w14:paraId="45A2443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在本合同履行期内，监理人应在现场保留工作所用的图纸、报告及记录监理工作的相关文件。工程竣工后，应当按照档案管理规定将监理有关文件归档。</w:t>
      </w:r>
    </w:p>
    <w:p w14:paraId="1F59B61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2.7</w:t>
      </w:r>
      <w:r>
        <w:rPr>
          <w:rFonts w:hint="eastAsia" w:ascii="仿宋" w:hAnsi="仿宋" w:eastAsia="仿宋" w:cs="仿宋"/>
          <w:color w:val="auto"/>
          <w:sz w:val="21"/>
          <w:szCs w:val="21"/>
        </w:rPr>
        <w:t>使用委托人的财产</w:t>
      </w:r>
    </w:p>
    <w:p w14:paraId="646F472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E4E64D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3．委托人的义务</w:t>
      </w:r>
    </w:p>
    <w:p w14:paraId="3D3106E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3.1</w:t>
      </w:r>
      <w:r>
        <w:rPr>
          <w:rFonts w:hint="eastAsia" w:ascii="仿宋" w:hAnsi="仿宋" w:eastAsia="仿宋" w:cs="仿宋"/>
          <w:color w:val="auto"/>
          <w:sz w:val="21"/>
          <w:szCs w:val="21"/>
        </w:rPr>
        <w:t>告知</w:t>
      </w:r>
    </w:p>
    <w:p w14:paraId="56A5A19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委托人应在委托人与承包人签订的合同中明确监理人、总监理工程师和授予项目监理机构的权限。如有变更，应及时通知承包人。</w:t>
      </w:r>
    </w:p>
    <w:p w14:paraId="6CC98BD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3.2</w:t>
      </w:r>
      <w:r>
        <w:rPr>
          <w:rFonts w:hint="eastAsia" w:ascii="仿宋" w:hAnsi="仿宋" w:eastAsia="仿宋" w:cs="仿宋"/>
          <w:color w:val="auto"/>
          <w:sz w:val="21"/>
          <w:szCs w:val="21"/>
        </w:rPr>
        <w:t>提供资料</w:t>
      </w:r>
    </w:p>
    <w:p w14:paraId="4D6434B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委托人应按照附录B约定，无偿向监理人提供工程有关的资料。在本合同履行过程中，委托人应及时向监理人提供最新的与工程有关的资料。</w:t>
      </w:r>
    </w:p>
    <w:p w14:paraId="377417E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3.3</w:t>
      </w:r>
      <w:r>
        <w:rPr>
          <w:rFonts w:hint="eastAsia" w:ascii="仿宋" w:hAnsi="仿宋" w:eastAsia="仿宋" w:cs="仿宋"/>
          <w:color w:val="auto"/>
          <w:sz w:val="21"/>
          <w:szCs w:val="21"/>
        </w:rPr>
        <w:t>提供工作条件</w:t>
      </w:r>
    </w:p>
    <w:p w14:paraId="6B4055B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委托人应为监理人完成监理与相关服务提供必要的条件。</w:t>
      </w:r>
    </w:p>
    <w:p w14:paraId="7F1CA77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3.3.1</w:t>
      </w:r>
      <w:r>
        <w:rPr>
          <w:rFonts w:hint="eastAsia" w:ascii="仿宋" w:hAnsi="仿宋" w:eastAsia="仿宋" w:cs="仿宋"/>
          <w:color w:val="auto"/>
          <w:sz w:val="21"/>
          <w:szCs w:val="21"/>
        </w:rPr>
        <w:t>委托人应按照附录B约定，派遣相应的人员，提供房屋、设备，供监理人无偿使用。</w:t>
      </w:r>
    </w:p>
    <w:p w14:paraId="3345733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3.3.2</w:t>
      </w:r>
      <w:r>
        <w:rPr>
          <w:rFonts w:hint="eastAsia" w:ascii="仿宋" w:hAnsi="仿宋" w:eastAsia="仿宋" w:cs="仿宋"/>
          <w:color w:val="auto"/>
          <w:sz w:val="21"/>
          <w:szCs w:val="21"/>
        </w:rPr>
        <w:t>委托人应负责协调工程建设中所有外部关系，为监理人履行本合同提供必要的外部条件。</w:t>
      </w:r>
    </w:p>
    <w:p w14:paraId="799DF66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3.4</w:t>
      </w:r>
      <w:r>
        <w:rPr>
          <w:rFonts w:hint="eastAsia" w:ascii="仿宋" w:hAnsi="仿宋" w:eastAsia="仿宋" w:cs="仿宋"/>
          <w:color w:val="auto"/>
          <w:sz w:val="21"/>
          <w:szCs w:val="21"/>
        </w:rPr>
        <w:t>委托人代表</w:t>
      </w:r>
    </w:p>
    <w:p w14:paraId="4C849DE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4A915BC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3.5</w:t>
      </w:r>
      <w:r>
        <w:rPr>
          <w:rFonts w:hint="eastAsia" w:ascii="仿宋" w:hAnsi="仿宋" w:eastAsia="仿宋" w:cs="仿宋"/>
          <w:color w:val="auto"/>
          <w:sz w:val="21"/>
          <w:szCs w:val="21"/>
        </w:rPr>
        <w:t>委托人意见或要求</w:t>
      </w:r>
    </w:p>
    <w:p w14:paraId="0137594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在本合同约定的监理与相关服务工作范围内，委托人对承包人的任何意见或要求应通知监理人，由监理人向承包人发出相应指令。</w:t>
      </w:r>
    </w:p>
    <w:p w14:paraId="3E1D442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3.6</w:t>
      </w:r>
      <w:r>
        <w:rPr>
          <w:rFonts w:hint="eastAsia" w:ascii="仿宋" w:hAnsi="仿宋" w:eastAsia="仿宋" w:cs="仿宋"/>
          <w:color w:val="auto"/>
          <w:sz w:val="21"/>
          <w:szCs w:val="21"/>
        </w:rPr>
        <w:t>答复</w:t>
      </w:r>
    </w:p>
    <w:p w14:paraId="7F7BA25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委托人应在专用条件约定的时间内，对监理人以书面形式提交并要求作出决定的事宜，给予书面答复。逾期未答复的，视为委托人认可。</w:t>
      </w:r>
    </w:p>
    <w:p w14:paraId="06D5CA9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3.7</w:t>
      </w:r>
      <w:r>
        <w:rPr>
          <w:rFonts w:hint="eastAsia" w:ascii="仿宋" w:hAnsi="仿宋" w:eastAsia="仿宋" w:cs="仿宋"/>
          <w:color w:val="auto"/>
          <w:sz w:val="21"/>
          <w:szCs w:val="21"/>
        </w:rPr>
        <w:t>支付</w:t>
      </w:r>
    </w:p>
    <w:p w14:paraId="6282DA8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委托人应按本合同约定，向监理人支付酬金。</w:t>
      </w:r>
    </w:p>
    <w:p w14:paraId="42DB8392">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4.违约责任</w:t>
      </w:r>
    </w:p>
    <w:p w14:paraId="0CCF69D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4.1</w:t>
      </w:r>
      <w:r>
        <w:rPr>
          <w:rFonts w:hint="eastAsia" w:ascii="仿宋" w:hAnsi="仿宋" w:eastAsia="仿宋" w:cs="仿宋"/>
          <w:color w:val="auto"/>
          <w:sz w:val="21"/>
          <w:szCs w:val="21"/>
        </w:rPr>
        <w:t>监理人的违约责任</w:t>
      </w:r>
    </w:p>
    <w:p w14:paraId="2825E28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监理人未履行本合同义务的，应承担相应的责任。</w:t>
      </w:r>
    </w:p>
    <w:p w14:paraId="169D95D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4.1.1</w:t>
      </w:r>
      <w:r>
        <w:rPr>
          <w:rFonts w:hint="eastAsia" w:ascii="仿宋" w:hAnsi="仿宋" w:eastAsia="仿宋" w:cs="仿宋"/>
          <w:color w:val="auto"/>
          <w:sz w:val="21"/>
          <w:szCs w:val="21"/>
        </w:rPr>
        <w:t>因监理人违反本合同约定给委托人造成损失的，监理人应当赔偿委托人损失。赔偿金额的确定方法在专用条件中约定。监理人承担部分赔偿责任的，其承担赔偿金额由双方协商确定。</w:t>
      </w:r>
    </w:p>
    <w:p w14:paraId="48260BE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4.1.2监理人向委托人的索赔不成立时，监理人应赔偿委托人由此发生的费用。</w:t>
      </w:r>
    </w:p>
    <w:p w14:paraId="2A17352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4.2</w:t>
      </w:r>
      <w:r>
        <w:rPr>
          <w:rFonts w:hint="eastAsia" w:ascii="仿宋" w:hAnsi="仿宋" w:eastAsia="仿宋" w:cs="仿宋"/>
          <w:color w:val="auto"/>
          <w:sz w:val="21"/>
          <w:szCs w:val="21"/>
        </w:rPr>
        <w:t>委托人的违约责任</w:t>
      </w:r>
    </w:p>
    <w:p w14:paraId="74A4D7F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委托人未履行本合同义务的，应承担相应的责任。</w:t>
      </w:r>
    </w:p>
    <w:p w14:paraId="3ACE711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4.2.1</w:t>
      </w:r>
      <w:r>
        <w:rPr>
          <w:rFonts w:hint="eastAsia" w:ascii="仿宋" w:hAnsi="仿宋" w:eastAsia="仿宋" w:cs="仿宋"/>
          <w:color w:val="auto"/>
          <w:sz w:val="21"/>
          <w:szCs w:val="21"/>
        </w:rPr>
        <w:t>委托人违反本合同约定造成监理人损失的，委托人应予以赔偿。</w:t>
      </w:r>
    </w:p>
    <w:p w14:paraId="79FF351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4.2.2</w:t>
      </w:r>
      <w:r>
        <w:rPr>
          <w:rFonts w:hint="eastAsia" w:ascii="仿宋" w:hAnsi="仿宋" w:eastAsia="仿宋" w:cs="仿宋"/>
          <w:color w:val="auto"/>
          <w:sz w:val="21"/>
          <w:szCs w:val="21"/>
        </w:rPr>
        <w:t>委托人向监理人的索赔不成立时，应赔偿监理人由此引起的费用。</w:t>
      </w:r>
    </w:p>
    <w:p w14:paraId="12CAD7F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4.2.3</w:t>
      </w:r>
      <w:r>
        <w:rPr>
          <w:rFonts w:hint="eastAsia" w:ascii="仿宋" w:hAnsi="仿宋" w:eastAsia="仿宋" w:cs="仿宋"/>
          <w:color w:val="auto"/>
          <w:sz w:val="21"/>
          <w:szCs w:val="21"/>
        </w:rPr>
        <w:t>委托人未能按期支付酬金超过28天，应按专用条件约定支付逾期付款利息。</w:t>
      </w:r>
    </w:p>
    <w:p w14:paraId="2E202AC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4.3</w:t>
      </w:r>
      <w:r>
        <w:rPr>
          <w:rFonts w:hint="eastAsia" w:ascii="仿宋" w:hAnsi="仿宋" w:eastAsia="仿宋" w:cs="仿宋"/>
          <w:color w:val="auto"/>
          <w:sz w:val="21"/>
          <w:szCs w:val="21"/>
        </w:rPr>
        <w:t>除外责任</w:t>
      </w:r>
    </w:p>
    <w:p w14:paraId="6C13960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因非监理人的原因，且监理人无过错，发生工程质量事故、安全事故、工期延误等造成的损失，监理人不承担赔偿责任。</w:t>
      </w:r>
    </w:p>
    <w:p w14:paraId="1DF681D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因不可抗力导致本合同全部或部分不能履行时，双方各自承担其因此而造成的损失、损害。</w:t>
      </w:r>
    </w:p>
    <w:p w14:paraId="4F3854DC">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5.支付</w:t>
      </w:r>
    </w:p>
    <w:p w14:paraId="336935D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5.1</w:t>
      </w:r>
      <w:r>
        <w:rPr>
          <w:rFonts w:hint="eastAsia" w:ascii="仿宋" w:hAnsi="仿宋" w:eastAsia="仿宋" w:cs="仿宋"/>
          <w:color w:val="auto"/>
          <w:sz w:val="21"/>
          <w:szCs w:val="21"/>
        </w:rPr>
        <w:t>支付货币</w:t>
      </w:r>
    </w:p>
    <w:p w14:paraId="4E361BD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除专用条件另有约定外，酬金均以人民币支付。涉及外币支付的，所采用的货币种类、比例和汇率在专用条件中约定。</w:t>
      </w:r>
    </w:p>
    <w:p w14:paraId="627F27E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5.2</w:t>
      </w:r>
      <w:r>
        <w:rPr>
          <w:rFonts w:hint="eastAsia" w:ascii="仿宋" w:hAnsi="仿宋" w:eastAsia="仿宋" w:cs="仿宋"/>
          <w:color w:val="auto"/>
          <w:sz w:val="21"/>
          <w:szCs w:val="21"/>
        </w:rPr>
        <w:t>支付申请</w:t>
      </w:r>
    </w:p>
    <w:p w14:paraId="51D5C08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监理人应在本合同约定的每次应付款时间的7天前，向委托人提交支付申请书。支付申请书应当说明当期应付款总额，并列出当期应支付的款项及其金额。</w:t>
      </w:r>
    </w:p>
    <w:p w14:paraId="3AB865D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5.3</w:t>
      </w:r>
      <w:r>
        <w:rPr>
          <w:rFonts w:hint="eastAsia" w:ascii="仿宋" w:hAnsi="仿宋" w:eastAsia="仿宋" w:cs="仿宋"/>
          <w:color w:val="auto"/>
          <w:sz w:val="21"/>
          <w:szCs w:val="21"/>
        </w:rPr>
        <w:t>支付酬金</w:t>
      </w:r>
    </w:p>
    <w:p w14:paraId="15B7EE8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支付的酬金包括正常工作酬金、附加工作酬金、合理化建议奖励金额及费用。</w:t>
      </w:r>
    </w:p>
    <w:p w14:paraId="0ED0CE1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5.4</w:t>
      </w:r>
      <w:r>
        <w:rPr>
          <w:rFonts w:hint="eastAsia" w:ascii="仿宋" w:hAnsi="仿宋" w:eastAsia="仿宋" w:cs="仿宋"/>
          <w:color w:val="auto"/>
          <w:sz w:val="21"/>
          <w:szCs w:val="21"/>
        </w:rPr>
        <w:t>有争议部分的付款</w:t>
      </w:r>
    </w:p>
    <w:p w14:paraId="178665B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163C8A19">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6.合同生效、变更、暂停、解除与终止</w:t>
      </w:r>
    </w:p>
    <w:p w14:paraId="24CB611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6.1</w:t>
      </w:r>
      <w:r>
        <w:rPr>
          <w:rFonts w:hint="eastAsia" w:ascii="仿宋" w:hAnsi="仿宋" w:eastAsia="仿宋" w:cs="仿宋"/>
          <w:color w:val="auto"/>
          <w:sz w:val="21"/>
          <w:szCs w:val="21"/>
        </w:rPr>
        <w:t>生效</w:t>
      </w:r>
    </w:p>
    <w:p w14:paraId="5961BA2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除法律另有规定或者专用条件另有约定外，委托人和监理人的法定代表人或其授权代理人在协议书上签字并盖单位章后本合同生效。</w:t>
      </w:r>
    </w:p>
    <w:p w14:paraId="614A880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w:t>
      </w:r>
      <w:r>
        <w:rPr>
          <w:rFonts w:hint="eastAsia" w:ascii="仿宋" w:hAnsi="仿宋" w:eastAsia="仿宋" w:cs="仿宋"/>
          <w:color w:val="auto"/>
          <w:sz w:val="21"/>
          <w:szCs w:val="21"/>
        </w:rPr>
        <w:t>变更</w:t>
      </w:r>
    </w:p>
    <w:p w14:paraId="7E47442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6.2.1</w:t>
      </w:r>
      <w:r>
        <w:rPr>
          <w:rFonts w:hint="eastAsia" w:ascii="仿宋" w:hAnsi="仿宋" w:eastAsia="仿宋" w:cs="仿宋"/>
          <w:color w:val="auto"/>
          <w:sz w:val="21"/>
          <w:szCs w:val="21"/>
        </w:rPr>
        <w:t>任何一方提出变更请求时，双方经协商一致后可进行变更。</w:t>
      </w:r>
    </w:p>
    <w:p w14:paraId="46C62D8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6.2.2</w:t>
      </w:r>
      <w:r>
        <w:rPr>
          <w:rFonts w:hint="eastAsia" w:ascii="仿宋" w:hAnsi="仿宋" w:eastAsia="仿宋" w:cs="仿宋"/>
          <w:color w:val="auto"/>
          <w:sz w:val="21"/>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56D1E7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6.2.3</w:t>
      </w:r>
      <w:r>
        <w:rPr>
          <w:rFonts w:hint="eastAsia" w:ascii="仿宋" w:hAnsi="仿宋" w:eastAsia="仿宋" w:cs="仿宋"/>
          <w:color w:val="auto"/>
          <w:sz w:val="21"/>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23A768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6.2.4</w:t>
      </w:r>
      <w:r>
        <w:rPr>
          <w:rFonts w:hint="eastAsia" w:ascii="仿宋" w:hAnsi="仿宋" w:eastAsia="仿宋" w:cs="仿宋"/>
          <w:color w:val="auto"/>
          <w:sz w:val="21"/>
          <w:szCs w:val="21"/>
        </w:rPr>
        <w:t>合同签订后，遇有与工程相关的法律法规、标准颁布或修订的，双方应遵照执行。由此引起监理与相关服务的范围、时间、酬金变化的，双方应通过协商进行相应调整。</w:t>
      </w:r>
    </w:p>
    <w:p w14:paraId="386B59C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6.2.5</w:t>
      </w:r>
      <w:r>
        <w:rPr>
          <w:rFonts w:hint="eastAsia" w:ascii="仿宋" w:hAnsi="仿宋" w:eastAsia="仿宋" w:cs="仿宋"/>
          <w:color w:val="auto"/>
          <w:sz w:val="21"/>
          <w:szCs w:val="21"/>
        </w:rPr>
        <w:t>因非监理人原因造成工程概算投资额或建筑安装工程费增加时，正常工作酬金应作相应调整。调整方法在专用条件中约定。</w:t>
      </w:r>
    </w:p>
    <w:p w14:paraId="243963E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6.2.6</w:t>
      </w:r>
      <w:r>
        <w:rPr>
          <w:rFonts w:hint="eastAsia" w:ascii="仿宋" w:hAnsi="仿宋" w:eastAsia="仿宋" w:cs="仿宋"/>
          <w:color w:val="auto"/>
          <w:sz w:val="21"/>
          <w:szCs w:val="21"/>
        </w:rPr>
        <w:t>因工程规模、监理范围的变化导致监理人的正常工作量减少时，正常工作酬金应作相应调整。调整方法在专用条件中约定。</w:t>
      </w:r>
    </w:p>
    <w:p w14:paraId="3F0C626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6.3</w:t>
      </w:r>
      <w:r>
        <w:rPr>
          <w:rFonts w:hint="eastAsia" w:ascii="仿宋" w:hAnsi="仿宋" w:eastAsia="仿宋" w:cs="仿宋"/>
          <w:color w:val="auto"/>
          <w:sz w:val="21"/>
          <w:szCs w:val="21"/>
        </w:rPr>
        <w:t>暂停与解除</w:t>
      </w:r>
    </w:p>
    <w:p w14:paraId="2B9BB04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除双方协商一致可以解除本合同外，当一方无正当理由未履行本合同约定的义务时，另一方可以根据本合同约定暂停履行本合同直至解除本合同。</w:t>
      </w:r>
    </w:p>
    <w:p w14:paraId="1079D68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6.3.1</w:t>
      </w:r>
      <w:r>
        <w:rPr>
          <w:rFonts w:hint="eastAsia" w:ascii="仿宋" w:hAnsi="仿宋" w:eastAsia="仿宋" w:cs="仿宋"/>
          <w:color w:val="auto"/>
          <w:sz w:val="21"/>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3CED17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因解除本合同或解除监理人的部分义务导致监理人遭受的损失，除依法可以免除责任的情况外，应由委托人予以补偿，补偿金额由双方协商确定。</w:t>
      </w:r>
    </w:p>
    <w:p w14:paraId="3EC1EB4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解除本合同的协议必须采取书面形式，协议未达成之前，本合同仍然有效。</w:t>
      </w:r>
    </w:p>
    <w:p w14:paraId="5B09E9B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6.3.2</w:t>
      </w:r>
      <w:r>
        <w:rPr>
          <w:rFonts w:hint="eastAsia" w:ascii="仿宋" w:hAnsi="仿宋" w:eastAsia="仿宋" w:cs="仿宋"/>
          <w:color w:val="auto"/>
          <w:sz w:val="21"/>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605FF9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1C8005C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6.3.3</w:t>
      </w:r>
      <w:r>
        <w:rPr>
          <w:rFonts w:hint="eastAsia" w:ascii="仿宋" w:hAnsi="仿宋" w:eastAsia="仿宋" w:cs="仿宋"/>
          <w:color w:val="auto"/>
          <w:sz w:val="21"/>
          <w:szCs w:val="21"/>
        </w:rPr>
        <w:t>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6D7F53B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6.3.4</w:t>
      </w:r>
      <w:r>
        <w:rPr>
          <w:rFonts w:hint="eastAsia" w:ascii="仿宋" w:hAnsi="仿宋" w:eastAsia="仿宋" w:cs="仿宋"/>
          <w:color w:val="auto"/>
          <w:sz w:val="21"/>
          <w:szCs w:val="21"/>
        </w:rPr>
        <w:t>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23AE6D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6.3.5</w:t>
      </w:r>
      <w:r>
        <w:rPr>
          <w:rFonts w:hint="eastAsia" w:ascii="仿宋" w:hAnsi="仿宋" w:eastAsia="仿宋" w:cs="仿宋"/>
          <w:color w:val="auto"/>
          <w:sz w:val="21"/>
          <w:szCs w:val="21"/>
        </w:rPr>
        <w:t>因不可抗力致使本合同部分或全部不能履行时，一方应立即通知另一方，可暂停或解除本合同。</w:t>
      </w:r>
    </w:p>
    <w:p w14:paraId="33D1149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6.3.6</w:t>
      </w:r>
      <w:r>
        <w:rPr>
          <w:rFonts w:hint="eastAsia" w:ascii="仿宋" w:hAnsi="仿宋" w:eastAsia="仿宋" w:cs="仿宋"/>
          <w:color w:val="auto"/>
          <w:sz w:val="21"/>
          <w:szCs w:val="21"/>
        </w:rPr>
        <w:t>本合同解除后，本合同约定的有关结算、清理、争议解决方式的条件仍然有效。</w:t>
      </w:r>
    </w:p>
    <w:p w14:paraId="27C8FB6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6.4</w:t>
      </w:r>
      <w:r>
        <w:rPr>
          <w:rFonts w:hint="eastAsia" w:ascii="仿宋" w:hAnsi="仿宋" w:eastAsia="仿宋" w:cs="仿宋"/>
          <w:color w:val="auto"/>
          <w:sz w:val="21"/>
          <w:szCs w:val="21"/>
        </w:rPr>
        <w:t>终止</w:t>
      </w:r>
    </w:p>
    <w:p w14:paraId="15C9E62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以下条件全部满足时，本合同即告终止：</w:t>
      </w:r>
    </w:p>
    <w:p w14:paraId="37B7CF9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(1)监理人完成本合同约定的全部工作；</w:t>
      </w:r>
    </w:p>
    <w:p w14:paraId="48C3726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(2)委托人与监理人结清并支付全部酬金。</w:t>
      </w:r>
    </w:p>
    <w:p w14:paraId="1B023555">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7.争议解决</w:t>
      </w:r>
    </w:p>
    <w:p w14:paraId="7B0639C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7.1</w:t>
      </w:r>
      <w:r>
        <w:rPr>
          <w:rFonts w:hint="eastAsia" w:ascii="仿宋" w:hAnsi="仿宋" w:eastAsia="仿宋" w:cs="仿宋"/>
          <w:color w:val="auto"/>
          <w:sz w:val="21"/>
          <w:szCs w:val="21"/>
        </w:rPr>
        <w:t>协商</w:t>
      </w:r>
    </w:p>
    <w:p w14:paraId="455E097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双方应本着诚信原则协商解决彼此间的争议。</w:t>
      </w:r>
    </w:p>
    <w:p w14:paraId="6FBABB3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7.2</w:t>
      </w:r>
      <w:r>
        <w:rPr>
          <w:rFonts w:hint="eastAsia" w:ascii="仿宋" w:hAnsi="仿宋" w:eastAsia="仿宋" w:cs="仿宋"/>
          <w:color w:val="auto"/>
          <w:sz w:val="21"/>
          <w:szCs w:val="21"/>
        </w:rPr>
        <w:t>调解</w:t>
      </w:r>
    </w:p>
    <w:p w14:paraId="4133C3A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如果双方不能在14天内或双方商定的其他时间内解决本合同争议，可以将其提交给专用条件约定的或事后达成协议的调解人进行调解。</w:t>
      </w:r>
    </w:p>
    <w:p w14:paraId="0937D3C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7.3</w:t>
      </w:r>
      <w:r>
        <w:rPr>
          <w:rFonts w:hint="eastAsia" w:ascii="仿宋" w:hAnsi="仿宋" w:eastAsia="仿宋" w:cs="仿宋"/>
          <w:color w:val="auto"/>
          <w:sz w:val="21"/>
          <w:szCs w:val="21"/>
        </w:rPr>
        <w:t>仲裁或诉讼</w:t>
      </w:r>
    </w:p>
    <w:p w14:paraId="6F92FDC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双方均有权不经调解直接向专用条件约定的仲裁机构申请仲裁或向有管辖权的人民法院提起诉讼。</w:t>
      </w:r>
    </w:p>
    <w:p w14:paraId="016370C4">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8.其他</w:t>
      </w:r>
    </w:p>
    <w:p w14:paraId="36F3DA0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8.1</w:t>
      </w:r>
      <w:r>
        <w:rPr>
          <w:rFonts w:hint="eastAsia" w:ascii="仿宋" w:hAnsi="仿宋" w:eastAsia="仿宋" w:cs="仿宋"/>
          <w:color w:val="auto"/>
          <w:sz w:val="21"/>
          <w:szCs w:val="21"/>
        </w:rPr>
        <w:t>外出考察费用</w:t>
      </w:r>
    </w:p>
    <w:p w14:paraId="1AE24F0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经委托人同意，监理人员外出考察发生的费用由委托人审核后支付。</w:t>
      </w:r>
    </w:p>
    <w:p w14:paraId="35ABD35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8.2</w:t>
      </w:r>
      <w:r>
        <w:rPr>
          <w:rFonts w:hint="eastAsia" w:ascii="仿宋" w:hAnsi="仿宋" w:eastAsia="仿宋" w:cs="仿宋"/>
          <w:color w:val="auto"/>
          <w:sz w:val="21"/>
          <w:szCs w:val="21"/>
        </w:rPr>
        <w:t>检测费用</w:t>
      </w:r>
    </w:p>
    <w:p w14:paraId="19ACE3F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委托人要求监理人进行的材料和设备检测所发生的费用，由委托人支付，支付时间在专用条件中约定。</w:t>
      </w:r>
    </w:p>
    <w:p w14:paraId="120D755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8.3</w:t>
      </w:r>
      <w:r>
        <w:rPr>
          <w:rFonts w:hint="eastAsia" w:ascii="仿宋" w:hAnsi="仿宋" w:eastAsia="仿宋" w:cs="仿宋"/>
          <w:color w:val="auto"/>
          <w:sz w:val="21"/>
          <w:szCs w:val="21"/>
        </w:rPr>
        <w:t>咨询费用</w:t>
      </w:r>
    </w:p>
    <w:p w14:paraId="489DF14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经委托人同意，根据工程需要由监理人组织的相关咨询论证会以及聘请相关专家等发生的费用由委托人支付，支付时间在专用条件中约定。</w:t>
      </w:r>
    </w:p>
    <w:p w14:paraId="59FF8C9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8.4</w:t>
      </w:r>
      <w:r>
        <w:rPr>
          <w:rFonts w:hint="eastAsia" w:ascii="仿宋" w:hAnsi="仿宋" w:eastAsia="仿宋" w:cs="仿宋"/>
          <w:color w:val="auto"/>
          <w:sz w:val="21"/>
          <w:szCs w:val="21"/>
        </w:rPr>
        <w:t>奖励</w:t>
      </w:r>
    </w:p>
    <w:p w14:paraId="31D1097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监理人在服务过程中提出的合理化建议，使委托人获得经济效益的，双方在专用条件中约定奖励金额的确定方法。奖励金额在合理化建议被采纳后，与最近一期的正常工作酬金同期支付。</w:t>
      </w:r>
    </w:p>
    <w:p w14:paraId="0202649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8.5</w:t>
      </w:r>
      <w:r>
        <w:rPr>
          <w:rFonts w:hint="eastAsia" w:ascii="仿宋" w:hAnsi="仿宋" w:eastAsia="仿宋" w:cs="仿宋"/>
          <w:color w:val="auto"/>
          <w:sz w:val="21"/>
          <w:szCs w:val="21"/>
        </w:rPr>
        <w:t>守法诚信</w:t>
      </w:r>
    </w:p>
    <w:p w14:paraId="6E002CD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监理人及其工作人员不得从与实施工程有关的第三方处获得任何经济利益。</w:t>
      </w:r>
    </w:p>
    <w:p w14:paraId="3189930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8.6</w:t>
      </w:r>
      <w:r>
        <w:rPr>
          <w:rFonts w:hint="eastAsia" w:ascii="仿宋" w:hAnsi="仿宋" w:eastAsia="仿宋" w:cs="仿宋"/>
          <w:color w:val="auto"/>
          <w:sz w:val="21"/>
          <w:szCs w:val="21"/>
        </w:rPr>
        <w:t>保密</w:t>
      </w:r>
    </w:p>
    <w:p w14:paraId="7BCBEA0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双方不得泄露对方申明的保密资料，亦不得泄露与实施工程有关的第三方所提供的保密资料，保密事项在专用条件中约定。</w:t>
      </w:r>
    </w:p>
    <w:p w14:paraId="4FAC26D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8.7</w:t>
      </w:r>
      <w:r>
        <w:rPr>
          <w:rFonts w:hint="eastAsia" w:ascii="仿宋" w:hAnsi="仿宋" w:eastAsia="仿宋" w:cs="仿宋"/>
          <w:color w:val="auto"/>
          <w:sz w:val="21"/>
          <w:szCs w:val="21"/>
        </w:rPr>
        <w:t>通知</w:t>
      </w:r>
    </w:p>
    <w:p w14:paraId="50C751F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本合同涉及的通知均应当采用书面形式，并在送达对方时生效，收件人应书面签收。</w:t>
      </w:r>
    </w:p>
    <w:p w14:paraId="3F92766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8.8</w:t>
      </w:r>
      <w:r>
        <w:rPr>
          <w:rFonts w:hint="eastAsia" w:ascii="仿宋" w:hAnsi="仿宋" w:eastAsia="仿宋" w:cs="仿宋"/>
          <w:color w:val="auto"/>
          <w:sz w:val="21"/>
          <w:szCs w:val="21"/>
        </w:rPr>
        <w:t>著作权</w:t>
      </w:r>
    </w:p>
    <w:p w14:paraId="14C19EE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监理人对其编制的文件拥有著作权。</w:t>
      </w:r>
    </w:p>
    <w:p w14:paraId="12D87CF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4B5BE5BE">
      <w:pPr>
        <w:pageBreakBefore w:val="0"/>
        <w:widowControl/>
        <w:kinsoku/>
        <w:bidi w:val="0"/>
        <w:spacing w:beforeAutospacing="0" w:afterAutospacing="0" w:line="360" w:lineRule="auto"/>
        <w:jc w:val="left"/>
        <w:rPr>
          <w:rFonts w:hint="eastAsia" w:ascii="仿宋" w:hAnsi="仿宋" w:eastAsia="仿宋" w:cs="仿宋"/>
          <w:color w:val="auto"/>
          <w:kern w:val="0"/>
          <w:szCs w:val="21"/>
        </w:rPr>
      </w:pPr>
      <w:r>
        <w:rPr>
          <w:rFonts w:hint="eastAsia" w:ascii="仿宋" w:hAnsi="仿宋" w:eastAsia="仿宋" w:cs="仿宋"/>
          <w:color w:val="auto"/>
          <w:szCs w:val="21"/>
        </w:rPr>
        <w:br w:type="page"/>
      </w:r>
    </w:p>
    <w:p w14:paraId="124C6CFB">
      <w:pPr>
        <w:pStyle w:val="94"/>
        <w:pageBreakBefore w:val="0"/>
        <w:kinsoku/>
        <w:bidi w:val="0"/>
        <w:adjustRightInd w:val="0"/>
        <w:spacing w:before="0" w:beforeAutospacing="0" w:after="0" w:afterAutospacing="0" w:line="360" w:lineRule="auto"/>
        <w:jc w:val="center"/>
        <w:outlineLvl w:val="1"/>
        <w:rPr>
          <w:rFonts w:hint="eastAsia" w:ascii="仿宋" w:hAnsi="仿宋" w:eastAsia="仿宋" w:cs="仿宋"/>
          <w:b/>
          <w:color w:val="auto"/>
          <w:sz w:val="21"/>
          <w:szCs w:val="21"/>
        </w:rPr>
      </w:pPr>
      <w:r>
        <w:rPr>
          <w:rFonts w:hint="eastAsia" w:ascii="仿宋" w:hAnsi="仿宋" w:eastAsia="仿宋" w:cs="仿宋"/>
          <w:b/>
          <w:color w:val="auto"/>
          <w:sz w:val="32"/>
          <w:szCs w:val="32"/>
        </w:rPr>
        <w:t>第三部分 专用条件</w:t>
      </w:r>
    </w:p>
    <w:p w14:paraId="6850A417">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1.定义与解释</w:t>
      </w:r>
    </w:p>
    <w:p w14:paraId="65FD14B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1.2</w:t>
      </w:r>
      <w:r>
        <w:rPr>
          <w:rFonts w:hint="eastAsia" w:ascii="仿宋" w:hAnsi="仿宋" w:eastAsia="仿宋" w:cs="仿宋"/>
          <w:color w:val="auto"/>
          <w:sz w:val="21"/>
          <w:szCs w:val="21"/>
        </w:rPr>
        <w:t>解释</w:t>
      </w:r>
    </w:p>
    <w:p w14:paraId="56E5968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1.2.1</w:t>
      </w:r>
      <w:r>
        <w:rPr>
          <w:rFonts w:hint="eastAsia" w:ascii="仿宋" w:hAnsi="仿宋" w:eastAsia="仿宋" w:cs="仿宋"/>
          <w:color w:val="auto"/>
          <w:sz w:val="21"/>
          <w:szCs w:val="21"/>
        </w:rPr>
        <w:t>本合同文件除使用中文外，还可用</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input39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51F9B6C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1.2.2</w:t>
      </w:r>
      <w:r>
        <w:rPr>
          <w:rFonts w:hint="eastAsia" w:ascii="仿宋" w:hAnsi="仿宋" w:eastAsia="仿宋" w:cs="仿宋"/>
          <w:color w:val="auto"/>
          <w:sz w:val="21"/>
          <w:szCs w:val="21"/>
        </w:rPr>
        <w:t>约定本合同文件的解释顺序为：</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input40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5C2B4506">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2.监理人义务</w:t>
      </w:r>
    </w:p>
    <w:p w14:paraId="2F56023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2.1</w:t>
      </w:r>
      <w:r>
        <w:rPr>
          <w:rFonts w:hint="eastAsia" w:ascii="仿宋" w:hAnsi="仿宋" w:eastAsia="仿宋" w:cs="仿宋"/>
          <w:color w:val="auto"/>
          <w:sz w:val="21"/>
          <w:szCs w:val="21"/>
        </w:rPr>
        <w:t>监理的范围和内容</w:t>
      </w:r>
    </w:p>
    <w:p w14:paraId="6F3E198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2.1.1</w:t>
      </w:r>
      <w:r>
        <w:rPr>
          <w:rFonts w:hint="eastAsia" w:ascii="仿宋" w:hAnsi="仿宋" w:eastAsia="仿宋" w:cs="仿宋"/>
          <w:color w:val="auto"/>
          <w:sz w:val="21"/>
          <w:szCs w:val="21"/>
        </w:rPr>
        <w:t>监理范围包括：</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input41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5EF187C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2.1.2</w:t>
      </w:r>
      <w:r>
        <w:rPr>
          <w:rFonts w:hint="eastAsia" w:ascii="仿宋" w:hAnsi="仿宋" w:eastAsia="仿宋" w:cs="仿宋"/>
          <w:color w:val="auto"/>
          <w:sz w:val="21"/>
          <w:szCs w:val="21"/>
        </w:rPr>
        <w:t>监理工作内容还包括：</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input42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56C3B28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2.2</w:t>
      </w:r>
      <w:r>
        <w:rPr>
          <w:rFonts w:hint="eastAsia" w:ascii="仿宋" w:hAnsi="仿宋" w:eastAsia="仿宋" w:cs="仿宋"/>
          <w:color w:val="auto"/>
          <w:sz w:val="21"/>
          <w:szCs w:val="21"/>
        </w:rPr>
        <w:t>监理与相关服务依据</w:t>
      </w:r>
    </w:p>
    <w:p w14:paraId="5C3AE27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2.2.1</w:t>
      </w:r>
      <w:r>
        <w:rPr>
          <w:rFonts w:hint="eastAsia" w:ascii="仿宋" w:hAnsi="仿宋" w:eastAsia="仿宋" w:cs="仿宋"/>
          <w:color w:val="auto"/>
          <w:sz w:val="21"/>
          <w:szCs w:val="21"/>
        </w:rPr>
        <w:t>监理依据包括：</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input43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77BB9A7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2.2.2</w:t>
      </w:r>
      <w:r>
        <w:rPr>
          <w:rFonts w:hint="eastAsia" w:ascii="仿宋" w:hAnsi="仿宋" w:eastAsia="仿宋" w:cs="仿宋"/>
          <w:color w:val="auto"/>
          <w:sz w:val="21"/>
          <w:szCs w:val="21"/>
        </w:rPr>
        <w:t>相关服务依据包括：</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input44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1AA0512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2.3</w:t>
      </w:r>
      <w:r>
        <w:rPr>
          <w:rFonts w:hint="eastAsia" w:ascii="仿宋" w:hAnsi="仿宋" w:eastAsia="仿宋" w:cs="仿宋"/>
          <w:color w:val="auto"/>
          <w:sz w:val="21"/>
          <w:szCs w:val="21"/>
        </w:rPr>
        <w:t>项目监理机构和人员</w:t>
      </w:r>
    </w:p>
    <w:p w14:paraId="4261571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2.3.4</w:t>
      </w:r>
      <w:r>
        <w:rPr>
          <w:rFonts w:hint="eastAsia" w:ascii="仿宋" w:hAnsi="仿宋" w:eastAsia="仿宋" w:cs="仿宋"/>
          <w:color w:val="auto"/>
          <w:sz w:val="21"/>
          <w:szCs w:val="21"/>
        </w:rPr>
        <w:t>更换监理人员的其他情形：</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input45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25220C6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2.4</w:t>
      </w:r>
      <w:r>
        <w:rPr>
          <w:rFonts w:hint="eastAsia" w:ascii="仿宋" w:hAnsi="仿宋" w:eastAsia="仿宋" w:cs="仿宋"/>
          <w:color w:val="auto"/>
          <w:sz w:val="21"/>
          <w:szCs w:val="21"/>
        </w:rPr>
        <w:t>履行职责</w:t>
      </w:r>
    </w:p>
    <w:p w14:paraId="727F6D9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2.4.3</w:t>
      </w:r>
      <w:r>
        <w:rPr>
          <w:rFonts w:hint="eastAsia" w:ascii="仿宋" w:hAnsi="仿宋" w:eastAsia="仿宋" w:cs="仿宋"/>
          <w:color w:val="auto"/>
          <w:sz w:val="21"/>
          <w:szCs w:val="21"/>
        </w:rPr>
        <w:t>对监理人的授权范围：</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input46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682EC3B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在涉及工程延期</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input47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天内和（或）金额</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input48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万元内的变更，监理人不需请示委托人即可向承包人发布变更通知。</w:t>
      </w:r>
    </w:p>
    <w:p w14:paraId="3605DE3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2.4.4</w:t>
      </w:r>
      <w:r>
        <w:rPr>
          <w:rFonts w:hint="eastAsia" w:ascii="仿宋" w:hAnsi="仿宋" w:eastAsia="仿宋" w:cs="仿宋"/>
          <w:color w:val="auto"/>
          <w:sz w:val="21"/>
          <w:szCs w:val="21"/>
        </w:rPr>
        <w:t>监理人有权要求承包人调换其人员的限制条件：</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input49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6F23DD4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2.5</w:t>
      </w:r>
      <w:r>
        <w:rPr>
          <w:rFonts w:hint="eastAsia" w:ascii="仿宋" w:hAnsi="仿宋" w:eastAsia="仿宋" w:cs="仿宋"/>
          <w:color w:val="auto"/>
          <w:sz w:val="21"/>
          <w:szCs w:val="21"/>
        </w:rPr>
        <w:t>提交报告</w:t>
      </w:r>
    </w:p>
    <w:p w14:paraId="2AAEC91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监理人应提交报告的种类（包括监理规划、监理月报及约定的专项报告）、时间和份数：</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input50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62A80F0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2.7</w:t>
      </w:r>
      <w:r>
        <w:rPr>
          <w:rFonts w:hint="eastAsia" w:ascii="仿宋" w:hAnsi="仿宋" w:eastAsia="仿宋" w:cs="仿宋"/>
          <w:color w:val="auto"/>
          <w:sz w:val="21"/>
          <w:szCs w:val="21"/>
        </w:rPr>
        <w:t>使用委托人的财产</w:t>
      </w:r>
    </w:p>
    <w:p w14:paraId="659D1D2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附录B中由委托人无偿提供的房屋、设备的所有权属于：</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input51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663E68D9">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监理人应在本合同终止后</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input52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天内移交委托人无偿提供的房屋、设备，移交的时间和方式为：</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input53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62BC5184">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3.委托人义务</w:t>
      </w:r>
    </w:p>
    <w:p w14:paraId="1F0E031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3.4</w:t>
      </w:r>
      <w:r>
        <w:rPr>
          <w:rFonts w:hint="eastAsia" w:ascii="仿宋" w:hAnsi="仿宋" w:eastAsia="仿宋" w:cs="仿宋"/>
          <w:color w:val="auto"/>
          <w:sz w:val="21"/>
          <w:szCs w:val="21"/>
        </w:rPr>
        <w:t>委托人代表</w:t>
      </w:r>
    </w:p>
    <w:p w14:paraId="1D013AA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委托人代表为：</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input54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02EBDC5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3.6</w:t>
      </w:r>
      <w:r>
        <w:rPr>
          <w:rFonts w:hint="eastAsia" w:ascii="仿宋" w:hAnsi="仿宋" w:eastAsia="仿宋" w:cs="仿宋"/>
          <w:color w:val="auto"/>
          <w:sz w:val="21"/>
          <w:szCs w:val="21"/>
        </w:rPr>
        <w:t>答复</w:t>
      </w:r>
    </w:p>
    <w:p w14:paraId="1EF18D2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委托人同意在</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input55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天内，对监理人书面提交并要求做出决定的事宜给予书面答复。</w:t>
      </w:r>
    </w:p>
    <w:p w14:paraId="6D8ADDE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4.违约责任</w:t>
      </w:r>
    </w:p>
    <w:p w14:paraId="3F13EAD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4.1</w:t>
      </w:r>
      <w:r>
        <w:rPr>
          <w:rFonts w:hint="eastAsia" w:ascii="仿宋" w:hAnsi="仿宋" w:eastAsia="仿宋" w:cs="仿宋"/>
          <w:color w:val="auto"/>
          <w:sz w:val="21"/>
          <w:szCs w:val="21"/>
        </w:rPr>
        <w:t>监理人的违约责任</w:t>
      </w:r>
    </w:p>
    <w:p w14:paraId="1F1BC8F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4.1.1</w:t>
      </w:r>
      <w:r>
        <w:rPr>
          <w:rFonts w:hint="eastAsia" w:ascii="仿宋" w:hAnsi="仿宋" w:eastAsia="仿宋" w:cs="仿宋"/>
          <w:color w:val="auto"/>
          <w:sz w:val="21"/>
          <w:szCs w:val="21"/>
        </w:rPr>
        <w:t>监理人赔偿金额按下列方法确定：</w:t>
      </w:r>
    </w:p>
    <w:p w14:paraId="4906038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赔偿金＝直接经济损失×正常工作酬金÷工程概算投资额（或建筑安装工程费）</w:t>
      </w:r>
    </w:p>
    <w:p w14:paraId="3F9B700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4.2</w:t>
      </w:r>
      <w:r>
        <w:rPr>
          <w:rFonts w:hint="eastAsia" w:ascii="仿宋" w:hAnsi="仿宋" w:eastAsia="仿宋" w:cs="仿宋"/>
          <w:color w:val="auto"/>
          <w:sz w:val="21"/>
          <w:szCs w:val="21"/>
        </w:rPr>
        <w:t>委托人的违约责任</w:t>
      </w:r>
    </w:p>
    <w:p w14:paraId="29F9B2A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4.2.3</w:t>
      </w:r>
      <w:r>
        <w:rPr>
          <w:rFonts w:hint="eastAsia" w:ascii="仿宋" w:hAnsi="仿宋" w:eastAsia="仿宋" w:cs="仿宋"/>
          <w:color w:val="auto"/>
          <w:sz w:val="21"/>
          <w:szCs w:val="21"/>
        </w:rPr>
        <w:t>委托人逾期付款利息按下列方法确定：</w:t>
      </w:r>
    </w:p>
    <w:p w14:paraId="791AAD2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逾期付款利息＝当期应付款总额×银行同期贷款利率×拖延支付天数</w:t>
      </w:r>
    </w:p>
    <w:p w14:paraId="102636D7">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5.支付</w:t>
      </w:r>
    </w:p>
    <w:p w14:paraId="6828ABE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5.1</w:t>
      </w:r>
      <w:r>
        <w:rPr>
          <w:rFonts w:hint="eastAsia" w:ascii="仿宋" w:hAnsi="仿宋" w:eastAsia="仿宋" w:cs="仿宋"/>
          <w:color w:val="auto"/>
          <w:sz w:val="21"/>
          <w:szCs w:val="21"/>
        </w:rPr>
        <w:t>支付货币</w:t>
      </w:r>
    </w:p>
    <w:p w14:paraId="67AD806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币种为：</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input56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，比例为：</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input57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，汇率为：</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input58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4B178E5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5.3</w:t>
      </w:r>
      <w:r>
        <w:rPr>
          <w:rFonts w:hint="eastAsia" w:ascii="仿宋" w:hAnsi="仿宋" w:eastAsia="仿宋" w:cs="仿宋"/>
          <w:color w:val="auto"/>
          <w:sz w:val="21"/>
          <w:szCs w:val="21"/>
        </w:rPr>
        <w:t>支付酬金</w:t>
      </w:r>
    </w:p>
    <w:p w14:paraId="4322FBA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正常工作酬金的支付：</w:t>
      </w:r>
    </w:p>
    <w:tbl>
      <w:tblPr>
        <w:tblStyle w:val="37"/>
        <w:tblW w:w="7487"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268"/>
        <w:gridCol w:w="1906"/>
        <w:gridCol w:w="1638"/>
      </w:tblGrid>
      <w:tr w14:paraId="5634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5" w:type="dxa"/>
            <w:vAlign w:val="center"/>
          </w:tcPr>
          <w:p w14:paraId="3AD165D8">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支付次数</w:t>
            </w:r>
          </w:p>
        </w:tc>
        <w:tc>
          <w:tcPr>
            <w:tcW w:w="2268" w:type="dxa"/>
            <w:vAlign w:val="center"/>
          </w:tcPr>
          <w:p w14:paraId="7715F03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支付时间</w:t>
            </w:r>
          </w:p>
        </w:tc>
        <w:tc>
          <w:tcPr>
            <w:tcW w:w="1906" w:type="dxa"/>
            <w:vAlign w:val="center"/>
          </w:tcPr>
          <w:p w14:paraId="658208BC">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支付比例</w:t>
            </w:r>
          </w:p>
        </w:tc>
        <w:tc>
          <w:tcPr>
            <w:tcW w:w="1638" w:type="dxa"/>
            <w:vAlign w:val="center"/>
          </w:tcPr>
          <w:p w14:paraId="52777F9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支付金额（万元）</w:t>
            </w:r>
          </w:p>
        </w:tc>
      </w:tr>
      <w:tr w14:paraId="03AB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5" w:type="dxa"/>
            <w:vAlign w:val="center"/>
          </w:tcPr>
          <w:p w14:paraId="601091B8">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首付款</w:t>
            </w:r>
          </w:p>
        </w:tc>
        <w:tc>
          <w:tcPr>
            <w:tcW w:w="2268" w:type="dxa"/>
            <w:vAlign w:val="center"/>
          </w:tcPr>
          <w:p w14:paraId="617EFD4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本合同签订后7天内</w:t>
            </w:r>
          </w:p>
        </w:tc>
        <w:tc>
          <w:tcPr>
            <w:tcW w:w="1906" w:type="dxa"/>
            <w:vAlign w:val="center"/>
          </w:tcPr>
          <w:p w14:paraId="14CED028">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38" w:type="dxa"/>
            <w:vAlign w:val="center"/>
          </w:tcPr>
          <w:p w14:paraId="392F7E8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46E7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5" w:type="dxa"/>
            <w:tcBorders>
              <w:left w:val="single" w:color="auto" w:sz="4" w:space="0"/>
              <w:bottom w:val="single" w:color="auto" w:sz="4" w:space="0"/>
            </w:tcBorders>
            <w:vAlign w:val="center"/>
          </w:tcPr>
          <w:p w14:paraId="769D0E30">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第二次付款</w:t>
            </w:r>
          </w:p>
        </w:tc>
        <w:tc>
          <w:tcPr>
            <w:tcW w:w="2268" w:type="dxa"/>
            <w:tcBorders>
              <w:bottom w:val="single" w:color="auto" w:sz="4" w:space="0"/>
            </w:tcBorders>
            <w:vAlign w:val="center"/>
          </w:tcPr>
          <w:p w14:paraId="246628E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06" w:type="dxa"/>
            <w:tcBorders>
              <w:bottom w:val="single" w:color="auto" w:sz="4" w:space="0"/>
            </w:tcBorders>
            <w:vAlign w:val="center"/>
          </w:tcPr>
          <w:p w14:paraId="01B45DA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38" w:type="dxa"/>
            <w:tcBorders>
              <w:bottom w:val="single" w:color="auto" w:sz="4" w:space="0"/>
            </w:tcBorders>
            <w:vAlign w:val="center"/>
          </w:tcPr>
          <w:p w14:paraId="01DDC2F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294A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tcBorders>
            <w:vAlign w:val="center"/>
          </w:tcPr>
          <w:p w14:paraId="70732EE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第三次付款</w:t>
            </w:r>
          </w:p>
        </w:tc>
        <w:tc>
          <w:tcPr>
            <w:tcW w:w="2268" w:type="dxa"/>
            <w:tcBorders>
              <w:top w:val="single" w:color="auto" w:sz="4" w:space="0"/>
            </w:tcBorders>
            <w:vAlign w:val="center"/>
          </w:tcPr>
          <w:p w14:paraId="1F0A09A6">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06" w:type="dxa"/>
            <w:tcBorders>
              <w:top w:val="single" w:color="auto" w:sz="4" w:space="0"/>
            </w:tcBorders>
            <w:vAlign w:val="center"/>
          </w:tcPr>
          <w:p w14:paraId="64E7ADF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38" w:type="dxa"/>
            <w:tcBorders>
              <w:top w:val="single" w:color="auto" w:sz="4" w:space="0"/>
            </w:tcBorders>
            <w:vAlign w:val="center"/>
          </w:tcPr>
          <w:p w14:paraId="1C62CBB0">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47C9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5" w:type="dxa"/>
            <w:vAlign w:val="center"/>
          </w:tcPr>
          <w:p w14:paraId="0B2E718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2268" w:type="dxa"/>
            <w:vAlign w:val="center"/>
          </w:tcPr>
          <w:p w14:paraId="427D6E2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06" w:type="dxa"/>
            <w:vAlign w:val="center"/>
          </w:tcPr>
          <w:p w14:paraId="54E8ED54">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38" w:type="dxa"/>
            <w:vAlign w:val="center"/>
          </w:tcPr>
          <w:p w14:paraId="51923186">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0BE7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5" w:type="dxa"/>
            <w:tcBorders>
              <w:bottom w:val="single" w:color="auto" w:sz="4" w:space="0"/>
            </w:tcBorders>
            <w:vAlign w:val="center"/>
          </w:tcPr>
          <w:p w14:paraId="1348555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最后付款</w:t>
            </w:r>
          </w:p>
        </w:tc>
        <w:tc>
          <w:tcPr>
            <w:tcW w:w="2268" w:type="dxa"/>
            <w:tcBorders>
              <w:bottom w:val="single" w:color="auto" w:sz="4" w:space="0"/>
            </w:tcBorders>
            <w:vAlign w:val="center"/>
          </w:tcPr>
          <w:p w14:paraId="17C36666">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监理与相关服务期届满14天内</w:t>
            </w:r>
          </w:p>
        </w:tc>
        <w:tc>
          <w:tcPr>
            <w:tcW w:w="1906" w:type="dxa"/>
            <w:vAlign w:val="center"/>
          </w:tcPr>
          <w:p w14:paraId="5132221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38" w:type="dxa"/>
            <w:tcBorders>
              <w:top w:val="single" w:color="auto" w:sz="4" w:space="0"/>
            </w:tcBorders>
            <w:vAlign w:val="center"/>
          </w:tcPr>
          <w:p w14:paraId="5917650B">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bl>
    <w:p w14:paraId="269715A1">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6.合同生效、变更、暂停、解除与终止</w:t>
      </w:r>
    </w:p>
    <w:p w14:paraId="758E4F4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6.1</w:t>
      </w:r>
      <w:r>
        <w:rPr>
          <w:rFonts w:hint="eastAsia" w:ascii="仿宋" w:hAnsi="仿宋" w:eastAsia="仿宋" w:cs="仿宋"/>
          <w:color w:val="auto"/>
          <w:sz w:val="21"/>
          <w:szCs w:val="21"/>
        </w:rPr>
        <w:t>生效</w:t>
      </w:r>
    </w:p>
    <w:p w14:paraId="7AB0C96F">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本合同生效条件：</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input59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46AB846E">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w:t>
      </w:r>
      <w:r>
        <w:rPr>
          <w:rFonts w:hint="eastAsia" w:ascii="仿宋" w:hAnsi="仿宋" w:eastAsia="仿宋" w:cs="仿宋"/>
          <w:color w:val="auto"/>
          <w:sz w:val="21"/>
          <w:szCs w:val="21"/>
        </w:rPr>
        <w:t>变更</w:t>
      </w:r>
    </w:p>
    <w:p w14:paraId="150BD51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6.2.2</w:t>
      </w:r>
      <w:r>
        <w:rPr>
          <w:rFonts w:hint="eastAsia" w:ascii="仿宋" w:hAnsi="仿宋" w:eastAsia="仿宋" w:cs="仿宋"/>
          <w:color w:val="auto"/>
          <w:sz w:val="21"/>
          <w:szCs w:val="21"/>
        </w:rPr>
        <w:t>除不可抗力外，因非监理人原因导致本合同期限延长时，附加工作酬金按下列方法确定：</w:t>
      </w:r>
    </w:p>
    <w:p w14:paraId="0DB81FA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附加工作酬金=本合同期限延长时间（天）×正常工作酬金÷协议书约定的监理与相关服务期限（天）</w:t>
      </w:r>
    </w:p>
    <w:p w14:paraId="60B0C9C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6.2.3</w:t>
      </w:r>
      <w:r>
        <w:rPr>
          <w:rFonts w:hint="eastAsia" w:ascii="仿宋" w:hAnsi="仿宋" w:eastAsia="仿宋" w:cs="仿宋"/>
          <w:color w:val="auto"/>
          <w:sz w:val="21"/>
          <w:szCs w:val="21"/>
        </w:rPr>
        <w:t>附加工作酬金按下列方法确定：</w:t>
      </w:r>
    </w:p>
    <w:p w14:paraId="08B0839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附加工作酬金=善后工作及恢复服务的准备工作时间（天）×正常工作酬金÷协议书约定的监理与相关服务期限（天）</w:t>
      </w:r>
    </w:p>
    <w:p w14:paraId="31DD6AB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6.2.5</w:t>
      </w:r>
      <w:r>
        <w:rPr>
          <w:rFonts w:hint="eastAsia" w:ascii="仿宋" w:hAnsi="仿宋" w:eastAsia="仿宋" w:cs="仿宋"/>
          <w:color w:val="auto"/>
          <w:sz w:val="21"/>
          <w:szCs w:val="21"/>
        </w:rPr>
        <w:t>正常工作酬金增加额按下列方法确定：</w:t>
      </w:r>
    </w:p>
    <w:p w14:paraId="4C213F0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正常工作酬金增加额=工程投资额或建筑安装工程费增加额×正常工作酬金÷工程概算投资额（或建筑安装工程费）</w:t>
      </w:r>
    </w:p>
    <w:p w14:paraId="318ACB4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6.2.6</w:t>
      </w:r>
      <w:r>
        <w:rPr>
          <w:rFonts w:hint="eastAsia" w:ascii="仿宋" w:hAnsi="仿宋" w:eastAsia="仿宋" w:cs="仿宋"/>
          <w:color w:val="auto"/>
          <w:sz w:val="21"/>
          <w:szCs w:val="21"/>
        </w:rPr>
        <w:t>因工程规模、监理范围的变化导致监理人的正常工作量减少时，按减少工作量的比例从协议书约定的正常工作酬金中扣减相同比例的酬金。</w:t>
      </w:r>
    </w:p>
    <w:p w14:paraId="4FD294A5">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7.争议解决</w:t>
      </w:r>
    </w:p>
    <w:p w14:paraId="5B3187A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7.2</w:t>
      </w:r>
      <w:r>
        <w:rPr>
          <w:rFonts w:hint="eastAsia" w:ascii="仿宋" w:hAnsi="仿宋" w:eastAsia="仿宋" w:cs="仿宋"/>
          <w:color w:val="auto"/>
          <w:sz w:val="21"/>
          <w:szCs w:val="21"/>
        </w:rPr>
        <w:t>调解</w:t>
      </w:r>
    </w:p>
    <w:p w14:paraId="68DEF59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本合同争议进行调解时，可提交</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input60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进行调解。</w:t>
      </w:r>
    </w:p>
    <w:p w14:paraId="24339E9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7.3</w:t>
      </w:r>
      <w:r>
        <w:rPr>
          <w:rFonts w:hint="eastAsia" w:ascii="仿宋" w:hAnsi="仿宋" w:eastAsia="仿宋" w:cs="仿宋"/>
          <w:color w:val="auto"/>
          <w:sz w:val="21"/>
          <w:szCs w:val="21"/>
        </w:rPr>
        <w:t>仲裁或诉讼</w:t>
      </w:r>
    </w:p>
    <w:p w14:paraId="1F3E324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合同争议的最终解决方式为下列第</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input61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种方式：</w:t>
      </w:r>
    </w:p>
    <w:p w14:paraId="5F104BD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(1)提请</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input62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仲裁委员会进行仲裁。</w:t>
      </w:r>
    </w:p>
    <w:p w14:paraId="14F6A591">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(2)向</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input63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人民法院提起诉讼。</w:t>
      </w:r>
    </w:p>
    <w:p w14:paraId="7F74322C">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8.其他</w:t>
      </w:r>
    </w:p>
    <w:p w14:paraId="07FCDEE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8.2</w:t>
      </w:r>
      <w:r>
        <w:rPr>
          <w:rFonts w:hint="eastAsia" w:ascii="仿宋" w:hAnsi="仿宋" w:eastAsia="仿宋" w:cs="仿宋"/>
          <w:color w:val="auto"/>
          <w:sz w:val="21"/>
          <w:szCs w:val="21"/>
        </w:rPr>
        <w:t>检测费用</w:t>
      </w:r>
    </w:p>
    <w:p w14:paraId="06A4026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委托人应在检测工作完成后</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input64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天内支付检测费用。</w:t>
      </w:r>
    </w:p>
    <w:p w14:paraId="67DFF89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8.3</w:t>
      </w:r>
      <w:r>
        <w:rPr>
          <w:rFonts w:hint="eastAsia" w:ascii="仿宋" w:hAnsi="仿宋" w:eastAsia="仿宋" w:cs="仿宋"/>
          <w:color w:val="auto"/>
          <w:sz w:val="21"/>
          <w:szCs w:val="21"/>
        </w:rPr>
        <w:t>咨询费用</w:t>
      </w:r>
    </w:p>
    <w:p w14:paraId="784A0A8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委托人应在咨询工作完成后</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input65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天内支付咨询费用。</w:t>
      </w:r>
    </w:p>
    <w:p w14:paraId="3CC8FFB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8.4</w:t>
      </w:r>
      <w:r>
        <w:rPr>
          <w:rFonts w:hint="eastAsia" w:ascii="仿宋" w:hAnsi="仿宋" w:eastAsia="仿宋" w:cs="仿宋"/>
          <w:color w:val="auto"/>
          <w:sz w:val="21"/>
          <w:szCs w:val="21"/>
        </w:rPr>
        <w:t>奖励</w:t>
      </w:r>
    </w:p>
    <w:p w14:paraId="1521F40D">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合理化建议的奖励金额按下列方法确定为：</w:t>
      </w:r>
    </w:p>
    <w:p w14:paraId="40403D7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奖励金额＝工程投资节省额×奖励金额的比率；</w:t>
      </w:r>
    </w:p>
    <w:p w14:paraId="52E48CA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奖励金额的比率为</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input66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65659FBC">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8.6</w:t>
      </w:r>
      <w:r>
        <w:rPr>
          <w:rFonts w:hint="eastAsia" w:ascii="仿宋" w:hAnsi="仿宋" w:eastAsia="仿宋" w:cs="仿宋"/>
          <w:color w:val="auto"/>
          <w:sz w:val="21"/>
          <w:szCs w:val="21"/>
        </w:rPr>
        <w:t>保密</w:t>
      </w:r>
    </w:p>
    <w:p w14:paraId="7A659780">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委托人申明的保密事项和期限：</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input67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615FE2D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监理人申明的保密事项和期限：</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input68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7ADCE11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第三方申明的保密事项和期限：</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input69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r>
        <w:rPr>
          <w:rFonts w:hint="eastAsia" w:ascii="仿宋" w:hAnsi="仿宋" w:eastAsia="仿宋" w:cs="仿宋"/>
          <w:color w:val="auto"/>
          <w:sz w:val="21"/>
          <w:szCs w:val="21"/>
        </w:rPr>
        <w:t>。</w:t>
      </w:r>
    </w:p>
    <w:p w14:paraId="366DC46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8.8</w:t>
      </w:r>
      <w:r>
        <w:rPr>
          <w:rFonts w:hint="eastAsia" w:ascii="仿宋" w:hAnsi="仿宋" w:eastAsia="仿宋" w:cs="仿宋"/>
          <w:color w:val="auto"/>
          <w:sz w:val="21"/>
          <w:szCs w:val="21"/>
        </w:rPr>
        <w:t>著作权</w:t>
      </w:r>
    </w:p>
    <w:p w14:paraId="226C2793">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监理人在本合同履行期间及本合同终止后两年内出版涉及本工程的有关监理与相关服务的资料的限制条件：</w:t>
      </w: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input70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7FF73946">
      <w:pPr>
        <w:pStyle w:val="94"/>
        <w:pageBreakBefore w:val="0"/>
        <w:kinsoku/>
        <w:bidi w:val="0"/>
        <w:spacing w:before="0" w:beforeAutospacing="0" w:after="0" w:afterAutospacing="0"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9.补充条款</w:t>
      </w:r>
    </w:p>
    <w:p w14:paraId="42822A02">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input71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453BC99E">
      <w:pPr>
        <w:pStyle w:val="94"/>
        <w:pageBreakBefore w:val="0"/>
        <w:kinsoku/>
        <w:bidi w:val="0"/>
        <w:spacing w:before="0" w:beforeAutospacing="0" w:after="0" w:afterAutospacing="0" w:line="360" w:lineRule="auto"/>
        <w:rPr>
          <w:rFonts w:hint="eastAsia" w:ascii="仿宋" w:hAnsi="仿宋" w:eastAsia="仿宋" w:cs="仿宋"/>
          <w:b/>
          <w:color w:val="auto"/>
          <w:sz w:val="28"/>
          <w:szCs w:val="28"/>
        </w:rPr>
      </w:pPr>
    </w:p>
    <w:p w14:paraId="656F179F">
      <w:pPr>
        <w:pageBreakBefore w:val="0"/>
        <w:kinsoku/>
        <w:bidi w:val="0"/>
        <w:spacing w:beforeAutospacing="0" w:afterAutospacing="0"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4AF88A59">
      <w:pPr>
        <w:pStyle w:val="94"/>
        <w:pageBreakBefore w:val="0"/>
        <w:kinsoku/>
        <w:bidi w:val="0"/>
        <w:spacing w:before="0" w:beforeAutospacing="0" w:after="0" w:afterAutospacing="0" w:line="360" w:lineRule="auto"/>
        <w:jc w:val="center"/>
        <w:outlineLvl w:val="0"/>
        <w:rPr>
          <w:rFonts w:hint="eastAsia" w:ascii="仿宋" w:hAnsi="仿宋" w:eastAsia="仿宋" w:cs="仿宋"/>
          <w:b/>
          <w:color w:val="auto"/>
          <w:sz w:val="28"/>
          <w:szCs w:val="28"/>
        </w:rPr>
      </w:pPr>
      <w:bookmarkStart w:id="137" w:name="_Toc21508"/>
      <w:bookmarkStart w:id="138" w:name="_Toc19342"/>
      <w:r>
        <w:rPr>
          <w:rFonts w:hint="eastAsia" w:ascii="仿宋" w:hAnsi="仿宋" w:eastAsia="仿宋" w:cs="仿宋"/>
          <w:b/>
          <w:color w:val="auto"/>
          <w:sz w:val="28"/>
          <w:szCs w:val="28"/>
        </w:rPr>
        <w:t>附录A 相关服务的范围和内容</w:t>
      </w:r>
      <w:bookmarkEnd w:id="137"/>
      <w:bookmarkEnd w:id="138"/>
    </w:p>
    <w:p w14:paraId="590BC387">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A-1</w:t>
      </w:r>
      <w:r>
        <w:rPr>
          <w:rFonts w:hint="eastAsia" w:ascii="仿宋" w:hAnsi="仿宋" w:eastAsia="仿宋" w:cs="仿宋"/>
          <w:color w:val="auto"/>
          <w:sz w:val="21"/>
          <w:szCs w:val="21"/>
        </w:rPr>
        <w:t>勘察阶段：</w:t>
      </w:r>
    </w:p>
    <w:p w14:paraId="43828925">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input72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0AFB5174">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p>
    <w:p w14:paraId="555D0E9B">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A-2</w:t>
      </w:r>
      <w:r>
        <w:rPr>
          <w:rFonts w:hint="eastAsia" w:ascii="仿宋" w:hAnsi="仿宋" w:eastAsia="仿宋" w:cs="仿宋"/>
          <w:color w:val="auto"/>
          <w:sz w:val="21"/>
          <w:szCs w:val="21"/>
        </w:rPr>
        <w:t>设计阶段：</w:t>
      </w:r>
    </w:p>
    <w:p w14:paraId="3CB3E0B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input73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478E32A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p>
    <w:p w14:paraId="2608E07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A-3</w:t>
      </w:r>
      <w:r>
        <w:rPr>
          <w:rFonts w:hint="eastAsia" w:ascii="仿宋" w:hAnsi="仿宋" w:eastAsia="仿宋" w:cs="仿宋"/>
          <w:color w:val="auto"/>
          <w:sz w:val="21"/>
          <w:szCs w:val="21"/>
        </w:rPr>
        <w:t>保修阶段：</w:t>
      </w:r>
    </w:p>
    <w:p w14:paraId="715702EA">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input74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1A313C08">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p>
    <w:p w14:paraId="43FED72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A-4</w:t>
      </w:r>
      <w:r>
        <w:rPr>
          <w:rFonts w:hint="eastAsia" w:ascii="仿宋" w:hAnsi="仿宋" w:eastAsia="仿宋" w:cs="仿宋"/>
          <w:color w:val="auto"/>
          <w:sz w:val="21"/>
          <w:szCs w:val="21"/>
        </w:rPr>
        <w:t>其他（专业技术咨询、外部协调工作等）：</w:t>
      </w:r>
    </w:p>
    <w:p w14:paraId="006D7006">
      <w:pPr>
        <w:pStyle w:val="94"/>
        <w:pageBreakBefore w:val="0"/>
        <w:kinsoku/>
        <w:bidi w:val="0"/>
        <w:spacing w:before="0" w:beforeAutospacing="0" w:after="0" w:afterAutospacing="0" w:line="360" w:lineRule="auto"/>
        <w:rPr>
          <w:rFonts w:hint="eastAsia" w:ascii="仿宋" w:hAnsi="仿宋" w:eastAsia="仿宋" w:cs="仿宋"/>
          <w:color w:val="auto"/>
          <w:sz w:val="21"/>
          <w:szCs w:val="21"/>
        </w:rPr>
      </w:pPr>
      <w:r>
        <w:rPr>
          <w:rFonts w:hint="eastAsia" w:ascii="仿宋" w:hAnsi="仿宋" w:eastAsia="仿宋" w:cs="仿宋"/>
          <w:b w:val="0"/>
          <w:color w:val="auto"/>
          <w:sz w:val="21"/>
          <w:u w:val="single"/>
        </w:rPr>
        <w:t xml:space="preserve">    </w:t>
      </w:r>
      <w:r>
        <w:rPr>
          <w:rFonts w:hint="eastAsia" w:ascii="仿宋" w:hAnsi="仿宋" w:eastAsia="仿宋" w:cs="仿宋"/>
          <w:color w:val="auto"/>
          <w:sz w:val="21"/>
          <w:szCs w:val="21"/>
          <w:u w:val="single"/>
        </w:rPr>
        <w:fldChar w:fldCharType="begin"/>
      </w:r>
      <w:r>
        <w:rPr>
          <w:rFonts w:hint="eastAsia" w:ascii="仿宋" w:hAnsi="仿宋" w:eastAsia="仿宋" w:cs="仿宋"/>
          <w:color w:val="auto"/>
          <w:sz w:val="21"/>
          <w:szCs w:val="21"/>
          <w:u w:val="single"/>
        </w:rPr>
        <w:instrText xml:space="preserve"> AUTOTEXT  input75 \* MERGEFORMAT </w:instrText>
      </w:r>
      <w:r>
        <w:rPr>
          <w:rFonts w:hint="eastAsia" w:ascii="仿宋" w:hAnsi="仿宋" w:eastAsia="仿宋" w:cs="仿宋"/>
          <w:color w:val="auto"/>
          <w:sz w:val="21"/>
          <w:szCs w:val="21"/>
          <w:u w:val="single"/>
        </w:rPr>
        <w:fldChar w:fldCharType="separate"/>
      </w:r>
      <w:r>
        <w:rPr>
          <w:rFonts w:hint="eastAsia" w:ascii="仿宋" w:hAnsi="仿宋" w:eastAsia="仿宋" w:cs="仿宋"/>
          <w:color w:val="auto"/>
          <w:sz w:val="21"/>
          <w:szCs w:val="21"/>
          <w:u w:val="single"/>
        </w:rPr>
        <w:fldChar w:fldCharType="end"/>
      </w:r>
    </w:p>
    <w:p w14:paraId="43032C55">
      <w:pPr>
        <w:pageBreakBefore w:val="0"/>
        <w:widowControl/>
        <w:kinsoku/>
        <w:bidi w:val="0"/>
        <w:spacing w:beforeAutospacing="0" w:afterAutospacing="0" w:line="360" w:lineRule="auto"/>
        <w:jc w:val="left"/>
        <w:rPr>
          <w:rFonts w:hint="eastAsia" w:ascii="仿宋" w:hAnsi="仿宋" w:eastAsia="仿宋" w:cs="仿宋"/>
          <w:b/>
          <w:color w:val="auto"/>
          <w:kern w:val="0"/>
          <w:szCs w:val="21"/>
        </w:rPr>
      </w:pPr>
      <w:r>
        <w:rPr>
          <w:rFonts w:hint="eastAsia" w:ascii="仿宋" w:hAnsi="仿宋" w:eastAsia="仿宋" w:cs="仿宋"/>
          <w:b/>
          <w:color w:val="auto"/>
          <w:szCs w:val="21"/>
        </w:rPr>
        <w:br w:type="page"/>
      </w:r>
    </w:p>
    <w:p w14:paraId="12006D3D">
      <w:pPr>
        <w:pStyle w:val="94"/>
        <w:pageBreakBefore w:val="0"/>
        <w:kinsoku/>
        <w:bidi w:val="0"/>
        <w:adjustRightInd w:val="0"/>
        <w:spacing w:before="0" w:beforeAutospacing="0" w:after="0" w:afterAutospacing="0" w:line="360" w:lineRule="auto"/>
        <w:ind w:left="561" w:leftChars="267" w:firstLine="141" w:firstLineChars="5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附录B 委托人派遣的人员和提供的房屋、资料、设备</w:t>
      </w:r>
    </w:p>
    <w:p w14:paraId="3C994C77">
      <w:pPr>
        <w:pStyle w:val="94"/>
        <w:pageBreakBefore w:val="0"/>
        <w:kinsoku/>
        <w:bidi w:val="0"/>
        <w:adjustRightInd w:val="0"/>
        <w:spacing w:before="0" w:beforeAutospacing="0" w:after="0" w:afterAutospacing="0" w:line="360" w:lineRule="auto"/>
        <w:ind w:firstLine="316" w:firstLineChars="150"/>
        <w:rPr>
          <w:rFonts w:hint="eastAsia" w:ascii="仿宋" w:hAnsi="仿宋" w:eastAsia="仿宋" w:cs="仿宋"/>
          <w:color w:val="auto"/>
          <w:sz w:val="21"/>
          <w:szCs w:val="21"/>
        </w:rPr>
      </w:pPr>
      <w:r>
        <w:rPr>
          <w:rFonts w:hint="eastAsia" w:ascii="仿宋" w:hAnsi="仿宋" w:eastAsia="仿宋" w:cs="仿宋"/>
          <w:b/>
          <w:color w:val="auto"/>
          <w:sz w:val="21"/>
          <w:szCs w:val="21"/>
        </w:rPr>
        <w:t>B-1</w:t>
      </w:r>
      <w:r>
        <w:rPr>
          <w:rFonts w:hint="eastAsia" w:ascii="仿宋" w:hAnsi="仿宋" w:eastAsia="仿宋" w:cs="仿宋"/>
          <w:color w:val="auto"/>
          <w:sz w:val="21"/>
          <w:szCs w:val="21"/>
        </w:rPr>
        <w:t>委托人派遣的人员</w:t>
      </w:r>
    </w:p>
    <w:tbl>
      <w:tblPr>
        <w:tblStyle w:val="37"/>
        <w:tblW w:w="7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738"/>
        <w:gridCol w:w="1853"/>
        <w:gridCol w:w="1654"/>
      </w:tblGrid>
      <w:tr w14:paraId="70CA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7" w:type="dxa"/>
            <w:vAlign w:val="center"/>
          </w:tcPr>
          <w:p w14:paraId="5C4D73A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1738" w:type="dxa"/>
            <w:vAlign w:val="center"/>
          </w:tcPr>
          <w:p w14:paraId="34069C75">
            <w:pPr>
              <w:pStyle w:val="94"/>
              <w:pageBreakBefore w:val="0"/>
              <w:kinsoku/>
              <w:bidi w:val="0"/>
              <w:adjustRightInd w:val="0"/>
              <w:spacing w:before="0" w:beforeAutospacing="0" w:after="0" w:afterAutospacing="0" w:line="360" w:lineRule="auto"/>
              <w:ind w:firstLine="420" w:firstLineChars="200"/>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853" w:type="dxa"/>
            <w:vAlign w:val="center"/>
          </w:tcPr>
          <w:p w14:paraId="01D3FFE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工作要求</w:t>
            </w:r>
          </w:p>
        </w:tc>
        <w:tc>
          <w:tcPr>
            <w:tcW w:w="1654" w:type="dxa"/>
            <w:vAlign w:val="center"/>
          </w:tcPr>
          <w:p w14:paraId="75D47C12">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提供时间</w:t>
            </w:r>
          </w:p>
        </w:tc>
      </w:tr>
      <w:tr w14:paraId="5F1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7" w:type="dxa"/>
            <w:vAlign w:val="center"/>
          </w:tcPr>
          <w:p w14:paraId="57BF380F">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1.工程技术人员</w:t>
            </w:r>
          </w:p>
        </w:tc>
        <w:tc>
          <w:tcPr>
            <w:tcW w:w="1738" w:type="dxa"/>
            <w:vAlign w:val="center"/>
          </w:tcPr>
          <w:p w14:paraId="4EC6A64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853" w:type="dxa"/>
            <w:vAlign w:val="center"/>
          </w:tcPr>
          <w:p w14:paraId="3AB3B2A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54" w:type="dxa"/>
            <w:vAlign w:val="center"/>
          </w:tcPr>
          <w:p w14:paraId="65A62AA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015D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7" w:type="dxa"/>
            <w:vAlign w:val="center"/>
          </w:tcPr>
          <w:p w14:paraId="752E1EAE">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2.辅助工作人员</w:t>
            </w:r>
          </w:p>
        </w:tc>
        <w:tc>
          <w:tcPr>
            <w:tcW w:w="1738" w:type="dxa"/>
            <w:vAlign w:val="center"/>
          </w:tcPr>
          <w:p w14:paraId="106489AC">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853" w:type="dxa"/>
            <w:vAlign w:val="center"/>
          </w:tcPr>
          <w:p w14:paraId="2D775EA7">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54" w:type="dxa"/>
            <w:vAlign w:val="center"/>
          </w:tcPr>
          <w:p w14:paraId="614B985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7C90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7" w:type="dxa"/>
            <w:vAlign w:val="center"/>
          </w:tcPr>
          <w:p w14:paraId="03BA7939">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3.其他人员</w:t>
            </w:r>
          </w:p>
        </w:tc>
        <w:tc>
          <w:tcPr>
            <w:tcW w:w="1738" w:type="dxa"/>
            <w:vAlign w:val="center"/>
          </w:tcPr>
          <w:p w14:paraId="312E929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853" w:type="dxa"/>
            <w:vAlign w:val="center"/>
          </w:tcPr>
          <w:p w14:paraId="7A3C8E7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54" w:type="dxa"/>
            <w:vAlign w:val="center"/>
          </w:tcPr>
          <w:p w14:paraId="3621072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6A94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7" w:type="dxa"/>
            <w:vAlign w:val="center"/>
          </w:tcPr>
          <w:p w14:paraId="3B531A3D">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tc>
        <w:tc>
          <w:tcPr>
            <w:tcW w:w="1738" w:type="dxa"/>
            <w:vAlign w:val="center"/>
          </w:tcPr>
          <w:p w14:paraId="7DAA9CE6">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853" w:type="dxa"/>
            <w:vAlign w:val="center"/>
          </w:tcPr>
          <w:p w14:paraId="5C796047">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654" w:type="dxa"/>
            <w:vAlign w:val="center"/>
          </w:tcPr>
          <w:p w14:paraId="3FB53CF0">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bl>
    <w:p w14:paraId="656FF985">
      <w:pPr>
        <w:pageBreakBefore w:val="0"/>
        <w:widowControl/>
        <w:kinsoku/>
        <w:bidi w:val="0"/>
        <w:adjustRightInd w:val="0"/>
        <w:spacing w:beforeAutospacing="0" w:afterAutospacing="0" w:line="360" w:lineRule="auto"/>
        <w:jc w:val="left"/>
        <w:rPr>
          <w:rFonts w:hint="eastAsia" w:ascii="仿宋" w:hAnsi="仿宋" w:eastAsia="仿宋" w:cs="仿宋"/>
          <w:b/>
          <w:color w:val="auto"/>
          <w:kern w:val="0"/>
          <w:szCs w:val="21"/>
        </w:rPr>
      </w:pPr>
      <w:r>
        <w:rPr>
          <w:rFonts w:hint="eastAsia" w:ascii="仿宋" w:hAnsi="仿宋" w:eastAsia="仿宋" w:cs="仿宋"/>
          <w:b/>
          <w:color w:val="auto"/>
          <w:szCs w:val="21"/>
        </w:rPr>
        <w:br w:type="page"/>
      </w:r>
    </w:p>
    <w:p w14:paraId="7C695D91">
      <w:pPr>
        <w:pStyle w:val="94"/>
        <w:pageBreakBefore w:val="0"/>
        <w:kinsoku/>
        <w:bidi w:val="0"/>
        <w:adjustRightInd w:val="0"/>
        <w:spacing w:before="0" w:beforeAutospacing="0" w:after="0" w:afterAutospacing="0" w:line="360" w:lineRule="auto"/>
        <w:ind w:firstLine="211" w:firstLineChars="100"/>
        <w:rPr>
          <w:rFonts w:hint="eastAsia" w:ascii="仿宋" w:hAnsi="仿宋" w:eastAsia="仿宋" w:cs="仿宋"/>
          <w:color w:val="auto"/>
          <w:sz w:val="21"/>
          <w:szCs w:val="21"/>
        </w:rPr>
      </w:pPr>
      <w:r>
        <w:rPr>
          <w:rFonts w:hint="eastAsia" w:ascii="仿宋" w:hAnsi="仿宋" w:eastAsia="仿宋" w:cs="仿宋"/>
          <w:b/>
          <w:color w:val="auto"/>
          <w:sz w:val="21"/>
          <w:szCs w:val="21"/>
        </w:rPr>
        <w:t>B-2</w:t>
      </w:r>
      <w:r>
        <w:rPr>
          <w:rFonts w:hint="eastAsia" w:ascii="仿宋" w:hAnsi="仿宋" w:eastAsia="仿宋" w:cs="仿宋"/>
          <w:color w:val="auto"/>
          <w:sz w:val="21"/>
          <w:szCs w:val="21"/>
        </w:rPr>
        <w:t>委托人提供的房屋</w:t>
      </w:r>
    </w:p>
    <w:tbl>
      <w:tblPr>
        <w:tblStyle w:val="37"/>
        <w:tblW w:w="7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1451"/>
        <w:gridCol w:w="1496"/>
        <w:gridCol w:w="1991"/>
      </w:tblGrid>
      <w:tr w14:paraId="5275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6" w:type="dxa"/>
            <w:vAlign w:val="center"/>
          </w:tcPr>
          <w:p w14:paraId="28EF3F73">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1451" w:type="dxa"/>
            <w:vAlign w:val="center"/>
          </w:tcPr>
          <w:p w14:paraId="37015B43">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96" w:type="dxa"/>
            <w:vAlign w:val="center"/>
          </w:tcPr>
          <w:p w14:paraId="61DCF32D">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面积</w:t>
            </w:r>
          </w:p>
        </w:tc>
        <w:tc>
          <w:tcPr>
            <w:tcW w:w="1991" w:type="dxa"/>
            <w:vAlign w:val="center"/>
          </w:tcPr>
          <w:p w14:paraId="2EA20B3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提供时间</w:t>
            </w:r>
          </w:p>
        </w:tc>
      </w:tr>
      <w:tr w14:paraId="30CC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6" w:type="dxa"/>
            <w:vAlign w:val="center"/>
          </w:tcPr>
          <w:p w14:paraId="76E54F82">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1.办公用房</w:t>
            </w:r>
          </w:p>
        </w:tc>
        <w:tc>
          <w:tcPr>
            <w:tcW w:w="1451" w:type="dxa"/>
            <w:vAlign w:val="center"/>
          </w:tcPr>
          <w:p w14:paraId="29C2A5B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496" w:type="dxa"/>
            <w:vAlign w:val="center"/>
          </w:tcPr>
          <w:p w14:paraId="0369B71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91" w:type="dxa"/>
            <w:vAlign w:val="center"/>
          </w:tcPr>
          <w:p w14:paraId="334E48B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2BF0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6" w:type="dxa"/>
            <w:vAlign w:val="center"/>
          </w:tcPr>
          <w:p w14:paraId="183D8B02">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2.生活用房</w:t>
            </w:r>
          </w:p>
        </w:tc>
        <w:tc>
          <w:tcPr>
            <w:tcW w:w="1451" w:type="dxa"/>
            <w:vAlign w:val="center"/>
          </w:tcPr>
          <w:p w14:paraId="00C82404">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496" w:type="dxa"/>
            <w:vAlign w:val="center"/>
          </w:tcPr>
          <w:p w14:paraId="176BEDC2">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91" w:type="dxa"/>
            <w:vAlign w:val="center"/>
          </w:tcPr>
          <w:p w14:paraId="735E3634">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526D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6" w:type="dxa"/>
            <w:vAlign w:val="center"/>
          </w:tcPr>
          <w:p w14:paraId="593C1966">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3.试验用房</w:t>
            </w:r>
          </w:p>
        </w:tc>
        <w:tc>
          <w:tcPr>
            <w:tcW w:w="1451" w:type="dxa"/>
            <w:vAlign w:val="center"/>
          </w:tcPr>
          <w:p w14:paraId="45A1928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496" w:type="dxa"/>
            <w:vAlign w:val="center"/>
          </w:tcPr>
          <w:p w14:paraId="7DED3A1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91" w:type="dxa"/>
            <w:vAlign w:val="center"/>
          </w:tcPr>
          <w:p w14:paraId="5A1F5A53">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6128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6" w:type="dxa"/>
            <w:vAlign w:val="center"/>
          </w:tcPr>
          <w:p w14:paraId="5213D5F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4.样品用房</w:t>
            </w:r>
          </w:p>
        </w:tc>
        <w:tc>
          <w:tcPr>
            <w:tcW w:w="1451" w:type="dxa"/>
            <w:vAlign w:val="center"/>
          </w:tcPr>
          <w:p w14:paraId="7F960757">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496" w:type="dxa"/>
            <w:vAlign w:val="center"/>
          </w:tcPr>
          <w:p w14:paraId="0A3C5E6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91" w:type="dxa"/>
            <w:vAlign w:val="center"/>
          </w:tcPr>
          <w:p w14:paraId="4F3B6FCD">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111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16" w:type="dxa"/>
            <w:vAlign w:val="center"/>
          </w:tcPr>
          <w:p w14:paraId="56480F6D">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tc>
        <w:tc>
          <w:tcPr>
            <w:tcW w:w="1451" w:type="dxa"/>
            <w:vAlign w:val="center"/>
          </w:tcPr>
          <w:p w14:paraId="09DA64B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496" w:type="dxa"/>
            <w:vAlign w:val="center"/>
          </w:tcPr>
          <w:p w14:paraId="4BDFE090">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91" w:type="dxa"/>
            <w:vAlign w:val="center"/>
          </w:tcPr>
          <w:p w14:paraId="7218E5E4">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5E9E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6" w:type="dxa"/>
            <w:vAlign w:val="center"/>
          </w:tcPr>
          <w:p w14:paraId="60B525AD">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用餐及其他生活条件</w:t>
            </w:r>
          </w:p>
        </w:tc>
        <w:tc>
          <w:tcPr>
            <w:tcW w:w="1451" w:type="dxa"/>
            <w:vAlign w:val="center"/>
          </w:tcPr>
          <w:p w14:paraId="412DDE5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496" w:type="dxa"/>
            <w:vAlign w:val="center"/>
          </w:tcPr>
          <w:p w14:paraId="157A2F1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991" w:type="dxa"/>
            <w:vAlign w:val="center"/>
          </w:tcPr>
          <w:p w14:paraId="2CD39A7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bl>
    <w:p w14:paraId="18C4B3FB">
      <w:pPr>
        <w:pageBreakBefore w:val="0"/>
        <w:widowControl/>
        <w:kinsoku/>
        <w:bidi w:val="0"/>
        <w:adjustRightInd w:val="0"/>
        <w:spacing w:beforeAutospacing="0" w:afterAutospacing="0" w:line="360" w:lineRule="auto"/>
        <w:jc w:val="left"/>
        <w:rPr>
          <w:rFonts w:hint="eastAsia" w:ascii="仿宋" w:hAnsi="仿宋" w:eastAsia="仿宋" w:cs="仿宋"/>
          <w:b/>
          <w:color w:val="auto"/>
          <w:kern w:val="0"/>
          <w:szCs w:val="21"/>
        </w:rPr>
      </w:pPr>
      <w:r>
        <w:rPr>
          <w:rFonts w:hint="eastAsia" w:ascii="仿宋" w:hAnsi="仿宋" w:eastAsia="仿宋" w:cs="仿宋"/>
          <w:b/>
          <w:color w:val="auto"/>
          <w:szCs w:val="21"/>
        </w:rPr>
        <w:br w:type="page"/>
      </w:r>
    </w:p>
    <w:p w14:paraId="558EA9F9">
      <w:pPr>
        <w:pStyle w:val="94"/>
        <w:pageBreakBefore w:val="0"/>
        <w:kinsoku/>
        <w:bidi w:val="0"/>
        <w:adjustRightInd w:val="0"/>
        <w:spacing w:before="0" w:beforeAutospacing="0" w:after="0" w:afterAutospacing="0" w:line="360" w:lineRule="auto"/>
        <w:ind w:firstLine="211" w:firstLineChars="100"/>
        <w:rPr>
          <w:rFonts w:hint="eastAsia" w:ascii="仿宋" w:hAnsi="仿宋" w:eastAsia="仿宋" w:cs="仿宋"/>
          <w:color w:val="auto"/>
          <w:sz w:val="21"/>
          <w:szCs w:val="21"/>
        </w:rPr>
      </w:pPr>
      <w:r>
        <w:rPr>
          <w:rFonts w:hint="eastAsia" w:ascii="仿宋" w:hAnsi="仿宋" w:eastAsia="仿宋" w:cs="仿宋"/>
          <w:b/>
          <w:color w:val="auto"/>
          <w:sz w:val="21"/>
          <w:szCs w:val="21"/>
        </w:rPr>
        <w:t>B-3</w:t>
      </w:r>
      <w:r>
        <w:rPr>
          <w:rFonts w:hint="eastAsia" w:ascii="仿宋" w:hAnsi="仿宋" w:eastAsia="仿宋" w:cs="仿宋"/>
          <w:color w:val="auto"/>
          <w:sz w:val="21"/>
          <w:szCs w:val="21"/>
        </w:rPr>
        <w:t>委托人提供的资料</w:t>
      </w:r>
    </w:p>
    <w:tbl>
      <w:tblPr>
        <w:tblStyle w:val="37"/>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1275"/>
        <w:gridCol w:w="1556"/>
        <w:gridCol w:w="1705"/>
      </w:tblGrid>
      <w:tr w14:paraId="18CC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5" w:type="dxa"/>
            <w:vAlign w:val="center"/>
          </w:tcPr>
          <w:p w14:paraId="1EB6C1C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1275" w:type="dxa"/>
            <w:vAlign w:val="center"/>
          </w:tcPr>
          <w:p w14:paraId="0CB64FF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份数</w:t>
            </w:r>
          </w:p>
        </w:tc>
        <w:tc>
          <w:tcPr>
            <w:tcW w:w="1556" w:type="dxa"/>
            <w:vAlign w:val="center"/>
          </w:tcPr>
          <w:p w14:paraId="436A6BFB">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提供时间</w:t>
            </w:r>
          </w:p>
        </w:tc>
        <w:tc>
          <w:tcPr>
            <w:tcW w:w="1705" w:type="dxa"/>
            <w:vAlign w:val="center"/>
          </w:tcPr>
          <w:p w14:paraId="6E37DCC0">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1445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5" w:type="dxa"/>
            <w:vAlign w:val="center"/>
          </w:tcPr>
          <w:p w14:paraId="668FBBD0">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1.工程立项文件</w:t>
            </w:r>
          </w:p>
        </w:tc>
        <w:tc>
          <w:tcPr>
            <w:tcW w:w="1275" w:type="dxa"/>
            <w:vAlign w:val="center"/>
          </w:tcPr>
          <w:p w14:paraId="25BEBC7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556" w:type="dxa"/>
            <w:vAlign w:val="center"/>
          </w:tcPr>
          <w:p w14:paraId="20FE88E7">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705" w:type="dxa"/>
            <w:vAlign w:val="center"/>
          </w:tcPr>
          <w:p w14:paraId="4612446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4CC6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5" w:type="dxa"/>
            <w:vAlign w:val="center"/>
          </w:tcPr>
          <w:p w14:paraId="19227B6D">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2.工程勘察文件</w:t>
            </w:r>
          </w:p>
        </w:tc>
        <w:tc>
          <w:tcPr>
            <w:tcW w:w="1275" w:type="dxa"/>
            <w:vAlign w:val="center"/>
          </w:tcPr>
          <w:p w14:paraId="0D29D9C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556" w:type="dxa"/>
            <w:vAlign w:val="center"/>
          </w:tcPr>
          <w:p w14:paraId="336F4A87">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705" w:type="dxa"/>
            <w:vAlign w:val="center"/>
          </w:tcPr>
          <w:p w14:paraId="75EB9EC6">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317E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5" w:type="dxa"/>
            <w:vAlign w:val="center"/>
          </w:tcPr>
          <w:p w14:paraId="3DCF7F95">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3.工程设计及施工图纸</w:t>
            </w:r>
          </w:p>
        </w:tc>
        <w:tc>
          <w:tcPr>
            <w:tcW w:w="1275" w:type="dxa"/>
            <w:vAlign w:val="center"/>
          </w:tcPr>
          <w:p w14:paraId="208B4EE4">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556" w:type="dxa"/>
            <w:vAlign w:val="center"/>
          </w:tcPr>
          <w:p w14:paraId="510A2B23">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705" w:type="dxa"/>
            <w:vAlign w:val="center"/>
          </w:tcPr>
          <w:p w14:paraId="105C8232">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790D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5" w:type="dxa"/>
            <w:vAlign w:val="center"/>
          </w:tcPr>
          <w:p w14:paraId="6EDB9C08">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4.工程承包合同及其他相关合同</w:t>
            </w:r>
          </w:p>
        </w:tc>
        <w:tc>
          <w:tcPr>
            <w:tcW w:w="1275" w:type="dxa"/>
            <w:vAlign w:val="center"/>
          </w:tcPr>
          <w:p w14:paraId="32609E0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556" w:type="dxa"/>
            <w:vAlign w:val="center"/>
          </w:tcPr>
          <w:p w14:paraId="7B15FB4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705" w:type="dxa"/>
            <w:vAlign w:val="center"/>
          </w:tcPr>
          <w:p w14:paraId="1006ABA8">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1446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5" w:type="dxa"/>
            <w:vAlign w:val="center"/>
          </w:tcPr>
          <w:p w14:paraId="3EB52871">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5.施工许可文件</w:t>
            </w:r>
          </w:p>
        </w:tc>
        <w:tc>
          <w:tcPr>
            <w:tcW w:w="1275" w:type="dxa"/>
            <w:vAlign w:val="center"/>
          </w:tcPr>
          <w:p w14:paraId="4849AD6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556" w:type="dxa"/>
            <w:vAlign w:val="center"/>
          </w:tcPr>
          <w:p w14:paraId="0738931C">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705" w:type="dxa"/>
            <w:vAlign w:val="center"/>
          </w:tcPr>
          <w:p w14:paraId="392E222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0E43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5" w:type="dxa"/>
            <w:vAlign w:val="center"/>
          </w:tcPr>
          <w:p w14:paraId="66939F2F">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6.其他文件</w:t>
            </w:r>
          </w:p>
        </w:tc>
        <w:tc>
          <w:tcPr>
            <w:tcW w:w="1275" w:type="dxa"/>
            <w:vAlign w:val="center"/>
          </w:tcPr>
          <w:p w14:paraId="0DB91426">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556" w:type="dxa"/>
            <w:vAlign w:val="center"/>
          </w:tcPr>
          <w:p w14:paraId="0C0748F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705" w:type="dxa"/>
            <w:vAlign w:val="center"/>
          </w:tcPr>
          <w:p w14:paraId="641687B3">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311D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75" w:type="dxa"/>
            <w:vAlign w:val="center"/>
          </w:tcPr>
          <w:p w14:paraId="1138A4C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tc>
        <w:tc>
          <w:tcPr>
            <w:tcW w:w="1275" w:type="dxa"/>
            <w:vAlign w:val="center"/>
          </w:tcPr>
          <w:p w14:paraId="0E236322">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556" w:type="dxa"/>
            <w:vAlign w:val="center"/>
          </w:tcPr>
          <w:p w14:paraId="13DFE2B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1705" w:type="dxa"/>
            <w:vAlign w:val="center"/>
          </w:tcPr>
          <w:p w14:paraId="34835763">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bl>
    <w:p w14:paraId="673E5A68">
      <w:pPr>
        <w:pageBreakBefore w:val="0"/>
        <w:widowControl/>
        <w:kinsoku/>
        <w:bidi w:val="0"/>
        <w:adjustRightInd w:val="0"/>
        <w:spacing w:beforeAutospacing="0" w:afterAutospacing="0" w:line="360" w:lineRule="auto"/>
        <w:jc w:val="left"/>
        <w:rPr>
          <w:rFonts w:hint="eastAsia" w:ascii="仿宋" w:hAnsi="仿宋" w:eastAsia="仿宋" w:cs="仿宋"/>
          <w:b/>
          <w:color w:val="auto"/>
          <w:kern w:val="0"/>
          <w:szCs w:val="21"/>
        </w:rPr>
      </w:pPr>
      <w:r>
        <w:rPr>
          <w:rFonts w:hint="eastAsia" w:ascii="仿宋" w:hAnsi="仿宋" w:eastAsia="仿宋" w:cs="仿宋"/>
          <w:b/>
          <w:color w:val="auto"/>
          <w:szCs w:val="21"/>
        </w:rPr>
        <w:br w:type="page"/>
      </w:r>
    </w:p>
    <w:p w14:paraId="640A7DE0">
      <w:pPr>
        <w:pStyle w:val="94"/>
        <w:pageBreakBefore w:val="0"/>
        <w:kinsoku/>
        <w:bidi w:val="0"/>
        <w:adjustRightInd w:val="0"/>
        <w:spacing w:before="0" w:beforeAutospacing="0" w:after="0" w:afterAutospacing="0" w:line="360" w:lineRule="auto"/>
        <w:ind w:firstLine="211" w:firstLineChars="100"/>
        <w:rPr>
          <w:rFonts w:hint="eastAsia" w:ascii="仿宋" w:hAnsi="仿宋" w:eastAsia="仿宋" w:cs="仿宋"/>
          <w:color w:val="auto"/>
          <w:sz w:val="21"/>
          <w:szCs w:val="21"/>
        </w:rPr>
      </w:pPr>
      <w:r>
        <w:rPr>
          <w:rFonts w:hint="eastAsia" w:ascii="仿宋" w:hAnsi="仿宋" w:eastAsia="仿宋" w:cs="仿宋"/>
          <w:b/>
          <w:color w:val="auto"/>
          <w:sz w:val="21"/>
          <w:szCs w:val="21"/>
        </w:rPr>
        <w:t>B-4</w:t>
      </w:r>
      <w:r>
        <w:rPr>
          <w:rFonts w:hint="eastAsia" w:ascii="仿宋" w:hAnsi="仿宋" w:eastAsia="仿宋" w:cs="仿宋"/>
          <w:color w:val="auto"/>
          <w:sz w:val="21"/>
          <w:szCs w:val="21"/>
        </w:rPr>
        <w:t>委托人提供的设备</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B03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14:paraId="7993CA8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2130" w:type="dxa"/>
            <w:vAlign w:val="center"/>
          </w:tcPr>
          <w:p w14:paraId="2C4BA01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2131" w:type="dxa"/>
            <w:vAlign w:val="center"/>
          </w:tcPr>
          <w:p w14:paraId="55F0ED7D">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型号与规格</w:t>
            </w:r>
          </w:p>
        </w:tc>
        <w:tc>
          <w:tcPr>
            <w:tcW w:w="2131" w:type="dxa"/>
            <w:vAlign w:val="center"/>
          </w:tcPr>
          <w:p w14:paraId="64886D3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提供时间</w:t>
            </w:r>
          </w:p>
        </w:tc>
      </w:tr>
      <w:tr w14:paraId="36BA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14:paraId="2FA23E1D">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1.通讯设备</w:t>
            </w:r>
          </w:p>
        </w:tc>
        <w:tc>
          <w:tcPr>
            <w:tcW w:w="2130" w:type="dxa"/>
            <w:vAlign w:val="center"/>
          </w:tcPr>
          <w:p w14:paraId="76CEB957">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66D15658">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0552329A">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3143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14:paraId="07FD44B9">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2.办公设备</w:t>
            </w:r>
          </w:p>
        </w:tc>
        <w:tc>
          <w:tcPr>
            <w:tcW w:w="2130" w:type="dxa"/>
            <w:vAlign w:val="center"/>
          </w:tcPr>
          <w:p w14:paraId="1AC459A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0FB42518">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5992CB4C">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02F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14:paraId="22BD02D0">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3.交通工具</w:t>
            </w:r>
          </w:p>
        </w:tc>
        <w:tc>
          <w:tcPr>
            <w:tcW w:w="2130" w:type="dxa"/>
            <w:vAlign w:val="center"/>
          </w:tcPr>
          <w:p w14:paraId="583C26AF">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7694604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2B671E25">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639F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14:paraId="1B3B61F2">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4.检测和试验设备</w:t>
            </w:r>
          </w:p>
        </w:tc>
        <w:tc>
          <w:tcPr>
            <w:tcW w:w="2130" w:type="dxa"/>
            <w:vAlign w:val="center"/>
          </w:tcPr>
          <w:p w14:paraId="6BB9A932">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181A2686">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273E4C89">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r w14:paraId="7453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14:paraId="0C50C77B">
            <w:pPr>
              <w:pStyle w:val="94"/>
              <w:pageBreakBefore w:val="0"/>
              <w:kinsoku/>
              <w:bidi w:val="0"/>
              <w:adjustRightInd w:val="0"/>
              <w:spacing w:before="0" w:beforeAutospacing="0" w:after="0" w:afterAutospacing="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tc>
        <w:tc>
          <w:tcPr>
            <w:tcW w:w="2130" w:type="dxa"/>
            <w:vAlign w:val="center"/>
          </w:tcPr>
          <w:p w14:paraId="2E4416D1">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5D40636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c>
          <w:tcPr>
            <w:tcW w:w="2131" w:type="dxa"/>
            <w:vAlign w:val="center"/>
          </w:tcPr>
          <w:p w14:paraId="6ACC223E">
            <w:pPr>
              <w:pStyle w:val="94"/>
              <w:pageBreakBefore w:val="0"/>
              <w:kinsoku/>
              <w:bidi w:val="0"/>
              <w:adjustRightInd w:val="0"/>
              <w:spacing w:before="0" w:beforeAutospacing="0" w:after="0" w:afterAutospacing="0" w:line="360" w:lineRule="auto"/>
              <w:jc w:val="center"/>
              <w:rPr>
                <w:rFonts w:hint="eastAsia" w:ascii="仿宋" w:hAnsi="仿宋" w:eastAsia="仿宋" w:cs="仿宋"/>
                <w:color w:val="auto"/>
                <w:sz w:val="21"/>
                <w:szCs w:val="21"/>
              </w:rPr>
            </w:pPr>
          </w:p>
        </w:tc>
      </w:tr>
    </w:tbl>
    <w:p w14:paraId="3AD666DA">
      <w:pPr>
        <w:pageBreakBefore w:val="0"/>
        <w:kinsoku/>
        <w:bidi w:val="0"/>
        <w:spacing w:beforeAutospacing="0" w:afterAutospacing="0" w:line="360" w:lineRule="auto"/>
        <w:jc w:val="left"/>
        <w:rPr>
          <w:rFonts w:hint="eastAsia" w:ascii="仿宋" w:hAnsi="仿宋" w:eastAsia="仿宋" w:cs="仿宋"/>
          <w:color w:val="auto"/>
          <w:sz w:val="23"/>
          <w:szCs w:val="23"/>
        </w:rPr>
      </w:pPr>
      <w:r>
        <w:rPr>
          <w:rFonts w:hint="eastAsia" w:ascii="仿宋" w:hAnsi="仿宋" w:eastAsia="仿宋" w:cs="仿宋"/>
          <w:color w:val="auto"/>
          <w:sz w:val="23"/>
          <w:szCs w:val="23"/>
        </w:rPr>
        <w:br w:type="page"/>
      </w:r>
    </w:p>
    <w:p w14:paraId="707998CB">
      <w:pPr>
        <w:pStyle w:val="66"/>
        <w:pageBreakBefore w:val="0"/>
        <w:kinsoku/>
        <w:bidi w:val="0"/>
        <w:adjustRightInd/>
        <w:spacing w:before="0" w:beforeAutospacing="0" w:after="0" w:afterAutospacing="0" w:line="360" w:lineRule="auto"/>
        <w:ind w:left="0" w:leftChars="0" w:firstLine="0" w:firstLineChars="0"/>
        <w:jc w:val="center"/>
        <w:textAlignment w:val="auto"/>
        <w:rPr>
          <w:rStyle w:val="51"/>
          <w:rFonts w:hint="eastAsia" w:ascii="仿宋" w:hAnsi="仿宋" w:eastAsia="仿宋" w:cs="仿宋"/>
          <w:b/>
          <w:bCs/>
          <w:color w:val="auto"/>
          <w:sz w:val="30"/>
          <w:szCs w:val="30"/>
          <w:lang w:val="en-US" w:eastAsia="zh-CN"/>
        </w:rPr>
      </w:pPr>
      <w:bookmarkStart w:id="139" w:name="_Toc25450"/>
      <w:r>
        <w:rPr>
          <w:rStyle w:val="51"/>
          <w:rFonts w:hint="eastAsia" w:ascii="仿宋" w:hAnsi="仿宋" w:eastAsia="仿宋" w:cs="仿宋"/>
          <w:b/>
          <w:bCs/>
          <w:color w:val="auto"/>
          <w:sz w:val="30"/>
          <w:szCs w:val="30"/>
          <w:lang w:val="en-US" w:eastAsia="zh-CN"/>
        </w:rPr>
        <w:t>第七部分  响应文件内容要求及格式</w:t>
      </w:r>
      <w:bookmarkEnd w:id="133"/>
      <w:bookmarkEnd w:id="134"/>
      <w:bookmarkEnd w:id="135"/>
      <w:bookmarkEnd w:id="136"/>
      <w:bookmarkEnd w:id="139"/>
    </w:p>
    <w:p w14:paraId="1E31C13A">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bookmarkStart w:id="140" w:name="_Toc5304"/>
      <w:r>
        <w:rPr>
          <w:rFonts w:hint="eastAsia" w:ascii="仿宋" w:hAnsi="仿宋" w:eastAsia="仿宋" w:cs="仿宋"/>
          <w:color w:val="auto"/>
          <w:sz w:val="22"/>
          <w:szCs w:val="22"/>
          <w:lang w:val="en-US" w:eastAsia="zh-CN"/>
        </w:rPr>
        <w:t>磋商供应商提交响应文件须知</w:t>
      </w:r>
      <w:bookmarkEnd w:id="140"/>
    </w:p>
    <w:p w14:paraId="1CB2EA6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1、磋商供应商按照本部分的顺序编排响应文件（资格证明文件、商务技术文件），编排中涉及格式资料的，应按照本部分提供的内容和格式（所有表格的格式可扩展）填写提交。</w:t>
      </w:r>
    </w:p>
    <w:p w14:paraId="45C98FE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2、全部声明和问题的回答及所附材料必须是真实的、准确的和完整的。</w:t>
      </w:r>
    </w:p>
    <w:p w14:paraId="495E99B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60" w:lineRule="auto"/>
        <w:ind w:firstLine="440" w:firstLineChars="20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3、按磋商文件要求“格式”提供的材料，如有调整，内容及签署必须完整、有效，且没有本文件不可接受的条件。</w:t>
      </w:r>
    </w:p>
    <w:p w14:paraId="3B63B07E">
      <w:pPr>
        <w:pageBreakBefore w:val="0"/>
        <w:kinsoku/>
        <w:bidi w:val="0"/>
        <w:spacing w:beforeAutospacing="0" w:afterAutospacing="0" w:line="360" w:lineRule="auto"/>
        <w:jc w:val="left"/>
        <w:outlineLvl w:val="1"/>
        <w:rPr>
          <w:rFonts w:hint="eastAsia" w:ascii="仿宋" w:hAnsi="仿宋" w:eastAsia="仿宋" w:cs="仿宋"/>
          <w:b/>
          <w:color w:val="auto"/>
          <w:sz w:val="24"/>
          <w:lang w:val="en-US" w:eastAsia="zh-CN"/>
        </w:rPr>
      </w:pPr>
      <w:r>
        <w:rPr>
          <w:rFonts w:hint="eastAsia" w:ascii="仿宋" w:hAnsi="仿宋" w:eastAsia="仿宋" w:cs="仿宋"/>
          <w:color w:val="auto"/>
        </w:rPr>
        <w:br w:type="page"/>
      </w:r>
      <w:r>
        <w:rPr>
          <w:rFonts w:hint="eastAsia" w:ascii="仿宋" w:hAnsi="仿宋" w:eastAsia="仿宋" w:cs="仿宋"/>
          <w:b/>
          <w:color w:val="auto"/>
          <w:spacing w:val="20"/>
          <w:sz w:val="24"/>
        </w:rPr>
        <w:t>响应文件</w:t>
      </w:r>
      <w:r>
        <w:rPr>
          <w:rFonts w:hint="eastAsia" w:ascii="仿宋" w:hAnsi="仿宋" w:eastAsia="仿宋" w:cs="仿宋"/>
          <w:b/>
          <w:color w:val="auto"/>
          <w:sz w:val="24"/>
        </w:rPr>
        <w:t>封面及目录格式</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资格证明文件</w:t>
      </w:r>
      <w:r>
        <w:rPr>
          <w:rFonts w:hint="eastAsia" w:ascii="仿宋" w:hAnsi="仿宋" w:eastAsia="仿宋" w:cs="仿宋"/>
          <w:b/>
          <w:color w:val="auto"/>
          <w:sz w:val="24"/>
          <w:lang w:eastAsia="zh-CN"/>
        </w:rPr>
        <w:t>）</w:t>
      </w:r>
    </w:p>
    <w:p w14:paraId="728BDC00">
      <w:pPr>
        <w:pStyle w:val="70"/>
        <w:pageBreakBefore w:val="0"/>
        <w:kinsoku/>
        <w:bidi w:val="0"/>
        <w:snapToGrid w:val="0"/>
        <w:spacing w:beforeAutospacing="0" w:afterAutospacing="0" w:line="360" w:lineRule="auto"/>
        <w:ind w:firstLine="482" w:firstLineChars="200"/>
        <w:rPr>
          <w:rFonts w:hint="eastAsia" w:ascii="仿宋" w:hAnsi="仿宋" w:eastAsia="仿宋" w:cs="仿宋"/>
          <w:b/>
          <w:color w:val="auto"/>
          <w:sz w:val="24"/>
        </w:rPr>
      </w:pPr>
    </w:p>
    <w:p w14:paraId="4C3598A9">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2C536BBF">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2DBC7655">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27ADE47F">
      <w:pPr>
        <w:pageBreakBefore w:val="0"/>
        <w:kinsoku/>
        <w:bidi w:val="0"/>
        <w:spacing w:beforeAutospacing="0" w:afterAutospacing="0" w:line="360" w:lineRule="auto"/>
        <w:jc w:val="center"/>
        <w:outlineLvl w:val="9"/>
        <w:rPr>
          <w:rFonts w:hint="eastAsia" w:ascii="仿宋" w:hAnsi="仿宋" w:eastAsia="仿宋" w:cs="仿宋"/>
          <w:b/>
          <w:color w:val="auto"/>
          <w:spacing w:val="60"/>
          <w:sz w:val="84"/>
          <w:szCs w:val="84"/>
        </w:rPr>
      </w:pPr>
      <w:bookmarkStart w:id="141" w:name="_Toc2214"/>
      <w:bookmarkStart w:id="142" w:name="_Toc16293_WPSOffice_Level2"/>
      <w:r>
        <w:rPr>
          <w:rFonts w:hint="eastAsia" w:ascii="仿宋" w:hAnsi="仿宋" w:eastAsia="仿宋" w:cs="仿宋"/>
          <w:b/>
          <w:color w:val="auto"/>
          <w:spacing w:val="60"/>
          <w:sz w:val="84"/>
          <w:szCs w:val="84"/>
        </w:rPr>
        <w:t>响 应 文 件</w:t>
      </w:r>
      <w:bookmarkEnd w:id="141"/>
      <w:bookmarkEnd w:id="142"/>
    </w:p>
    <w:p w14:paraId="18137CF9">
      <w:pPr>
        <w:pageBreakBefore w:val="0"/>
        <w:kinsoku/>
        <w:bidi w:val="0"/>
        <w:spacing w:beforeAutospacing="0" w:afterAutospacing="0" w:line="360" w:lineRule="auto"/>
        <w:ind w:left="0" w:leftChars="0" w:firstLine="0" w:firstLineChars="0"/>
        <w:jc w:val="center"/>
        <w:rPr>
          <w:rFonts w:hint="eastAsia" w:ascii="仿宋" w:hAnsi="仿宋" w:eastAsia="仿宋" w:cs="仿宋"/>
          <w:b/>
          <w:color w:val="auto"/>
          <w:spacing w:val="20"/>
          <w:sz w:val="52"/>
          <w:szCs w:val="52"/>
        </w:rPr>
      </w:pPr>
      <w:r>
        <w:rPr>
          <w:rFonts w:hint="eastAsia" w:ascii="仿宋" w:hAnsi="仿宋" w:eastAsia="仿宋" w:cs="仿宋"/>
          <w:b/>
          <w:color w:val="auto"/>
          <w:spacing w:val="20"/>
          <w:sz w:val="52"/>
          <w:szCs w:val="52"/>
        </w:rPr>
        <w:t>（资格证明文件）</w:t>
      </w:r>
    </w:p>
    <w:p w14:paraId="28E444F1">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06F85F8C">
      <w:pPr>
        <w:pageBreakBefore w:val="0"/>
        <w:kinsoku/>
        <w:bidi w:val="0"/>
        <w:spacing w:beforeAutospacing="0" w:afterAutospacing="0" w:line="360" w:lineRule="auto"/>
        <w:ind w:firstLine="903" w:firstLineChars="250"/>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项目名称:</w:t>
      </w:r>
    </w:p>
    <w:p w14:paraId="4C7E3C1B">
      <w:pPr>
        <w:pageBreakBefore w:val="0"/>
        <w:kinsoku/>
        <w:bidi w:val="0"/>
        <w:spacing w:beforeAutospacing="0" w:afterAutospacing="0" w:line="360" w:lineRule="auto"/>
        <w:ind w:firstLine="903" w:firstLineChars="250"/>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项目编号：</w:t>
      </w:r>
    </w:p>
    <w:p w14:paraId="5F2B793B">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4BE6BBC2">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41A4C203">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12C384BE">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5C0F91A1">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7AEA70EF">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67EDFB88">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11ED78F2">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43E69228">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668B8EA7">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306A59FA">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16B0A920">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75D61751">
      <w:pPr>
        <w:pStyle w:val="23"/>
        <w:pageBreakBefore w:val="0"/>
        <w:kinsoku/>
        <w:bidi w:val="0"/>
        <w:snapToGrid w:val="0"/>
        <w:spacing w:beforeAutospacing="0" w:afterAutospacing="0" w:line="360" w:lineRule="auto"/>
        <w:ind w:firstLine="525" w:firstLineChars="250"/>
        <w:rPr>
          <w:rFonts w:hint="eastAsia" w:ascii="仿宋" w:hAnsi="仿宋" w:eastAsia="仿宋" w:cs="仿宋"/>
          <w:color w:val="auto"/>
          <w:kern w:val="0"/>
        </w:rPr>
      </w:pPr>
    </w:p>
    <w:p w14:paraId="15067E1A">
      <w:pPr>
        <w:pageBreakBefore w:val="0"/>
        <w:kinsoku/>
        <w:bidi w:val="0"/>
        <w:spacing w:beforeAutospacing="0" w:afterAutospacing="0" w:line="360" w:lineRule="auto"/>
        <w:jc w:val="left"/>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磋商供应商单位名称：（加盖单位公章）</w:t>
      </w:r>
    </w:p>
    <w:p w14:paraId="3227D887">
      <w:pPr>
        <w:pageBreakBefore w:val="0"/>
        <w:kinsoku/>
        <w:bidi w:val="0"/>
        <w:spacing w:beforeAutospacing="0" w:afterAutospacing="0" w:line="360" w:lineRule="auto"/>
        <w:jc w:val="left"/>
        <w:rPr>
          <w:rFonts w:hint="eastAsia" w:ascii="仿宋" w:hAnsi="仿宋" w:eastAsia="仿宋" w:cs="仿宋"/>
          <w:color w:val="auto"/>
          <w:sz w:val="30"/>
          <w:szCs w:val="30"/>
        </w:rPr>
      </w:pPr>
      <w:r>
        <w:rPr>
          <w:rFonts w:hint="eastAsia" w:ascii="仿宋" w:hAnsi="仿宋" w:eastAsia="仿宋" w:cs="仿宋"/>
          <w:b/>
          <w:color w:val="auto"/>
          <w:spacing w:val="20"/>
          <w:sz w:val="32"/>
          <w:szCs w:val="32"/>
        </w:rPr>
        <w:t>法定代表人（负责人）或授权代表：（签字或签章）</w:t>
      </w:r>
    </w:p>
    <w:p w14:paraId="53AF0D0C">
      <w:pPr>
        <w:pageBreakBefore w:val="0"/>
        <w:kinsoku/>
        <w:bidi w:val="0"/>
        <w:spacing w:beforeAutospacing="0" w:afterAutospacing="0"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二〇    年  月   日</w:t>
      </w:r>
    </w:p>
    <w:p w14:paraId="1C385ED2">
      <w:pPr>
        <w:pStyle w:val="70"/>
        <w:pageBreakBefore w:val="0"/>
        <w:kinsoku/>
        <w:bidi w:val="0"/>
        <w:snapToGrid w:val="0"/>
        <w:spacing w:beforeAutospacing="0" w:afterAutospacing="0" w:line="360" w:lineRule="auto"/>
        <w:ind w:firstLine="723" w:firstLineChars="200"/>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br w:type="page"/>
      </w:r>
    </w:p>
    <w:p w14:paraId="6D4C3A68">
      <w:pPr>
        <w:pageBreakBefore w:val="0"/>
        <w:kinsoku/>
        <w:bidi w:val="0"/>
        <w:spacing w:beforeAutospacing="0" w:afterAutospacing="0" w:line="360" w:lineRule="auto"/>
        <w:jc w:val="center"/>
        <w:rPr>
          <w:rFonts w:hint="eastAsia" w:ascii="仿宋" w:hAnsi="仿宋" w:eastAsia="仿宋" w:cs="仿宋"/>
          <w:b/>
          <w:color w:val="auto"/>
          <w:sz w:val="24"/>
        </w:rPr>
      </w:pPr>
      <w:r>
        <w:rPr>
          <w:rFonts w:hint="eastAsia" w:ascii="仿宋" w:hAnsi="仿宋" w:eastAsia="仿宋" w:cs="仿宋"/>
          <w:b/>
          <w:color w:val="auto"/>
          <w:sz w:val="24"/>
        </w:rPr>
        <w:t>资  格  证  明  文  件</w:t>
      </w:r>
    </w:p>
    <w:p w14:paraId="19F1D1DB">
      <w:pPr>
        <w:pageBreakBefore w:val="0"/>
        <w:kinsoku/>
        <w:bidi w:val="0"/>
        <w:spacing w:beforeAutospacing="0" w:afterAutospacing="0" w:line="360" w:lineRule="auto"/>
        <w:jc w:val="center"/>
        <w:rPr>
          <w:rFonts w:hint="eastAsia" w:ascii="仿宋" w:hAnsi="仿宋" w:eastAsia="仿宋" w:cs="仿宋"/>
          <w:b/>
          <w:color w:val="auto"/>
          <w:sz w:val="24"/>
        </w:rPr>
      </w:pPr>
      <w:r>
        <w:rPr>
          <w:rFonts w:hint="eastAsia" w:ascii="仿宋" w:hAnsi="仿宋" w:eastAsia="仿宋" w:cs="仿宋"/>
          <w:b/>
          <w:color w:val="auto"/>
          <w:sz w:val="24"/>
        </w:rPr>
        <w:t>目    录</w:t>
      </w:r>
    </w:p>
    <w:p w14:paraId="3AF6B3EB">
      <w:pPr>
        <w:pageBreakBefore w:val="0"/>
        <w:kinsoku/>
        <w:bidi w:val="0"/>
        <w:spacing w:beforeAutospacing="0" w:afterAutospacing="0" w:line="360" w:lineRule="auto"/>
        <w:ind w:firstLine="434"/>
        <w:rPr>
          <w:rFonts w:hint="eastAsia" w:ascii="仿宋" w:hAnsi="仿宋" w:eastAsia="仿宋" w:cs="仿宋"/>
          <w:color w:val="auto"/>
          <w:sz w:val="24"/>
          <w:szCs w:val="24"/>
        </w:rPr>
      </w:pPr>
      <w:bookmarkStart w:id="143" w:name="OLE_LINK27"/>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、磋商供应商代表证明</w:t>
      </w:r>
    </w:p>
    <w:p w14:paraId="17EF1038">
      <w:pPr>
        <w:pageBreakBefore w:val="0"/>
        <w:kinsoku/>
        <w:bidi w:val="0"/>
        <w:spacing w:beforeAutospacing="0" w:afterAutospacing="0" w:line="360" w:lineRule="auto"/>
        <w:ind w:firstLine="434"/>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、响应函</w:t>
      </w:r>
    </w:p>
    <w:p w14:paraId="1184B9DC">
      <w:pPr>
        <w:pageBreakBefore w:val="0"/>
        <w:kinsoku/>
        <w:bidi w:val="0"/>
        <w:spacing w:beforeAutospacing="0" w:afterAutospacing="0" w:line="360" w:lineRule="auto"/>
        <w:ind w:firstLine="434"/>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供应商具有</w:t>
      </w:r>
      <w:r>
        <w:rPr>
          <w:rFonts w:hint="eastAsia" w:ascii="仿宋" w:hAnsi="仿宋" w:eastAsia="仿宋" w:cs="仿宋"/>
          <w:color w:val="auto"/>
          <w:sz w:val="24"/>
          <w:szCs w:val="24"/>
        </w:rPr>
        <w:t>独立承担民事责任的能力</w:t>
      </w:r>
      <w:r>
        <w:rPr>
          <w:rFonts w:hint="eastAsia" w:ascii="仿宋" w:hAnsi="仿宋" w:eastAsia="仿宋" w:cs="仿宋"/>
          <w:color w:val="auto"/>
          <w:sz w:val="24"/>
          <w:szCs w:val="24"/>
          <w:lang w:val="en-US" w:eastAsia="zh-CN"/>
        </w:rPr>
        <w:t>的信用承诺书</w:t>
      </w:r>
    </w:p>
    <w:p w14:paraId="0EC7BF40">
      <w:pPr>
        <w:pageBreakBefore w:val="0"/>
        <w:kinsoku/>
        <w:bidi w:val="0"/>
        <w:spacing w:beforeAutospacing="0" w:afterAutospacing="0" w:line="360" w:lineRule="auto"/>
        <w:ind w:firstLine="434"/>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、具有良好的商业信誉和健全的财务会计制度的</w:t>
      </w:r>
      <w:r>
        <w:rPr>
          <w:rFonts w:hint="eastAsia" w:ascii="仿宋" w:hAnsi="仿宋" w:eastAsia="仿宋" w:cs="仿宋"/>
          <w:color w:val="auto"/>
          <w:sz w:val="24"/>
          <w:szCs w:val="24"/>
          <w:lang w:eastAsia="zh-CN"/>
        </w:rPr>
        <w:t>信用承诺书</w:t>
      </w:r>
    </w:p>
    <w:p w14:paraId="55DA3998">
      <w:pPr>
        <w:pageBreakBefore w:val="0"/>
        <w:kinsoku/>
        <w:bidi w:val="0"/>
        <w:spacing w:beforeAutospacing="0" w:afterAutospacing="0" w:line="360" w:lineRule="auto"/>
        <w:ind w:firstLine="434"/>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、磋商供应商具有</w:t>
      </w:r>
      <w:r>
        <w:rPr>
          <w:rFonts w:hint="eastAsia" w:ascii="仿宋" w:hAnsi="仿宋" w:eastAsia="仿宋" w:cs="仿宋"/>
          <w:color w:val="auto"/>
          <w:sz w:val="24"/>
          <w:szCs w:val="24"/>
          <w:lang w:val="en-US" w:eastAsia="zh-CN"/>
        </w:rPr>
        <w:t>履行合同所必需的设备和专业技术能力</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信用承诺书</w:t>
      </w:r>
    </w:p>
    <w:p w14:paraId="1C5A6E5C">
      <w:pPr>
        <w:pageBreakBefore w:val="0"/>
        <w:kinsoku/>
        <w:bidi w:val="0"/>
        <w:spacing w:beforeAutospacing="0" w:afterAutospacing="0" w:line="360" w:lineRule="auto"/>
        <w:ind w:firstLine="434"/>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、具有依法缴纳税收和社会保障资金的良好记录的</w:t>
      </w:r>
      <w:r>
        <w:rPr>
          <w:rFonts w:hint="eastAsia" w:ascii="仿宋" w:hAnsi="仿宋" w:eastAsia="仿宋" w:cs="仿宋"/>
          <w:color w:val="auto"/>
          <w:sz w:val="24"/>
          <w:szCs w:val="24"/>
          <w:lang w:eastAsia="zh-CN"/>
        </w:rPr>
        <w:t>信用承诺书</w:t>
      </w:r>
    </w:p>
    <w:p w14:paraId="3592F36D">
      <w:pPr>
        <w:pageBreakBefore w:val="0"/>
        <w:kinsoku/>
        <w:bidi w:val="0"/>
        <w:spacing w:beforeAutospacing="0" w:afterAutospacing="0" w:line="360" w:lineRule="auto"/>
        <w:ind w:firstLine="434"/>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、参加政府采购活动前三年内，在经营活动中没有重大违法记录</w:t>
      </w:r>
    </w:p>
    <w:p w14:paraId="0497D991">
      <w:pPr>
        <w:pageBreakBefore w:val="0"/>
        <w:kinsoku/>
        <w:bidi w:val="0"/>
        <w:spacing w:beforeAutospacing="0" w:afterAutospacing="0" w:line="360" w:lineRule="auto"/>
        <w:ind w:firstLine="434"/>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中小企业声明函</w:t>
      </w:r>
    </w:p>
    <w:p w14:paraId="3FF97C3B">
      <w:pPr>
        <w:pageBreakBefore w:val="0"/>
        <w:kinsoku/>
        <w:bidi w:val="0"/>
        <w:spacing w:beforeAutospacing="0" w:afterAutospacing="0" w:line="360" w:lineRule="auto"/>
        <w:ind w:firstLine="434"/>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九、</w:t>
      </w:r>
      <w:bookmarkEnd w:id="143"/>
      <w:r>
        <w:rPr>
          <w:rFonts w:hint="eastAsia" w:ascii="仿宋" w:hAnsi="仿宋" w:eastAsia="仿宋" w:cs="仿宋"/>
          <w:color w:val="auto"/>
          <w:sz w:val="24"/>
          <w:szCs w:val="24"/>
        </w:rPr>
        <w:t>本项目要求的其他特定资格条件</w:t>
      </w:r>
    </w:p>
    <w:p w14:paraId="1D838203">
      <w:pPr>
        <w:pageBreakBefore w:val="0"/>
        <w:kinsoku/>
        <w:bidi w:val="0"/>
        <w:spacing w:beforeAutospacing="0" w:afterAutospacing="0" w:line="360" w:lineRule="auto"/>
        <w:ind w:firstLine="434"/>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保证金的</w:t>
      </w:r>
      <w:r>
        <w:rPr>
          <w:rFonts w:hint="eastAsia" w:ascii="仿宋" w:hAnsi="仿宋" w:eastAsia="仿宋" w:cs="仿宋"/>
          <w:color w:val="auto"/>
          <w:sz w:val="24"/>
          <w:szCs w:val="24"/>
          <w:lang w:val="en-US" w:eastAsia="zh-CN"/>
        </w:rPr>
        <w:t>缴纳证明材料</w:t>
      </w:r>
    </w:p>
    <w:p w14:paraId="4900B270">
      <w:pPr>
        <w:pageBreakBefore w:val="0"/>
        <w:widowControl/>
        <w:kinsoku/>
        <w:bidi w:val="0"/>
        <w:spacing w:beforeAutospacing="0" w:afterAutospacing="0" w:line="360" w:lineRule="auto"/>
        <w:jc w:val="left"/>
        <w:outlineLvl w:val="1"/>
        <w:rPr>
          <w:rFonts w:hint="eastAsia" w:ascii="仿宋" w:hAnsi="仿宋" w:eastAsia="仿宋" w:cs="仿宋"/>
          <w:b/>
          <w:color w:val="auto"/>
          <w:sz w:val="24"/>
          <w:szCs w:val="24"/>
        </w:rPr>
      </w:pPr>
      <w:r>
        <w:rPr>
          <w:rFonts w:hint="eastAsia" w:ascii="仿宋" w:hAnsi="仿宋" w:eastAsia="仿宋" w:cs="仿宋"/>
          <w:color w:val="auto"/>
        </w:rPr>
        <w:br w:type="page"/>
      </w:r>
      <w:bookmarkStart w:id="144" w:name="_Toc11524"/>
      <w:r>
        <w:rPr>
          <w:rFonts w:hint="eastAsia" w:ascii="仿宋" w:hAnsi="仿宋" w:eastAsia="仿宋" w:cs="仿宋"/>
          <w:b/>
          <w:color w:val="auto"/>
          <w:sz w:val="24"/>
          <w:szCs w:val="24"/>
        </w:rPr>
        <w:t>一</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磋商供应商代表证明</w:t>
      </w:r>
      <w:bookmarkEnd w:id="144"/>
    </w:p>
    <w:p w14:paraId="61855AB7">
      <w:pPr>
        <w:pStyle w:val="35"/>
        <w:pageBreakBefore w:val="0"/>
        <w:kinsoku/>
        <w:bidi w:val="0"/>
        <w:spacing w:beforeAutospacing="0" w:after="0" w:afterAutospacing="0" w:line="360" w:lineRule="auto"/>
        <w:rPr>
          <w:rFonts w:hint="eastAsia" w:ascii="仿宋" w:hAnsi="仿宋" w:eastAsia="仿宋" w:cs="仿宋"/>
          <w:color w:val="auto"/>
        </w:rPr>
      </w:pPr>
    </w:p>
    <w:p w14:paraId="57611ECE">
      <w:pPr>
        <w:pageBreakBefore w:val="0"/>
        <w:kinsoku/>
        <w:bidi w:val="0"/>
        <w:snapToGrid w:val="0"/>
        <w:spacing w:beforeAutospacing="0" w:afterAutospacing="0" w:line="360" w:lineRule="auto"/>
        <w:ind w:left="560" w:hanging="562" w:hangingChars="200"/>
        <w:jc w:val="left"/>
        <w:outlineLvl w:val="9"/>
        <w:rPr>
          <w:rFonts w:hint="eastAsia" w:ascii="仿宋" w:hAnsi="仿宋" w:eastAsia="仿宋" w:cs="仿宋"/>
          <w:b/>
          <w:color w:val="auto"/>
          <w:sz w:val="24"/>
          <w:szCs w:val="24"/>
        </w:rPr>
      </w:pPr>
      <w:bookmarkStart w:id="145" w:name="_Toc27550"/>
      <w:r>
        <w:rPr>
          <w:rFonts w:hint="eastAsia" w:ascii="仿宋" w:hAnsi="仿宋" w:eastAsia="仿宋" w:cs="仿宋"/>
          <w:b/>
          <w:bCs/>
          <w:color w:val="auto"/>
          <w:spacing w:val="20"/>
          <w:sz w:val="24"/>
          <w:szCs w:val="24"/>
        </w:rPr>
        <w:t>法定代表人（负责人）身份证明书</w:t>
      </w:r>
      <w:r>
        <w:rPr>
          <w:rFonts w:hint="eastAsia" w:ascii="仿宋" w:hAnsi="仿宋" w:eastAsia="仿宋" w:cs="仿宋"/>
          <w:b/>
          <w:bCs/>
          <w:color w:val="auto"/>
          <w:spacing w:val="20"/>
          <w:sz w:val="24"/>
          <w:szCs w:val="24"/>
          <w:lang w:val="en-US" w:eastAsia="zh-CN"/>
        </w:rPr>
        <w:t xml:space="preserve"> </w:t>
      </w:r>
      <w:r>
        <w:rPr>
          <w:rFonts w:hint="eastAsia" w:ascii="仿宋" w:hAnsi="仿宋" w:eastAsia="仿宋" w:cs="仿宋"/>
          <w:b/>
          <w:color w:val="auto"/>
          <w:sz w:val="24"/>
          <w:szCs w:val="24"/>
        </w:rPr>
        <w:t>格式</w:t>
      </w:r>
      <w:bookmarkEnd w:id="145"/>
    </w:p>
    <w:p w14:paraId="3687E216">
      <w:pPr>
        <w:pStyle w:val="27"/>
        <w:pageBreakBefore w:val="0"/>
        <w:kinsoku/>
        <w:bidi w:val="0"/>
        <w:spacing w:beforeAutospacing="0" w:afterAutospacing="0" w:line="360" w:lineRule="auto"/>
        <w:rPr>
          <w:rFonts w:hint="eastAsia" w:ascii="仿宋" w:hAnsi="仿宋" w:eastAsia="仿宋" w:cs="仿宋"/>
          <w:color w:val="auto"/>
        </w:rPr>
      </w:pPr>
    </w:p>
    <w:p w14:paraId="0181BA2F">
      <w:pPr>
        <w:pageBreakBefore w:val="0"/>
        <w:kinsoku/>
        <w:bidi w:val="0"/>
        <w:snapToGrid w:val="0"/>
        <w:spacing w:beforeAutospacing="0" w:afterAutospacing="0" w:line="360" w:lineRule="auto"/>
        <w:ind w:left="560" w:hanging="562" w:hangingChars="200"/>
        <w:jc w:val="center"/>
        <w:outlineLvl w:val="9"/>
        <w:rPr>
          <w:rFonts w:hint="eastAsia" w:ascii="仿宋" w:hAnsi="仿宋" w:eastAsia="仿宋" w:cs="仿宋"/>
          <w:bCs/>
          <w:color w:val="auto"/>
          <w:spacing w:val="6"/>
          <w:sz w:val="24"/>
          <w:szCs w:val="24"/>
        </w:rPr>
      </w:pPr>
      <w:bookmarkStart w:id="146" w:name="_Toc29922"/>
      <w:r>
        <w:rPr>
          <w:rFonts w:hint="eastAsia" w:ascii="仿宋" w:hAnsi="仿宋" w:eastAsia="仿宋" w:cs="仿宋"/>
          <w:b/>
          <w:bCs/>
          <w:color w:val="auto"/>
          <w:spacing w:val="20"/>
          <w:sz w:val="24"/>
          <w:szCs w:val="24"/>
        </w:rPr>
        <w:t>法定代表人（负责人）身份证明书</w:t>
      </w:r>
      <w:bookmarkEnd w:id="146"/>
    </w:p>
    <w:p w14:paraId="3E18333C">
      <w:pPr>
        <w:pageBreakBefore w:val="0"/>
        <w:kinsoku/>
        <w:bidi w:val="0"/>
        <w:spacing w:beforeAutospacing="0" w:afterAutospacing="0" w:line="360" w:lineRule="auto"/>
        <w:ind w:firstLine="570"/>
        <w:jc w:val="center"/>
        <w:rPr>
          <w:rFonts w:hint="eastAsia" w:ascii="仿宋" w:hAnsi="仿宋" w:eastAsia="仿宋" w:cs="仿宋"/>
          <w:color w:val="auto"/>
          <w:spacing w:val="6"/>
          <w:sz w:val="24"/>
          <w:szCs w:val="24"/>
        </w:rPr>
      </w:pPr>
    </w:p>
    <w:p w14:paraId="1FB2F1B0">
      <w:pPr>
        <w:pageBreakBefore w:val="0"/>
        <w:kinsoku/>
        <w:bidi w:val="0"/>
        <w:spacing w:beforeAutospacing="0" w:afterAutospacing="0" w:line="360" w:lineRule="auto"/>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rPr>
        <w:t>单位名称：</w:t>
      </w:r>
      <w:r>
        <w:rPr>
          <w:rFonts w:hint="eastAsia" w:ascii="仿宋" w:hAnsi="仿宋" w:eastAsia="仿宋" w:cs="仿宋"/>
          <w:color w:val="auto"/>
          <w:spacing w:val="6"/>
          <w:sz w:val="24"/>
          <w:szCs w:val="24"/>
          <w:u w:val="single"/>
        </w:rPr>
        <w:t xml:space="preserve">                                       </w:t>
      </w:r>
    </w:p>
    <w:p w14:paraId="73384C55">
      <w:pPr>
        <w:pageBreakBefore w:val="0"/>
        <w:kinsoku/>
        <w:bidi w:val="0"/>
        <w:spacing w:beforeAutospacing="0" w:afterAutospacing="0" w:line="360" w:lineRule="auto"/>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rPr>
        <w:t>单位性质：</w:t>
      </w:r>
      <w:r>
        <w:rPr>
          <w:rFonts w:hint="eastAsia" w:ascii="仿宋" w:hAnsi="仿宋" w:eastAsia="仿宋" w:cs="仿宋"/>
          <w:color w:val="auto"/>
          <w:spacing w:val="6"/>
          <w:sz w:val="24"/>
          <w:szCs w:val="24"/>
          <w:u w:val="single"/>
        </w:rPr>
        <w:t xml:space="preserve">                                       </w:t>
      </w:r>
    </w:p>
    <w:p w14:paraId="07410850">
      <w:pPr>
        <w:pageBreakBefore w:val="0"/>
        <w:kinsoku/>
        <w:bidi w:val="0"/>
        <w:spacing w:beforeAutospacing="0" w:afterAutospacing="0" w:line="360" w:lineRule="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地    址：</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 xml:space="preserve">  </w:t>
      </w:r>
    </w:p>
    <w:p w14:paraId="0A3325D9">
      <w:pPr>
        <w:pageBreakBefore w:val="0"/>
        <w:kinsoku/>
        <w:bidi w:val="0"/>
        <w:spacing w:beforeAutospacing="0" w:afterAutospacing="0" w:line="360" w:lineRule="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成立时间：    年    月    日</w:t>
      </w:r>
    </w:p>
    <w:p w14:paraId="069BDAAF">
      <w:pPr>
        <w:pageBreakBefore w:val="0"/>
        <w:kinsoku/>
        <w:bidi w:val="0"/>
        <w:spacing w:beforeAutospacing="0" w:afterAutospacing="0" w:line="360" w:lineRule="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经营期限：</w:t>
      </w:r>
    </w:p>
    <w:p w14:paraId="43760F10">
      <w:pPr>
        <w:pageBreakBefore w:val="0"/>
        <w:kinsoku/>
        <w:bidi w:val="0"/>
        <w:spacing w:beforeAutospacing="0" w:afterAutospacing="0" w:line="360" w:lineRule="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 xml:space="preserve">姓    名：                 性  别：     </w:t>
      </w:r>
    </w:p>
    <w:p w14:paraId="504F7196">
      <w:pPr>
        <w:pageBreakBefore w:val="0"/>
        <w:kinsoku/>
        <w:bidi w:val="0"/>
        <w:spacing w:beforeAutospacing="0" w:afterAutospacing="0" w:line="360" w:lineRule="auto"/>
        <w:rPr>
          <w:rFonts w:hint="eastAsia"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rPr>
        <w:t xml:space="preserve">身份证号：                 职  务： </w:t>
      </w:r>
      <w:r>
        <w:rPr>
          <w:rFonts w:hint="eastAsia" w:ascii="仿宋" w:hAnsi="仿宋" w:eastAsia="仿宋" w:cs="仿宋"/>
          <w:color w:val="auto"/>
          <w:spacing w:val="6"/>
          <w:sz w:val="24"/>
          <w:szCs w:val="24"/>
          <w:lang w:val="en-US" w:eastAsia="zh-CN"/>
        </w:rPr>
        <w:t xml:space="preserve">    </w:t>
      </w:r>
    </w:p>
    <w:p w14:paraId="514172CD">
      <w:pPr>
        <w:pageBreakBefore w:val="0"/>
        <w:kinsoku/>
        <w:bidi w:val="0"/>
        <w:spacing w:beforeAutospacing="0" w:afterAutospacing="0" w:line="360" w:lineRule="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 xml:space="preserve">系 </w:t>
      </w:r>
      <w:r>
        <w:rPr>
          <w:rFonts w:hint="eastAsia" w:ascii="仿宋" w:hAnsi="仿宋" w:eastAsia="仿宋" w:cs="仿宋"/>
          <w:color w:val="auto"/>
          <w:spacing w:val="6"/>
          <w:sz w:val="24"/>
          <w:szCs w:val="24"/>
          <w:u w:val="single"/>
        </w:rPr>
        <w:t xml:space="preserve">      （磋商供应商名称）          </w:t>
      </w:r>
      <w:r>
        <w:rPr>
          <w:rFonts w:hint="eastAsia" w:ascii="仿宋" w:hAnsi="仿宋" w:eastAsia="仿宋" w:cs="仿宋"/>
          <w:color w:val="auto"/>
          <w:spacing w:val="6"/>
          <w:sz w:val="24"/>
          <w:szCs w:val="24"/>
        </w:rPr>
        <w:t>的法定代表人（负责人）。</w:t>
      </w:r>
    </w:p>
    <w:p w14:paraId="7218D8BF">
      <w:pPr>
        <w:pageBreakBefore w:val="0"/>
        <w:kinsoku/>
        <w:bidi w:val="0"/>
        <w:spacing w:beforeAutospacing="0" w:afterAutospacing="0" w:line="360" w:lineRule="auto"/>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特此证明。</w:t>
      </w:r>
    </w:p>
    <w:p w14:paraId="23475F20">
      <w:pPr>
        <w:pageBreakBefore w:val="0"/>
        <w:kinsoku/>
        <w:bidi w:val="0"/>
        <w:spacing w:beforeAutospacing="0" w:afterAutospacing="0" w:line="360" w:lineRule="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 xml:space="preserve">                     </w:t>
      </w:r>
    </w:p>
    <w:p w14:paraId="4A0A4A08">
      <w:pPr>
        <w:pageBreakBefore w:val="0"/>
        <w:kinsoku/>
        <w:bidi w:val="0"/>
        <w:spacing w:beforeAutospacing="0" w:afterAutospacing="0" w:line="360" w:lineRule="auto"/>
        <w:rPr>
          <w:rFonts w:hint="eastAsia" w:ascii="仿宋" w:hAnsi="仿宋" w:eastAsia="仿宋" w:cs="仿宋"/>
          <w:color w:val="auto"/>
          <w:spacing w:val="6"/>
          <w:sz w:val="24"/>
          <w:szCs w:val="24"/>
        </w:rPr>
      </w:pPr>
    </w:p>
    <w:p w14:paraId="46475E9B">
      <w:pPr>
        <w:pageBreakBefore w:val="0"/>
        <w:kinsoku/>
        <w:bidi w:val="0"/>
        <w:spacing w:beforeAutospacing="0" w:afterAutospacing="0" w:line="360" w:lineRule="auto"/>
        <w:rPr>
          <w:rFonts w:hint="eastAsia" w:ascii="仿宋" w:hAnsi="仿宋" w:eastAsia="仿宋" w:cs="仿宋"/>
          <w:color w:val="auto"/>
          <w:spacing w:val="6"/>
          <w:sz w:val="24"/>
          <w:szCs w:val="24"/>
        </w:rPr>
      </w:pPr>
    </w:p>
    <w:p w14:paraId="5848364F">
      <w:pPr>
        <w:pageBreakBefore w:val="0"/>
        <w:kinsoku/>
        <w:bidi w:val="0"/>
        <w:spacing w:beforeAutospacing="0" w:afterAutospacing="0" w:line="360" w:lineRule="auto"/>
        <w:jc w:val="right"/>
        <w:rPr>
          <w:rFonts w:hint="eastAsia" w:ascii="仿宋" w:hAnsi="仿宋" w:eastAsia="仿宋" w:cs="仿宋"/>
          <w:color w:val="auto"/>
          <w:spacing w:val="20"/>
          <w:sz w:val="24"/>
          <w:szCs w:val="24"/>
        </w:rPr>
      </w:pPr>
      <w:r>
        <w:rPr>
          <w:rFonts w:hint="eastAsia" w:ascii="仿宋" w:hAnsi="仿宋" w:eastAsia="仿宋" w:cs="仿宋"/>
          <w:color w:val="auto"/>
          <w:spacing w:val="6"/>
          <w:sz w:val="24"/>
          <w:szCs w:val="24"/>
        </w:rPr>
        <w:t xml:space="preserve"> 磋商供应商</w:t>
      </w:r>
      <w:r>
        <w:rPr>
          <w:rFonts w:hint="eastAsia" w:ascii="仿宋" w:hAnsi="仿宋" w:eastAsia="仿宋" w:cs="仿宋"/>
          <w:color w:val="auto"/>
          <w:spacing w:val="20"/>
          <w:sz w:val="24"/>
          <w:szCs w:val="24"/>
        </w:rPr>
        <w:t>：</w:t>
      </w:r>
      <w:r>
        <w:rPr>
          <w:rFonts w:hint="eastAsia" w:ascii="仿宋" w:hAnsi="仿宋" w:eastAsia="仿宋" w:cs="仿宋"/>
          <w:color w:val="auto"/>
          <w:spacing w:val="20"/>
          <w:sz w:val="24"/>
          <w:szCs w:val="24"/>
          <w:u w:val="single"/>
        </w:rPr>
        <w:t xml:space="preserve">            </w:t>
      </w:r>
      <w:r>
        <w:rPr>
          <w:rFonts w:hint="eastAsia" w:ascii="仿宋" w:hAnsi="仿宋" w:eastAsia="仿宋" w:cs="仿宋"/>
          <w:color w:val="auto"/>
          <w:spacing w:val="20"/>
          <w:sz w:val="24"/>
          <w:szCs w:val="24"/>
        </w:rPr>
        <w:t>(</w:t>
      </w:r>
      <w:r>
        <w:rPr>
          <w:rFonts w:hint="eastAsia" w:ascii="仿宋" w:hAnsi="仿宋" w:eastAsia="仿宋" w:cs="仿宋"/>
          <w:color w:val="auto"/>
          <w:spacing w:val="20"/>
          <w:sz w:val="24"/>
          <w:szCs w:val="24"/>
          <w:lang w:val="en-US" w:eastAsia="zh-CN"/>
        </w:rPr>
        <w:t>公章</w:t>
      </w:r>
      <w:r>
        <w:rPr>
          <w:rFonts w:hint="eastAsia" w:ascii="仿宋" w:hAnsi="仿宋" w:eastAsia="仿宋" w:cs="仿宋"/>
          <w:color w:val="auto"/>
          <w:spacing w:val="20"/>
          <w:sz w:val="24"/>
          <w:szCs w:val="24"/>
        </w:rPr>
        <w:t>)</w:t>
      </w:r>
    </w:p>
    <w:p w14:paraId="3F5522AD">
      <w:pPr>
        <w:pageBreakBefore w:val="0"/>
        <w:tabs>
          <w:tab w:val="left" w:pos="4490"/>
        </w:tabs>
        <w:kinsoku/>
        <w:bidi w:val="0"/>
        <w:snapToGrid w:val="0"/>
        <w:spacing w:beforeAutospacing="0" w:afterAutospacing="0" w:line="360" w:lineRule="auto"/>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tab/>
      </w:r>
      <w:r>
        <w:rPr>
          <w:rFonts w:hint="eastAsia" w:ascii="仿宋" w:hAnsi="仿宋" w:eastAsia="仿宋" w:cs="仿宋"/>
          <w:color w:val="auto"/>
          <w:spacing w:val="20"/>
          <w:sz w:val="24"/>
          <w:szCs w:val="24"/>
          <w:lang w:val="en-US" w:eastAsia="zh-CN"/>
        </w:rPr>
        <w:t xml:space="preserve">             </w:t>
      </w:r>
      <w:r>
        <w:rPr>
          <w:rFonts w:hint="eastAsia" w:ascii="仿宋" w:hAnsi="仿宋" w:eastAsia="仿宋" w:cs="仿宋"/>
          <w:color w:val="auto"/>
          <w:spacing w:val="20"/>
          <w:sz w:val="24"/>
          <w:szCs w:val="24"/>
        </w:rPr>
        <w:t>年   月   日</w:t>
      </w:r>
    </w:p>
    <w:p w14:paraId="7F1ABA4C">
      <w:pPr>
        <w:pStyle w:val="27"/>
        <w:pageBreakBefore w:val="0"/>
        <w:kinsoku/>
        <w:bidi w:val="0"/>
        <w:spacing w:beforeAutospacing="0" w:afterAutospacing="0" w:line="360" w:lineRule="auto"/>
        <w:rPr>
          <w:rFonts w:hint="eastAsia" w:ascii="仿宋" w:hAnsi="仿宋" w:eastAsia="仿宋" w:cs="仿宋"/>
          <w:color w:val="auto"/>
        </w:rPr>
      </w:pPr>
    </w:p>
    <w:p w14:paraId="37CE182B">
      <w:pPr>
        <w:pStyle w:val="27"/>
        <w:pageBreakBefore w:val="0"/>
        <w:kinsoku/>
        <w:bidi w:val="0"/>
        <w:spacing w:beforeAutospacing="0" w:afterAutospacing="0" w:line="360" w:lineRule="auto"/>
        <w:outlineLvl w:val="9"/>
        <w:rPr>
          <w:rFonts w:hint="eastAsia" w:ascii="仿宋" w:hAnsi="仿宋" w:eastAsia="仿宋" w:cs="仿宋"/>
          <w:color w:val="auto"/>
        </w:rPr>
      </w:pPr>
      <w:bookmarkStart w:id="147" w:name="_Toc29006"/>
      <w:r>
        <w:rPr>
          <w:rFonts w:hint="eastAsia" w:ascii="仿宋" w:hAnsi="仿宋" w:eastAsia="仿宋" w:cs="仿宋"/>
          <w:b/>
          <w:color w:val="auto"/>
          <w:sz w:val="24"/>
          <w:szCs w:val="24"/>
        </w:rPr>
        <w:t>附法定代表人有效的身份证正反两面扫描件</w:t>
      </w:r>
      <w:bookmarkEnd w:id="147"/>
    </w:p>
    <w:p w14:paraId="44CFE1E1">
      <w:pPr>
        <w:pStyle w:val="27"/>
        <w:pageBreakBefore w:val="0"/>
        <w:kinsoku/>
        <w:bidi w:val="0"/>
        <w:spacing w:beforeAutospacing="0" w:afterAutospacing="0" w:line="360" w:lineRule="auto"/>
        <w:rPr>
          <w:rFonts w:hint="eastAsia" w:ascii="仿宋" w:hAnsi="仿宋" w:eastAsia="仿宋" w:cs="仿宋"/>
          <w:color w:val="auto"/>
        </w:rPr>
      </w:pPr>
    </w:p>
    <w:p w14:paraId="5C8D0C34">
      <w:pPr>
        <w:pStyle w:val="27"/>
        <w:pageBreakBefore w:val="0"/>
        <w:kinsoku/>
        <w:bidi w:val="0"/>
        <w:spacing w:beforeAutospacing="0" w:afterAutospacing="0" w:line="360" w:lineRule="auto"/>
        <w:rPr>
          <w:rFonts w:hint="eastAsia" w:ascii="仿宋" w:hAnsi="仿宋" w:eastAsia="仿宋" w:cs="仿宋"/>
          <w:color w:val="auto"/>
        </w:rPr>
      </w:pP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6"/>
      </w:tblGrid>
      <w:tr w14:paraId="5906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noWrap w:val="0"/>
            <w:vAlign w:val="top"/>
          </w:tcPr>
          <w:p w14:paraId="65D91DAC">
            <w:pPr>
              <w:pageBreakBefore w:val="0"/>
              <w:kinsoku/>
              <w:bidi w:val="0"/>
              <w:spacing w:beforeAutospacing="0" w:afterAutospacing="0" w:line="360" w:lineRule="auto"/>
              <w:rPr>
                <w:rFonts w:hint="eastAsia" w:ascii="仿宋" w:hAnsi="仿宋" w:eastAsia="仿宋" w:cs="仿宋"/>
                <w:b/>
                <w:color w:val="auto"/>
                <w:szCs w:val="21"/>
              </w:rPr>
            </w:pPr>
          </w:p>
        </w:tc>
        <w:tc>
          <w:tcPr>
            <w:tcW w:w="2499" w:type="pct"/>
            <w:noWrap w:val="0"/>
            <w:vAlign w:val="top"/>
          </w:tcPr>
          <w:p w14:paraId="1CA5D5C9">
            <w:pPr>
              <w:pageBreakBefore w:val="0"/>
              <w:kinsoku/>
              <w:bidi w:val="0"/>
              <w:spacing w:beforeAutospacing="0" w:afterAutospacing="0" w:line="360" w:lineRule="auto"/>
              <w:rPr>
                <w:rFonts w:hint="eastAsia" w:ascii="仿宋" w:hAnsi="仿宋" w:eastAsia="仿宋" w:cs="仿宋"/>
                <w:b/>
                <w:color w:val="auto"/>
                <w:szCs w:val="21"/>
              </w:rPr>
            </w:pPr>
          </w:p>
        </w:tc>
      </w:tr>
    </w:tbl>
    <w:p w14:paraId="1CCF30EA">
      <w:pPr>
        <w:pageBreakBefore w:val="0"/>
        <w:kinsoku/>
        <w:bidi w:val="0"/>
        <w:snapToGrid w:val="0"/>
        <w:spacing w:beforeAutospacing="0" w:afterAutospacing="0" w:line="360" w:lineRule="auto"/>
        <w:outlineLvl w:val="9"/>
        <w:rPr>
          <w:rFonts w:hint="eastAsia" w:ascii="仿宋" w:hAnsi="仿宋" w:eastAsia="仿宋" w:cs="仿宋"/>
          <w:b/>
          <w:bCs/>
          <w:color w:val="auto"/>
          <w:sz w:val="24"/>
          <w:szCs w:val="24"/>
        </w:rPr>
      </w:pPr>
      <w:bookmarkStart w:id="148" w:name="_Toc15637"/>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 xml:space="preserve">法定代表人（负责人）授权委托书 </w:t>
      </w:r>
      <w:r>
        <w:rPr>
          <w:rFonts w:hint="eastAsia" w:ascii="仿宋" w:hAnsi="仿宋" w:eastAsia="仿宋" w:cs="仿宋"/>
          <w:b/>
          <w:color w:val="auto"/>
          <w:sz w:val="24"/>
          <w:szCs w:val="24"/>
        </w:rPr>
        <w:t>格式</w:t>
      </w:r>
      <w:bookmarkEnd w:id="148"/>
      <w:r>
        <w:rPr>
          <w:rFonts w:hint="eastAsia" w:ascii="仿宋" w:hAnsi="仿宋" w:eastAsia="仿宋" w:cs="仿宋"/>
          <w:b/>
          <w:bCs/>
          <w:color w:val="auto"/>
          <w:sz w:val="24"/>
          <w:szCs w:val="24"/>
        </w:rPr>
        <w:t xml:space="preserve"> </w:t>
      </w:r>
    </w:p>
    <w:p w14:paraId="65BE9F0F">
      <w:pPr>
        <w:pageBreakBefore w:val="0"/>
        <w:kinsoku/>
        <w:bidi w:val="0"/>
        <w:snapToGrid w:val="0"/>
        <w:spacing w:beforeAutospacing="0" w:afterAutospacing="0" w:line="360" w:lineRule="auto"/>
        <w:ind w:left="480" w:hanging="482" w:hangingChars="200"/>
        <w:jc w:val="center"/>
        <w:outlineLvl w:val="9"/>
        <w:rPr>
          <w:rFonts w:hint="eastAsia" w:ascii="仿宋" w:hAnsi="仿宋" w:eastAsia="仿宋" w:cs="仿宋"/>
          <w:b/>
          <w:bCs/>
          <w:color w:val="auto"/>
          <w:sz w:val="24"/>
          <w:szCs w:val="24"/>
        </w:rPr>
      </w:pPr>
      <w:bookmarkStart w:id="149" w:name="_Toc14733"/>
      <w:r>
        <w:rPr>
          <w:rFonts w:hint="eastAsia" w:ascii="仿宋" w:hAnsi="仿宋" w:eastAsia="仿宋" w:cs="仿宋"/>
          <w:b/>
          <w:bCs/>
          <w:color w:val="auto"/>
          <w:sz w:val="24"/>
          <w:szCs w:val="24"/>
        </w:rPr>
        <w:t>法定代表人（负责人）授权委托书</w:t>
      </w:r>
      <w:bookmarkEnd w:id="149"/>
    </w:p>
    <w:p w14:paraId="15CD34C7">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采购代理机构</w:t>
      </w:r>
      <w:r>
        <w:rPr>
          <w:rFonts w:hint="eastAsia" w:ascii="仿宋" w:hAnsi="仿宋" w:eastAsia="仿宋" w:cs="仿宋"/>
          <w:color w:val="auto"/>
          <w:sz w:val="24"/>
          <w:szCs w:val="24"/>
        </w:rPr>
        <w:t>：</w:t>
      </w:r>
    </w:p>
    <w:p w14:paraId="4B258DEC">
      <w:pPr>
        <w:pStyle w:val="11"/>
        <w:pageBreakBefore w:val="0"/>
        <w:kinsoku/>
        <w:bidi w:val="0"/>
        <w:spacing w:beforeAutospacing="0" w:afterAutospacing="0" w:line="360" w:lineRule="auto"/>
        <w:rPr>
          <w:rFonts w:hint="eastAsia" w:ascii="仿宋" w:hAnsi="仿宋" w:eastAsia="仿宋" w:cs="仿宋"/>
          <w:color w:val="auto"/>
        </w:rPr>
      </w:pPr>
    </w:p>
    <w:p w14:paraId="19C563C6">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504" w:firstLineChars="200"/>
        <w:jc w:val="left"/>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本授权委托书声明：注册于</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（供应商住址）的</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（供应商名称）法定代表人</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（法定代表人姓名、职务、身份证号）代表本公司授权</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（供应商代表姓名、职务、身份证号）为本公司的合法代理人，就贵方组织的</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项目，项目编号：</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，以本公司名义处理一切与之有关的事务。</w:t>
      </w:r>
    </w:p>
    <w:p w14:paraId="66D120D9">
      <w:pPr>
        <w:pageBreakBefore w:val="0"/>
        <w:kinsoku/>
        <w:bidi w:val="0"/>
        <w:spacing w:beforeAutospacing="0" w:afterAutospacing="0" w:line="360" w:lineRule="auto"/>
        <w:ind w:firstLine="504" w:firstLineChars="200"/>
        <w:jc w:val="left"/>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本授权书于</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年</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日签字或签章后生效，特此声明。</w:t>
      </w:r>
    </w:p>
    <w:p w14:paraId="53244297">
      <w:pPr>
        <w:pageBreakBefore w:val="0"/>
        <w:kinsoku/>
        <w:bidi w:val="0"/>
        <w:spacing w:beforeAutospacing="0" w:afterAutospacing="0" w:line="360" w:lineRule="auto"/>
        <w:ind w:firstLine="3276" w:firstLineChars="1300"/>
        <w:jc w:val="left"/>
        <w:rPr>
          <w:rFonts w:hint="eastAsia" w:ascii="仿宋" w:hAnsi="仿宋" w:eastAsia="仿宋" w:cs="仿宋"/>
          <w:color w:val="auto"/>
          <w:spacing w:val="6"/>
          <w:sz w:val="24"/>
          <w:szCs w:val="24"/>
        </w:rPr>
      </w:pPr>
    </w:p>
    <w:p w14:paraId="2C2C8DE4">
      <w:pPr>
        <w:pageBreakBefore w:val="0"/>
        <w:kinsoku/>
        <w:bidi w:val="0"/>
        <w:spacing w:beforeAutospacing="0" w:afterAutospacing="0" w:line="360" w:lineRule="auto"/>
        <w:ind w:firstLine="5040" w:firstLineChars="2000"/>
        <w:jc w:val="right"/>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供应商：</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（加盖公章）</w:t>
      </w:r>
    </w:p>
    <w:p w14:paraId="311CC50A">
      <w:pPr>
        <w:pageBreakBefore w:val="0"/>
        <w:kinsoku/>
        <w:bidi w:val="0"/>
        <w:spacing w:beforeAutospacing="0" w:afterAutospacing="0" w:line="360" w:lineRule="auto"/>
        <w:ind w:firstLine="5040" w:firstLineChars="2000"/>
        <w:jc w:val="right"/>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法定代表人：</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（签字或盖章）</w:t>
      </w:r>
    </w:p>
    <w:p w14:paraId="4A0A5A69">
      <w:pPr>
        <w:pageBreakBefore w:val="0"/>
        <w:kinsoku/>
        <w:bidi w:val="0"/>
        <w:spacing w:beforeAutospacing="0" w:afterAutospacing="0" w:line="360" w:lineRule="auto"/>
        <w:ind w:firstLine="6552" w:firstLineChars="2600"/>
        <w:jc w:val="left"/>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年  月  日</w:t>
      </w:r>
    </w:p>
    <w:p w14:paraId="051C90AE">
      <w:pPr>
        <w:pStyle w:val="27"/>
        <w:pageBreakBefore w:val="0"/>
        <w:kinsoku/>
        <w:bidi w:val="0"/>
        <w:spacing w:beforeAutospacing="0" w:afterAutospacing="0" w:line="360" w:lineRule="auto"/>
        <w:rPr>
          <w:rFonts w:hint="eastAsia" w:ascii="仿宋" w:hAnsi="仿宋" w:eastAsia="仿宋" w:cs="仿宋"/>
          <w:color w:val="auto"/>
        </w:rPr>
      </w:pPr>
    </w:p>
    <w:p w14:paraId="14ED6D57">
      <w:pPr>
        <w:pageBreakBefore w:val="0"/>
        <w:kinsoku/>
        <w:bidi w:val="0"/>
        <w:spacing w:beforeAutospacing="0" w:afterAutospacing="0" w:line="360" w:lineRule="auto"/>
        <w:outlineLvl w:val="9"/>
        <w:rPr>
          <w:rFonts w:hint="eastAsia" w:ascii="仿宋" w:hAnsi="仿宋" w:eastAsia="仿宋" w:cs="仿宋"/>
          <w:b/>
          <w:color w:val="auto"/>
          <w:sz w:val="24"/>
          <w:szCs w:val="24"/>
        </w:rPr>
      </w:pPr>
      <w:bookmarkStart w:id="150" w:name="_Toc31728"/>
      <w:r>
        <w:rPr>
          <w:rFonts w:hint="eastAsia" w:ascii="仿宋" w:hAnsi="仿宋" w:eastAsia="仿宋" w:cs="仿宋"/>
          <w:b/>
          <w:color w:val="auto"/>
          <w:sz w:val="24"/>
          <w:szCs w:val="24"/>
        </w:rPr>
        <w:t>附</w:t>
      </w:r>
      <w:r>
        <w:rPr>
          <w:rFonts w:hint="eastAsia" w:ascii="仿宋" w:hAnsi="仿宋" w:eastAsia="仿宋" w:cs="仿宋"/>
          <w:b/>
          <w:color w:val="auto"/>
          <w:sz w:val="24"/>
          <w:szCs w:val="24"/>
          <w:lang w:val="en-US" w:eastAsia="zh-CN"/>
        </w:rPr>
        <w:t>磋商</w:t>
      </w:r>
      <w:r>
        <w:rPr>
          <w:rFonts w:hint="eastAsia" w:ascii="仿宋" w:hAnsi="仿宋" w:eastAsia="仿宋" w:cs="仿宋"/>
          <w:b/>
          <w:color w:val="auto"/>
          <w:sz w:val="24"/>
          <w:szCs w:val="24"/>
        </w:rPr>
        <w:t>供应商授权代表有效的身份证正反两面扫描件</w:t>
      </w:r>
      <w:bookmarkEnd w:id="150"/>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25B7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2500" w:type="pct"/>
            <w:noWrap w:val="0"/>
            <w:vAlign w:val="top"/>
          </w:tcPr>
          <w:p w14:paraId="1D34B8AB">
            <w:pPr>
              <w:pageBreakBefore w:val="0"/>
              <w:kinsoku/>
              <w:bidi w:val="0"/>
              <w:spacing w:beforeAutospacing="0" w:afterAutospacing="0" w:line="360" w:lineRule="auto"/>
              <w:rPr>
                <w:rFonts w:hint="eastAsia" w:ascii="仿宋" w:hAnsi="仿宋" w:eastAsia="仿宋" w:cs="仿宋"/>
                <w:b/>
                <w:color w:val="auto"/>
                <w:szCs w:val="21"/>
              </w:rPr>
            </w:pPr>
          </w:p>
        </w:tc>
        <w:tc>
          <w:tcPr>
            <w:tcW w:w="2500" w:type="pct"/>
            <w:noWrap w:val="0"/>
            <w:vAlign w:val="top"/>
          </w:tcPr>
          <w:p w14:paraId="10484675">
            <w:pPr>
              <w:pageBreakBefore w:val="0"/>
              <w:kinsoku/>
              <w:bidi w:val="0"/>
              <w:spacing w:beforeAutospacing="0" w:afterAutospacing="0" w:line="360" w:lineRule="auto"/>
              <w:rPr>
                <w:rFonts w:hint="eastAsia" w:ascii="仿宋" w:hAnsi="仿宋" w:eastAsia="仿宋" w:cs="仿宋"/>
                <w:b/>
                <w:color w:val="auto"/>
                <w:szCs w:val="21"/>
              </w:rPr>
            </w:pPr>
          </w:p>
        </w:tc>
      </w:tr>
    </w:tbl>
    <w:p w14:paraId="50BE7FC1">
      <w:pPr>
        <w:pStyle w:val="27"/>
        <w:pageBreakBefore w:val="0"/>
        <w:kinsoku/>
        <w:bidi w:val="0"/>
        <w:spacing w:beforeAutospacing="0" w:afterAutospacing="0" w:line="360" w:lineRule="auto"/>
        <w:outlineLvl w:val="1"/>
        <w:rPr>
          <w:rFonts w:hint="eastAsia" w:ascii="仿宋" w:hAnsi="仿宋" w:eastAsia="仿宋" w:cs="仿宋"/>
          <w:color w:val="auto"/>
          <w:sz w:val="24"/>
          <w:szCs w:val="24"/>
        </w:rPr>
      </w:pPr>
      <w:r>
        <w:rPr>
          <w:rFonts w:hint="eastAsia" w:ascii="仿宋" w:hAnsi="仿宋" w:eastAsia="仿宋" w:cs="仿宋"/>
          <w:b/>
          <w:color w:val="auto"/>
          <w:szCs w:val="21"/>
        </w:rPr>
        <w:br w:type="page"/>
      </w:r>
      <w:bookmarkStart w:id="151" w:name="_Toc18388"/>
      <w:r>
        <w:rPr>
          <w:rFonts w:hint="eastAsia" w:ascii="仿宋" w:hAnsi="仿宋" w:eastAsia="仿宋" w:cs="仿宋"/>
          <w:b/>
          <w:color w:val="auto"/>
          <w:sz w:val="24"/>
          <w:szCs w:val="24"/>
        </w:rPr>
        <w:t>二</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响应函</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格式</w:t>
      </w:r>
      <w:bookmarkEnd w:id="151"/>
    </w:p>
    <w:p w14:paraId="69AC1822">
      <w:pPr>
        <w:pageBreakBefore w:val="0"/>
        <w:kinsoku/>
        <w:bidi w:val="0"/>
        <w:spacing w:beforeAutospacing="0" w:afterAutospacing="0" w:line="360" w:lineRule="auto"/>
        <w:jc w:val="center"/>
        <w:outlineLvl w:val="9"/>
        <w:rPr>
          <w:rFonts w:hint="eastAsia" w:ascii="仿宋" w:hAnsi="仿宋" w:eastAsia="仿宋" w:cs="仿宋"/>
          <w:b/>
          <w:color w:val="auto"/>
          <w:sz w:val="24"/>
          <w:szCs w:val="24"/>
        </w:rPr>
      </w:pPr>
      <w:bookmarkStart w:id="152" w:name="_Toc15281"/>
      <w:r>
        <w:rPr>
          <w:rFonts w:hint="eastAsia" w:ascii="仿宋" w:hAnsi="仿宋" w:eastAsia="仿宋" w:cs="仿宋"/>
          <w:b/>
          <w:color w:val="auto"/>
          <w:sz w:val="24"/>
          <w:szCs w:val="24"/>
        </w:rPr>
        <w:t xml:space="preserve">响   应  </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函</w:t>
      </w:r>
      <w:bookmarkEnd w:id="152"/>
    </w:p>
    <w:p w14:paraId="4B3DED31">
      <w:pPr>
        <w:pageBreakBefore w:val="0"/>
        <w:tabs>
          <w:tab w:val="left" w:pos="4860"/>
        </w:tabs>
        <w:kinsoku/>
        <w:bidi w:val="0"/>
        <w:spacing w:beforeAutospacing="0" w:afterAutospacing="0" w:line="360" w:lineRule="auto"/>
        <w:rPr>
          <w:rFonts w:hint="eastAsia" w:ascii="仿宋" w:hAnsi="仿宋" w:eastAsia="仿宋" w:cs="仿宋"/>
          <w:b/>
          <w:bCs/>
          <w:color w:val="auto"/>
          <w:sz w:val="24"/>
          <w:szCs w:val="24"/>
        </w:rPr>
      </w:pPr>
    </w:p>
    <w:p w14:paraId="43BA8759">
      <w:pPr>
        <w:pageBreakBefore w:val="0"/>
        <w:kinsoku/>
        <w:bidi w:val="0"/>
        <w:snapToGrid w:val="0"/>
        <w:spacing w:beforeAutospacing="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sz w:val="24"/>
          <w:szCs w:val="24"/>
          <w:u w:val="single"/>
        </w:rPr>
        <w:t xml:space="preserve">                      (磋商供应商全称)</w:t>
      </w:r>
      <w:r>
        <w:rPr>
          <w:rFonts w:hint="eastAsia" w:ascii="仿宋" w:hAnsi="仿宋" w:eastAsia="仿宋" w:cs="仿宋"/>
          <w:color w:val="auto"/>
          <w:sz w:val="24"/>
          <w:szCs w:val="24"/>
        </w:rPr>
        <w:t>授权</w:t>
      </w:r>
      <w:r>
        <w:rPr>
          <w:rFonts w:hint="eastAsia" w:ascii="仿宋" w:hAnsi="仿宋" w:eastAsia="仿宋" w:cs="仿宋"/>
          <w:color w:val="auto"/>
          <w:sz w:val="24"/>
          <w:szCs w:val="24"/>
          <w:u w:val="single"/>
        </w:rPr>
        <w:t xml:space="preserve">          (磋商供应商代表姓名)            </w:t>
      </w:r>
      <w:r>
        <w:rPr>
          <w:rFonts w:hint="eastAsia" w:ascii="仿宋" w:hAnsi="仿宋" w:eastAsia="仿宋" w:cs="仿宋"/>
          <w:color w:val="auto"/>
          <w:sz w:val="24"/>
          <w:szCs w:val="24"/>
        </w:rPr>
        <w:t>(职务、职称)为我方代表，参加贵方组织的</w:t>
      </w:r>
      <w:r>
        <w:rPr>
          <w:rFonts w:hint="eastAsia" w:ascii="仿宋" w:hAnsi="仿宋" w:eastAsia="仿宋" w:cs="仿宋"/>
          <w:color w:val="auto"/>
          <w:sz w:val="24"/>
          <w:szCs w:val="24"/>
          <w:u w:val="single"/>
        </w:rPr>
        <w:t xml:space="preserve">           (项目名称、项目编号)</w:t>
      </w:r>
      <w:r>
        <w:rPr>
          <w:rFonts w:hint="eastAsia" w:ascii="仿宋" w:hAnsi="仿宋" w:eastAsia="仿宋" w:cs="仿宋"/>
          <w:color w:val="auto"/>
          <w:sz w:val="24"/>
          <w:szCs w:val="24"/>
        </w:rPr>
        <w:t>竞争性磋商的有关活动，并对此项目进行报价。为此：</w:t>
      </w:r>
    </w:p>
    <w:p w14:paraId="0EF093D0">
      <w:pPr>
        <w:pStyle w:val="70"/>
        <w:pageBreakBefore w:val="0"/>
        <w:tabs>
          <w:tab w:val="left" w:pos="1711"/>
        </w:tabs>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1、我方已仔细研究了本项目磋商文件的全部内容，愿意以以下报价，按照磋商文件要求及合同约定完成项目。</w:t>
      </w:r>
    </w:p>
    <w:p w14:paraId="376ABB1C">
      <w:pPr>
        <w:pStyle w:val="70"/>
        <w:pageBreakBefore w:val="0"/>
        <w:tabs>
          <w:tab w:val="left" w:pos="1711"/>
        </w:tabs>
        <w:kinsoku/>
        <w:bidi w:val="0"/>
        <w:snapToGrid w:val="0"/>
        <w:spacing w:beforeAutospacing="0" w:afterAutospacing="0" w:line="360" w:lineRule="auto"/>
        <w:ind w:firstLine="480" w:firstLineChars="200"/>
        <w:outlineLvl w:val="9"/>
        <w:rPr>
          <w:rFonts w:hint="eastAsia" w:ascii="仿宋" w:hAnsi="仿宋" w:eastAsia="仿宋" w:cs="仿宋"/>
          <w:color w:val="auto"/>
          <w:sz w:val="24"/>
          <w:szCs w:val="24"/>
        </w:rPr>
      </w:pPr>
      <w:bookmarkStart w:id="153" w:name="_Toc26474"/>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元（￥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bookmarkEnd w:id="153"/>
    </w:p>
    <w:p w14:paraId="52EEA458">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2、我方同意在本项目磋商文件中规定的响应文件有效期90个日历天内（自递交响应文件</w:t>
      </w:r>
      <w:r>
        <w:rPr>
          <w:rFonts w:hint="eastAsia" w:ascii="仿宋" w:hAnsi="仿宋" w:eastAsia="仿宋" w:cs="仿宋"/>
          <w:color w:val="auto"/>
          <w:sz w:val="24"/>
          <w:szCs w:val="24"/>
          <w:lang w:val="en-US" w:eastAsia="zh-CN"/>
        </w:rPr>
        <w:t>的截止</w:t>
      </w:r>
      <w:r>
        <w:rPr>
          <w:rFonts w:hint="eastAsia" w:ascii="仿宋" w:hAnsi="仿宋" w:eastAsia="仿宋" w:cs="仿宋"/>
          <w:color w:val="auto"/>
          <w:sz w:val="24"/>
          <w:szCs w:val="24"/>
        </w:rPr>
        <w:t>之日起计算）遵守本磋商文件中的承诺且在此期限期满之前均具有约束力。如果成交，响应文件有效期延长至合同履约完毕。</w:t>
      </w:r>
    </w:p>
    <w:p w14:paraId="2620170E">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3、我方承诺已经具备《中华人民共和国政府采购法》中规定的参加政府采购活动的供应商应当具备的全部条件和本磋商文件规定的特定资质要求。</w:t>
      </w:r>
    </w:p>
    <w:p w14:paraId="232DCC88">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4、提供磋商须知规定的全部响应文件。</w:t>
      </w:r>
    </w:p>
    <w:p w14:paraId="327CD84E">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5、按磋商文件要求提供和交付的</w:t>
      </w:r>
      <w:r>
        <w:rPr>
          <w:rFonts w:hint="eastAsia" w:ascii="仿宋" w:hAnsi="仿宋" w:eastAsia="仿宋" w:cs="仿宋"/>
          <w:color w:val="auto"/>
          <w:sz w:val="24"/>
          <w:szCs w:val="24"/>
          <w:lang w:val="en-US" w:eastAsia="zh-CN"/>
        </w:rPr>
        <w:t>工程</w:t>
      </w:r>
      <w:r>
        <w:rPr>
          <w:rFonts w:hint="eastAsia" w:ascii="仿宋" w:hAnsi="仿宋" w:eastAsia="仿宋" w:cs="仿宋"/>
          <w:color w:val="auto"/>
          <w:sz w:val="24"/>
          <w:szCs w:val="24"/>
        </w:rPr>
        <w:t>的报价详见报价一览表。</w:t>
      </w:r>
    </w:p>
    <w:p w14:paraId="3D3E35EE">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6、我方承诺：完全理解磋商报价超过磋商文件公布的预算金额或最高限价时，报价将拒绝。</w:t>
      </w:r>
    </w:p>
    <w:p w14:paraId="3EFD2549">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7、保证忠实地执行双方所签订的合同，并承担合同规定的责任和义务。</w:t>
      </w:r>
    </w:p>
    <w:p w14:paraId="30E9E86F">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8、承诺完全满足和响应磋商文件中的各项商务和技术要求，若有偏差，已在响应文件商务条款偏离表中予以明确特别说明。</w:t>
      </w:r>
    </w:p>
    <w:p w14:paraId="1A1DF857">
      <w:pPr>
        <w:pStyle w:val="70"/>
        <w:pageBreakBefore w:val="0"/>
        <w:kinsoku/>
        <w:bidi w:val="0"/>
        <w:snapToGrid w:val="0"/>
        <w:spacing w:beforeAutospacing="0" w:afterAutospacing="0" w:line="360" w:lineRule="auto"/>
        <w:ind w:firstLine="470" w:firstLineChars="19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9、保证遵守磋商文件的规定。</w:t>
      </w:r>
    </w:p>
    <w:p w14:paraId="5F200C5A">
      <w:pPr>
        <w:pStyle w:val="70"/>
        <w:pageBreakBefore w:val="0"/>
        <w:kinsoku/>
        <w:bidi w:val="0"/>
        <w:snapToGrid w:val="0"/>
        <w:spacing w:beforeAutospacing="0" w:afterAutospacing="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10、我方承诺对磋商小组依法从符合相应资格条件的磋商供应商中，确定</w:t>
      </w:r>
      <w:r>
        <w:rPr>
          <w:rFonts w:hint="eastAsia" w:ascii="仿宋" w:hAnsi="仿宋" w:eastAsia="仿宋" w:cs="仿宋"/>
          <w:bCs/>
          <w:color w:val="auto"/>
          <w:sz w:val="24"/>
          <w:szCs w:val="24"/>
        </w:rPr>
        <w:t>参加磋商的磋商供应商</w:t>
      </w:r>
      <w:r>
        <w:rPr>
          <w:rFonts w:hint="eastAsia" w:ascii="仿宋" w:hAnsi="仿宋" w:eastAsia="仿宋" w:cs="仿宋"/>
          <w:color w:val="auto"/>
          <w:sz w:val="24"/>
          <w:szCs w:val="24"/>
        </w:rPr>
        <w:t>没有任何异议。</w:t>
      </w:r>
    </w:p>
    <w:p w14:paraId="42977B9B">
      <w:pPr>
        <w:pStyle w:val="70"/>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11、对贵方在本次磋商公告刊登的媒体上发布的公告或与本项目有关的通知，我方会及时查看获取。若因线路故障等其他原因导致通知延迟获取或无法获取，责任由我方自负。</w:t>
      </w:r>
    </w:p>
    <w:p w14:paraId="39C06784">
      <w:pPr>
        <w:pStyle w:val="70"/>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12、我方愿意向贵方提供任何与本项磋商有关的数据、情况和技术资料。若贵方需要，我方愿意提供我方做出的一切承诺的证明材料。</w:t>
      </w:r>
    </w:p>
    <w:p w14:paraId="4F918AD1">
      <w:pPr>
        <w:pStyle w:val="70"/>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13、我方已详细审核全部响应文件，包括响应文件修改书（如有的话）、参考资料及有关附件，确认无误。</w:t>
      </w:r>
    </w:p>
    <w:p w14:paraId="7A47F80C">
      <w:pPr>
        <w:pStyle w:val="70"/>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14、我方承诺：采购人若需追加采购本项目磋商文件所列货物及相关服务的，在不改变合同其他实质性条款的前提下，按相同或更优惠的折扣率保证供货。</w:t>
      </w:r>
    </w:p>
    <w:p w14:paraId="2E0EC201">
      <w:pPr>
        <w:pageBreakBefore w:val="0"/>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所有有关本次磋商的一切往来联系方式为：</w:t>
      </w:r>
    </w:p>
    <w:p w14:paraId="37F4A92C">
      <w:pPr>
        <w:pageBreakBefore w:val="0"/>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邮编：</w:t>
      </w:r>
      <w:r>
        <w:rPr>
          <w:rFonts w:hint="eastAsia" w:ascii="仿宋" w:hAnsi="仿宋" w:eastAsia="仿宋" w:cs="仿宋"/>
          <w:color w:val="auto"/>
          <w:sz w:val="24"/>
          <w:szCs w:val="24"/>
        </w:rPr>
        <w:tab/>
      </w:r>
    </w:p>
    <w:p w14:paraId="20719F3B">
      <w:pPr>
        <w:pageBreakBefore w:val="0"/>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传真：</w:t>
      </w:r>
    </w:p>
    <w:p w14:paraId="5529CDAF">
      <w:pPr>
        <w:pageBreakBefore w:val="0"/>
        <w:tabs>
          <w:tab w:val="left" w:pos="480"/>
        </w:tabs>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磋商供应商代表姓名：</w:t>
      </w:r>
    </w:p>
    <w:p w14:paraId="530A38B6">
      <w:pPr>
        <w:pageBreakBefore w:val="0"/>
        <w:tabs>
          <w:tab w:val="left" w:pos="480"/>
        </w:tabs>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磋商供应商代表联系电话：</w:t>
      </w:r>
    </w:p>
    <w:p w14:paraId="1996AB85">
      <w:pPr>
        <w:pageBreakBefore w:val="0"/>
        <w:tabs>
          <w:tab w:val="left" w:pos="480"/>
        </w:tabs>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E-mail：</w:t>
      </w:r>
    </w:p>
    <w:p w14:paraId="6A592A3A">
      <w:pPr>
        <w:pageBreakBefore w:val="0"/>
        <w:kinsoku/>
        <w:bidi w:val="0"/>
        <w:snapToGrid w:val="0"/>
        <w:spacing w:beforeAutospacing="0" w:afterAutospacing="0" w:line="360" w:lineRule="auto"/>
        <w:ind w:firstLine="2280" w:firstLineChars="950"/>
        <w:jc w:val="right"/>
        <w:rPr>
          <w:rFonts w:hint="eastAsia" w:ascii="仿宋" w:hAnsi="仿宋" w:eastAsia="仿宋" w:cs="仿宋"/>
          <w:color w:val="auto"/>
          <w:sz w:val="24"/>
          <w:szCs w:val="24"/>
        </w:rPr>
      </w:pPr>
    </w:p>
    <w:p w14:paraId="4FD2BC1F">
      <w:pPr>
        <w:pageBreakBefore w:val="0"/>
        <w:kinsoku/>
        <w:bidi w:val="0"/>
        <w:snapToGrid w:val="0"/>
        <w:spacing w:beforeAutospacing="0" w:afterAutospacing="0" w:line="360" w:lineRule="auto"/>
        <w:ind w:firstLine="2280" w:firstLineChars="950"/>
        <w:jc w:val="right"/>
        <w:rPr>
          <w:rFonts w:hint="eastAsia" w:ascii="仿宋" w:hAnsi="仿宋" w:eastAsia="仿宋" w:cs="仿宋"/>
          <w:color w:val="auto"/>
          <w:sz w:val="24"/>
          <w:szCs w:val="24"/>
        </w:rPr>
      </w:pPr>
      <w:r>
        <w:rPr>
          <w:rFonts w:hint="eastAsia" w:ascii="仿宋" w:hAnsi="仿宋" w:eastAsia="仿宋" w:cs="仿宋"/>
          <w:color w:val="auto"/>
          <w:sz w:val="24"/>
          <w:szCs w:val="24"/>
        </w:rPr>
        <w:t>磋商供应商：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公章</w:t>
      </w:r>
      <w:r>
        <w:rPr>
          <w:rFonts w:hint="eastAsia" w:ascii="仿宋" w:hAnsi="仿宋" w:eastAsia="仿宋" w:cs="仿宋"/>
          <w:color w:val="auto"/>
          <w:sz w:val="24"/>
          <w:szCs w:val="24"/>
        </w:rPr>
        <w:t>）</w:t>
      </w:r>
    </w:p>
    <w:p w14:paraId="0B29C066">
      <w:pPr>
        <w:pageBreakBefore w:val="0"/>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年  月  日</w:t>
      </w:r>
    </w:p>
    <w:p w14:paraId="66FBA88E">
      <w:pPr>
        <w:pageBreakBefore w:val="0"/>
        <w:kinsoku/>
        <w:bidi w:val="0"/>
        <w:snapToGrid w:val="0"/>
        <w:spacing w:beforeAutospacing="0" w:afterAutospacing="0" w:line="360" w:lineRule="auto"/>
        <w:outlineLvl w:val="1"/>
        <w:rPr>
          <w:rFonts w:hint="eastAsia" w:ascii="仿宋" w:hAnsi="仿宋" w:eastAsia="仿宋" w:cs="仿宋"/>
          <w:b/>
          <w:color w:val="auto"/>
          <w:sz w:val="24"/>
          <w:szCs w:val="24"/>
        </w:rPr>
      </w:pPr>
      <w:r>
        <w:rPr>
          <w:rFonts w:hint="eastAsia" w:ascii="仿宋" w:hAnsi="仿宋" w:eastAsia="仿宋" w:cs="仿宋"/>
          <w:color w:val="auto"/>
          <w:sz w:val="24"/>
          <w:szCs w:val="24"/>
        </w:rPr>
        <w:br w:type="page"/>
      </w:r>
      <w:bookmarkStart w:id="154" w:name="_Toc27114"/>
      <w:r>
        <w:rPr>
          <w:rFonts w:hint="eastAsia" w:ascii="仿宋" w:hAnsi="仿宋" w:eastAsia="仿宋" w:cs="仿宋"/>
          <w:b/>
          <w:color w:val="auto"/>
          <w:sz w:val="24"/>
          <w:szCs w:val="24"/>
        </w:rPr>
        <w:t>三</w:t>
      </w:r>
      <w:r>
        <w:rPr>
          <w:rFonts w:hint="eastAsia" w:ascii="仿宋" w:hAnsi="仿宋" w:eastAsia="仿宋" w:cs="仿宋"/>
          <w:b/>
          <w:color w:val="auto"/>
          <w:sz w:val="24"/>
          <w:szCs w:val="24"/>
          <w:lang w:eastAsia="zh-CN"/>
        </w:rPr>
        <w:t>、</w:t>
      </w:r>
      <w:bookmarkEnd w:id="154"/>
      <w:r>
        <w:rPr>
          <w:rFonts w:hint="eastAsia" w:ascii="仿宋" w:hAnsi="仿宋" w:eastAsia="仿宋" w:cs="仿宋"/>
          <w:b/>
          <w:color w:val="auto"/>
          <w:sz w:val="24"/>
          <w:szCs w:val="24"/>
        </w:rPr>
        <w:t>供应商具有独立承担民事责任的能力的信用承诺书</w:t>
      </w:r>
    </w:p>
    <w:p w14:paraId="690F22C1">
      <w:pPr>
        <w:pageBreakBefore w:val="0"/>
        <w:kinsoku/>
        <w:bidi w:val="0"/>
        <w:spacing w:beforeAutospacing="0" w:afterAutospacing="0" w:line="360" w:lineRule="auto"/>
        <w:jc w:val="center"/>
        <w:outlineLvl w:val="9"/>
        <w:rPr>
          <w:rFonts w:hint="eastAsia" w:ascii="仿宋" w:hAnsi="仿宋" w:eastAsia="仿宋" w:cs="仿宋"/>
          <w:b/>
          <w:color w:val="auto"/>
          <w:sz w:val="24"/>
          <w:szCs w:val="24"/>
        </w:rPr>
      </w:pPr>
      <w:bookmarkStart w:id="155" w:name="_Toc11093"/>
      <w:r>
        <w:rPr>
          <w:rFonts w:hint="eastAsia" w:ascii="仿宋" w:hAnsi="仿宋" w:eastAsia="仿宋" w:cs="仿宋"/>
          <w:b/>
          <w:color w:val="auto"/>
          <w:sz w:val="24"/>
          <w:szCs w:val="24"/>
          <w:lang w:val="en-US" w:eastAsia="zh-CN"/>
        </w:rPr>
        <w:t>供应商具有</w:t>
      </w:r>
      <w:r>
        <w:rPr>
          <w:rFonts w:hint="eastAsia" w:ascii="仿宋" w:hAnsi="仿宋" w:eastAsia="仿宋" w:cs="仿宋"/>
          <w:b/>
          <w:color w:val="auto"/>
          <w:sz w:val="24"/>
          <w:szCs w:val="24"/>
        </w:rPr>
        <w:t>独立承担民事责任的能力</w:t>
      </w:r>
      <w:r>
        <w:rPr>
          <w:rFonts w:hint="eastAsia" w:ascii="仿宋" w:hAnsi="仿宋" w:eastAsia="仿宋" w:cs="仿宋"/>
          <w:b/>
          <w:color w:val="auto"/>
          <w:sz w:val="24"/>
          <w:szCs w:val="24"/>
          <w:lang w:val="en-US" w:eastAsia="zh-CN"/>
        </w:rPr>
        <w:t>的</w:t>
      </w:r>
      <w:r>
        <w:rPr>
          <w:rFonts w:hint="eastAsia" w:ascii="仿宋" w:hAnsi="仿宋" w:eastAsia="仿宋" w:cs="仿宋"/>
          <w:b/>
          <w:color w:val="auto"/>
          <w:sz w:val="24"/>
          <w:szCs w:val="24"/>
          <w:lang w:eastAsia="zh-CN"/>
        </w:rPr>
        <w:t>信用承诺书</w:t>
      </w:r>
    </w:p>
    <w:p w14:paraId="1E878258">
      <w:pPr>
        <w:pageBreakBefore w:val="0"/>
        <w:kinsoku/>
        <w:bidi w:val="0"/>
        <w:spacing w:beforeAutospacing="0" w:afterAutospacing="0" w:line="360" w:lineRule="auto"/>
        <w:ind w:firstLine="480" w:firstLineChars="200"/>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致：</w:t>
      </w:r>
      <w:r>
        <w:rPr>
          <w:rFonts w:hint="eastAsia" w:ascii="仿宋" w:hAnsi="仿宋" w:eastAsia="仿宋" w:cs="仿宋"/>
          <w:b w:val="0"/>
          <w:bCs/>
          <w:color w:val="auto"/>
          <w:sz w:val="24"/>
          <w:szCs w:val="24"/>
          <w:u w:val="single"/>
        </w:rPr>
        <w:t>（采购人）</w:t>
      </w:r>
    </w:p>
    <w:p w14:paraId="021C05E8">
      <w:pPr>
        <w:pageBreakBefore w:val="0"/>
        <w:kinsoku/>
        <w:bidi w:val="0"/>
        <w:spacing w:beforeAutospacing="0" w:afterAutospacing="0" w:line="360" w:lineRule="auto"/>
        <w:ind w:firstLine="480" w:firstLineChars="200"/>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本供应商现参与</w:t>
      </w:r>
      <w:r>
        <w:rPr>
          <w:rFonts w:hint="eastAsia" w:ascii="仿宋" w:hAnsi="仿宋" w:eastAsia="仿宋" w:cs="仿宋"/>
          <w:b w:val="0"/>
          <w:bCs/>
          <w:color w:val="auto"/>
          <w:sz w:val="24"/>
          <w:szCs w:val="24"/>
          <w:lang w:val="en-US" w:eastAsia="zh-CN"/>
        </w:rPr>
        <w:t>贵单位组织的</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rPr>
        <w:t>项目（项目编号：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）的采购活动</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依据</w:t>
      </w:r>
      <w:r>
        <w:rPr>
          <w:rFonts w:hint="eastAsia" w:ascii="仿宋" w:hAnsi="仿宋" w:eastAsia="仿宋" w:cs="仿宋"/>
          <w:b w:val="0"/>
          <w:bCs/>
          <w:color w:val="auto"/>
          <w:sz w:val="24"/>
          <w:szCs w:val="24"/>
          <w:lang w:val="en-US" w:eastAsia="zh-CN"/>
        </w:rPr>
        <w:t>响应</w:t>
      </w:r>
      <w:r>
        <w:rPr>
          <w:rFonts w:hint="eastAsia" w:ascii="仿宋" w:hAnsi="仿宋" w:eastAsia="仿宋" w:cs="仿宋"/>
          <w:b w:val="0"/>
          <w:bCs/>
          <w:color w:val="auto"/>
          <w:sz w:val="24"/>
          <w:szCs w:val="24"/>
        </w:rPr>
        <w:t>文件相关规定，</w:t>
      </w:r>
      <w:r>
        <w:rPr>
          <w:rFonts w:hint="eastAsia" w:ascii="仿宋" w:hAnsi="仿宋" w:eastAsia="仿宋" w:cs="仿宋"/>
          <w:b w:val="0"/>
          <w:bCs/>
          <w:color w:val="auto"/>
          <w:sz w:val="24"/>
          <w:szCs w:val="24"/>
          <w:lang w:val="en-US" w:eastAsia="zh-CN"/>
        </w:rPr>
        <w:t>现</w:t>
      </w:r>
      <w:r>
        <w:rPr>
          <w:rFonts w:hint="eastAsia" w:ascii="仿宋" w:hAnsi="仿宋" w:eastAsia="仿宋" w:cs="仿宋"/>
          <w:b w:val="0"/>
          <w:bCs/>
          <w:color w:val="auto"/>
          <w:sz w:val="24"/>
          <w:szCs w:val="24"/>
        </w:rPr>
        <w:t>郑重承诺：我方</w:t>
      </w:r>
      <w:r>
        <w:rPr>
          <w:rFonts w:hint="eastAsia" w:ascii="仿宋" w:hAnsi="仿宋" w:eastAsia="仿宋" w:cs="仿宋"/>
          <w:b w:val="0"/>
          <w:bCs/>
          <w:color w:val="auto"/>
          <w:sz w:val="24"/>
          <w:szCs w:val="24"/>
          <w:lang w:val="en-US" w:eastAsia="zh-CN"/>
        </w:rPr>
        <w:t>具有有效的营业执照或事业单位法人证书或自然人身份证明或其他非企业组织证明文件及有效的开户许可证，能</w:t>
      </w:r>
      <w:r>
        <w:rPr>
          <w:rFonts w:hint="eastAsia" w:ascii="仿宋" w:hAnsi="仿宋" w:eastAsia="仿宋" w:cs="仿宋"/>
          <w:b w:val="0"/>
          <w:bCs/>
          <w:color w:val="auto"/>
          <w:sz w:val="24"/>
          <w:szCs w:val="24"/>
        </w:rPr>
        <w:t>独立承担民事责任的能力</w:t>
      </w:r>
      <w:r>
        <w:rPr>
          <w:rFonts w:hint="eastAsia" w:ascii="仿宋" w:hAnsi="仿宋" w:eastAsia="仿宋" w:cs="仿宋"/>
          <w:b w:val="0"/>
          <w:bCs/>
          <w:color w:val="auto"/>
          <w:sz w:val="24"/>
          <w:szCs w:val="24"/>
          <w:lang w:eastAsia="zh-CN"/>
        </w:rPr>
        <w:t>。</w:t>
      </w:r>
    </w:p>
    <w:p w14:paraId="3DE281A6">
      <w:pPr>
        <w:pageBreakBefore w:val="0"/>
        <w:kinsoku/>
        <w:bidi w:val="0"/>
        <w:spacing w:beforeAutospacing="0" w:afterAutospacing="0" w:line="360" w:lineRule="auto"/>
        <w:ind w:firstLine="480" w:firstLineChars="200"/>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基本信息如下：</w:t>
      </w:r>
    </w:p>
    <w:p w14:paraId="323547E2">
      <w:pPr>
        <w:pageBreakBefore w:val="0"/>
        <w:kinsoku/>
        <w:bidi w:val="0"/>
        <w:spacing w:beforeAutospacing="0" w:afterAutospacing="0" w:line="360" w:lineRule="auto"/>
        <w:ind w:firstLine="480" w:firstLineChars="200"/>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名称为：</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，统一社会信用代码为：</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法定代表人（负责人）为：</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；营业期限为:</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；基本开户银行为：</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账号为：</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eastAsia="zh-CN"/>
        </w:rPr>
        <w:t>。</w:t>
      </w:r>
    </w:p>
    <w:p w14:paraId="71AE58B1">
      <w:pPr>
        <w:pageBreakBefore w:val="0"/>
        <w:kinsoku/>
        <w:bidi w:val="0"/>
        <w:spacing w:beforeAutospacing="0" w:afterAutospacing="0" w:line="360" w:lineRule="auto"/>
        <w:ind w:firstLine="480" w:firstLineChars="200"/>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以上承诺信息</w:t>
      </w:r>
      <w:r>
        <w:rPr>
          <w:rFonts w:hint="eastAsia" w:ascii="仿宋" w:hAnsi="仿宋" w:eastAsia="仿宋" w:cs="仿宋"/>
          <w:b w:val="0"/>
          <w:bCs/>
          <w:color w:val="auto"/>
          <w:sz w:val="24"/>
          <w:szCs w:val="24"/>
        </w:rPr>
        <w:t>如有虚假或隐瞒，我方愿意承担一切后果，并不再寻求任何旨在减轻或免除</w:t>
      </w:r>
      <w:r>
        <w:rPr>
          <w:rFonts w:hint="eastAsia" w:ascii="仿宋" w:hAnsi="仿宋" w:eastAsia="仿宋" w:cs="仿宋"/>
          <w:b w:val="0"/>
          <w:bCs/>
          <w:color w:val="auto"/>
          <w:sz w:val="24"/>
          <w:szCs w:val="24"/>
          <w:lang w:val="en-US" w:eastAsia="zh-CN"/>
        </w:rPr>
        <w:t>法律</w:t>
      </w:r>
      <w:r>
        <w:rPr>
          <w:rFonts w:hint="eastAsia" w:ascii="仿宋" w:hAnsi="仿宋" w:eastAsia="仿宋" w:cs="仿宋"/>
          <w:b w:val="0"/>
          <w:bCs/>
          <w:color w:val="auto"/>
          <w:sz w:val="24"/>
          <w:szCs w:val="24"/>
        </w:rPr>
        <w:t>责任的辩解。</w:t>
      </w:r>
    </w:p>
    <w:p w14:paraId="175CC960">
      <w:pPr>
        <w:pageBreakBefore w:val="0"/>
        <w:kinsoku/>
        <w:bidi w:val="0"/>
        <w:spacing w:beforeAutospacing="0" w:afterAutospacing="0" w:line="360" w:lineRule="auto"/>
        <w:ind w:firstLine="480" w:firstLineChars="200"/>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特此承诺。</w:t>
      </w:r>
    </w:p>
    <w:p w14:paraId="7AEBB652">
      <w:pPr>
        <w:pageBreakBefore w:val="0"/>
        <w:kinsoku/>
        <w:bidi w:val="0"/>
        <w:spacing w:beforeAutospacing="0" w:afterAutospacing="0" w:line="360" w:lineRule="auto"/>
        <w:outlineLvl w:val="9"/>
        <w:rPr>
          <w:rFonts w:hint="eastAsia" w:ascii="仿宋" w:hAnsi="仿宋" w:eastAsia="仿宋" w:cs="仿宋"/>
          <w:b w:val="0"/>
          <w:bCs/>
          <w:color w:val="auto"/>
          <w:sz w:val="24"/>
          <w:szCs w:val="24"/>
        </w:rPr>
      </w:pPr>
    </w:p>
    <w:p w14:paraId="7584B42B">
      <w:pPr>
        <w:pageBreakBefore w:val="0"/>
        <w:kinsoku/>
        <w:bidi w:val="0"/>
        <w:spacing w:beforeAutospacing="0" w:afterAutospacing="0" w:line="360" w:lineRule="auto"/>
        <w:outlineLvl w:val="9"/>
        <w:rPr>
          <w:rFonts w:hint="eastAsia" w:ascii="仿宋" w:hAnsi="仿宋" w:eastAsia="仿宋" w:cs="仿宋"/>
          <w:b w:val="0"/>
          <w:bCs/>
          <w:color w:val="auto"/>
          <w:sz w:val="24"/>
          <w:szCs w:val="24"/>
        </w:rPr>
      </w:pPr>
    </w:p>
    <w:p w14:paraId="004769AA">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供应商全</w:t>
      </w:r>
      <w:r>
        <w:rPr>
          <w:rFonts w:hint="eastAsia" w:ascii="仿宋" w:hAnsi="仿宋" w:eastAsia="仿宋" w:cs="仿宋"/>
          <w:b w:val="0"/>
          <w:bCs/>
          <w:color w:val="auto"/>
          <w:sz w:val="24"/>
          <w:szCs w:val="24"/>
        </w:rPr>
        <w:t>称：</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单位公</w:t>
      </w:r>
      <w:r>
        <w:rPr>
          <w:rFonts w:hint="eastAsia" w:ascii="仿宋" w:hAnsi="仿宋" w:eastAsia="仿宋" w:cs="仿宋"/>
          <w:b w:val="0"/>
          <w:bCs/>
          <w:color w:val="auto"/>
          <w:sz w:val="24"/>
          <w:szCs w:val="24"/>
        </w:rPr>
        <w:t>章）</w:t>
      </w:r>
    </w:p>
    <w:p w14:paraId="29084FF0">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法定代表人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负责人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（签字或盖章）</w:t>
      </w:r>
    </w:p>
    <w:p w14:paraId="2BC57D7C">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日期：</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月</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日</w:t>
      </w:r>
    </w:p>
    <w:p w14:paraId="1582D0CF">
      <w:pPr>
        <w:pageBreakBefore w:val="0"/>
        <w:numPr>
          <w:ilvl w:val="0"/>
          <w:numId w:val="0"/>
        </w:numPr>
        <w:kinsoku/>
        <w:bidi w:val="0"/>
        <w:spacing w:beforeAutospacing="0" w:afterAutospacing="0" w:line="360" w:lineRule="auto"/>
        <w:ind w:leftChars="0"/>
        <w:jc w:val="left"/>
        <w:outlineLvl w:val="1"/>
        <w:rPr>
          <w:rFonts w:hint="eastAsia" w:ascii="仿宋" w:hAnsi="仿宋" w:eastAsia="仿宋" w:cs="仿宋"/>
          <w:b/>
          <w:color w:val="auto"/>
          <w:kern w:val="0"/>
          <w:sz w:val="24"/>
          <w:szCs w:val="24"/>
        </w:rPr>
      </w:pPr>
      <w:r>
        <w:rPr>
          <w:rFonts w:hint="eastAsia" w:ascii="仿宋" w:hAnsi="仿宋" w:eastAsia="仿宋" w:cs="仿宋"/>
          <w:b w:val="0"/>
          <w:bCs/>
          <w:color w:val="auto"/>
          <w:sz w:val="24"/>
          <w:szCs w:val="24"/>
        </w:rPr>
        <w:br w:type="page"/>
      </w:r>
      <w:bookmarkEnd w:id="155"/>
      <w:r>
        <w:rPr>
          <w:rFonts w:hint="eastAsia" w:ascii="仿宋" w:hAnsi="仿宋" w:eastAsia="仿宋" w:cs="仿宋"/>
          <w:b/>
          <w:bCs w:val="0"/>
          <w:color w:val="auto"/>
          <w:sz w:val="24"/>
          <w:szCs w:val="24"/>
          <w:lang w:val="en-US" w:eastAsia="zh-CN"/>
        </w:rPr>
        <w:t>四、</w:t>
      </w:r>
      <w:r>
        <w:rPr>
          <w:rFonts w:hint="eastAsia" w:ascii="仿宋" w:hAnsi="仿宋" w:eastAsia="仿宋" w:cs="仿宋"/>
          <w:b/>
          <w:color w:val="auto"/>
          <w:kern w:val="0"/>
          <w:sz w:val="24"/>
          <w:szCs w:val="24"/>
        </w:rPr>
        <w:t>具有良好的商业信誉和健全的财务会计制度的信用承诺书</w:t>
      </w:r>
      <w:bookmarkStart w:id="156" w:name="_Toc23315"/>
    </w:p>
    <w:p w14:paraId="6012BA1D">
      <w:pPr>
        <w:pageBreakBefore w:val="0"/>
        <w:numPr>
          <w:ilvl w:val="0"/>
          <w:numId w:val="0"/>
        </w:numPr>
        <w:kinsoku/>
        <w:bidi w:val="0"/>
        <w:spacing w:beforeAutospacing="0" w:afterAutospacing="0" w:line="360" w:lineRule="auto"/>
        <w:ind w:leftChars="0"/>
        <w:jc w:val="center"/>
        <w:outlineLvl w:val="1"/>
        <w:rPr>
          <w:rFonts w:hint="eastAsia" w:ascii="仿宋" w:hAnsi="仿宋" w:eastAsia="仿宋" w:cs="仿宋"/>
          <w:b/>
          <w:bCs/>
          <w:color w:val="auto"/>
          <w:spacing w:val="20"/>
          <w:sz w:val="28"/>
          <w:szCs w:val="28"/>
        </w:rPr>
      </w:pPr>
      <w:r>
        <w:rPr>
          <w:rFonts w:hint="eastAsia" w:ascii="仿宋" w:hAnsi="仿宋" w:eastAsia="仿宋" w:cs="仿宋"/>
          <w:b/>
          <w:color w:val="auto"/>
          <w:sz w:val="24"/>
          <w:szCs w:val="24"/>
        </w:rPr>
        <w:t>具有良好的商业信誉和健全的财务会计制度的</w:t>
      </w:r>
      <w:r>
        <w:rPr>
          <w:rFonts w:hint="eastAsia" w:ascii="仿宋" w:hAnsi="仿宋" w:eastAsia="仿宋" w:cs="仿宋"/>
          <w:b/>
          <w:color w:val="auto"/>
          <w:sz w:val="24"/>
          <w:szCs w:val="24"/>
          <w:lang w:eastAsia="zh-CN"/>
        </w:rPr>
        <w:t>信用承诺书</w:t>
      </w:r>
    </w:p>
    <w:p w14:paraId="7983C9EB">
      <w:pPr>
        <w:pageBreakBefore w:val="0"/>
        <w:kinsoku/>
        <w:autoSpaceDE/>
        <w:autoSpaceDN/>
        <w:bidi w:val="0"/>
        <w:snapToGrid w:val="0"/>
        <w:spacing w:beforeAutospacing="0" w:afterAutospacing="0" w:line="360" w:lineRule="auto"/>
        <w:rPr>
          <w:rFonts w:hint="eastAsia" w:ascii="仿宋" w:hAnsi="仿宋" w:eastAsia="仿宋" w:cs="仿宋"/>
          <w:b w:val="0"/>
          <w:bCs w:val="0"/>
          <w:color w:val="auto"/>
          <w:sz w:val="28"/>
          <w:szCs w:val="28"/>
        </w:rPr>
      </w:pPr>
    </w:p>
    <w:p w14:paraId="46E0BF91">
      <w:pPr>
        <w:pageBreakBefore w:val="0"/>
        <w:kinsoku/>
        <w:bidi w:val="0"/>
        <w:spacing w:beforeAutospacing="0" w:afterAutospacing="0" w:line="360" w:lineRule="auto"/>
        <w:ind w:firstLine="480" w:firstLineChars="200"/>
        <w:rPr>
          <w:rFonts w:hint="eastAsia" w:ascii="仿宋" w:hAnsi="仿宋" w:eastAsia="仿宋" w:cs="仿宋"/>
          <w:color w:val="auto"/>
          <w:sz w:val="24"/>
          <w:szCs w:val="24"/>
          <w:lang w:val="en-US"/>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w:t>
      </w:r>
    </w:p>
    <w:p w14:paraId="0363BFA6">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我单位参与</w:t>
      </w:r>
      <w:r>
        <w:rPr>
          <w:rFonts w:hint="eastAsia" w:ascii="仿宋" w:hAnsi="仿宋" w:eastAsia="仿宋" w:cs="仿宋"/>
          <w:color w:val="auto"/>
          <w:sz w:val="24"/>
          <w:szCs w:val="24"/>
          <w:u w:val="single"/>
          <w:lang w:val="en-US"/>
        </w:rPr>
        <w:t xml:space="preserve">  （</w:t>
      </w:r>
      <w:r>
        <w:rPr>
          <w:rFonts w:hint="eastAsia" w:ascii="仿宋" w:hAnsi="仿宋" w:eastAsia="仿宋" w:cs="仿宋"/>
          <w:color w:val="auto"/>
          <w:sz w:val="24"/>
          <w:szCs w:val="24"/>
          <w:u w:val="single"/>
        </w:rPr>
        <w:t>项目名称）、（项目编号）</w:t>
      </w:r>
      <w:r>
        <w:rPr>
          <w:rFonts w:hint="eastAsia" w:ascii="仿宋" w:hAnsi="仿宋" w:eastAsia="仿宋" w:cs="仿宋"/>
          <w:color w:val="auto"/>
          <w:sz w:val="24"/>
          <w:szCs w:val="24"/>
          <w:u w:val="single"/>
          <w:lang w:val="en-US"/>
        </w:rPr>
        <w:t xml:space="preserve">  </w:t>
      </w:r>
      <w:r>
        <w:rPr>
          <w:rFonts w:hint="eastAsia" w:ascii="仿宋" w:hAnsi="仿宋" w:eastAsia="仿宋" w:cs="仿宋"/>
          <w:color w:val="auto"/>
          <w:sz w:val="24"/>
          <w:szCs w:val="24"/>
        </w:rPr>
        <w:t>项目的政府采购活动，现承诺如下：</w:t>
      </w:r>
    </w:p>
    <w:p w14:paraId="1B1DCBD6">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我单位具有符合</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文件资格要求的财务状况报告。</w:t>
      </w:r>
    </w:p>
    <w:p w14:paraId="17B5620A">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若我单位承诺不实，自愿承担提供虚假材料谋取中标，成交的法律责任。</w:t>
      </w:r>
    </w:p>
    <w:p w14:paraId="52D21FCD">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p>
    <w:p w14:paraId="0A57E5A8">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p>
    <w:p w14:paraId="7B8F5486">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p>
    <w:p w14:paraId="67801668">
      <w:pPr>
        <w:pageBreakBefore w:val="0"/>
        <w:kinsoku/>
        <w:bidi w:val="0"/>
        <w:spacing w:beforeAutospacing="0" w:afterAutospacing="0"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供应商全</w:t>
      </w:r>
      <w:r>
        <w:rPr>
          <w:rFonts w:hint="eastAsia" w:ascii="仿宋" w:hAnsi="仿宋" w:eastAsia="仿宋" w:cs="仿宋"/>
          <w:color w:val="auto"/>
          <w:sz w:val="24"/>
          <w:szCs w:val="24"/>
        </w:rPr>
        <w:t>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单位公</w:t>
      </w:r>
      <w:r>
        <w:rPr>
          <w:rFonts w:hint="eastAsia" w:ascii="仿宋" w:hAnsi="仿宋" w:eastAsia="仿宋" w:cs="仿宋"/>
          <w:color w:val="auto"/>
          <w:sz w:val="24"/>
          <w:szCs w:val="24"/>
        </w:rPr>
        <w:t>章）</w:t>
      </w:r>
    </w:p>
    <w:p w14:paraId="55380BE5">
      <w:pPr>
        <w:pageBreakBefore w:val="0"/>
        <w:kinsoku/>
        <w:bidi w:val="0"/>
        <w:spacing w:beforeAutospacing="0" w:afterAutospacing="0"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负责人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14:paraId="61AC89EF">
      <w:pPr>
        <w:pageBreakBefore w:val="0"/>
        <w:kinsoku/>
        <w:bidi w:val="0"/>
        <w:spacing w:beforeAutospacing="0" w:afterAutospacing="0"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u w:val="single"/>
          <w:lang w:val="en-US"/>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rPr>
        <w:t xml:space="preserve">        </w:t>
      </w:r>
      <w:r>
        <w:rPr>
          <w:rFonts w:hint="eastAsia" w:ascii="仿宋" w:hAnsi="仿宋" w:eastAsia="仿宋" w:cs="仿宋"/>
          <w:color w:val="auto"/>
          <w:sz w:val="24"/>
          <w:szCs w:val="24"/>
        </w:rPr>
        <w:t>日</w:t>
      </w:r>
    </w:p>
    <w:p w14:paraId="2A9B24D8">
      <w:pPr>
        <w:pageBreakBefore w:val="0"/>
        <w:kinsoku/>
        <w:bidi w:val="0"/>
        <w:spacing w:beforeAutospacing="0" w:afterAutospacing="0" w:line="360" w:lineRule="auto"/>
        <w:jc w:val="left"/>
        <w:outlineLvl w:val="1"/>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rPr>
        <w:br w:type="page"/>
      </w:r>
      <w:r>
        <w:rPr>
          <w:rFonts w:hint="eastAsia" w:ascii="仿宋" w:hAnsi="仿宋" w:eastAsia="仿宋" w:cs="仿宋"/>
          <w:b/>
          <w:bCs/>
          <w:color w:val="auto"/>
          <w:sz w:val="24"/>
          <w:szCs w:val="24"/>
        </w:rPr>
        <w:t>五</w:t>
      </w:r>
      <w:r>
        <w:rPr>
          <w:rFonts w:hint="eastAsia" w:ascii="仿宋" w:hAnsi="仿宋" w:eastAsia="仿宋" w:cs="仿宋"/>
          <w:b/>
          <w:bCs/>
          <w:color w:val="auto"/>
          <w:sz w:val="24"/>
          <w:szCs w:val="24"/>
          <w:lang w:eastAsia="zh-CN"/>
        </w:rPr>
        <w:t>、</w:t>
      </w:r>
      <w:bookmarkEnd w:id="156"/>
      <w:r>
        <w:rPr>
          <w:rFonts w:hint="eastAsia" w:ascii="仿宋" w:hAnsi="仿宋" w:eastAsia="仿宋" w:cs="仿宋"/>
          <w:b/>
          <w:bCs/>
          <w:color w:val="auto"/>
          <w:sz w:val="24"/>
          <w:szCs w:val="24"/>
        </w:rPr>
        <w:t>磋商供应商具有履行合同所必需的设备和专业技术能力的信用承诺书</w:t>
      </w:r>
    </w:p>
    <w:p w14:paraId="40B9C74E">
      <w:pPr>
        <w:pageBreakBefore w:val="0"/>
        <w:kinsoku/>
        <w:bidi w:val="0"/>
        <w:spacing w:beforeAutospacing="0" w:afterAutospacing="0" w:line="360" w:lineRule="auto"/>
        <w:jc w:val="center"/>
        <w:outlineLvl w:val="9"/>
        <w:rPr>
          <w:rFonts w:hint="eastAsia" w:ascii="仿宋" w:hAnsi="仿宋" w:eastAsia="仿宋" w:cs="仿宋"/>
          <w:b/>
          <w:color w:val="auto"/>
          <w:spacing w:val="20"/>
          <w:sz w:val="24"/>
          <w:szCs w:val="24"/>
          <w:lang w:val="en-US"/>
        </w:rPr>
      </w:pPr>
      <w:r>
        <w:rPr>
          <w:rFonts w:hint="eastAsia" w:ascii="仿宋" w:hAnsi="仿宋" w:eastAsia="仿宋" w:cs="仿宋"/>
          <w:b/>
          <w:color w:val="auto"/>
          <w:spacing w:val="20"/>
          <w:sz w:val="24"/>
          <w:szCs w:val="24"/>
        </w:rPr>
        <w:t>磋商供应商</w:t>
      </w:r>
      <w:r>
        <w:rPr>
          <w:rFonts w:hint="eastAsia" w:ascii="仿宋" w:hAnsi="仿宋" w:eastAsia="仿宋" w:cs="仿宋"/>
          <w:b/>
          <w:bCs/>
          <w:color w:val="auto"/>
          <w:sz w:val="24"/>
          <w:szCs w:val="24"/>
        </w:rPr>
        <w:t>具有</w:t>
      </w:r>
      <w:r>
        <w:rPr>
          <w:rFonts w:hint="eastAsia" w:ascii="仿宋" w:hAnsi="仿宋" w:eastAsia="仿宋" w:cs="仿宋"/>
          <w:b/>
          <w:bCs/>
          <w:color w:val="auto"/>
          <w:sz w:val="24"/>
          <w:szCs w:val="24"/>
          <w:lang w:val="en-US" w:eastAsia="zh-CN"/>
        </w:rPr>
        <w:t>履行合同所必需的设备和专业技术能力的</w:t>
      </w:r>
      <w:r>
        <w:rPr>
          <w:rFonts w:hint="eastAsia" w:ascii="仿宋" w:hAnsi="仿宋" w:eastAsia="仿宋" w:cs="仿宋"/>
          <w:b/>
          <w:color w:val="auto"/>
          <w:sz w:val="24"/>
          <w:szCs w:val="24"/>
          <w:lang w:eastAsia="zh-CN"/>
        </w:rPr>
        <w:t>信用承诺书</w:t>
      </w:r>
    </w:p>
    <w:p w14:paraId="133F6F49">
      <w:pPr>
        <w:pageBreakBefore w:val="0"/>
        <w:kinsoku/>
        <w:bidi w:val="0"/>
        <w:spacing w:beforeAutospacing="0" w:afterAutospacing="0" w:line="360" w:lineRule="auto"/>
        <w:rPr>
          <w:rFonts w:hint="eastAsia" w:ascii="仿宋" w:hAnsi="仿宋" w:eastAsia="仿宋" w:cs="仿宋"/>
          <w:color w:val="auto"/>
          <w:sz w:val="24"/>
          <w:szCs w:val="24"/>
        </w:rPr>
      </w:pPr>
    </w:p>
    <w:p w14:paraId="3D916090">
      <w:pPr>
        <w:pageBreakBefore w:val="0"/>
        <w:kinsoku/>
        <w:bidi w:val="0"/>
        <w:spacing w:beforeAutospacing="0" w:afterAutospacing="0" w:line="360" w:lineRule="auto"/>
        <w:rPr>
          <w:rFonts w:hint="eastAsia" w:ascii="仿宋" w:hAnsi="仿宋" w:eastAsia="仿宋" w:cs="仿宋"/>
          <w:color w:val="auto"/>
          <w:sz w:val="24"/>
          <w:szCs w:val="24"/>
          <w:lang w:val="en-US"/>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w:t>
      </w:r>
    </w:p>
    <w:p w14:paraId="0E7CE7FD">
      <w:pPr>
        <w:pageBreakBefore w:val="0"/>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本磋商供应商现参与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）的采购活动，现承诺具有</w:t>
      </w:r>
      <w:r>
        <w:rPr>
          <w:rFonts w:hint="eastAsia" w:ascii="仿宋" w:hAnsi="仿宋" w:eastAsia="仿宋" w:cs="仿宋"/>
          <w:color w:val="auto"/>
          <w:sz w:val="24"/>
          <w:szCs w:val="24"/>
          <w:lang w:val="en-US" w:eastAsia="zh-CN"/>
        </w:rPr>
        <w:t>履行合同所必需的设备和专业技术能力</w:t>
      </w:r>
      <w:r>
        <w:rPr>
          <w:rFonts w:hint="eastAsia" w:ascii="仿宋" w:hAnsi="仿宋" w:eastAsia="仿宋" w:cs="仿宋"/>
          <w:color w:val="auto"/>
          <w:sz w:val="24"/>
          <w:szCs w:val="24"/>
        </w:rPr>
        <w:t>。</w:t>
      </w:r>
    </w:p>
    <w:p w14:paraId="5BD3994A">
      <w:pPr>
        <w:pageBreakBefore w:val="0"/>
        <w:kinsoku/>
        <w:bidi w:val="0"/>
        <w:snapToGrid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如上述承诺不真实，愿意按照政府采购有关法律法规的规定接受处罚。</w:t>
      </w:r>
    </w:p>
    <w:p w14:paraId="7F610546">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特此声明</w:t>
      </w:r>
    </w:p>
    <w:p w14:paraId="541533FE">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lang w:val="en-US" w:eastAsia="zh-CN"/>
        </w:rPr>
      </w:pPr>
      <w:bookmarkStart w:id="157" w:name="_Toc29961"/>
    </w:p>
    <w:p w14:paraId="4269E3D8">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lang w:val="en-US" w:eastAsia="zh-CN"/>
        </w:rPr>
      </w:pPr>
    </w:p>
    <w:p w14:paraId="5A9D33A2">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供应商全</w:t>
      </w:r>
      <w:r>
        <w:rPr>
          <w:rFonts w:hint="eastAsia" w:ascii="仿宋" w:hAnsi="仿宋" w:eastAsia="仿宋" w:cs="仿宋"/>
          <w:b w:val="0"/>
          <w:bCs/>
          <w:color w:val="auto"/>
          <w:sz w:val="24"/>
          <w:szCs w:val="24"/>
        </w:rPr>
        <w:t>称：</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单位公</w:t>
      </w:r>
      <w:r>
        <w:rPr>
          <w:rFonts w:hint="eastAsia" w:ascii="仿宋" w:hAnsi="仿宋" w:eastAsia="仿宋" w:cs="仿宋"/>
          <w:b w:val="0"/>
          <w:bCs/>
          <w:color w:val="auto"/>
          <w:sz w:val="24"/>
          <w:szCs w:val="24"/>
        </w:rPr>
        <w:t>章）</w:t>
      </w:r>
    </w:p>
    <w:p w14:paraId="7E382A82">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法定代表人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负责人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（签字或盖章）</w:t>
      </w:r>
    </w:p>
    <w:p w14:paraId="20794D7F">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日期：</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月</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日</w:t>
      </w:r>
    </w:p>
    <w:p w14:paraId="4C4EE535">
      <w:pPr>
        <w:pageBreakBefore w:val="0"/>
        <w:kinsoku/>
        <w:bidi w:val="0"/>
        <w:spacing w:beforeAutospacing="0" w:afterAutospacing="0" w:line="360" w:lineRule="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六</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具有依法缴纳税收和社会保障资金的良好记录的信用承诺书</w:t>
      </w:r>
      <w:bookmarkEnd w:id="157"/>
    </w:p>
    <w:p w14:paraId="31288445">
      <w:pPr>
        <w:pageBreakBefore w:val="0"/>
        <w:kinsoku/>
        <w:autoSpaceDE/>
        <w:autoSpaceDN/>
        <w:bidi w:val="0"/>
        <w:spacing w:beforeAutospacing="0" w:afterAutospacing="0" w:line="360" w:lineRule="auto"/>
        <w:jc w:val="center"/>
        <w:outlineLvl w:val="9"/>
        <w:rPr>
          <w:rFonts w:hint="eastAsia" w:ascii="仿宋" w:hAnsi="仿宋" w:eastAsia="仿宋" w:cs="仿宋"/>
          <w:b/>
          <w:color w:val="auto"/>
          <w:sz w:val="24"/>
          <w:szCs w:val="24"/>
          <w:lang w:eastAsia="zh-CN"/>
        </w:rPr>
      </w:pPr>
      <w:bookmarkStart w:id="158" w:name="_Toc23556"/>
      <w:r>
        <w:rPr>
          <w:rFonts w:hint="eastAsia" w:ascii="仿宋" w:hAnsi="仿宋" w:eastAsia="仿宋" w:cs="仿宋"/>
          <w:b/>
          <w:color w:val="auto"/>
          <w:sz w:val="24"/>
          <w:szCs w:val="24"/>
        </w:rPr>
        <w:t>具有依法缴纳税收和社会保障资金的良好记录的</w:t>
      </w:r>
      <w:r>
        <w:rPr>
          <w:rFonts w:hint="eastAsia" w:ascii="仿宋" w:hAnsi="仿宋" w:eastAsia="仿宋" w:cs="仿宋"/>
          <w:b/>
          <w:color w:val="auto"/>
          <w:sz w:val="24"/>
          <w:szCs w:val="24"/>
          <w:lang w:eastAsia="zh-CN"/>
        </w:rPr>
        <w:t>信用承诺书</w:t>
      </w:r>
    </w:p>
    <w:p w14:paraId="3EBEEBD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val="0"/>
          <w:color w:val="auto"/>
          <w:sz w:val="28"/>
          <w:szCs w:val="28"/>
        </w:rPr>
      </w:pPr>
    </w:p>
    <w:p w14:paraId="43F5DA76">
      <w:pPr>
        <w:keepNext w:val="0"/>
        <w:keepLines w:val="0"/>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致：</w:t>
      </w:r>
      <w:r>
        <w:rPr>
          <w:rFonts w:hint="eastAsia" w:ascii="仿宋" w:hAnsi="仿宋" w:eastAsia="仿宋" w:cs="仿宋"/>
          <w:color w:val="auto"/>
          <w:szCs w:val="21"/>
          <w:u w:val="single"/>
          <w:lang w:val="en-US" w:eastAsia="zh-CN"/>
        </w:rPr>
        <w:t>（采购人）</w:t>
      </w:r>
    </w:p>
    <w:p w14:paraId="4BCA2572">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我单位参与</w:t>
      </w:r>
      <w:r>
        <w:rPr>
          <w:rFonts w:hint="eastAsia" w:ascii="仿宋" w:hAnsi="仿宋" w:eastAsia="仿宋" w:cs="仿宋"/>
          <w:color w:val="auto"/>
          <w:szCs w:val="21"/>
          <w:u w:val="single"/>
          <w:lang w:val="en-US" w:eastAsia="zh-CN"/>
        </w:rPr>
        <w:t xml:space="preserve">  （项目名称）、（项目编号）  </w:t>
      </w:r>
      <w:r>
        <w:rPr>
          <w:rFonts w:hint="eastAsia" w:ascii="仿宋" w:hAnsi="仿宋" w:eastAsia="仿宋" w:cs="仿宋"/>
          <w:color w:val="auto"/>
          <w:szCs w:val="21"/>
          <w:lang w:val="en-US" w:eastAsia="zh-CN"/>
        </w:rPr>
        <w:t>项目的政府采购活动，现承诺如下：</w:t>
      </w:r>
    </w:p>
    <w:p w14:paraId="0A86387B">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1、我单位具有符合磋商文件资格要求的依法缴纳税收的相关证明材料。</w:t>
      </w:r>
    </w:p>
    <w:p w14:paraId="7CC2C39A">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2、我单位具有符合磋商文件资格要求的依法缴纳社会保障资金的相关证明材料。</w:t>
      </w:r>
    </w:p>
    <w:p w14:paraId="1683AD9C">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若我单位承诺不实，自愿承担提供虚假材料谋取中标，成交的法律责任。</w:t>
      </w:r>
    </w:p>
    <w:p w14:paraId="775B9941">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仿宋" w:hAnsi="仿宋" w:eastAsia="仿宋" w:cs="仿宋"/>
          <w:color w:val="auto"/>
          <w:szCs w:val="21"/>
          <w:lang w:val="en-US" w:eastAsia="zh-CN"/>
        </w:rPr>
      </w:pPr>
    </w:p>
    <w:p w14:paraId="0ACE4953">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仿宋" w:hAnsi="仿宋" w:eastAsia="仿宋" w:cs="仿宋"/>
          <w:color w:val="auto"/>
          <w:szCs w:val="21"/>
          <w:lang w:val="en-US" w:eastAsia="zh-CN"/>
        </w:rPr>
      </w:pPr>
    </w:p>
    <w:p w14:paraId="0A0A1ABB">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仿宋" w:hAnsi="仿宋" w:eastAsia="仿宋" w:cs="仿宋"/>
          <w:color w:val="auto"/>
          <w:szCs w:val="21"/>
          <w:lang w:val="en-US" w:eastAsia="zh-CN"/>
        </w:rPr>
      </w:pPr>
    </w:p>
    <w:p w14:paraId="4D811863">
      <w:pPr>
        <w:keepNext w:val="0"/>
        <w:keepLines w:val="0"/>
        <w:pageBreakBefore w:val="0"/>
        <w:widowControl w:val="0"/>
        <w:kinsoku/>
        <w:wordWrap/>
        <w:overflowPunct/>
        <w:topLinePunct w:val="0"/>
        <w:autoSpaceDE/>
        <w:autoSpaceDN/>
        <w:bidi w:val="0"/>
        <w:adjustRightInd/>
        <w:spacing w:beforeAutospacing="0" w:afterAutospacing="0" w:line="360" w:lineRule="auto"/>
        <w:jc w:val="righ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供应商全</w:t>
      </w:r>
      <w:r>
        <w:rPr>
          <w:rFonts w:hint="eastAsia" w:ascii="仿宋" w:hAnsi="仿宋" w:eastAsia="仿宋" w:cs="仿宋"/>
          <w:b w:val="0"/>
          <w:bCs/>
          <w:color w:val="auto"/>
          <w:sz w:val="24"/>
          <w:szCs w:val="24"/>
        </w:rPr>
        <w:t>称：</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单位公</w:t>
      </w:r>
      <w:r>
        <w:rPr>
          <w:rFonts w:hint="eastAsia" w:ascii="仿宋" w:hAnsi="仿宋" w:eastAsia="仿宋" w:cs="仿宋"/>
          <w:b w:val="0"/>
          <w:bCs/>
          <w:color w:val="auto"/>
          <w:sz w:val="24"/>
          <w:szCs w:val="24"/>
        </w:rPr>
        <w:t>章）</w:t>
      </w:r>
    </w:p>
    <w:p w14:paraId="3A0DBF18">
      <w:pPr>
        <w:keepNext w:val="0"/>
        <w:keepLines w:val="0"/>
        <w:pageBreakBefore w:val="0"/>
        <w:widowControl w:val="0"/>
        <w:kinsoku/>
        <w:wordWrap/>
        <w:overflowPunct/>
        <w:topLinePunct w:val="0"/>
        <w:autoSpaceDE/>
        <w:autoSpaceDN/>
        <w:bidi w:val="0"/>
        <w:adjustRightInd/>
        <w:spacing w:beforeAutospacing="0" w:afterAutospacing="0" w:line="360" w:lineRule="auto"/>
        <w:jc w:val="righ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法定代表人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负责人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（签字或盖章）</w:t>
      </w:r>
    </w:p>
    <w:p w14:paraId="2CD3AFC7">
      <w:pPr>
        <w:keepNext w:val="0"/>
        <w:keepLines w:val="0"/>
        <w:pageBreakBefore w:val="0"/>
        <w:widowControl w:val="0"/>
        <w:kinsoku/>
        <w:wordWrap/>
        <w:overflowPunct/>
        <w:topLinePunct w:val="0"/>
        <w:autoSpaceDE/>
        <w:autoSpaceDN/>
        <w:bidi w:val="0"/>
        <w:adjustRightInd/>
        <w:spacing w:beforeAutospacing="0" w:afterAutospacing="0" w:line="360" w:lineRule="auto"/>
        <w:jc w:val="right"/>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日期：</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月</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日</w:t>
      </w:r>
    </w:p>
    <w:p w14:paraId="2A5E43F2">
      <w:pPr>
        <w:pageBreakBefore w:val="0"/>
        <w:kinsoku/>
        <w:bidi w:val="0"/>
        <w:spacing w:beforeAutospacing="0" w:afterAutospacing="0" w:line="360" w:lineRule="auto"/>
        <w:ind w:firstLine="420" w:firstLineChars="200"/>
        <w:jc w:val="righ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br w:type="page"/>
      </w:r>
    </w:p>
    <w:bookmarkEnd w:id="158"/>
    <w:p w14:paraId="0C476735">
      <w:pPr>
        <w:pageBreakBefore w:val="0"/>
        <w:kinsoku/>
        <w:bidi w:val="0"/>
        <w:spacing w:beforeAutospacing="0" w:afterAutospacing="0" w:line="360" w:lineRule="auto"/>
        <w:outlineLvl w:val="1"/>
        <w:rPr>
          <w:rFonts w:hint="eastAsia" w:ascii="仿宋" w:hAnsi="仿宋" w:eastAsia="仿宋" w:cs="仿宋"/>
          <w:b/>
          <w:color w:val="auto"/>
          <w:spacing w:val="20"/>
          <w:sz w:val="24"/>
          <w:szCs w:val="24"/>
          <w:lang w:val="en-US" w:eastAsia="zh-CN"/>
        </w:rPr>
      </w:pPr>
      <w:bookmarkStart w:id="159" w:name="_Toc10565"/>
      <w:r>
        <w:rPr>
          <w:rFonts w:hint="eastAsia" w:ascii="仿宋" w:hAnsi="仿宋" w:eastAsia="仿宋" w:cs="仿宋"/>
          <w:b/>
          <w:color w:val="auto"/>
          <w:sz w:val="24"/>
          <w:szCs w:val="24"/>
          <w:lang w:val="en-US" w:eastAsia="zh-CN"/>
        </w:rPr>
        <w:t>七、</w:t>
      </w:r>
      <w:r>
        <w:rPr>
          <w:rFonts w:hint="eastAsia" w:ascii="仿宋" w:hAnsi="仿宋" w:eastAsia="仿宋" w:cs="仿宋"/>
          <w:b/>
          <w:color w:val="auto"/>
          <w:sz w:val="24"/>
          <w:szCs w:val="24"/>
        </w:rPr>
        <w:t>参加政府采购活动前三年</w:t>
      </w:r>
      <w:r>
        <w:rPr>
          <w:rFonts w:hint="eastAsia" w:ascii="仿宋" w:hAnsi="仿宋" w:eastAsia="仿宋" w:cs="仿宋"/>
          <w:b/>
          <w:color w:val="auto"/>
          <w:sz w:val="24"/>
          <w:szCs w:val="24"/>
          <w:lang w:val="en-US" w:eastAsia="zh-CN"/>
        </w:rPr>
        <w:t>内</w:t>
      </w:r>
      <w:r>
        <w:rPr>
          <w:rFonts w:hint="eastAsia" w:ascii="仿宋" w:hAnsi="仿宋" w:eastAsia="仿宋" w:cs="仿宋"/>
          <w:b/>
          <w:color w:val="auto"/>
          <w:sz w:val="24"/>
          <w:szCs w:val="24"/>
        </w:rPr>
        <w:t>，在经营活动中没有重大违法记录</w:t>
      </w:r>
      <w:bookmarkEnd w:id="159"/>
      <w:r>
        <w:rPr>
          <w:rFonts w:hint="eastAsia" w:ascii="仿宋" w:hAnsi="仿宋" w:eastAsia="仿宋" w:cs="仿宋"/>
          <w:b/>
          <w:color w:val="auto"/>
          <w:sz w:val="24"/>
          <w:szCs w:val="24"/>
          <w:lang w:val="en-US" w:eastAsia="zh-CN"/>
        </w:rPr>
        <w:t xml:space="preserve"> 格式</w:t>
      </w:r>
    </w:p>
    <w:p w14:paraId="4A6ABAE4">
      <w:pPr>
        <w:pageBreakBefore w:val="0"/>
        <w:kinsoku/>
        <w:bidi w:val="0"/>
        <w:spacing w:beforeAutospacing="0" w:afterAutospacing="0" w:line="360" w:lineRule="auto"/>
        <w:jc w:val="center"/>
        <w:outlineLvl w:val="9"/>
        <w:rPr>
          <w:rFonts w:hint="eastAsia" w:ascii="仿宋" w:hAnsi="仿宋" w:eastAsia="仿宋" w:cs="仿宋"/>
          <w:color w:val="auto"/>
          <w:kern w:val="0"/>
          <w:sz w:val="24"/>
          <w:szCs w:val="24"/>
          <w:lang w:eastAsia="zh-CN"/>
        </w:rPr>
      </w:pPr>
      <w:bookmarkStart w:id="160" w:name="_Toc27748"/>
      <w:r>
        <w:rPr>
          <w:rFonts w:hint="eastAsia" w:ascii="仿宋" w:hAnsi="仿宋" w:eastAsia="仿宋" w:cs="仿宋"/>
          <w:b/>
          <w:color w:val="auto"/>
          <w:spacing w:val="20"/>
          <w:sz w:val="24"/>
          <w:szCs w:val="24"/>
        </w:rPr>
        <w:t>无违法记录声明</w:t>
      </w:r>
      <w:bookmarkEnd w:id="160"/>
      <w:r>
        <w:rPr>
          <w:rFonts w:hint="eastAsia" w:ascii="仿宋" w:hAnsi="仿宋" w:eastAsia="仿宋" w:cs="仿宋"/>
          <w:b/>
          <w:color w:val="auto"/>
          <w:spacing w:val="20"/>
          <w:sz w:val="24"/>
          <w:szCs w:val="24"/>
          <w:lang w:eastAsia="zh-CN"/>
        </w:rPr>
        <w:t>（</w:t>
      </w:r>
      <w:r>
        <w:rPr>
          <w:rFonts w:hint="eastAsia" w:ascii="仿宋" w:hAnsi="仿宋" w:eastAsia="仿宋" w:cs="仿宋"/>
          <w:b/>
          <w:color w:val="auto"/>
          <w:sz w:val="24"/>
          <w:szCs w:val="24"/>
          <w:lang w:eastAsia="zh-CN"/>
        </w:rPr>
        <w:t>信用承诺书</w:t>
      </w:r>
      <w:r>
        <w:rPr>
          <w:rFonts w:hint="eastAsia" w:ascii="仿宋" w:hAnsi="仿宋" w:eastAsia="仿宋" w:cs="仿宋"/>
          <w:b/>
          <w:color w:val="auto"/>
          <w:spacing w:val="20"/>
          <w:sz w:val="24"/>
          <w:szCs w:val="24"/>
          <w:lang w:eastAsia="zh-CN"/>
        </w:rPr>
        <w:t>）</w:t>
      </w:r>
    </w:p>
    <w:p w14:paraId="053473D8">
      <w:pPr>
        <w:pStyle w:val="25"/>
        <w:pageBreakBefore w:val="0"/>
        <w:widowControl w:val="0"/>
        <w:kinsoku/>
        <w:bidi w:val="0"/>
        <w:adjustRightInd w:val="0"/>
        <w:snapToGrid w:val="0"/>
        <w:spacing w:before="0" w:beforeAutospacing="0" w:after="0" w:afterAutospacing="0" w:line="360" w:lineRule="auto"/>
        <w:jc w:val="both"/>
        <w:rPr>
          <w:rFonts w:hint="eastAsia" w:ascii="仿宋" w:hAnsi="仿宋" w:eastAsia="仿宋" w:cs="仿宋"/>
          <w:color w:val="auto"/>
        </w:rPr>
      </w:pPr>
    </w:p>
    <w:p w14:paraId="7DF70B52">
      <w:pPr>
        <w:pStyle w:val="25"/>
        <w:pageBreakBefore w:val="0"/>
        <w:widowControl w:val="0"/>
        <w:kinsoku/>
        <w:bidi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rPr>
      </w:pPr>
      <w:r>
        <w:rPr>
          <w:rFonts w:hint="eastAsia" w:ascii="仿宋" w:hAnsi="仿宋" w:eastAsia="仿宋" w:cs="仿宋"/>
          <w:color w:val="auto"/>
        </w:rPr>
        <w:t>本磋商供应商现参与项目</w:t>
      </w:r>
      <w:r>
        <w:rPr>
          <w:rFonts w:hint="eastAsia" w:ascii="仿宋" w:hAnsi="仿宋" w:eastAsia="仿宋" w:cs="仿宋"/>
          <w:color w:val="auto"/>
          <w:u w:val="single"/>
        </w:rPr>
        <w:t xml:space="preserve">        </w:t>
      </w:r>
      <w:r>
        <w:rPr>
          <w:rFonts w:hint="eastAsia" w:ascii="仿宋" w:hAnsi="仿宋" w:eastAsia="仿宋" w:cs="仿宋"/>
          <w:color w:val="auto"/>
        </w:rPr>
        <w:t>（项目编号：</w:t>
      </w:r>
      <w:r>
        <w:rPr>
          <w:rFonts w:hint="eastAsia" w:ascii="仿宋" w:hAnsi="仿宋" w:eastAsia="仿宋" w:cs="仿宋"/>
          <w:color w:val="auto"/>
          <w:u w:val="single"/>
        </w:rPr>
        <w:t xml:space="preserve">           </w:t>
      </w:r>
      <w:r>
        <w:rPr>
          <w:rFonts w:hint="eastAsia" w:ascii="仿宋" w:hAnsi="仿宋" w:eastAsia="仿宋" w:cs="仿宋"/>
          <w:color w:val="auto"/>
        </w:rPr>
        <w:t>）的采购活动，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w:t>
      </w:r>
      <w:r>
        <w:rPr>
          <w:rFonts w:hint="eastAsia" w:ascii="仿宋" w:hAnsi="仿宋" w:eastAsia="仿宋" w:cs="仿宋"/>
          <w:color w:val="auto"/>
          <w:lang w:eastAsia="zh-CN"/>
        </w:rPr>
        <w:t>重大税收违法失信主体</w:t>
      </w:r>
      <w:r>
        <w:rPr>
          <w:rFonts w:hint="eastAsia" w:ascii="仿宋" w:hAnsi="仿宋" w:eastAsia="仿宋" w:cs="仿宋"/>
          <w:color w:val="auto"/>
        </w:rPr>
        <w:t>名单；查询了在中国政府采购网（http://www.ccgp.gov.cn）中的政府采购严重违法失信行为信息，本公司未列入政府采购严重违法失信行为记录名单。</w:t>
      </w:r>
    </w:p>
    <w:p w14:paraId="22568434">
      <w:pPr>
        <w:pStyle w:val="25"/>
        <w:pageBreakBefore w:val="0"/>
        <w:widowControl w:val="0"/>
        <w:kinsoku/>
        <w:bidi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rPr>
      </w:pPr>
      <w:r>
        <w:rPr>
          <w:rFonts w:hint="eastAsia" w:ascii="仿宋" w:hAnsi="仿宋" w:eastAsia="仿宋" w:cs="仿宋"/>
          <w:color w:val="auto"/>
        </w:rPr>
        <w:t>如上述声明不真实，愿意按照政府采购有关法律法规的规定接受处罚。</w:t>
      </w:r>
    </w:p>
    <w:p w14:paraId="14B9C96A">
      <w:pPr>
        <w:pStyle w:val="25"/>
        <w:pageBreakBefore w:val="0"/>
        <w:widowControl w:val="0"/>
        <w:kinsoku/>
        <w:bidi w:val="0"/>
        <w:adjustRightInd w:val="0"/>
        <w:snapToGrid w:val="0"/>
        <w:spacing w:before="0" w:beforeAutospacing="0" w:after="0" w:afterAutospacing="0" w:line="360" w:lineRule="auto"/>
        <w:ind w:firstLine="480" w:firstLineChars="200"/>
        <w:jc w:val="both"/>
        <w:rPr>
          <w:rFonts w:hint="eastAsia" w:ascii="仿宋" w:hAnsi="仿宋" w:eastAsia="仿宋" w:cs="仿宋"/>
          <w:color w:val="auto"/>
        </w:rPr>
      </w:pPr>
      <w:r>
        <w:rPr>
          <w:rFonts w:hint="eastAsia" w:ascii="仿宋" w:hAnsi="仿宋" w:eastAsia="仿宋" w:cs="仿宋"/>
          <w:color w:val="auto"/>
        </w:rPr>
        <w:t>特此声明</w:t>
      </w:r>
    </w:p>
    <w:p w14:paraId="3693E796">
      <w:pPr>
        <w:pageBreakBefore w:val="0"/>
        <w:kinsoku/>
        <w:bidi w:val="0"/>
        <w:spacing w:beforeAutospacing="0" w:afterAutospacing="0" w:line="360" w:lineRule="auto"/>
        <w:jc w:val="right"/>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747D5230">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供应商全</w:t>
      </w:r>
      <w:r>
        <w:rPr>
          <w:rFonts w:hint="eastAsia" w:ascii="仿宋" w:hAnsi="仿宋" w:eastAsia="仿宋" w:cs="仿宋"/>
          <w:b w:val="0"/>
          <w:bCs/>
          <w:color w:val="auto"/>
          <w:sz w:val="24"/>
          <w:szCs w:val="24"/>
        </w:rPr>
        <w:t>称：</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单位公</w:t>
      </w:r>
      <w:r>
        <w:rPr>
          <w:rFonts w:hint="eastAsia" w:ascii="仿宋" w:hAnsi="仿宋" w:eastAsia="仿宋" w:cs="仿宋"/>
          <w:b w:val="0"/>
          <w:bCs/>
          <w:color w:val="auto"/>
          <w:sz w:val="24"/>
          <w:szCs w:val="24"/>
        </w:rPr>
        <w:t>章）</w:t>
      </w:r>
    </w:p>
    <w:p w14:paraId="0D9C6F56">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法定代表人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负责人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（签字或盖章）</w:t>
      </w:r>
    </w:p>
    <w:p w14:paraId="2F939B98">
      <w:pPr>
        <w:pageBreakBefore w:val="0"/>
        <w:kinsoku/>
        <w:bidi w:val="0"/>
        <w:spacing w:beforeAutospacing="0" w:afterAutospacing="0" w:line="360" w:lineRule="auto"/>
        <w:jc w:val="right"/>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日期：</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月</w:t>
      </w:r>
      <w:r>
        <w:rPr>
          <w:rFonts w:hint="eastAsia" w:ascii="仿宋" w:hAnsi="仿宋" w:eastAsia="仿宋" w:cs="仿宋"/>
          <w:b w:val="0"/>
          <w:bCs/>
          <w:color w:val="auto"/>
          <w:sz w:val="24"/>
          <w:szCs w:val="24"/>
          <w:u w:val="single"/>
          <w:lang w:val="en-US"/>
        </w:rPr>
        <w:t xml:space="preserve">        </w:t>
      </w:r>
      <w:r>
        <w:rPr>
          <w:rFonts w:hint="eastAsia" w:ascii="仿宋" w:hAnsi="仿宋" w:eastAsia="仿宋" w:cs="仿宋"/>
          <w:b w:val="0"/>
          <w:bCs/>
          <w:color w:val="auto"/>
          <w:sz w:val="24"/>
          <w:szCs w:val="24"/>
        </w:rPr>
        <w:t>日</w:t>
      </w:r>
    </w:p>
    <w:p w14:paraId="07636690">
      <w:pPr>
        <w:pageBreakBefore w:val="0"/>
        <w:kinsoku/>
        <w:bidi w:val="0"/>
        <w:spacing w:beforeAutospacing="0" w:afterAutospacing="0" w:line="360" w:lineRule="auto"/>
        <w:ind w:left="360" w:hanging="315" w:hangingChars="150"/>
        <w:jc w:val="right"/>
        <w:rPr>
          <w:rFonts w:hint="eastAsia" w:ascii="仿宋" w:hAnsi="仿宋" w:eastAsia="仿宋" w:cs="仿宋"/>
          <w:color w:val="auto"/>
        </w:rPr>
      </w:pPr>
    </w:p>
    <w:p w14:paraId="607B5FCD">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在信用中国网（http://www.creditchina.gov.cn）未列入失信被执行人、</w:t>
      </w:r>
      <w:r>
        <w:rPr>
          <w:rFonts w:hint="eastAsia" w:ascii="仿宋" w:hAnsi="仿宋" w:eastAsia="仿宋" w:cs="仿宋"/>
          <w:color w:val="auto"/>
          <w:sz w:val="24"/>
          <w:szCs w:val="24"/>
          <w:lang w:eastAsia="zh-CN"/>
        </w:rPr>
        <w:t>重大税收违法失信主体</w:t>
      </w:r>
      <w:r>
        <w:rPr>
          <w:rFonts w:hint="eastAsia" w:ascii="仿宋" w:hAnsi="仿宋" w:eastAsia="仿宋" w:cs="仿宋"/>
          <w:color w:val="auto"/>
          <w:sz w:val="24"/>
          <w:szCs w:val="24"/>
        </w:rPr>
        <w:t>名单查询记录情况（查询时间必须为采购公告发布后）；</w:t>
      </w:r>
    </w:p>
    <w:p w14:paraId="2BD43C4C">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在中国政府采购网（http://www.ccgp.gov.cn）政府采购严重违法失信行为的查询记录情况（查询时间必须为采购公告发布后）。</w:t>
      </w:r>
    </w:p>
    <w:p w14:paraId="2A1CAC61">
      <w:pPr>
        <w:pageBreakBefore w:val="0"/>
        <w:tabs>
          <w:tab w:val="left" w:pos="1680"/>
        </w:tabs>
        <w:kinsoku/>
        <w:bidi w:val="0"/>
        <w:snapToGrid w:val="0"/>
        <w:spacing w:beforeAutospacing="0" w:afterAutospacing="0" w:line="360" w:lineRule="auto"/>
        <w:jc w:val="left"/>
        <w:outlineLvl w:val="1"/>
        <w:rPr>
          <w:rFonts w:hint="eastAsia" w:ascii="仿宋" w:hAnsi="仿宋" w:eastAsia="仿宋" w:cs="仿宋"/>
          <w:b/>
          <w:color w:val="auto"/>
          <w:sz w:val="24"/>
          <w:szCs w:val="24"/>
        </w:rPr>
      </w:pPr>
      <w:bookmarkStart w:id="161" w:name="_Toc10846"/>
      <w:r>
        <w:rPr>
          <w:rFonts w:hint="eastAsia" w:ascii="仿宋" w:hAnsi="仿宋" w:eastAsia="仿宋" w:cs="仿宋"/>
          <w:b/>
          <w:color w:val="auto"/>
          <w:sz w:val="24"/>
          <w:szCs w:val="24"/>
        </w:rPr>
        <w:br w:type="page"/>
      </w:r>
      <w:r>
        <w:rPr>
          <w:rFonts w:hint="eastAsia" w:ascii="仿宋" w:hAnsi="仿宋" w:eastAsia="仿宋" w:cs="仿宋"/>
          <w:b/>
          <w:color w:val="auto"/>
          <w:sz w:val="24"/>
          <w:szCs w:val="24"/>
          <w:lang w:val="en-US" w:eastAsia="zh-CN"/>
        </w:rPr>
        <w:t>八、</w:t>
      </w:r>
      <w:r>
        <w:rPr>
          <w:rFonts w:hint="eastAsia" w:ascii="仿宋" w:hAnsi="仿宋" w:eastAsia="仿宋" w:cs="仿宋"/>
          <w:b/>
          <w:color w:val="auto"/>
          <w:sz w:val="24"/>
          <w:szCs w:val="24"/>
        </w:rPr>
        <w:t>中小企业声明函（</w:t>
      </w:r>
      <w:r>
        <w:rPr>
          <w:rFonts w:hint="eastAsia" w:ascii="仿宋" w:hAnsi="仿宋" w:eastAsia="仿宋" w:cs="仿宋"/>
          <w:b/>
          <w:color w:val="auto"/>
          <w:sz w:val="24"/>
          <w:szCs w:val="24"/>
          <w:lang w:val="en-US" w:eastAsia="zh-CN"/>
        </w:rPr>
        <w:t>服务</w:t>
      </w:r>
      <w:r>
        <w:rPr>
          <w:rFonts w:hint="eastAsia" w:ascii="仿宋" w:hAnsi="仿宋" w:eastAsia="仿宋" w:cs="仿宋"/>
          <w:b/>
          <w:color w:val="auto"/>
          <w:sz w:val="24"/>
          <w:szCs w:val="24"/>
        </w:rPr>
        <w:t>）</w:t>
      </w:r>
    </w:p>
    <w:p w14:paraId="454020E3">
      <w:pPr>
        <w:pageBreakBefore w:val="0"/>
        <w:kinsoku/>
        <w:bidi w:val="0"/>
        <w:spacing w:beforeAutospacing="0" w:afterAutospacing="0" w:line="360" w:lineRule="auto"/>
        <w:jc w:val="center"/>
        <w:rPr>
          <w:rFonts w:hint="eastAsia" w:ascii="仿宋" w:hAnsi="仿宋" w:eastAsia="仿宋" w:cs="仿宋"/>
          <w:b/>
          <w:bCs/>
          <w:color w:val="auto"/>
          <w:spacing w:val="-8"/>
          <w:sz w:val="24"/>
          <w:szCs w:val="24"/>
          <w:highlight w:val="none"/>
          <w:shd w:val="clear" w:color="auto" w:fill="FFFFFF"/>
        </w:rPr>
      </w:pPr>
      <w:r>
        <w:rPr>
          <w:rFonts w:hint="eastAsia" w:ascii="仿宋" w:hAnsi="仿宋" w:eastAsia="仿宋" w:cs="仿宋"/>
          <w:b/>
          <w:color w:val="auto"/>
          <w:sz w:val="24"/>
          <w:szCs w:val="24"/>
          <w:highlight w:val="none"/>
        </w:rPr>
        <w:t>中小企业声明函（服务）</w:t>
      </w:r>
    </w:p>
    <w:p w14:paraId="125EEC3E">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号）的规定，本公司（联合体）参加（单位名称）的（项目名称）采购活动，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服务全部由符合政策要求的中小企业承接)。相关企业（含联合体中的中小企业、签订分包意向协议的中小企业）的具体情况如下：</w:t>
      </w:r>
    </w:p>
    <w:p w14:paraId="68FB8D45">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 ，属于</w:t>
      </w:r>
      <w:r>
        <w:rPr>
          <w:rFonts w:hint="eastAsia" w:ascii="仿宋" w:hAnsi="仿宋" w:eastAsia="仿宋" w:cs="仿宋"/>
          <w:color w:val="auto"/>
          <w:sz w:val="24"/>
          <w:szCs w:val="24"/>
          <w:highlight w:val="none"/>
          <w:u w:val="none"/>
        </w:rPr>
        <w:t>（中型企业、小型企业、微型企业）</w:t>
      </w:r>
      <w:r>
        <w:rPr>
          <w:rFonts w:hint="eastAsia" w:ascii="仿宋" w:hAnsi="仿宋" w:eastAsia="仿宋" w:cs="仿宋"/>
          <w:color w:val="auto"/>
          <w:sz w:val="24"/>
          <w:szCs w:val="24"/>
          <w:highlight w:val="none"/>
        </w:rPr>
        <w:t>；</w:t>
      </w:r>
    </w:p>
    <w:p w14:paraId="357DFFC7">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行业；承建(承接)企业为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none"/>
        </w:rPr>
        <w:t>（中型企业、小型企业、微型企业）</w:t>
      </w:r>
      <w:r>
        <w:rPr>
          <w:rFonts w:hint="eastAsia" w:ascii="仿宋" w:hAnsi="仿宋" w:eastAsia="仿宋" w:cs="仿宋"/>
          <w:color w:val="auto"/>
          <w:sz w:val="24"/>
          <w:szCs w:val="24"/>
          <w:highlight w:val="none"/>
        </w:rPr>
        <w:t>；</w:t>
      </w:r>
    </w:p>
    <w:p w14:paraId="253BDDBE">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5677598B">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6DDEC520">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479B1D53">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p>
    <w:p w14:paraId="510ABB9E">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p>
    <w:p w14:paraId="58383E6B">
      <w:pPr>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highlight w:val="none"/>
        </w:rPr>
      </w:pPr>
    </w:p>
    <w:p w14:paraId="23AD017F">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p w14:paraId="318ECFF4">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475FF158">
      <w:pPr>
        <w:pageBreakBefore w:val="0"/>
        <w:kinsoku/>
        <w:bidi w:val="0"/>
        <w:spacing w:beforeAutospacing="0" w:afterAutospacing="0" w:line="360" w:lineRule="auto"/>
        <w:ind w:firstLine="504" w:firstLineChars="200"/>
        <w:rPr>
          <w:rFonts w:hint="eastAsia" w:ascii="仿宋" w:hAnsi="仿宋" w:eastAsia="仿宋" w:cs="仿宋"/>
          <w:color w:val="auto"/>
          <w:spacing w:val="6"/>
          <w:sz w:val="24"/>
          <w:szCs w:val="22"/>
          <w:highlight w:val="none"/>
        </w:rPr>
      </w:pPr>
    </w:p>
    <w:p w14:paraId="15FAE5C0">
      <w:pPr>
        <w:pageBreakBefore w:val="0"/>
        <w:kinsoku/>
        <w:bidi w:val="0"/>
        <w:spacing w:beforeAutospacing="0" w:afterAutospacing="0" w:line="360" w:lineRule="auto"/>
        <w:ind w:firstLine="504" w:firstLineChars="200"/>
        <w:rPr>
          <w:rFonts w:hint="eastAsia" w:ascii="仿宋" w:hAnsi="仿宋" w:eastAsia="仿宋" w:cs="仿宋"/>
          <w:color w:val="auto"/>
          <w:spacing w:val="6"/>
          <w:sz w:val="24"/>
          <w:szCs w:val="22"/>
          <w:highlight w:val="none"/>
        </w:rPr>
      </w:pPr>
      <w:r>
        <w:rPr>
          <w:rFonts w:hint="eastAsia" w:ascii="仿宋" w:hAnsi="仿宋" w:eastAsia="仿宋" w:cs="仿宋"/>
          <w:color w:val="auto"/>
          <w:spacing w:val="6"/>
          <w:sz w:val="24"/>
          <w:szCs w:val="22"/>
          <w:highlight w:val="none"/>
        </w:rPr>
        <w:t>注：从业人员、营业收入、资产总额填报上一年度数据,无一年度数据的新成立企业可不填报。</w:t>
      </w:r>
    </w:p>
    <w:p w14:paraId="0C21E916">
      <w:pPr>
        <w:pStyle w:val="11"/>
        <w:pageBreakBefore w:val="0"/>
        <w:kinsoku/>
        <w:bidi w:val="0"/>
        <w:spacing w:beforeAutospacing="0" w:afterAutospacing="0" w:line="360" w:lineRule="auto"/>
        <w:rPr>
          <w:rFonts w:hint="eastAsia" w:ascii="仿宋" w:hAnsi="仿宋" w:eastAsia="仿宋" w:cs="仿宋"/>
          <w:color w:val="auto"/>
        </w:rPr>
      </w:pPr>
    </w:p>
    <w:p w14:paraId="247033FA">
      <w:pPr>
        <w:pageBreakBefore w:val="0"/>
        <w:kinsoku/>
        <w:bidi w:val="0"/>
        <w:spacing w:beforeAutospacing="0" w:afterAutospacing="0" w:line="360" w:lineRule="auto"/>
        <w:jc w:val="center"/>
        <w:rPr>
          <w:rFonts w:hint="eastAsia" w:ascii="仿宋" w:hAnsi="仿宋" w:eastAsia="仿宋" w:cs="仿宋"/>
          <w:b/>
          <w:bCs/>
          <w:color w:val="auto"/>
          <w:kern w:val="0"/>
          <w:sz w:val="24"/>
          <w:szCs w:val="24"/>
          <w:highlight w:val="none"/>
        </w:rPr>
      </w:pPr>
    </w:p>
    <w:p w14:paraId="6C9725E6">
      <w:pPr>
        <w:pageBreakBefore w:val="0"/>
        <w:kinsoku/>
        <w:bidi w:val="0"/>
        <w:spacing w:beforeAutospacing="0" w:afterAutospacing="0" w:line="360" w:lineRule="auto"/>
        <w:jc w:val="center"/>
        <w:rPr>
          <w:rFonts w:hint="eastAsia" w:ascii="仿宋" w:hAnsi="仿宋" w:eastAsia="仿宋" w:cs="仿宋"/>
          <w:b/>
          <w:bCs/>
          <w:color w:val="auto"/>
          <w:kern w:val="0"/>
          <w:sz w:val="24"/>
          <w:szCs w:val="24"/>
          <w:highlight w:val="none"/>
        </w:rPr>
      </w:pPr>
    </w:p>
    <w:p w14:paraId="54B0824F">
      <w:pPr>
        <w:pageBreakBefore w:val="0"/>
        <w:kinsoku/>
        <w:bidi w:val="0"/>
        <w:spacing w:beforeAutospacing="0" w:afterAutospacing="0" w:line="360" w:lineRule="auto"/>
        <w:jc w:val="left"/>
        <w:rPr>
          <w:rFonts w:hint="eastAsia" w:ascii="仿宋" w:hAnsi="仿宋" w:eastAsia="仿宋" w:cs="仿宋"/>
          <w:b/>
          <w:color w:val="auto"/>
          <w:sz w:val="24"/>
          <w:szCs w:val="24"/>
          <w:highlight w:val="none"/>
        </w:rPr>
      </w:pPr>
    </w:p>
    <w:p w14:paraId="1D2C606B">
      <w:pPr>
        <w:pageBreakBefore w:val="0"/>
        <w:kinsoku/>
        <w:bidi w:val="0"/>
        <w:spacing w:beforeAutospacing="0" w:afterAutospacing="0" w:line="360" w:lineRule="auto"/>
        <w:rPr>
          <w:rFonts w:hint="eastAsia" w:ascii="仿宋" w:hAnsi="仿宋" w:eastAsia="仿宋" w:cs="仿宋"/>
          <w:b/>
          <w:color w:val="auto"/>
          <w:spacing w:val="6"/>
          <w:sz w:val="24"/>
          <w:szCs w:val="24"/>
          <w:highlight w:val="none"/>
        </w:rPr>
      </w:pPr>
      <w:r>
        <w:rPr>
          <w:rFonts w:hint="eastAsia" w:ascii="仿宋" w:hAnsi="仿宋" w:eastAsia="仿宋" w:cs="仿宋"/>
          <w:b/>
          <w:color w:val="auto"/>
          <w:sz w:val="24"/>
          <w:szCs w:val="24"/>
          <w:highlight w:val="none"/>
        </w:rPr>
        <w:br w:type="page"/>
      </w:r>
    </w:p>
    <w:p w14:paraId="3D3C8292">
      <w:pPr>
        <w:pageBreakBefore w:val="0"/>
        <w:kinsoku/>
        <w:bidi w:val="0"/>
        <w:spacing w:beforeAutospacing="0" w:after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pacing w:val="6"/>
          <w:sz w:val="24"/>
          <w:szCs w:val="24"/>
          <w:highlight w:val="none"/>
        </w:rPr>
        <w:t>残疾人福利性单位声明函</w:t>
      </w:r>
    </w:p>
    <w:p w14:paraId="2015AFF1">
      <w:pPr>
        <w:pageBreakBefore w:val="0"/>
        <w:tabs>
          <w:tab w:val="left" w:pos="1680"/>
        </w:tabs>
        <w:kinsoku/>
        <w:bidi w:val="0"/>
        <w:snapToGrid w:val="0"/>
        <w:spacing w:beforeAutospacing="0" w:afterAutospacing="0" w:line="360" w:lineRule="auto"/>
        <w:ind w:firstLine="482" w:firstLineChars="200"/>
        <w:rPr>
          <w:rFonts w:hint="eastAsia" w:ascii="仿宋" w:hAnsi="仿宋" w:eastAsia="仿宋" w:cs="仿宋"/>
          <w:b/>
          <w:color w:val="auto"/>
          <w:sz w:val="24"/>
          <w:szCs w:val="24"/>
          <w:highlight w:val="none"/>
        </w:rPr>
      </w:pPr>
    </w:p>
    <w:p w14:paraId="7A96E4A1">
      <w:pPr>
        <w:pageBreakBefore w:val="0"/>
        <w:kinsoku/>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631622E">
      <w:pPr>
        <w:pageBreakBefore w:val="0"/>
        <w:kinsoku/>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321AF18F">
      <w:pPr>
        <w:pageBreakBefore w:val="0"/>
        <w:kinsoku/>
        <w:bidi w:val="0"/>
        <w:spacing w:beforeAutospacing="0" w:afterAutospacing="0" w:line="360" w:lineRule="auto"/>
        <w:ind w:firstLine="504" w:firstLineChars="200"/>
        <w:rPr>
          <w:rFonts w:hint="eastAsia" w:ascii="仿宋" w:hAnsi="仿宋" w:eastAsia="仿宋" w:cs="仿宋"/>
          <w:color w:val="auto"/>
          <w:spacing w:val="6"/>
          <w:sz w:val="24"/>
          <w:szCs w:val="24"/>
          <w:highlight w:val="none"/>
        </w:rPr>
      </w:pPr>
    </w:p>
    <w:p w14:paraId="01AE3842">
      <w:pPr>
        <w:pageBreakBefore w:val="0"/>
        <w:kinsoku/>
        <w:bidi w:val="0"/>
        <w:spacing w:beforeAutospacing="0" w:afterAutospacing="0" w:line="360" w:lineRule="auto"/>
        <w:ind w:firstLine="504" w:firstLineChars="200"/>
        <w:rPr>
          <w:rFonts w:hint="eastAsia" w:ascii="仿宋" w:hAnsi="仿宋" w:eastAsia="仿宋" w:cs="仿宋"/>
          <w:color w:val="auto"/>
          <w:spacing w:val="6"/>
          <w:sz w:val="24"/>
          <w:szCs w:val="24"/>
          <w:highlight w:val="none"/>
        </w:rPr>
      </w:pPr>
    </w:p>
    <w:p w14:paraId="4646DD04">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p w14:paraId="74DD8595">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A81F9D2">
      <w:pPr>
        <w:pageBreakBefore w:val="0"/>
        <w:kinsoku/>
        <w:bidi w:val="0"/>
        <w:spacing w:beforeAutospacing="0" w:afterAutospacing="0" w:line="360" w:lineRule="auto"/>
        <w:ind w:firstLine="482" w:firstLineChars="200"/>
        <w:rPr>
          <w:rFonts w:hint="eastAsia" w:ascii="仿宋" w:hAnsi="仿宋" w:eastAsia="仿宋" w:cs="仿宋"/>
          <w:b/>
          <w:color w:val="auto"/>
          <w:sz w:val="24"/>
          <w:szCs w:val="24"/>
          <w:highlight w:val="none"/>
        </w:rPr>
      </w:pPr>
    </w:p>
    <w:p w14:paraId="5D39B8ED">
      <w:pPr>
        <w:pageBreakBefore w:val="0"/>
        <w:kinsoku/>
        <w:bidi w:val="0"/>
        <w:spacing w:beforeAutospacing="0" w:afterAutospacing="0"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注：中标供应商为残疾人福利性单位的，代理机构随中标结果同时公告其《残疾人福利性单位声明函》</w:t>
      </w:r>
    </w:p>
    <w:p w14:paraId="50EBA236">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55E1A4AB">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5E288FBC">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37E4A062">
      <w:pPr>
        <w:pStyle w:val="32"/>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b/>
          <w:color w:val="auto"/>
          <w:spacing w:val="10"/>
          <w:sz w:val="24"/>
          <w:szCs w:val="24"/>
        </w:rPr>
        <w:t>如不适用，请注明不适用。</w:t>
      </w:r>
    </w:p>
    <w:p w14:paraId="624FD174">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072666DD">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37ECEC7B">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582CD7E3">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3126DBBA">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4C0B884D">
      <w:pPr>
        <w:pageBreakBefore w:val="0"/>
        <w:tabs>
          <w:tab w:val="left" w:pos="1680"/>
        </w:tabs>
        <w:kinsoku/>
        <w:bidi w:val="0"/>
        <w:snapToGrid w:val="0"/>
        <w:spacing w:beforeAutospacing="0" w:afterAutospacing="0" w:line="360" w:lineRule="auto"/>
        <w:rPr>
          <w:rFonts w:hint="eastAsia" w:ascii="仿宋" w:hAnsi="仿宋" w:eastAsia="仿宋" w:cs="仿宋"/>
          <w:b/>
          <w:color w:val="auto"/>
          <w:sz w:val="24"/>
          <w:szCs w:val="24"/>
          <w:lang w:eastAsia="zh-CN"/>
        </w:rPr>
      </w:pPr>
    </w:p>
    <w:p w14:paraId="461CD6C2">
      <w:pPr>
        <w:pageBreakBefore w:val="0"/>
        <w:tabs>
          <w:tab w:val="left" w:pos="1680"/>
        </w:tabs>
        <w:kinsoku/>
        <w:bidi w:val="0"/>
        <w:snapToGrid w:val="0"/>
        <w:spacing w:beforeAutospacing="0" w:afterAutospacing="0" w:line="360" w:lineRule="auto"/>
        <w:rPr>
          <w:rFonts w:hint="eastAsia" w:ascii="仿宋" w:hAnsi="仿宋" w:eastAsia="仿宋" w:cs="仿宋"/>
          <w:b/>
          <w:color w:val="auto"/>
          <w:sz w:val="24"/>
          <w:szCs w:val="24"/>
          <w:lang w:eastAsia="zh-CN"/>
        </w:rPr>
      </w:pPr>
    </w:p>
    <w:p w14:paraId="7C6D5B1D">
      <w:pPr>
        <w:pageBreakBefore w:val="0"/>
        <w:tabs>
          <w:tab w:val="left" w:pos="1680"/>
        </w:tabs>
        <w:kinsoku/>
        <w:bidi w:val="0"/>
        <w:snapToGrid w:val="0"/>
        <w:spacing w:beforeAutospacing="0" w:afterAutospacing="0" w:line="360" w:lineRule="auto"/>
        <w:rPr>
          <w:rFonts w:hint="eastAsia" w:ascii="仿宋" w:hAnsi="仿宋" w:eastAsia="仿宋" w:cs="仿宋"/>
          <w:b/>
          <w:color w:val="auto"/>
          <w:sz w:val="24"/>
          <w:szCs w:val="24"/>
          <w:lang w:eastAsia="zh-CN"/>
        </w:rPr>
      </w:pPr>
    </w:p>
    <w:p w14:paraId="41BF8C15">
      <w:pPr>
        <w:pageBreakBefore w:val="0"/>
        <w:kinsoku/>
        <w:bidi w:val="0"/>
        <w:spacing w:beforeAutospacing="0" w:afterAutospacing="0" w:line="360" w:lineRule="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br w:type="page"/>
      </w:r>
    </w:p>
    <w:p w14:paraId="62AF87B0">
      <w:pPr>
        <w:pageBreakBefore w:val="0"/>
        <w:pBdr>
          <w:top w:val="none" w:color="auto" w:sz="0" w:space="1"/>
          <w:left w:val="none" w:color="auto" w:sz="0" w:space="4"/>
          <w:bottom w:val="none" w:color="auto" w:sz="0" w:space="1"/>
          <w:right w:val="none" w:color="auto" w:sz="0" w:space="4"/>
        </w:pBdr>
        <w:kinsoku/>
        <w:bidi w:val="0"/>
        <w:spacing w:beforeAutospacing="0" w:afterAutospacing="0" w:line="360" w:lineRule="auto"/>
        <w:ind w:left="642" w:hanging="562" w:hangingChars="200"/>
        <w:jc w:val="center"/>
        <w:rPr>
          <w:rFonts w:hint="eastAsia" w:ascii="仿宋" w:hAnsi="仿宋" w:eastAsia="仿宋" w:cs="仿宋"/>
          <w:b/>
          <w:bCs/>
          <w:color w:val="auto"/>
          <w:spacing w:val="20"/>
          <w:sz w:val="24"/>
          <w:szCs w:val="24"/>
        </w:rPr>
      </w:pPr>
      <w:r>
        <w:rPr>
          <w:rFonts w:hint="eastAsia" w:ascii="仿宋" w:hAnsi="仿宋" w:eastAsia="仿宋" w:cs="仿宋"/>
          <w:b/>
          <w:bCs/>
          <w:color w:val="auto"/>
          <w:spacing w:val="20"/>
          <w:sz w:val="24"/>
          <w:szCs w:val="24"/>
        </w:rPr>
        <w:t>监狱企业声明函</w:t>
      </w:r>
    </w:p>
    <w:p w14:paraId="579D3AD8">
      <w:pPr>
        <w:pageBreakBefore w:val="0"/>
        <w:kinsoku/>
        <w:bidi w:val="0"/>
        <w:spacing w:beforeAutospacing="0" w:afterAutospacing="0" w:line="360" w:lineRule="auto"/>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本单位郑重声明：《财政部司法部关于政府采购支持监狱企业发展有关问题的通知》(财库〔2014〕68号)规定，本单位为符合条件的监狱企业，本单位参加</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单位的</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项目（项目编号：</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）招标活动由本单位提供服务。</w:t>
      </w:r>
    </w:p>
    <w:p w14:paraId="7B920275">
      <w:pPr>
        <w:pageBreakBefore w:val="0"/>
        <w:kinsoku/>
        <w:bidi w:val="0"/>
        <w:spacing w:beforeAutospacing="0" w:afterAutospacing="0" w:line="360" w:lineRule="auto"/>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本单位对上述声明的真实性负责。如有虚假，将依法承担相应责任。</w:t>
      </w:r>
    </w:p>
    <w:p w14:paraId="26F93C0D">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p>
    <w:p w14:paraId="21589718">
      <w:pPr>
        <w:pageBreakBefore w:val="0"/>
        <w:kinsoku/>
        <w:bidi w:val="0"/>
        <w:spacing w:beforeAutospacing="0" w:afterAutospacing="0" w:line="360" w:lineRule="auto"/>
        <w:ind w:firstLine="480" w:firstLineChars="200"/>
        <w:rPr>
          <w:rFonts w:hint="eastAsia" w:ascii="仿宋" w:hAnsi="仿宋" w:eastAsia="仿宋" w:cs="仿宋"/>
          <w:color w:val="auto"/>
          <w:sz w:val="24"/>
          <w:szCs w:val="24"/>
        </w:rPr>
      </w:pPr>
    </w:p>
    <w:p w14:paraId="4B9E8F31">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p w14:paraId="0DA10F90">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04B4682C">
      <w:pPr>
        <w:pStyle w:val="70"/>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rPr>
      </w:pPr>
    </w:p>
    <w:p w14:paraId="02BEA65D">
      <w:pPr>
        <w:pageBreakBefore w:val="0"/>
        <w:kinsoku/>
        <w:bidi w:val="0"/>
        <w:spacing w:beforeAutospacing="0" w:afterAutospacing="0" w:line="360" w:lineRule="auto"/>
        <w:outlineLvl w:val="1"/>
        <w:rPr>
          <w:rFonts w:hint="eastAsia" w:ascii="仿宋" w:hAnsi="仿宋" w:eastAsia="仿宋" w:cs="仿宋"/>
          <w:b/>
          <w:color w:val="auto"/>
          <w:sz w:val="24"/>
          <w:szCs w:val="24"/>
        </w:rPr>
      </w:pPr>
      <w:r>
        <w:rPr>
          <w:rFonts w:hint="eastAsia" w:ascii="仿宋" w:hAnsi="仿宋" w:eastAsia="仿宋" w:cs="仿宋"/>
          <w:b/>
          <w:color w:val="auto"/>
          <w:spacing w:val="10"/>
          <w:sz w:val="24"/>
          <w:szCs w:val="24"/>
        </w:rPr>
        <w:t>如不适用，请注明不适用。</w:t>
      </w: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九</w:t>
      </w:r>
      <w:r>
        <w:rPr>
          <w:rFonts w:hint="eastAsia" w:ascii="仿宋" w:hAnsi="仿宋" w:eastAsia="仿宋" w:cs="仿宋"/>
          <w:b/>
          <w:color w:val="auto"/>
          <w:sz w:val="24"/>
          <w:szCs w:val="24"/>
          <w:lang w:eastAsia="zh-CN"/>
        </w:rPr>
        <w:t>、</w:t>
      </w:r>
      <w:bookmarkEnd w:id="161"/>
      <w:r>
        <w:rPr>
          <w:rFonts w:hint="eastAsia" w:ascii="仿宋" w:hAnsi="仿宋" w:eastAsia="仿宋" w:cs="仿宋"/>
          <w:b/>
          <w:color w:val="auto"/>
          <w:sz w:val="24"/>
          <w:szCs w:val="24"/>
        </w:rPr>
        <w:t>本项目要求的其他特定资格条件</w:t>
      </w:r>
    </w:p>
    <w:p w14:paraId="2D5C97E9">
      <w:pPr>
        <w:pageBreakBefore w:val="0"/>
        <w:kinsoku/>
        <w:bidi w:val="0"/>
        <w:spacing w:beforeAutospacing="0" w:afterAutospacing="0" w:line="360" w:lineRule="auto"/>
        <w:ind w:firstLine="480" w:firstLineChars="200"/>
        <w:outlineLvl w:val="1"/>
        <w:rPr>
          <w:rFonts w:hint="eastAsia" w:ascii="仿宋" w:hAnsi="仿宋" w:eastAsia="仿宋" w:cs="仿宋"/>
          <w:b/>
          <w:color w:val="auto"/>
          <w:sz w:val="24"/>
          <w:szCs w:val="24"/>
        </w:rPr>
      </w:pPr>
      <w:bookmarkStart w:id="162" w:name="_Toc8223"/>
      <w:r>
        <w:rPr>
          <w:rFonts w:hint="eastAsia" w:ascii="仿宋" w:hAnsi="仿宋" w:eastAsia="仿宋" w:cs="仿宋"/>
          <w:color w:val="auto"/>
          <w:sz w:val="24"/>
          <w:szCs w:val="24"/>
          <w:lang w:val="zh-CN" w:eastAsia="zh-CN"/>
        </w:rPr>
        <w:t>供应商须具备建设行政主管部门核发的市政公用工程监理乙级及以上资质或者工程监理综合资质，供应商拟派项目总监理工程师须具备市政公用工程专业国家级注册监理工程师</w:t>
      </w:r>
      <w:r>
        <w:rPr>
          <w:rFonts w:hint="eastAsia" w:ascii="仿宋" w:hAnsi="仿宋" w:eastAsia="仿宋" w:cs="仿宋"/>
          <w:color w:val="auto"/>
          <w:sz w:val="24"/>
          <w:szCs w:val="24"/>
          <w:lang w:val="en-US" w:eastAsia="zh-CN"/>
        </w:rPr>
        <w:t>执业</w:t>
      </w:r>
      <w:r>
        <w:rPr>
          <w:rFonts w:hint="eastAsia" w:ascii="仿宋" w:hAnsi="仿宋" w:eastAsia="仿宋" w:cs="仿宋"/>
          <w:color w:val="auto"/>
          <w:sz w:val="24"/>
          <w:szCs w:val="24"/>
          <w:lang w:val="zh-CN" w:eastAsia="zh-CN"/>
        </w:rPr>
        <w:t>资格。</w:t>
      </w: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十</w:t>
      </w:r>
      <w:bookmarkEnd w:id="162"/>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磋商保证金的缴纳证明材料</w:t>
      </w:r>
    </w:p>
    <w:p w14:paraId="3C018F2A">
      <w:pPr>
        <w:pStyle w:val="13"/>
        <w:pageBreakBefore w:val="0"/>
        <w:kinsoku/>
        <w:bidi w:val="0"/>
        <w:spacing w:beforeAutospacing="0" w:afterAutospacing="0" w:line="360" w:lineRule="auto"/>
        <w:ind w:left="0" w:leftChars="0" w:firstLine="0" w:firstLineChars="0"/>
        <w:rPr>
          <w:rFonts w:hint="eastAsia" w:ascii="仿宋" w:hAnsi="仿宋" w:eastAsia="仿宋" w:cs="仿宋"/>
          <w:color w:val="auto"/>
          <w:sz w:val="24"/>
          <w:szCs w:val="24"/>
          <w:lang w:val="en-US" w:eastAsia="zh-CN"/>
        </w:rPr>
      </w:pPr>
      <w:bookmarkStart w:id="163" w:name="_Toc10049_WPSOffice_Level1"/>
      <w:bookmarkStart w:id="164" w:name="_Toc22145"/>
    </w:p>
    <w:p w14:paraId="112D2AFF">
      <w:pPr>
        <w:pStyle w:val="13"/>
        <w:pageBreakBefore w:val="0"/>
        <w:kinsoku/>
        <w:bidi w:val="0"/>
        <w:spacing w:beforeAutospacing="0" w:afterAutospacing="0" w:line="36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注：投标保证金如为银行转账形式，须在此处附银行正式转账回单，临时回单不予认可。</w:t>
      </w:r>
    </w:p>
    <w:p w14:paraId="6795FA5F">
      <w:pPr>
        <w:pageBreakBefore w:val="0"/>
        <w:kinsoku/>
        <w:bidi w:val="0"/>
        <w:spacing w:beforeAutospacing="0" w:afterAutospacing="0" w:line="360" w:lineRule="auto"/>
        <w:rPr>
          <w:rFonts w:hint="eastAsia" w:ascii="仿宋" w:hAnsi="仿宋" w:eastAsia="仿宋" w:cs="仿宋"/>
          <w:b/>
          <w:color w:val="auto"/>
          <w:spacing w:val="20"/>
          <w:sz w:val="24"/>
        </w:rPr>
      </w:pPr>
      <w:r>
        <w:rPr>
          <w:rFonts w:hint="eastAsia" w:ascii="仿宋" w:hAnsi="仿宋" w:eastAsia="仿宋" w:cs="仿宋"/>
          <w:b/>
          <w:color w:val="auto"/>
          <w:spacing w:val="20"/>
          <w:sz w:val="24"/>
        </w:rPr>
        <w:br w:type="page"/>
      </w:r>
    </w:p>
    <w:p w14:paraId="6F0D838B">
      <w:pPr>
        <w:pageBreakBefore w:val="0"/>
        <w:kinsoku/>
        <w:bidi w:val="0"/>
        <w:spacing w:beforeAutospacing="0" w:afterAutospacing="0" w:line="360" w:lineRule="auto"/>
        <w:outlineLvl w:val="1"/>
        <w:rPr>
          <w:rFonts w:hint="eastAsia" w:ascii="仿宋" w:hAnsi="仿宋" w:eastAsia="仿宋" w:cs="仿宋"/>
          <w:b/>
          <w:color w:val="auto"/>
          <w:sz w:val="24"/>
          <w:lang w:val="en-US" w:eastAsia="zh-CN"/>
        </w:rPr>
      </w:pPr>
      <w:r>
        <w:rPr>
          <w:rFonts w:hint="eastAsia" w:ascii="仿宋" w:hAnsi="仿宋" w:eastAsia="仿宋" w:cs="仿宋"/>
          <w:b/>
          <w:color w:val="auto"/>
          <w:spacing w:val="20"/>
          <w:sz w:val="24"/>
        </w:rPr>
        <w:t>响应文件</w:t>
      </w:r>
      <w:r>
        <w:rPr>
          <w:rFonts w:hint="eastAsia" w:ascii="仿宋" w:hAnsi="仿宋" w:eastAsia="仿宋" w:cs="仿宋"/>
          <w:b/>
          <w:color w:val="auto"/>
          <w:sz w:val="24"/>
        </w:rPr>
        <w:t>封面及目录格式</w:t>
      </w:r>
      <w:bookmarkEnd w:id="163"/>
      <w:bookmarkEnd w:id="164"/>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商务技术文件</w:t>
      </w:r>
      <w:r>
        <w:rPr>
          <w:rFonts w:hint="eastAsia" w:ascii="仿宋" w:hAnsi="仿宋" w:eastAsia="仿宋" w:cs="仿宋"/>
          <w:b/>
          <w:color w:val="auto"/>
          <w:sz w:val="24"/>
          <w:lang w:eastAsia="zh-CN"/>
        </w:rPr>
        <w:t>）</w:t>
      </w:r>
    </w:p>
    <w:p w14:paraId="09240B02">
      <w:pPr>
        <w:pageBreakBefore w:val="0"/>
        <w:kinsoku/>
        <w:bidi w:val="0"/>
        <w:spacing w:beforeAutospacing="0" w:afterAutospacing="0" w:line="360" w:lineRule="auto"/>
        <w:jc w:val="right"/>
        <w:rPr>
          <w:rFonts w:hint="eastAsia" w:ascii="仿宋" w:hAnsi="仿宋" w:eastAsia="仿宋" w:cs="仿宋"/>
          <w:color w:val="auto"/>
          <w:szCs w:val="21"/>
        </w:rPr>
      </w:pPr>
    </w:p>
    <w:p w14:paraId="533C23FC">
      <w:pPr>
        <w:pageBreakBefore w:val="0"/>
        <w:kinsoku/>
        <w:bidi w:val="0"/>
        <w:spacing w:beforeAutospacing="0" w:afterAutospacing="0" w:line="360" w:lineRule="auto"/>
        <w:jc w:val="center"/>
        <w:rPr>
          <w:rFonts w:hint="eastAsia" w:ascii="仿宋" w:hAnsi="仿宋" w:eastAsia="仿宋" w:cs="仿宋"/>
          <w:color w:val="auto"/>
          <w:szCs w:val="21"/>
        </w:rPr>
      </w:pPr>
    </w:p>
    <w:p w14:paraId="16E3F695">
      <w:pPr>
        <w:pageBreakBefore w:val="0"/>
        <w:kinsoku/>
        <w:bidi w:val="0"/>
        <w:spacing w:beforeAutospacing="0" w:afterAutospacing="0" w:line="360" w:lineRule="auto"/>
        <w:jc w:val="center"/>
        <w:rPr>
          <w:rFonts w:hint="eastAsia" w:ascii="仿宋" w:hAnsi="仿宋" w:eastAsia="仿宋" w:cs="仿宋"/>
          <w:b/>
          <w:color w:val="auto"/>
          <w:spacing w:val="60"/>
          <w:sz w:val="84"/>
          <w:szCs w:val="84"/>
        </w:rPr>
      </w:pPr>
    </w:p>
    <w:p w14:paraId="63ECA994">
      <w:pPr>
        <w:pageBreakBefore w:val="0"/>
        <w:kinsoku/>
        <w:bidi w:val="0"/>
        <w:spacing w:beforeAutospacing="0" w:afterAutospacing="0" w:line="360" w:lineRule="auto"/>
        <w:jc w:val="center"/>
        <w:outlineLvl w:val="9"/>
        <w:rPr>
          <w:rFonts w:hint="eastAsia" w:ascii="仿宋" w:hAnsi="仿宋" w:eastAsia="仿宋" w:cs="仿宋"/>
          <w:b/>
          <w:color w:val="auto"/>
          <w:spacing w:val="60"/>
          <w:sz w:val="84"/>
          <w:szCs w:val="84"/>
        </w:rPr>
      </w:pPr>
      <w:bookmarkStart w:id="165" w:name="_Toc28787"/>
      <w:bookmarkStart w:id="166" w:name="_Toc2095_WPSOffice_Level2"/>
      <w:r>
        <w:rPr>
          <w:rFonts w:hint="eastAsia" w:ascii="仿宋" w:hAnsi="仿宋" w:eastAsia="仿宋" w:cs="仿宋"/>
          <w:b/>
          <w:color w:val="auto"/>
          <w:spacing w:val="60"/>
          <w:sz w:val="84"/>
          <w:szCs w:val="84"/>
        </w:rPr>
        <w:t>响 应 文 件</w:t>
      </w:r>
      <w:bookmarkEnd w:id="165"/>
      <w:bookmarkEnd w:id="166"/>
    </w:p>
    <w:p w14:paraId="61CC3DA1">
      <w:pPr>
        <w:pageBreakBefore w:val="0"/>
        <w:kinsoku/>
        <w:bidi w:val="0"/>
        <w:spacing w:beforeAutospacing="0" w:afterAutospacing="0" w:line="360" w:lineRule="auto"/>
        <w:ind w:left="0" w:leftChars="0" w:firstLine="0" w:firstLineChars="0"/>
        <w:jc w:val="center"/>
        <w:rPr>
          <w:rFonts w:hint="eastAsia" w:ascii="仿宋" w:hAnsi="仿宋" w:eastAsia="仿宋" w:cs="仿宋"/>
          <w:b/>
          <w:color w:val="auto"/>
          <w:spacing w:val="20"/>
          <w:sz w:val="32"/>
          <w:szCs w:val="32"/>
        </w:rPr>
      </w:pPr>
      <w:r>
        <w:rPr>
          <w:rFonts w:hint="eastAsia" w:ascii="仿宋" w:hAnsi="仿宋" w:eastAsia="仿宋" w:cs="仿宋"/>
          <w:b/>
          <w:color w:val="auto"/>
          <w:spacing w:val="20"/>
          <w:sz w:val="52"/>
          <w:szCs w:val="52"/>
        </w:rPr>
        <w:t>（商务技术文件）</w:t>
      </w:r>
    </w:p>
    <w:p w14:paraId="48034959">
      <w:pPr>
        <w:pageBreakBefore w:val="0"/>
        <w:kinsoku/>
        <w:bidi w:val="0"/>
        <w:spacing w:beforeAutospacing="0" w:afterAutospacing="0" w:line="360" w:lineRule="auto"/>
        <w:ind w:left="420" w:leftChars="0" w:hanging="420" w:firstLineChars="0"/>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项目名称:</w:t>
      </w:r>
    </w:p>
    <w:p w14:paraId="5CEF6D7A">
      <w:pPr>
        <w:pageBreakBefore w:val="0"/>
        <w:kinsoku/>
        <w:bidi w:val="0"/>
        <w:spacing w:beforeAutospacing="0" w:afterAutospacing="0" w:line="360" w:lineRule="auto"/>
        <w:ind w:left="420" w:leftChars="0" w:hanging="420" w:firstLineChars="0"/>
        <w:rPr>
          <w:rFonts w:hint="eastAsia" w:ascii="仿宋" w:hAnsi="仿宋" w:eastAsia="仿宋" w:cs="仿宋"/>
          <w:b/>
          <w:color w:val="auto"/>
          <w:szCs w:val="21"/>
        </w:rPr>
      </w:pPr>
      <w:r>
        <w:rPr>
          <w:rFonts w:hint="eastAsia" w:ascii="仿宋" w:hAnsi="仿宋" w:eastAsia="仿宋" w:cs="仿宋"/>
          <w:b/>
          <w:color w:val="auto"/>
          <w:spacing w:val="20"/>
          <w:sz w:val="32"/>
          <w:szCs w:val="32"/>
        </w:rPr>
        <w:t>项目编号：</w:t>
      </w:r>
    </w:p>
    <w:p w14:paraId="6F7CFB40">
      <w:pPr>
        <w:pageBreakBefore w:val="0"/>
        <w:kinsoku/>
        <w:bidi w:val="0"/>
        <w:spacing w:beforeAutospacing="0" w:afterAutospacing="0" w:line="360" w:lineRule="auto"/>
        <w:rPr>
          <w:rFonts w:hint="eastAsia" w:ascii="仿宋" w:hAnsi="仿宋" w:eastAsia="仿宋" w:cs="仿宋"/>
          <w:b/>
          <w:color w:val="auto"/>
          <w:szCs w:val="21"/>
        </w:rPr>
      </w:pPr>
    </w:p>
    <w:p w14:paraId="463A9E35">
      <w:pPr>
        <w:pageBreakBefore w:val="0"/>
        <w:kinsoku/>
        <w:bidi w:val="0"/>
        <w:spacing w:beforeAutospacing="0" w:afterAutospacing="0" w:line="360" w:lineRule="auto"/>
        <w:rPr>
          <w:rFonts w:hint="eastAsia" w:ascii="仿宋" w:hAnsi="仿宋" w:eastAsia="仿宋" w:cs="仿宋"/>
          <w:b/>
          <w:color w:val="auto"/>
          <w:szCs w:val="21"/>
        </w:rPr>
      </w:pPr>
    </w:p>
    <w:p w14:paraId="4ABB7AEA">
      <w:pPr>
        <w:pageBreakBefore w:val="0"/>
        <w:kinsoku/>
        <w:bidi w:val="0"/>
        <w:spacing w:beforeAutospacing="0" w:afterAutospacing="0" w:line="360" w:lineRule="auto"/>
        <w:rPr>
          <w:rFonts w:hint="eastAsia" w:ascii="仿宋" w:hAnsi="仿宋" w:eastAsia="仿宋" w:cs="仿宋"/>
          <w:b/>
          <w:color w:val="auto"/>
          <w:szCs w:val="21"/>
        </w:rPr>
      </w:pPr>
    </w:p>
    <w:p w14:paraId="7FF3A216">
      <w:pPr>
        <w:pageBreakBefore w:val="0"/>
        <w:kinsoku/>
        <w:bidi w:val="0"/>
        <w:spacing w:beforeAutospacing="0" w:afterAutospacing="0" w:line="360" w:lineRule="auto"/>
        <w:rPr>
          <w:rFonts w:hint="eastAsia" w:ascii="仿宋" w:hAnsi="仿宋" w:eastAsia="仿宋" w:cs="仿宋"/>
          <w:b/>
          <w:color w:val="auto"/>
          <w:szCs w:val="21"/>
        </w:rPr>
      </w:pPr>
    </w:p>
    <w:p w14:paraId="06F5EAB8">
      <w:pPr>
        <w:pageBreakBefore w:val="0"/>
        <w:kinsoku/>
        <w:bidi w:val="0"/>
        <w:spacing w:beforeAutospacing="0" w:afterAutospacing="0" w:line="360" w:lineRule="auto"/>
        <w:rPr>
          <w:rFonts w:hint="eastAsia" w:ascii="仿宋" w:hAnsi="仿宋" w:eastAsia="仿宋" w:cs="仿宋"/>
          <w:b/>
          <w:color w:val="auto"/>
          <w:szCs w:val="21"/>
        </w:rPr>
      </w:pPr>
    </w:p>
    <w:p w14:paraId="2E390844">
      <w:pPr>
        <w:pageBreakBefore w:val="0"/>
        <w:kinsoku/>
        <w:bidi w:val="0"/>
        <w:spacing w:beforeAutospacing="0" w:afterAutospacing="0" w:line="360" w:lineRule="auto"/>
        <w:rPr>
          <w:rFonts w:hint="eastAsia" w:ascii="仿宋" w:hAnsi="仿宋" w:eastAsia="仿宋" w:cs="仿宋"/>
          <w:b/>
          <w:color w:val="auto"/>
          <w:szCs w:val="21"/>
        </w:rPr>
      </w:pPr>
    </w:p>
    <w:p w14:paraId="414481E5">
      <w:pPr>
        <w:pageBreakBefore w:val="0"/>
        <w:kinsoku/>
        <w:bidi w:val="0"/>
        <w:spacing w:beforeAutospacing="0" w:afterAutospacing="0" w:line="360" w:lineRule="auto"/>
        <w:rPr>
          <w:rFonts w:hint="eastAsia" w:ascii="仿宋" w:hAnsi="仿宋" w:eastAsia="仿宋" w:cs="仿宋"/>
          <w:b/>
          <w:color w:val="auto"/>
          <w:szCs w:val="21"/>
        </w:rPr>
      </w:pPr>
    </w:p>
    <w:p w14:paraId="78C43470">
      <w:pPr>
        <w:pageBreakBefore w:val="0"/>
        <w:kinsoku/>
        <w:bidi w:val="0"/>
        <w:spacing w:beforeAutospacing="0" w:afterAutospacing="0" w:line="360" w:lineRule="auto"/>
        <w:rPr>
          <w:rFonts w:hint="eastAsia" w:ascii="仿宋" w:hAnsi="仿宋" w:eastAsia="仿宋" w:cs="仿宋"/>
          <w:b/>
          <w:color w:val="auto"/>
          <w:szCs w:val="21"/>
        </w:rPr>
      </w:pPr>
    </w:p>
    <w:p w14:paraId="3F1E4014">
      <w:pPr>
        <w:pageBreakBefore w:val="0"/>
        <w:kinsoku/>
        <w:bidi w:val="0"/>
        <w:spacing w:beforeAutospacing="0" w:afterAutospacing="0" w:line="360" w:lineRule="auto"/>
        <w:rPr>
          <w:rFonts w:hint="eastAsia" w:ascii="仿宋" w:hAnsi="仿宋" w:eastAsia="仿宋" w:cs="仿宋"/>
          <w:b/>
          <w:color w:val="auto"/>
          <w:szCs w:val="21"/>
        </w:rPr>
      </w:pPr>
    </w:p>
    <w:p w14:paraId="0E062100">
      <w:pPr>
        <w:pageBreakBefore w:val="0"/>
        <w:kinsoku/>
        <w:bidi w:val="0"/>
        <w:spacing w:beforeAutospacing="0" w:afterAutospacing="0" w:line="360" w:lineRule="auto"/>
        <w:rPr>
          <w:rFonts w:hint="eastAsia" w:ascii="仿宋" w:hAnsi="仿宋" w:eastAsia="仿宋" w:cs="仿宋"/>
          <w:b/>
          <w:color w:val="auto"/>
          <w:szCs w:val="21"/>
        </w:rPr>
      </w:pPr>
    </w:p>
    <w:p w14:paraId="336085C0">
      <w:pPr>
        <w:pageBreakBefore w:val="0"/>
        <w:kinsoku/>
        <w:bidi w:val="0"/>
        <w:spacing w:beforeAutospacing="0" w:afterAutospacing="0" w:line="360" w:lineRule="auto"/>
        <w:rPr>
          <w:rFonts w:hint="eastAsia" w:ascii="仿宋" w:hAnsi="仿宋" w:eastAsia="仿宋" w:cs="仿宋"/>
          <w:b/>
          <w:color w:val="auto"/>
          <w:szCs w:val="21"/>
        </w:rPr>
      </w:pPr>
    </w:p>
    <w:p w14:paraId="1421AD38">
      <w:pPr>
        <w:pageBreakBefore w:val="0"/>
        <w:kinsoku/>
        <w:bidi w:val="0"/>
        <w:spacing w:beforeAutospacing="0" w:afterAutospacing="0" w:line="360" w:lineRule="auto"/>
        <w:rPr>
          <w:rFonts w:hint="eastAsia" w:ascii="仿宋" w:hAnsi="仿宋" w:eastAsia="仿宋" w:cs="仿宋"/>
          <w:b/>
          <w:color w:val="auto"/>
          <w:szCs w:val="21"/>
        </w:rPr>
      </w:pPr>
    </w:p>
    <w:p w14:paraId="1BD4ED58">
      <w:pPr>
        <w:pageBreakBefore w:val="0"/>
        <w:kinsoku/>
        <w:bidi w:val="0"/>
        <w:spacing w:beforeAutospacing="0" w:afterAutospacing="0" w:line="360" w:lineRule="auto"/>
        <w:jc w:val="center"/>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rPr>
        <w:t>磋商供应商单位名称：（公章）</w:t>
      </w:r>
    </w:p>
    <w:p w14:paraId="74363CFF">
      <w:pPr>
        <w:pageBreakBefore w:val="0"/>
        <w:kinsoku/>
        <w:bidi w:val="0"/>
        <w:spacing w:beforeAutospacing="0" w:afterAutospacing="0"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二〇    年  月   日</w:t>
      </w:r>
    </w:p>
    <w:p w14:paraId="713AE5B9">
      <w:pPr>
        <w:pageBreakBefore w:val="0"/>
        <w:kinsoku/>
        <w:bidi w:val="0"/>
        <w:spacing w:beforeAutospacing="0" w:afterAutospacing="0" w:line="360" w:lineRule="auto"/>
        <w:jc w:val="center"/>
        <w:rPr>
          <w:rFonts w:hint="eastAsia" w:ascii="仿宋" w:hAnsi="仿宋" w:eastAsia="仿宋" w:cs="仿宋"/>
          <w:b/>
          <w:color w:val="auto"/>
          <w:spacing w:val="20"/>
          <w:sz w:val="32"/>
          <w:szCs w:val="32"/>
        </w:rPr>
      </w:pPr>
      <w:bookmarkStart w:id="167" w:name="_Toc40954063"/>
      <w:r>
        <w:rPr>
          <w:rFonts w:hint="eastAsia" w:ascii="仿宋" w:hAnsi="仿宋" w:eastAsia="仿宋" w:cs="仿宋"/>
          <w:b/>
          <w:color w:val="auto"/>
          <w:spacing w:val="20"/>
          <w:sz w:val="32"/>
          <w:szCs w:val="32"/>
        </w:rPr>
        <w:br w:type="page"/>
      </w:r>
      <w:r>
        <w:rPr>
          <w:rFonts w:hint="eastAsia" w:ascii="仿宋" w:hAnsi="仿宋" w:eastAsia="仿宋" w:cs="仿宋"/>
          <w:b/>
          <w:color w:val="auto"/>
          <w:spacing w:val="20"/>
          <w:sz w:val="32"/>
          <w:szCs w:val="32"/>
        </w:rPr>
        <w:t>商务技术文件</w:t>
      </w:r>
    </w:p>
    <w:bookmarkEnd w:id="167"/>
    <w:p w14:paraId="3BF4050C">
      <w:pPr>
        <w:pageBreakBefore w:val="0"/>
        <w:kinsoku/>
        <w:bidi w:val="0"/>
        <w:spacing w:beforeAutospacing="0" w:afterAutospacing="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目    录</w:t>
      </w:r>
    </w:p>
    <w:p w14:paraId="3BDE1968">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30BA04E8">
      <w:pPr>
        <w:pStyle w:val="23"/>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一、开标一览表</w:t>
      </w:r>
    </w:p>
    <w:p w14:paraId="1E91AAB0">
      <w:pPr>
        <w:pStyle w:val="23"/>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二、政府采购政策资料</w:t>
      </w:r>
    </w:p>
    <w:p w14:paraId="0D3B085D">
      <w:pPr>
        <w:pStyle w:val="23"/>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三、监理分项报价表</w:t>
      </w:r>
    </w:p>
    <w:p w14:paraId="402E2997">
      <w:pPr>
        <w:pStyle w:val="23"/>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四、项目管理机构配备</w:t>
      </w:r>
    </w:p>
    <w:p w14:paraId="44944852">
      <w:pPr>
        <w:pStyle w:val="23"/>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五、近三年同类型业绩</w:t>
      </w:r>
    </w:p>
    <w:p w14:paraId="5EC6286A">
      <w:pPr>
        <w:pStyle w:val="23"/>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监理大纲</w:t>
      </w:r>
    </w:p>
    <w:p w14:paraId="60CCDD1D">
      <w:pPr>
        <w:pStyle w:val="23"/>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其他商务技术材料</w:t>
      </w:r>
    </w:p>
    <w:p w14:paraId="1871DF9B">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11DDBC89">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217E669A">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61A33C57">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54514D83">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31CF4E65">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469B12EF">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3D843D79">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54C953CC">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6850522F">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3FD8DE20">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327756BB">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27D1F40C">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20FC6F3A">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76C3FFD7">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793B0537">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315ABD2F">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7E9FDD58">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33FB140E">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4FEC4DBB">
      <w:pPr>
        <w:pStyle w:val="27"/>
        <w:pageBreakBefore w:val="0"/>
        <w:kinsoku/>
        <w:bidi w:val="0"/>
        <w:spacing w:beforeAutospacing="0" w:afterAutospacing="0" w:line="360" w:lineRule="auto"/>
        <w:rPr>
          <w:rFonts w:hint="eastAsia" w:ascii="仿宋" w:hAnsi="仿宋" w:eastAsia="仿宋" w:cs="仿宋"/>
          <w:b/>
          <w:color w:val="auto"/>
          <w:sz w:val="24"/>
          <w:szCs w:val="24"/>
        </w:rPr>
      </w:pPr>
    </w:p>
    <w:p w14:paraId="13252EB4">
      <w:pPr>
        <w:pageBreakBefore w:val="0"/>
        <w:numPr>
          <w:ilvl w:val="0"/>
          <w:numId w:val="0"/>
        </w:numPr>
        <w:kinsoku/>
        <w:bidi w:val="0"/>
        <w:spacing w:beforeAutospacing="0" w:afterAutospacing="0" w:line="360" w:lineRule="auto"/>
        <w:jc w:val="center"/>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一、开标一览表</w:t>
      </w:r>
    </w:p>
    <w:p w14:paraId="27BF576C">
      <w:pPr>
        <w:pStyle w:val="27"/>
        <w:pageBreakBefore w:val="0"/>
        <w:numPr>
          <w:ilvl w:val="0"/>
          <w:numId w:val="0"/>
        </w:numPr>
        <w:kinsoku/>
        <w:bidi w:val="0"/>
        <w:spacing w:beforeAutospacing="0" w:afterAutospacing="0" w:line="360" w:lineRule="auto"/>
        <w:rPr>
          <w:rFonts w:hint="eastAsia" w:ascii="仿宋" w:hAnsi="仿宋" w:eastAsia="仿宋" w:cs="仿宋"/>
          <w:color w:val="auto"/>
          <w:sz w:val="24"/>
          <w:szCs w:val="24"/>
          <w:lang w:val="en-US" w:eastAsia="zh-CN"/>
        </w:rPr>
      </w:pPr>
    </w:p>
    <w:p w14:paraId="5C074EBC">
      <w:pPr>
        <w:pStyle w:val="81"/>
        <w:keepNext/>
        <w:keepLines/>
        <w:pageBreakBefore w:val="0"/>
        <w:kinsoku/>
        <w:bidi w:val="0"/>
        <w:spacing w:beforeAutospacing="0" w:afterAutospacing="0" w:line="360" w:lineRule="auto"/>
        <w:ind w:firstLine="475" w:firstLineChars="198"/>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 xml:space="preserve">                      </w:t>
      </w:r>
    </w:p>
    <w:p w14:paraId="67F88398">
      <w:pPr>
        <w:pStyle w:val="81"/>
        <w:keepNext/>
        <w:keepLines/>
        <w:pageBreakBefore w:val="0"/>
        <w:kinsoku/>
        <w:bidi w:val="0"/>
        <w:spacing w:beforeAutospacing="0" w:afterAutospacing="0" w:line="360" w:lineRule="auto"/>
        <w:ind w:firstLine="475" w:firstLineChars="198"/>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项目编号：</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 xml:space="preserve">                      </w:t>
      </w:r>
    </w:p>
    <w:p w14:paraId="4D8C325E">
      <w:pPr>
        <w:pStyle w:val="81"/>
        <w:keepNext/>
        <w:keepLines/>
        <w:pageBreakBefore w:val="0"/>
        <w:kinsoku/>
        <w:bidi w:val="0"/>
        <w:spacing w:beforeAutospacing="0" w:afterAutospacing="0" w:line="360" w:lineRule="auto"/>
        <w:ind w:firstLine="475" w:firstLineChars="198"/>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供应商名称：</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 xml:space="preserve">                      </w:t>
      </w:r>
    </w:p>
    <w:p w14:paraId="7E7FE15E">
      <w:pPr>
        <w:keepNext/>
        <w:keepLines/>
        <w:pageBreakBefore w:val="0"/>
        <w:kinsoku/>
        <w:bidi w:val="0"/>
        <w:snapToGrid w:val="0"/>
        <w:spacing w:beforeAutospacing="0" w:afterAutospacing="0" w:line="360" w:lineRule="auto"/>
        <w:ind w:firstLine="1080" w:firstLineChars="45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货币：人民币/元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5645"/>
      </w:tblGrid>
      <w:tr w14:paraId="0102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255" w:type="dxa"/>
            <w:noWrap w:val="0"/>
            <w:vAlign w:val="center"/>
          </w:tcPr>
          <w:p w14:paraId="3908F03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总报价</w:t>
            </w:r>
          </w:p>
        </w:tc>
        <w:tc>
          <w:tcPr>
            <w:tcW w:w="5645" w:type="dxa"/>
            <w:noWrap w:val="0"/>
            <w:vAlign w:val="center"/>
          </w:tcPr>
          <w:p w14:paraId="6AD5724E">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kern w:val="2"/>
                <w:sz w:val="24"/>
                <w:szCs w:val="24"/>
                <w:lang w:val="en-US" w:eastAsia="zh-CN" w:bidi="ar-SA"/>
              </w:rPr>
            </w:pPr>
          </w:p>
        </w:tc>
      </w:tr>
      <w:tr w14:paraId="0B02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255" w:type="dxa"/>
            <w:noWrap w:val="0"/>
            <w:vAlign w:val="center"/>
          </w:tcPr>
          <w:p w14:paraId="06FF8861">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监理服务期</w:t>
            </w:r>
          </w:p>
        </w:tc>
        <w:tc>
          <w:tcPr>
            <w:tcW w:w="5645" w:type="dxa"/>
            <w:noWrap w:val="0"/>
            <w:vAlign w:val="center"/>
          </w:tcPr>
          <w:p w14:paraId="572950AC">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4"/>
                <w:szCs w:val="24"/>
                <w:lang w:val="en-US" w:eastAsia="zh-CN" w:bidi="ar-SA"/>
              </w:rPr>
            </w:pPr>
          </w:p>
        </w:tc>
      </w:tr>
      <w:tr w14:paraId="308E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255" w:type="dxa"/>
            <w:noWrap w:val="0"/>
            <w:vAlign w:val="center"/>
          </w:tcPr>
          <w:p w14:paraId="2D0A95D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质量标准</w:t>
            </w:r>
          </w:p>
        </w:tc>
        <w:tc>
          <w:tcPr>
            <w:tcW w:w="5645" w:type="dxa"/>
            <w:noWrap w:val="0"/>
            <w:vAlign w:val="center"/>
          </w:tcPr>
          <w:p w14:paraId="0189FC70">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4"/>
                <w:szCs w:val="24"/>
                <w:lang w:val="en-US" w:eastAsia="zh-CN" w:bidi="ar-SA"/>
              </w:rPr>
            </w:pPr>
          </w:p>
          <w:p w14:paraId="6B5269CE">
            <w:pPr>
              <w:pStyle w:val="11"/>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color w:val="auto"/>
                <w:kern w:val="2"/>
                <w:sz w:val="24"/>
                <w:szCs w:val="24"/>
                <w:lang w:val="en-US" w:eastAsia="zh-CN" w:bidi="ar-SA"/>
              </w:rPr>
            </w:pPr>
          </w:p>
        </w:tc>
      </w:tr>
      <w:tr w14:paraId="7D4B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255" w:type="dxa"/>
            <w:noWrap w:val="0"/>
            <w:vAlign w:val="center"/>
          </w:tcPr>
          <w:p w14:paraId="4FA47FF6">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响应有效期</w:t>
            </w:r>
          </w:p>
        </w:tc>
        <w:tc>
          <w:tcPr>
            <w:tcW w:w="5645" w:type="dxa"/>
            <w:noWrap w:val="0"/>
            <w:vAlign w:val="center"/>
          </w:tcPr>
          <w:p w14:paraId="30F6EF9A">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color w:val="auto"/>
                <w:kern w:val="2"/>
                <w:sz w:val="24"/>
                <w:szCs w:val="24"/>
                <w:lang w:val="en-US" w:eastAsia="zh-CN" w:bidi="ar-SA"/>
              </w:rPr>
            </w:pPr>
          </w:p>
        </w:tc>
      </w:tr>
    </w:tbl>
    <w:p w14:paraId="4B328DCD">
      <w:pPr>
        <w:pageBreakBefore w:val="0"/>
        <w:kinsoku/>
        <w:bidi w:val="0"/>
        <w:adjustRightInd w:val="0"/>
        <w:snapToGrid w:val="0"/>
        <w:spacing w:beforeAutospacing="0" w:afterAutospacing="0" w:line="360" w:lineRule="auto"/>
        <w:jc w:val="both"/>
        <w:rPr>
          <w:rFonts w:hint="eastAsia" w:ascii="仿宋" w:hAnsi="仿宋" w:eastAsia="仿宋" w:cs="仿宋"/>
          <w:bCs/>
          <w:color w:val="auto"/>
          <w:sz w:val="24"/>
          <w:szCs w:val="24"/>
        </w:rPr>
      </w:pPr>
    </w:p>
    <w:p w14:paraId="5A83F06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2400" w:firstLineChars="10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供应商：</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(加盖公章)            </w:t>
      </w:r>
    </w:p>
    <w:p w14:paraId="0A6221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2400" w:firstLineChars="1000"/>
        <w:jc w:val="both"/>
        <w:textAlignment w:val="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法定代表人或其授权委托的代理人：</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(签字或盖章</w:t>
      </w:r>
      <w:r>
        <w:rPr>
          <w:rFonts w:hint="eastAsia" w:ascii="仿宋" w:hAnsi="仿宋" w:eastAsia="仿宋" w:cs="仿宋"/>
          <w:bCs/>
          <w:color w:val="auto"/>
          <w:sz w:val="24"/>
          <w:szCs w:val="24"/>
          <w:lang w:eastAsia="zh-CN"/>
        </w:rPr>
        <w:t>）</w:t>
      </w:r>
    </w:p>
    <w:p w14:paraId="3942BA9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2400" w:firstLineChars="10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日　期：      年    月    日</w:t>
      </w:r>
    </w:p>
    <w:p w14:paraId="1C22305C">
      <w:pPr>
        <w:pageBreakBefore w:val="0"/>
        <w:kinsoku/>
        <w:bidi w:val="0"/>
        <w:adjustRightInd w:val="0"/>
        <w:snapToGrid w:val="0"/>
        <w:spacing w:beforeAutospacing="0" w:afterAutospacing="0" w:line="360" w:lineRule="auto"/>
        <w:jc w:val="both"/>
        <w:rPr>
          <w:rFonts w:hint="eastAsia" w:ascii="仿宋" w:hAnsi="仿宋" w:eastAsia="仿宋" w:cs="仿宋"/>
          <w:bCs/>
          <w:color w:val="auto"/>
          <w:sz w:val="24"/>
        </w:rPr>
      </w:pPr>
    </w:p>
    <w:p w14:paraId="55B465ED">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562F95EE">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39798863">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4A3E6617">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6D21CA99">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26BA8801">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60B54967">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569D429F">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78F3DB78">
      <w:pPr>
        <w:pStyle w:val="3"/>
        <w:pageBreakBefore w:val="0"/>
        <w:kinsoku/>
        <w:bidi w:val="0"/>
        <w:spacing w:before="0" w:beforeAutospacing="0" w:after="0" w:afterAutospacing="0" w:line="360" w:lineRule="auto"/>
        <w:rPr>
          <w:rFonts w:hint="eastAsia" w:ascii="仿宋" w:hAnsi="仿宋" w:eastAsia="仿宋" w:cs="仿宋"/>
          <w:color w:val="auto"/>
        </w:rPr>
      </w:pPr>
    </w:p>
    <w:p w14:paraId="4D2AB488">
      <w:pPr>
        <w:pStyle w:val="34"/>
        <w:pageBreakBefore w:val="0"/>
        <w:kinsoku/>
        <w:bidi w:val="0"/>
        <w:spacing w:beforeAutospacing="0" w:after="0" w:afterAutospacing="0" w:line="360" w:lineRule="auto"/>
        <w:rPr>
          <w:rFonts w:hint="eastAsia" w:ascii="仿宋" w:hAnsi="仿宋" w:eastAsia="仿宋" w:cs="仿宋"/>
          <w:color w:val="auto"/>
        </w:rPr>
      </w:pPr>
    </w:p>
    <w:p w14:paraId="3AE0D8DD">
      <w:pPr>
        <w:pStyle w:val="35"/>
        <w:pageBreakBefore w:val="0"/>
        <w:kinsoku/>
        <w:bidi w:val="0"/>
        <w:spacing w:beforeAutospacing="0" w:after="0" w:afterAutospacing="0" w:line="360" w:lineRule="auto"/>
        <w:rPr>
          <w:rFonts w:hint="eastAsia" w:ascii="仿宋" w:hAnsi="仿宋" w:eastAsia="仿宋" w:cs="仿宋"/>
          <w:color w:val="auto"/>
        </w:rPr>
      </w:pPr>
    </w:p>
    <w:p w14:paraId="698B2046">
      <w:pPr>
        <w:pStyle w:val="34"/>
        <w:pageBreakBefore w:val="0"/>
        <w:kinsoku/>
        <w:bidi w:val="0"/>
        <w:spacing w:beforeAutospacing="0" w:after="0" w:afterAutospacing="0" w:line="360" w:lineRule="auto"/>
        <w:rPr>
          <w:rFonts w:hint="eastAsia" w:ascii="仿宋" w:hAnsi="仿宋" w:eastAsia="仿宋" w:cs="仿宋"/>
          <w:color w:val="auto"/>
        </w:rPr>
      </w:pPr>
    </w:p>
    <w:p w14:paraId="1CA58F7A">
      <w:pPr>
        <w:pageBreakBefore w:val="0"/>
        <w:kinsoku/>
        <w:bidi w:val="0"/>
        <w:adjustRightInd w:val="0"/>
        <w:snapToGrid w:val="0"/>
        <w:spacing w:beforeAutospacing="0" w:afterAutospacing="0" w:line="360" w:lineRule="auto"/>
        <w:jc w:val="center"/>
        <w:rPr>
          <w:rFonts w:hint="eastAsia" w:ascii="仿宋" w:hAnsi="仿宋" w:eastAsia="仿宋" w:cs="仿宋"/>
          <w:bCs/>
          <w:color w:val="auto"/>
          <w:sz w:val="24"/>
        </w:rPr>
      </w:pPr>
    </w:p>
    <w:p w14:paraId="08E5A4D4">
      <w:pPr>
        <w:pStyle w:val="27"/>
        <w:pageBreakBefore w:val="0"/>
        <w:kinsoku/>
        <w:bidi w:val="0"/>
        <w:spacing w:beforeAutospacing="0" w:afterAutospacing="0" w:line="360" w:lineRule="auto"/>
        <w:rPr>
          <w:rFonts w:hint="eastAsia" w:ascii="仿宋" w:hAnsi="仿宋" w:eastAsia="仿宋" w:cs="仿宋"/>
          <w:color w:val="auto"/>
        </w:rPr>
      </w:pPr>
    </w:p>
    <w:p w14:paraId="599703E6">
      <w:pPr>
        <w:pageBreakBefore w:val="0"/>
        <w:tabs>
          <w:tab w:val="left" w:pos="1680"/>
        </w:tabs>
        <w:kinsoku/>
        <w:bidi w:val="0"/>
        <w:snapToGrid w:val="0"/>
        <w:spacing w:beforeAutospacing="0" w:afterAutospacing="0" w:line="360" w:lineRule="auto"/>
        <w:rPr>
          <w:rFonts w:hint="eastAsia" w:ascii="仿宋" w:hAnsi="仿宋" w:eastAsia="仿宋" w:cs="仿宋"/>
          <w:b/>
          <w:color w:val="auto"/>
          <w:sz w:val="21"/>
          <w:szCs w:val="21"/>
        </w:rPr>
      </w:pPr>
    </w:p>
    <w:p w14:paraId="4D6EB595">
      <w:pPr>
        <w:pageBreakBefore w:val="0"/>
        <w:kinsoku/>
        <w:bidi w:val="0"/>
        <w:spacing w:beforeAutospacing="0" w:afterAutospacing="0" w:line="360" w:lineRule="auto"/>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br w:type="page"/>
      </w:r>
    </w:p>
    <w:p w14:paraId="4612904D">
      <w:pPr>
        <w:pageBreakBefore w:val="0"/>
        <w:tabs>
          <w:tab w:val="left" w:pos="1680"/>
        </w:tabs>
        <w:kinsoku/>
        <w:bidi w:val="0"/>
        <w:snapToGrid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二、</w:t>
      </w:r>
      <w:r>
        <w:rPr>
          <w:rFonts w:hint="eastAsia" w:ascii="仿宋" w:hAnsi="仿宋" w:eastAsia="仿宋" w:cs="仿宋"/>
          <w:b/>
          <w:color w:val="auto"/>
          <w:sz w:val="24"/>
          <w:szCs w:val="24"/>
        </w:rPr>
        <w:t>政府采购政策资料</w:t>
      </w:r>
      <w:r>
        <w:rPr>
          <w:rFonts w:hint="eastAsia" w:ascii="仿宋" w:hAnsi="仿宋" w:eastAsia="仿宋" w:cs="仿宋"/>
          <w:color w:val="auto"/>
          <w:sz w:val="24"/>
          <w:szCs w:val="24"/>
        </w:rPr>
        <w:t xml:space="preserve">            </w:t>
      </w:r>
    </w:p>
    <w:p w14:paraId="1D4F7019">
      <w:pPr>
        <w:pageBreakBefore w:val="0"/>
        <w:kinsoku/>
        <w:bidi w:val="0"/>
        <w:snapToGrid w:val="0"/>
        <w:spacing w:beforeAutospacing="0" w:afterAutospacing="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正版软件承诺格式</w:t>
      </w:r>
    </w:p>
    <w:p w14:paraId="5EE8D716">
      <w:pPr>
        <w:pageBreakBefore w:val="0"/>
        <w:kinsoku/>
        <w:bidi w:val="0"/>
        <w:snapToGrid w:val="0"/>
        <w:spacing w:beforeAutospacing="0" w:afterAutospacing="0" w:line="360" w:lineRule="auto"/>
        <w:jc w:val="center"/>
        <w:rPr>
          <w:rFonts w:hint="eastAsia" w:ascii="仿宋" w:hAnsi="仿宋" w:eastAsia="仿宋" w:cs="仿宋"/>
          <w:b/>
          <w:color w:val="auto"/>
          <w:kern w:val="0"/>
          <w:sz w:val="24"/>
          <w:szCs w:val="24"/>
        </w:rPr>
      </w:pPr>
    </w:p>
    <w:p w14:paraId="29A8D6C1">
      <w:pPr>
        <w:pageBreakBefore w:val="0"/>
        <w:kinsoku/>
        <w:bidi w:val="0"/>
        <w:snapToGrid w:val="0"/>
        <w:spacing w:beforeAutospacing="0" w:afterAutospacing="0"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正版软件承诺格式（如有）</w:t>
      </w:r>
    </w:p>
    <w:p w14:paraId="7AE81F76">
      <w:pPr>
        <w:pageBreakBefore w:val="0"/>
        <w:kinsoku/>
        <w:bidi w:val="0"/>
        <w:snapToGrid w:val="0"/>
        <w:spacing w:beforeAutospacing="0" w:afterAutospacing="0"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正版软件承诺</w:t>
      </w:r>
    </w:p>
    <w:p w14:paraId="75A14F61">
      <w:pPr>
        <w:pageBreakBefore w:val="0"/>
        <w:kinsoku/>
        <w:bidi w:val="0"/>
        <w:snapToGrid w:val="0"/>
        <w:spacing w:beforeAutospacing="0" w:afterAutospacing="0" w:line="360" w:lineRule="auto"/>
        <w:jc w:val="center"/>
        <w:rPr>
          <w:rFonts w:hint="eastAsia" w:ascii="仿宋" w:hAnsi="仿宋" w:eastAsia="仿宋" w:cs="仿宋"/>
          <w:b/>
          <w:color w:val="auto"/>
          <w:kern w:val="0"/>
          <w:sz w:val="24"/>
          <w:szCs w:val="24"/>
        </w:rPr>
      </w:pPr>
    </w:p>
    <w:p w14:paraId="57F94A8B">
      <w:pPr>
        <w:pageBreakBefore w:val="0"/>
        <w:kinsoku/>
        <w:bidi w:val="0"/>
        <w:snapToGrid w:val="0"/>
        <w:spacing w:beforeAutospacing="0" w:afterAutospacing="0" w:line="360" w:lineRule="auto"/>
        <w:jc w:val="center"/>
        <w:rPr>
          <w:rFonts w:hint="eastAsia" w:ascii="仿宋" w:hAnsi="仿宋" w:eastAsia="仿宋" w:cs="仿宋"/>
          <w:b/>
          <w:color w:val="auto"/>
          <w:kern w:val="0"/>
          <w:sz w:val="24"/>
          <w:szCs w:val="24"/>
        </w:rPr>
      </w:pPr>
    </w:p>
    <w:p w14:paraId="70702278">
      <w:pPr>
        <w:pageBreakBefore w:val="0"/>
        <w:kinsoku/>
        <w:bidi w:val="0"/>
        <w:snapToGrid w:val="0"/>
        <w:spacing w:beforeAutospacing="0" w:afterAutospacing="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本供应商现参与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项目（项目编号：</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）的采购活动，本公司承诺投报的计算机产品预装正版操作系统，投报的硬件产品内的预装软件为正版软件。</w:t>
      </w:r>
    </w:p>
    <w:p w14:paraId="4CE70696">
      <w:pPr>
        <w:pageBreakBefore w:val="0"/>
        <w:kinsoku/>
        <w:bidi w:val="0"/>
        <w:snapToGrid w:val="0"/>
        <w:spacing w:beforeAutospacing="0" w:afterAutospacing="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如上述声明不真实，愿意按照政府采购有关法律法规的规定接受处罚。</w:t>
      </w:r>
    </w:p>
    <w:p w14:paraId="56D68BED">
      <w:pPr>
        <w:pageBreakBefore w:val="0"/>
        <w:kinsoku/>
        <w:bidi w:val="0"/>
        <w:snapToGrid w:val="0"/>
        <w:spacing w:beforeAutospacing="0" w:afterAutospacing="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特此声明</w:t>
      </w:r>
    </w:p>
    <w:p w14:paraId="20F8CEE3">
      <w:pPr>
        <w:pageBreakBefore w:val="0"/>
        <w:kinsoku/>
        <w:bidi w:val="0"/>
        <w:snapToGrid w:val="0"/>
        <w:spacing w:beforeAutospacing="0" w:afterAutospacing="0" w:line="360" w:lineRule="auto"/>
        <w:ind w:firstLine="522" w:firstLineChars="200"/>
        <w:jc w:val="left"/>
        <w:rPr>
          <w:rFonts w:hint="eastAsia" w:ascii="仿宋" w:hAnsi="仿宋" w:eastAsia="仿宋" w:cs="仿宋"/>
          <w:b/>
          <w:color w:val="auto"/>
          <w:spacing w:val="10"/>
          <w:kern w:val="0"/>
          <w:sz w:val="24"/>
          <w:szCs w:val="24"/>
        </w:rPr>
      </w:pPr>
    </w:p>
    <w:p w14:paraId="0BE072E2">
      <w:pPr>
        <w:pageBreakBefore w:val="0"/>
        <w:kinsoku/>
        <w:bidi w:val="0"/>
        <w:snapToGrid w:val="0"/>
        <w:spacing w:beforeAutospacing="0" w:afterAutospacing="0" w:line="360" w:lineRule="auto"/>
        <w:ind w:firstLine="480" w:firstLineChars="200"/>
        <w:jc w:val="left"/>
        <w:rPr>
          <w:rFonts w:hint="eastAsia" w:ascii="仿宋" w:hAnsi="仿宋" w:eastAsia="仿宋" w:cs="仿宋"/>
          <w:color w:val="auto"/>
          <w:kern w:val="0"/>
          <w:sz w:val="24"/>
          <w:szCs w:val="24"/>
        </w:rPr>
      </w:pPr>
    </w:p>
    <w:p w14:paraId="4DBA20CB">
      <w:pPr>
        <w:pageBreakBefore w:val="0"/>
        <w:kinsoku/>
        <w:bidi w:val="0"/>
        <w:snapToGrid w:val="0"/>
        <w:spacing w:beforeAutospacing="0" w:afterAutospacing="0" w:line="360" w:lineRule="auto"/>
        <w:ind w:firstLine="480" w:firstLineChars="200"/>
        <w:jc w:val="left"/>
        <w:rPr>
          <w:rFonts w:hint="eastAsia" w:ascii="仿宋" w:hAnsi="仿宋" w:eastAsia="仿宋" w:cs="仿宋"/>
          <w:color w:val="auto"/>
          <w:kern w:val="0"/>
          <w:sz w:val="24"/>
          <w:szCs w:val="24"/>
        </w:rPr>
      </w:pPr>
    </w:p>
    <w:p w14:paraId="14BCD56E">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p w14:paraId="2E8C4918">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2800A908">
      <w:pPr>
        <w:pStyle w:val="32"/>
        <w:pageBreakBefore w:val="0"/>
        <w:kinsoku/>
        <w:bidi w:val="0"/>
        <w:spacing w:beforeAutospacing="0" w:afterAutospacing="0" w:line="360" w:lineRule="auto"/>
        <w:rPr>
          <w:rFonts w:hint="eastAsia" w:ascii="仿宋" w:hAnsi="仿宋" w:eastAsia="仿宋" w:cs="仿宋"/>
          <w:color w:val="auto"/>
          <w:sz w:val="24"/>
          <w:szCs w:val="24"/>
        </w:rPr>
      </w:pPr>
    </w:p>
    <w:p w14:paraId="3F645646">
      <w:pPr>
        <w:pStyle w:val="32"/>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b/>
          <w:color w:val="auto"/>
          <w:spacing w:val="10"/>
          <w:sz w:val="24"/>
          <w:szCs w:val="24"/>
        </w:rPr>
        <w:t>如不适用，请注明不适用。</w:t>
      </w:r>
    </w:p>
    <w:p w14:paraId="1925C28D">
      <w:pPr>
        <w:pageBreakBefore w:val="0"/>
        <w:tabs>
          <w:tab w:val="left" w:pos="4000"/>
        </w:tabs>
        <w:kinsoku/>
        <w:bidi w:val="0"/>
        <w:snapToGrid w:val="0"/>
        <w:spacing w:beforeAutospacing="0" w:afterAutospacing="0" w:line="360" w:lineRule="auto"/>
        <w:jc w:val="left"/>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br w:type="page"/>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二</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信息安全产品说明</w:t>
      </w:r>
    </w:p>
    <w:p w14:paraId="19769780">
      <w:pPr>
        <w:pageBreakBefore w:val="0"/>
        <w:pBdr>
          <w:top w:val="none" w:color="auto" w:sz="0" w:space="1"/>
          <w:left w:val="none" w:color="auto" w:sz="0" w:space="4"/>
          <w:bottom w:val="none" w:color="auto" w:sz="0" w:space="1"/>
          <w:right w:val="none" w:color="auto" w:sz="0" w:space="4"/>
        </w:pBdr>
        <w:kinsoku/>
        <w:bidi w:val="0"/>
        <w:spacing w:beforeAutospacing="0" w:afterAutospacing="0" w:line="360" w:lineRule="auto"/>
        <w:ind w:left="562" w:hanging="562" w:hangingChars="200"/>
        <w:jc w:val="center"/>
        <w:rPr>
          <w:rFonts w:hint="eastAsia" w:ascii="仿宋" w:hAnsi="仿宋" w:eastAsia="仿宋" w:cs="仿宋"/>
          <w:b/>
          <w:bCs/>
          <w:color w:val="auto"/>
          <w:spacing w:val="20"/>
          <w:sz w:val="24"/>
          <w:szCs w:val="24"/>
        </w:rPr>
      </w:pPr>
      <w:r>
        <w:rPr>
          <w:rFonts w:hint="eastAsia" w:ascii="仿宋" w:hAnsi="仿宋" w:eastAsia="仿宋" w:cs="仿宋"/>
          <w:b/>
          <w:bCs/>
          <w:color w:val="auto"/>
          <w:spacing w:val="20"/>
          <w:sz w:val="24"/>
          <w:szCs w:val="24"/>
        </w:rPr>
        <w:t>信息安全产品说明</w:t>
      </w:r>
    </w:p>
    <w:p w14:paraId="23697EEF">
      <w:pPr>
        <w:pageBreakBefore w:val="0"/>
        <w:kinsoku/>
        <w:bidi w:val="0"/>
        <w:snapToGrid w:val="0"/>
        <w:spacing w:beforeAutospacing="0" w:afterAutospacing="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如产品为信息安全产品，响应文件中须提供有效认证证书扫描件；</w:t>
      </w:r>
    </w:p>
    <w:p w14:paraId="031F2B6D">
      <w:pPr>
        <w:pageBreakBefore w:val="0"/>
        <w:kinsoku/>
        <w:bidi w:val="0"/>
        <w:snapToGrid w:val="0"/>
        <w:spacing w:beforeAutospacing="0" w:afterAutospacing="0" w:line="360" w:lineRule="auto"/>
        <w:ind w:firstLine="522" w:firstLineChars="200"/>
        <w:jc w:val="left"/>
        <w:rPr>
          <w:rFonts w:hint="eastAsia" w:ascii="仿宋" w:hAnsi="仿宋" w:eastAsia="仿宋" w:cs="仿宋"/>
          <w:color w:val="auto"/>
          <w:kern w:val="0"/>
          <w:sz w:val="24"/>
          <w:szCs w:val="24"/>
        </w:rPr>
      </w:pPr>
      <w:r>
        <w:rPr>
          <w:rFonts w:hint="eastAsia" w:ascii="仿宋" w:hAnsi="仿宋" w:eastAsia="仿宋" w:cs="仿宋"/>
          <w:b/>
          <w:color w:val="auto"/>
          <w:spacing w:val="10"/>
          <w:kern w:val="0"/>
          <w:sz w:val="24"/>
          <w:szCs w:val="24"/>
        </w:rPr>
        <w:t>如不适用，请注明不适用。</w:t>
      </w:r>
    </w:p>
    <w:p w14:paraId="02A77D12">
      <w:pPr>
        <w:pageBreakBefore w:val="0"/>
        <w:tabs>
          <w:tab w:val="left" w:pos="4000"/>
        </w:tabs>
        <w:kinsoku/>
        <w:bidi w:val="0"/>
        <w:snapToGrid w:val="0"/>
        <w:spacing w:beforeAutospacing="0" w:afterAutospacing="0" w:line="360" w:lineRule="auto"/>
        <w:jc w:val="left"/>
        <w:rPr>
          <w:rFonts w:hint="eastAsia" w:ascii="仿宋" w:hAnsi="仿宋" w:eastAsia="仿宋" w:cs="仿宋"/>
          <w:b/>
          <w:bCs/>
          <w:color w:val="auto"/>
          <w:kern w:val="0"/>
          <w:sz w:val="24"/>
          <w:szCs w:val="24"/>
        </w:rPr>
      </w:pPr>
      <w:r>
        <w:rPr>
          <w:rFonts w:hint="eastAsia" w:ascii="仿宋" w:hAnsi="仿宋" w:eastAsia="仿宋" w:cs="仿宋"/>
          <w:b/>
          <w:color w:val="auto"/>
          <w:kern w:val="0"/>
          <w:sz w:val="24"/>
          <w:szCs w:val="24"/>
        </w:rPr>
        <w:br w:type="page"/>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三</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商品包装和快递包装承诺</w:t>
      </w:r>
    </w:p>
    <w:p w14:paraId="0189DC19">
      <w:pPr>
        <w:pageBreakBefore w:val="0"/>
        <w:pBdr>
          <w:top w:val="none" w:color="auto" w:sz="0" w:space="1"/>
          <w:left w:val="none" w:color="auto" w:sz="0" w:space="4"/>
          <w:bottom w:val="none" w:color="auto" w:sz="0" w:space="1"/>
          <w:right w:val="none" w:color="auto" w:sz="0" w:space="4"/>
        </w:pBdr>
        <w:kinsoku/>
        <w:bidi w:val="0"/>
        <w:spacing w:beforeAutospacing="0" w:afterAutospacing="0" w:line="360" w:lineRule="auto"/>
        <w:ind w:left="562" w:hanging="562" w:hangingChars="200"/>
        <w:jc w:val="center"/>
        <w:rPr>
          <w:rFonts w:hint="eastAsia" w:ascii="仿宋" w:hAnsi="仿宋" w:eastAsia="仿宋" w:cs="仿宋"/>
          <w:b/>
          <w:bCs/>
          <w:color w:val="auto"/>
          <w:spacing w:val="20"/>
          <w:sz w:val="24"/>
          <w:szCs w:val="24"/>
        </w:rPr>
      </w:pPr>
      <w:r>
        <w:rPr>
          <w:rFonts w:hint="eastAsia" w:ascii="仿宋" w:hAnsi="仿宋" w:eastAsia="仿宋" w:cs="仿宋"/>
          <w:b/>
          <w:bCs/>
          <w:color w:val="auto"/>
          <w:spacing w:val="20"/>
          <w:sz w:val="24"/>
          <w:szCs w:val="24"/>
        </w:rPr>
        <w:t>商品包装和快递包装承诺</w:t>
      </w:r>
    </w:p>
    <w:p w14:paraId="0801A67A">
      <w:pPr>
        <w:pageBreakBefore w:val="0"/>
        <w:kinsoku/>
        <w:bidi w:val="0"/>
        <w:spacing w:beforeAutospacing="0" w:afterAutospacing="0"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本供应商现参与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项目（项目编号：</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）的采购活动，本公司承诺所供商品包装符合《商品包装政府采购需求标准（试行）》，快递包装符合《快递包装政府采购需求标准（试行）》。</w:t>
      </w:r>
    </w:p>
    <w:p w14:paraId="33B5E159">
      <w:pPr>
        <w:pageBreakBefore w:val="0"/>
        <w:kinsoku/>
        <w:bidi w:val="0"/>
        <w:spacing w:beforeAutospacing="0" w:afterAutospacing="0"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如上述声明不真实，愿意按照政府采购有关法律法规的规定接受处罚。</w:t>
      </w:r>
    </w:p>
    <w:p w14:paraId="0A483889">
      <w:pPr>
        <w:pageBreakBefore w:val="0"/>
        <w:kinsoku/>
        <w:bidi w:val="0"/>
        <w:spacing w:beforeAutospacing="0" w:afterAutospacing="0"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特此声明。 </w:t>
      </w:r>
    </w:p>
    <w:p w14:paraId="487C583A">
      <w:pPr>
        <w:pageBreakBefore w:val="0"/>
        <w:tabs>
          <w:tab w:val="left" w:pos="4000"/>
        </w:tabs>
        <w:kinsoku/>
        <w:bidi w:val="0"/>
        <w:snapToGrid w:val="0"/>
        <w:spacing w:beforeAutospacing="0" w:afterAutospacing="0" w:line="360" w:lineRule="auto"/>
        <w:ind w:firstLine="470" w:firstLineChars="196"/>
        <w:jc w:val="left"/>
        <w:rPr>
          <w:rFonts w:hint="eastAsia" w:ascii="仿宋" w:hAnsi="仿宋" w:eastAsia="仿宋" w:cs="仿宋"/>
          <w:color w:val="auto"/>
          <w:kern w:val="0"/>
          <w:sz w:val="24"/>
          <w:szCs w:val="24"/>
        </w:rPr>
      </w:pPr>
    </w:p>
    <w:p w14:paraId="30D3A44C">
      <w:pPr>
        <w:pageBreakBefore w:val="0"/>
        <w:tabs>
          <w:tab w:val="left" w:pos="4000"/>
        </w:tabs>
        <w:kinsoku/>
        <w:bidi w:val="0"/>
        <w:snapToGrid w:val="0"/>
        <w:spacing w:beforeAutospacing="0" w:afterAutospacing="0" w:line="360" w:lineRule="auto"/>
        <w:ind w:firstLine="3360" w:firstLineChars="1400"/>
        <w:jc w:val="left"/>
        <w:rPr>
          <w:rFonts w:hint="eastAsia" w:ascii="仿宋" w:hAnsi="仿宋" w:eastAsia="仿宋" w:cs="仿宋"/>
          <w:color w:val="auto"/>
          <w:kern w:val="0"/>
          <w:sz w:val="24"/>
          <w:szCs w:val="24"/>
        </w:rPr>
      </w:pPr>
    </w:p>
    <w:p w14:paraId="03BA6866">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p w14:paraId="3111E92C">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0ABFEAB7">
      <w:pPr>
        <w:pageBreakBefore w:val="0"/>
        <w:tabs>
          <w:tab w:val="left" w:pos="4000"/>
        </w:tabs>
        <w:kinsoku/>
        <w:bidi w:val="0"/>
        <w:snapToGrid w:val="0"/>
        <w:spacing w:beforeAutospacing="0" w:afterAutospacing="0" w:line="360" w:lineRule="auto"/>
        <w:jc w:val="left"/>
        <w:rPr>
          <w:rFonts w:hint="eastAsia" w:ascii="仿宋" w:hAnsi="仿宋" w:eastAsia="仿宋" w:cs="仿宋"/>
          <w:color w:val="auto"/>
          <w:kern w:val="0"/>
          <w:sz w:val="24"/>
          <w:szCs w:val="24"/>
        </w:rPr>
      </w:pPr>
    </w:p>
    <w:p w14:paraId="2E60827C">
      <w:pPr>
        <w:pageBreakBefore w:val="0"/>
        <w:tabs>
          <w:tab w:val="left" w:pos="4000"/>
        </w:tabs>
        <w:kinsoku/>
        <w:bidi w:val="0"/>
        <w:snapToGrid w:val="0"/>
        <w:spacing w:beforeAutospacing="0" w:afterAutospacing="0" w:line="360" w:lineRule="auto"/>
        <w:jc w:val="left"/>
        <w:rPr>
          <w:rFonts w:hint="eastAsia" w:ascii="仿宋" w:hAnsi="仿宋" w:eastAsia="仿宋" w:cs="仿宋"/>
          <w:color w:val="auto"/>
          <w:kern w:val="0"/>
          <w:sz w:val="24"/>
          <w:szCs w:val="24"/>
        </w:rPr>
      </w:pPr>
      <w:r>
        <w:rPr>
          <w:rFonts w:hint="eastAsia" w:ascii="仿宋" w:hAnsi="仿宋" w:eastAsia="仿宋" w:cs="仿宋"/>
          <w:b/>
          <w:color w:val="auto"/>
          <w:spacing w:val="10"/>
          <w:kern w:val="0"/>
          <w:sz w:val="24"/>
          <w:szCs w:val="24"/>
        </w:rPr>
        <w:t>如不适用，请注明不适用。</w:t>
      </w:r>
    </w:p>
    <w:p w14:paraId="3B12F8E0">
      <w:pPr>
        <w:pageBreakBefore w:val="0"/>
        <w:kinsoku/>
        <w:bidi w:val="0"/>
        <w:spacing w:beforeAutospacing="0" w:afterAutospacing="0" w:line="360" w:lineRule="auto"/>
        <w:ind w:firstLine="480" w:firstLineChars="200"/>
        <w:jc w:val="right"/>
        <w:rPr>
          <w:rFonts w:hint="eastAsia" w:ascii="仿宋" w:hAnsi="仿宋" w:eastAsia="仿宋" w:cs="仿宋"/>
          <w:color w:val="auto"/>
          <w:sz w:val="24"/>
          <w:szCs w:val="24"/>
        </w:rPr>
      </w:pPr>
    </w:p>
    <w:p w14:paraId="24417095">
      <w:pPr>
        <w:pageBreakBefore w:val="0"/>
        <w:kinsoku/>
        <w:bidi w:val="0"/>
        <w:spacing w:beforeAutospacing="0" w:afterAutospacing="0" w:line="360" w:lineRule="auto"/>
        <w:rPr>
          <w:rFonts w:hint="eastAsia" w:ascii="仿宋" w:hAnsi="仿宋" w:eastAsia="仿宋" w:cs="仿宋"/>
          <w:b/>
          <w:bCs/>
          <w:color w:val="auto"/>
          <w:sz w:val="24"/>
          <w:szCs w:val="24"/>
        </w:rPr>
      </w:pPr>
    </w:p>
    <w:p w14:paraId="44E4FF20">
      <w:pPr>
        <w:pageBreakBefore w:val="0"/>
        <w:tabs>
          <w:tab w:val="left" w:pos="4000"/>
        </w:tabs>
        <w:kinsoku/>
        <w:bidi w:val="0"/>
        <w:snapToGrid w:val="0"/>
        <w:spacing w:beforeAutospacing="0" w:afterAutospacing="0"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四</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创新服务明细表</w:t>
      </w:r>
    </w:p>
    <w:p w14:paraId="4F18057E">
      <w:pPr>
        <w:pageBreakBefore w:val="0"/>
        <w:tabs>
          <w:tab w:val="left" w:pos="4000"/>
        </w:tabs>
        <w:kinsoku/>
        <w:bidi w:val="0"/>
        <w:snapToGrid w:val="0"/>
        <w:spacing w:beforeAutospacing="0" w:afterAutospacing="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创新服务明细表</w:t>
      </w:r>
    </w:p>
    <w:p w14:paraId="15F23EFE">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货币：人民币/元</w:t>
      </w:r>
    </w:p>
    <w:tbl>
      <w:tblPr>
        <w:tblStyle w:val="3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4B8E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50E3BD28">
            <w:pPr>
              <w:pageBreakBefore w:val="0"/>
              <w:kinsoku/>
              <w:bidi w:val="0"/>
              <w:spacing w:beforeAutospacing="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2173" w:type="dxa"/>
            <w:noWrap w:val="0"/>
            <w:vAlign w:val="center"/>
          </w:tcPr>
          <w:p w14:paraId="7A0A2FBE">
            <w:pPr>
              <w:pageBreakBefore w:val="0"/>
              <w:kinsoku/>
              <w:bidi w:val="0"/>
              <w:spacing w:beforeAutospacing="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服务名称</w:t>
            </w:r>
          </w:p>
        </w:tc>
        <w:tc>
          <w:tcPr>
            <w:tcW w:w="2056" w:type="dxa"/>
            <w:noWrap w:val="0"/>
            <w:vAlign w:val="center"/>
          </w:tcPr>
          <w:p w14:paraId="34E39A68">
            <w:pPr>
              <w:pageBreakBefore w:val="0"/>
              <w:kinsoku/>
              <w:bidi w:val="0"/>
              <w:spacing w:beforeAutospacing="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服务内容</w:t>
            </w:r>
          </w:p>
        </w:tc>
        <w:tc>
          <w:tcPr>
            <w:tcW w:w="1111" w:type="dxa"/>
            <w:tcBorders>
              <w:bottom w:val="single" w:color="auto" w:sz="4" w:space="0"/>
            </w:tcBorders>
            <w:noWrap w:val="0"/>
            <w:vAlign w:val="center"/>
          </w:tcPr>
          <w:p w14:paraId="00FD999D">
            <w:pPr>
              <w:pageBreakBefore w:val="0"/>
              <w:kinsoku/>
              <w:bidi w:val="0"/>
              <w:spacing w:beforeAutospacing="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数量</w:t>
            </w:r>
          </w:p>
        </w:tc>
        <w:tc>
          <w:tcPr>
            <w:tcW w:w="1134" w:type="dxa"/>
            <w:tcBorders>
              <w:bottom w:val="single" w:color="auto" w:sz="4" w:space="0"/>
            </w:tcBorders>
            <w:noWrap w:val="0"/>
            <w:vAlign w:val="center"/>
          </w:tcPr>
          <w:p w14:paraId="47FF077E">
            <w:pPr>
              <w:pageBreakBefore w:val="0"/>
              <w:kinsoku/>
              <w:bidi w:val="0"/>
              <w:spacing w:beforeAutospacing="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单价</w:t>
            </w:r>
          </w:p>
        </w:tc>
        <w:tc>
          <w:tcPr>
            <w:tcW w:w="1630" w:type="dxa"/>
            <w:tcBorders>
              <w:bottom w:val="single" w:color="auto" w:sz="4" w:space="0"/>
            </w:tcBorders>
            <w:noWrap w:val="0"/>
            <w:vAlign w:val="center"/>
          </w:tcPr>
          <w:p w14:paraId="1ABAE166">
            <w:pPr>
              <w:pageBreakBefore w:val="0"/>
              <w:kinsoku/>
              <w:bidi w:val="0"/>
              <w:spacing w:beforeAutospacing="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总价</w:t>
            </w:r>
          </w:p>
        </w:tc>
      </w:tr>
      <w:tr w14:paraId="0C2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0AE54F2">
            <w:pPr>
              <w:pageBreakBefore w:val="0"/>
              <w:kinsoku/>
              <w:bidi w:val="0"/>
              <w:spacing w:beforeAutospacing="0" w:afterAutospacing="0" w:line="360" w:lineRule="auto"/>
              <w:rPr>
                <w:rFonts w:hint="eastAsia" w:ascii="仿宋" w:hAnsi="仿宋" w:eastAsia="仿宋" w:cs="仿宋"/>
                <w:bCs/>
                <w:color w:val="auto"/>
                <w:sz w:val="24"/>
                <w:szCs w:val="24"/>
              </w:rPr>
            </w:pPr>
          </w:p>
        </w:tc>
        <w:tc>
          <w:tcPr>
            <w:tcW w:w="2173" w:type="dxa"/>
            <w:noWrap w:val="0"/>
            <w:vAlign w:val="center"/>
          </w:tcPr>
          <w:p w14:paraId="7563DA7B">
            <w:pPr>
              <w:pageBreakBefore w:val="0"/>
              <w:kinsoku/>
              <w:bidi w:val="0"/>
              <w:spacing w:beforeAutospacing="0" w:afterAutospacing="0" w:line="360" w:lineRule="auto"/>
              <w:rPr>
                <w:rFonts w:hint="eastAsia" w:ascii="仿宋" w:hAnsi="仿宋" w:eastAsia="仿宋" w:cs="仿宋"/>
                <w:bCs/>
                <w:color w:val="auto"/>
                <w:sz w:val="24"/>
                <w:szCs w:val="24"/>
              </w:rPr>
            </w:pPr>
          </w:p>
        </w:tc>
        <w:tc>
          <w:tcPr>
            <w:tcW w:w="2056" w:type="dxa"/>
            <w:noWrap w:val="0"/>
            <w:vAlign w:val="center"/>
          </w:tcPr>
          <w:p w14:paraId="3F76BD47">
            <w:pPr>
              <w:pageBreakBefore w:val="0"/>
              <w:kinsoku/>
              <w:bidi w:val="0"/>
              <w:spacing w:beforeAutospacing="0" w:afterAutospacing="0" w:line="360" w:lineRule="auto"/>
              <w:rPr>
                <w:rFonts w:hint="eastAsia" w:ascii="仿宋" w:hAnsi="仿宋" w:eastAsia="仿宋" w:cs="仿宋"/>
                <w:bCs/>
                <w:color w:val="auto"/>
                <w:sz w:val="24"/>
                <w:szCs w:val="24"/>
                <w:vertAlign w:val="superscript"/>
              </w:rPr>
            </w:pPr>
          </w:p>
        </w:tc>
        <w:tc>
          <w:tcPr>
            <w:tcW w:w="1111" w:type="dxa"/>
            <w:tcBorders>
              <w:top w:val="single" w:color="auto" w:sz="4" w:space="0"/>
            </w:tcBorders>
            <w:noWrap w:val="0"/>
            <w:vAlign w:val="center"/>
          </w:tcPr>
          <w:p w14:paraId="1A3888E6">
            <w:pPr>
              <w:pageBreakBefore w:val="0"/>
              <w:kinsoku/>
              <w:bidi w:val="0"/>
              <w:spacing w:beforeAutospacing="0" w:afterAutospacing="0" w:line="360" w:lineRule="auto"/>
              <w:rPr>
                <w:rFonts w:hint="eastAsia" w:ascii="仿宋" w:hAnsi="仿宋" w:eastAsia="仿宋" w:cs="仿宋"/>
                <w:bCs/>
                <w:color w:val="auto"/>
                <w:sz w:val="24"/>
                <w:szCs w:val="24"/>
              </w:rPr>
            </w:pPr>
          </w:p>
        </w:tc>
        <w:tc>
          <w:tcPr>
            <w:tcW w:w="1134" w:type="dxa"/>
            <w:tcBorders>
              <w:top w:val="single" w:color="auto" w:sz="4" w:space="0"/>
            </w:tcBorders>
            <w:noWrap w:val="0"/>
            <w:vAlign w:val="center"/>
          </w:tcPr>
          <w:p w14:paraId="49112746">
            <w:pPr>
              <w:pageBreakBefore w:val="0"/>
              <w:kinsoku/>
              <w:bidi w:val="0"/>
              <w:spacing w:beforeAutospacing="0" w:afterAutospacing="0" w:line="360" w:lineRule="auto"/>
              <w:rPr>
                <w:rFonts w:hint="eastAsia" w:ascii="仿宋" w:hAnsi="仿宋" w:eastAsia="仿宋" w:cs="仿宋"/>
                <w:bCs/>
                <w:color w:val="auto"/>
                <w:sz w:val="24"/>
                <w:szCs w:val="24"/>
              </w:rPr>
            </w:pPr>
          </w:p>
        </w:tc>
        <w:tc>
          <w:tcPr>
            <w:tcW w:w="1630" w:type="dxa"/>
            <w:tcBorders>
              <w:top w:val="single" w:color="auto" w:sz="4" w:space="0"/>
            </w:tcBorders>
            <w:noWrap w:val="0"/>
            <w:vAlign w:val="center"/>
          </w:tcPr>
          <w:p w14:paraId="49CEAFFE">
            <w:pPr>
              <w:pageBreakBefore w:val="0"/>
              <w:kinsoku/>
              <w:bidi w:val="0"/>
              <w:spacing w:beforeAutospacing="0" w:afterAutospacing="0" w:line="360" w:lineRule="auto"/>
              <w:rPr>
                <w:rFonts w:hint="eastAsia" w:ascii="仿宋" w:hAnsi="仿宋" w:eastAsia="仿宋" w:cs="仿宋"/>
                <w:bCs/>
                <w:color w:val="auto"/>
                <w:sz w:val="24"/>
                <w:szCs w:val="24"/>
              </w:rPr>
            </w:pPr>
          </w:p>
        </w:tc>
      </w:tr>
      <w:tr w14:paraId="73BE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15280FD7">
            <w:pPr>
              <w:pageBreakBefore w:val="0"/>
              <w:kinsoku/>
              <w:bidi w:val="0"/>
              <w:spacing w:beforeAutospacing="0" w:afterAutospacing="0" w:line="360" w:lineRule="auto"/>
              <w:rPr>
                <w:rFonts w:hint="eastAsia" w:ascii="仿宋" w:hAnsi="仿宋" w:eastAsia="仿宋" w:cs="仿宋"/>
                <w:bCs/>
                <w:color w:val="auto"/>
                <w:sz w:val="24"/>
                <w:szCs w:val="24"/>
              </w:rPr>
            </w:pPr>
          </w:p>
        </w:tc>
        <w:tc>
          <w:tcPr>
            <w:tcW w:w="2173" w:type="dxa"/>
            <w:noWrap w:val="0"/>
            <w:vAlign w:val="center"/>
          </w:tcPr>
          <w:p w14:paraId="5746CA7A">
            <w:pPr>
              <w:pageBreakBefore w:val="0"/>
              <w:kinsoku/>
              <w:bidi w:val="0"/>
              <w:spacing w:beforeAutospacing="0" w:afterAutospacing="0" w:line="360" w:lineRule="auto"/>
              <w:rPr>
                <w:rFonts w:hint="eastAsia" w:ascii="仿宋" w:hAnsi="仿宋" w:eastAsia="仿宋" w:cs="仿宋"/>
                <w:bCs/>
                <w:color w:val="auto"/>
                <w:sz w:val="24"/>
                <w:szCs w:val="24"/>
              </w:rPr>
            </w:pPr>
          </w:p>
        </w:tc>
        <w:tc>
          <w:tcPr>
            <w:tcW w:w="2056" w:type="dxa"/>
            <w:noWrap w:val="0"/>
            <w:vAlign w:val="center"/>
          </w:tcPr>
          <w:p w14:paraId="75C165F3">
            <w:pPr>
              <w:pageBreakBefore w:val="0"/>
              <w:kinsoku/>
              <w:bidi w:val="0"/>
              <w:spacing w:beforeAutospacing="0" w:afterAutospacing="0" w:line="360" w:lineRule="auto"/>
              <w:rPr>
                <w:rFonts w:hint="eastAsia" w:ascii="仿宋" w:hAnsi="仿宋" w:eastAsia="仿宋" w:cs="仿宋"/>
                <w:bCs/>
                <w:color w:val="auto"/>
                <w:sz w:val="24"/>
                <w:szCs w:val="24"/>
                <w:vertAlign w:val="superscript"/>
              </w:rPr>
            </w:pPr>
          </w:p>
        </w:tc>
        <w:tc>
          <w:tcPr>
            <w:tcW w:w="1111" w:type="dxa"/>
            <w:tcBorders>
              <w:top w:val="single" w:color="auto" w:sz="4" w:space="0"/>
            </w:tcBorders>
            <w:noWrap w:val="0"/>
            <w:vAlign w:val="center"/>
          </w:tcPr>
          <w:p w14:paraId="62DE2A88">
            <w:pPr>
              <w:pageBreakBefore w:val="0"/>
              <w:kinsoku/>
              <w:bidi w:val="0"/>
              <w:spacing w:beforeAutospacing="0" w:afterAutospacing="0" w:line="360" w:lineRule="auto"/>
              <w:rPr>
                <w:rFonts w:hint="eastAsia" w:ascii="仿宋" w:hAnsi="仿宋" w:eastAsia="仿宋" w:cs="仿宋"/>
                <w:bCs/>
                <w:color w:val="auto"/>
                <w:sz w:val="24"/>
                <w:szCs w:val="24"/>
              </w:rPr>
            </w:pPr>
          </w:p>
        </w:tc>
        <w:tc>
          <w:tcPr>
            <w:tcW w:w="1134" w:type="dxa"/>
            <w:tcBorders>
              <w:top w:val="single" w:color="auto" w:sz="4" w:space="0"/>
            </w:tcBorders>
            <w:noWrap w:val="0"/>
            <w:vAlign w:val="center"/>
          </w:tcPr>
          <w:p w14:paraId="0F04F9AB">
            <w:pPr>
              <w:pageBreakBefore w:val="0"/>
              <w:kinsoku/>
              <w:bidi w:val="0"/>
              <w:spacing w:beforeAutospacing="0" w:afterAutospacing="0" w:line="360" w:lineRule="auto"/>
              <w:rPr>
                <w:rFonts w:hint="eastAsia" w:ascii="仿宋" w:hAnsi="仿宋" w:eastAsia="仿宋" w:cs="仿宋"/>
                <w:bCs/>
                <w:color w:val="auto"/>
                <w:sz w:val="24"/>
                <w:szCs w:val="24"/>
              </w:rPr>
            </w:pPr>
          </w:p>
        </w:tc>
        <w:tc>
          <w:tcPr>
            <w:tcW w:w="1630" w:type="dxa"/>
            <w:tcBorders>
              <w:top w:val="single" w:color="auto" w:sz="4" w:space="0"/>
            </w:tcBorders>
            <w:noWrap w:val="0"/>
            <w:vAlign w:val="center"/>
          </w:tcPr>
          <w:p w14:paraId="47277D10">
            <w:pPr>
              <w:pageBreakBefore w:val="0"/>
              <w:kinsoku/>
              <w:bidi w:val="0"/>
              <w:spacing w:beforeAutospacing="0" w:afterAutospacing="0" w:line="360" w:lineRule="auto"/>
              <w:rPr>
                <w:rFonts w:hint="eastAsia" w:ascii="仿宋" w:hAnsi="仿宋" w:eastAsia="仿宋" w:cs="仿宋"/>
                <w:bCs/>
                <w:color w:val="auto"/>
                <w:sz w:val="24"/>
                <w:szCs w:val="24"/>
              </w:rPr>
            </w:pPr>
          </w:p>
        </w:tc>
      </w:tr>
      <w:tr w14:paraId="2370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noWrap w:val="0"/>
            <w:vAlign w:val="center"/>
          </w:tcPr>
          <w:p w14:paraId="6A40B7B1">
            <w:pPr>
              <w:pageBreakBefore w:val="0"/>
              <w:kinsoku/>
              <w:bidi w:val="0"/>
              <w:spacing w:beforeAutospacing="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创新服务价格合计：</w:t>
            </w:r>
          </w:p>
        </w:tc>
      </w:tr>
    </w:tbl>
    <w:p w14:paraId="061A0709">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说明： </w:t>
      </w:r>
    </w:p>
    <w:p w14:paraId="51B72BE2">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（1）供应商如实填写表格，无相应内容可填的，填写“无”、“未测试”、“没有相应指标”等明确的回答文字，或用“/”来表示。</w:t>
      </w:r>
    </w:p>
    <w:p w14:paraId="4F5F5B01">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（2）供应商提供的服务为创新服务，需填写此表后，提供《山西省创新产品和服务推荐清单》。</w:t>
      </w:r>
    </w:p>
    <w:p w14:paraId="5D1F223A">
      <w:pPr>
        <w:pageBreakBefore w:val="0"/>
        <w:kinsoku/>
        <w:bidi w:val="0"/>
        <w:spacing w:beforeAutospacing="0" w:afterAutospacing="0" w:line="360" w:lineRule="auto"/>
        <w:rPr>
          <w:rFonts w:hint="eastAsia" w:ascii="仿宋" w:hAnsi="仿宋" w:eastAsia="仿宋" w:cs="仿宋"/>
          <w:color w:val="auto"/>
          <w:sz w:val="24"/>
          <w:szCs w:val="24"/>
        </w:rPr>
      </w:pPr>
    </w:p>
    <w:p w14:paraId="7202FADD">
      <w:pPr>
        <w:pageBreakBefore w:val="0"/>
        <w:kinsoku/>
        <w:bidi w:val="0"/>
        <w:spacing w:beforeAutospacing="0" w:afterAutospacing="0" w:line="360" w:lineRule="auto"/>
        <w:rPr>
          <w:rFonts w:hint="eastAsia" w:ascii="仿宋" w:hAnsi="仿宋" w:eastAsia="仿宋" w:cs="仿宋"/>
          <w:color w:val="auto"/>
          <w:sz w:val="24"/>
          <w:szCs w:val="24"/>
        </w:rPr>
      </w:pPr>
    </w:p>
    <w:p w14:paraId="562D1859">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602B7EA6">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供应商名称（盖章）：</w:t>
      </w:r>
    </w:p>
    <w:p w14:paraId="006FB711">
      <w:pPr>
        <w:pageBreakBefore w:val="0"/>
        <w:kinsoku/>
        <w:bidi w:val="0"/>
        <w:snapToGrid w:val="0"/>
        <w:spacing w:beforeAutospacing="0" w:afterAutospacing="0" w:line="360" w:lineRule="auto"/>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4DCE4824">
      <w:pPr>
        <w:pageBreakBefore w:val="0"/>
        <w:kinsoku/>
        <w:bidi w:val="0"/>
        <w:spacing w:beforeAutospacing="0" w:afterAutospacing="0" w:line="360" w:lineRule="auto"/>
        <w:ind w:firstLine="6023" w:firstLineChars="2500"/>
        <w:rPr>
          <w:rFonts w:hint="eastAsia" w:ascii="仿宋" w:hAnsi="仿宋" w:eastAsia="仿宋" w:cs="仿宋"/>
          <w:b/>
          <w:bCs/>
          <w:color w:val="auto"/>
          <w:sz w:val="24"/>
          <w:szCs w:val="24"/>
        </w:rPr>
      </w:pPr>
    </w:p>
    <w:p w14:paraId="33E9AA91">
      <w:pPr>
        <w:pageBreakBefore w:val="0"/>
        <w:kinsoku/>
        <w:bidi w:val="0"/>
        <w:spacing w:beforeAutospacing="0" w:afterAutospacing="0" w:line="360" w:lineRule="auto"/>
        <w:rPr>
          <w:rFonts w:hint="eastAsia" w:ascii="仿宋" w:hAnsi="仿宋" w:eastAsia="仿宋" w:cs="仿宋"/>
          <w:b/>
          <w:bCs/>
          <w:color w:val="auto"/>
          <w:sz w:val="24"/>
          <w:szCs w:val="24"/>
        </w:rPr>
      </w:pPr>
    </w:p>
    <w:p w14:paraId="44955B1A">
      <w:pPr>
        <w:pStyle w:val="17"/>
        <w:pageBreakBefore w:val="0"/>
        <w:kinsoku/>
        <w:bidi w:val="0"/>
        <w:spacing w:beforeAutospacing="0" w:after="0" w:afterAutospacing="0" w:line="360" w:lineRule="auto"/>
        <w:rPr>
          <w:rFonts w:hint="eastAsia" w:ascii="仿宋" w:hAnsi="仿宋" w:eastAsia="仿宋" w:cs="仿宋"/>
          <w:color w:val="auto"/>
          <w:sz w:val="24"/>
          <w:szCs w:val="24"/>
        </w:rPr>
      </w:pPr>
      <w:r>
        <w:rPr>
          <w:rFonts w:hint="eastAsia" w:ascii="仿宋" w:hAnsi="仿宋" w:eastAsia="仿宋" w:cs="仿宋"/>
          <w:b/>
          <w:color w:val="auto"/>
          <w:spacing w:val="10"/>
          <w:kern w:val="0"/>
          <w:sz w:val="24"/>
          <w:szCs w:val="24"/>
        </w:rPr>
        <w:t>如不适用，请注明不适用。</w:t>
      </w:r>
    </w:p>
    <w:p w14:paraId="05A7BC32">
      <w:pPr>
        <w:pageBreakBefore w:val="0"/>
        <w:kinsoku/>
        <w:bidi w:val="0"/>
        <w:spacing w:beforeAutospacing="0" w:afterAutospacing="0" w:line="360" w:lineRule="auto"/>
        <w:jc w:val="center"/>
        <w:outlineLvl w:val="9"/>
        <w:rPr>
          <w:rFonts w:hint="eastAsia" w:ascii="仿宋" w:hAnsi="仿宋" w:eastAsia="仿宋" w:cs="仿宋"/>
          <w:b/>
          <w:bCs/>
          <w:color w:val="auto"/>
          <w:sz w:val="32"/>
          <w:szCs w:val="32"/>
        </w:rPr>
      </w:pPr>
    </w:p>
    <w:p w14:paraId="5DC10BB3">
      <w:pPr>
        <w:pageBreakBefore w:val="0"/>
        <w:kinsoku/>
        <w:bidi w:val="0"/>
        <w:spacing w:beforeAutospacing="0" w:afterAutospacing="0" w:line="360" w:lineRule="auto"/>
        <w:jc w:val="center"/>
        <w:outlineLvl w:val="9"/>
        <w:rPr>
          <w:rFonts w:hint="eastAsia" w:ascii="仿宋" w:hAnsi="仿宋" w:eastAsia="仿宋" w:cs="仿宋"/>
          <w:b/>
          <w:bCs/>
          <w:color w:val="auto"/>
          <w:sz w:val="32"/>
          <w:szCs w:val="32"/>
        </w:rPr>
      </w:pPr>
    </w:p>
    <w:p w14:paraId="1E9A9F7B">
      <w:pPr>
        <w:pageBreakBefore w:val="0"/>
        <w:kinsoku/>
        <w:bidi w:val="0"/>
        <w:spacing w:beforeAutospacing="0" w:afterAutospacing="0" w:line="360" w:lineRule="auto"/>
        <w:jc w:val="center"/>
        <w:outlineLvl w:val="9"/>
        <w:rPr>
          <w:rFonts w:hint="eastAsia" w:ascii="仿宋" w:hAnsi="仿宋" w:eastAsia="仿宋" w:cs="仿宋"/>
          <w:b/>
          <w:bCs/>
          <w:color w:val="auto"/>
          <w:sz w:val="32"/>
          <w:szCs w:val="32"/>
        </w:rPr>
      </w:pPr>
    </w:p>
    <w:p w14:paraId="4A4AAEAB">
      <w:pPr>
        <w:pageBreakBefore w:val="0"/>
        <w:kinsoku/>
        <w:bidi w:val="0"/>
        <w:spacing w:beforeAutospacing="0" w:afterAutospacing="0" w:line="360" w:lineRule="auto"/>
        <w:rPr>
          <w:rFonts w:hint="eastAsia" w:ascii="仿宋" w:hAnsi="仿宋" w:eastAsia="仿宋" w:cs="仿宋"/>
          <w:b/>
          <w:bCs/>
          <w:color w:val="auto"/>
          <w:spacing w:val="6"/>
          <w:kern w:val="2"/>
          <w:sz w:val="21"/>
          <w:szCs w:val="21"/>
          <w:lang w:val="en-US" w:eastAsia="zh-CN" w:bidi="ar-SA"/>
        </w:rPr>
      </w:pPr>
      <w:r>
        <w:rPr>
          <w:rFonts w:hint="eastAsia" w:ascii="仿宋" w:hAnsi="仿宋" w:eastAsia="仿宋" w:cs="仿宋"/>
          <w:b/>
          <w:bCs/>
          <w:color w:val="auto"/>
          <w:spacing w:val="6"/>
          <w:kern w:val="2"/>
          <w:sz w:val="21"/>
          <w:szCs w:val="21"/>
          <w:lang w:val="en-US" w:eastAsia="zh-CN" w:bidi="ar-SA"/>
        </w:rPr>
        <w:br w:type="page"/>
      </w:r>
    </w:p>
    <w:p w14:paraId="58FDD0F2">
      <w:pPr>
        <w:pStyle w:val="70"/>
        <w:pageBreakBefore w:val="0"/>
        <w:kinsoku/>
        <w:bidi w:val="0"/>
        <w:snapToGrid w:val="0"/>
        <w:spacing w:beforeAutospacing="0" w:afterAutospacing="0" w:line="360" w:lineRule="auto"/>
        <w:jc w:val="center"/>
        <w:textAlignment w:val="auto"/>
        <w:rPr>
          <w:rFonts w:hint="eastAsia" w:ascii="仿宋" w:hAnsi="仿宋" w:eastAsia="仿宋" w:cs="仿宋"/>
          <w:b/>
          <w:bCs/>
          <w:color w:val="auto"/>
          <w:spacing w:val="6"/>
          <w:kern w:val="2"/>
          <w:sz w:val="24"/>
          <w:szCs w:val="24"/>
          <w:lang w:val="en-US" w:eastAsia="zh-CN" w:bidi="ar-SA"/>
        </w:rPr>
      </w:pPr>
      <w:r>
        <w:rPr>
          <w:rFonts w:hint="eastAsia" w:ascii="仿宋" w:hAnsi="仿宋" w:eastAsia="仿宋" w:cs="仿宋"/>
          <w:b/>
          <w:bCs/>
          <w:color w:val="auto"/>
          <w:spacing w:val="6"/>
          <w:kern w:val="2"/>
          <w:sz w:val="24"/>
          <w:szCs w:val="24"/>
          <w:lang w:val="en-US" w:eastAsia="zh-CN" w:bidi="ar-SA"/>
        </w:rPr>
        <w:t>三、监理分项报价表</w:t>
      </w:r>
    </w:p>
    <w:p w14:paraId="25E4E691">
      <w:pPr>
        <w:pageBreakBefore w:val="0"/>
        <w:kinsoku/>
        <w:bidi w:val="0"/>
        <w:spacing w:beforeAutospacing="0" w:afterAutospacing="0" w:line="360" w:lineRule="auto"/>
        <w:ind w:firstLine="480" w:firstLineChars="200"/>
        <w:rPr>
          <w:rFonts w:hint="eastAsia" w:ascii="仿宋" w:hAnsi="仿宋" w:eastAsia="仿宋" w:cs="仿宋"/>
          <w:color w:val="auto"/>
          <w:sz w:val="24"/>
          <w:szCs w:val="24"/>
          <w:lang w:val="en-US" w:eastAsia="zh-CN"/>
        </w:rPr>
      </w:pPr>
      <w:bookmarkStart w:id="168" w:name="_Toc18721_WPSOffice_Level2"/>
      <w:r>
        <w:rPr>
          <w:rFonts w:hint="eastAsia" w:ascii="仿宋" w:hAnsi="仿宋" w:eastAsia="仿宋" w:cs="仿宋"/>
          <w:color w:val="auto"/>
          <w:sz w:val="24"/>
          <w:szCs w:val="24"/>
          <w:lang w:val="en-US" w:eastAsia="zh-CN"/>
        </w:rPr>
        <w:t>1. 分项报价说明</w:t>
      </w:r>
      <w:bookmarkEnd w:id="168"/>
      <w:r>
        <w:rPr>
          <w:rFonts w:hint="eastAsia" w:ascii="仿宋" w:hAnsi="仿宋" w:eastAsia="仿宋" w:cs="仿宋"/>
          <w:color w:val="auto"/>
          <w:sz w:val="24"/>
          <w:szCs w:val="24"/>
          <w:lang w:val="en-US" w:eastAsia="zh-CN"/>
        </w:rPr>
        <w:t>（自拟）</w:t>
      </w:r>
    </w:p>
    <w:p w14:paraId="0CDFD47F">
      <w:pPr>
        <w:pageBreakBefore w:val="0"/>
        <w:kinsoku/>
        <w:bidi w:val="0"/>
        <w:spacing w:beforeAutospacing="0" w:afterAutospacing="0" w:line="360" w:lineRule="auto"/>
        <w:ind w:firstLine="480" w:firstLineChars="200"/>
        <w:rPr>
          <w:rFonts w:hint="eastAsia" w:ascii="仿宋" w:hAnsi="仿宋" w:eastAsia="仿宋" w:cs="仿宋"/>
          <w:color w:val="auto"/>
          <w:kern w:val="2"/>
          <w:sz w:val="44"/>
          <w:szCs w:val="44"/>
          <w:lang w:val="en-US" w:eastAsia="zh-CN" w:bidi="ar-SA"/>
        </w:rPr>
      </w:pPr>
      <w:bookmarkStart w:id="169" w:name="_Toc2529_WPSOffice_Level2"/>
      <w:r>
        <w:rPr>
          <w:rFonts w:hint="eastAsia" w:ascii="仿宋" w:hAnsi="仿宋" w:eastAsia="仿宋" w:cs="仿宋"/>
          <w:color w:val="auto"/>
          <w:sz w:val="24"/>
          <w:szCs w:val="24"/>
          <w:lang w:val="en-US" w:eastAsia="zh-CN"/>
        </w:rPr>
        <w:t>2. 监理</w:t>
      </w:r>
      <w:bookmarkEnd w:id="169"/>
      <w:r>
        <w:rPr>
          <w:rFonts w:hint="eastAsia" w:ascii="仿宋" w:hAnsi="仿宋" w:eastAsia="仿宋" w:cs="仿宋"/>
          <w:color w:val="auto"/>
          <w:sz w:val="24"/>
          <w:szCs w:val="24"/>
          <w:lang w:val="en-US" w:eastAsia="zh-CN"/>
        </w:rPr>
        <w:t>分项报价表</w:t>
      </w:r>
    </w:p>
    <w:p w14:paraId="32278A74">
      <w:pPr>
        <w:pageBreakBefore w:val="0"/>
        <w:kinsoku/>
        <w:bidi w:val="0"/>
        <w:spacing w:beforeAutospacing="0" w:afterAutospacing="0" w:line="360" w:lineRule="auto"/>
        <w:jc w:val="cente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监理分项报价表</w:t>
      </w:r>
    </w:p>
    <w:tbl>
      <w:tblPr>
        <w:tblStyle w:val="37"/>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669"/>
        <w:gridCol w:w="4833"/>
        <w:gridCol w:w="1464"/>
      </w:tblGrid>
      <w:tr w14:paraId="6C63C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1" w:type="dxa"/>
            <w:tcBorders>
              <w:tl2br w:val="nil"/>
              <w:tr2bl w:val="nil"/>
            </w:tcBorders>
            <w:noWrap w:val="0"/>
            <w:vAlign w:val="center"/>
          </w:tcPr>
          <w:p w14:paraId="468C454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669" w:type="dxa"/>
            <w:tcBorders>
              <w:tl2br w:val="nil"/>
              <w:tr2bl w:val="nil"/>
            </w:tcBorders>
            <w:noWrap w:val="0"/>
            <w:vAlign w:val="center"/>
          </w:tcPr>
          <w:p w14:paraId="54816A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费用类别</w:t>
            </w:r>
          </w:p>
        </w:tc>
        <w:tc>
          <w:tcPr>
            <w:tcW w:w="4833" w:type="dxa"/>
            <w:tcBorders>
              <w:tl2br w:val="nil"/>
              <w:tr2bl w:val="nil"/>
            </w:tcBorders>
            <w:noWrap w:val="0"/>
            <w:vAlign w:val="center"/>
          </w:tcPr>
          <w:p w14:paraId="0AEB24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计算方法</w:t>
            </w:r>
          </w:p>
        </w:tc>
        <w:tc>
          <w:tcPr>
            <w:tcW w:w="1464" w:type="dxa"/>
            <w:tcBorders>
              <w:tl2br w:val="nil"/>
              <w:tr2bl w:val="nil"/>
            </w:tcBorders>
            <w:noWrap w:val="0"/>
            <w:vAlign w:val="center"/>
          </w:tcPr>
          <w:p w14:paraId="490237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合价（元）</w:t>
            </w:r>
          </w:p>
        </w:tc>
      </w:tr>
      <w:tr w14:paraId="2BC5B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1" w:type="dxa"/>
            <w:tcBorders>
              <w:tl2br w:val="nil"/>
              <w:tr2bl w:val="nil"/>
            </w:tcBorders>
            <w:noWrap w:val="0"/>
            <w:vAlign w:val="center"/>
          </w:tcPr>
          <w:p w14:paraId="39D8F1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1669" w:type="dxa"/>
            <w:tcBorders>
              <w:tl2br w:val="nil"/>
              <w:tr2bl w:val="nil"/>
            </w:tcBorders>
            <w:noWrap w:val="0"/>
            <w:vAlign w:val="center"/>
          </w:tcPr>
          <w:p w14:paraId="22B5ED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项目监理人</w:t>
            </w:r>
          </w:p>
          <w:p w14:paraId="6516884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员基本费用</w:t>
            </w:r>
          </w:p>
        </w:tc>
        <w:tc>
          <w:tcPr>
            <w:tcW w:w="4833" w:type="dxa"/>
            <w:tcBorders>
              <w:tl2br w:val="nil"/>
              <w:tr2bl w:val="nil"/>
            </w:tcBorders>
            <w:noWrap w:val="0"/>
            <w:vAlign w:val="center"/>
          </w:tcPr>
          <w:p w14:paraId="5231C6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p>
        </w:tc>
        <w:tc>
          <w:tcPr>
            <w:tcW w:w="1464" w:type="dxa"/>
            <w:tcBorders>
              <w:tl2br w:val="nil"/>
              <w:tr2bl w:val="nil"/>
            </w:tcBorders>
            <w:noWrap w:val="0"/>
            <w:vAlign w:val="center"/>
          </w:tcPr>
          <w:p w14:paraId="065203B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p>
        </w:tc>
      </w:tr>
      <w:tr w14:paraId="1DE0E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1" w:type="dxa"/>
            <w:tcBorders>
              <w:tl2br w:val="nil"/>
              <w:tr2bl w:val="nil"/>
            </w:tcBorders>
            <w:noWrap w:val="0"/>
            <w:vAlign w:val="center"/>
          </w:tcPr>
          <w:p w14:paraId="2570A4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669" w:type="dxa"/>
            <w:tcBorders>
              <w:tl2br w:val="nil"/>
              <w:tr2bl w:val="nil"/>
            </w:tcBorders>
            <w:noWrap w:val="0"/>
            <w:vAlign w:val="center"/>
          </w:tcPr>
          <w:p w14:paraId="02CA6B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企业管理费</w:t>
            </w:r>
          </w:p>
        </w:tc>
        <w:tc>
          <w:tcPr>
            <w:tcW w:w="4833" w:type="dxa"/>
            <w:tcBorders>
              <w:tl2br w:val="nil"/>
              <w:tr2bl w:val="nil"/>
            </w:tcBorders>
            <w:noWrap w:val="0"/>
            <w:vAlign w:val="center"/>
          </w:tcPr>
          <w:p w14:paraId="00AE23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1464" w:type="dxa"/>
            <w:tcBorders>
              <w:tl2br w:val="nil"/>
              <w:tr2bl w:val="nil"/>
            </w:tcBorders>
            <w:noWrap w:val="0"/>
            <w:vAlign w:val="center"/>
          </w:tcPr>
          <w:p w14:paraId="5D4CA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000BD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1" w:type="dxa"/>
            <w:tcBorders>
              <w:tl2br w:val="nil"/>
              <w:tr2bl w:val="nil"/>
            </w:tcBorders>
            <w:noWrap w:val="0"/>
            <w:vAlign w:val="center"/>
          </w:tcPr>
          <w:p w14:paraId="07015F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669" w:type="dxa"/>
            <w:tcBorders>
              <w:tl2br w:val="nil"/>
              <w:tr2bl w:val="nil"/>
            </w:tcBorders>
            <w:noWrap w:val="0"/>
            <w:vAlign w:val="center"/>
          </w:tcPr>
          <w:p w14:paraId="66535A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利润</w:t>
            </w:r>
          </w:p>
        </w:tc>
        <w:tc>
          <w:tcPr>
            <w:tcW w:w="4833" w:type="dxa"/>
            <w:tcBorders>
              <w:tl2br w:val="nil"/>
              <w:tr2bl w:val="nil"/>
            </w:tcBorders>
            <w:noWrap w:val="0"/>
            <w:vAlign w:val="center"/>
          </w:tcPr>
          <w:p w14:paraId="6D2F23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1464" w:type="dxa"/>
            <w:tcBorders>
              <w:tl2br w:val="nil"/>
              <w:tr2bl w:val="nil"/>
            </w:tcBorders>
            <w:noWrap w:val="0"/>
            <w:vAlign w:val="center"/>
          </w:tcPr>
          <w:p w14:paraId="42B435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4265D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1" w:type="dxa"/>
            <w:tcBorders>
              <w:tl2br w:val="nil"/>
              <w:tr2bl w:val="nil"/>
            </w:tcBorders>
            <w:noWrap w:val="0"/>
            <w:vAlign w:val="center"/>
          </w:tcPr>
          <w:p w14:paraId="693595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669" w:type="dxa"/>
            <w:tcBorders>
              <w:tl2br w:val="nil"/>
              <w:tr2bl w:val="nil"/>
            </w:tcBorders>
            <w:noWrap w:val="0"/>
            <w:vAlign w:val="center"/>
          </w:tcPr>
          <w:p w14:paraId="5DC395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税金</w:t>
            </w:r>
          </w:p>
        </w:tc>
        <w:tc>
          <w:tcPr>
            <w:tcW w:w="4833" w:type="dxa"/>
            <w:tcBorders>
              <w:tl2br w:val="nil"/>
              <w:tr2bl w:val="nil"/>
            </w:tcBorders>
            <w:noWrap w:val="0"/>
            <w:vAlign w:val="center"/>
          </w:tcPr>
          <w:p w14:paraId="328EC8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p>
        </w:tc>
        <w:tc>
          <w:tcPr>
            <w:tcW w:w="1464" w:type="dxa"/>
            <w:tcBorders>
              <w:tl2br w:val="nil"/>
              <w:tr2bl w:val="nil"/>
            </w:tcBorders>
            <w:noWrap w:val="0"/>
            <w:vAlign w:val="center"/>
          </w:tcPr>
          <w:p w14:paraId="532D6A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p>
        </w:tc>
      </w:tr>
      <w:tr w14:paraId="5838C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1" w:type="dxa"/>
            <w:tcBorders>
              <w:tl2br w:val="nil"/>
              <w:tr2bl w:val="nil"/>
            </w:tcBorders>
            <w:noWrap w:val="0"/>
            <w:vAlign w:val="center"/>
          </w:tcPr>
          <w:p w14:paraId="75B6ED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6502" w:type="dxa"/>
            <w:gridSpan w:val="2"/>
            <w:tcBorders>
              <w:tl2br w:val="nil"/>
              <w:tr2bl w:val="nil"/>
            </w:tcBorders>
            <w:noWrap w:val="0"/>
            <w:vAlign w:val="center"/>
          </w:tcPr>
          <w:p w14:paraId="617E19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投标报价（总计）</w:t>
            </w:r>
          </w:p>
        </w:tc>
        <w:tc>
          <w:tcPr>
            <w:tcW w:w="1464" w:type="dxa"/>
            <w:tcBorders>
              <w:tl2br w:val="nil"/>
              <w:tr2bl w:val="nil"/>
            </w:tcBorders>
            <w:noWrap w:val="0"/>
            <w:vAlign w:val="center"/>
          </w:tcPr>
          <w:p w14:paraId="7E5348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仿宋" w:hAnsi="仿宋" w:eastAsia="仿宋" w:cs="仿宋"/>
                <w:color w:val="auto"/>
                <w:sz w:val="24"/>
                <w:szCs w:val="24"/>
                <w:highlight w:val="none"/>
              </w:rPr>
            </w:pPr>
          </w:p>
        </w:tc>
      </w:tr>
    </w:tbl>
    <w:p w14:paraId="4D31CB5E">
      <w:pPr>
        <w:pageBreakBefore w:val="0"/>
        <w:shd w:val="clear" w:color="auto" w:fill="FFFFFF"/>
        <w:kinsoku/>
        <w:bidi w:val="0"/>
        <w:spacing w:beforeAutospacing="0" w:afterAutospacing="0" w:line="360" w:lineRule="auto"/>
        <w:ind w:firstLine="444" w:firstLineChars="200"/>
        <w:rPr>
          <w:rFonts w:hint="eastAsia" w:ascii="仿宋" w:hAnsi="仿宋" w:eastAsia="仿宋" w:cs="仿宋"/>
          <w:color w:val="auto"/>
          <w:spacing w:val="6"/>
          <w:kern w:val="2"/>
          <w:sz w:val="21"/>
          <w:szCs w:val="21"/>
          <w:lang w:val="en-US" w:eastAsia="zh-CN" w:bidi="ar-SA"/>
        </w:rPr>
      </w:pPr>
    </w:p>
    <w:p w14:paraId="0C003AD7">
      <w:pPr>
        <w:pageBreakBefore w:val="0"/>
        <w:shd w:val="clear" w:color="auto" w:fill="FFFFFF"/>
        <w:kinsoku/>
        <w:bidi w:val="0"/>
        <w:spacing w:beforeAutospacing="0" w:afterAutospacing="0" w:line="360" w:lineRule="auto"/>
        <w:ind w:firstLine="444"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6"/>
          <w:kern w:val="2"/>
          <w:sz w:val="21"/>
          <w:szCs w:val="21"/>
          <w:lang w:val="en-US" w:eastAsia="zh-CN" w:bidi="ar-SA"/>
        </w:rPr>
        <w:br w:type="page"/>
      </w:r>
    </w:p>
    <w:p w14:paraId="7B115F0F">
      <w:pPr>
        <w:pStyle w:val="70"/>
        <w:pageBreakBefore w:val="0"/>
        <w:kinsoku/>
        <w:bidi w:val="0"/>
        <w:snapToGrid w:val="0"/>
        <w:spacing w:beforeAutospacing="0" w:afterAutospacing="0" w:line="36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pacing w:val="6"/>
          <w:kern w:val="2"/>
          <w:sz w:val="24"/>
          <w:szCs w:val="24"/>
          <w:lang w:val="en-US" w:eastAsia="zh-CN" w:bidi="ar-SA"/>
        </w:rPr>
        <w:t>四、项目管理机构配备</w:t>
      </w:r>
    </w:p>
    <w:p w14:paraId="336A4BF9">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拟委任的主要人员汇总表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30"/>
        <w:gridCol w:w="1071"/>
        <w:gridCol w:w="900"/>
        <w:gridCol w:w="750"/>
        <w:gridCol w:w="1230"/>
        <w:gridCol w:w="990"/>
        <w:gridCol w:w="1110"/>
        <w:gridCol w:w="1709"/>
      </w:tblGrid>
      <w:tr w14:paraId="099D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58CEF8B7">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130" w:type="dxa"/>
            <w:vMerge w:val="restart"/>
            <w:noWrap w:val="0"/>
            <w:vAlign w:val="center"/>
          </w:tcPr>
          <w:p w14:paraId="65F84DA5">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本项目任职</w:t>
            </w:r>
          </w:p>
        </w:tc>
        <w:tc>
          <w:tcPr>
            <w:tcW w:w="1071" w:type="dxa"/>
            <w:vMerge w:val="restart"/>
            <w:noWrap w:val="0"/>
            <w:vAlign w:val="center"/>
          </w:tcPr>
          <w:p w14:paraId="1B6F7185">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900" w:type="dxa"/>
            <w:vMerge w:val="restart"/>
            <w:noWrap w:val="0"/>
            <w:vAlign w:val="center"/>
          </w:tcPr>
          <w:p w14:paraId="25A14F8B">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750" w:type="dxa"/>
            <w:vMerge w:val="restart"/>
            <w:noWrap w:val="0"/>
            <w:vAlign w:val="center"/>
          </w:tcPr>
          <w:p w14:paraId="0349807F">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3330" w:type="dxa"/>
            <w:gridSpan w:val="3"/>
            <w:noWrap w:val="0"/>
            <w:vAlign w:val="center"/>
          </w:tcPr>
          <w:p w14:paraId="60F0B88F">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执业或职业资格证明</w:t>
            </w:r>
          </w:p>
        </w:tc>
        <w:tc>
          <w:tcPr>
            <w:tcW w:w="1709" w:type="dxa"/>
            <w:noWrap w:val="0"/>
            <w:vAlign w:val="center"/>
          </w:tcPr>
          <w:p w14:paraId="2235C6B3">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6763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10E24320">
            <w:pPr>
              <w:pageBreakBefore w:val="0"/>
              <w:kinsoku/>
              <w:bidi w:val="0"/>
              <w:spacing w:beforeAutospacing="0" w:afterAutospacing="0" w:line="360" w:lineRule="auto"/>
              <w:rPr>
                <w:rFonts w:hint="eastAsia" w:ascii="仿宋" w:hAnsi="仿宋" w:eastAsia="仿宋" w:cs="仿宋"/>
                <w:color w:val="auto"/>
                <w:sz w:val="24"/>
                <w:szCs w:val="24"/>
              </w:rPr>
            </w:pPr>
          </w:p>
        </w:tc>
        <w:tc>
          <w:tcPr>
            <w:tcW w:w="1130" w:type="dxa"/>
            <w:vMerge w:val="continue"/>
            <w:noWrap w:val="0"/>
            <w:vAlign w:val="top"/>
          </w:tcPr>
          <w:p w14:paraId="049E30F2">
            <w:pPr>
              <w:pageBreakBefore w:val="0"/>
              <w:kinsoku/>
              <w:bidi w:val="0"/>
              <w:spacing w:beforeAutospacing="0" w:afterAutospacing="0" w:line="360" w:lineRule="auto"/>
              <w:rPr>
                <w:rFonts w:hint="eastAsia" w:ascii="仿宋" w:hAnsi="仿宋" w:eastAsia="仿宋" w:cs="仿宋"/>
                <w:color w:val="auto"/>
                <w:sz w:val="24"/>
                <w:szCs w:val="24"/>
              </w:rPr>
            </w:pPr>
          </w:p>
        </w:tc>
        <w:tc>
          <w:tcPr>
            <w:tcW w:w="1071" w:type="dxa"/>
            <w:vMerge w:val="continue"/>
            <w:noWrap w:val="0"/>
            <w:vAlign w:val="center"/>
          </w:tcPr>
          <w:p w14:paraId="0F98796C">
            <w:pPr>
              <w:pageBreakBefore w:val="0"/>
              <w:kinsoku/>
              <w:bidi w:val="0"/>
              <w:spacing w:beforeAutospacing="0" w:afterAutospacing="0" w:line="360" w:lineRule="auto"/>
              <w:rPr>
                <w:rFonts w:hint="eastAsia" w:ascii="仿宋" w:hAnsi="仿宋" w:eastAsia="仿宋" w:cs="仿宋"/>
                <w:color w:val="auto"/>
                <w:sz w:val="24"/>
                <w:szCs w:val="24"/>
              </w:rPr>
            </w:pPr>
          </w:p>
        </w:tc>
        <w:tc>
          <w:tcPr>
            <w:tcW w:w="900" w:type="dxa"/>
            <w:vMerge w:val="continue"/>
            <w:noWrap w:val="0"/>
            <w:vAlign w:val="center"/>
          </w:tcPr>
          <w:p w14:paraId="57C68FFE">
            <w:pPr>
              <w:pageBreakBefore w:val="0"/>
              <w:kinsoku/>
              <w:bidi w:val="0"/>
              <w:spacing w:beforeAutospacing="0" w:afterAutospacing="0" w:line="360" w:lineRule="auto"/>
              <w:rPr>
                <w:rFonts w:hint="eastAsia" w:ascii="仿宋" w:hAnsi="仿宋" w:eastAsia="仿宋" w:cs="仿宋"/>
                <w:color w:val="auto"/>
                <w:sz w:val="24"/>
                <w:szCs w:val="24"/>
              </w:rPr>
            </w:pPr>
          </w:p>
        </w:tc>
        <w:tc>
          <w:tcPr>
            <w:tcW w:w="750" w:type="dxa"/>
            <w:vMerge w:val="continue"/>
            <w:noWrap w:val="0"/>
            <w:vAlign w:val="center"/>
          </w:tcPr>
          <w:p w14:paraId="6076860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center"/>
          </w:tcPr>
          <w:p w14:paraId="31B21058">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证书名称</w:t>
            </w:r>
          </w:p>
        </w:tc>
        <w:tc>
          <w:tcPr>
            <w:tcW w:w="990" w:type="dxa"/>
            <w:noWrap w:val="0"/>
            <w:vAlign w:val="center"/>
          </w:tcPr>
          <w:p w14:paraId="6F45EF89">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级别</w:t>
            </w:r>
          </w:p>
        </w:tc>
        <w:tc>
          <w:tcPr>
            <w:tcW w:w="1110" w:type="dxa"/>
            <w:noWrap w:val="0"/>
            <w:vAlign w:val="center"/>
          </w:tcPr>
          <w:p w14:paraId="59BC88A7">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证号</w:t>
            </w:r>
          </w:p>
        </w:tc>
        <w:tc>
          <w:tcPr>
            <w:tcW w:w="1709" w:type="dxa"/>
            <w:noWrap w:val="0"/>
            <w:vAlign w:val="center"/>
          </w:tcPr>
          <w:p w14:paraId="47225120">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1409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1D8A77B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218724E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center"/>
          </w:tcPr>
          <w:p w14:paraId="01DDB7C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center"/>
          </w:tcPr>
          <w:p w14:paraId="51EBA72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center"/>
          </w:tcPr>
          <w:p w14:paraId="2C3893A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center"/>
          </w:tcPr>
          <w:p w14:paraId="0BB0ADC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center"/>
          </w:tcPr>
          <w:p w14:paraId="20F1F09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center"/>
          </w:tcPr>
          <w:p w14:paraId="2D41697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center"/>
          </w:tcPr>
          <w:p w14:paraId="5511F2F0">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6B9F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12C480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0CFDCBC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03247E6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2F0BC41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3A0450C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4651C4E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517C04A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1041547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102F2BA4">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48C7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42CF43C">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7FA3292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7F37C07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2C95B61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06674B4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529F0A3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0A31B2CC">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075D189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579C8484">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0CAD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C7FFFC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09AD785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6467FE4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6DCBF42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1226018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4560C87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2B960B0C">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32E0841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76454C2D">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3507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7E1B84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048A105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649BF7F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32BBD80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68B90F0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244F32E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0AB4566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22F7CA8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09BF8DFF">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6EBD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CB0261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105EA2A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56D26FD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54EC9CF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3C00086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22AC546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3740F9A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2119A65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192034A9">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38DB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546AC7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7ACC291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5B8DBBD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0DDE9A4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4A8C8D1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49009D8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721C9C93">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6A3AAFF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5D61D2EB">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5A9C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153C8F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1490CE4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25B6993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3BCC514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42D098C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7D7BC92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46B5DCF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4A51085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410CEF49">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03DC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FEFE8F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109597E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6E38FC1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28C45BB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761CC28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6444503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2B86A7B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7810F3E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5938D47A">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4B41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B085EA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686930B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4F8314B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3F6339F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224D233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6E43FFC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102F7F0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3D044C6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52A64C6B">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4622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EAA26D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31F9400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2B52D38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147D6783">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5580890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4A05E53C">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462B4C9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5ADE9FEC">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2645AAAA">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0559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A9BFCF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6908B9B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54B1345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5CBD923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0C16A5D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1A3485E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420C905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4DA0DDA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6BF99B3B">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6BE8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26B771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566F26E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291755F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18882BE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6CDFEE1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730E528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4643A5E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0364EEC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59057DA4">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0E85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74F7D3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37DE4A4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77DA818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11D39AB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675E748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5770CAF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5C1B7FA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7287288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384E5295">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7615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0F0E45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1177761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5D599C9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10D458A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30AA952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20418D1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32C76BD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6E9F2B7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076CDF11">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0AE1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4C4105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0B9FA893">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2F1C08D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5594004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7EB5393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4AF45F4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2815EA8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2D9DBA2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3C44A8B8">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46A1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26DE7B8">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0037B62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776C1AA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2AB3E26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73D27ED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152E6C4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23C5D58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10CC8D43">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179BA273">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5743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980C7E3">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7915057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2149B093">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5B33690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54940D9A">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6B71E4E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35F40A76">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463591E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2B736356">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1222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61B02C7">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2C0EB85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6008C261">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22658BF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7423F1A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0880547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10B4D94C">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74B3E512">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4A6EC0D8">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41BC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DA96DAC">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433D2C13">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6EC3271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4D52C73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0452890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4731F07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3EBA0603">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0C19216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00E17C3B">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6467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FACD73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30" w:type="dxa"/>
            <w:noWrap w:val="0"/>
            <w:vAlign w:val="top"/>
          </w:tcPr>
          <w:p w14:paraId="73FD75A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071" w:type="dxa"/>
            <w:noWrap w:val="0"/>
            <w:vAlign w:val="top"/>
          </w:tcPr>
          <w:p w14:paraId="0FBF388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00" w:type="dxa"/>
            <w:noWrap w:val="0"/>
            <w:vAlign w:val="top"/>
          </w:tcPr>
          <w:p w14:paraId="0A4F3470">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750" w:type="dxa"/>
            <w:noWrap w:val="0"/>
            <w:vAlign w:val="top"/>
          </w:tcPr>
          <w:p w14:paraId="54197B7F">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230" w:type="dxa"/>
            <w:noWrap w:val="0"/>
            <w:vAlign w:val="top"/>
          </w:tcPr>
          <w:p w14:paraId="023BAB0E">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90" w:type="dxa"/>
            <w:noWrap w:val="0"/>
            <w:vAlign w:val="top"/>
          </w:tcPr>
          <w:p w14:paraId="0B6C617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110" w:type="dxa"/>
            <w:noWrap w:val="0"/>
            <w:vAlign w:val="top"/>
          </w:tcPr>
          <w:p w14:paraId="2EA0807D">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1709" w:type="dxa"/>
            <w:noWrap w:val="0"/>
            <w:vAlign w:val="top"/>
          </w:tcPr>
          <w:p w14:paraId="37EBC00E">
            <w:pPr>
              <w:pageBreakBefore w:val="0"/>
              <w:kinsoku/>
              <w:bidi w:val="0"/>
              <w:spacing w:beforeAutospacing="0" w:afterAutospacing="0" w:line="360" w:lineRule="auto"/>
              <w:jc w:val="center"/>
              <w:rPr>
                <w:rFonts w:hint="eastAsia" w:ascii="仿宋" w:hAnsi="仿宋" w:eastAsia="仿宋" w:cs="仿宋"/>
                <w:color w:val="auto"/>
                <w:sz w:val="24"/>
                <w:szCs w:val="24"/>
              </w:rPr>
            </w:pPr>
          </w:p>
        </w:tc>
      </w:tr>
    </w:tbl>
    <w:p w14:paraId="6E7C8693">
      <w:pPr>
        <w:pageBreakBefore w:val="0"/>
        <w:kinsoku/>
        <w:bidi w:val="0"/>
        <w:spacing w:beforeAutospacing="0" w:afterAutospacing="0" w:line="360" w:lineRule="auto"/>
        <w:rPr>
          <w:rFonts w:hint="eastAsia" w:ascii="仿宋" w:hAnsi="仿宋" w:eastAsia="仿宋" w:cs="仿宋"/>
          <w:color w:val="auto"/>
        </w:rPr>
      </w:pPr>
      <w:bookmarkStart w:id="170" w:name="_Toc179632825"/>
      <w:bookmarkStart w:id="171" w:name="_Toc152045805"/>
      <w:bookmarkStart w:id="172" w:name="_Toc152042594"/>
      <w:bookmarkStart w:id="173" w:name="_Toc144974873"/>
    </w:p>
    <w:p w14:paraId="6D662B13">
      <w:pPr>
        <w:pageBreakBefore w:val="0"/>
        <w:kinsoku/>
        <w:bidi w:val="0"/>
        <w:spacing w:beforeAutospacing="0" w:afterAutospacing="0" w:line="360" w:lineRule="auto"/>
        <w:ind w:firstLine="137"/>
        <w:rPr>
          <w:rFonts w:hint="eastAsia" w:ascii="仿宋" w:hAnsi="仿宋" w:eastAsia="仿宋" w:cs="仿宋"/>
          <w:color w:val="auto"/>
          <w:sz w:val="23"/>
        </w:rPr>
      </w:pPr>
      <w:bookmarkStart w:id="174" w:name="_Toc492300735"/>
      <w:bookmarkStart w:id="175" w:name="_Toc385943079"/>
      <w:bookmarkStart w:id="176" w:name="_Toc482188668"/>
      <w:bookmarkStart w:id="177" w:name="_Toc359594249"/>
      <w:bookmarkStart w:id="178" w:name="_Toc384308390"/>
      <w:bookmarkStart w:id="179" w:name="_Toc300835232"/>
      <w:bookmarkStart w:id="180" w:name="_Toc391394125"/>
      <w:bookmarkStart w:id="181" w:name="_Toc370676440"/>
      <w:bookmarkStart w:id="182" w:name="_Toc9243_WPSOffice_Level2"/>
      <w:r>
        <w:rPr>
          <w:rFonts w:hint="eastAsia" w:ascii="仿宋" w:hAnsi="仿宋" w:eastAsia="仿宋" w:cs="仿宋"/>
          <w:color w:val="auto"/>
        </w:rPr>
        <w:br w:type="page"/>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）主要人员简历表</w:t>
      </w:r>
      <w:bookmarkEnd w:id="170"/>
      <w:bookmarkEnd w:id="171"/>
      <w:bookmarkEnd w:id="172"/>
      <w:bookmarkEnd w:id="173"/>
      <w:bookmarkEnd w:id="174"/>
      <w:bookmarkEnd w:id="175"/>
      <w:bookmarkEnd w:id="176"/>
      <w:bookmarkEnd w:id="177"/>
      <w:bookmarkEnd w:id="178"/>
      <w:bookmarkEnd w:id="179"/>
      <w:bookmarkEnd w:id="180"/>
      <w:bookmarkEnd w:id="181"/>
      <w:bookmarkEnd w:id="182"/>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040"/>
        <w:gridCol w:w="960"/>
        <w:gridCol w:w="1420"/>
        <w:gridCol w:w="1261"/>
        <w:gridCol w:w="1024"/>
        <w:gridCol w:w="2492"/>
      </w:tblGrid>
      <w:tr w14:paraId="5B4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44" w:type="dxa"/>
            <w:noWrap w:val="0"/>
            <w:vAlign w:val="center"/>
          </w:tcPr>
          <w:p w14:paraId="4FF3BA6B">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姓  名</w:t>
            </w:r>
          </w:p>
        </w:tc>
        <w:tc>
          <w:tcPr>
            <w:tcW w:w="1040" w:type="dxa"/>
            <w:noWrap w:val="0"/>
            <w:vAlign w:val="center"/>
          </w:tcPr>
          <w:p w14:paraId="1684B1E5">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60" w:type="dxa"/>
            <w:noWrap w:val="0"/>
            <w:vAlign w:val="center"/>
          </w:tcPr>
          <w:p w14:paraId="18B9AE7F">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420" w:type="dxa"/>
            <w:noWrap w:val="0"/>
            <w:vAlign w:val="center"/>
          </w:tcPr>
          <w:p w14:paraId="475A1E3C">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2285" w:type="dxa"/>
            <w:gridSpan w:val="2"/>
            <w:noWrap w:val="0"/>
            <w:vAlign w:val="center"/>
          </w:tcPr>
          <w:p w14:paraId="1FEA6511">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执业资格证书（或上岗证书）名称</w:t>
            </w:r>
          </w:p>
        </w:tc>
        <w:tc>
          <w:tcPr>
            <w:tcW w:w="2492" w:type="dxa"/>
            <w:noWrap w:val="0"/>
            <w:vAlign w:val="center"/>
          </w:tcPr>
          <w:p w14:paraId="20BAB84F">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4745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44" w:type="dxa"/>
            <w:noWrap w:val="0"/>
            <w:vAlign w:val="center"/>
          </w:tcPr>
          <w:p w14:paraId="63E58427">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职  称</w:t>
            </w:r>
          </w:p>
        </w:tc>
        <w:tc>
          <w:tcPr>
            <w:tcW w:w="1040" w:type="dxa"/>
            <w:noWrap w:val="0"/>
            <w:vAlign w:val="center"/>
          </w:tcPr>
          <w:p w14:paraId="3BB002B9">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960" w:type="dxa"/>
            <w:noWrap w:val="0"/>
            <w:vAlign w:val="center"/>
          </w:tcPr>
          <w:p w14:paraId="57976241">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1420" w:type="dxa"/>
            <w:noWrap w:val="0"/>
            <w:vAlign w:val="center"/>
          </w:tcPr>
          <w:p w14:paraId="0EEEB93B">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2285" w:type="dxa"/>
            <w:gridSpan w:val="2"/>
            <w:noWrap w:val="0"/>
            <w:vAlign w:val="center"/>
          </w:tcPr>
          <w:p w14:paraId="2C3400D3">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拟在本项目任职</w:t>
            </w:r>
          </w:p>
        </w:tc>
        <w:tc>
          <w:tcPr>
            <w:tcW w:w="2492" w:type="dxa"/>
            <w:noWrap w:val="0"/>
            <w:vAlign w:val="center"/>
          </w:tcPr>
          <w:p w14:paraId="6846F30A">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25EB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44" w:type="dxa"/>
            <w:noWrap w:val="0"/>
            <w:vAlign w:val="center"/>
          </w:tcPr>
          <w:p w14:paraId="168BB3F3">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工作年限</w:t>
            </w:r>
          </w:p>
        </w:tc>
        <w:tc>
          <w:tcPr>
            <w:tcW w:w="3420" w:type="dxa"/>
            <w:gridSpan w:val="3"/>
            <w:noWrap w:val="0"/>
            <w:vAlign w:val="center"/>
          </w:tcPr>
          <w:p w14:paraId="36018F24">
            <w:pPr>
              <w:pageBreakBefore w:val="0"/>
              <w:kinsoku/>
              <w:bidi w:val="0"/>
              <w:spacing w:beforeAutospacing="0" w:afterAutospacing="0" w:line="360" w:lineRule="auto"/>
              <w:jc w:val="center"/>
              <w:rPr>
                <w:rFonts w:hint="eastAsia" w:ascii="仿宋" w:hAnsi="仿宋" w:eastAsia="仿宋" w:cs="仿宋"/>
                <w:color w:val="auto"/>
                <w:sz w:val="24"/>
                <w:szCs w:val="24"/>
              </w:rPr>
            </w:pPr>
          </w:p>
        </w:tc>
        <w:tc>
          <w:tcPr>
            <w:tcW w:w="2285" w:type="dxa"/>
            <w:gridSpan w:val="2"/>
            <w:noWrap w:val="0"/>
            <w:vAlign w:val="center"/>
          </w:tcPr>
          <w:p w14:paraId="6C5B6802">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从事监理工作年限</w:t>
            </w:r>
          </w:p>
        </w:tc>
        <w:tc>
          <w:tcPr>
            <w:tcW w:w="2492" w:type="dxa"/>
            <w:noWrap w:val="0"/>
            <w:vAlign w:val="center"/>
          </w:tcPr>
          <w:p w14:paraId="0AE0BB69">
            <w:pPr>
              <w:pageBreakBefore w:val="0"/>
              <w:kinsoku/>
              <w:bidi w:val="0"/>
              <w:spacing w:beforeAutospacing="0" w:afterAutospacing="0" w:line="360" w:lineRule="auto"/>
              <w:jc w:val="center"/>
              <w:rPr>
                <w:rFonts w:hint="eastAsia" w:ascii="仿宋" w:hAnsi="仿宋" w:eastAsia="仿宋" w:cs="仿宋"/>
                <w:color w:val="auto"/>
                <w:sz w:val="24"/>
                <w:szCs w:val="24"/>
              </w:rPr>
            </w:pPr>
          </w:p>
        </w:tc>
      </w:tr>
      <w:tr w14:paraId="023B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44" w:type="dxa"/>
            <w:noWrap w:val="0"/>
            <w:vAlign w:val="center"/>
          </w:tcPr>
          <w:p w14:paraId="5C220DB4">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8197" w:type="dxa"/>
            <w:gridSpan w:val="6"/>
            <w:noWrap w:val="0"/>
            <w:vAlign w:val="center"/>
          </w:tcPr>
          <w:p w14:paraId="1EF6FA62">
            <w:pPr>
              <w:pageBreakBefore w:val="0"/>
              <w:kinsoku/>
              <w:bidi w:val="0"/>
              <w:spacing w:beforeAutospacing="0" w:afterAutospacing="0" w:line="360" w:lineRule="auto"/>
              <w:ind w:firstLine="1320" w:firstLineChars="550"/>
              <w:rPr>
                <w:rFonts w:hint="eastAsia" w:ascii="仿宋" w:hAnsi="仿宋" w:eastAsia="仿宋" w:cs="仿宋"/>
                <w:color w:val="auto"/>
                <w:sz w:val="24"/>
                <w:szCs w:val="24"/>
              </w:rPr>
            </w:pPr>
            <w:r>
              <w:rPr>
                <w:rFonts w:hint="eastAsia" w:ascii="仿宋" w:hAnsi="仿宋" w:eastAsia="仿宋" w:cs="仿宋"/>
                <w:color w:val="auto"/>
                <w:sz w:val="24"/>
                <w:szCs w:val="24"/>
              </w:rPr>
              <w:t>年毕业于            学校        专业</w:t>
            </w:r>
          </w:p>
        </w:tc>
      </w:tr>
      <w:tr w14:paraId="5402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741" w:type="dxa"/>
            <w:gridSpan w:val="7"/>
            <w:noWrap w:val="0"/>
            <w:vAlign w:val="center"/>
          </w:tcPr>
          <w:p w14:paraId="32AEA89B">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主要工作经历</w:t>
            </w:r>
          </w:p>
        </w:tc>
      </w:tr>
      <w:tr w14:paraId="450E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noWrap w:val="0"/>
            <w:vAlign w:val="center"/>
          </w:tcPr>
          <w:p w14:paraId="1EBBFD7F">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时  间</w:t>
            </w:r>
          </w:p>
        </w:tc>
        <w:tc>
          <w:tcPr>
            <w:tcW w:w="3420" w:type="dxa"/>
            <w:gridSpan w:val="3"/>
            <w:noWrap w:val="0"/>
            <w:vAlign w:val="center"/>
          </w:tcPr>
          <w:p w14:paraId="0E5BBAC9">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参加过的类似项目</w:t>
            </w:r>
          </w:p>
        </w:tc>
        <w:tc>
          <w:tcPr>
            <w:tcW w:w="1261" w:type="dxa"/>
            <w:noWrap w:val="0"/>
            <w:vAlign w:val="center"/>
          </w:tcPr>
          <w:p w14:paraId="2E8C90E9">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担任职务</w:t>
            </w:r>
          </w:p>
        </w:tc>
        <w:tc>
          <w:tcPr>
            <w:tcW w:w="3516" w:type="dxa"/>
            <w:gridSpan w:val="2"/>
            <w:noWrap w:val="0"/>
            <w:vAlign w:val="center"/>
          </w:tcPr>
          <w:p w14:paraId="51B5E20B">
            <w:pPr>
              <w:pageBreakBefore w:val="0"/>
              <w:kinsoku/>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委托人及联系电话</w:t>
            </w:r>
          </w:p>
        </w:tc>
      </w:tr>
      <w:tr w14:paraId="51A4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noWrap w:val="0"/>
            <w:vAlign w:val="top"/>
          </w:tcPr>
          <w:p w14:paraId="21E4DCB1">
            <w:pPr>
              <w:pageBreakBefore w:val="0"/>
              <w:kinsoku/>
              <w:bidi w:val="0"/>
              <w:spacing w:beforeAutospacing="0" w:afterAutospacing="0" w:line="360" w:lineRule="auto"/>
              <w:rPr>
                <w:rFonts w:hint="eastAsia" w:ascii="仿宋" w:hAnsi="仿宋" w:eastAsia="仿宋" w:cs="仿宋"/>
                <w:color w:val="auto"/>
                <w:sz w:val="24"/>
                <w:szCs w:val="24"/>
              </w:rPr>
            </w:pPr>
          </w:p>
        </w:tc>
        <w:tc>
          <w:tcPr>
            <w:tcW w:w="3420" w:type="dxa"/>
            <w:gridSpan w:val="3"/>
            <w:noWrap w:val="0"/>
            <w:vAlign w:val="top"/>
          </w:tcPr>
          <w:p w14:paraId="3E00CDCD">
            <w:pPr>
              <w:pageBreakBefore w:val="0"/>
              <w:kinsoku/>
              <w:bidi w:val="0"/>
              <w:spacing w:beforeAutospacing="0" w:afterAutospacing="0" w:line="360" w:lineRule="auto"/>
              <w:rPr>
                <w:rFonts w:hint="eastAsia" w:ascii="仿宋" w:hAnsi="仿宋" w:eastAsia="仿宋" w:cs="仿宋"/>
                <w:color w:val="auto"/>
                <w:sz w:val="24"/>
                <w:szCs w:val="24"/>
              </w:rPr>
            </w:pPr>
          </w:p>
        </w:tc>
        <w:tc>
          <w:tcPr>
            <w:tcW w:w="1261" w:type="dxa"/>
            <w:noWrap w:val="0"/>
            <w:vAlign w:val="top"/>
          </w:tcPr>
          <w:p w14:paraId="4AFA30CD">
            <w:pPr>
              <w:pageBreakBefore w:val="0"/>
              <w:kinsoku/>
              <w:bidi w:val="0"/>
              <w:spacing w:beforeAutospacing="0" w:afterAutospacing="0" w:line="360" w:lineRule="auto"/>
              <w:rPr>
                <w:rFonts w:hint="eastAsia" w:ascii="仿宋" w:hAnsi="仿宋" w:eastAsia="仿宋" w:cs="仿宋"/>
                <w:color w:val="auto"/>
                <w:sz w:val="24"/>
                <w:szCs w:val="24"/>
              </w:rPr>
            </w:pPr>
          </w:p>
        </w:tc>
        <w:tc>
          <w:tcPr>
            <w:tcW w:w="3516" w:type="dxa"/>
            <w:gridSpan w:val="2"/>
            <w:noWrap w:val="0"/>
            <w:vAlign w:val="top"/>
          </w:tcPr>
          <w:p w14:paraId="20535556">
            <w:pPr>
              <w:pageBreakBefore w:val="0"/>
              <w:kinsoku/>
              <w:bidi w:val="0"/>
              <w:spacing w:beforeAutospacing="0" w:afterAutospacing="0" w:line="360" w:lineRule="auto"/>
              <w:rPr>
                <w:rFonts w:hint="eastAsia" w:ascii="仿宋" w:hAnsi="仿宋" w:eastAsia="仿宋" w:cs="仿宋"/>
                <w:color w:val="auto"/>
                <w:sz w:val="24"/>
                <w:szCs w:val="24"/>
              </w:rPr>
            </w:pPr>
          </w:p>
        </w:tc>
      </w:tr>
      <w:tr w14:paraId="09A3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noWrap w:val="0"/>
            <w:vAlign w:val="top"/>
          </w:tcPr>
          <w:p w14:paraId="763B5697">
            <w:pPr>
              <w:pageBreakBefore w:val="0"/>
              <w:kinsoku/>
              <w:bidi w:val="0"/>
              <w:spacing w:beforeAutospacing="0" w:afterAutospacing="0" w:line="360" w:lineRule="auto"/>
              <w:rPr>
                <w:rFonts w:hint="eastAsia" w:ascii="仿宋" w:hAnsi="仿宋" w:eastAsia="仿宋" w:cs="仿宋"/>
                <w:color w:val="auto"/>
                <w:sz w:val="24"/>
                <w:szCs w:val="24"/>
              </w:rPr>
            </w:pPr>
          </w:p>
        </w:tc>
        <w:tc>
          <w:tcPr>
            <w:tcW w:w="3420" w:type="dxa"/>
            <w:gridSpan w:val="3"/>
            <w:noWrap w:val="0"/>
            <w:vAlign w:val="top"/>
          </w:tcPr>
          <w:p w14:paraId="23272D56">
            <w:pPr>
              <w:pageBreakBefore w:val="0"/>
              <w:kinsoku/>
              <w:bidi w:val="0"/>
              <w:spacing w:beforeAutospacing="0" w:afterAutospacing="0" w:line="360" w:lineRule="auto"/>
              <w:rPr>
                <w:rFonts w:hint="eastAsia" w:ascii="仿宋" w:hAnsi="仿宋" w:eastAsia="仿宋" w:cs="仿宋"/>
                <w:color w:val="auto"/>
                <w:sz w:val="24"/>
                <w:szCs w:val="24"/>
              </w:rPr>
            </w:pPr>
          </w:p>
        </w:tc>
        <w:tc>
          <w:tcPr>
            <w:tcW w:w="1261" w:type="dxa"/>
            <w:noWrap w:val="0"/>
            <w:vAlign w:val="top"/>
          </w:tcPr>
          <w:p w14:paraId="6D2175B4">
            <w:pPr>
              <w:pageBreakBefore w:val="0"/>
              <w:kinsoku/>
              <w:bidi w:val="0"/>
              <w:spacing w:beforeAutospacing="0" w:afterAutospacing="0" w:line="360" w:lineRule="auto"/>
              <w:rPr>
                <w:rFonts w:hint="eastAsia" w:ascii="仿宋" w:hAnsi="仿宋" w:eastAsia="仿宋" w:cs="仿宋"/>
                <w:color w:val="auto"/>
                <w:sz w:val="24"/>
                <w:szCs w:val="24"/>
              </w:rPr>
            </w:pPr>
          </w:p>
        </w:tc>
        <w:tc>
          <w:tcPr>
            <w:tcW w:w="3516" w:type="dxa"/>
            <w:gridSpan w:val="2"/>
            <w:noWrap w:val="0"/>
            <w:vAlign w:val="top"/>
          </w:tcPr>
          <w:p w14:paraId="7CFCD1C5">
            <w:pPr>
              <w:pageBreakBefore w:val="0"/>
              <w:kinsoku/>
              <w:bidi w:val="0"/>
              <w:spacing w:beforeAutospacing="0" w:afterAutospacing="0" w:line="360" w:lineRule="auto"/>
              <w:rPr>
                <w:rFonts w:hint="eastAsia" w:ascii="仿宋" w:hAnsi="仿宋" w:eastAsia="仿宋" w:cs="仿宋"/>
                <w:color w:val="auto"/>
                <w:sz w:val="24"/>
                <w:szCs w:val="24"/>
              </w:rPr>
            </w:pPr>
          </w:p>
        </w:tc>
      </w:tr>
      <w:tr w14:paraId="6704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noWrap w:val="0"/>
            <w:vAlign w:val="top"/>
          </w:tcPr>
          <w:p w14:paraId="4376B9A6">
            <w:pPr>
              <w:pageBreakBefore w:val="0"/>
              <w:kinsoku/>
              <w:bidi w:val="0"/>
              <w:spacing w:beforeAutospacing="0" w:afterAutospacing="0" w:line="360" w:lineRule="auto"/>
              <w:rPr>
                <w:rFonts w:hint="eastAsia" w:ascii="仿宋" w:hAnsi="仿宋" w:eastAsia="仿宋" w:cs="仿宋"/>
                <w:color w:val="auto"/>
                <w:sz w:val="24"/>
                <w:szCs w:val="24"/>
              </w:rPr>
            </w:pPr>
          </w:p>
        </w:tc>
        <w:tc>
          <w:tcPr>
            <w:tcW w:w="3420" w:type="dxa"/>
            <w:gridSpan w:val="3"/>
            <w:noWrap w:val="0"/>
            <w:vAlign w:val="top"/>
          </w:tcPr>
          <w:p w14:paraId="420726EC">
            <w:pPr>
              <w:pageBreakBefore w:val="0"/>
              <w:kinsoku/>
              <w:bidi w:val="0"/>
              <w:spacing w:beforeAutospacing="0" w:afterAutospacing="0" w:line="360" w:lineRule="auto"/>
              <w:rPr>
                <w:rFonts w:hint="eastAsia" w:ascii="仿宋" w:hAnsi="仿宋" w:eastAsia="仿宋" w:cs="仿宋"/>
                <w:color w:val="auto"/>
                <w:sz w:val="24"/>
                <w:szCs w:val="24"/>
              </w:rPr>
            </w:pPr>
          </w:p>
        </w:tc>
        <w:tc>
          <w:tcPr>
            <w:tcW w:w="1261" w:type="dxa"/>
            <w:noWrap w:val="0"/>
            <w:vAlign w:val="top"/>
          </w:tcPr>
          <w:p w14:paraId="25F46887">
            <w:pPr>
              <w:pageBreakBefore w:val="0"/>
              <w:kinsoku/>
              <w:bidi w:val="0"/>
              <w:spacing w:beforeAutospacing="0" w:afterAutospacing="0" w:line="360" w:lineRule="auto"/>
              <w:rPr>
                <w:rFonts w:hint="eastAsia" w:ascii="仿宋" w:hAnsi="仿宋" w:eastAsia="仿宋" w:cs="仿宋"/>
                <w:color w:val="auto"/>
                <w:sz w:val="24"/>
                <w:szCs w:val="24"/>
              </w:rPr>
            </w:pPr>
          </w:p>
        </w:tc>
        <w:tc>
          <w:tcPr>
            <w:tcW w:w="3516" w:type="dxa"/>
            <w:gridSpan w:val="2"/>
            <w:noWrap w:val="0"/>
            <w:vAlign w:val="top"/>
          </w:tcPr>
          <w:p w14:paraId="3C00B1C9">
            <w:pPr>
              <w:pageBreakBefore w:val="0"/>
              <w:kinsoku/>
              <w:bidi w:val="0"/>
              <w:spacing w:beforeAutospacing="0" w:afterAutospacing="0" w:line="360" w:lineRule="auto"/>
              <w:rPr>
                <w:rFonts w:hint="eastAsia" w:ascii="仿宋" w:hAnsi="仿宋" w:eastAsia="仿宋" w:cs="仿宋"/>
                <w:color w:val="auto"/>
                <w:sz w:val="24"/>
                <w:szCs w:val="24"/>
              </w:rPr>
            </w:pPr>
          </w:p>
        </w:tc>
      </w:tr>
      <w:tr w14:paraId="0932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noWrap w:val="0"/>
            <w:vAlign w:val="center"/>
          </w:tcPr>
          <w:p w14:paraId="4497478F">
            <w:pPr>
              <w:pageBreakBefore w:val="0"/>
              <w:kinsoku/>
              <w:bidi w:val="0"/>
              <w:spacing w:beforeAutospacing="0" w:afterAutospacing="0" w:line="360" w:lineRule="auto"/>
              <w:rPr>
                <w:rFonts w:hint="eastAsia" w:ascii="仿宋" w:hAnsi="仿宋" w:eastAsia="仿宋" w:cs="仿宋"/>
                <w:color w:val="auto"/>
                <w:sz w:val="24"/>
                <w:szCs w:val="24"/>
              </w:rPr>
            </w:pPr>
          </w:p>
        </w:tc>
        <w:tc>
          <w:tcPr>
            <w:tcW w:w="3420" w:type="dxa"/>
            <w:gridSpan w:val="3"/>
            <w:noWrap w:val="0"/>
            <w:vAlign w:val="center"/>
          </w:tcPr>
          <w:p w14:paraId="3F7A144D">
            <w:pPr>
              <w:pageBreakBefore w:val="0"/>
              <w:kinsoku/>
              <w:bidi w:val="0"/>
              <w:spacing w:beforeAutospacing="0" w:afterAutospacing="0" w:line="360" w:lineRule="auto"/>
              <w:rPr>
                <w:rFonts w:hint="eastAsia" w:ascii="仿宋" w:hAnsi="仿宋" w:eastAsia="仿宋" w:cs="仿宋"/>
                <w:color w:val="auto"/>
                <w:sz w:val="24"/>
                <w:szCs w:val="24"/>
              </w:rPr>
            </w:pPr>
          </w:p>
        </w:tc>
        <w:tc>
          <w:tcPr>
            <w:tcW w:w="1261" w:type="dxa"/>
            <w:noWrap w:val="0"/>
            <w:vAlign w:val="center"/>
          </w:tcPr>
          <w:p w14:paraId="441C8BB1">
            <w:pPr>
              <w:pageBreakBefore w:val="0"/>
              <w:kinsoku/>
              <w:bidi w:val="0"/>
              <w:spacing w:beforeAutospacing="0" w:afterAutospacing="0" w:line="360" w:lineRule="auto"/>
              <w:rPr>
                <w:rFonts w:hint="eastAsia" w:ascii="仿宋" w:hAnsi="仿宋" w:eastAsia="仿宋" w:cs="仿宋"/>
                <w:color w:val="auto"/>
                <w:sz w:val="24"/>
                <w:szCs w:val="24"/>
              </w:rPr>
            </w:pPr>
          </w:p>
        </w:tc>
        <w:tc>
          <w:tcPr>
            <w:tcW w:w="3516" w:type="dxa"/>
            <w:gridSpan w:val="2"/>
            <w:noWrap w:val="0"/>
            <w:vAlign w:val="center"/>
          </w:tcPr>
          <w:p w14:paraId="6D6ED61C">
            <w:pPr>
              <w:pageBreakBefore w:val="0"/>
              <w:kinsoku/>
              <w:bidi w:val="0"/>
              <w:spacing w:beforeAutospacing="0" w:afterAutospacing="0" w:line="360" w:lineRule="auto"/>
              <w:rPr>
                <w:rFonts w:hint="eastAsia" w:ascii="仿宋" w:hAnsi="仿宋" w:eastAsia="仿宋" w:cs="仿宋"/>
                <w:color w:val="auto"/>
                <w:sz w:val="24"/>
                <w:szCs w:val="24"/>
              </w:rPr>
            </w:pPr>
          </w:p>
        </w:tc>
      </w:tr>
      <w:tr w14:paraId="5D07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noWrap w:val="0"/>
            <w:vAlign w:val="center"/>
          </w:tcPr>
          <w:p w14:paraId="3F14E4F0">
            <w:pPr>
              <w:pageBreakBefore w:val="0"/>
              <w:kinsoku/>
              <w:bidi w:val="0"/>
              <w:spacing w:beforeAutospacing="0" w:afterAutospacing="0" w:line="360" w:lineRule="auto"/>
              <w:rPr>
                <w:rFonts w:hint="eastAsia" w:ascii="仿宋" w:hAnsi="仿宋" w:eastAsia="仿宋" w:cs="仿宋"/>
                <w:color w:val="auto"/>
                <w:sz w:val="24"/>
                <w:szCs w:val="24"/>
              </w:rPr>
            </w:pPr>
          </w:p>
        </w:tc>
        <w:tc>
          <w:tcPr>
            <w:tcW w:w="3420" w:type="dxa"/>
            <w:gridSpan w:val="3"/>
            <w:noWrap w:val="0"/>
            <w:vAlign w:val="center"/>
          </w:tcPr>
          <w:p w14:paraId="75E45FE5">
            <w:pPr>
              <w:pageBreakBefore w:val="0"/>
              <w:kinsoku/>
              <w:bidi w:val="0"/>
              <w:spacing w:beforeAutospacing="0" w:afterAutospacing="0" w:line="360" w:lineRule="auto"/>
              <w:rPr>
                <w:rFonts w:hint="eastAsia" w:ascii="仿宋" w:hAnsi="仿宋" w:eastAsia="仿宋" w:cs="仿宋"/>
                <w:color w:val="auto"/>
                <w:sz w:val="24"/>
                <w:szCs w:val="24"/>
              </w:rPr>
            </w:pPr>
          </w:p>
        </w:tc>
        <w:tc>
          <w:tcPr>
            <w:tcW w:w="1261" w:type="dxa"/>
            <w:noWrap w:val="0"/>
            <w:vAlign w:val="center"/>
          </w:tcPr>
          <w:p w14:paraId="5E726C8F">
            <w:pPr>
              <w:pageBreakBefore w:val="0"/>
              <w:kinsoku/>
              <w:bidi w:val="0"/>
              <w:spacing w:beforeAutospacing="0" w:afterAutospacing="0" w:line="360" w:lineRule="auto"/>
              <w:rPr>
                <w:rFonts w:hint="eastAsia" w:ascii="仿宋" w:hAnsi="仿宋" w:eastAsia="仿宋" w:cs="仿宋"/>
                <w:color w:val="auto"/>
                <w:sz w:val="24"/>
                <w:szCs w:val="24"/>
              </w:rPr>
            </w:pPr>
          </w:p>
        </w:tc>
        <w:tc>
          <w:tcPr>
            <w:tcW w:w="3516" w:type="dxa"/>
            <w:gridSpan w:val="2"/>
            <w:noWrap w:val="0"/>
            <w:vAlign w:val="center"/>
          </w:tcPr>
          <w:p w14:paraId="3F457CAD">
            <w:pPr>
              <w:pageBreakBefore w:val="0"/>
              <w:kinsoku/>
              <w:bidi w:val="0"/>
              <w:spacing w:beforeAutospacing="0" w:afterAutospacing="0" w:line="360" w:lineRule="auto"/>
              <w:rPr>
                <w:rFonts w:hint="eastAsia" w:ascii="仿宋" w:hAnsi="仿宋" w:eastAsia="仿宋" w:cs="仿宋"/>
                <w:color w:val="auto"/>
                <w:sz w:val="24"/>
                <w:szCs w:val="24"/>
              </w:rPr>
            </w:pPr>
          </w:p>
        </w:tc>
      </w:tr>
      <w:tr w14:paraId="3B5C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noWrap w:val="0"/>
            <w:vAlign w:val="center"/>
          </w:tcPr>
          <w:p w14:paraId="458196AF">
            <w:pPr>
              <w:pageBreakBefore w:val="0"/>
              <w:kinsoku/>
              <w:bidi w:val="0"/>
              <w:spacing w:beforeAutospacing="0" w:afterAutospacing="0" w:line="360" w:lineRule="auto"/>
              <w:rPr>
                <w:rFonts w:hint="eastAsia" w:ascii="仿宋" w:hAnsi="仿宋" w:eastAsia="仿宋" w:cs="仿宋"/>
                <w:color w:val="auto"/>
                <w:sz w:val="24"/>
                <w:szCs w:val="24"/>
              </w:rPr>
            </w:pPr>
          </w:p>
        </w:tc>
        <w:tc>
          <w:tcPr>
            <w:tcW w:w="3420" w:type="dxa"/>
            <w:gridSpan w:val="3"/>
            <w:noWrap w:val="0"/>
            <w:vAlign w:val="center"/>
          </w:tcPr>
          <w:p w14:paraId="61F1D527">
            <w:pPr>
              <w:pageBreakBefore w:val="0"/>
              <w:kinsoku/>
              <w:bidi w:val="0"/>
              <w:spacing w:beforeAutospacing="0" w:afterAutospacing="0" w:line="360" w:lineRule="auto"/>
              <w:rPr>
                <w:rFonts w:hint="eastAsia" w:ascii="仿宋" w:hAnsi="仿宋" w:eastAsia="仿宋" w:cs="仿宋"/>
                <w:color w:val="auto"/>
                <w:sz w:val="24"/>
                <w:szCs w:val="24"/>
              </w:rPr>
            </w:pPr>
          </w:p>
        </w:tc>
        <w:tc>
          <w:tcPr>
            <w:tcW w:w="1261" w:type="dxa"/>
            <w:noWrap w:val="0"/>
            <w:vAlign w:val="center"/>
          </w:tcPr>
          <w:p w14:paraId="272F5A89">
            <w:pPr>
              <w:pageBreakBefore w:val="0"/>
              <w:kinsoku/>
              <w:bidi w:val="0"/>
              <w:spacing w:beforeAutospacing="0" w:afterAutospacing="0" w:line="360" w:lineRule="auto"/>
              <w:rPr>
                <w:rFonts w:hint="eastAsia" w:ascii="仿宋" w:hAnsi="仿宋" w:eastAsia="仿宋" w:cs="仿宋"/>
                <w:color w:val="auto"/>
                <w:sz w:val="24"/>
                <w:szCs w:val="24"/>
              </w:rPr>
            </w:pPr>
          </w:p>
        </w:tc>
        <w:tc>
          <w:tcPr>
            <w:tcW w:w="3516" w:type="dxa"/>
            <w:gridSpan w:val="2"/>
            <w:noWrap w:val="0"/>
            <w:vAlign w:val="center"/>
          </w:tcPr>
          <w:p w14:paraId="4A288219">
            <w:pPr>
              <w:pageBreakBefore w:val="0"/>
              <w:kinsoku/>
              <w:bidi w:val="0"/>
              <w:spacing w:beforeAutospacing="0" w:afterAutospacing="0" w:line="360" w:lineRule="auto"/>
              <w:rPr>
                <w:rFonts w:hint="eastAsia" w:ascii="仿宋" w:hAnsi="仿宋" w:eastAsia="仿宋" w:cs="仿宋"/>
                <w:color w:val="auto"/>
                <w:sz w:val="24"/>
                <w:szCs w:val="24"/>
              </w:rPr>
            </w:pPr>
          </w:p>
        </w:tc>
      </w:tr>
      <w:tr w14:paraId="01C7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noWrap w:val="0"/>
            <w:vAlign w:val="center"/>
          </w:tcPr>
          <w:p w14:paraId="4D476369">
            <w:pPr>
              <w:pageBreakBefore w:val="0"/>
              <w:kinsoku/>
              <w:bidi w:val="0"/>
              <w:spacing w:beforeAutospacing="0" w:afterAutospacing="0" w:line="360" w:lineRule="auto"/>
              <w:rPr>
                <w:rFonts w:hint="eastAsia" w:ascii="仿宋" w:hAnsi="仿宋" w:eastAsia="仿宋" w:cs="仿宋"/>
                <w:color w:val="auto"/>
                <w:sz w:val="24"/>
                <w:szCs w:val="24"/>
              </w:rPr>
            </w:pPr>
          </w:p>
        </w:tc>
        <w:tc>
          <w:tcPr>
            <w:tcW w:w="3420" w:type="dxa"/>
            <w:gridSpan w:val="3"/>
            <w:noWrap w:val="0"/>
            <w:vAlign w:val="center"/>
          </w:tcPr>
          <w:p w14:paraId="308EA006">
            <w:pPr>
              <w:pageBreakBefore w:val="0"/>
              <w:kinsoku/>
              <w:bidi w:val="0"/>
              <w:spacing w:beforeAutospacing="0" w:afterAutospacing="0" w:line="360" w:lineRule="auto"/>
              <w:rPr>
                <w:rFonts w:hint="eastAsia" w:ascii="仿宋" w:hAnsi="仿宋" w:eastAsia="仿宋" w:cs="仿宋"/>
                <w:color w:val="auto"/>
                <w:sz w:val="24"/>
                <w:szCs w:val="24"/>
              </w:rPr>
            </w:pPr>
          </w:p>
        </w:tc>
        <w:tc>
          <w:tcPr>
            <w:tcW w:w="1261" w:type="dxa"/>
            <w:noWrap w:val="0"/>
            <w:vAlign w:val="center"/>
          </w:tcPr>
          <w:p w14:paraId="1FF7BC42">
            <w:pPr>
              <w:pageBreakBefore w:val="0"/>
              <w:kinsoku/>
              <w:bidi w:val="0"/>
              <w:spacing w:beforeAutospacing="0" w:afterAutospacing="0" w:line="360" w:lineRule="auto"/>
              <w:rPr>
                <w:rFonts w:hint="eastAsia" w:ascii="仿宋" w:hAnsi="仿宋" w:eastAsia="仿宋" w:cs="仿宋"/>
                <w:color w:val="auto"/>
                <w:sz w:val="24"/>
                <w:szCs w:val="24"/>
              </w:rPr>
            </w:pPr>
          </w:p>
        </w:tc>
        <w:tc>
          <w:tcPr>
            <w:tcW w:w="3516" w:type="dxa"/>
            <w:gridSpan w:val="2"/>
            <w:noWrap w:val="0"/>
            <w:vAlign w:val="center"/>
          </w:tcPr>
          <w:p w14:paraId="502ADDF9">
            <w:pPr>
              <w:pageBreakBefore w:val="0"/>
              <w:kinsoku/>
              <w:bidi w:val="0"/>
              <w:spacing w:beforeAutospacing="0" w:afterAutospacing="0" w:line="360" w:lineRule="auto"/>
              <w:rPr>
                <w:rFonts w:hint="eastAsia" w:ascii="仿宋" w:hAnsi="仿宋" w:eastAsia="仿宋" w:cs="仿宋"/>
                <w:color w:val="auto"/>
                <w:sz w:val="24"/>
                <w:szCs w:val="24"/>
              </w:rPr>
            </w:pPr>
          </w:p>
        </w:tc>
      </w:tr>
    </w:tbl>
    <w:p w14:paraId="0D73A319">
      <w:pPr>
        <w:pageBreakBefore w:val="0"/>
        <w:numPr>
          <w:ilvl w:val="0"/>
          <w:numId w:val="0"/>
        </w:numPr>
        <w:kinsoku/>
        <w:bidi w:val="0"/>
        <w:spacing w:beforeAutospacing="0" w:afterAutospacing="0" w:line="360" w:lineRule="auto"/>
        <w:ind w:leftChars="0"/>
        <w:jc w:val="center"/>
        <w:outlineLvl w:val="9"/>
        <w:rPr>
          <w:rFonts w:hint="eastAsia" w:ascii="仿宋" w:hAnsi="仿宋" w:eastAsia="仿宋" w:cs="仿宋"/>
          <w:b/>
          <w:bCs/>
          <w:color w:val="auto"/>
          <w:sz w:val="21"/>
          <w:szCs w:val="21"/>
          <w:lang w:eastAsia="zh-CN"/>
        </w:rPr>
      </w:pPr>
    </w:p>
    <w:p w14:paraId="5B415E70">
      <w:pPr>
        <w:pStyle w:val="34"/>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textAlignment w:val="auto"/>
        <w:rPr>
          <w:rFonts w:hint="eastAsia" w:ascii="仿宋" w:hAnsi="仿宋" w:eastAsia="仿宋" w:cs="仿宋"/>
          <w:color w:val="auto"/>
          <w:lang w:eastAsia="zh-CN"/>
        </w:rPr>
      </w:pPr>
      <w:r>
        <w:rPr>
          <w:rFonts w:hint="eastAsia" w:ascii="仿宋" w:hAnsi="仿宋" w:eastAsia="仿宋" w:cs="仿宋"/>
          <w:color w:val="auto"/>
          <w:szCs w:val="21"/>
          <w:lang w:val="en-US" w:eastAsia="zh-CN"/>
        </w:rPr>
        <w:t>备注：</w:t>
      </w:r>
      <w:r>
        <w:rPr>
          <w:rFonts w:hint="eastAsia" w:ascii="仿宋" w:hAnsi="仿宋" w:eastAsia="仿宋" w:cs="仿宋"/>
          <w:color w:val="auto"/>
        </w:rPr>
        <w:t>“主要人员简历表”中总监理工程师应附身份证、</w:t>
      </w:r>
      <w:r>
        <w:rPr>
          <w:rFonts w:hint="eastAsia" w:ascii="仿宋" w:hAnsi="仿宋" w:eastAsia="仿宋" w:cs="仿宋"/>
          <w:color w:val="auto"/>
          <w:lang w:eastAsia="zh-CN"/>
        </w:rPr>
        <w:t>学历证</w:t>
      </w:r>
      <w:r>
        <w:rPr>
          <w:rFonts w:hint="eastAsia" w:ascii="仿宋" w:hAnsi="仿宋" w:eastAsia="仿宋" w:cs="仿宋"/>
          <w:color w:val="auto"/>
        </w:rPr>
        <w:t>、职称证</w:t>
      </w:r>
      <w:r>
        <w:rPr>
          <w:rFonts w:hint="eastAsia" w:ascii="仿宋" w:hAnsi="仿宋" w:eastAsia="仿宋" w:cs="仿宋"/>
          <w:color w:val="auto"/>
          <w:lang w:eastAsia="zh-CN"/>
        </w:rPr>
        <w:t>（如有）</w:t>
      </w:r>
      <w:r>
        <w:rPr>
          <w:rFonts w:hint="eastAsia" w:ascii="仿宋" w:hAnsi="仿宋" w:eastAsia="仿宋" w:cs="仿宋"/>
          <w:color w:val="auto"/>
        </w:rPr>
        <w:t>、监理工程师注册证书</w:t>
      </w:r>
      <w:r>
        <w:rPr>
          <w:rFonts w:hint="eastAsia" w:ascii="仿宋" w:hAnsi="仿宋" w:eastAsia="仿宋" w:cs="仿宋"/>
          <w:color w:val="auto"/>
          <w:lang w:val="en-US" w:eastAsia="zh-CN"/>
        </w:rPr>
        <w:t>等证件扫描件</w:t>
      </w:r>
      <w:r>
        <w:rPr>
          <w:rFonts w:hint="eastAsia" w:ascii="仿宋" w:hAnsi="仿宋" w:eastAsia="仿宋" w:cs="仿宋"/>
          <w:color w:val="auto"/>
        </w:rPr>
        <w:t>；其他主要人员应附身份证、</w:t>
      </w:r>
      <w:r>
        <w:rPr>
          <w:rFonts w:hint="eastAsia" w:ascii="仿宋" w:hAnsi="仿宋" w:eastAsia="仿宋" w:cs="仿宋"/>
          <w:color w:val="auto"/>
          <w:lang w:eastAsia="zh-CN"/>
        </w:rPr>
        <w:t>学历证</w:t>
      </w:r>
      <w:r>
        <w:rPr>
          <w:rFonts w:hint="eastAsia" w:ascii="仿宋" w:hAnsi="仿宋" w:eastAsia="仿宋" w:cs="仿宋"/>
          <w:color w:val="auto"/>
        </w:rPr>
        <w:t>、职称证</w:t>
      </w:r>
      <w:r>
        <w:rPr>
          <w:rFonts w:hint="eastAsia" w:ascii="仿宋" w:hAnsi="仿宋" w:eastAsia="仿宋" w:cs="仿宋"/>
          <w:color w:val="auto"/>
          <w:lang w:eastAsia="zh-CN"/>
        </w:rPr>
        <w:t>（如有）</w:t>
      </w:r>
      <w:r>
        <w:rPr>
          <w:rFonts w:hint="eastAsia" w:ascii="仿宋" w:hAnsi="仿宋" w:eastAsia="仿宋" w:cs="仿宋"/>
          <w:color w:val="auto"/>
        </w:rPr>
        <w:t>、有关证书</w:t>
      </w:r>
      <w:r>
        <w:rPr>
          <w:rFonts w:hint="eastAsia" w:ascii="仿宋" w:hAnsi="仿宋" w:eastAsia="仿宋" w:cs="仿宋"/>
          <w:color w:val="auto"/>
          <w:lang w:val="en-US" w:eastAsia="zh-CN"/>
        </w:rPr>
        <w:t>等证件扫描件</w:t>
      </w:r>
      <w:r>
        <w:rPr>
          <w:rFonts w:hint="eastAsia" w:ascii="仿宋" w:hAnsi="仿宋" w:eastAsia="仿宋" w:cs="仿宋"/>
          <w:color w:val="auto"/>
        </w:rPr>
        <w:t>。</w:t>
      </w:r>
    </w:p>
    <w:p w14:paraId="385DE267">
      <w:pPr>
        <w:pStyle w:val="3"/>
        <w:pageBreakBefore w:val="0"/>
        <w:kinsoku/>
        <w:bidi w:val="0"/>
        <w:spacing w:before="0" w:beforeAutospacing="0" w:after="0" w:afterAutospacing="0" w:line="360" w:lineRule="auto"/>
        <w:ind w:left="0" w:leftChars="0" w:firstLine="0" w:firstLineChars="0"/>
        <w:rPr>
          <w:rFonts w:hint="eastAsia" w:ascii="仿宋" w:hAnsi="仿宋" w:eastAsia="仿宋" w:cs="仿宋"/>
          <w:color w:val="auto"/>
          <w:lang w:eastAsia="zh-CN"/>
        </w:rPr>
      </w:pPr>
    </w:p>
    <w:p w14:paraId="7D68681D">
      <w:pPr>
        <w:pageBreakBefore w:val="0"/>
        <w:kinsoku/>
        <w:bidi w:val="0"/>
        <w:spacing w:beforeAutospacing="0" w:afterAutospacing="0" w:line="360" w:lineRule="auto"/>
        <w:rPr>
          <w:rFonts w:hint="eastAsia" w:ascii="仿宋" w:hAnsi="仿宋" w:eastAsia="仿宋" w:cs="仿宋"/>
          <w:color w:val="auto"/>
          <w:lang w:eastAsia="zh-CN"/>
        </w:rPr>
      </w:pPr>
    </w:p>
    <w:p w14:paraId="34D49401">
      <w:pPr>
        <w:pStyle w:val="3"/>
        <w:pageBreakBefore w:val="0"/>
        <w:kinsoku/>
        <w:bidi w:val="0"/>
        <w:spacing w:before="0" w:beforeAutospacing="0" w:after="0" w:afterAutospacing="0" w:line="360" w:lineRule="auto"/>
        <w:rPr>
          <w:rFonts w:hint="eastAsia" w:ascii="仿宋" w:hAnsi="仿宋" w:eastAsia="仿宋" w:cs="仿宋"/>
          <w:color w:val="auto"/>
          <w:lang w:eastAsia="zh-CN"/>
        </w:rPr>
      </w:pPr>
    </w:p>
    <w:p w14:paraId="12A9B562">
      <w:pPr>
        <w:pageBreakBefore w:val="0"/>
        <w:kinsoku/>
        <w:bidi w:val="0"/>
        <w:spacing w:beforeAutospacing="0" w:afterAutospacing="0" w:line="360" w:lineRule="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br w:type="page"/>
      </w:r>
    </w:p>
    <w:p w14:paraId="6AC14536">
      <w:pPr>
        <w:pStyle w:val="70"/>
        <w:pageBreakBefore w:val="0"/>
        <w:kinsoku/>
        <w:bidi w:val="0"/>
        <w:snapToGrid w:val="0"/>
        <w:spacing w:beforeAutospacing="0" w:afterAutospacing="0" w:line="360" w:lineRule="auto"/>
        <w:jc w:val="center"/>
        <w:textAlignment w:val="auto"/>
        <w:rPr>
          <w:rFonts w:hint="eastAsia" w:ascii="仿宋" w:hAnsi="仿宋" w:eastAsia="仿宋" w:cs="仿宋"/>
          <w:b/>
          <w:bCs/>
          <w:color w:val="auto"/>
          <w:spacing w:val="6"/>
          <w:kern w:val="2"/>
          <w:sz w:val="24"/>
          <w:szCs w:val="24"/>
          <w:lang w:val="en-US" w:eastAsia="zh-CN" w:bidi="ar-SA"/>
        </w:rPr>
      </w:pPr>
      <w:r>
        <w:rPr>
          <w:rFonts w:hint="eastAsia" w:ascii="仿宋" w:hAnsi="仿宋" w:eastAsia="仿宋" w:cs="仿宋"/>
          <w:b/>
          <w:bCs/>
          <w:color w:val="auto"/>
          <w:spacing w:val="6"/>
          <w:kern w:val="2"/>
          <w:sz w:val="24"/>
          <w:szCs w:val="24"/>
          <w:lang w:val="en-US" w:eastAsia="zh-CN" w:bidi="ar-SA"/>
        </w:rPr>
        <w:t>五、近三年同类型业绩</w:t>
      </w:r>
    </w:p>
    <w:p w14:paraId="5A323C5F">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近年完成的类似项目情况表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3EE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0DCE464">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1EC3063">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0A89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04C7821">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项目所在地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3E813EF">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4D9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2C1089E">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CA2E224">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3E42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EDCCF6B">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委托人地址</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54418C7">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42C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2DA55143">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委托人电话</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E2E51CF">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009F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CC7C205">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合同价格</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D262127">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1990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4F78DEB">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监理服务期限</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4F4C58C">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590E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6657B7A">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监理内容</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48AC2DD">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3154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B8A9218">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总监理工程师</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9533BFD">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0D21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FA81555">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项目描述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0EDB11F">
            <w:pPr>
              <w:pageBreakBefore w:val="0"/>
              <w:kinsoku/>
              <w:topLinePunct/>
              <w:bidi w:val="0"/>
              <w:spacing w:beforeAutospacing="0" w:afterAutospacing="0" w:line="360" w:lineRule="auto"/>
              <w:rPr>
                <w:rFonts w:hint="eastAsia" w:ascii="仿宋" w:hAnsi="仿宋" w:eastAsia="仿宋" w:cs="仿宋"/>
                <w:color w:val="auto"/>
                <w:sz w:val="24"/>
                <w:szCs w:val="24"/>
              </w:rPr>
            </w:pPr>
          </w:p>
          <w:p w14:paraId="69ADE768">
            <w:pPr>
              <w:pageBreakBefore w:val="0"/>
              <w:kinsoku/>
              <w:topLinePunct/>
              <w:bidi w:val="0"/>
              <w:spacing w:beforeAutospacing="0" w:afterAutospacing="0" w:line="360" w:lineRule="auto"/>
              <w:rPr>
                <w:rFonts w:hint="eastAsia" w:ascii="仿宋" w:hAnsi="仿宋" w:eastAsia="仿宋" w:cs="仿宋"/>
                <w:color w:val="auto"/>
                <w:sz w:val="24"/>
                <w:szCs w:val="24"/>
              </w:rPr>
            </w:pPr>
          </w:p>
          <w:p w14:paraId="270C628A">
            <w:pPr>
              <w:pageBreakBefore w:val="0"/>
              <w:kinsoku/>
              <w:topLinePunct/>
              <w:bidi w:val="0"/>
              <w:spacing w:beforeAutospacing="0" w:afterAutospacing="0" w:line="360" w:lineRule="auto"/>
              <w:rPr>
                <w:rFonts w:hint="eastAsia" w:ascii="仿宋" w:hAnsi="仿宋" w:eastAsia="仿宋" w:cs="仿宋"/>
                <w:color w:val="auto"/>
                <w:sz w:val="24"/>
                <w:szCs w:val="24"/>
              </w:rPr>
            </w:pPr>
          </w:p>
          <w:p w14:paraId="317C3B98">
            <w:pPr>
              <w:pageBreakBefore w:val="0"/>
              <w:kinsoku/>
              <w:topLinePunct/>
              <w:bidi w:val="0"/>
              <w:spacing w:beforeAutospacing="0" w:afterAutospacing="0" w:line="360" w:lineRule="auto"/>
              <w:rPr>
                <w:rFonts w:hint="eastAsia" w:ascii="仿宋" w:hAnsi="仿宋" w:eastAsia="仿宋" w:cs="仿宋"/>
                <w:color w:val="auto"/>
                <w:sz w:val="24"/>
                <w:szCs w:val="24"/>
              </w:rPr>
            </w:pPr>
          </w:p>
          <w:p w14:paraId="044929E3">
            <w:pPr>
              <w:pageBreakBefore w:val="0"/>
              <w:kinsoku/>
              <w:topLinePunct/>
              <w:bidi w:val="0"/>
              <w:spacing w:beforeAutospacing="0" w:afterAutospacing="0" w:line="360" w:lineRule="auto"/>
              <w:rPr>
                <w:rFonts w:hint="eastAsia" w:ascii="仿宋" w:hAnsi="仿宋" w:eastAsia="仿宋" w:cs="仿宋"/>
                <w:color w:val="auto"/>
                <w:sz w:val="24"/>
                <w:szCs w:val="24"/>
              </w:rPr>
            </w:pPr>
          </w:p>
          <w:p w14:paraId="6559FBF0">
            <w:pPr>
              <w:pageBreakBefore w:val="0"/>
              <w:kinsoku/>
              <w:topLinePunct/>
              <w:bidi w:val="0"/>
              <w:spacing w:beforeAutospacing="0" w:afterAutospacing="0" w:line="360" w:lineRule="auto"/>
              <w:rPr>
                <w:rFonts w:hint="eastAsia" w:ascii="仿宋" w:hAnsi="仿宋" w:eastAsia="仿宋" w:cs="仿宋"/>
                <w:color w:val="auto"/>
                <w:sz w:val="24"/>
                <w:szCs w:val="24"/>
              </w:rPr>
            </w:pPr>
          </w:p>
          <w:p w14:paraId="3E4B5C74">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4704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48855EB">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786F463">
            <w:pPr>
              <w:pageBreakBefore w:val="0"/>
              <w:kinsoku/>
              <w:topLinePunct/>
              <w:bidi w:val="0"/>
              <w:spacing w:beforeAutospacing="0" w:afterAutospacing="0" w:line="360" w:lineRule="auto"/>
              <w:rPr>
                <w:rFonts w:hint="eastAsia" w:ascii="仿宋" w:hAnsi="仿宋" w:eastAsia="仿宋" w:cs="仿宋"/>
                <w:color w:val="auto"/>
                <w:sz w:val="24"/>
                <w:szCs w:val="24"/>
              </w:rPr>
            </w:pPr>
          </w:p>
        </w:tc>
      </w:tr>
    </w:tbl>
    <w:p w14:paraId="742AF426">
      <w:pPr>
        <w:pStyle w:val="34"/>
        <w:pageBreakBefore w:val="0"/>
        <w:kinsoku/>
        <w:bidi w:val="0"/>
        <w:spacing w:beforeAutospacing="0" w:after="0" w:afterAutospacing="0" w:line="360" w:lineRule="auto"/>
        <w:rPr>
          <w:rFonts w:hint="eastAsia" w:ascii="仿宋" w:hAnsi="仿宋" w:eastAsia="仿宋" w:cs="仿宋"/>
          <w:color w:val="auto"/>
        </w:rPr>
      </w:pPr>
    </w:p>
    <w:p w14:paraId="1371A8B2">
      <w:pPr>
        <w:pageBreakBefore w:val="0"/>
        <w:kinsoku/>
        <w:bidi w:val="0"/>
        <w:spacing w:beforeAutospacing="0" w:afterAutospacing="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备注：</w:t>
      </w:r>
      <w:r>
        <w:rPr>
          <w:rFonts w:hint="eastAsia" w:ascii="仿宋" w:hAnsi="仿宋" w:eastAsia="仿宋" w:cs="仿宋"/>
          <w:color w:val="auto"/>
          <w:szCs w:val="21"/>
        </w:rPr>
        <w:t>本表后附中标（成交）通知书、合同（协议书）、工程接收证书（工程竣工验收证书）的扫描件。每张表格只填写一个项目，并标明序号。</w:t>
      </w:r>
    </w:p>
    <w:p w14:paraId="49568F14">
      <w:pPr>
        <w:pStyle w:val="23"/>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lang w:eastAsia="zh-CN"/>
        </w:rPr>
      </w:pPr>
    </w:p>
    <w:p w14:paraId="54765851">
      <w:pPr>
        <w:pStyle w:val="23"/>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lang w:eastAsia="zh-CN"/>
        </w:rPr>
      </w:pPr>
    </w:p>
    <w:p w14:paraId="1115DF29">
      <w:pPr>
        <w:pStyle w:val="23"/>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lang w:eastAsia="zh-CN"/>
        </w:rPr>
      </w:pPr>
    </w:p>
    <w:p w14:paraId="6D178B75">
      <w:pPr>
        <w:pStyle w:val="23"/>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lang w:eastAsia="zh-CN"/>
        </w:rPr>
      </w:pPr>
    </w:p>
    <w:p w14:paraId="52284D28">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86EFB7A">
      <w:pPr>
        <w:pageBreakBefore w:val="0"/>
        <w:kinsoku/>
        <w:bidi w:val="0"/>
        <w:spacing w:beforeAutospacing="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总监理工程师</w:t>
      </w:r>
      <w:r>
        <w:rPr>
          <w:rFonts w:hint="eastAsia" w:ascii="仿宋" w:hAnsi="仿宋" w:eastAsia="仿宋" w:cs="仿宋"/>
          <w:color w:val="auto"/>
          <w:sz w:val="24"/>
          <w:szCs w:val="24"/>
        </w:rPr>
        <w:t>近年完成的类似项目情况表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693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4060C68">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13DC7F2">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5754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EF36440">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项目所在地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744B0C0">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2111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297B0782">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5A2C86F">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11A2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E7A8C84">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委托人地址</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1C41114">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7729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05932C7">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委托人电话</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E1778FD">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4C27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011B04E">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合同价格</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31BD654">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0352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1DA565F">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监理服务期限</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4E8DBF10">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0C06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3A28738">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监理内容</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687F75A">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47F4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7D7B1FF">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总监理工程师</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4BB8EBE">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3C1E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161A2895">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项目描述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F9E650D">
            <w:pPr>
              <w:pageBreakBefore w:val="0"/>
              <w:kinsoku/>
              <w:topLinePunct/>
              <w:bidi w:val="0"/>
              <w:spacing w:beforeAutospacing="0" w:afterAutospacing="0" w:line="360" w:lineRule="auto"/>
              <w:rPr>
                <w:rFonts w:hint="eastAsia" w:ascii="仿宋" w:hAnsi="仿宋" w:eastAsia="仿宋" w:cs="仿宋"/>
                <w:color w:val="auto"/>
                <w:sz w:val="24"/>
                <w:szCs w:val="24"/>
              </w:rPr>
            </w:pPr>
          </w:p>
          <w:p w14:paraId="349FF498">
            <w:pPr>
              <w:pageBreakBefore w:val="0"/>
              <w:kinsoku/>
              <w:topLinePunct/>
              <w:bidi w:val="0"/>
              <w:spacing w:beforeAutospacing="0" w:afterAutospacing="0" w:line="360" w:lineRule="auto"/>
              <w:rPr>
                <w:rFonts w:hint="eastAsia" w:ascii="仿宋" w:hAnsi="仿宋" w:eastAsia="仿宋" w:cs="仿宋"/>
                <w:color w:val="auto"/>
                <w:sz w:val="24"/>
                <w:szCs w:val="24"/>
              </w:rPr>
            </w:pPr>
          </w:p>
          <w:p w14:paraId="16028C05">
            <w:pPr>
              <w:pageBreakBefore w:val="0"/>
              <w:kinsoku/>
              <w:topLinePunct/>
              <w:bidi w:val="0"/>
              <w:spacing w:beforeAutospacing="0" w:afterAutospacing="0" w:line="360" w:lineRule="auto"/>
              <w:rPr>
                <w:rFonts w:hint="eastAsia" w:ascii="仿宋" w:hAnsi="仿宋" w:eastAsia="仿宋" w:cs="仿宋"/>
                <w:color w:val="auto"/>
                <w:sz w:val="24"/>
                <w:szCs w:val="24"/>
              </w:rPr>
            </w:pPr>
          </w:p>
          <w:p w14:paraId="7F78BA8F">
            <w:pPr>
              <w:pageBreakBefore w:val="0"/>
              <w:kinsoku/>
              <w:topLinePunct/>
              <w:bidi w:val="0"/>
              <w:spacing w:beforeAutospacing="0" w:afterAutospacing="0" w:line="360" w:lineRule="auto"/>
              <w:rPr>
                <w:rFonts w:hint="eastAsia" w:ascii="仿宋" w:hAnsi="仿宋" w:eastAsia="仿宋" w:cs="仿宋"/>
                <w:color w:val="auto"/>
                <w:sz w:val="24"/>
                <w:szCs w:val="24"/>
              </w:rPr>
            </w:pPr>
          </w:p>
          <w:p w14:paraId="7A719704">
            <w:pPr>
              <w:pageBreakBefore w:val="0"/>
              <w:kinsoku/>
              <w:topLinePunct/>
              <w:bidi w:val="0"/>
              <w:spacing w:beforeAutospacing="0" w:afterAutospacing="0" w:line="360" w:lineRule="auto"/>
              <w:rPr>
                <w:rFonts w:hint="eastAsia" w:ascii="仿宋" w:hAnsi="仿宋" w:eastAsia="仿宋" w:cs="仿宋"/>
                <w:color w:val="auto"/>
                <w:sz w:val="24"/>
                <w:szCs w:val="24"/>
              </w:rPr>
            </w:pPr>
          </w:p>
          <w:p w14:paraId="262626A5">
            <w:pPr>
              <w:pageBreakBefore w:val="0"/>
              <w:kinsoku/>
              <w:topLinePunct/>
              <w:bidi w:val="0"/>
              <w:spacing w:beforeAutospacing="0" w:afterAutospacing="0" w:line="360" w:lineRule="auto"/>
              <w:rPr>
                <w:rFonts w:hint="eastAsia" w:ascii="仿宋" w:hAnsi="仿宋" w:eastAsia="仿宋" w:cs="仿宋"/>
                <w:color w:val="auto"/>
                <w:sz w:val="24"/>
                <w:szCs w:val="24"/>
              </w:rPr>
            </w:pPr>
          </w:p>
          <w:p w14:paraId="6ED65499">
            <w:pPr>
              <w:pageBreakBefore w:val="0"/>
              <w:kinsoku/>
              <w:topLinePunct/>
              <w:bidi w:val="0"/>
              <w:spacing w:beforeAutospacing="0" w:afterAutospacing="0" w:line="360" w:lineRule="auto"/>
              <w:rPr>
                <w:rFonts w:hint="eastAsia" w:ascii="仿宋" w:hAnsi="仿宋" w:eastAsia="仿宋" w:cs="仿宋"/>
                <w:color w:val="auto"/>
                <w:sz w:val="24"/>
                <w:szCs w:val="24"/>
              </w:rPr>
            </w:pPr>
          </w:p>
        </w:tc>
      </w:tr>
      <w:tr w14:paraId="449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26EDF59D">
            <w:pPr>
              <w:pageBreakBefore w:val="0"/>
              <w:kinsoku/>
              <w:topLinePunct/>
              <w:bidi w:val="0"/>
              <w:spacing w:beforeAutospacing="0" w:afterAutospacing="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6A16241">
            <w:pPr>
              <w:pageBreakBefore w:val="0"/>
              <w:kinsoku/>
              <w:topLinePunct/>
              <w:bidi w:val="0"/>
              <w:spacing w:beforeAutospacing="0" w:afterAutospacing="0" w:line="360" w:lineRule="auto"/>
              <w:rPr>
                <w:rFonts w:hint="eastAsia" w:ascii="仿宋" w:hAnsi="仿宋" w:eastAsia="仿宋" w:cs="仿宋"/>
                <w:color w:val="auto"/>
                <w:sz w:val="24"/>
                <w:szCs w:val="24"/>
              </w:rPr>
            </w:pPr>
          </w:p>
        </w:tc>
      </w:tr>
    </w:tbl>
    <w:p w14:paraId="742A92B3">
      <w:pPr>
        <w:pageBreakBefore w:val="0"/>
        <w:kinsoku/>
        <w:bidi w:val="0"/>
        <w:spacing w:beforeAutospacing="0" w:afterAutospacing="0" w:line="360" w:lineRule="auto"/>
        <w:jc w:val="left"/>
        <w:rPr>
          <w:rFonts w:hint="eastAsia" w:ascii="仿宋" w:hAnsi="仿宋" w:eastAsia="仿宋" w:cs="仿宋"/>
          <w:color w:val="auto"/>
          <w:szCs w:val="21"/>
          <w:lang w:val="en-US" w:eastAsia="zh-CN"/>
        </w:rPr>
      </w:pPr>
    </w:p>
    <w:p w14:paraId="5589C0E5">
      <w:pPr>
        <w:pageBreakBefore w:val="0"/>
        <w:kinsoku/>
        <w:bidi w:val="0"/>
        <w:spacing w:beforeAutospacing="0" w:afterAutospacing="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备注：</w:t>
      </w:r>
      <w:r>
        <w:rPr>
          <w:rFonts w:hint="eastAsia" w:ascii="仿宋" w:hAnsi="仿宋" w:eastAsia="仿宋" w:cs="仿宋"/>
          <w:color w:val="auto"/>
          <w:szCs w:val="21"/>
        </w:rPr>
        <w:t>本表后附中标（成交）通知书、合同（协议书）、工程接收证书（工程竣工验收证书）的扫描件。每张表格只填写一个项目，并标明序号。</w:t>
      </w:r>
    </w:p>
    <w:p w14:paraId="6AB00EF7">
      <w:pPr>
        <w:pStyle w:val="23"/>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lang w:eastAsia="zh-CN"/>
        </w:rPr>
      </w:pPr>
    </w:p>
    <w:p w14:paraId="5785C36B">
      <w:pPr>
        <w:pStyle w:val="23"/>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lang w:eastAsia="zh-CN"/>
        </w:rPr>
      </w:pPr>
    </w:p>
    <w:p w14:paraId="3678E5D2">
      <w:pPr>
        <w:pStyle w:val="23"/>
        <w:pageBreakBefore w:val="0"/>
        <w:kinsoku/>
        <w:bidi w:val="0"/>
        <w:snapToGrid w:val="0"/>
        <w:spacing w:beforeAutospacing="0" w:afterAutospacing="0" w:line="360" w:lineRule="auto"/>
        <w:ind w:firstLine="480" w:firstLineChars="200"/>
        <w:rPr>
          <w:rFonts w:hint="eastAsia" w:ascii="仿宋" w:hAnsi="仿宋" w:eastAsia="仿宋" w:cs="仿宋"/>
          <w:color w:val="auto"/>
          <w:sz w:val="24"/>
          <w:szCs w:val="24"/>
          <w:lang w:eastAsia="zh-CN"/>
        </w:rPr>
      </w:pPr>
    </w:p>
    <w:p w14:paraId="4F5DF20E">
      <w:pPr>
        <w:pageBreakBefore w:val="0"/>
        <w:kinsoku/>
        <w:bidi w:val="0"/>
        <w:spacing w:beforeAutospacing="0" w:afterAutospacing="0"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4BE20528">
      <w:pPr>
        <w:pStyle w:val="70"/>
        <w:pageBreakBefore w:val="0"/>
        <w:kinsoku/>
        <w:bidi w:val="0"/>
        <w:snapToGrid w:val="0"/>
        <w:spacing w:beforeAutospacing="0" w:afterAutospacing="0" w:line="360" w:lineRule="auto"/>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pacing w:val="6"/>
          <w:kern w:val="2"/>
          <w:sz w:val="24"/>
          <w:szCs w:val="24"/>
          <w:lang w:val="en-US" w:eastAsia="zh-CN" w:bidi="ar-SA"/>
        </w:rPr>
        <w:t>六、监理大纲</w:t>
      </w:r>
    </w:p>
    <w:p w14:paraId="7622E6BC">
      <w:pPr>
        <w:pStyle w:val="35"/>
        <w:pageBreakBefore w:val="0"/>
        <w:kinsoku/>
        <w:bidi w:val="0"/>
        <w:spacing w:beforeAutospacing="0" w:after="0" w:afterAutospacing="0" w:line="360" w:lineRule="auto"/>
        <w:ind w:left="0" w:leftChars="0" w:firstLine="0" w:firstLineChars="0"/>
        <w:rPr>
          <w:rFonts w:hint="eastAsia" w:ascii="仿宋" w:hAnsi="仿宋" w:eastAsia="仿宋" w:cs="仿宋"/>
          <w:color w:val="auto"/>
          <w:lang w:val="en-US" w:eastAsia="zh-CN"/>
        </w:rPr>
      </w:pPr>
    </w:p>
    <w:p w14:paraId="3C68994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监理大纲应包括（但不限于）下列内容：</w:t>
      </w:r>
      <w:bookmarkStart w:id="183" w:name="_Toc1369_WPSOffice_Level2"/>
    </w:p>
    <w:p w14:paraId="70597AE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一、质量控制；</w:t>
      </w:r>
      <w:bookmarkEnd w:id="183"/>
    </w:p>
    <w:p w14:paraId="4E59C41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sz w:val="24"/>
          <w:szCs w:val="24"/>
        </w:rPr>
      </w:pPr>
      <w:bookmarkStart w:id="184" w:name="_Toc10227_WPSOffice_Level2"/>
      <w:r>
        <w:rPr>
          <w:rFonts w:hint="eastAsia" w:ascii="仿宋" w:hAnsi="仿宋" w:eastAsia="仿宋" w:cs="仿宋"/>
          <w:color w:val="auto"/>
          <w:sz w:val="24"/>
          <w:szCs w:val="24"/>
        </w:rPr>
        <w:t>二、安全生产监理工作；</w:t>
      </w:r>
      <w:bookmarkEnd w:id="184"/>
    </w:p>
    <w:p w14:paraId="04FCE8F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sz w:val="24"/>
          <w:szCs w:val="24"/>
        </w:rPr>
      </w:pPr>
      <w:bookmarkStart w:id="185" w:name="_Toc28420_WPSOffice_Level2"/>
      <w:r>
        <w:rPr>
          <w:rFonts w:hint="eastAsia" w:ascii="仿宋" w:hAnsi="仿宋" w:eastAsia="仿宋" w:cs="仿宋"/>
          <w:color w:val="auto"/>
          <w:sz w:val="24"/>
          <w:szCs w:val="24"/>
        </w:rPr>
        <w:t>三、进度控制；</w:t>
      </w:r>
      <w:bookmarkEnd w:id="185"/>
    </w:p>
    <w:p w14:paraId="3FFC757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sz w:val="24"/>
          <w:szCs w:val="24"/>
        </w:rPr>
      </w:pPr>
      <w:bookmarkStart w:id="186" w:name="_Toc30760_WPSOffice_Level2"/>
      <w:r>
        <w:rPr>
          <w:rFonts w:hint="eastAsia" w:ascii="仿宋" w:hAnsi="仿宋" w:eastAsia="仿宋" w:cs="仿宋"/>
          <w:color w:val="auto"/>
          <w:sz w:val="24"/>
          <w:szCs w:val="24"/>
        </w:rPr>
        <w:t>四、造价控制；</w:t>
      </w:r>
      <w:bookmarkEnd w:id="186"/>
    </w:p>
    <w:p w14:paraId="135FB777">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sz w:val="24"/>
          <w:szCs w:val="24"/>
        </w:rPr>
      </w:pPr>
      <w:bookmarkStart w:id="187" w:name="_Toc16617_WPSOffice_Level2"/>
      <w:r>
        <w:rPr>
          <w:rFonts w:hint="eastAsia" w:ascii="仿宋" w:hAnsi="仿宋" w:eastAsia="仿宋" w:cs="仿宋"/>
          <w:color w:val="auto"/>
          <w:sz w:val="24"/>
          <w:szCs w:val="24"/>
        </w:rPr>
        <w:t>五、合同管理、信息管理和组织协调；</w:t>
      </w:r>
      <w:bookmarkEnd w:id="187"/>
    </w:p>
    <w:p w14:paraId="6055A50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sz w:val="24"/>
          <w:szCs w:val="24"/>
        </w:rPr>
      </w:pPr>
      <w:bookmarkStart w:id="188" w:name="_Toc31883_WPSOffice_Level2"/>
      <w:r>
        <w:rPr>
          <w:rFonts w:hint="eastAsia" w:ascii="仿宋" w:hAnsi="仿宋" w:eastAsia="仿宋" w:cs="仿宋"/>
          <w:color w:val="auto"/>
          <w:sz w:val="24"/>
          <w:szCs w:val="24"/>
        </w:rPr>
        <w:t>六、项目监理机构的组织形式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人员配备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岗位职责分工；</w:t>
      </w:r>
      <w:bookmarkEnd w:id="188"/>
    </w:p>
    <w:p w14:paraId="7D68406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sz w:val="24"/>
          <w:szCs w:val="24"/>
        </w:rPr>
      </w:pPr>
      <w:bookmarkStart w:id="189" w:name="_Toc162_WPSOffice_Level2"/>
      <w:r>
        <w:rPr>
          <w:rFonts w:hint="eastAsia" w:ascii="仿宋" w:hAnsi="仿宋" w:eastAsia="仿宋" w:cs="仿宋"/>
          <w:color w:val="auto"/>
          <w:sz w:val="24"/>
          <w:szCs w:val="24"/>
        </w:rPr>
        <w:t>七、</w:t>
      </w:r>
      <w:r>
        <w:rPr>
          <w:rFonts w:hint="eastAsia" w:ascii="仿宋" w:hAnsi="仿宋" w:eastAsia="仿宋" w:cs="仿宋"/>
          <w:color w:val="auto"/>
          <w:sz w:val="24"/>
          <w:szCs w:val="24"/>
          <w:lang w:val="en-US" w:eastAsia="zh-CN"/>
        </w:rPr>
        <w:t>拟投入本项目的</w:t>
      </w:r>
      <w:r>
        <w:rPr>
          <w:rFonts w:hint="eastAsia" w:ascii="仿宋" w:hAnsi="仿宋" w:eastAsia="仿宋" w:cs="仿宋"/>
          <w:color w:val="auto"/>
          <w:sz w:val="24"/>
          <w:szCs w:val="24"/>
        </w:rPr>
        <w:t>监理设施；</w:t>
      </w:r>
      <w:bookmarkEnd w:id="189"/>
      <w:r>
        <w:rPr>
          <w:rFonts w:hint="eastAsia" w:ascii="仿宋" w:hAnsi="仿宋" w:eastAsia="仿宋" w:cs="仿宋"/>
          <w:color w:val="auto"/>
          <w:sz w:val="24"/>
          <w:szCs w:val="24"/>
        </w:rPr>
        <w:t xml:space="preserve"> </w:t>
      </w:r>
    </w:p>
    <w:p w14:paraId="1E01E3B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542" w:firstLineChars="226"/>
        <w:textAlignment w:val="auto"/>
        <w:rPr>
          <w:rFonts w:hint="eastAsia" w:ascii="仿宋" w:hAnsi="仿宋" w:eastAsia="仿宋" w:cs="仿宋"/>
          <w:color w:val="auto"/>
        </w:rPr>
      </w:pPr>
      <w:bookmarkStart w:id="190" w:name="_Toc28377_WPSOffice_Level2"/>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、对本工程的合理化建议。</w:t>
      </w:r>
      <w:bookmarkEnd w:id="190"/>
    </w:p>
    <w:p w14:paraId="78833783">
      <w:pPr>
        <w:pageBreakBefore w:val="0"/>
        <w:kinsoku/>
        <w:bidi w:val="0"/>
        <w:spacing w:beforeAutospacing="0" w:afterAutospacing="0" w:line="360" w:lineRule="auto"/>
        <w:rPr>
          <w:rFonts w:hint="eastAsia" w:ascii="仿宋" w:hAnsi="仿宋" w:eastAsia="仿宋" w:cs="仿宋"/>
          <w:b/>
          <w:bCs/>
          <w:color w:val="auto"/>
          <w:sz w:val="21"/>
          <w:szCs w:val="21"/>
          <w:lang w:val="en-US" w:eastAsia="zh-CN"/>
        </w:rPr>
      </w:pPr>
    </w:p>
    <w:p w14:paraId="654AD163">
      <w:pPr>
        <w:pageBreakBefore w:val="0"/>
        <w:kinsoku/>
        <w:bidi w:val="0"/>
        <w:spacing w:beforeAutospacing="0" w:afterAutospacing="0" w:line="360" w:lineRule="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br w:type="page"/>
      </w:r>
    </w:p>
    <w:p w14:paraId="5F33CDFE">
      <w:pPr>
        <w:pStyle w:val="70"/>
        <w:pageBreakBefore w:val="0"/>
        <w:kinsoku/>
        <w:bidi w:val="0"/>
        <w:snapToGrid w:val="0"/>
        <w:spacing w:beforeAutospacing="0" w:afterAutospacing="0" w:line="36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pacing w:val="6"/>
          <w:kern w:val="2"/>
          <w:sz w:val="24"/>
          <w:szCs w:val="24"/>
          <w:lang w:val="en-US" w:eastAsia="zh-CN" w:bidi="ar-SA"/>
        </w:rPr>
        <w:t>七、其他商务技术材料</w:t>
      </w:r>
    </w:p>
    <w:p w14:paraId="78E9D9FD">
      <w:pPr>
        <w:pStyle w:val="70"/>
        <w:pageBreakBefore w:val="0"/>
        <w:kinsoku/>
        <w:bidi w:val="0"/>
        <w:snapToGrid w:val="0"/>
        <w:spacing w:beforeAutospacing="0" w:afterAutospacing="0" w:line="360" w:lineRule="auto"/>
        <w:rPr>
          <w:rFonts w:hint="eastAsia" w:ascii="仿宋" w:hAnsi="仿宋" w:eastAsia="仿宋" w:cs="仿宋"/>
          <w:color w:val="auto"/>
        </w:rPr>
      </w:pPr>
    </w:p>
    <w:sectPr>
      <w:footerReference r:id="rId13" w:type="first"/>
      <w:headerReference r:id="rId11" w:type="default"/>
      <w:footerReference r:id="rId12" w:type="default"/>
      <w:pgSz w:w="11911" w:h="16838"/>
      <w:pgMar w:top="1134" w:right="1134" w:bottom="1134" w:left="1417" w:header="850" w:footer="975" w:gutter="0"/>
      <w:pgBorders>
        <w:top w:val="none" w:sz="0" w:space="0"/>
        <w:left w:val="none" w:sz="0" w:space="0"/>
        <w:bottom w:val="none" w:sz="0" w:space="0"/>
        <w:right w:val="none" w:sz="0" w:space="0"/>
      </w:pgBorders>
      <w:pgNumType w:fmt="decimal"/>
      <w:cols w:space="0" w:num="1"/>
      <w:rtlGutter w:val="0"/>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95739AB-DA7E-4B29-8583-31FA2D6C0CB2}"/>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474CE20-371A-48F8-9294-13EBB6DB9557}"/>
  </w:font>
  <w:font w:name="隶书">
    <w:panose1 w:val="02010509060101010101"/>
    <w:charset w:val="86"/>
    <w:family w:val="modern"/>
    <w:pitch w:val="default"/>
    <w:sig w:usb0="00000001" w:usb1="080E0000" w:usb2="00000000" w:usb3="00000000" w:csb0="00040000" w:csb1="00000000"/>
    <w:embedRegular r:id="rId3" w:fontKey="{A89120DD-63DA-4B32-9B64-0E1A1B1DAB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BF19">
    <w:pPr>
      <w:pStyle w:val="27"/>
      <w:pBdr>
        <w:top w:val="single" w:color="auto" w:sz="4" w:space="1"/>
      </w:pBdr>
      <w:tabs>
        <w:tab w:val="left" w:pos="5324"/>
        <w:tab w:val="clear" w:pos="4153"/>
        <w:tab w:val="clear" w:pos="8306"/>
      </w:tabs>
      <w:kinsoku w:val="0"/>
      <w:overflowPunct w:val="0"/>
      <w:autoSpaceDE w:val="0"/>
      <w:autoSpaceDN w:val="0"/>
      <w:rPr>
        <w:rFonts w:ascii="隶书" w:eastAsia="隶书"/>
        <w:b/>
        <w:bCs/>
        <w:sz w:val="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DCFAD">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ADCFAD">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36D97A24">
    <w:pPr>
      <w:pStyle w:val="27"/>
      <w:spacing w:line="240" w:lineRule="auto"/>
      <w:ind w:firstLine="0" w:firstLineChars="0"/>
    </w:pPr>
    <w:r>
      <w:rPr>
        <w:rFonts w:hint="eastAsia" w:ascii="隶书" w:eastAsia="隶书"/>
        <w:b/>
        <w:bCs/>
      </w:rPr>
      <w:t xml:space="preserve">山西广宇工程咨询有限公司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50DD9">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750DD9">
                    <w:pPr>
                      <w:pStyle w:val="2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805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464F">
    <w:pPr>
      <w:pStyle w:val="27"/>
      <w:pBdr>
        <w:top w:val="single" w:color="auto" w:sz="4" w:space="1"/>
      </w:pBdr>
      <w:tabs>
        <w:tab w:val="left" w:pos="5324"/>
        <w:tab w:val="clear" w:pos="4153"/>
        <w:tab w:val="clear" w:pos="8306"/>
      </w:tabs>
      <w:kinsoku w:val="0"/>
      <w:overflowPunct w:val="0"/>
      <w:autoSpaceDE w:val="0"/>
      <w:autoSpaceDN w:val="0"/>
      <w:rPr>
        <w:rFonts w:ascii="隶书" w:eastAsia="隶书"/>
        <w:b/>
        <w:bCs/>
        <w:sz w:val="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133A4">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B133A4">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B3B684A">
    <w:pPr>
      <w:pStyle w:val="27"/>
      <w:pBdr>
        <w:top w:val="single" w:color="auto" w:sz="4" w:space="1"/>
      </w:pBdr>
      <w:tabs>
        <w:tab w:val="left" w:pos="5324"/>
        <w:tab w:val="clear" w:pos="4153"/>
        <w:tab w:val="clear" w:pos="8306"/>
      </w:tabs>
      <w:spacing w:before="60"/>
    </w:pPr>
    <w:r>
      <w:rPr>
        <w:rFonts w:hint="eastAsia" w:ascii="隶书" w:eastAsia="隶书"/>
        <w:b/>
        <w:bCs/>
      </w:rPr>
      <w:t xml:space="preserve">山西广宇工程咨询有限公司                                         </w:t>
    </w:r>
    <w:r>
      <w:rPr>
        <w:rFonts w:ascii="隶书" w:eastAsia="隶书"/>
        <w:b/>
        <w:bCs/>
      </w:rPr>
      <w:t>太原市小店区南中环街</w:t>
    </w:r>
    <w:r>
      <w:rPr>
        <w:rFonts w:hint="eastAsia" w:ascii="隶书" w:eastAsia="隶书"/>
        <w:b/>
        <w:bCs/>
      </w:rPr>
      <w:t>企联大厦东区24层</w:t>
    </w:r>
    <w:r>
      <w:rPr>
        <w:rFonts w:ascii="隶书" w:eastAsia="隶书"/>
        <w:b/>
        <w:bCs/>
      </w:rPr>
      <w:tab/>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20960">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420960">
                    <w:pPr>
                      <w:pStyle w:val="2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115B">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76CEF">
    <w:pPr>
      <w:pStyle w:val="27"/>
      <w:pBdr>
        <w:top w:val="single" w:color="auto" w:sz="4" w:space="1"/>
      </w:pBdr>
      <w:tabs>
        <w:tab w:val="left" w:pos="5324"/>
        <w:tab w:val="clear" w:pos="4153"/>
        <w:tab w:val="clear" w:pos="8306"/>
      </w:tabs>
      <w:kinsoku w:val="0"/>
      <w:overflowPunct w:val="0"/>
      <w:autoSpaceDE w:val="0"/>
      <w:autoSpaceDN w:val="0"/>
      <w:rPr>
        <w:rFonts w:ascii="隶书" w:eastAsia="隶书"/>
        <w:b/>
        <w:bCs/>
        <w:sz w:val="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16B0E">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4416B0E">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2AEB00C5">
    <w:pPr>
      <w:pStyle w:val="27"/>
      <w:pBdr>
        <w:top w:val="single" w:color="auto" w:sz="4" w:space="1"/>
      </w:pBdr>
      <w:tabs>
        <w:tab w:val="left" w:pos="5324"/>
        <w:tab w:val="clear" w:pos="4153"/>
        <w:tab w:val="clear" w:pos="8306"/>
      </w:tabs>
      <w:spacing w:before="60"/>
    </w:pPr>
    <w:r>
      <w:rPr>
        <w:rFonts w:hint="eastAsia" w:ascii="隶书" w:eastAsia="隶书"/>
        <w:b/>
        <w:bCs/>
      </w:rPr>
      <w:t xml:space="preserve">山西广宇工程咨询有限公司                                         </w:t>
    </w:r>
    <w:r>
      <w:rPr>
        <w:rFonts w:ascii="隶书" w:eastAsia="隶书"/>
        <w:b/>
        <w:bCs/>
      </w:rPr>
      <w:t>太原市小店区南中环街</w:t>
    </w:r>
    <w:r>
      <w:rPr>
        <w:rFonts w:hint="eastAsia" w:ascii="隶书" w:eastAsia="隶书"/>
        <w:b/>
        <w:bCs/>
      </w:rPr>
      <w:t>企联大厦东区24层</w:t>
    </w:r>
    <w:r>
      <w:rPr>
        <w:rFonts w:ascii="隶书" w:eastAsia="隶书"/>
        <w:b/>
        <w:bCs/>
      </w:rPr>
      <w:tab/>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D2675">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3D2675">
                    <w:pPr>
                      <w:pStyle w:val="2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A9D1">
    <w:pPr>
      <w:pStyle w:val="27"/>
      <w:pBdr>
        <w:top w:val="single" w:color="auto" w:sz="4" w:space="1"/>
      </w:pBdr>
      <w:tabs>
        <w:tab w:val="left" w:pos="5324"/>
        <w:tab w:val="clear" w:pos="4153"/>
        <w:tab w:val="clear" w:pos="8306"/>
      </w:tabs>
      <w:kinsoku w:val="0"/>
      <w:overflowPunct w:val="0"/>
      <w:autoSpaceDE w:val="0"/>
      <w:autoSpaceDN w:val="0"/>
      <w:rPr>
        <w:rFonts w:ascii="隶书" w:eastAsia="隶书"/>
        <w:b/>
        <w:bCs/>
        <w:sz w:val="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A7EAB">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FA7EAB">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1E7BA9F8">
    <w:pPr>
      <w:pStyle w:val="27"/>
      <w:pBdr>
        <w:top w:val="single" w:color="auto" w:sz="4" w:space="1"/>
      </w:pBdr>
      <w:tabs>
        <w:tab w:val="left" w:pos="5324"/>
        <w:tab w:val="clear" w:pos="4153"/>
        <w:tab w:val="clear" w:pos="8306"/>
      </w:tabs>
      <w:spacing w:before="60"/>
      <w:rPr>
        <w:rFonts w:ascii="隶书" w:eastAsia="隶书"/>
        <w:b/>
        <w:bCs/>
      </w:rPr>
    </w:pPr>
    <w:r>
      <w:rPr>
        <w:rFonts w:hint="eastAsia" w:ascii="隶书" w:eastAsia="隶书"/>
        <w:b/>
        <w:bCs/>
      </w:rPr>
      <w:t xml:space="preserve">山西广宇工程咨询有限公司                                         </w:t>
    </w:r>
    <w:r>
      <w:rPr>
        <w:rFonts w:ascii="隶书" w:eastAsia="隶书"/>
        <w:b/>
        <w:bCs/>
      </w:rPr>
      <w:t>太原市小店区南中环街</w:t>
    </w:r>
    <w:r>
      <w:rPr>
        <w:rFonts w:hint="eastAsia" w:ascii="隶书" w:eastAsia="隶书"/>
        <w:b/>
        <w:bCs/>
      </w:rPr>
      <w:t>企联大厦东区24层</w:t>
    </w:r>
    <w:r>
      <w:rPr>
        <w:rFonts w:ascii="隶书" w:eastAsia="隶书"/>
        <w:b/>
        <w:bCs/>
      </w:rPr>
      <w:tab/>
    </w:r>
  </w:p>
  <w:p w14:paraId="6B0C326F">
    <w:pPr>
      <w:pStyle w:val="27"/>
      <w:spacing w:line="240" w:lineRule="auto"/>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posOffset>2910840</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A675A">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2pt;margin-top:0pt;height:144pt;width:144pt;mso-position-horizontal-relative:margin;mso-wrap-style:none;z-index:251662336;mso-width-relative:page;mso-height-relative:page;" filled="f" stroked="f" coordsize="21600,21600" o:gfxdata="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BimEbF&#10;Tz++n34+nH59IziDQI0LM8TdO0TG9p1tETycBxwm3m3ldfqCEYEf8h4v8oo2Ep4uTSfTaQ4Xh2/Y&#10;AD97vO58iO+F1SQZBfWoXycrO2xC7EOHkJTN2LVUqquhMqQp6NXrt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gGNQzVAAAACAEAAA8AAAAAAAAAAQAgAAAAIgAAAGRycy9kb3ducmV2LnhtbFBL&#10;AQIUABQAAAAIAIdO4kAjBROdMgIAAGMEAAAOAAAAAAAAAAEAIAAAACQBAABkcnMvZTJvRG9jLnht&#10;bFBLBQYAAAAABgAGAFkBAADIBQAAAAA=&#10;">
              <v:fill on="f" focussize="0,0"/>
              <v:stroke on="f" weight="0.5pt"/>
              <v:imagedata o:title=""/>
              <o:lock v:ext="edit" aspectratio="f"/>
              <v:textbox inset="0mm,0mm,0mm,0mm" style="mso-fit-shape-to-text:t;">
                <w:txbxContent>
                  <w:p w14:paraId="043A675A">
                    <w:pPr>
                      <w:pStyle w:val="27"/>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BD66">
    <w:pPr>
      <w:pStyle w:val="27"/>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0EA1A">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F0EA1A">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CE46">
    <w:pPr>
      <w:pStyle w:val="28"/>
      <w:pBdr>
        <w:bottom w:val="single" w:color="auto" w:sz="4" w:space="1"/>
      </w:pBdr>
      <w:spacing w:after="60"/>
      <w:jc w:val="center"/>
    </w:pPr>
    <w:r>
      <w:rPr>
        <w:rFonts w:hint="eastAsia" w:ascii="隶书" w:eastAsia="隶书" w:hAnsiTheme="minorHAnsi" w:cstheme="minorBidi"/>
        <w:b/>
        <w:bCs/>
        <w:kern w:val="2"/>
        <w:sz w:val="18"/>
        <w:szCs w:val="24"/>
        <w:lang w:val="en-US" w:eastAsia="zh-CN" w:bidi="ar-SA"/>
      </w:rPr>
      <w:t>清徐中学片区排水防涝及地下管网改造工程设计</w:t>
    </w:r>
    <w:r>
      <w:rPr>
        <w:rFonts w:hint="eastAsia" w:ascii="隶书" w:eastAsia="隶书" w:cstheme="minorBidi"/>
        <w:b/>
        <w:bCs/>
        <w:kern w:val="2"/>
        <w:sz w:val="18"/>
        <w:szCs w:val="24"/>
        <w:lang w:val="en-US" w:eastAsia="zh-CN" w:bidi="ar-SA"/>
      </w:rPr>
      <w:t>竞争性</w:t>
    </w:r>
    <w:r>
      <w:rPr>
        <w:rFonts w:hint="eastAsia" w:ascii="隶书" w:eastAsia="隶书"/>
        <w:b/>
        <w:bCs/>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9C42">
    <w:pPr>
      <w:pStyle w:val="28"/>
      <w:pBdr>
        <w:bottom w:val="single" w:color="auto" w:sz="4" w:space="1"/>
      </w:pBdr>
      <w:spacing w:after="60"/>
      <w:jc w:val="center"/>
      <w:rPr>
        <w:rFonts w:hint="eastAsia" w:eastAsia="宋体"/>
        <w:lang w:val="en-US" w:eastAsia="zh-CN"/>
      </w:rPr>
    </w:pPr>
    <w:r>
      <w:rPr>
        <w:rFonts w:hint="eastAsia" w:ascii="隶书" w:eastAsia="隶书" w:hAnsiTheme="minorHAnsi" w:cstheme="minorBidi"/>
        <w:b/>
        <w:bCs/>
        <w:kern w:val="2"/>
        <w:sz w:val="18"/>
        <w:szCs w:val="24"/>
        <w:lang w:val="en-US" w:eastAsia="zh-CN" w:bidi="ar-SA"/>
      </w:rPr>
      <w:t>清徐中学片区排水防涝及地下管网改造工程监理</w:t>
    </w:r>
    <w:r>
      <w:rPr>
        <w:rFonts w:hint="eastAsia" w:ascii="隶书" w:eastAsia="隶书" w:cstheme="minorBidi"/>
        <w:b/>
        <w:bCs/>
        <w:kern w:val="2"/>
        <w:sz w:val="18"/>
        <w:szCs w:val="24"/>
        <w:lang w:val="en-US" w:eastAsia="zh-CN" w:bidi="ar-SA"/>
      </w:rPr>
      <w:t>竞争性</w:t>
    </w:r>
    <w:r>
      <w:rPr>
        <w:rFonts w:hint="eastAsia" w:ascii="隶书" w:eastAsia="隶书"/>
        <w:b/>
        <w:bCs/>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1348">
    <w:pPr>
      <w:pStyle w:val="2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31F8">
    <w:pPr>
      <w:pStyle w:val="28"/>
      <w:pBdr>
        <w:bottom w:val="single" w:color="auto" w:sz="4" w:space="1"/>
      </w:pBdr>
      <w:spacing w:after="60"/>
      <w:jc w:val="center"/>
    </w:pPr>
    <w:r>
      <w:rPr>
        <w:rFonts w:hint="eastAsia" w:ascii="隶书" w:eastAsia="隶书" w:hAnsiTheme="minorHAnsi" w:cstheme="minorBidi"/>
        <w:b/>
        <w:bCs/>
        <w:kern w:val="2"/>
        <w:sz w:val="18"/>
        <w:szCs w:val="24"/>
        <w:lang w:val="en-US" w:eastAsia="zh-CN" w:bidi="ar-SA"/>
      </w:rPr>
      <w:t>清徐中学片区排水防涝及地下管网改造工程监理</w:t>
    </w:r>
    <w:r>
      <w:rPr>
        <w:rFonts w:hint="eastAsia" w:ascii="隶书" w:eastAsia="隶书" w:cstheme="minorBidi"/>
        <w:b/>
        <w:bCs/>
        <w:kern w:val="2"/>
        <w:sz w:val="18"/>
        <w:szCs w:val="24"/>
        <w:lang w:val="en-US" w:eastAsia="zh-CN" w:bidi="ar-SA"/>
      </w:rPr>
      <w:t>竞争性</w:t>
    </w:r>
    <w:r>
      <w:rPr>
        <w:rFonts w:hint="eastAsia" w:ascii="隶书" w:eastAsia="隶书"/>
        <w:b/>
        <w:bCs/>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6A8D0"/>
    <w:multiLevelType w:val="multilevel"/>
    <w:tmpl w:val="DD66A8D0"/>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47"/>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pStyle w:val="46"/>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0YmExODBhYmJjYjdkNTJjYjZhZDUyMmQ0MmIyYTAifQ=="/>
  </w:docVars>
  <w:rsids>
    <w:rsidRoot w:val="00172A27"/>
    <w:rsid w:val="000145C3"/>
    <w:rsid w:val="00031E00"/>
    <w:rsid w:val="00033A83"/>
    <w:rsid w:val="0005092E"/>
    <w:rsid w:val="00052D00"/>
    <w:rsid w:val="00056DC7"/>
    <w:rsid w:val="000858D1"/>
    <w:rsid w:val="00086BA9"/>
    <w:rsid w:val="000A12B6"/>
    <w:rsid w:val="000B017F"/>
    <w:rsid w:val="000D063A"/>
    <w:rsid w:val="000D7CDA"/>
    <w:rsid w:val="000E5EDD"/>
    <w:rsid w:val="00111FD5"/>
    <w:rsid w:val="00121295"/>
    <w:rsid w:val="001305C1"/>
    <w:rsid w:val="00142467"/>
    <w:rsid w:val="00151E18"/>
    <w:rsid w:val="00155FE5"/>
    <w:rsid w:val="00172A27"/>
    <w:rsid w:val="00184ECC"/>
    <w:rsid w:val="001861C3"/>
    <w:rsid w:val="0019131A"/>
    <w:rsid w:val="00193AF6"/>
    <w:rsid w:val="001A70E1"/>
    <w:rsid w:val="001C28D2"/>
    <w:rsid w:val="001D4F34"/>
    <w:rsid w:val="001E7528"/>
    <w:rsid w:val="002005BB"/>
    <w:rsid w:val="00215A28"/>
    <w:rsid w:val="0022315D"/>
    <w:rsid w:val="00231D27"/>
    <w:rsid w:val="002320E9"/>
    <w:rsid w:val="00232E6C"/>
    <w:rsid w:val="00246EB4"/>
    <w:rsid w:val="00281807"/>
    <w:rsid w:val="00284D02"/>
    <w:rsid w:val="00285703"/>
    <w:rsid w:val="00285A3C"/>
    <w:rsid w:val="00285E30"/>
    <w:rsid w:val="002924AC"/>
    <w:rsid w:val="002A1C44"/>
    <w:rsid w:val="002A6419"/>
    <w:rsid w:val="002A6F0B"/>
    <w:rsid w:val="002B0F7E"/>
    <w:rsid w:val="002C5952"/>
    <w:rsid w:val="002D0326"/>
    <w:rsid w:val="002D1A64"/>
    <w:rsid w:val="002E0E4D"/>
    <w:rsid w:val="002E1666"/>
    <w:rsid w:val="002F127D"/>
    <w:rsid w:val="002F5ED5"/>
    <w:rsid w:val="003071B9"/>
    <w:rsid w:val="00311B72"/>
    <w:rsid w:val="00316B85"/>
    <w:rsid w:val="00320F0D"/>
    <w:rsid w:val="003466BC"/>
    <w:rsid w:val="00365404"/>
    <w:rsid w:val="00384867"/>
    <w:rsid w:val="003B05C2"/>
    <w:rsid w:val="003B3A79"/>
    <w:rsid w:val="00411267"/>
    <w:rsid w:val="00411598"/>
    <w:rsid w:val="00414F59"/>
    <w:rsid w:val="00424001"/>
    <w:rsid w:val="00434FD8"/>
    <w:rsid w:val="004508FF"/>
    <w:rsid w:val="004556C9"/>
    <w:rsid w:val="00470AEA"/>
    <w:rsid w:val="0047254D"/>
    <w:rsid w:val="004727E8"/>
    <w:rsid w:val="00472E5E"/>
    <w:rsid w:val="004817F7"/>
    <w:rsid w:val="00485579"/>
    <w:rsid w:val="004B25CD"/>
    <w:rsid w:val="004B5DEB"/>
    <w:rsid w:val="004C0F45"/>
    <w:rsid w:val="004D29B4"/>
    <w:rsid w:val="004F6C1B"/>
    <w:rsid w:val="00503749"/>
    <w:rsid w:val="005136F3"/>
    <w:rsid w:val="00522102"/>
    <w:rsid w:val="00522C0C"/>
    <w:rsid w:val="00523A57"/>
    <w:rsid w:val="00570368"/>
    <w:rsid w:val="00577F0F"/>
    <w:rsid w:val="00592116"/>
    <w:rsid w:val="00592E51"/>
    <w:rsid w:val="005B017C"/>
    <w:rsid w:val="005B0A84"/>
    <w:rsid w:val="005E5895"/>
    <w:rsid w:val="005F3A11"/>
    <w:rsid w:val="006070F6"/>
    <w:rsid w:val="00635BC5"/>
    <w:rsid w:val="00640A53"/>
    <w:rsid w:val="0067722F"/>
    <w:rsid w:val="006A69E4"/>
    <w:rsid w:val="006D6869"/>
    <w:rsid w:val="006F20C5"/>
    <w:rsid w:val="00706EB9"/>
    <w:rsid w:val="00716586"/>
    <w:rsid w:val="00722F9D"/>
    <w:rsid w:val="007236E8"/>
    <w:rsid w:val="00732468"/>
    <w:rsid w:val="007365BA"/>
    <w:rsid w:val="007633C0"/>
    <w:rsid w:val="007756C4"/>
    <w:rsid w:val="00786652"/>
    <w:rsid w:val="007904CF"/>
    <w:rsid w:val="007A4951"/>
    <w:rsid w:val="007B723F"/>
    <w:rsid w:val="007C1303"/>
    <w:rsid w:val="007C791E"/>
    <w:rsid w:val="007E2EF7"/>
    <w:rsid w:val="007E2F0E"/>
    <w:rsid w:val="007E4E4E"/>
    <w:rsid w:val="007E530E"/>
    <w:rsid w:val="00803D5E"/>
    <w:rsid w:val="0081083D"/>
    <w:rsid w:val="008268DF"/>
    <w:rsid w:val="008277A6"/>
    <w:rsid w:val="00830B23"/>
    <w:rsid w:val="008322BB"/>
    <w:rsid w:val="00832473"/>
    <w:rsid w:val="00842455"/>
    <w:rsid w:val="00861BB0"/>
    <w:rsid w:val="00863806"/>
    <w:rsid w:val="00864025"/>
    <w:rsid w:val="00871434"/>
    <w:rsid w:val="008813C3"/>
    <w:rsid w:val="0088603E"/>
    <w:rsid w:val="00893C14"/>
    <w:rsid w:val="008A2E3D"/>
    <w:rsid w:val="008A2F4A"/>
    <w:rsid w:val="008A5AA5"/>
    <w:rsid w:val="008B09B9"/>
    <w:rsid w:val="008C19AB"/>
    <w:rsid w:val="008C5926"/>
    <w:rsid w:val="008C6A99"/>
    <w:rsid w:val="008C7065"/>
    <w:rsid w:val="008E2A0E"/>
    <w:rsid w:val="00902C2A"/>
    <w:rsid w:val="00905ABB"/>
    <w:rsid w:val="00927DFB"/>
    <w:rsid w:val="009357FA"/>
    <w:rsid w:val="009417EF"/>
    <w:rsid w:val="00957D87"/>
    <w:rsid w:val="00966A8A"/>
    <w:rsid w:val="00976346"/>
    <w:rsid w:val="009A2EF3"/>
    <w:rsid w:val="009B1169"/>
    <w:rsid w:val="009D0FA7"/>
    <w:rsid w:val="009D313A"/>
    <w:rsid w:val="009E18E8"/>
    <w:rsid w:val="00A120E5"/>
    <w:rsid w:val="00A15A46"/>
    <w:rsid w:val="00A15A99"/>
    <w:rsid w:val="00A35D97"/>
    <w:rsid w:val="00A51309"/>
    <w:rsid w:val="00A52791"/>
    <w:rsid w:val="00A53050"/>
    <w:rsid w:val="00A60A0B"/>
    <w:rsid w:val="00A81D22"/>
    <w:rsid w:val="00A83FE5"/>
    <w:rsid w:val="00A84E04"/>
    <w:rsid w:val="00AA3FF4"/>
    <w:rsid w:val="00AB573D"/>
    <w:rsid w:val="00AC7DA8"/>
    <w:rsid w:val="00AE268F"/>
    <w:rsid w:val="00AE5143"/>
    <w:rsid w:val="00B221AF"/>
    <w:rsid w:val="00B51A3C"/>
    <w:rsid w:val="00B64E22"/>
    <w:rsid w:val="00B777FA"/>
    <w:rsid w:val="00B91D03"/>
    <w:rsid w:val="00BB648D"/>
    <w:rsid w:val="00BC156A"/>
    <w:rsid w:val="00BD5A39"/>
    <w:rsid w:val="00BD5C9F"/>
    <w:rsid w:val="00BD6966"/>
    <w:rsid w:val="00BE1EA3"/>
    <w:rsid w:val="00BE24EE"/>
    <w:rsid w:val="00C058B6"/>
    <w:rsid w:val="00C22ED5"/>
    <w:rsid w:val="00C33B4A"/>
    <w:rsid w:val="00C358B2"/>
    <w:rsid w:val="00C35AA1"/>
    <w:rsid w:val="00C3767C"/>
    <w:rsid w:val="00C379B6"/>
    <w:rsid w:val="00C53D7C"/>
    <w:rsid w:val="00C60E47"/>
    <w:rsid w:val="00C6130D"/>
    <w:rsid w:val="00C657D2"/>
    <w:rsid w:val="00C76D7C"/>
    <w:rsid w:val="00C829E6"/>
    <w:rsid w:val="00C82D47"/>
    <w:rsid w:val="00C830A5"/>
    <w:rsid w:val="00C90498"/>
    <w:rsid w:val="00C92CCE"/>
    <w:rsid w:val="00C933FC"/>
    <w:rsid w:val="00C9597F"/>
    <w:rsid w:val="00CA17C5"/>
    <w:rsid w:val="00CA1DBC"/>
    <w:rsid w:val="00CC24BB"/>
    <w:rsid w:val="00CC41E8"/>
    <w:rsid w:val="00CD0CBE"/>
    <w:rsid w:val="00CD1814"/>
    <w:rsid w:val="00CE26AE"/>
    <w:rsid w:val="00CF121E"/>
    <w:rsid w:val="00CF2458"/>
    <w:rsid w:val="00CF5521"/>
    <w:rsid w:val="00D129C4"/>
    <w:rsid w:val="00D23BBA"/>
    <w:rsid w:val="00D259F1"/>
    <w:rsid w:val="00D25E87"/>
    <w:rsid w:val="00D34831"/>
    <w:rsid w:val="00D6421A"/>
    <w:rsid w:val="00DC52CF"/>
    <w:rsid w:val="00DC6E80"/>
    <w:rsid w:val="00DC7977"/>
    <w:rsid w:val="00DD1E0C"/>
    <w:rsid w:val="00DE2D8B"/>
    <w:rsid w:val="00DF09C8"/>
    <w:rsid w:val="00E015C1"/>
    <w:rsid w:val="00E0473C"/>
    <w:rsid w:val="00E108E7"/>
    <w:rsid w:val="00E16FE2"/>
    <w:rsid w:val="00E36CFE"/>
    <w:rsid w:val="00E37C55"/>
    <w:rsid w:val="00E41D56"/>
    <w:rsid w:val="00E57541"/>
    <w:rsid w:val="00EA564C"/>
    <w:rsid w:val="00EC29F0"/>
    <w:rsid w:val="00EF2B34"/>
    <w:rsid w:val="00EF75FB"/>
    <w:rsid w:val="00F14C30"/>
    <w:rsid w:val="00F20C52"/>
    <w:rsid w:val="00F370E7"/>
    <w:rsid w:val="00F5308A"/>
    <w:rsid w:val="00F67816"/>
    <w:rsid w:val="00F722FE"/>
    <w:rsid w:val="00F74DAF"/>
    <w:rsid w:val="00F76D4C"/>
    <w:rsid w:val="00F821D9"/>
    <w:rsid w:val="00F936F9"/>
    <w:rsid w:val="00F93AFF"/>
    <w:rsid w:val="00FF48A9"/>
    <w:rsid w:val="012B64AF"/>
    <w:rsid w:val="01316C40"/>
    <w:rsid w:val="01345283"/>
    <w:rsid w:val="013B4944"/>
    <w:rsid w:val="014337F8"/>
    <w:rsid w:val="0155524A"/>
    <w:rsid w:val="015D6CED"/>
    <w:rsid w:val="017760B9"/>
    <w:rsid w:val="017936BE"/>
    <w:rsid w:val="017C4C76"/>
    <w:rsid w:val="01967DCC"/>
    <w:rsid w:val="01AF3187"/>
    <w:rsid w:val="01B071AF"/>
    <w:rsid w:val="01B40D75"/>
    <w:rsid w:val="01B6221C"/>
    <w:rsid w:val="01CF7782"/>
    <w:rsid w:val="01D23F28"/>
    <w:rsid w:val="01D67E26"/>
    <w:rsid w:val="01DE1C5C"/>
    <w:rsid w:val="01E52B01"/>
    <w:rsid w:val="01F31A7B"/>
    <w:rsid w:val="01FC01DB"/>
    <w:rsid w:val="01FF2984"/>
    <w:rsid w:val="02094A42"/>
    <w:rsid w:val="020F5B76"/>
    <w:rsid w:val="02105655"/>
    <w:rsid w:val="021D04ED"/>
    <w:rsid w:val="02252BF0"/>
    <w:rsid w:val="022C6982"/>
    <w:rsid w:val="02346988"/>
    <w:rsid w:val="02405F8A"/>
    <w:rsid w:val="02443CCC"/>
    <w:rsid w:val="024A38D5"/>
    <w:rsid w:val="026C6D7F"/>
    <w:rsid w:val="026E0D49"/>
    <w:rsid w:val="02777BFD"/>
    <w:rsid w:val="02786BA5"/>
    <w:rsid w:val="027A149C"/>
    <w:rsid w:val="027E455D"/>
    <w:rsid w:val="02870FE9"/>
    <w:rsid w:val="02A1111E"/>
    <w:rsid w:val="02A14C7A"/>
    <w:rsid w:val="02B86A83"/>
    <w:rsid w:val="02BA21E0"/>
    <w:rsid w:val="02C31095"/>
    <w:rsid w:val="02C40969"/>
    <w:rsid w:val="02C5626B"/>
    <w:rsid w:val="02E903CF"/>
    <w:rsid w:val="03065425"/>
    <w:rsid w:val="0314369E"/>
    <w:rsid w:val="031713E0"/>
    <w:rsid w:val="03190CB5"/>
    <w:rsid w:val="031D518D"/>
    <w:rsid w:val="03373831"/>
    <w:rsid w:val="033C49A3"/>
    <w:rsid w:val="03490C25"/>
    <w:rsid w:val="034F0B7A"/>
    <w:rsid w:val="0351321A"/>
    <w:rsid w:val="03597270"/>
    <w:rsid w:val="03606082"/>
    <w:rsid w:val="036839EA"/>
    <w:rsid w:val="036D2DAF"/>
    <w:rsid w:val="036D300D"/>
    <w:rsid w:val="03773C2D"/>
    <w:rsid w:val="0385142B"/>
    <w:rsid w:val="03892540"/>
    <w:rsid w:val="03897B37"/>
    <w:rsid w:val="039B3290"/>
    <w:rsid w:val="03A10CAA"/>
    <w:rsid w:val="03D25EE4"/>
    <w:rsid w:val="03F1578E"/>
    <w:rsid w:val="03F6135F"/>
    <w:rsid w:val="03F64C89"/>
    <w:rsid w:val="03F85A87"/>
    <w:rsid w:val="04083017"/>
    <w:rsid w:val="040C0819"/>
    <w:rsid w:val="040D5F94"/>
    <w:rsid w:val="041F054D"/>
    <w:rsid w:val="042060A2"/>
    <w:rsid w:val="043B4C5B"/>
    <w:rsid w:val="043E6541"/>
    <w:rsid w:val="04453E4F"/>
    <w:rsid w:val="04494535"/>
    <w:rsid w:val="04502CC3"/>
    <w:rsid w:val="0453340E"/>
    <w:rsid w:val="04605811"/>
    <w:rsid w:val="04724BCD"/>
    <w:rsid w:val="047563BF"/>
    <w:rsid w:val="047606D0"/>
    <w:rsid w:val="04796C61"/>
    <w:rsid w:val="047C0850"/>
    <w:rsid w:val="047D34C5"/>
    <w:rsid w:val="0487021D"/>
    <w:rsid w:val="04A11137"/>
    <w:rsid w:val="04A22F2C"/>
    <w:rsid w:val="04A46CA4"/>
    <w:rsid w:val="04B334F0"/>
    <w:rsid w:val="04C3537C"/>
    <w:rsid w:val="04C6370B"/>
    <w:rsid w:val="04ED23F9"/>
    <w:rsid w:val="050F466F"/>
    <w:rsid w:val="05103120"/>
    <w:rsid w:val="05145BD8"/>
    <w:rsid w:val="05157BA2"/>
    <w:rsid w:val="052157AF"/>
    <w:rsid w:val="05254F53"/>
    <w:rsid w:val="053067DA"/>
    <w:rsid w:val="053C6FD0"/>
    <w:rsid w:val="0548177D"/>
    <w:rsid w:val="0548762F"/>
    <w:rsid w:val="05597A8E"/>
    <w:rsid w:val="055C30DB"/>
    <w:rsid w:val="05605FD7"/>
    <w:rsid w:val="0568305F"/>
    <w:rsid w:val="056D7436"/>
    <w:rsid w:val="05715995"/>
    <w:rsid w:val="0582190D"/>
    <w:rsid w:val="058C1C12"/>
    <w:rsid w:val="05997E8B"/>
    <w:rsid w:val="059F0E35"/>
    <w:rsid w:val="05A30D0A"/>
    <w:rsid w:val="05AC22B4"/>
    <w:rsid w:val="05AF76AE"/>
    <w:rsid w:val="05B342F7"/>
    <w:rsid w:val="05BB24F7"/>
    <w:rsid w:val="05DB04A3"/>
    <w:rsid w:val="05E355AA"/>
    <w:rsid w:val="05EA6938"/>
    <w:rsid w:val="05F449A7"/>
    <w:rsid w:val="060043AE"/>
    <w:rsid w:val="062639CE"/>
    <w:rsid w:val="06622973"/>
    <w:rsid w:val="066B5CCB"/>
    <w:rsid w:val="06854BF6"/>
    <w:rsid w:val="06A20A42"/>
    <w:rsid w:val="06A93A70"/>
    <w:rsid w:val="06B70566"/>
    <w:rsid w:val="06DF41E1"/>
    <w:rsid w:val="06E60815"/>
    <w:rsid w:val="06E966CE"/>
    <w:rsid w:val="06F23CF7"/>
    <w:rsid w:val="06F76806"/>
    <w:rsid w:val="070A5C4A"/>
    <w:rsid w:val="07290AB2"/>
    <w:rsid w:val="072B545A"/>
    <w:rsid w:val="07367CE4"/>
    <w:rsid w:val="07496665"/>
    <w:rsid w:val="07503714"/>
    <w:rsid w:val="07504EC1"/>
    <w:rsid w:val="07512869"/>
    <w:rsid w:val="07593D76"/>
    <w:rsid w:val="075C1AB8"/>
    <w:rsid w:val="077F25A1"/>
    <w:rsid w:val="079C3C62"/>
    <w:rsid w:val="07A0163F"/>
    <w:rsid w:val="07A046D3"/>
    <w:rsid w:val="07B74F40"/>
    <w:rsid w:val="07C73B3A"/>
    <w:rsid w:val="07CC358A"/>
    <w:rsid w:val="07CD7F5B"/>
    <w:rsid w:val="07D258D6"/>
    <w:rsid w:val="07D94EB6"/>
    <w:rsid w:val="07DD49A7"/>
    <w:rsid w:val="07E5176B"/>
    <w:rsid w:val="07E86EA8"/>
    <w:rsid w:val="07F113FB"/>
    <w:rsid w:val="07F65A68"/>
    <w:rsid w:val="07FB307F"/>
    <w:rsid w:val="08183287"/>
    <w:rsid w:val="08493DEA"/>
    <w:rsid w:val="085409E1"/>
    <w:rsid w:val="08544C9D"/>
    <w:rsid w:val="085E7258"/>
    <w:rsid w:val="08620842"/>
    <w:rsid w:val="086A3563"/>
    <w:rsid w:val="086C4FB9"/>
    <w:rsid w:val="086D3022"/>
    <w:rsid w:val="087921F6"/>
    <w:rsid w:val="087D1CE6"/>
    <w:rsid w:val="08803584"/>
    <w:rsid w:val="08866DE8"/>
    <w:rsid w:val="08BA5C2E"/>
    <w:rsid w:val="08BD0ECF"/>
    <w:rsid w:val="08C37F22"/>
    <w:rsid w:val="08C6543B"/>
    <w:rsid w:val="08E12275"/>
    <w:rsid w:val="08E238A4"/>
    <w:rsid w:val="08E7172E"/>
    <w:rsid w:val="08E73603"/>
    <w:rsid w:val="08E9737B"/>
    <w:rsid w:val="08EE4992"/>
    <w:rsid w:val="08F31FA8"/>
    <w:rsid w:val="08F655F4"/>
    <w:rsid w:val="08FC28B3"/>
    <w:rsid w:val="09041175"/>
    <w:rsid w:val="090441B5"/>
    <w:rsid w:val="09067414"/>
    <w:rsid w:val="090C50BD"/>
    <w:rsid w:val="0926412B"/>
    <w:rsid w:val="093610A4"/>
    <w:rsid w:val="093C1139"/>
    <w:rsid w:val="093C4BB3"/>
    <w:rsid w:val="094D4CA9"/>
    <w:rsid w:val="09577F91"/>
    <w:rsid w:val="097204B5"/>
    <w:rsid w:val="09815FC1"/>
    <w:rsid w:val="09842C00"/>
    <w:rsid w:val="09876EBD"/>
    <w:rsid w:val="098A46BA"/>
    <w:rsid w:val="098D41AA"/>
    <w:rsid w:val="09905815"/>
    <w:rsid w:val="099E1F14"/>
    <w:rsid w:val="09A430BF"/>
    <w:rsid w:val="09AE7AB6"/>
    <w:rsid w:val="09B039F5"/>
    <w:rsid w:val="09B07E99"/>
    <w:rsid w:val="09B94F9F"/>
    <w:rsid w:val="09BD759F"/>
    <w:rsid w:val="09DE0562"/>
    <w:rsid w:val="09F4422A"/>
    <w:rsid w:val="09F558AC"/>
    <w:rsid w:val="09F87E89"/>
    <w:rsid w:val="09FB56C3"/>
    <w:rsid w:val="0A104E7E"/>
    <w:rsid w:val="0A37753A"/>
    <w:rsid w:val="0A3F3608"/>
    <w:rsid w:val="0A466107"/>
    <w:rsid w:val="0A4707FD"/>
    <w:rsid w:val="0A5B1BB3"/>
    <w:rsid w:val="0A70218E"/>
    <w:rsid w:val="0A9D21CB"/>
    <w:rsid w:val="0AB908B5"/>
    <w:rsid w:val="0AC2018B"/>
    <w:rsid w:val="0ACE6B1F"/>
    <w:rsid w:val="0ADC59FF"/>
    <w:rsid w:val="0AE31010"/>
    <w:rsid w:val="0AE40B42"/>
    <w:rsid w:val="0AE94840"/>
    <w:rsid w:val="0AED6133"/>
    <w:rsid w:val="0AF86A36"/>
    <w:rsid w:val="0B00275A"/>
    <w:rsid w:val="0B2038C1"/>
    <w:rsid w:val="0B215F36"/>
    <w:rsid w:val="0B2E376B"/>
    <w:rsid w:val="0B330ECA"/>
    <w:rsid w:val="0B350656"/>
    <w:rsid w:val="0B4B7E79"/>
    <w:rsid w:val="0B552AA6"/>
    <w:rsid w:val="0B5E5DFE"/>
    <w:rsid w:val="0B691F51"/>
    <w:rsid w:val="0B6E5AC7"/>
    <w:rsid w:val="0B7262CA"/>
    <w:rsid w:val="0B7373D0"/>
    <w:rsid w:val="0B9F6417"/>
    <w:rsid w:val="0BBE689D"/>
    <w:rsid w:val="0BC914A7"/>
    <w:rsid w:val="0BCE4606"/>
    <w:rsid w:val="0BDC60E7"/>
    <w:rsid w:val="0BE36304"/>
    <w:rsid w:val="0BE502CE"/>
    <w:rsid w:val="0BE606DE"/>
    <w:rsid w:val="0BE65DF4"/>
    <w:rsid w:val="0BF83A12"/>
    <w:rsid w:val="0C0B0D3E"/>
    <w:rsid w:val="0C1058DE"/>
    <w:rsid w:val="0C2B3007"/>
    <w:rsid w:val="0C2D200C"/>
    <w:rsid w:val="0C310820"/>
    <w:rsid w:val="0C34042E"/>
    <w:rsid w:val="0C385DBA"/>
    <w:rsid w:val="0C3B7EEE"/>
    <w:rsid w:val="0C3E5484"/>
    <w:rsid w:val="0C4F3999"/>
    <w:rsid w:val="0C725CCD"/>
    <w:rsid w:val="0C840865"/>
    <w:rsid w:val="0C8F646D"/>
    <w:rsid w:val="0C965124"/>
    <w:rsid w:val="0CAB66CA"/>
    <w:rsid w:val="0CB67574"/>
    <w:rsid w:val="0CBE2C66"/>
    <w:rsid w:val="0CD36378"/>
    <w:rsid w:val="0CDB522D"/>
    <w:rsid w:val="0CE34BF6"/>
    <w:rsid w:val="0CE63A0D"/>
    <w:rsid w:val="0CFC7121"/>
    <w:rsid w:val="0CFE2CC9"/>
    <w:rsid w:val="0D044784"/>
    <w:rsid w:val="0D166810"/>
    <w:rsid w:val="0D1C7D1F"/>
    <w:rsid w:val="0D2941EA"/>
    <w:rsid w:val="0D2E35AF"/>
    <w:rsid w:val="0D350DE1"/>
    <w:rsid w:val="0D422EA8"/>
    <w:rsid w:val="0D4B4161"/>
    <w:rsid w:val="0D5414E8"/>
    <w:rsid w:val="0D7868C1"/>
    <w:rsid w:val="0D83088C"/>
    <w:rsid w:val="0D8647F2"/>
    <w:rsid w:val="0D90030B"/>
    <w:rsid w:val="0DA53108"/>
    <w:rsid w:val="0DB52EF3"/>
    <w:rsid w:val="0DB64AE4"/>
    <w:rsid w:val="0DBD4932"/>
    <w:rsid w:val="0DC62517"/>
    <w:rsid w:val="0DCA77A1"/>
    <w:rsid w:val="0DCB6A33"/>
    <w:rsid w:val="0DCE6B40"/>
    <w:rsid w:val="0DD12DB9"/>
    <w:rsid w:val="0DD37F48"/>
    <w:rsid w:val="0DF76A50"/>
    <w:rsid w:val="0E083E00"/>
    <w:rsid w:val="0E2826F4"/>
    <w:rsid w:val="0E2C2B37"/>
    <w:rsid w:val="0E48263B"/>
    <w:rsid w:val="0E4B0190"/>
    <w:rsid w:val="0E4B781A"/>
    <w:rsid w:val="0E550E35"/>
    <w:rsid w:val="0E6153E0"/>
    <w:rsid w:val="0E6753E5"/>
    <w:rsid w:val="0E6A6868"/>
    <w:rsid w:val="0E6B7F5A"/>
    <w:rsid w:val="0E70581B"/>
    <w:rsid w:val="0E792F4F"/>
    <w:rsid w:val="0E80321E"/>
    <w:rsid w:val="0E8C2C83"/>
    <w:rsid w:val="0EA33B28"/>
    <w:rsid w:val="0EC04B60"/>
    <w:rsid w:val="0ED71A24"/>
    <w:rsid w:val="0ED87454"/>
    <w:rsid w:val="0ED939EE"/>
    <w:rsid w:val="0EDA0148"/>
    <w:rsid w:val="0EF065D2"/>
    <w:rsid w:val="0EF24E1E"/>
    <w:rsid w:val="0EF3685E"/>
    <w:rsid w:val="0EF425D6"/>
    <w:rsid w:val="0F0A004B"/>
    <w:rsid w:val="0F286CC9"/>
    <w:rsid w:val="0F3227B0"/>
    <w:rsid w:val="0F344BCF"/>
    <w:rsid w:val="0F360E40"/>
    <w:rsid w:val="0F3A2F1A"/>
    <w:rsid w:val="0F3B4132"/>
    <w:rsid w:val="0F4511A7"/>
    <w:rsid w:val="0F4B669A"/>
    <w:rsid w:val="0F546F0A"/>
    <w:rsid w:val="0F56678C"/>
    <w:rsid w:val="0F6A2898"/>
    <w:rsid w:val="0F6F3789"/>
    <w:rsid w:val="0F713C26"/>
    <w:rsid w:val="0F735BF1"/>
    <w:rsid w:val="0F96520F"/>
    <w:rsid w:val="0F9F7A79"/>
    <w:rsid w:val="0FA43FFC"/>
    <w:rsid w:val="0FB74F6A"/>
    <w:rsid w:val="0FC537FA"/>
    <w:rsid w:val="0FCD278D"/>
    <w:rsid w:val="0FD20B69"/>
    <w:rsid w:val="0FD46AE0"/>
    <w:rsid w:val="0FDD7B92"/>
    <w:rsid w:val="1001593A"/>
    <w:rsid w:val="100268AA"/>
    <w:rsid w:val="10120F66"/>
    <w:rsid w:val="1017657C"/>
    <w:rsid w:val="10212EDE"/>
    <w:rsid w:val="10244EF8"/>
    <w:rsid w:val="102B5E09"/>
    <w:rsid w:val="103C2486"/>
    <w:rsid w:val="103E78C3"/>
    <w:rsid w:val="10562027"/>
    <w:rsid w:val="10594DE6"/>
    <w:rsid w:val="105D02BD"/>
    <w:rsid w:val="105E1FB5"/>
    <w:rsid w:val="105F0902"/>
    <w:rsid w:val="10692007"/>
    <w:rsid w:val="106D1FAD"/>
    <w:rsid w:val="107D43E9"/>
    <w:rsid w:val="10822FC8"/>
    <w:rsid w:val="109245CB"/>
    <w:rsid w:val="10A45E5C"/>
    <w:rsid w:val="10AC6BFE"/>
    <w:rsid w:val="10E87F18"/>
    <w:rsid w:val="10F468BD"/>
    <w:rsid w:val="10FD3887"/>
    <w:rsid w:val="1102547E"/>
    <w:rsid w:val="111331E7"/>
    <w:rsid w:val="111F7DDE"/>
    <w:rsid w:val="1128513A"/>
    <w:rsid w:val="1131366D"/>
    <w:rsid w:val="11390774"/>
    <w:rsid w:val="114120C9"/>
    <w:rsid w:val="114F7F97"/>
    <w:rsid w:val="115C2CF7"/>
    <w:rsid w:val="115C6273"/>
    <w:rsid w:val="11781508"/>
    <w:rsid w:val="117874EE"/>
    <w:rsid w:val="117F087D"/>
    <w:rsid w:val="117F514D"/>
    <w:rsid w:val="1196605D"/>
    <w:rsid w:val="119F2CCD"/>
    <w:rsid w:val="11C24C0D"/>
    <w:rsid w:val="11C66425"/>
    <w:rsid w:val="11D87F8D"/>
    <w:rsid w:val="11DC1F34"/>
    <w:rsid w:val="11E823CF"/>
    <w:rsid w:val="11EA4D50"/>
    <w:rsid w:val="11FD29E7"/>
    <w:rsid w:val="12011292"/>
    <w:rsid w:val="1207076B"/>
    <w:rsid w:val="121E62E8"/>
    <w:rsid w:val="123D6042"/>
    <w:rsid w:val="124B69B1"/>
    <w:rsid w:val="124D44D7"/>
    <w:rsid w:val="12541629"/>
    <w:rsid w:val="12542196"/>
    <w:rsid w:val="126F08F1"/>
    <w:rsid w:val="12AC0833"/>
    <w:rsid w:val="12B45390"/>
    <w:rsid w:val="12B654AE"/>
    <w:rsid w:val="12C0114D"/>
    <w:rsid w:val="12E070F9"/>
    <w:rsid w:val="12E666D9"/>
    <w:rsid w:val="130848A2"/>
    <w:rsid w:val="130C21B1"/>
    <w:rsid w:val="132C1272"/>
    <w:rsid w:val="133325C3"/>
    <w:rsid w:val="13437F45"/>
    <w:rsid w:val="134C478E"/>
    <w:rsid w:val="135B70C7"/>
    <w:rsid w:val="136840DC"/>
    <w:rsid w:val="137912FC"/>
    <w:rsid w:val="13871C6A"/>
    <w:rsid w:val="1389079A"/>
    <w:rsid w:val="13912AE9"/>
    <w:rsid w:val="139323BD"/>
    <w:rsid w:val="13987F9F"/>
    <w:rsid w:val="13BA2040"/>
    <w:rsid w:val="13C363FE"/>
    <w:rsid w:val="13D11138"/>
    <w:rsid w:val="13DB75C0"/>
    <w:rsid w:val="13E242C4"/>
    <w:rsid w:val="13E52847"/>
    <w:rsid w:val="13E56991"/>
    <w:rsid w:val="13ED13E4"/>
    <w:rsid w:val="13EF27B0"/>
    <w:rsid w:val="14011A1D"/>
    <w:rsid w:val="14045069"/>
    <w:rsid w:val="14131750"/>
    <w:rsid w:val="141F65E1"/>
    <w:rsid w:val="14210A80"/>
    <w:rsid w:val="14264498"/>
    <w:rsid w:val="14475238"/>
    <w:rsid w:val="144D4C62"/>
    <w:rsid w:val="146D70B2"/>
    <w:rsid w:val="147246C9"/>
    <w:rsid w:val="148E0471"/>
    <w:rsid w:val="149231A8"/>
    <w:rsid w:val="14A1787B"/>
    <w:rsid w:val="14A30D26"/>
    <w:rsid w:val="14A32948"/>
    <w:rsid w:val="14AF76CB"/>
    <w:rsid w:val="14B25495"/>
    <w:rsid w:val="14B52807"/>
    <w:rsid w:val="14BB5FFC"/>
    <w:rsid w:val="14BB6070"/>
    <w:rsid w:val="14C84656"/>
    <w:rsid w:val="14CA040B"/>
    <w:rsid w:val="14CF6317"/>
    <w:rsid w:val="14E8498B"/>
    <w:rsid w:val="14F14BBD"/>
    <w:rsid w:val="14F466BA"/>
    <w:rsid w:val="150978C9"/>
    <w:rsid w:val="150C0679"/>
    <w:rsid w:val="15267261"/>
    <w:rsid w:val="152D239E"/>
    <w:rsid w:val="153B0F5F"/>
    <w:rsid w:val="154A0D88"/>
    <w:rsid w:val="155A5873"/>
    <w:rsid w:val="155E2E9F"/>
    <w:rsid w:val="156215E4"/>
    <w:rsid w:val="156222A6"/>
    <w:rsid w:val="156F0C08"/>
    <w:rsid w:val="15714980"/>
    <w:rsid w:val="157B1B36"/>
    <w:rsid w:val="157D1577"/>
    <w:rsid w:val="158A77F0"/>
    <w:rsid w:val="159D25CE"/>
    <w:rsid w:val="15A164FA"/>
    <w:rsid w:val="15A967C0"/>
    <w:rsid w:val="15AC064E"/>
    <w:rsid w:val="15B50D11"/>
    <w:rsid w:val="15B66837"/>
    <w:rsid w:val="15C34AB0"/>
    <w:rsid w:val="15D867AD"/>
    <w:rsid w:val="15DE2644"/>
    <w:rsid w:val="15E10B5F"/>
    <w:rsid w:val="15EC2259"/>
    <w:rsid w:val="15F64E85"/>
    <w:rsid w:val="15FB06EE"/>
    <w:rsid w:val="15FE3F1E"/>
    <w:rsid w:val="160D0017"/>
    <w:rsid w:val="16107650"/>
    <w:rsid w:val="16162146"/>
    <w:rsid w:val="1618304E"/>
    <w:rsid w:val="1624728A"/>
    <w:rsid w:val="16257519"/>
    <w:rsid w:val="16531AD4"/>
    <w:rsid w:val="165A18B8"/>
    <w:rsid w:val="166B13D0"/>
    <w:rsid w:val="167F4E7B"/>
    <w:rsid w:val="168406E3"/>
    <w:rsid w:val="16907088"/>
    <w:rsid w:val="1695644C"/>
    <w:rsid w:val="16966EA1"/>
    <w:rsid w:val="16A448E1"/>
    <w:rsid w:val="16AB1155"/>
    <w:rsid w:val="16C531D6"/>
    <w:rsid w:val="16D74CB7"/>
    <w:rsid w:val="16DA6555"/>
    <w:rsid w:val="16DC45BB"/>
    <w:rsid w:val="16E13640"/>
    <w:rsid w:val="16E178E4"/>
    <w:rsid w:val="16E41182"/>
    <w:rsid w:val="16F719C5"/>
    <w:rsid w:val="1706559C"/>
    <w:rsid w:val="17112F59"/>
    <w:rsid w:val="17132DB7"/>
    <w:rsid w:val="1720040C"/>
    <w:rsid w:val="172757FB"/>
    <w:rsid w:val="17285513"/>
    <w:rsid w:val="173E4D36"/>
    <w:rsid w:val="174340FA"/>
    <w:rsid w:val="174353C2"/>
    <w:rsid w:val="175400B6"/>
    <w:rsid w:val="175B7696"/>
    <w:rsid w:val="17671DD7"/>
    <w:rsid w:val="176A5B2B"/>
    <w:rsid w:val="177469AA"/>
    <w:rsid w:val="177B16DD"/>
    <w:rsid w:val="178E7A6B"/>
    <w:rsid w:val="1791549D"/>
    <w:rsid w:val="17C25E4A"/>
    <w:rsid w:val="17C744A0"/>
    <w:rsid w:val="17D17958"/>
    <w:rsid w:val="17DA562D"/>
    <w:rsid w:val="18061CB9"/>
    <w:rsid w:val="18087C3C"/>
    <w:rsid w:val="181141F9"/>
    <w:rsid w:val="18375D2F"/>
    <w:rsid w:val="18441ED8"/>
    <w:rsid w:val="18502F73"/>
    <w:rsid w:val="185E7926"/>
    <w:rsid w:val="18610CDC"/>
    <w:rsid w:val="186440A3"/>
    <w:rsid w:val="187829E6"/>
    <w:rsid w:val="187D188E"/>
    <w:rsid w:val="189834D1"/>
    <w:rsid w:val="189B3AC2"/>
    <w:rsid w:val="18A22BD8"/>
    <w:rsid w:val="18A94431"/>
    <w:rsid w:val="18B30121"/>
    <w:rsid w:val="18F037FC"/>
    <w:rsid w:val="18F65353"/>
    <w:rsid w:val="18F935F9"/>
    <w:rsid w:val="190D2F2B"/>
    <w:rsid w:val="19185113"/>
    <w:rsid w:val="19202945"/>
    <w:rsid w:val="19221BB5"/>
    <w:rsid w:val="19235F91"/>
    <w:rsid w:val="19265A82"/>
    <w:rsid w:val="19297320"/>
    <w:rsid w:val="193957B5"/>
    <w:rsid w:val="194660D8"/>
    <w:rsid w:val="194C09C8"/>
    <w:rsid w:val="194D4992"/>
    <w:rsid w:val="196B16E7"/>
    <w:rsid w:val="19776080"/>
    <w:rsid w:val="198E3B29"/>
    <w:rsid w:val="199E1FF5"/>
    <w:rsid w:val="19A63DB2"/>
    <w:rsid w:val="19B579D5"/>
    <w:rsid w:val="19BB441C"/>
    <w:rsid w:val="19C36022"/>
    <w:rsid w:val="19C857A0"/>
    <w:rsid w:val="19DC2103"/>
    <w:rsid w:val="19E21A89"/>
    <w:rsid w:val="19F24C9B"/>
    <w:rsid w:val="1A1816AF"/>
    <w:rsid w:val="1A3348FA"/>
    <w:rsid w:val="1A361CF4"/>
    <w:rsid w:val="1A3911B5"/>
    <w:rsid w:val="1A424B3D"/>
    <w:rsid w:val="1A4C1518"/>
    <w:rsid w:val="1A4F7624"/>
    <w:rsid w:val="1A516B2E"/>
    <w:rsid w:val="1A5664B6"/>
    <w:rsid w:val="1A621182"/>
    <w:rsid w:val="1A665E49"/>
    <w:rsid w:val="1A716259"/>
    <w:rsid w:val="1A7176E9"/>
    <w:rsid w:val="1A73374A"/>
    <w:rsid w:val="1A796D0D"/>
    <w:rsid w:val="1A89451A"/>
    <w:rsid w:val="1A9133CF"/>
    <w:rsid w:val="1A9F0722"/>
    <w:rsid w:val="1AA0596C"/>
    <w:rsid w:val="1AAB26E2"/>
    <w:rsid w:val="1ABA0B77"/>
    <w:rsid w:val="1ACB45A6"/>
    <w:rsid w:val="1AD75285"/>
    <w:rsid w:val="1ADE4059"/>
    <w:rsid w:val="1AE32ECD"/>
    <w:rsid w:val="1B0043D4"/>
    <w:rsid w:val="1B062F68"/>
    <w:rsid w:val="1B0F134B"/>
    <w:rsid w:val="1B177D78"/>
    <w:rsid w:val="1B1833B1"/>
    <w:rsid w:val="1B1E4D15"/>
    <w:rsid w:val="1B2304CB"/>
    <w:rsid w:val="1B3E5305"/>
    <w:rsid w:val="1B435D16"/>
    <w:rsid w:val="1B574618"/>
    <w:rsid w:val="1B66485B"/>
    <w:rsid w:val="1B683882"/>
    <w:rsid w:val="1B6C00C4"/>
    <w:rsid w:val="1B802BEE"/>
    <w:rsid w:val="1B811695"/>
    <w:rsid w:val="1B931F68"/>
    <w:rsid w:val="1B9B2559"/>
    <w:rsid w:val="1BA01B1B"/>
    <w:rsid w:val="1BAB04C0"/>
    <w:rsid w:val="1BB11250"/>
    <w:rsid w:val="1BCF3911"/>
    <w:rsid w:val="1BD619E1"/>
    <w:rsid w:val="1BE3633F"/>
    <w:rsid w:val="1BF03A5D"/>
    <w:rsid w:val="1BFC6C3F"/>
    <w:rsid w:val="1C0A168B"/>
    <w:rsid w:val="1C0F0A4F"/>
    <w:rsid w:val="1C201F23"/>
    <w:rsid w:val="1C211D79"/>
    <w:rsid w:val="1C305423"/>
    <w:rsid w:val="1C444B9D"/>
    <w:rsid w:val="1C476C60"/>
    <w:rsid w:val="1C4B24C6"/>
    <w:rsid w:val="1C4E5A1B"/>
    <w:rsid w:val="1C4F52EF"/>
    <w:rsid w:val="1C5823F6"/>
    <w:rsid w:val="1C69015F"/>
    <w:rsid w:val="1C752FA8"/>
    <w:rsid w:val="1C76287C"/>
    <w:rsid w:val="1C7860F9"/>
    <w:rsid w:val="1C787B9A"/>
    <w:rsid w:val="1C7B4336"/>
    <w:rsid w:val="1C7D3C0B"/>
    <w:rsid w:val="1C8256C5"/>
    <w:rsid w:val="1C856F63"/>
    <w:rsid w:val="1C861D86"/>
    <w:rsid w:val="1C8A6B97"/>
    <w:rsid w:val="1C941E1E"/>
    <w:rsid w:val="1CA23671"/>
    <w:rsid w:val="1CA60463"/>
    <w:rsid w:val="1CA67605"/>
    <w:rsid w:val="1CBA09BB"/>
    <w:rsid w:val="1CC82894"/>
    <w:rsid w:val="1CD32CF2"/>
    <w:rsid w:val="1CD852E5"/>
    <w:rsid w:val="1CDF07BC"/>
    <w:rsid w:val="1CEE5B24"/>
    <w:rsid w:val="1CF77E61"/>
    <w:rsid w:val="1CFA1A59"/>
    <w:rsid w:val="1D0600A4"/>
    <w:rsid w:val="1D1327C1"/>
    <w:rsid w:val="1D2B3667"/>
    <w:rsid w:val="1D3C3AC6"/>
    <w:rsid w:val="1D3C5874"/>
    <w:rsid w:val="1D434E54"/>
    <w:rsid w:val="1D4440F8"/>
    <w:rsid w:val="1D540DB7"/>
    <w:rsid w:val="1D596426"/>
    <w:rsid w:val="1D5F77B4"/>
    <w:rsid w:val="1D813BCE"/>
    <w:rsid w:val="1DA376A1"/>
    <w:rsid w:val="1DB001FD"/>
    <w:rsid w:val="1DB47B00"/>
    <w:rsid w:val="1DB55626"/>
    <w:rsid w:val="1DB763D2"/>
    <w:rsid w:val="1DD17950"/>
    <w:rsid w:val="1DEC54EC"/>
    <w:rsid w:val="1DF4614E"/>
    <w:rsid w:val="1DFF6944"/>
    <w:rsid w:val="1E0535F5"/>
    <w:rsid w:val="1E0C4941"/>
    <w:rsid w:val="1E1257C2"/>
    <w:rsid w:val="1E1B7B7F"/>
    <w:rsid w:val="1E236F00"/>
    <w:rsid w:val="1E334EC9"/>
    <w:rsid w:val="1E360515"/>
    <w:rsid w:val="1E3D18A3"/>
    <w:rsid w:val="1E4C1AE7"/>
    <w:rsid w:val="1E592455"/>
    <w:rsid w:val="1E595137"/>
    <w:rsid w:val="1E8768B2"/>
    <w:rsid w:val="1E9F430C"/>
    <w:rsid w:val="1EA20A3E"/>
    <w:rsid w:val="1EBE46EA"/>
    <w:rsid w:val="1EC175FF"/>
    <w:rsid w:val="1EDE624F"/>
    <w:rsid w:val="1EE937D9"/>
    <w:rsid w:val="1EEB57A3"/>
    <w:rsid w:val="1EEE2819"/>
    <w:rsid w:val="1EF06916"/>
    <w:rsid w:val="1F040613"/>
    <w:rsid w:val="1F1330A4"/>
    <w:rsid w:val="1F1A7E37"/>
    <w:rsid w:val="1F427750"/>
    <w:rsid w:val="1F4924CA"/>
    <w:rsid w:val="1F4F6990"/>
    <w:rsid w:val="1F576995"/>
    <w:rsid w:val="1F7A2D5A"/>
    <w:rsid w:val="1F8350EC"/>
    <w:rsid w:val="1F83778A"/>
    <w:rsid w:val="1F881244"/>
    <w:rsid w:val="1F9B42EE"/>
    <w:rsid w:val="1F9D6372"/>
    <w:rsid w:val="1FA112A3"/>
    <w:rsid w:val="1FA91497"/>
    <w:rsid w:val="1FAD2A59"/>
    <w:rsid w:val="1FBF453A"/>
    <w:rsid w:val="1FC05E77"/>
    <w:rsid w:val="1FD955FC"/>
    <w:rsid w:val="1FE67D19"/>
    <w:rsid w:val="1FED351D"/>
    <w:rsid w:val="1FF73CD4"/>
    <w:rsid w:val="20000DDB"/>
    <w:rsid w:val="20032679"/>
    <w:rsid w:val="200F7270"/>
    <w:rsid w:val="2010022D"/>
    <w:rsid w:val="20126D60"/>
    <w:rsid w:val="20254CE5"/>
    <w:rsid w:val="20347628"/>
    <w:rsid w:val="203F3782"/>
    <w:rsid w:val="203F37A0"/>
    <w:rsid w:val="204607B7"/>
    <w:rsid w:val="20473635"/>
    <w:rsid w:val="204F58BE"/>
    <w:rsid w:val="206155F1"/>
    <w:rsid w:val="206908D1"/>
    <w:rsid w:val="20694A4E"/>
    <w:rsid w:val="20914128"/>
    <w:rsid w:val="209150AE"/>
    <w:rsid w:val="20AD0837"/>
    <w:rsid w:val="20B816B5"/>
    <w:rsid w:val="20C003FB"/>
    <w:rsid w:val="20CA675D"/>
    <w:rsid w:val="20CE0ED9"/>
    <w:rsid w:val="20D66A29"/>
    <w:rsid w:val="20D858B3"/>
    <w:rsid w:val="20FD531A"/>
    <w:rsid w:val="21021BA7"/>
    <w:rsid w:val="21026F54"/>
    <w:rsid w:val="210677EE"/>
    <w:rsid w:val="210F052D"/>
    <w:rsid w:val="21384A02"/>
    <w:rsid w:val="213A5772"/>
    <w:rsid w:val="215F7D83"/>
    <w:rsid w:val="216058A9"/>
    <w:rsid w:val="21626ADF"/>
    <w:rsid w:val="2173322B"/>
    <w:rsid w:val="217A697A"/>
    <w:rsid w:val="21827982"/>
    <w:rsid w:val="21864F93"/>
    <w:rsid w:val="218912A4"/>
    <w:rsid w:val="21893A88"/>
    <w:rsid w:val="219208A9"/>
    <w:rsid w:val="219609E4"/>
    <w:rsid w:val="21977006"/>
    <w:rsid w:val="21983295"/>
    <w:rsid w:val="21A33643"/>
    <w:rsid w:val="21BC6F83"/>
    <w:rsid w:val="21DA5EEC"/>
    <w:rsid w:val="21EE030B"/>
    <w:rsid w:val="21EF0569"/>
    <w:rsid w:val="22031056"/>
    <w:rsid w:val="221E7C3E"/>
    <w:rsid w:val="2221772E"/>
    <w:rsid w:val="22276BA3"/>
    <w:rsid w:val="222B5EB7"/>
    <w:rsid w:val="22482F0D"/>
    <w:rsid w:val="22574EFE"/>
    <w:rsid w:val="225C0356"/>
    <w:rsid w:val="225D4C31"/>
    <w:rsid w:val="226E5BF8"/>
    <w:rsid w:val="22846E7E"/>
    <w:rsid w:val="22872C91"/>
    <w:rsid w:val="22AC349C"/>
    <w:rsid w:val="22B21AF8"/>
    <w:rsid w:val="22D64075"/>
    <w:rsid w:val="22DE117B"/>
    <w:rsid w:val="22E04EF3"/>
    <w:rsid w:val="22E91FFA"/>
    <w:rsid w:val="22EB3FC4"/>
    <w:rsid w:val="22F541FE"/>
    <w:rsid w:val="23044AEC"/>
    <w:rsid w:val="231D1CA3"/>
    <w:rsid w:val="23294AEC"/>
    <w:rsid w:val="2342795C"/>
    <w:rsid w:val="23565ACE"/>
    <w:rsid w:val="23614286"/>
    <w:rsid w:val="23690525"/>
    <w:rsid w:val="2369313B"/>
    <w:rsid w:val="237A68C7"/>
    <w:rsid w:val="2380457E"/>
    <w:rsid w:val="238622A0"/>
    <w:rsid w:val="238E494F"/>
    <w:rsid w:val="239301B8"/>
    <w:rsid w:val="23976E15"/>
    <w:rsid w:val="23977A00"/>
    <w:rsid w:val="239B0E1A"/>
    <w:rsid w:val="23C465C3"/>
    <w:rsid w:val="23C92D48"/>
    <w:rsid w:val="23CE11F0"/>
    <w:rsid w:val="23E12CD1"/>
    <w:rsid w:val="23E822B1"/>
    <w:rsid w:val="23EB6515"/>
    <w:rsid w:val="23F0560A"/>
    <w:rsid w:val="23F67F1C"/>
    <w:rsid w:val="23FC7B0B"/>
    <w:rsid w:val="23FD5041"/>
    <w:rsid w:val="24013373"/>
    <w:rsid w:val="24015121"/>
    <w:rsid w:val="241004F0"/>
    <w:rsid w:val="24554A3A"/>
    <w:rsid w:val="24572F93"/>
    <w:rsid w:val="24575689"/>
    <w:rsid w:val="246200F0"/>
    <w:rsid w:val="24765FE4"/>
    <w:rsid w:val="249C097E"/>
    <w:rsid w:val="249C73E1"/>
    <w:rsid w:val="24B108F5"/>
    <w:rsid w:val="24C148B0"/>
    <w:rsid w:val="24E92FB2"/>
    <w:rsid w:val="24ED56A6"/>
    <w:rsid w:val="24FB35A7"/>
    <w:rsid w:val="2500362B"/>
    <w:rsid w:val="25011861"/>
    <w:rsid w:val="252512E3"/>
    <w:rsid w:val="252643C5"/>
    <w:rsid w:val="253A0D01"/>
    <w:rsid w:val="255319AC"/>
    <w:rsid w:val="25580B74"/>
    <w:rsid w:val="255816B9"/>
    <w:rsid w:val="25657932"/>
    <w:rsid w:val="259E0257"/>
    <w:rsid w:val="25B032A3"/>
    <w:rsid w:val="25B643CE"/>
    <w:rsid w:val="25C6782F"/>
    <w:rsid w:val="25CC175F"/>
    <w:rsid w:val="25DA74AE"/>
    <w:rsid w:val="25E216D7"/>
    <w:rsid w:val="25F70FC9"/>
    <w:rsid w:val="260311CF"/>
    <w:rsid w:val="26055A66"/>
    <w:rsid w:val="261F5D33"/>
    <w:rsid w:val="262E2391"/>
    <w:rsid w:val="262F4DCB"/>
    <w:rsid w:val="263B480B"/>
    <w:rsid w:val="264D0AF2"/>
    <w:rsid w:val="264F6618"/>
    <w:rsid w:val="26541E80"/>
    <w:rsid w:val="26543C2E"/>
    <w:rsid w:val="265507DD"/>
    <w:rsid w:val="265C6F87"/>
    <w:rsid w:val="26633E71"/>
    <w:rsid w:val="2666654B"/>
    <w:rsid w:val="266A16A4"/>
    <w:rsid w:val="266D6A9E"/>
    <w:rsid w:val="266E53E8"/>
    <w:rsid w:val="267918E7"/>
    <w:rsid w:val="268F4C66"/>
    <w:rsid w:val="26906C30"/>
    <w:rsid w:val="2695765F"/>
    <w:rsid w:val="26964247"/>
    <w:rsid w:val="26AD1590"/>
    <w:rsid w:val="26B4794D"/>
    <w:rsid w:val="26B7240F"/>
    <w:rsid w:val="26C16DEA"/>
    <w:rsid w:val="26C402BA"/>
    <w:rsid w:val="26CB02AF"/>
    <w:rsid w:val="26D1527F"/>
    <w:rsid w:val="26D25C1B"/>
    <w:rsid w:val="26D47194"/>
    <w:rsid w:val="26EC61C8"/>
    <w:rsid w:val="26F176CF"/>
    <w:rsid w:val="26F65A2F"/>
    <w:rsid w:val="26FB22FC"/>
    <w:rsid w:val="27020657"/>
    <w:rsid w:val="2714385B"/>
    <w:rsid w:val="27167136"/>
    <w:rsid w:val="2723183D"/>
    <w:rsid w:val="273E26C1"/>
    <w:rsid w:val="27402404"/>
    <w:rsid w:val="27440052"/>
    <w:rsid w:val="27451882"/>
    <w:rsid w:val="27512FFB"/>
    <w:rsid w:val="277B343D"/>
    <w:rsid w:val="2797123F"/>
    <w:rsid w:val="27A6670B"/>
    <w:rsid w:val="27B52C98"/>
    <w:rsid w:val="27BB7CDD"/>
    <w:rsid w:val="27BC1FD7"/>
    <w:rsid w:val="27BD3A55"/>
    <w:rsid w:val="27C272BD"/>
    <w:rsid w:val="27E92C02"/>
    <w:rsid w:val="27E965F8"/>
    <w:rsid w:val="28025865"/>
    <w:rsid w:val="280F5779"/>
    <w:rsid w:val="28180C8B"/>
    <w:rsid w:val="28186506"/>
    <w:rsid w:val="282615FA"/>
    <w:rsid w:val="28282749"/>
    <w:rsid w:val="28292E99"/>
    <w:rsid w:val="284F0668"/>
    <w:rsid w:val="28575C58"/>
    <w:rsid w:val="285807DA"/>
    <w:rsid w:val="285C14C0"/>
    <w:rsid w:val="28642123"/>
    <w:rsid w:val="286B66AA"/>
    <w:rsid w:val="28702875"/>
    <w:rsid w:val="287615B1"/>
    <w:rsid w:val="28795BCE"/>
    <w:rsid w:val="28956DC7"/>
    <w:rsid w:val="2898365D"/>
    <w:rsid w:val="289A78F2"/>
    <w:rsid w:val="28B473A1"/>
    <w:rsid w:val="28BB698C"/>
    <w:rsid w:val="28D177B8"/>
    <w:rsid w:val="28E50F0C"/>
    <w:rsid w:val="28ED3EC6"/>
    <w:rsid w:val="28EF40E2"/>
    <w:rsid w:val="28F92C9D"/>
    <w:rsid w:val="290220EB"/>
    <w:rsid w:val="291476A5"/>
    <w:rsid w:val="291B4ED7"/>
    <w:rsid w:val="293935AF"/>
    <w:rsid w:val="29453D02"/>
    <w:rsid w:val="29455BCD"/>
    <w:rsid w:val="294A5D14"/>
    <w:rsid w:val="294F2DD3"/>
    <w:rsid w:val="29564161"/>
    <w:rsid w:val="296D777F"/>
    <w:rsid w:val="29785E86"/>
    <w:rsid w:val="297A3E8D"/>
    <w:rsid w:val="297E7214"/>
    <w:rsid w:val="298A5BB9"/>
    <w:rsid w:val="298E38FB"/>
    <w:rsid w:val="29946A38"/>
    <w:rsid w:val="29982961"/>
    <w:rsid w:val="29AE18A7"/>
    <w:rsid w:val="29BA649E"/>
    <w:rsid w:val="29BD1AEA"/>
    <w:rsid w:val="29CE3CF8"/>
    <w:rsid w:val="29D1522B"/>
    <w:rsid w:val="29D74120"/>
    <w:rsid w:val="29E03A2B"/>
    <w:rsid w:val="29E11C7D"/>
    <w:rsid w:val="29EA6657"/>
    <w:rsid w:val="29ED6C5C"/>
    <w:rsid w:val="29F1100D"/>
    <w:rsid w:val="29F319B0"/>
    <w:rsid w:val="2A1279EA"/>
    <w:rsid w:val="2A1A6F3D"/>
    <w:rsid w:val="2A241B69"/>
    <w:rsid w:val="2A273408"/>
    <w:rsid w:val="2A2D1DAA"/>
    <w:rsid w:val="2A2E6B5F"/>
    <w:rsid w:val="2A331DAD"/>
    <w:rsid w:val="2A3B0FD9"/>
    <w:rsid w:val="2A3F7165"/>
    <w:rsid w:val="2A452B85"/>
    <w:rsid w:val="2A460026"/>
    <w:rsid w:val="2A486BB9"/>
    <w:rsid w:val="2A4C2E6E"/>
    <w:rsid w:val="2A570191"/>
    <w:rsid w:val="2A5C7555"/>
    <w:rsid w:val="2A6E7663"/>
    <w:rsid w:val="2A7C3754"/>
    <w:rsid w:val="2A842AC9"/>
    <w:rsid w:val="2A862824"/>
    <w:rsid w:val="2AA66A22"/>
    <w:rsid w:val="2AAE1670"/>
    <w:rsid w:val="2AB078A1"/>
    <w:rsid w:val="2AB54D85"/>
    <w:rsid w:val="2AC375D4"/>
    <w:rsid w:val="2AC66973"/>
    <w:rsid w:val="2AD74E2E"/>
    <w:rsid w:val="2AE82B97"/>
    <w:rsid w:val="2AEB2687"/>
    <w:rsid w:val="2AF12D17"/>
    <w:rsid w:val="2B011EAB"/>
    <w:rsid w:val="2B0D0850"/>
    <w:rsid w:val="2B253DEB"/>
    <w:rsid w:val="2B2A4DA5"/>
    <w:rsid w:val="2B2C517A"/>
    <w:rsid w:val="2B3300A8"/>
    <w:rsid w:val="2B536BAA"/>
    <w:rsid w:val="2B6052C0"/>
    <w:rsid w:val="2B653518"/>
    <w:rsid w:val="2B6B113D"/>
    <w:rsid w:val="2B6D742E"/>
    <w:rsid w:val="2B6D7540"/>
    <w:rsid w:val="2B8925CC"/>
    <w:rsid w:val="2B9454DA"/>
    <w:rsid w:val="2B960845"/>
    <w:rsid w:val="2BB138D1"/>
    <w:rsid w:val="2BB1567F"/>
    <w:rsid w:val="2BB4614D"/>
    <w:rsid w:val="2BB51529"/>
    <w:rsid w:val="2BB77B14"/>
    <w:rsid w:val="2BC25D8B"/>
    <w:rsid w:val="2BC5234B"/>
    <w:rsid w:val="2BC52E78"/>
    <w:rsid w:val="2BCC24B9"/>
    <w:rsid w:val="2BCC7015"/>
    <w:rsid w:val="2BDC16B7"/>
    <w:rsid w:val="2BEE242F"/>
    <w:rsid w:val="2C1722A2"/>
    <w:rsid w:val="2C1B0D4A"/>
    <w:rsid w:val="2C1B6F9C"/>
    <w:rsid w:val="2C2438DA"/>
    <w:rsid w:val="2C2B1744"/>
    <w:rsid w:val="2C4D184B"/>
    <w:rsid w:val="2C5030EA"/>
    <w:rsid w:val="2C570661"/>
    <w:rsid w:val="2C5C383D"/>
    <w:rsid w:val="2C6572E0"/>
    <w:rsid w:val="2C7C2E07"/>
    <w:rsid w:val="2C9C00DD"/>
    <w:rsid w:val="2CA156F3"/>
    <w:rsid w:val="2CA80B9C"/>
    <w:rsid w:val="2CB01DDA"/>
    <w:rsid w:val="2CBA3E3D"/>
    <w:rsid w:val="2CCB6C14"/>
    <w:rsid w:val="2CD0422B"/>
    <w:rsid w:val="2CE078FE"/>
    <w:rsid w:val="2CED0939"/>
    <w:rsid w:val="2CF34465"/>
    <w:rsid w:val="2CF55A3F"/>
    <w:rsid w:val="2CF6181E"/>
    <w:rsid w:val="2CFD663C"/>
    <w:rsid w:val="2D1E4F96"/>
    <w:rsid w:val="2D1F6B19"/>
    <w:rsid w:val="2D216834"/>
    <w:rsid w:val="2D355E3C"/>
    <w:rsid w:val="2D3B5BE3"/>
    <w:rsid w:val="2D3E73E6"/>
    <w:rsid w:val="2D4A16A3"/>
    <w:rsid w:val="2D541AD2"/>
    <w:rsid w:val="2D6709D9"/>
    <w:rsid w:val="2D7352E2"/>
    <w:rsid w:val="2D7B23E8"/>
    <w:rsid w:val="2D834DF9"/>
    <w:rsid w:val="2D8A685B"/>
    <w:rsid w:val="2D8D2A73"/>
    <w:rsid w:val="2D8F379E"/>
    <w:rsid w:val="2DA134D1"/>
    <w:rsid w:val="2DA5091B"/>
    <w:rsid w:val="2DE81608"/>
    <w:rsid w:val="2DE9470A"/>
    <w:rsid w:val="2DEC299E"/>
    <w:rsid w:val="2DEC6934"/>
    <w:rsid w:val="2E027D0C"/>
    <w:rsid w:val="2E081587"/>
    <w:rsid w:val="2E0E500A"/>
    <w:rsid w:val="2E2959A0"/>
    <w:rsid w:val="2E36630F"/>
    <w:rsid w:val="2E5549E7"/>
    <w:rsid w:val="2E60513A"/>
    <w:rsid w:val="2E6703FE"/>
    <w:rsid w:val="2E714C39"/>
    <w:rsid w:val="2E755089"/>
    <w:rsid w:val="2E81758A"/>
    <w:rsid w:val="2E913C85"/>
    <w:rsid w:val="2E9F5C62"/>
    <w:rsid w:val="2EA8720D"/>
    <w:rsid w:val="2EAE40F8"/>
    <w:rsid w:val="2ECF6C02"/>
    <w:rsid w:val="2ED05F2C"/>
    <w:rsid w:val="2EE20C8D"/>
    <w:rsid w:val="2EF015F2"/>
    <w:rsid w:val="2EF76D0D"/>
    <w:rsid w:val="2EFA10EB"/>
    <w:rsid w:val="2F0401BB"/>
    <w:rsid w:val="2F05640D"/>
    <w:rsid w:val="2F10090E"/>
    <w:rsid w:val="2F192FE1"/>
    <w:rsid w:val="2F236DF6"/>
    <w:rsid w:val="2F310DB7"/>
    <w:rsid w:val="2F34284F"/>
    <w:rsid w:val="2F3523B0"/>
    <w:rsid w:val="2F3917FD"/>
    <w:rsid w:val="2F432A92"/>
    <w:rsid w:val="2F5B645A"/>
    <w:rsid w:val="2F787D80"/>
    <w:rsid w:val="2FA23358"/>
    <w:rsid w:val="2FAD2601"/>
    <w:rsid w:val="2FAD520D"/>
    <w:rsid w:val="2FC11C09"/>
    <w:rsid w:val="2FD4704F"/>
    <w:rsid w:val="2FE64BC4"/>
    <w:rsid w:val="30094D49"/>
    <w:rsid w:val="3014442E"/>
    <w:rsid w:val="301663F8"/>
    <w:rsid w:val="301C1552"/>
    <w:rsid w:val="302F1268"/>
    <w:rsid w:val="30332B06"/>
    <w:rsid w:val="303C512C"/>
    <w:rsid w:val="30474804"/>
    <w:rsid w:val="304C7529"/>
    <w:rsid w:val="30511D49"/>
    <w:rsid w:val="305D6801"/>
    <w:rsid w:val="306C59E5"/>
    <w:rsid w:val="307E39A9"/>
    <w:rsid w:val="307F3389"/>
    <w:rsid w:val="30A17913"/>
    <w:rsid w:val="30A73B89"/>
    <w:rsid w:val="30B37D53"/>
    <w:rsid w:val="30C10112"/>
    <w:rsid w:val="30C108CE"/>
    <w:rsid w:val="30D532F1"/>
    <w:rsid w:val="30DF67EA"/>
    <w:rsid w:val="30E81B43"/>
    <w:rsid w:val="31075C7B"/>
    <w:rsid w:val="31184E5D"/>
    <w:rsid w:val="31224FC7"/>
    <w:rsid w:val="3123105B"/>
    <w:rsid w:val="31293F09"/>
    <w:rsid w:val="313519DB"/>
    <w:rsid w:val="31477649"/>
    <w:rsid w:val="314825E1"/>
    <w:rsid w:val="314A512C"/>
    <w:rsid w:val="31554CFE"/>
    <w:rsid w:val="3163083B"/>
    <w:rsid w:val="317258B0"/>
    <w:rsid w:val="31794E91"/>
    <w:rsid w:val="31833619"/>
    <w:rsid w:val="318A774D"/>
    <w:rsid w:val="318D33AD"/>
    <w:rsid w:val="318F1FBE"/>
    <w:rsid w:val="319206B5"/>
    <w:rsid w:val="31921AAF"/>
    <w:rsid w:val="31994BEB"/>
    <w:rsid w:val="319C0B7F"/>
    <w:rsid w:val="319C41F2"/>
    <w:rsid w:val="31A57A34"/>
    <w:rsid w:val="31AB491E"/>
    <w:rsid w:val="31B35A94"/>
    <w:rsid w:val="31BC30B4"/>
    <w:rsid w:val="31BE4652"/>
    <w:rsid w:val="31DC15BD"/>
    <w:rsid w:val="31DD21C3"/>
    <w:rsid w:val="31E3249B"/>
    <w:rsid w:val="31ED656D"/>
    <w:rsid w:val="31F12C79"/>
    <w:rsid w:val="3208070E"/>
    <w:rsid w:val="320F75A3"/>
    <w:rsid w:val="32171FB4"/>
    <w:rsid w:val="32183678"/>
    <w:rsid w:val="32252923"/>
    <w:rsid w:val="322F09AB"/>
    <w:rsid w:val="324A1717"/>
    <w:rsid w:val="325B257B"/>
    <w:rsid w:val="32863FA2"/>
    <w:rsid w:val="328F520E"/>
    <w:rsid w:val="32C15A1E"/>
    <w:rsid w:val="32DC19B9"/>
    <w:rsid w:val="32DC56D7"/>
    <w:rsid w:val="32E45375"/>
    <w:rsid w:val="32EE71B8"/>
    <w:rsid w:val="32EF213D"/>
    <w:rsid w:val="32F3657D"/>
    <w:rsid w:val="32F72511"/>
    <w:rsid w:val="33043A40"/>
    <w:rsid w:val="33095DA0"/>
    <w:rsid w:val="330C524D"/>
    <w:rsid w:val="3312343E"/>
    <w:rsid w:val="33227016"/>
    <w:rsid w:val="33272EB3"/>
    <w:rsid w:val="332B5D17"/>
    <w:rsid w:val="33417BC5"/>
    <w:rsid w:val="33422039"/>
    <w:rsid w:val="33480F8C"/>
    <w:rsid w:val="335A65FC"/>
    <w:rsid w:val="33671195"/>
    <w:rsid w:val="33792555"/>
    <w:rsid w:val="337977C2"/>
    <w:rsid w:val="33863895"/>
    <w:rsid w:val="33944C18"/>
    <w:rsid w:val="33946166"/>
    <w:rsid w:val="33AD497E"/>
    <w:rsid w:val="33AD7846"/>
    <w:rsid w:val="33AE08E1"/>
    <w:rsid w:val="33C1328F"/>
    <w:rsid w:val="33C7653D"/>
    <w:rsid w:val="33CD3EE8"/>
    <w:rsid w:val="33D12D62"/>
    <w:rsid w:val="33DB6283"/>
    <w:rsid w:val="33F231C8"/>
    <w:rsid w:val="33FC7FAB"/>
    <w:rsid w:val="33FE5C49"/>
    <w:rsid w:val="342015F4"/>
    <w:rsid w:val="342041FD"/>
    <w:rsid w:val="34207846"/>
    <w:rsid w:val="34256C0A"/>
    <w:rsid w:val="342E014E"/>
    <w:rsid w:val="342E1F62"/>
    <w:rsid w:val="343B642D"/>
    <w:rsid w:val="344A041F"/>
    <w:rsid w:val="345117AD"/>
    <w:rsid w:val="34816757"/>
    <w:rsid w:val="34930017"/>
    <w:rsid w:val="34942B05"/>
    <w:rsid w:val="349D49F2"/>
    <w:rsid w:val="34BC24AA"/>
    <w:rsid w:val="34C60CFA"/>
    <w:rsid w:val="34DF500B"/>
    <w:rsid w:val="34E82D91"/>
    <w:rsid w:val="34F82E04"/>
    <w:rsid w:val="350C3926"/>
    <w:rsid w:val="351B1DBB"/>
    <w:rsid w:val="35214225"/>
    <w:rsid w:val="35245113"/>
    <w:rsid w:val="35292E04"/>
    <w:rsid w:val="352B46F4"/>
    <w:rsid w:val="352E1AEE"/>
    <w:rsid w:val="3545783E"/>
    <w:rsid w:val="35655D3C"/>
    <w:rsid w:val="358111A5"/>
    <w:rsid w:val="35AD6EB7"/>
    <w:rsid w:val="35B244CD"/>
    <w:rsid w:val="35B5220F"/>
    <w:rsid w:val="35C236B1"/>
    <w:rsid w:val="35D46B3A"/>
    <w:rsid w:val="35E3774B"/>
    <w:rsid w:val="35F21B69"/>
    <w:rsid w:val="36043895"/>
    <w:rsid w:val="36104FF7"/>
    <w:rsid w:val="36176A26"/>
    <w:rsid w:val="36257395"/>
    <w:rsid w:val="363475D8"/>
    <w:rsid w:val="3638554B"/>
    <w:rsid w:val="363D36A0"/>
    <w:rsid w:val="363F311F"/>
    <w:rsid w:val="364E3013"/>
    <w:rsid w:val="36537489"/>
    <w:rsid w:val="366C4FC4"/>
    <w:rsid w:val="366F7F25"/>
    <w:rsid w:val="3674345C"/>
    <w:rsid w:val="36851BE2"/>
    <w:rsid w:val="369266B5"/>
    <w:rsid w:val="36AB2E11"/>
    <w:rsid w:val="36C3270A"/>
    <w:rsid w:val="36DB07EC"/>
    <w:rsid w:val="36DF1167"/>
    <w:rsid w:val="36E032BC"/>
    <w:rsid w:val="36E07AD7"/>
    <w:rsid w:val="36F1357C"/>
    <w:rsid w:val="36FB00F6"/>
    <w:rsid w:val="37054AD1"/>
    <w:rsid w:val="372C64DF"/>
    <w:rsid w:val="374E46CA"/>
    <w:rsid w:val="3753219D"/>
    <w:rsid w:val="37585548"/>
    <w:rsid w:val="37603344"/>
    <w:rsid w:val="37645C9B"/>
    <w:rsid w:val="376D2DA2"/>
    <w:rsid w:val="37814154"/>
    <w:rsid w:val="3784550F"/>
    <w:rsid w:val="379E73FF"/>
    <w:rsid w:val="379F4F25"/>
    <w:rsid w:val="37AC38B5"/>
    <w:rsid w:val="37BA0A4D"/>
    <w:rsid w:val="37BB6F8D"/>
    <w:rsid w:val="37DB1B79"/>
    <w:rsid w:val="37EB335B"/>
    <w:rsid w:val="37FA77C2"/>
    <w:rsid w:val="3801173C"/>
    <w:rsid w:val="38116670"/>
    <w:rsid w:val="38284F1B"/>
    <w:rsid w:val="382A45EF"/>
    <w:rsid w:val="384A4E91"/>
    <w:rsid w:val="384D2BD3"/>
    <w:rsid w:val="38526424"/>
    <w:rsid w:val="385E65D1"/>
    <w:rsid w:val="386017F8"/>
    <w:rsid w:val="38610B18"/>
    <w:rsid w:val="386817BB"/>
    <w:rsid w:val="38681FBE"/>
    <w:rsid w:val="386E33CE"/>
    <w:rsid w:val="38825EDB"/>
    <w:rsid w:val="388A34DF"/>
    <w:rsid w:val="389B749B"/>
    <w:rsid w:val="38A071A7"/>
    <w:rsid w:val="38B4055C"/>
    <w:rsid w:val="38CA271F"/>
    <w:rsid w:val="38E84D15"/>
    <w:rsid w:val="38ED44C0"/>
    <w:rsid w:val="38F657B5"/>
    <w:rsid w:val="39167469"/>
    <w:rsid w:val="39172F32"/>
    <w:rsid w:val="391D0F0E"/>
    <w:rsid w:val="39214559"/>
    <w:rsid w:val="3938118D"/>
    <w:rsid w:val="393D2C48"/>
    <w:rsid w:val="394668D6"/>
    <w:rsid w:val="39627FB8"/>
    <w:rsid w:val="396C5F31"/>
    <w:rsid w:val="398C3287"/>
    <w:rsid w:val="39930370"/>
    <w:rsid w:val="399400C2"/>
    <w:rsid w:val="39A17309"/>
    <w:rsid w:val="39A700C1"/>
    <w:rsid w:val="39B06F76"/>
    <w:rsid w:val="39B27192"/>
    <w:rsid w:val="39C039CA"/>
    <w:rsid w:val="39C42A21"/>
    <w:rsid w:val="39CE35B2"/>
    <w:rsid w:val="39DB2962"/>
    <w:rsid w:val="39E04FFD"/>
    <w:rsid w:val="39E15381"/>
    <w:rsid w:val="39ED1F78"/>
    <w:rsid w:val="39F14478"/>
    <w:rsid w:val="39F41A62"/>
    <w:rsid w:val="3A033624"/>
    <w:rsid w:val="3A135F4B"/>
    <w:rsid w:val="3A1D2AB6"/>
    <w:rsid w:val="3A2B6D34"/>
    <w:rsid w:val="3A6A646E"/>
    <w:rsid w:val="3A7637E4"/>
    <w:rsid w:val="3A766411"/>
    <w:rsid w:val="3A8448AA"/>
    <w:rsid w:val="3A89574F"/>
    <w:rsid w:val="3A922B1F"/>
    <w:rsid w:val="3A943616"/>
    <w:rsid w:val="3AAC1615"/>
    <w:rsid w:val="3AC52EF5"/>
    <w:rsid w:val="3ADB0022"/>
    <w:rsid w:val="3AE91605"/>
    <w:rsid w:val="3AF539A8"/>
    <w:rsid w:val="3AFB06C4"/>
    <w:rsid w:val="3B070E17"/>
    <w:rsid w:val="3B2131C7"/>
    <w:rsid w:val="3B2E5341"/>
    <w:rsid w:val="3B3836C7"/>
    <w:rsid w:val="3B5C7A01"/>
    <w:rsid w:val="3B8763FC"/>
    <w:rsid w:val="3B9276ED"/>
    <w:rsid w:val="3BB840E2"/>
    <w:rsid w:val="3BD17677"/>
    <w:rsid w:val="3BD31641"/>
    <w:rsid w:val="3BD94120"/>
    <w:rsid w:val="3BDA04CA"/>
    <w:rsid w:val="3BDA652C"/>
    <w:rsid w:val="3BDC6748"/>
    <w:rsid w:val="3BDF3193"/>
    <w:rsid w:val="3BE12C4C"/>
    <w:rsid w:val="3BF05D4F"/>
    <w:rsid w:val="3BF6222E"/>
    <w:rsid w:val="3BFA71F9"/>
    <w:rsid w:val="3C037B74"/>
    <w:rsid w:val="3C054F58"/>
    <w:rsid w:val="3C0812EB"/>
    <w:rsid w:val="3C192A70"/>
    <w:rsid w:val="3C2679C3"/>
    <w:rsid w:val="3C300842"/>
    <w:rsid w:val="3C360EA3"/>
    <w:rsid w:val="3C37397E"/>
    <w:rsid w:val="3C37572C"/>
    <w:rsid w:val="3C4E0CC8"/>
    <w:rsid w:val="3C4E1FFB"/>
    <w:rsid w:val="3C524866"/>
    <w:rsid w:val="3C53008C"/>
    <w:rsid w:val="3C531128"/>
    <w:rsid w:val="3C562233"/>
    <w:rsid w:val="3C58684F"/>
    <w:rsid w:val="3C59493B"/>
    <w:rsid w:val="3C7E15AD"/>
    <w:rsid w:val="3C8F5CA1"/>
    <w:rsid w:val="3C922628"/>
    <w:rsid w:val="3CA07775"/>
    <w:rsid w:val="3CA20B6B"/>
    <w:rsid w:val="3CAF1767"/>
    <w:rsid w:val="3CB20F63"/>
    <w:rsid w:val="3CC571DC"/>
    <w:rsid w:val="3CCA40B5"/>
    <w:rsid w:val="3CCC336B"/>
    <w:rsid w:val="3CCD6091"/>
    <w:rsid w:val="3CE138EA"/>
    <w:rsid w:val="3CE358B4"/>
    <w:rsid w:val="3CED6733"/>
    <w:rsid w:val="3CF46D1B"/>
    <w:rsid w:val="3D023F8C"/>
    <w:rsid w:val="3D053D3F"/>
    <w:rsid w:val="3D1141CF"/>
    <w:rsid w:val="3D26107F"/>
    <w:rsid w:val="3D290A1D"/>
    <w:rsid w:val="3D346230"/>
    <w:rsid w:val="3D385C00"/>
    <w:rsid w:val="3D4445A5"/>
    <w:rsid w:val="3D6764E5"/>
    <w:rsid w:val="3D7D4CCD"/>
    <w:rsid w:val="3DA05C59"/>
    <w:rsid w:val="3DA2453E"/>
    <w:rsid w:val="3DA56ED9"/>
    <w:rsid w:val="3DAB63D2"/>
    <w:rsid w:val="3DB13215"/>
    <w:rsid w:val="3DB956A2"/>
    <w:rsid w:val="3DC16AF2"/>
    <w:rsid w:val="3DC321ED"/>
    <w:rsid w:val="3DCA3E4E"/>
    <w:rsid w:val="3DCE292E"/>
    <w:rsid w:val="3DD35929"/>
    <w:rsid w:val="3DDD2F89"/>
    <w:rsid w:val="3DE07B2C"/>
    <w:rsid w:val="3DE24C14"/>
    <w:rsid w:val="3DE2791A"/>
    <w:rsid w:val="3DE44963"/>
    <w:rsid w:val="3E080B47"/>
    <w:rsid w:val="3E0C52B0"/>
    <w:rsid w:val="3E203312"/>
    <w:rsid w:val="3E21748D"/>
    <w:rsid w:val="3E2A2495"/>
    <w:rsid w:val="3E4C055D"/>
    <w:rsid w:val="3E652089"/>
    <w:rsid w:val="3E921340"/>
    <w:rsid w:val="3E956359"/>
    <w:rsid w:val="3E9B5190"/>
    <w:rsid w:val="3EA5077D"/>
    <w:rsid w:val="3EC3599D"/>
    <w:rsid w:val="3ED437FA"/>
    <w:rsid w:val="3ED6747E"/>
    <w:rsid w:val="3ED96F6F"/>
    <w:rsid w:val="3EDD6FEC"/>
    <w:rsid w:val="3EEE48ED"/>
    <w:rsid w:val="3F0026C7"/>
    <w:rsid w:val="3F057D64"/>
    <w:rsid w:val="3F0F0BE2"/>
    <w:rsid w:val="3F12422F"/>
    <w:rsid w:val="3F126122"/>
    <w:rsid w:val="3F1735F3"/>
    <w:rsid w:val="3F301D6B"/>
    <w:rsid w:val="3F310B59"/>
    <w:rsid w:val="3F4940F4"/>
    <w:rsid w:val="3F5C76FF"/>
    <w:rsid w:val="3F740A45"/>
    <w:rsid w:val="3F792699"/>
    <w:rsid w:val="3F8213B4"/>
    <w:rsid w:val="3F84153E"/>
    <w:rsid w:val="3F854BE5"/>
    <w:rsid w:val="3FA23805"/>
    <w:rsid w:val="3FAB6C6E"/>
    <w:rsid w:val="3FBA6AD4"/>
    <w:rsid w:val="3FC05B70"/>
    <w:rsid w:val="3FC712DF"/>
    <w:rsid w:val="3FCE63A8"/>
    <w:rsid w:val="3FD00372"/>
    <w:rsid w:val="3FD61C25"/>
    <w:rsid w:val="3FE21E53"/>
    <w:rsid w:val="3FE23C01"/>
    <w:rsid w:val="3FE61943"/>
    <w:rsid w:val="3FEC2607"/>
    <w:rsid w:val="4003242E"/>
    <w:rsid w:val="401F30A7"/>
    <w:rsid w:val="40503261"/>
    <w:rsid w:val="405961D5"/>
    <w:rsid w:val="405F2098"/>
    <w:rsid w:val="407940A2"/>
    <w:rsid w:val="40802866"/>
    <w:rsid w:val="4081341A"/>
    <w:rsid w:val="40864277"/>
    <w:rsid w:val="409273D5"/>
    <w:rsid w:val="40972C3D"/>
    <w:rsid w:val="409A44DC"/>
    <w:rsid w:val="40B12033"/>
    <w:rsid w:val="40C90CF4"/>
    <w:rsid w:val="40CB0B39"/>
    <w:rsid w:val="40E85247"/>
    <w:rsid w:val="40EF55BB"/>
    <w:rsid w:val="4106694F"/>
    <w:rsid w:val="410D2F00"/>
    <w:rsid w:val="410F0EEA"/>
    <w:rsid w:val="412A5876"/>
    <w:rsid w:val="412D2AD6"/>
    <w:rsid w:val="412E1B74"/>
    <w:rsid w:val="41350D1C"/>
    <w:rsid w:val="41605725"/>
    <w:rsid w:val="41682D88"/>
    <w:rsid w:val="418103E9"/>
    <w:rsid w:val="41843F96"/>
    <w:rsid w:val="41852113"/>
    <w:rsid w:val="418A27A2"/>
    <w:rsid w:val="41923405"/>
    <w:rsid w:val="419378A9"/>
    <w:rsid w:val="4198255D"/>
    <w:rsid w:val="419B050B"/>
    <w:rsid w:val="41C757A4"/>
    <w:rsid w:val="41D029CA"/>
    <w:rsid w:val="41EF2605"/>
    <w:rsid w:val="41F103DA"/>
    <w:rsid w:val="41FA16D6"/>
    <w:rsid w:val="42013769"/>
    <w:rsid w:val="42086E25"/>
    <w:rsid w:val="42114C71"/>
    <w:rsid w:val="42136176"/>
    <w:rsid w:val="42154762"/>
    <w:rsid w:val="42204EB5"/>
    <w:rsid w:val="422D4294"/>
    <w:rsid w:val="42321CE2"/>
    <w:rsid w:val="42380450"/>
    <w:rsid w:val="42424E2B"/>
    <w:rsid w:val="42491EEA"/>
    <w:rsid w:val="4249440B"/>
    <w:rsid w:val="4251506E"/>
    <w:rsid w:val="425F59DD"/>
    <w:rsid w:val="426254CD"/>
    <w:rsid w:val="428216CB"/>
    <w:rsid w:val="4293471F"/>
    <w:rsid w:val="42B07FE6"/>
    <w:rsid w:val="42B64197"/>
    <w:rsid w:val="42BA2C13"/>
    <w:rsid w:val="42C121F4"/>
    <w:rsid w:val="42C256EF"/>
    <w:rsid w:val="42C40C46"/>
    <w:rsid w:val="42D55C9F"/>
    <w:rsid w:val="42DC702D"/>
    <w:rsid w:val="42E02E70"/>
    <w:rsid w:val="42E303BC"/>
    <w:rsid w:val="42EB01A5"/>
    <w:rsid w:val="42EE1425"/>
    <w:rsid w:val="42F27D13"/>
    <w:rsid w:val="42FF2D1C"/>
    <w:rsid w:val="43087E22"/>
    <w:rsid w:val="430F2F5F"/>
    <w:rsid w:val="432A01EA"/>
    <w:rsid w:val="43363045"/>
    <w:rsid w:val="433943B6"/>
    <w:rsid w:val="433B1DC8"/>
    <w:rsid w:val="43456AF8"/>
    <w:rsid w:val="43471B3D"/>
    <w:rsid w:val="434A21E9"/>
    <w:rsid w:val="434F15AD"/>
    <w:rsid w:val="436D237B"/>
    <w:rsid w:val="437D026C"/>
    <w:rsid w:val="437D25BE"/>
    <w:rsid w:val="43811983"/>
    <w:rsid w:val="43943464"/>
    <w:rsid w:val="439D2AEF"/>
    <w:rsid w:val="439E4C80"/>
    <w:rsid w:val="43AD11C7"/>
    <w:rsid w:val="43D23785"/>
    <w:rsid w:val="43DB61FE"/>
    <w:rsid w:val="43EC7BBD"/>
    <w:rsid w:val="440305EA"/>
    <w:rsid w:val="440A1978"/>
    <w:rsid w:val="44117A48"/>
    <w:rsid w:val="44191BBB"/>
    <w:rsid w:val="44466E54"/>
    <w:rsid w:val="445402FA"/>
    <w:rsid w:val="446F6CAC"/>
    <w:rsid w:val="44A10A6B"/>
    <w:rsid w:val="44AE45F1"/>
    <w:rsid w:val="44C27392"/>
    <w:rsid w:val="44C85ABB"/>
    <w:rsid w:val="44DC3315"/>
    <w:rsid w:val="44DF4BB3"/>
    <w:rsid w:val="44F86E1B"/>
    <w:rsid w:val="450B1E4C"/>
    <w:rsid w:val="452227F6"/>
    <w:rsid w:val="45264590"/>
    <w:rsid w:val="45440EBA"/>
    <w:rsid w:val="45505AB1"/>
    <w:rsid w:val="455A248C"/>
    <w:rsid w:val="45732625"/>
    <w:rsid w:val="457D6C89"/>
    <w:rsid w:val="457E2D97"/>
    <w:rsid w:val="458B7D93"/>
    <w:rsid w:val="45A53288"/>
    <w:rsid w:val="45C8060F"/>
    <w:rsid w:val="45C966C9"/>
    <w:rsid w:val="45CF4C28"/>
    <w:rsid w:val="45D86EA7"/>
    <w:rsid w:val="45EC57D9"/>
    <w:rsid w:val="45FB77CB"/>
    <w:rsid w:val="45FF375F"/>
    <w:rsid w:val="46170DAE"/>
    <w:rsid w:val="46216139"/>
    <w:rsid w:val="462A6302"/>
    <w:rsid w:val="462D078B"/>
    <w:rsid w:val="463B406B"/>
    <w:rsid w:val="464E7BE3"/>
    <w:rsid w:val="464F7B16"/>
    <w:rsid w:val="465758BB"/>
    <w:rsid w:val="465F7B90"/>
    <w:rsid w:val="46657CCF"/>
    <w:rsid w:val="4666118A"/>
    <w:rsid w:val="466753B0"/>
    <w:rsid w:val="4669643F"/>
    <w:rsid w:val="466A0E2B"/>
    <w:rsid w:val="46852872"/>
    <w:rsid w:val="46853538"/>
    <w:rsid w:val="46A41C10"/>
    <w:rsid w:val="46A50E9C"/>
    <w:rsid w:val="46A674D6"/>
    <w:rsid w:val="46A81102"/>
    <w:rsid w:val="46A943A4"/>
    <w:rsid w:val="46BA1434"/>
    <w:rsid w:val="46BF4B9C"/>
    <w:rsid w:val="46D22C21"/>
    <w:rsid w:val="46E44703"/>
    <w:rsid w:val="46E6047B"/>
    <w:rsid w:val="46E86CDC"/>
    <w:rsid w:val="46EB3CE3"/>
    <w:rsid w:val="46EC35B7"/>
    <w:rsid w:val="46EC63E5"/>
    <w:rsid w:val="46F32B98"/>
    <w:rsid w:val="46FE3DB6"/>
    <w:rsid w:val="47040901"/>
    <w:rsid w:val="470E1780"/>
    <w:rsid w:val="470E277E"/>
    <w:rsid w:val="47103B16"/>
    <w:rsid w:val="4714323A"/>
    <w:rsid w:val="471C20EE"/>
    <w:rsid w:val="471E7C15"/>
    <w:rsid w:val="47222787"/>
    <w:rsid w:val="47242D51"/>
    <w:rsid w:val="47373E8E"/>
    <w:rsid w:val="47456DDE"/>
    <w:rsid w:val="474C39E8"/>
    <w:rsid w:val="474D4056"/>
    <w:rsid w:val="47682BEB"/>
    <w:rsid w:val="477A6E15"/>
    <w:rsid w:val="478236BD"/>
    <w:rsid w:val="47947ED7"/>
    <w:rsid w:val="47AF3B20"/>
    <w:rsid w:val="47B6344E"/>
    <w:rsid w:val="47BF2E9A"/>
    <w:rsid w:val="47C03E21"/>
    <w:rsid w:val="47C50090"/>
    <w:rsid w:val="47DE55F6"/>
    <w:rsid w:val="47E744AA"/>
    <w:rsid w:val="47EF7803"/>
    <w:rsid w:val="480212E4"/>
    <w:rsid w:val="48024EB5"/>
    <w:rsid w:val="48143CB0"/>
    <w:rsid w:val="4818117E"/>
    <w:rsid w:val="482D13C8"/>
    <w:rsid w:val="483376F0"/>
    <w:rsid w:val="484713ED"/>
    <w:rsid w:val="48485C7B"/>
    <w:rsid w:val="486D3EFD"/>
    <w:rsid w:val="4880045B"/>
    <w:rsid w:val="48825F81"/>
    <w:rsid w:val="48943F06"/>
    <w:rsid w:val="48950090"/>
    <w:rsid w:val="489D3EF9"/>
    <w:rsid w:val="48AE03C2"/>
    <w:rsid w:val="48C26CC5"/>
    <w:rsid w:val="48C536BB"/>
    <w:rsid w:val="48C53821"/>
    <w:rsid w:val="48DD3AFF"/>
    <w:rsid w:val="48E501D6"/>
    <w:rsid w:val="48E704DA"/>
    <w:rsid w:val="49014BDF"/>
    <w:rsid w:val="49066BB2"/>
    <w:rsid w:val="490E5A67"/>
    <w:rsid w:val="495C38C8"/>
    <w:rsid w:val="4968161B"/>
    <w:rsid w:val="496E6505"/>
    <w:rsid w:val="497418F4"/>
    <w:rsid w:val="49753D38"/>
    <w:rsid w:val="498203D3"/>
    <w:rsid w:val="49875021"/>
    <w:rsid w:val="49A10689"/>
    <w:rsid w:val="49A1072F"/>
    <w:rsid w:val="49AC5F8F"/>
    <w:rsid w:val="49AD34D2"/>
    <w:rsid w:val="49B54BA8"/>
    <w:rsid w:val="49BA74AC"/>
    <w:rsid w:val="49BE56DF"/>
    <w:rsid w:val="49D90450"/>
    <w:rsid w:val="49D96075"/>
    <w:rsid w:val="49E14F29"/>
    <w:rsid w:val="49EC76C1"/>
    <w:rsid w:val="49F36575"/>
    <w:rsid w:val="49F756D7"/>
    <w:rsid w:val="4A0453B7"/>
    <w:rsid w:val="4A197060"/>
    <w:rsid w:val="4A1C3A6C"/>
    <w:rsid w:val="4A1D3554"/>
    <w:rsid w:val="4A2C2019"/>
    <w:rsid w:val="4A365FAC"/>
    <w:rsid w:val="4A394D65"/>
    <w:rsid w:val="4A4A2ACF"/>
    <w:rsid w:val="4A5F6765"/>
    <w:rsid w:val="4A6D3B11"/>
    <w:rsid w:val="4A7349B4"/>
    <w:rsid w:val="4A8835F7"/>
    <w:rsid w:val="4A987CDE"/>
    <w:rsid w:val="4AA03036"/>
    <w:rsid w:val="4AA53061"/>
    <w:rsid w:val="4AA541A9"/>
    <w:rsid w:val="4AA76173"/>
    <w:rsid w:val="4AB63CEA"/>
    <w:rsid w:val="4ABA33B6"/>
    <w:rsid w:val="4ACE3700"/>
    <w:rsid w:val="4AF550D1"/>
    <w:rsid w:val="4AF65903"/>
    <w:rsid w:val="4AFC1560"/>
    <w:rsid w:val="4B057A9D"/>
    <w:rsid w:val="4B0836CE"/>
    <w:rsid w:val="4B0B5503"/>
    <w:rsid w:val="4B0F7073"/>
    <w:rsid w:val="4B166E55"/>
    <w:rsid w:val="4B2652EA"/>
    <w:rsid w:val="4B304EAD"/>
    <w:rsid w:val="4B3F5EA6"/>
    <w:rsid w:val="4B4734B2"/>
    <w:rsid w:val="4B476AAD"/>
    <w:rsid w:val="4B50680B"/>
    <w:rsid w:val="4B566DA7"/>
    <w:rsid w:val="4B5A1437"/>
    <w:rsid w:val="4B6007F4"/>
    <w:rsid w:val="4B693428"/>
    <w:rsid w:val="4B6D3EB8"/>
    <w:rsid w:val="4B6E62AA"/>
    <w:rsid w:val="4B707C68"/>
    <w:rsid w:val="4B841402"/>
    <w:rsid w:val="4B906C3C"/>
    <w:rsid w:val="4B92297F"/>
    <w:rsid w:val="4B9761E7"/>
    <w:rsid w:val="4BA17066"/>
    <w:rsid w:val="4BAB57EF"/>
    <w:rsid w:val="4BC42687"/>
    <w:rsid w:val="4BD672DA"/>
    <w:rsid w:val="4BD72A88"/>
    <w:rsid w:val="4BF70D1F"/>
    <w:rsid w:val="4BF94D80"/>
    <w:rsid w:val="4C066BC9"/>
    <w:rsid w:val="4C1056FF"/>
    <w:rsid w:val="4C2C3EDE"/>
    <w:rsid w:val="4C2C78E3"/>
    <w:rsid w:val="4C3C54D4"/>
    <w:rsid w:val="4C4606D3"/>
    <w:rsid w:val="4C503CB3"/>
    <w:rsid w:val="4C52210E"/>
    <w:rsid w:val="4C992808"/>
    <w:rsid w:val="4C9C64EA"/>
    <w:rsid w:val="4CAF7775"/>
    <w:rsid w:val="4CBE1552"/>
    <w:rsid w:val="4CC27294"/>
    <w:rsid w:val="4CC31472"/>
    <w:rsid w:val="4CC96874"/>
    <w:rsid w:val="4CCA7792"/>
    <w:rsid w:val="4CE10458"/>
    <w:rsid w:val="4CE4545C"/>
    <w:rsid w:val="4CE51C6B"/>
    <w:rsid w:val="4CE63B56"/>
    <w:rsid w:val="4CFA195C"/>
    <w:rsid w:val="4CFA203D"/>
    <w:rsid w:val="4D1D271C"/>
    <w:rsid w:val="4D203FBB"/>
    <w:rsid w:val="4D27760E"/>
    <w:rsid w:val="4D2B55C7"/>
    <w:rsid w:val="4D3006A2"/>
    <w:rsid w:val="4D302450"/>
    <w:rsid w:val="4D36742D"/>
    <w:rsid w:val="4D3B7C96"/>
    <w:rsid w:val="4D5E71F2"/>
    <w:rsid w:val="4D6B16DA"/>
    <w:rsid w:val="4D7C38E7"/>
    <w:rsid w:val="4D9B6F6B"/>
    <w:rsid w:val="4DAB5790"/>
    <w:rsid w:val="4DAD3AA0"/>
    <w:rsid w:val="4DBF5582"/>
    <w:rsid w:val="4DD23507"/>
    <w:rsid w:val="4DD54DA5"/>
    <w:rsid w:val="4DFE60AA"/>
    <w:rsid w:val="4E062845"/>
    <w:rsid w:val="4E0F6509"/>
    <w:rsid w:val="4E1F24C4"/>
    <w:rsid w:val="4E3244EB"/>
    <w:rsid w:val="4E3F0B00"/>
    <w:rsid w:val="4E403D3E"/>
    <w:rsid w:val="4E4F6905"/>
    <w:rsid w:val="4E666CCD"/>
    <w:rsid w:val="4E7937FC"/>
    <w:rsid w:val="4E9602C8"/>
    <w:rsid w:val="4EA1434D"/>
    <w:rsid w:val="4EA503D4"/>
    <w:rsid w:val="4EAD187E"/>
    <w:rsid w:val="4EAF55F6"/>
    <w:rsid w:val="4EB16A52"/>
    <w:rsid w:val="4EB424DB"/>
    <w:rsid w:val="4ECA0682"/>
    <w:rsid w:val="4F0F42E7"/>
    <w:rsid w:val="4F1162B1"/>
    <w:rsid w:val="4F147B4F"/>
    <w:rsid w:val="4F251D5C"/>
    <w:rsid w:val="4F3D1D45"/>
    <w:rsid w:val="4F457D08"/>
    <w:rsid w:val="4F487D07"/>
    <w:rsid w:val="4F585C8E"/>
    <w:rsid w:val="4F6B3C13"/>
    <w:rsid w:val="4F7B197C"/>
    <w:rsid w:val="4F824AB9"/>
    <w:rsid w:val="4F90367A"/>
    <w:rsid w:val="4F906206"/>
    <w:rsid w:val="4FA84DCF"/>
    <w:rsid w:val="4FB47BBA"/>
    <w:rsid w:val="4FB629B4"/>
    <w:rsid w:val="4FB74D92"/>
    <w:rsid w:val="4FC275AB"/>
    <w:rsid w:val="4FCE41A2"/>
    <w:rsid w:val="4FD53792"/>
    <w:rsid w:val="4FDE2637"/>
    <w:rsid w:val="4FE37C4D"/>
    <w:rsid w:val="4FF37764"/>
    <w:rsid w:val="4FFE4A87"/>
    <w:rsid w:val="50047BC4"/>
    <w:rsid w:val="50081462"/>
    <w:rsid w:val="501173B1"/>
    <w:rsid w:val="50265D8C"/>
    <w:rsid w:val="503404A9"/>
    <w:rsid w:val="50371D47"/>
    <w:rsid w:val="50406E4E"/>
    <w:rsid w:val="50463D38"/>
    <w:rsid w:val="5068567B"/>
    <w:rsid w:val="506906D7"/>
    <w:rsid w:val="506C56BD"/>
    <w:rsid w:val="50751761"/>
    <w:rsid w:val="5080165B"/>
    <w:rsid w:val="50846E54"/>
    <w:rsid w:val="508807F5"/>
    <w:rsid w:val="509C604E"/>
    <w:rsid w:val="509C7DFC"/>
    <w:rsid w:val="50AA0F53"/>
    <w:rsid w:val="50B06ABC"/>
    <w:rsid w:val="50B3698C"/>
    <w:rsid w:val="50BC3FFA"/>
    <w:rsid w:val="50DA7442"/>
    <w:rsid w:val="50E61077"/>
    <w:rsid w:val="50EA5B67"/>
    <w:rsid w:val="50EF06CE"/>
    <w:rsid w:val="510C4F82"/>
    <w:rsid w:val="510E665D"/>
    <w:rsid w:val="51154DB1"/>
    <w:rsid w:val="512C5624"/>
    <w:rsid w:val="51471FE9"/>
    <w:rsid w:val="51501DDC"/>
    <w:rsid w:val="515801C7"/>
    <w:rsid w:val="515E0938"/>
    <w:rsid w:val="51673238"/>
    <w:rsid w:val="516A1CA8"/>
    <w:rsid w:val="51745247"/>
    <w:rsid w:val="51890C24"/>
    <w:rsid w:val="518E1E3B"/>
    <w:rsid w:val="51915487"/>
    <w:rsid w:val="519704AB"/>
    <w:rsid w:val="519805C3"/>
    <w:rsid w:val="519F7BA4"/>
    <w:rsid w:val="51A056CA"/>
    <w:rsid w:val="51A60F32"/>
    <w:rsid w:val="51B97355"/>
    <w:rsid w:val="51BC69A8"/>
    <w:rsid w:val="51BE2D00"/>
    <w:rsid w:val="51D64DA9"/>
    <w:rsid w:val="51E47CAD"/>
    <w:rsid w:val="51E90C55"/>
    <w:rsid w:val="52036385"/>
    <w:rsid w:val="5209326F"/>
    <w:rsid w:val="520B2029"/>
    <w:rsid w:val="52145D43"/>
    <w:rsid w:val="521A547C"/>
    <w:rsid w:val="52271ADF"/>
    <w:rsid w:val="522A43AA"/>
    <w:rsid w:val="522E5D3A"/>
    <w:rsid w:val="52432C25"/>
    <w:rsid w:val="5245699D"/>
    <w:rsid w:val="524E6C8F"/>
    <w:rsid w:val="52612D59"/>
    <w:rsid w:val="526B6ECC"/>
    <w:rsid w:val="52707792"/>
    <w:rsid w:val="52AA6800"/>
    <w:rsid w:val="52BE04FE"/>
    <w:rsid w:val="52C2468F"/>
    <w:rsid w:val="52CE2BDF"/>
    <w:rsid w:val="52D41ACF"/>
    <w:rsid w:val="52D90E94"/>
    <w:rsid w:val="52DB0270"/>
    <w:rsid w:val="52EC4C3E"/>
    <w:rsid w:val="52F46F3B"/>
    <w:rsid w:val="530F6FAB"/>
    <w:rsid w:val="531243A6"/>
    <w:rsid w:val="53193986"/>
    <w:rsid w:val="531E2D4A"/>
    <w:rsid w:val="53392401"/>
    <w:rsid w:val="53397B84"/>
    <w:rsid w:val="533A0878"/>
    <w:rsid w:val="533D4580"/>
    <w:rsid w:val="533F6EA0"/>
    <w:rsid w:val="534E1882"/>
    <w:rsid w:val="534F1156"/>
    <w:rsid w:val="53702FD3"/>
    <w:rsid w:val="53734A39"/>
    <w:rsid w:val="53755060"/>
    <w:rsid w:val="53933738"/>
    <w:rsid w:val="53AE7480"/>
    <w:rsid w:val="53D1326E"/>
    <w:rsid w:val="53DC50DF"/>
    <w:rsid w:val="53E43F94"/>
    <w:rsid w:val="53FB0B46"/>
    <w:rsid w:val="54022B5F"/>
    <w:rsid w:val="540375BF"/>
    <w:rsid w:val="54172B76"/>
    <w:rsid w:val="5418124A"/>
    <w:rsid w:val="542645AC"/>
    <w:rsid w:val="54300F87"/>
    <w:rsid w:val="54332CC5"/>
    <w:rsid w:val="54352A41"/>
    <w:rsid w:val="543A1E06"/>
    <w:rsid w:val="54426862"/>
    <w:rsid w:val="544D1B39"/>
    <w:rsid w:val="5463135D"/>
    <w:rsid w:val="546B6737"/>
    <w:rsid w:val="546D455B"/>
    <w:rsid w:val="547075D6"/>
    <w:rsid w:val="54817A35"/>
    <w:rsid w:val="548D0188"/>
    <w:rsid w:val="54911BB3"/>
    <w:rsid w:val="54947768"/>
    <w:rsid w:val="549534E0"/>
    <w:rsid w:val="54B501BD"/>
    <w:rsid w:val="54CA318A"/>
    <w:rsid w:val="54DC4C6B"/>
    <w:rsid w:val="54EA382C"/>
    <w:rsid w:val="54ED53AB"/>
    <w:rsid w:val="55017882"/>
    <w:rsid w:val="550D751A"/>
    <w:rsid w:val="55287EB0"/>
    <w:rsid w:val="55446516"/>
    <w:rsid w:val="55652EB2"/>
    <w:rsid w:val="55683E4F"/>
    <w:rsid w:val="556F4902"/>
    <w:rsid w:val="55833339"/>
    <w:rsid w:val="559844D6"/>
    <w:rsid w:val="55A95AB1"/>
    <w:rsid w:val="55B55BE8"/>
    <w:rsid w:val="55CE0A58"/>
    <w:rsid w:val="55D55175"/>
    <w:rsid w:val="55DB4F23"/>
    <w:rsid w:val="55DD0DD7"/>
    <w:rsid w:val="55DE14CA"/>
    <w:rsid w:val="55E053B2"/>
    <w:rsid w:val="55E517F1"/>
    <w:rsid w:val="55FB02E9"/>
    <w:rsid w:val="5606196D"/>
    <w:rsid w:val="560E7AEF"/>
    <w:rsid w:val="560F22D8"/>
    <w:rsid w:val="56130B60"/>
    <w:rsid w:val="56153315"/>
    <w:rsid w:val="56165297"/>
    <w:rsid w:val="56243A3E"/>
    <w:rsid w:val="562C01B3"/>
    <w:rsid w:val="563D5A51"/>
    <w:rsid w:val="564273BF"/>
    <w:rsid w:val="564E1B99"/>
    <w:rsid w:val="56551179"/>
    <w:rsid w:val="565962A4"/>
    <w:rsid w:val="56717364"/>
    <w:rsid w:val="56793962"/>
    <w:rsid w:val="56890E23"/>
    <w:rsid w:val="568B06F7"/>
    <w:rsid w:val="56A47A0A"/>
    <w:rsid w:val="56A812A9"/>
    <w:rsid w:val="56B063AF"/>
    <w:rsid w:val="56B55774"/>
    <w:rsid w:val="56BB6E1F"/>
    <w:rsid w:val="56C12AAD"/>
    <w:rsid w:val="56C8194B"/>
    <w:rsid w:val="56CA0563"/>
    <w:rsid w:val="56E66275"/>
    <w:rsid w:val="56EB5639"/>
    <w:rsid w:val="56ED38D1"/>
    <w:rsid w:val="56F049FE"/>
    <w:rsid w:val="56FB4CB8"/>
    <w:rsid w:val="570010E5"/>
    <w:rsid w:val="57016089"/>
    <w:rsid w:val="57076DFB"/>
    <w:rsid w:val="570A3B34"/>
    <w:rsid w:val="571D7DBD"/>
    <w:rsid w:val="572C3252"/>
    <w:rsid w:val="574865E8"/>
    <w:rsid w:val="574E2F4F"/>
    <w:rsid w:val="57555A3D"/>
    <w:rsid w:val="575C2093"/>
    <w:rsid w:val="57696EE6"/>
    <w:rsid w:val="576C0528"/>
    <w:rsid w:val="576E0BAE"/>
    <w:rsid w:val="577473DD"/>
    <w:rsid w:val="57750458"/>
    <w:rsid w:val="57923845"/>
    <w:rsid w:val="57940B95"/>
    <w:rsid w:val="57AD28EF"/>
    <w:rsid w:val="57B57EA0"/>
    <w:rsid w:val="57DC502C"/>
    <w:rsid w:val="57E04A72"/>
    <w:rsid w:val="57E207EA"/>
    <w:rsid w:val="57E5652D"/>
    <w:rsid w:val="57F142A4"/>
    <w:rsid w:val="58020E8D"/>
    <w:rsid w:val="580469B3"/>
    <w:rsid w:val="58064575"/>
    <w:rsid w:val="580A7D41"/>
    <w:rsid w:val="58237473"/>
    <w:rsid w:val="582A60AF"/>
    <w:rsid w:val="58360B36"/>
    <w:rsid w:val="58445001"/>
    <w:rsid w:val="585316E8"/>
    <w:rsid w:val="587A4EC7"/>
    <w:rsid w:val="58893338"/>
    <w:rsid w:val="589D0BB5"/>
    <w:rsid w:val="589E1D6D"/>
    <w:rsid w:val="589F66DB"/>
    <w:rsid w:val="58C23EE1"/>
    <w:rsid w:val="58CF10C2"/>
    <w:rsid w:val="58D43F98"/>
    <w:rsid w:val="58E97957"/>
    <w:rsid w:val="59162E41"/>
    <w:rsid w:val="5919023C"/>
    <w:rsid w:val="5936505F"/>
    <w:rsid w:val="593A4CA4"/>
    <w:rsid w:val="593B28A8"/>
    <w:rsid w:val="594548EC"/>
    <w:rsid w:val="595130EE"/>
    <w:rsid w:val="595C213E"/>
    <w:rsid w:val="596107B1"/>
    <w:rsid w:val="59650A9B"/>
    <w:rsid w:val="59676172"/>
    <w:rsid w:val="597C07CB"/>
    <w:rsid w:val="597E2A99"/>
    <w:rsid w:val="598A6416"/>
    <w:rsid w:val="598C4EB2"/>
    <w:rsid w:val="59BF7377"/>
    <w:rsid w:val="59D617D6"/>
    <w:rsid w:val="59E00D5A"/>
    <w:rsid w:val="59E56370"/>
    <w:rsid w:val="59EE16C8"/>
    <w:rsid w:val="59EE2786"/>
    <w:rsid w:val="5A09562C"/>
    <w:rsid w:val="5A1737E2"/>
    <w:rsid w:val="5A2450EA"/>
    <w:rsid w:val="5A2C10EF"/>
    <w:rsid w:val="5A302A17"/>
    <w:rsid w:val="5A494D86"/>
    <w:rsid w:val="5A4A5760"/>
    <w:rsid w:val="5A56101C"/>
    <w:rsid w:val="5A5B4CFD"/>
    <w:rsid w:val="5A5D1155"/>
    <w:rsid w:val="5A661C99"/>
    <w:rsid w:val="5A70032F"/>
    <w:rsid w:val="5A800FAA"/>
    <w:rsid w:val="5A8E661B"/>
    <w:rsid w:val="5A935080"/>
    <w:rsid w:val="5AA601F5"/>
    <w:rsid w:val="5AA61AE4"/>
    <w:rsid w:val="5AB126F6"/>
    <w:rsid w:val="5AB8469E"/>
    <w:rsid w:val="5ABE7FDD"/>
    <w:rsid w:val="5ABF6B4D"/>
    <w:rsid w:val="5AD14B46"/>
    <w:rsid w:val="5AD20FEA"/>
    <w:rsid w:val="5AE20B01"/>
    <w:rsid w:val="5AE76118"/>
    <w:rsid w:val="5B0C41F8"/>
    <w:rsid w:val="5B104DD5"/>
    <w:rsid w:val="5B1F383B"/>
    <w:rsid w:val="5B461090"/>
    <w:rsid w:val="5B48305A"/>
    <w:rsid w:val="5B5370B1"/>
    <w:rsid w:val="5B57504B"/>
    <w:rsid w:val="5B5E1CA7"/>
    <w:rsid w:val="5B5F1945"/>
    <w:rsid w:val="5B616FC2"/>
    <w:rsid w:val="5B8147BE"/>
    <w:rsid w:val="5B8A4D40"/>
    <w:rsid w:val="5B9242D5"/>
    <w:rsid w:val="5B950764"/>
    <w:rsid w:val="5BB16E51"/>
    <w:rsid w:val="5BD65D63"/>
    <w:rsid w:val="5BD743DE"/>
    <w:rsid w:val="5BDB3ECE"/>
    <w:rsid w:val="5BDB5C7C"/>
    <w:rsid w:val="5BEC7E8A"/>
    <w:rsid w:val="5BF330B4"/>
    <w:rsid w:val="5BF84A80"/>
    <w:rsid w:val="5C0C22DA"/>
    <w:rsid w:val="5C0E2057"/>
    <w:rsid w:val="5C0F5926"/>
    <w:rsid w:val="5C1178F0"/>
    <w:rsid w:val="5C125416"/>
    <w:rsid w:val="5C34586C"/>
    <w:rsid w:val="5C3B7ECA"/>
    <w:rsid w:val="5C404E37"/>
    <w:rsid w:val="5C433822"/>
    <w:rsid w:val="5C4C26D6"/>
    <w:rsid w:val="5C4D5CFC"/>
    <w:rsid w:val="5C4E46A0"/>
    <w:rsid w:val="5C4F4357"/>
    <w:rsid w:val="5C5165FE"/>
    <w:rsid w:val="5C645C72"/>
    <w:rsid w:val="5C69772C"/>
    <w:rsid w:val="5C6A7000"/>
    <w:rsid w:val="5C6F122F"/>
    <w:rsid w:val="5C6F54C7"/>
    <w:rsid w:val="5C700CA7"/>
    <w:rsid w:val="5C893A86"/>
    <w:rsid w:val="5CA27A53"/>
    <w:rsid w:val="5CAE6A69"/>
    <w:rsid w:val="5CB52971"/>
    <w:rsid w:val="5CB54D70"/>
    <w:rsid w:val="5CB65AD3"/>
    <w:rsid w:val="5CCA2F37"/>
    <w:rsid w:val="5CCB3F43"/>
    <w:rsid w:val="5CCC1A69"/>
    <w:rsid w:val="5CE75368"/>
    <w:rsid w:val="5CE95CC1"/>
    <w:rsid w:val="5CFA58CA"/>
    <w:rsid w:val="5CFE08AF"/>
    <w:rsid w:val="5D001701"/>
    <w:rsid w:val="5D0C00B7"/>
    <w:rsid w:val="5D153410"/>
    <w:rsid w:val="5D445AA3"/>
    <w:rsid w:val="5D4B5084"/>
    <w:rsid w:val="5D4C2B41"/>
    <w:rsid w:val="5D564B8D"/>
    <w:rsid w:val="5D616655"/>
    <w:rsid w:val="5D620E23"/>
    <w:rsid w:val="5D69550A"/>
    <w:rsid w:val="5D6A43BC"/>
    <w:rsid w:val="5D7E2D63"/>
    <w:rsid w:val="5D971E0F"/>
    <w:rsid w:val="5D986541"/>
    <w:rsid w:val="5DA1621D"/>
    <w:rsid w:val="5DB449D7"/>
    <w:rsid w:val="5DBF4B29"/>
    <w:rsid w:val="5DD85074"/>
    <w:rsid w:val="5DDB01B6"/>
    <w:rsid w:val="5DFE5C52"/>
    <w:rsid w:val="5E0E058B"/>
    <w:rsid w:val="5E192A8C"/>
    <w:rsid w:val="5E1B5674"/>
    <w:rsid w:val="5E287ED3"/>
    <w:rsid w:val="5E2E49CE"/>
    <w:rsid w:val="5E2F0501"/>
    <w:rsid w:val="5E4C10B3"/>
    <w:rsid w:val="5E4D0988"/>
    <w:rsid w:val="5E640664"/>
    <w:rsid w:val="5E6C3504"/>
    <w:rsid w:val="5E79352B"/>
    <w:rsid w:val="5E7C2369"/>
    <w:rsid w:val="5E7F5A64"/>
    <w:rsid w:val="5E8720EC"/>
    <w:rsid w:val="5E897C12"/>
    <w:rsid w:val="5E9E4667"/>
    <w:rsid w:val="5EA93E10"/>
    <w:rsid w:val="5EB17168"/>
    <w:rsid w:val="5ECC3FA2"/>
    <w:rsid w:val="5ED115B9"/>
    <w:rsid w:val="5EE000A3"/>
    <w:rsid w:val="5EFE263F"/>
    <w:rsid w:val="5F0C439F"/>
    <w:rsid w:val="5F103E8F"/>
    <w:rsid w:val="5F2636B2"/>
    <w:rsid w:val="5F296CFF"/>
    <w:rsid w:val="5F2B6F1B"/>
    <w:rsid w:val="5F2E6A0B"/>
    <w:rsid w:val="5F2F7495"/>
    <w:rsid w:val="5F427DC1"/>
    <w:rsid w:val="5F4E0745"/>
    <w:rsid w:val="5F533689"/>
    <w:rsid w:val="5F5E6222"/>
    <w:rsid w:val="5F6146EB"/>
    <w:rsid w:val="5F691E20"/>
    <w:rsid w:val="5F6D55CC"/>
    <w:rsid w:val="5F6D68FC"/>
    <w:rsid w:val="5F6E059E"/>
    <w:rsid w:val="5F7F1015"/>
    <w:rsid w:val="5F8108E9"/>
    <w:rsid w:val="5F9E149B"/>
    <w:rsid w:val="5FA34566"/>
    <w:rsid w:val="5FA97E40"/>
    <w:rsid w:val="5FB27537"/>
    <w:rsid w:val="5FB72FC4"/>
    <w:rsid w:val="5FD255E8"/>
    <w:rsid w:val="5FE86D80"/>
    <w:rsid w:val="5FEA2932"/>
    <w:rsid w:val="5FEB14C7"/>
    <w:rsid w:val="5FFE63DD"/>
    <w:rsid w:val="600339F4"/>
    <w:rsid w:val="60091E30"/>
    <w:rsid w:val="600F2399"/>
    <w:rsid w:val="601C4540"/>
    <w:rsid w:val="601C4AB5"/>
    <w:rsid w:val="60234709"/>
    <w:rsid w:val="6030399E"/>
    <w:rsid w:val="60557017"/>
    <w:rsid w:val="605A2705"/>
    <w:rsid w:val="607641C6"/>
    <w:rsid w:val="607D094A"/>
    <w:rsid w:val="60B94824"/>
    <w:rsid w:val="60B96500"/>
    <w:rsid w:val="60C2565D"/>
    <w:rsid w:val="60C279B1"/>
    <w:rsid w:val="60D1764E"/>
    <w:rsid w:val="60D4713E"/>
    <w:rsid w:val="60DD5682"/>
    <w:rsid w:val="60E6745F"/>
    <w:rsid w:val="60E94998"/>
    <w:rsid w:val="60F27D17"/>
    <w:rsid w:val="60FF065F"/>
    <w:rsid w:val="611B4D6D"/>
    <w:rsid w:val="61357BDD"/>
    <w:rsid w:val="61477910"/>
    <w:rsid w:val="61483DB4"/>
    <w:rsid w:val="614A36DE"/>
    <w:rsid w:val="61502C69"/>
    <w:rsid w:val="615D7818"/>
    <w:rsid w:val="617D14DA"/>
    <w:rsid w:val="617F354E"/>
    <w:rsid w:val="6188172F"/>
    <w:rsid w:val="619341ED"/>
    <w:rsid w:val="619C4100"/>
    <w:rsid w:val="619F7C50"/>
    <w:rsid w:val="61A11716"/>
    <w:rsid w:val="61A312AB"/>
    <w:rsid w:val="61A94127"/>
    <w:rsid w:val="61B825BC"/>
    <w:rsid w:val="61BC3E5A"/>
    <w:rsid w:val="61C84EF5"/>
    <w:rsid w:val="61C96577"/>
    <w:rsid w:val="61CD5BC2"/>
    <w:rsid w:val="61D01DED"/>
    <w:rsid w:val="61D47070"/>
    <w:rsid w:val="61DC62AA"/>
    <w:rsid w:val="61DE2022"/>
    <w:rsid w:val="62055CEF"/>
    <w:rsid w:val="621517BC"/>
    <w:rsid w:val="62175534"/>
    <w:rsid w:val="621E0127"/>
    <w:rsid w:val="6222429B"/>
    <w:rsid w:val="62233ED9"/>
    <w:rsid w:val="62265778"/>
    <w:rsid w:val="6245750B"/>
    <w:rsid w:val="624F1172"/>
    <w:rsid w:val="626F25F6"/>
    <w:rsid w:val="62760AAF"/>
    <w:rsid w:val="62877313"/>
    <w:rsid w:val="6292105F"/>
    <w:rsid w:val="62927E95"/>
    <w:rsid w:val="629369DE"/>
    <w:rsid w:val="62976B13"/>
    <w:rsid w:val="62C84A81"/>
    <w:rsid w:val="62D535D8"/>
    <w:rsid w:val="62D6745D"/>
    <w:rsid w:val="62E21605"/>
    <w:rsid w:val="62F64193"/>
    <w:rsid w:val="632A757A"/>
    <w:rsid w:val="632D2B56"/>
    <w:rsid w:val="63316ACA"/>
    <w:rsid w:val="63624ED5"/>
    <w:rsid w:val="63715118"/>
    <w:rsid w:val="63844972"/>
    <w:rsid w:val="63846D76"/>
    <w:rsid w:val="638766EA"/>
    <w:rsid w:val="63964B41"/>
    <w:rsid w:val="63974B7F"/>
    <w:rsid w:val="639A281B"/>
    <w:rsid w:val="639C2195"/>
    <w:rsid w:val="63AB3CC0"/>
    <w:rsid w:val="63AC469A"/>
    <w:rsid w:val="63B0720C"/>
    <w:rsid w:val="63BF7C32"/>
    <w:rsid w:val="63C761C6"/>
    <w:rsid w:val="63E9287A"/>
    <w:rsid w:val="63F26395"/>
    <w:rsid w:val="63F73BC9"/>
    <w:rsid w:val="63FA1AE6"/>
    <w:rsid w:val="64025D70"/>
    <w:rsid w:val="640714E5"/>
    <w:rsid w:val="640B1B04"/>
    <w:rsid w:val="6417181C"/>
    <w:rsid w:val="64216880"/>
    <w:rsid w:val="64226DAB"/>
    <w:rsid w:val="642D3D62"/>
    <w:rsid w:val="64346244"/>
    <w:rsid w:val="64444E34"/>
    <w:rsid w:val="64460353"/>
    <w:rsid w:val="644C7EDA"/>
    <w:rsid w:val="64630F05"/>
    <w:rsid w:val="64713622"/>
    <w:rsid w:val="6472739A"/>
    <w:rsid w:val="647C1FC7"/>
    <w:rsid w:val="648669A1"/>
    <w:rsid w:val="648A46E4"/>
    <w:rsid w:val="648B0A8C"/>
    <w:rsid w:val="64966BE4"/>
    <w:rsid w:val="64AC465A"/>
    <w:rsid w:val="64B625E9"/>
    <w:rsid w:val="64B72EBA"/>
    <w:rsid w:val="64C37BF6"/>
    <w:rsid w:val="64CC26CC"/>
    <w:rsid w:val="64EC104A"/>
    <w:rsid w:val="64F63B27"/>
    <w:rsid w:val="651D10B4"/>
    <w:rsid w:val="65363F24"/>
    <w:rsid w:val="65466915"/>
    <w:rsid w:val="65530459"/>
    <w:rsid w:val="65605834"/>
    <w:rsid w:val="65613696"/>
    <w:rsid w:val="65654809"/>
    <w:rsid w:val="65757142"/>
    <w:rsid w:val="65827169"/>
    <w:rsid w:val="658C22CC"/>
    <w:rsid w:val="658E1FB1"/>
    <w:rsid w:val="658E5B0E"/>
    <w:rsid w:val="659A5242"/>
    <w:rsid w:val="659E7DE5"/>
    <w:rsid w:val="65B01F28"/>
    <w:rsid w:val="65B03CD6"/>
    <w:rsid w:val="65B31A18"/>
    <w:rsid w:val="65C77271"/>
    <w:rsid w:val="65CC4888"/>
    <w:rsid w:val="65D04378"/>
    <w:rsid w:val="65D63FD1"/>
    <w:rsid w:val="65E10333"/>
    <w:rsid w:val="65F418DB"/>
    <w:rsid w:val="65FE7137"/>
    <w:rsid w:val="66124E24"/>
    <w:rsid w:val="662C25AB"/>
    <w:rsid w:val="66332450"/>
    <w:rsid w:val="66346B47"/>
    <w:rsid w:val="66370323"/>
    <w:rsid w:val="663A205E"/>
    <w:rsid w:val="664D3C1B"/>
    <w:rsid w:val="664D3F2E"/>
    <w:rsid w:val="665054B9"/>
    <w:rsid w:val="667A65D6"/>
    <w:rsid w:val="667C4500"/>
    <w:rsid w:val="668138C4"/>
    <w:rsid w:val="66907359"/>
    <w:rsid w:val="66930322"/>
    <w:rsid w:val="66A3383B"/>
    <w:rsid w:val="66B61DFF"/>
    <w:rsid w:val="66C676A3"/>
    <w:rsid w:val="66EE1A6C"/>
    <w:rsid w:val="66FE6CC3"/>
    <w:rsid w:val="67011D6F"/>
    <w:rsid w:val="67064B36"/>
    <w:rsid w:val="670D26FD"/>
    <w:rsid w:val="671F6AA4"/>
    <w:rsid w:val="672422F9"/>
    <w:rsid w:val="672F3D42"/>
    <w:rsid w:val="67380427"/>
    <w:rsid w:val="673B1CC5"/>
    <w:rsid w:val="673D6D3E"/>
    <w:rsid w:val="674848E9"/>
    <w:rsid w:val="67544B35"/>
    <w:rsid w:val="67654F94"/>
    <w:rsid w:val="676A4358"/>
    <w:rsid w:val="676D5447"/>
    <w:rsid w:val="67780823"/>
    <w:rsid w:val="677B6565"/>
    <w:rsid w:val="679551B5"/>
    <w:rsid w:val="6797397E"/>
    <w:rsid w:val="679923C9"/>
    <w:rsid w:val="67C439BB"/>
    <w:rsid w:val="67C73484"/>
    <w:rsid w:val="67DD4B02"/>
    <w:rsid w:val="67DE2B76"/>
    <w:rsid w:val="67F24A7A"/>
    <w:rsid w:val="67F9777D"/>
    <w:rsid w:val="68055F39"/>
    <w:rsid w:val="6819075E"/>
    <w:rsid w:val="682D4F2F"/>
    <w:rsid w:val="683149CD"/>
    <w:rsid w:val="6833299C"/>
    <w:rsid w:val="683C3F47"/>
    <w:rsid w:val="68460921"/>
    <w:rsid w:val="68490412"/>
    <w:rsid w:val="684D7F02"/>
    <w:rsid w:val="684F569A"/>
    <w:rsid w:val="6853303E"/>
    <w:rsid w:val="685E529A"/>
    <w:rsid w:val="689618A9"/>
    <w:rsid w:val="689E0B09"/>
    <w:rsid w:val="68AB6ACE"/>
    <w:rsid w:val="68C323B1"/>
    <w:rsid w:val="68C330B6"/>
    <w:rsid w:val="68C37C05"/>
    <w:rsid w:val="68D93CAA"/>
    <w:rsid w:val="68E63EB3"/>
    <w:rsid w:val="68F10E11"/>
    <w:rsid w:val="68FE3099"/>
    <w:rsid w:val="690C7EE6"/>
    <w:rsid w:val="690F3409"/>
    <w:rsid w:val="69355FD5"/>
    <w:rsid w:val="694C3FC0"/>
    <w:rsid w:val="694D7A8E"/>
    <w:rsid w:val="69683798"/>
    <w:rsid w:val="69694879"/>
    <w:rsid w:val="696B2119"/>
    <w:rsid w:val="696C085C"/>
    <w:rsid w:val="6974326C"/>
    <w:rsid w:val="697956CF"/>
    <w:rsid w:val="697F058F"/>
    <w:rsid w:val="697F233D"/>
    <w:rsid w:val="69961435"/>
    <w:rsid w:val="699833FF"/>
    <w:rsid w:val="699B6A4B"/>
    <w:rsid w:val="69B144C0"/>
    <w:rsid w:val="69C53AC8"/>
    <w:rsid w:val="69E623BC"/>
    <w:rsid w:val="69EE74C3"/>
    <w:rsid w:val="69F23EFC"/>
    <w:rsid w:val="69F36887"/>
    <w:rsid w:val="6A0027CE"/>
    <w:rsid w:val="6A083F67"/>
    <w:rsid w:val="6A222CC8"/>
    <w:rsid w:val="6A2E0035"/>
    <w:rsid w:val="6A2F5F9D"/>
    <w:rsid w:val="6A301497"/>
    <w:rsid w:val="6A316C25"/>
    <w:rsid w:val="6A3344FC"/>
    <w:rsid w:val="6A456FCD"/>
    <w:rsid w:val="6A49294B"/>
    <w:rsid w:val="6A580EEF"/>
    <w:rsid w:val="6A753740"/>
    <w:rsid w:val="6A784D2F"/>
    <w:rsid w:val="6A7A2B04"/>
    <w:rsid w:val="6A9666BA"/>
    <w:rsid w:val="6A975464"/>
    <w:rsid w:val="6AA858C3"/>
    <w:rsid w:val="6AAC7220"/>
    <w:rsid w:val="6AB204F0"/>
    <w:rsid w:val="6ACD313E"/>
    <w:rsid w:val="6AD51B81"/>
    <w:rsid w:val="6AD646FA"/>
    <w:rsid w:val="6AE6019A"/>
    <w:rsid w:val="6AE71519"/>
    <w:rsid w:val="6AF6662F"/>
    <w:rsid w:val="6B0074AE"/>
    <w:rsid w:val="6B193C07"/>
    <w:rsid w:val="6B417C79"/>
    <w:rsid w:val="6B752F12"/>
    <w:rsid w:val="6B7C6149"/>
    <w:rsid w:val="6B8024C9"/>
    <w:rsid w:val="6B8203BC"/>
    <w:rsid w:val="6B905DD2"/>
    <w:rsid w:val="6B9D2F4E"/>
    <w:rsid w:val="6B9D33DE"/>
    <w:rsid w:val="6BA11AAE"/>
    <w:rsid w:val="6BB72547"/>
    <w:rsid w:val="6BB87D88"/>
    <w:rsid w:val="6BBA6837"/>
    <w:rsid w:val="6BBB3287"/>
    <w:rsid w:val="6BD558D2"/>
    <w:rsid w:val="6BD74345"/>
    <w:rsid w:val="6BDF55AB"/>
    <w:rsid w:val="6BEA070D"/>
    <w:rsid w:val="6BFA214F"/>
    <w:rsid w:val="6C083EDD"/>
    <w:rsid w:val="6C0C3C30"/>
    <w:rsid w:val="6C0E034A"/>
    <w:rsid w:val="6C3A7B2A"/>
    <w:rsid w:val="6C3D203B"/>
    <w:rsid w:val="6C472153"/>
    <w:rsid w:val="6C5572FF"/>
    <w:rsid w:val="6C664248"/>
    <w:rsid w:val="6C7A3290"/>
    <w:rsid w:val="6C804608"/>
    <w:rsid w:val="6C865790"/>
    <w:rsid w:val="6C9A123C"/>
    <w:rsid w:val="6CA72BBD"/>
    <w:rsid w:val="6CA76207"/>
    <w:rsid w:val="6CA87DFD"/>
    <w:rsid w:val="6CAC4478"/>
    <w:rsid w:val="6CC0027B"/>
    <w:rsid w:val="6CC369E5"/>
    <w:rsid w:val="6CCE0EE6"/>
    <w:rsid w:val="6CD05978"/>
    <w:rsid w:val="6CD209D6"/>
    <w:rsid w:val="6CE07597"/>
    <w:rsid w:val="6CEE4B95"/>
    <w:rsid w:val="6CF941B4"/>
    <w:rsid w:val="6D0D4104"/>
    <w:rsid w:val="6D400035"/>
    <w:rsid w:val="6D611D5A"/>
    <w:rsid w:val="6D6D5BF9"/>
    <w:rsid w:val="6D711757"/>
    <w:rsid w:val="6D77332B"/>
    <w:rsid w:val="6D800432"/>
    <w:rsid w:val="6D8B6DD7"/>
    <w:rsid w:val="6D9640F9"/>
    <w:rsid w:val="6D9C7C33"/>
    <w:rsid w:val="6DA700B4"/>
    <w:rsid w:val="6DAF6F69"/>
    <w:rsid w:val="6DD93FE6"/>
    <w:rsid w:val="6DDE5E28"/>
    <w:rsid w:val="6DE52162"/>
    <w:rsid w:val="6DF66946"/>
    <w:rsid w:val="6E11011E"/>
    <w:rsid w:val="6E192634"/>
    <w:rsid w:val="6E3B7411"/>
    <w:rsid w:val="6E6164B5"/>
    <w:rsid w:val="6E6733A0"/>
    <w:rsid w:val="6E6935BC"/>
    <w:rsid w:val="6E6F2EE6"/>
    <w:rsid w:val="6E753D0F"/>
    <w:rsid w:val="6E8B6AE6"/>
    <w:rsid w:val="6EDC16EB"/>
    <w:rsid w:val="6EFA2466"/>
    <w:rsid w:val="6EFF7A7C"/>
    <w:rsid w:val="6F0357BE"/>
    <w:rsid w:val="6F060E0F"/>
    <w:rsid w:val="6F0B3D63"/>
    <w:rsid w:val="6F0B4673"/>
    <w:rsid w:val="6F1277AF"/>
    <w:rsid w:val="6F194DD5"/>
    <w:rsid w:val="6F25532B"/>
    <w:rsid w:val="6F2968A7"/>
    <w:rsid w:val="6F536329"/>
    <w:rsid w:val="6F55769C"/>
    <w:rsid w:val="6F59718C"/>
    <w:rsid w:val="6F6721E9"/>
    <w:rsid w:val="6F6C2B1D"/>
    <w:rsid w:val="6F7B1DFE"/>
    <w:rsid w:val="6F7C2E7B"/>
    <w:rsid w:val="6F89781B"/>
    <w:rsid w:val="6F946416"/>
    <w:rsid w:val="6F997DD3"/>
    <w:rsid w:val="6F9F3788"/>
    <w:rsid w:val="6FA10CBB"/>
    <w:rsid w:val="6FB46AB9"/>
    <w:rsid w:val="6FB940CF"/>
    <w:rsid w:val="6FD44F58"/>
    <w:rsid w:val="6FE0134E"/>
    <w:rsid w:val="6FE95DE3"/>
    <w:rsid w:val="6FF36B0B"/>
    <w:rsid w:val="700107C2"/>
    <w:rsid w:val="7007465D"/>
    <w:rsid w:val="70096E04"/>
    <w:rsid w:val="700A0487"/>
    <w:rsid w:val="700A492A"/>
    <w:rsid w:val="7024730F"/>
    <w:rsid w:val="70253B03"/>
    <w:rsid w:val="702E1ABF"/>
    <w:rsid w:val="70433A98"/>
    <w:rsid w:val="7049276B"/>
    <w:rsid w:val="705B0CE2"/>
    <w:rsid w:val="705E6DA4"/>
    <w:rsid w:val="706E2FF6"/>
    <w:rsid w:val="706F478E"/>
    <w:rsid w:val="70763748"/>
    <w:rsid w:val="70980188"/>
    <w:rsid w:val="70981F36"/>
    <w:rsid w:val="709C0DE9"/>
    <w:rsid w:val="70A83409"/>
    <w:rsid w:val="70B11568"/>
    <w:rsid w:val="70DD3DED"/>
    <w:rsid w:val="70F353BF"/>
    <w:rsid w:val="7104137A"/>
    <w:rsid w:val="7116279A"/>
    <w:rsid w:val="7126343E"/>
    <w:rsid w:val="71324139"/>
    <w:rsid w:val="713734FD"/>
    <w:rsid w:val="713E6306"/>
    <w:rsid w:val="714A1A8C"/>
    <w:rsid w:val="715C129A"/>
    <w:rsid w:val="715C7408"/>
    <w:rsid w:val="716A38D3"/>
    <w:rsid w:val="716F713B"/>
    <w:rsid w:val="717E737E"/>
    <w:rsid w:val="71844269"/>
    <w:rsid w:val="71954707"/>
    <w:rsid w:val="71A072F4"/>
    <w:rsid w:val="71B42DA0"/>
    <w:rsid w:val="71B6291F"/>
    <w:rsid w:val="71C07997"/>
    <w:rsid w:val="71C6221A"/>
    <w:rsid w:val="71D37DBD"/>
    <w:rsid w:val="71E13469"/>
    <w:rsid w:val="71EA67C2"/>
    <w:rsid w:val="71EC2BF4"/>
    <w:rsid w:val="72016815"/>
    <w:rsid w:val="72023B0B"/>
    <w:rsid w:val="7214383E"/>
    <w:rsid w:val="72165DE1"/>
    <w:rsid w:val="721C0BB1"/>
    <w:rsid w:val="721F0CB9"/>
    <w:rsid w:val="72203F91"/>
    <w:rsid w:val="7223382F"/>
    <w:rsid w:val="72241A7A"/>
    <w:rsid w:val="723018B3"/>
    <w:rsid w:val="72435ED2"/>
    <w:rsid w:val="72473C14"/>
    <w:rsid w:val="724C122A"/>
    <w:rsid w:val="725F3C6E"/>
    <w:rsid w:val="725F4256"/>
    <w:rsid w:val="726E3B90"/>
    <w:rsid w:val="72717EDD"/>
    <w:rsid w:val="72774E38"/>
    <w:rsid w:val="7278201F"/>
    <w:rsid w:val="7284448B"/>
    <w:rsid w:val="72874010"/>
    <w:rsid w:val="729270E5"/>
    <w:rsid w:val="729445D6"/>
    <w:rsid w:val="729C5A44"/>
    <w:rsid w:val="729D55E2"/>
    <w:rsid w:val="72AD254D"/>
    <w:rsid w:val="72B3358B"/>
    <w:rsid w:val="72BA43E6"/>
    <w:rsid w:val="72CC5EC7"/>
    <w:rsid w:val="72D01BF4"/>
    <w:rsid w:val="72D1172F"/>
    <w:rsid w:val="72E552A7"/>
    <w:rsid w:val="72E94CCB"/>
    <w:rsid w:val="72FA17C4"/>
    <w:rsid w:val="73165394"/>
    <w:rsid w:val="73214465"/>
    <w:rsid w:val="73216213"/>
    <w:rsid w:val="732A782E"/>
    <w:rsid w:val="73335F46"/>
    <w:rsid w:val="73434993"/>
    <w:rsid w:val="734A4C99"/>
    <w:rsid w:val="73592A5F"/>
    <w:rsid w:val="735A3EA7"/>
    <w:rsid w:val="735C724B"/>
    <w:rsid w:val="736D2D1F"/>
    <w:rsid w:val="73726A6F"/>
    <w:rsid w:val="73741F51"/>
    <w:rsid w:val="737D0843"/>
    <w:rsid w:val="73850060"/>
    <w:rsid w:val="738E466E"/>
    <w:rsid w:val="73927111"/>
    <w:rsid w:val="73974727"/>
    <w:rsid w:val="7399317D"/>
    <w:rsid w:val="73B87FE8"/>
    <w:rsid w:val="73C05A2C"/>
    <w:rsid w:val="73C22338"/>
    <w:rsid w:val="73C66DBA"/>
    <w:rsid w:val="73D70FC8"/>
    <w:rsid w:val="73E21C5C"/>
    <w:rsid w:val="73E3171A"/>
    <w:rsid w:val="73EF39A8"/>
    <w:rsid w:val="73F12089"/>
    <w:rsid w:val="73F41B79"/>
    <w:rsid w:val="74057849"/>
    <w:rsid w:val="741B0EB4"/>
    <w:rsid w:val="742E5746"/>
    <w:rsid w:val="742F2BB2"/>
    <w:rsid w:val="743326A2"/>
    <w:rsid w:val="74335059"/>
    <w:rsid w:val="744A1799"/>
    <w:rsid w:val="745D14CD"/>
    <w:rsid w:val="74650381"/>
    <w:rsid w:val="74704AA1"/>
    <w:rsid w:val="747C756B"/>
    <w:rsid w:val="747D1B6F"/>
    <w:rsid w:val="748C186E"/>
    <w:rsid w:val="748E66A4"/>
    <w:rsid w:val="74AE7F7A"/>
    <w:rsid w:val="74B143DD"/>
    <w:rsid w:val="74C02E0B"/>
    <w:rsid w:val="74CE4179"/>
    <w:rsid w:val="74D42B00"/>
    <w:rsid w:val="74D4736D"/>
    <w:rsid w:val="74F95945"/>
    <w:rsid w:val="750B163A"/>
    <w:rsid w:val="7513602F"/>
    <w:rsid w:val="75151DA7"/>
    <w:rsid w:val="752C2FEE"/>
    <w:rsid w:val="75302251"/>
    <w:rsid w:val="754E52B9"/>
    <w:rsid w:val="756660E2"/>
    <w:rsid w:val="757765BE"/>
    <w:rsid w:val="758123D8"/>
    <w:rsid w:val="75885109"/>
    <w:rsid w:val="75AD6596"/>
    <w:rsid w:val="75D22519"/>
    <w:rsid w:val="75EA4222"/>
    <w:rsid w:val="75ED062E"/>
    <w:rsid w:val="75F14172"/>
    <w:rsid w:val="75F45E61"/>
    <w:rsid w:val="760A100A"/>
    <w:rsid w:val="76183420"/>
    <w:rsid w:val="76297AAD"/>
    <w:rsid w:val="762F3B18"/>
    <w:rsid w:val="764B5D7C"/>
    <w:rsid w:val="764F3097"/>
    <w:rsid w:val="76595CC4"/>
    <w:rsid w:val="766E02EC"/>
    <w:rsid w:val="767A147A"/>
    <w:rsid w:val="76860D0B"/>
    <w:rsid w:val="76863238"/>
    <w:rsid w:val="768E78F0"/>
    <w:rsid w:val="76911902"/>
    <w:rsid w:val="769F401E"/>
    <w:rsid w:val="76A258BD"/>
    <w:rsid w:val="76A650A6"/>
    <w:rsid w:val="76AC04E9"/>
    <w:rsid w:val="76B47520"/>
    <w:rsid w:val="76B949B4"/>
    <w:rsid w:val="76F0487A"/>
    <w:rsid w:val="76F37EC6"/>
    <w:rsid w:val="77110B96"/>
    <w:rsid w:val="772462D2"/>
    <w:rsid w:val="77251641"/>
    <w:rsid w:val="77252C55"/>
    <w:rsid w:val="7725544B"/>
    <w:rsid w:val="77324E93"/>
    <w:rsid w:val="77446974"/>
    <w:rsid w:val="775D17E4"/>
    <w:rsid w:val="77671D97"/>
    <w:rsid w:val="77756B2D"/>
    <w:rsid w:val="77843214"/>
    <w:rsid w:val="77861B46"/>
    <w:rsid w:val="77AE17FA"/>
    <w:rsid w:val="77B70EF4"/>
    <w:rsid w:val="77B84C6C"/>
    <w:rsid w:val="77C56C4E"/>
    <w:rsid w:val="77D17155"/>
    <w:rsid w:val="77D21979"/>
    <w:rsid w:val="77D71596"/>
    <w:rsid w:val="77E47375"/>
    <w:rsid w:val="77E65C7D"/>
    <w:rsid w:val="77F21BA8"/>
    <w:rsid w:val="77F55EC0"/>
    <w:rsid w:val="782837C8"/>
    <w:rsid w:val="782B3690"/>
    <w:rsid w:val="783E1615"/>
    <w:rsid w:val="78482494"/>
    <w:rsid w:val="784C1F84"/>
    <w:rsid w:val="784D2F1F"/>
    <w:rsid w:val="7859644F"/>
    <w:rsid w:val="786857DE"/>
    <w:rsid w:val="786C5F82"/>
    <w:rsid w:val="786E38ED"/>
    <w:rsid w:val="78C806AA"/>
    <w:rsid w:val="78C9183F"/>
    <w:rsid w:val="78D32145"/>
    <w:rsid w:val="78E63118"/>
    <w:rsid w:val="78E71CAD"/>
    <w:rsid w:val="78FB0617"/>
    <w:rsid w:val="79044B1D"/>
    <w:rsid w:val="79077C59"/>
    <w:rsid w:val="79366790"/>
    <w:rsid w:val="79413A82"/>
    <w:rsid w:val="794C38BE"/>
    <w:rsid w:val="79517126"/>
    <w:rsid w:val="79542F67"/>
    <w:rsid w:val="796706F8"/>
    <w:rsid w:val="79674B9C"/>
    <w:rsid w:val="796818A0"/>
    <w:rsid w:val="799312EB"/>
    <w:rsid w:val="79983DE9"/>
    <w:rsid w:val="799B4A68"/>
    <w:rsid w:val="79A84B20"/>
    <w:rsid w:val="79C42BB8"/>
    <w:rsid w:val="79C97604"/>
    <w:rsid w:val="79D51B05"/>
    <w:rsid w:val="79D833A4"/>
    <w:rsid w:val="79E220C0"/>
    <w:rsid w:val="79EB757B"/>
    <w:rsid w:val="7A077F60"/>
    <w:rsid w:val="7A0A3C20"/>
    <w:rsid w:val="7A0B3779"/>
    <w:rsid w:val="7A2413B0"/>
    <w:rsid w:val="7A260E0D"/>
    <w:rsid w:val="7A2860D9"/>
    <w:rsid w:val="7A3031E0"/>
    <w:rsid w:val="7A4F4E61"/>
    <w:rsid w:val="7A554A41"/>
    <w:rsid w:val="7A6D7F90"/>
    <w:rsid w:val="7A79725C"/>
    <w:rsid w:val="7AA16381"/>
    <w:rsid w:val="7AA27811"/>
    <w:rsid w:val="7AB20098"/>
    <w:rsid w:val="7AB364C5"/>
    <w:rsid w:val="7ABB6F4D"/>
    <w:rsid w:val="7ABE2193"/>
    <w:rsid w:val="7ABE7CE7"/>
    <w:rsid w:val="7ACD373D"/>
    <w:rsid w:val="7AD85D51"/>
    <w:rsid w:val="7AEC7154"/>
    <w:rsid w:val="7AFE508C"/>
    <w:rsid w:val="7B000E04"/>
    <w:rsid w:val="7B032A3A"/>
    <w:rsid w:val="7B125910"/>
    <w:rsid w:val="7B1B5C3E"/>
    <w:rsid w:val="7B354F51"/>
    <w:rsid w:val="7B3B17E8"/>
    <w:rsid w:val="7B424F78"/>
    <w:rsid w:val="7B454A69"/>
    <w:rsid w:val="7B6475E5"/>
    <w:rsid w:val="7B8C2698"/>
    <w:rsid w:val="7BA63759"/>
    <w:rsid w:val="7BAF02C3"/>
    <w:rsid w:val="7BB5765B"/>
    <w:rsid w:val="7BBF2A6D"/>
    <w:rsid w:val="7BC71559"/>
    <w:rsid w:val="7BCB45B5"/>
    <w:rsid w:val="7BCF6905"/>
    <w:rsid w:val="7BE20509"/>
    <w:rsid w:val="7BE81FC4"/>
    <w:rsid w:val="7BEC3495"/>
    <w:rsid w:val="7BF344C5"/>
    <w:rsid w:val="7C076012"/>
    <w:rsid w:val="7C4F2043"/>
    <w:rsid w:val="7C501917"/>
    <w:rsid w:val="7C5A2796"/>
    <w:rsid w:val="7C683105"/>
    <w:rsid w:val="7C6F4493"/>
    <w:rsid w:val="7C7575D0"/>
    <w:rsid w:val="7C790E6E"/>
    <w:rsid w:val="7C7B5A7C"/>
    <w:rsid w:val="7C7B6D8E"/>
    <w:rsid w:val="7CAA54CB"/>
    <w:rsid w:val="7CAF663E"/>
    <w:rsid w:val="7CC436BD"/>
    <w:rsid w:val="7CC80AC4"/>
    <w:rsid w:val="7CD442F6"/>
    <w:rsid w:val="7CE10508"/>
    <w:rsid w:val="7CEA6331"/>
    <w:rsid w:val="7CF60710"/>
    <w:rsid w:val="7CFB67DA"/>
    <w:rsid w:val="7CFC55FB"/>
    <w:rsid w:val="7D020E63"/>
    <w:rsid w:val="7D1C7A4B"/>
    <w:rsid w:val="7D24527D"/>
    <w:rsid w:val="7D3E1444"/>
    <w:rsid w:val="7D5072B1"/>
    <w:rsid w:val="7D5E506A"/>
    <w:rsid w:val="7D626D67"/>
    <w:rsid w:val="7D810DB2"/>
    <w:rsid w:val="7D881B83"/>
    <w:rsid w:val="7D9D56E3"/>
    <w:rsid w:val="7D9F4904"/>
    <w:rsid w:val="7DB303AF"/>
    <w:rsid w:val="7DBC69E1"/>
    <w:rsid w:val="7DBD65C0"/>
    <w:rsid w:val="7DC32FF4"/>
    <w:rsid w:val="7DCC321F"/>
    <w:rsid w:val="7DD16A88"/>
    <w:rsid w:val="7DE308F9"/>
    <w:rsid w:val="7DE95B7F"/>
    <w:rsid w:val="7DF12C86"/>
    <w:rsid w:val="7E236693"/>
    <w:rsid w:val="7E33504C"/>
    <w:rsid w:val="7E350DC4"/>
    <w:rsid w:val="7E357016"/>
    <w:rsid w:val="7E367559"/>
    <w:rsid w:val="7E4B353D"/>
    <w:rsid w:val="7E4B683A"/>
    <w:rsid w:val="7E5E1702"/>
    <w:rsid w:val="7E6A1DB7"/>
    <w:rsid w:val="7E6E42D6"/>
    <w:rsid w:val="7E6F1D7A"/>
    <w:rsid w:val="7E820AAE"/>
    <w:rsid w:val="7E834226"/>
    <w:rsid w:val="7E933D3D"/>
    <w:rsid w:val="7E9374BB"/>
    <w:rsid w:val="7E9945B6"/>
    <w:rsid w:val="7E9A1E77"/>
    <w:rsid w:val="7EAE37FE"/>
    <w:rsid w:val="7EC12891"/>
    <w:rsid w:val="7EC42148"/>
    <w:rsid w:val="7EC860DC"/>
    <w:rsid w:val="7EC90406"/>
    <w:rsid w:val="7ECB467D"/>
    <w:rsid w:val="7ED700CE"/>
    <w:rsid w:val="7ED81327"/>
    <w:rsid w:val="7EDC1B88"/>
    <w:rsid w:val="7EF70770"/>
    <w:rsid w:val="7F0E2B74"/>
    <w:rsid w:val="7F1629A4"/>
    <w:rsid w:val="7F3B68AE"/>
    <w:rsid w:val="7F3F0995"/>
    <w:rsid w:val="7F4219EB"/>
    <w:rsid w:val="7F4B1859"/>
    <w:rsid w:val="7F4D4C15"/>
    <w:rsid w:val="7F4F4108"/>
    <w:rsid w:val="7F504365"/>
    <w:rsid w:val="7F6122D1"/>
    <w:rsid w:val="7F6F6558"/>
    <w:rsid w:val="7F853FCE"/>
    <w:rsid w:val="7F871AF4"/>
    <w:rsid w:val="7FA2248A"/>
    <w:rsid w:val="7FAA7590"/>
    <w:rsid w:val="7FB55D4B"/>
    <w:rsid w:val="7FD44AD8"/>
    <w:rsid w:val="7FF07699"/>
    <w:rsid w:val="7FF13411"/>
    <w:rsid w:val="7FFD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link w:val="50"/>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54"/>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5"/>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6"/>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7"/>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8"/>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9"/>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60"/>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rPr>
      <w:rFonts w:ascii="Times New Roman" w:hAnsi="Times New Roman"/>
      <w:szCs w:val="21"/>
    </w:rPr>
  </w:style>
  <w:style w:type="paragraph" w:styleId="12">
    <w:name w:val="index 8"/>
    <w:basedOn w:val="1"/>
    <w:next w:val="1"/>
    <w:qFormat/>
    <w:uiPriority w:val="0"/>
    <w:pPr>
      <w:ind w:left="1400" w:leftChars="1400"/>
    </w:pPr>
  </w:style>
  <w:style w:type="paragraph" w:styleId="13">
    <w:name w:val="Normal Indent"/>
    <w:basedOn w:val="1"/>
    <w:next w:val="1"/>
    <w:qFormat/>
    <w:uiPriority w:val="0"/>
    <w:pPr>
      <w:widowControl/>
      <w:ind w:firstLine="420"/>
      <w:jc w:val="left"/>
    </w:pPr>
    <w:rPr>
      <w:kern w:val="0"/>
      <w:sz w:val="20"/>
      <w:szCs w:val="20"/>
    </w:rPr>
  </w:style>
  <w:style w:type="paragraph" w:styleId="14">
    <w:name w:val="Document Map"/>
    <w:basedOn w:val="1"/>
    <w:link w:val="63"/>
    <w:semiHidden/>
    <w:unhideWhenUsed/>
    <w:qFormat/>
    <w:uiPriority w:val="99"/>
    <w:rPr>
      <w:rFonts w:ascii="宋体"/>
      <w:sz w:val="18"/>
      <w:szCs w:val="18"/>
    </w:rPr>
  </w:style>
  <w:style w:type="paragraph" w:styleId="15">
    <w:name w:val="toa heading"/>
    <w:basedOn w:val="1"/>
    <w:next w:val="1"/>
    <w:qFormat/>
    <w:uiPriority w:val="0"/>
    <w:pPr>
      <w:spacing w:before="120"/>
    </w:pPr>
    <w:rPr>
      <w:rFonts w:ascii="Arial" w:hAnsi="Arial" w:cs="Arial"/>
      <w:sz w:val="24"/>
      <w:szCs w:val="24"/>
    </w:rPr>
  </w:style>
  <w:style w:type="paragraph" w:styleId="16">
    <w:name w:val="annotation text"/>
    <w:basedOn w:val="1"/>
    <w:link w:val="72"/>
    <w:qFormat/>
    <w:uiPriority w:val="0"/>
    <w:pPr>
      <w:jc w:val="left"/>
    </w:pPr>
    <w:rPr>
      <w:rFonts w:ascii="Times New Roman" w:hAnsi="Times New Roman"/>
      <w:szCs w:val="24"/>
    </w:rPr>
  </w:style>
  <w:style w:type="paragraph" w:styleId="17">
    <w:name w:val="Body Text"/>
    <w:basedOn w:val="1"/>
    <w:next w:val="18"/>
    <w:qFormat/>
    <w:uiPriority w:val="0"/>
    <w:pPr>
      <w:spacing w:after="120"/>
    </w:pPr>
    <w:rPr>
      <w:kern w:val="0"/>
      <w:sz w:val="20"/>
      <w:szCs w:val="20"/>
    </w:rPr>
  </w:style>
  <w:style w:type="paragraph" w:styleId="18">
    <w:name w:val="Body Text 2"/>
    <w:basedOn w:val="1"/>
    <w:next w:val="19"/>
    <w:qFormat/>
    <w:uiPriority w:val="0"/>
    <w:pPr>
      <w:spacing w:after="120" w:line="480" w:lineRule="auto"/>
    </w:pPr>
  </w:style>
  <w:style w:type="paragraph" w:styleId="19">
    <w:name w:val="toc 9"/>
    <w:basedOn w:val="1"/>
    <w:next w:val="1"/>
    <w:qFormat/>
    <w:uiPriority w:val="0"/>
    <w:pPr>
      <w:ind w:left="1680"/>
      <w:jc w:val="left"/>
    </w:pPr>
    <w:rPr>
      <w:rFonts w:ascii="Times New Roman" w:hAnsi="Times New Roman"/>
      <w:sz w:val="18"/>
      <w:szCs w:val="18"/>
    </w:rPr>
  </w:style>
  <w:style w:type="paragraph" w:styleId="20">
    <w:name w:val="Body Text Indent"/>
    <w:basedOn w:val="1"/>
    <w:next w:val="21"/>
    <w:link w:val="71"/>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21">
    <w:name w:val="envelope return"/>
    <w:basedOn w:val="1"/>
    <w:qFormat/>
    <w:uiPriority w:val="0"/>
    <w:pPr>
      <w:snapToGrid w:val="0"/>
    </w:pPr>
    <w:rPr>
      <w:rFonts w:ascii="Arial" w:hAnsi="Arial"/>
    </w:rPr>
  </w:style>
  <w:style w:type="paragraph" w:styleId="22">
    <w:name w:val="toc 3"/>
    <w:basedOn w:val="1"/>
    <w:next w:val="1"/>
    <w:unhideWhenUsed/>
    <w:qFormat/>
    <w:uiPriority w:val="39"/>
    <w:pPr>
      <w:ind w:left="840" w:leftChars="400"/>
    </w:pPr>
  </w:style>
  <w:style w:type="paragraph" w:styleId="23">
    <w:name w:val="Plain Text"/>
    <w:basedOn w:val="1"/>
    <w:link w:val="67"/>
    <w:qFormat/>
    <w:uiPriority w:val="0"/>
    <w:rPr>
      <w:rFonts w:ascii="宋体" w:hAnsi="Courier New"/>
      <w:szCs w:val="21"/>
    </w:rPr>
  </w:style>
  <w:style w:type="paragraph" w:styleId="24">
    <w:name w:val="Body Text Indent 2"/>
    <w:basedOn w:val="1"/>
    <w:next w:val="25"/>
    <w:qFormat/>
    <w:uiPriority w:val="0"/>
    <w:pPr>
      <w:widowControl/>
      <w:overflowPunct w:val="0"/>
      <w:autoSpaceDE w:val="0"/>
      <w:autoSpaceDN w:val="0"/>
      <w:adjustRightInd w:val="0"/>
      <w:spacing w:line="360" w:lineRule="auto"/>
      <w:ind w:firstLine="555"/>
    </w:pPr>
    <w:rPr>
      <w:rFonts w:ascii="宋体" w:hAnsi="MS Sans Serif"/>
      <w:spacing w:val="12"/>
      <w:kern w:val="0"/>
      <w:sz w:val="24"/>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Balloon Text"/>
    <w:basedOn w:val="1"/>
    <w:link w:val="62"/>
    <w:unhideWhenUsed/>
    <w:qFormat/>
    <w:uiPriority w:val="0"/>
    <w:rPr>
      <w:sz w:val="18"/>
      <w:szCs w:val="18"/>
    </w:rPr>
  </w:style>
  <w:style w:type="paragraph" w:styleId="27">
    <w:name w:val="footer"/>
    <w:basedOn w:val="1"/>
    <w:link w:val="53"/>
    <w:unhideWhenUsed/>
    <w:qFormat/>
    <w:uiPriority w:val="99"/>
    <w:pPr>
      <w:tabs>
        <w:tab w:val="center" w:pos="4153"/>
        <w:tab w:val="right" w:pos="8306"/>
      </w:tabs>
      <w:snapToGrid w:val="0"/>
      <w:jc w:val="left"/>
    </w:pPr>
    <w:rPr>
      <w:sz w:val="18"/>
      <w:szCs w:val="18"/>
    </w:rPr>
  </w:style>
  <w:style w:type="paragraph" w:styleId="28">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style>
  <w:style w:type="paragraph" w:styleId="3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1">
    <w:name w:val="toc 2"/>
    <w:basedOn w:val="1"/>
    <w:next w:val="1"/>
    <w:qFormat/>
    <w:uiPriority w:val="39"/>
    <w:pPr>
      <w:ind w:left="420" w:leftChars="200"/>
    </w:pPr>
    <w:rPr>
      <w:rFonts w:ascii="Times New Roman" w:hAnsi="Times New Roman"/>
      <w:szCs w:val="24"/>
    </w:rPr>
  </w:style>
  <w:style w:type="paragraph" w:styleId="3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3">
    <w:name w:val="annotation subject"/>
    <w:basedOn w:val="16"/>
    <w:next w:val="16"/>
    <w:link w:val="73"/>
    <w:qFormat/>
    <w:uiPriority w:val="0"/>
    <w:rPr>
      <w:b/>
      <w:bCs/>
    </w:rPr>
  </w:style>
  <w:style w:type="paragraph" w:styleId="34">
    <w:name w:val="Body Text First Indent"/>
    <w:basedOn w:val="17"/>
    <w:next w:val="35"/>
    <w:unhideWhenUsed/>
    <w:qFormat/>
    <w:uiPriority w:val="99"/>
    <w:pPr>
      <w:ind w:firstLine="420" w:firstLineChars="100"/>
    </w:pPr>
  </w:style>
  <w:style w:type="paragraph" w:styleId="35">
    <w:name w:val="Body Text First Indent 2"/>
    <w:basedOn w:val="20"/>
    <w:next w:val="31"/>
    <w:qFormat/>
    <w:uiPriority w:val="0"/>
    <w:pPr>
      <w:ind w:firstLine="420" w:firstLineChars="200"/>
    </w:pPr>
  </w:style>
  <w:style w:type="table" w:styleId="37">
    <w:name w:val="Table Grid"/>
    <w:basedOn w:val="36"/>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FollowedHyperlink"/>
    <w:basedOn w:val="38"/>
    <w:qFormat/>
    <w:uiPriority w:val="0"/>
    <w:rPr>
      <w:color w:val="800080"/>
      <w:u w:val="single"/>
    </w:rPr>
  </w:style>
  <w:style w:type="character" w:styleId="41">
    <w:name w:val="Hyperlink"/>
    <w:basedOn w:val="38"/>
    <w:unhideWhenUsed/>
    <w:qFormat/>
    <w:uiPriority w:val="99"/>
    <w:rPr>
      <w:color w:val="0000FF"/>
      <w:u w:val="single"/>
    </w:rPr>
  </w:style>
  <w:style w:type="character" w:styleId="42">
    <w:name w:val="annotation reference"/>
    <w:basedOn w:val="38"/>
    <w:qFormat/>
    <w:uiPriority w:val="0"/>
    <w:rPr>
      <w:sz w:val="21"/>
      <w:szCs w:val="21"/>
    </w:rPr>
  </w:style>
  <w:style w:type="character" w:styleId="43">
    <w:name w:val="HTML Sample"/>
    <w:basedOn w:val="38"/>
    <w:semiHidden/>
    <w:unhideWhenUsed/>
    <w:qFormat/>
    <w:uiPriority w:val="99"/>
    <w:rPr>
      <w:rFonts w:ascii="Courier New" w:hAnsi="Courier New"/>
    </w:rPr>
  </w:style>
  <w:style w:type="paragraph" w:customStyle="1" w:styleId="44">
    <w:name w:val="table of authorities1"/>
    <w:basedOn w:val="1"/>
    <w:next w:val="1"/>
    <w:qFormat/>
    <w:uiPriority w:val="0"/>
    <w:pPr>
      <w:ind w:left="420" w:leftChars="200"/>
    </w:pPr>
    <w:rPr>
      <w:rFonts w:ascii="Calibri" w:hAnsi="Calibri"/>
      <w:sz w:val="32"/>
      <w:szCs w:val="32"/>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一级条标题"/>
    <w:basedOn w:val="47"/>
    <w:next w:val="48"/>
    <w:qFormat/>
    <w:uiPriority w:val="0"/>
    <w:pPr>
      <w:numPr>
        <w:ilvl w:val="2"/>
        <w:numId w:val="1"/>
      </w:numPr>
      <w:spacing w:before="50" w:beforeLines="0" w:after="50" w:afterLines="0"/>
      <w:outlineLvl w:val="2"/>
    </w:pPr>
  </w:style>
  <w:style w:type="paragraph" w:customStyle="1" w:styleId="47">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szCs w:val="20"/>
      <w:lang w:val="en-US" w:eastAsia="zh-CN" w:bidi="ar-SA"/>
    </w:rPr>
  </w:style>
  <w:style w:type="paragraph" w:customStyle="1" w:styleId="4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9">
    <w:name w:val="Style1"/>
    <w:basedOn w:val="13"/>
    <w:qFormat/>
    <w:uiPriority w:val="99"/>
    <w:pPr>
      <w:tabs>
        <w:tab w:val="left" w:pos="-720"/>
      </w:tabs>
      <w:spacing w:after="120"/>
    </w:pPr>
    <w:rPr>
      <w:spacing w:val="-3"/>
      <w:lang w:val="en-AU" w:eastAsia="en-US"/>
    </w:rPr>
  </w:style>
  <w:style w:type="character" w:customStyle="1" w:styleId="50">
    <w:name w:val="标题 2 Char"/>
    <w:basedOn w:val="38"/>
    <w:link w:val="3"/>
    <w:qFormat/>
    <w:uiPriority w:val="0"/>
    <w:rPr>
      <w:rFonts w:ascii="Cambria" w:hAnsi="Cambria" w:eastAsia="宋体" w:cs="Times New Roman"/>
      <w:b/>
      <w:bCs/>
      <w:sz w:val="24"/>
      <w:szCs w:val="32"/>
    </w:rPr>
  </w:style>
  <w:style w:type="character" w:customStyle="1" w:styleId="51">
    <w:name w:val="标题 1 Char"/>
    <w:basedOn w:val="38"/>
    <w:link w:val="2"/>
    <w:qFormat/>
    <w:uiPriority w:val="0"/>
    <w:rPr>
      <w:rFonts w:ascii="Calibri" w:hAnsi="Calibri" w:eastAsia="宋体" w:cs="Times New Roman"/>
      <w:b/>
      <w:bCs/>
      <w:kern w:val="44"/>
      <w:sz w:val="28"/>
      <w:szCs w:val="44"/>
    </w:rPr>
  </w:style>
  <w:style w:type="character" w:customStyle="1" w:styleId="52">
    <w:name w:val="页眉 Char"/>
    <w:basedOn w:val="38"/>
    <w:link w:val="28"/>
    <w:qFormat/>
    <w:uiPriority w:val="99"/>
    <w:rPr>
      <w:sz w:val="18"/>
      <w:szCs w:val="18"/>
    </w:rPr>
  </w:style>
  <w:style w:type="character" w:customStyle="1" w:styleId="53">
    <w:name w:val="页脚 Char"/>
    <w:basedOn w:val="38"/>
    <w:link w:val="27"/>
    <w:qFormat/>
    <w:uiPriority w:val="99"/>
    <w:rPr>
      <w:sz w:val="18"/>
      <w:szCs w:val="18"/>
    </w:rPr>
  </w:style>
  <w:style w:type="character" w:customStyle="1" w:styleId="54">
    <w:name w:val="标题 3 Char"/>
    <w:basedOn w:val="38"/>
    <w:link w:val="4"/>
    <w:qFormat/>
    <w:uiPriority w:val="0"/>
    <w:rPr>
      <w:rFonts w:ascii="Times New Roman" w:hAnsi="Times New Roman" w:eastAsia="宋体" w:cs="Times New Roman"/>
      <w:b/>
      <w:bCs/>
      <w:kern w:val="0"/>
      <w:sz w:val="32"/>
      <w:szCs w:val="32"/>
    </w:rPr>
  </w:style>
  <w:style w:type="character" w:customStyle="1" w:styleId="55">
    <w:name w:val="标题 4 Char"/>
    <w:basedOn w:val="38"/>
    <w:link w:val="5"/>
    <w:qFormat/>
    <w:uiPriority w:val="0"/>
    <w:rPr>
      <w:rFonts w:ascii="Arial" w:hAnsi="Arial" w:eastAsia="黑体" w:cs="Times New Roman"/>
      <w:b/>
      <w:bCs/>
      <w:kern w:val="0"/>
      <w:sz w:val="28"/>
      <w:szCs w:val="28"/>
    </w:rPr>
  </w:style>
  <w:style w:type="character" w:customStyle="1" w:styleId="56">
    <w:name w:val="标题 5 Char"/>
    <w:basedOn w:val="38"/>
    <w:link w:val="6"/>
    <w:qFormat/>
    <w:uiPriority w:val="0"/>
    <w:rPr>
      <w:rFonts w:ascii="Times New Roman" w:hAnsi="Times New Roman" w:eastAsia="宋体" w:cs="Times New Roman"/>
      <w:b/>
      <w:bCs/>
      <w:kern w:val="0"/>
      <w:sz w:val="28"/>
      <w:szCs w:val="28"/>
    </w:rPr>
  </w:style>
  <w:style w:type="character" w:customStyle="1" w:styleId="57">
    <w:name w:val="标题 6 Char"/>
    <w:basedOn w:val="38"/>
    <w:link w:val="7"/>
    <w:qFormat/>
    <w:uiPriority w:val="0"/>
    <w:rPr>
      <w:rFonts w:ascii="Arial" w:hAnsi="Arial" w:eastAsia="黑体" w:cs="Times New Roman"/>
      <w:b/>
      <w:bCs/>
      <w:kern w:val="0"/>
      <w:sz w:val="24"/>
      <w:szCs w:val="24"/>
    </w:rPr>
  </w:style>
  <w:style w:type="character" w:customStyle="1" w:styleId="58">
    <w:name w:val="标题 7 Char"/>
    <w:basedOn w:val="38"/>
    <w:link w:val="8"/>
    <w:qFormat/>
    <w:uiPriority w:val="0"/>
    <w:rPr>
      <w:rFonts w:ascii="Times New Roman" w:hAnsi="Times New Roman" w:eastAsia="宋体" w:cs="Times New Roman"/>
      <w:b/>
      <w:bCs/>
      <w:kern w:val="0"/>
      <w:sz w:val="24"/>
      <w:szCs w:val="24"/>
    </w:rPr>
  </w:style>
  <w:style w:type="character" w:customStyle="1" w:styleId="59">
    <w:name w:val="标题 8 Char"/>
    <w:basedOn w:val="38"/>
    <w:link w:val="9"/>
    <w:qFormat/>
    <w:uiPriority w:val="0"/>
    <w:rPr>
      <w:rFonts w:ascii="Arial" w:hAnsi="Arial" w:eastAsia="黑体" w:cs="Times New Roman"/>
      <w:kern w:val="0"/>
      <w:sz w:val="24"/>
      <w:szCs w:val="24"/>
    </w:rPr>
  </w:style>
  <w:style w:type="character" w:customStyle="1" w:styleId="60">
    <w:name w:val="标题 9 Char"/>
    <w:basedOn w:val="38"/>
    <w:link w:val="10"/>
    <w:qFormat/>
    <w:uiPriority w:val="0"/>
    <w:rPr>
      <w:rFonts w:ascii="Arial" w:hAnsi="Arial" w:eastAsia="黑体" w:cs="Times New Roman"/>
      <w:kern w:val="0"/>
      <w:szCs w:val="21"/>
    </w:rPr>
  </w:style>
  <w:style w:type="paragraph" w:styleId="61">
    <w:name w:val="List Paragraph"/>
    <w:basedOn w:val="1"/>
    <w:qFormat/>
    <w:uiPriority w:val="34"/>
    <w:pPr>
      <w:ind w:firstLine="420" w:firstLineChars="200"/>
    </w:pPr>
  </w:style>
  <w:style w:type="character" w:customStyle="1" w:styleId="62">
    <w:name w:val="批注框文本 Char"/>
    <w:basedOn w:val="38"/>
    <w:link w:val="26"/>
    <w:qFormat/>
    <w:uiPriority w:val="0"/>
    <w:rPr>
      <w:rFonts w:ascii="Calibri" w:hAnsi="Calibri" w:eastAsia="宋体" w:cs="Times New Roman"/>
      <w:sz w:val="18"/>
      <w:szCs w:val="18"/>
    </w:rPr>
  </w:style>
  <w:style w:type="character" w:customStyle="1" w:styleId="63">
    <w:name w:val="文档结构图 Char"/>
    <w:basedOn w:val="38"/>
    <w:link w:val="14"/>
    <w:semiHidden/>
    <w:qFormat/>
    <w:uiPriority w:val="99"/>
    <w:rPr>
      <w:rFonts w:ascii="宋体" w:hAnsi="Calibri" w:eastAsia="宋体" w:cs="Times New Roman"/>
      <w:sz w:val="18"/>
      <w:szCs w:val="18"/>
    </w:rPr>
  </w:style>
  <w:style w:type="paragraph" w:customStyle="1" w:styleId="64">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65">
    <w:name w:val="Char Char Char"/>
    <w:basedOn w:val="1"/>
    <w:qFormat/>
    <w:uiPriority w:val="0"/>
    <w:rPr>
      <w:rFonts w:ascii="Tahoma" w:hAnsi="Tahoma"/>
      <w:sz w:val="24"/>
      <w:szCs w:val="20"/>
    </w:rPr>
  </w:style>
  <w:style w:type="paragraph" w:customStyle="1" w:styleId="66">
    <w:name w:val="样式 标题 1 + 四号 居中 段前: 12 磅 段后: 12 磅 行距: 单倍行距"/>
    <w:basedOn w:val="2"/>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7">
    <w:name w:val="纯文本 Char"/>
    <w:basedOn w:val="38"/>
    <w:link w:val="23"/>
    <w:qFormat/>
    <w:uiPriority w:val="0"/>
    <w:rPr>
      <w:rFonts w:ascii="宋体" w:hAnsi="Courier New" w:eastAsia="宋体" w:cs="Times New Roman"/>
      <w:szCs w:val="21"/>
    </w:rPr>
  </w:style>
  <w:style w:type="paragraph" w:customStyle="1" w:styleId="68">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69">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70">
    <w:name w:val="样式1"/>
    <w:basedOn w:val="1"/>
    <w:next w:val="5"/>
    <w:qFormat/>
    <w:uiPriority w:val="0"/>
    <w:pPr>
      <w:adjustRightInd w:val="0"/>
      <w:textAlignment w:val="baseline"/>
    </w:pPr>
    <w:rPr>
      <w:rFonts w:ascii="宋体" w:hAnsi="宋体"/>
      <w:kern w:val="0"/>
      <w:szCs w:val="21"/>
    </w:rPr>
  </w:style>
  <w:style w:type="character" w:customStyle="1" w:styleId="71">
    <w:name w:val="正文文本缩进 Char"/>
    <w:basedOn w:val="38"/>
    <w:link w:val="20"/>
    <w:qFormat/>
    <w:uiPriority w:val="0"/>
    <w:rPr>
      <w:rFonts w:ascii="Times New Roman" w:hAnsi="Times New Roman" w:eastAsia="宋体" w:cs="Times New Roman"/>
      <w:kern w:val="0"/>
      <w:sz w:val="24"/>
      <w:szCs w:val="20"/>
    </w:rPr>
  </w:style>
  <w:style w:type="character" w:customStyle="1" w:styleId="72">
    <w:name w:val="批注文字 Char"/>
    <w:basedOn w:val="38"/>
    <w:link w:val="16"/>
    <w:qFormat/>
    <w:uiPriority w:val="0"/>
    <w:rPr>
      <w:rFonts w:ascii="Times New Roman" w:hAnsi="Times New Roman" w:eastAsia="宋体" w:cs="Times New Roman"/>
      <w:szCs w:val="24"/>
    </w:rPr>
  </w:style>
  <w:style w:type="character" w:customStyle="1" w:styleId="73">
    <w:name w:val="批注主题 Char"/>
    <w:basedOn w:val="72"/>
    <w:link w:val="33"/>
    <w:qFormat/>
    <w:uiPriority w:val="0"/>
    <w:rPr>
      <w:rFonts w:ascii="Times New Roman" w:hAnsi="Times New Roman" w:eastAsia="宋体" w:cs="Times New Roman"/>
      <w:b/>
      <w:bCs/>
      <w:szCs w:val="24"/>
    </w:rPr>
  </w:style>
  <w:style w:type="character" w:customStyle="1" w:styleId="74">
    <w:name w:val="页眉 Char1"/>
    <w:basedOn w:val="38"/>
    <w:qFormat/>
    <w:uiPriority w:val="99"/>
    <w:rPr>
      <w:sz w:val="18"/>
      <w:szCs w:val="18"/>
    </w:rPr>
  </w:style>
  <w:style w:type="paragraph" w:customStyle="1" w:styleId="75">
    <w:name w:val="WPSOffice手动目录 1"/>
    <w:qFormat/>
    <w:uiPriority w:val="0"/>
    <w:rPr>
      <w:rFonts w:ascii="Calibri" w:hAnsi="Calibri" w:eastAsia="宋体" w:cs="Times New Roman"/>
      <w:lang w:val="en-US" w:eastAsia="zh-CN" w:bidi="ar-SA"/>
    </w:rPr>
  </w:style>
  <w:style w:type="paragraph" w:customStyle="1" w:styleId="76">
    <w:name w:val="WPSOffice手动目录 2"/>
    <w:qFormat/>
    <w:uiPriority w:val="0"/>
    <w:pPr>
      <w:ind w:left="200" w:leftChars="200"/>
    </w:pPr>
    <w:rPr>
      <w:rFonts w:ascii="Calibri" w:hAnsi="Calibri" w:eastAsia="宋体" w:cs="Times New Roman"/>
      <w:lang w:val="en-US" w:eastAsia="zh-CN" w:bidi="ar-SA"/>
    </w:rPr>
  </w:style>
  <w:style w:type="paragraph" w:customStyle="1" w:styleId="77">
    <w:name w:val="一级"/>
    <w:basedOn w:val="1"/>
    <w:qFormat/>
    <w:uiPriority w:val="0"/>
    <w:pPr>
      <w:spacing w:line="360" w:lineRule="auto"/>
      <w:jc w:val="center"/>
    </w:pPr>
    <w:rPr>
      <w:b/>
      <w:sz w:val="28"/>
    </w:rPr>
  </w:style>
  <w:style w:type="paragraph" w:customStyle="1" w:styleId="78">
    <w:name w:val="二级"/>
    <w:basedOn w:val="1"/>
    <w:link w:val="79"/>
    <w:qFormat/>
    <w:uiPriority w:val="0"/>
    <w:pPr>
      <w:spacing w:line="360" w:lineRule="auto"/>
      <w:ind w:left="200" w:leftChars="200"/>
    </w:pPr>
    <w:rPr>
      <w:b/>
      <w:sz w:val="24"/>
    </w:rPr>
  </w:style>
  <w:style w:type="character" w:customStyle="1" w:styleId="79">
    <w:name w:val="二级 Char"/>
    <w:link w:val="78"/>
    <w:qFormat/>
    <w:uiPriority w:val="0"/>
    <w:rPr>
      <w:rFonts w:eastAsia="宋体"/>
      <w:b/>
      <w:sz w:val="24"/>
    </w:rPr>
  </w:style>
  <w:style w:type="paragraph" w:customStyle="1" w:styleId="80">
    <w:name w:val="No Spacing_ad81b47b-6779-4c76-b471-79375858c8cb"/>
    <w:basedOn w:val="1"/>
    <w:qFormat/>
    <w:uiPriority w:val="0"/>
    <w:pPr>
      <w:ind w:firstLine="200" w:firstLineChars="200"/>
    </w:pPr>
  </w:style>
  <w:style w:type="paragraph" w:customStyle="1" w:styleId="81">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8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Body Text 21"/>
    <w:basedOn w:val="1"/>
    <w:qFormat/>
    <w:uiPriority w:val="0"/>
    <w:pPr>
      <w:spacing w:line="480" w:lineRule="auto"/>
    </w:pPr>
    <w:rPr>
      <w:sz w:val="20"/>
    </w:rPr>
  </w:style>
  <w:style w:type="paragraph" w:customStyle="1" w:styleId="84">
    <w:name w:val="列出段落1"/>
    <w:basedOn w:val="1"/>
    <w:qFormat/>
    <w:uiPriority w:val="34"/>
    <w:pPr>
      <w:ind w:firstLine="420" w:firstLineChars="200"/>
    </w:pPr>
  </w:style>
  <w:style w:type="paragraph" w:customStyle="1" w:styleId="85">
    <w:name w:val="图例"/>
    <w:basedOn w:val="1"/>
    <w:qFormat/>
    <w:uiPriority w:val="0"/>
    <w:pPr>
      <w:spacing w:before="120" w:after="120" w:line="360" w:lineRule="auto"/>
      <w:jc w:val="center"/>
    </w:pPr>
    <w:rPr>
      <w:rFonts w:eastAsia="仿宋_GB2312"/>
      <w:b/>
      <w:sz w:val="24"/>
      <w:szCs w:val="20"/>
    </w:rPr>
  </w:style>
  <w:style w:type="character" w:customStyle="1" w:styleId="86">
    <w:name w:val="font31"/>
    <w:basedOn w:val="38"/>
    <w:qFormat/>
    <w:uiPriority w:val="0"/>
    <w:rPr>
      <w:rFonts w:hint="eastAsia" w:ascii="宋体" w:hAnsi="宋体" w:eastAsia="宋体" w:cs="宋体"/>
      <w:color w:val="000000"/>
      <w:sz w:val="21"/>
      <w:szCs w:val="21"/>
      <w:u w:val="none"/>
    </w:rPr>
  </w:style>
  <w:style w:type="character" w:customStyle="1" w:styleId="87">
    <w:name w:val="font21"/>
    <w:basedOn w:val="38"/>
    <w:qFormat/>
    <w:uiPriority w:val="0"/>
    <w:rPr>
      <w:rFonts w:hint="eastAsia" w:ascii="宋体" w:hAnsi="宋体" w:eastAsia="宋体" w:cs="宋体"/>
      <w:color w:val="000000"/>
      <w:sz w:val="18"/>
      <w:szCs w:val="18"/>
      <w:u w:val="none"/>
    </w:rPr>
  </w:style>
  <w:style w:type="character" w:customStyle="1" w:styleId="88">
    <w:name w:val="font81"/>
    <w:basedOn w:val="38"/>
    <w:qFormat/>
    <w:uiPriority w:val="0"/>
    <w:rPr>
      <w:rFonts w:hint="eastAsia" w:ascii="宋体" w:hAnsi="宋体" w:eastAsia="宋体" w:cs="宋体"/>
      <w:color w:val="000000"/>
      <w:sz w:val="18"/>
      <w:szCs w:val="18"/>
      <w:u w:val="none"/>
      <w:vertAlign w:val="superscript"/>
    </w:rPr>
  </w:style>
  <w:style w:type="character" w:customStyle="1" w:styleId="89">
    <w:name w:val="font91"/>
    <w:basedOn w:val="38"/>
    <w:qFormat/>
    <w:uiPriority w:val="0"/>
    <w:rPr>
      <w:rFonts w:hint="eastAsia" w:ascii="宋体" w:hAnsi="宋体" w:eastAsia="宋体" w:cs="宋体"/>
      <w:color w:val="000000"/>
      <w:sz w:val="18"/>
      <w:szCs w:val="18"/>
      <w:u w:val="none"/>
      <w:vertAlign w:val="superscript"/>
    </w:rPr>
  </w:style>
  <w:style w:type="character" w:customStyle="1" w:styleId="90">
    <w:name w:val="font61"/>
    <w:basedOn w:val="38"/>
    <w:qFormat/>
    <w:uiPriority w:val="0"/>
    <w:rPr>
      <w:rFonts w:hint="eastAsia" w:ascii="宋体" w:hAnsi="宋体" w:eastAsia="宋体" w:cs="宋体"/>
      <w:color w:val="000000"/>
      <w:sz w:val="18"/>
      <w:szCs w:val="18"/>
      <w:u w:val="none"/>
      <w:vertAlign w:val="superscript"/>
    </w:rPr>
  </w:style>
  <w:style w:type="character" w:customStyle="1" w:styleId="91">
    <w:name w:val="font71"/>
    <w:basedOn w:val="38"/>
    <w:qFormat/>
    <w:uiPriority w:val="0"/>
    <w:rPr>
      <w:rFonts w:hint="eastAsia" w:ascii="宋体" w:hAnsi="宋体" w:eastAsia="宋体" w:cs="宋体"/>
      <w:color w:val="000000"/>
      <w:sz w:val="18"/>
      <w:szCs w:val="18"/>
      <w:u w:val="none"/>
      <w:vertAlign w:val="superscript"/>
    </w:rPr>
  </w:style>
  <w:style w:type="paragraph" w:customStyle="1" w:styleId="92">
    <w:name w:val="Table Paragraph"/>
    <w:basedOn w:val="1"/>
    <w:qFormat/>
    <w:uiPriority w:val="1"/>
  </w:style>
  <w:style w:type="paragraph" w:customStyle="1" w:styleId="93">
    <w:name w:val="正文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正文首行缩进 21"/>
    <w:basedOn w:val="96"/>
    <w:qFormat/>
    <w:uiPriority w:val="0"/>
    <w:pPr>
      <w:ind w:left="420" w:firstLine="420" w:firstLineChars="200"/>
    </w:pPr>
  </w:style>
  <w:style w:type="paragraph" w:customStyle="1" w:styleId="96">
    <w:name w:val="正文文本缩进1"/>
    <w:basedOn w:val="1"/>
    <w:next w:val="97"/>
    <w:qFormat/>
    <w:uiPriority w:val="0"/>
    <w:pPr>
      <w:spacing w:before="100" w:beforeAutospacing="1" w:after="100" w:afterAutospacing="1"/>
    </w:pPr>
    <w:rPr>
      <w:rFonts w:ascii="宋体" w:hAnsi="宋体"/>
      <w:sz w:val="24"/>
      <w:szCs w:val="24"/>
    </w:rPr>
  </w:style>
  <w:style w:type="paragraph" w:customStyle="1" w:styleId="97">
    <w:name w:val="寄信人地址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76</Pages>
  <Words>14345</Words>
  <Characters>15075</Characters>
  <Lines>290</Lines>
  <Paragraphs>81</Paragraphs>
  <TotalTime>0</TotalTime>
  <ScaleCrop>false</ScaleCrop>
  <LinksUpToDate>false</LinksUpToDate>
  <CharactersWithSpaces>15308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桑榆未晚       ༽</cp:lastModifiedBy>
  <cp:lastPrinted>2020-09-16T06:38:00Z</cp:lastPrinted>
  <dcterms:modified xsi:type="dcterms:W3CDTF">2026-05-07T08:23:38Z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8B99E510D07A473AB221C8AA69A97356_13</vt:lpwstr>
  </property>
  <property fmtid="{D5CDD505-2E9C-101B-9397-08002B2CF9AE}" pid="4" name="KSOTemplateDocerSaveRecord">
    <vt:lpwstr>eyJoZGlkIjoiZDcwN2NlYWE2YjRhMDM0MjJmYTZiMDViYjBiODQxNjYiLCJ1c2VySWQiOiIxMTAzMjEzNjk2In0=</vt:lpwstr>
  </property>
</Properties>
</file>