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A9A68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CEFE535">
      <w:pPr>
        <w:pStyle w:val="26"/>
        <w:ind w:firstLine="5"/>
        <w:jc w:val="center"/>
        <w:rPr>
          <w:rFonts w:hint="eastAsia" w:ascii="Cambria" w:hAnsi="Cambria" w:eastAsia="方正美黑简体"/>
          <w:color w:val="auto"/>
          <w:sz w:val="44"/>
          <w:szCs w:val="44"/>
          <w:highlight w:val="none"/>
          <w:lang w:eastAsia="zh-CN"/>
        </w:rPr>
      </w:pPr>
      <w:r>
        <w:rPr>
          <w:rFonts w:hint="eastAsia" w:ascii="Cambria" w:hAnsi="Cambria" w:eastAsia="方正美黑简体" w:cs="Times New Roman"/>
          <w:color w:val="auto"/>
          <w:spacing w:val="30"/>
          <w:kern w:val="52"/>
          <w:sz w:val="44"/>
          <w:szCs w:val="44"/>
          <w:highlight w:val="none"/>
          <w:lang w:eastAsia="zh-CN"/>
        </w:rPr>
        <w:t>广西建设工程机电设备招标中心有限公司</w:t>
      </w:r>
    </w:p>
    <w:p w14:paraId="0CC2A389">
      <w:pPr>
        <w:jc w:val="center"/>
        <w:rPr>
          <w:rFonts w:ascii="汉仪魏碑简" w:eastAsia="汉仪魏碑简"/>
          <w:color w:val="auto"/>
          <w:sz w:val="28"/>
          <w:szCs w:val="28"/>
          <w:highlight w:val="none"/>
        </w:rPr>
      </w:pPr>
      <w:r>
        <w:rPr>
          <w:rFonts w:hint="eastAsia" w:ascii="幼圆" w:eastAsia="幼圆"/>
          <w:b/>
          <w:color w:val="auto"/>
          <w:spacing w:val="-16"/>
          <w:sz w:val="13"/>
          <w:szCs w:val="13"/>
          <w:highlight w:val="none"/>
          <w:u w:val="singl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99060</wp:posOffset>
                </wp:positionV>
                <wp:extent cx="5829300" cy="0"/>
                <wp:effectExtent l="0" t="28575" r="7620" b="32385"/>
                <wp:wrapNone/>
                <wp:docPr id="10" name="直接连接符 10"/>
                <wp:cNvGraphicFramePr/>
                <a:graphic xmlns:a="http://schemas.openxmlformats.org/drawingml/2006/main">
                  <a:graphicData uri="http://schemas.microsoft.com/office/word/2010/wordprocessingShape">
                    <wps:wsp>
                      <wps:cNvCnPr/>
                      <wps:spPr>
                        <a:xfrm flipV="1">
                          <a:off x="0" y="0"/>
                          <a:ext cx="5829300" cy="0"/>
                        </a:xfrm>
                        <a:prstGeom prst="line">
                          <a:avLst/>
                        </a:prstGeom>
                        <a:ln w="57150" cap="flat" cmpd="thinThick">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flip:y;margin-left:9pt;margin-top:7.8pt;height:0pt;width:459pt;z-index:251661312;mso-width-relative:page;mso-height-relative:page;" filled="f" stroked="t" coordsize="21600,21600" o:gfxdata="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GS0ctIAAAAIAQAADwAAAAAAAAABACAAAAAiAAAAZHJzL2Rvd25yZXYueG1sUEsBAhQA&#10;FAAAAAgAh07iQKUB5q34AQAA6wMAAA4AAAAAAAAAAQAgAAAAIQEAAGRycy9lMm9Eb2MueG1sUEsF&#10;BgAAAAAGAAYAWQEAAIsFAAAAAA==&#10;">
                <v:fill on="f" focussize="0,0"/>
                <v:stroke weight="4.5pt" color="#000000" linestyle="thinThick" joinstyle="round"/>
                <v:imagedata o:title=""/>
                <o:lock v:ext="edit" aspectratio="f"/>
              </v:line>
            </w:pict>
          </mc:Fallback>
        </mc:AlternateContent>
      </w:r>
    </w:p>
    <w:p w14:paraId="71514A9D">
      <w:pPr>
        <w:rPr>
          <w:rFonts w:ascii="汉仪魏碑简" w:eastAsia="汉仪魏碑简"/>
          <w:color w:val="auto"/>
          <w:sz w:val="70"/>
          <w:szCs w:val="70"/>
          <w:highlight w:val="none"/>
        </w:rPr>
      </w:pPr>
    </w:p>
    <w:p w14:paraId="52EBABA6">
      <w:pPr>
        <w:pStyle w:val="26"/>
        <w:jc w:val="center"/>
        <w:rPr>
          <w:rFonts w:hint="eastAsia" w:asciiTheme="minorEastAsia" w:hAnsiTheme="minorEastAsia" w:eastAsiaTheme="minorEastAsia" w:cstheme="minorEastAsia"/>
          <w:b/>
          <w:bCs/>
          <w:color w:val="auto"/>
          <w:spacing w:val="-18"/>
          <w:sz w:val="96"/>
          <w:szCs w:val="96"/>
          <w:highlight w:val="none"/>
        </w:rPr>
      </w:pPr>
      <w:r>
        <w:rPr>
          <w:rFonts w:hint="eastAsia" w:asciiTheme="minorEastAsia" w:hAnsiTheme="minorEastAsia" w:eastAsiaTheme="minorEastAsia" w:cstheme="minorEastAsia"/>
          <w:b/>
          <w:bCs/>
          <w:color w:val="auto"/>
          <w:spacing w:val="-18"/>
          <w:sz w:val="96"/>
          <w:szCs w:val="96"/>
          <w:highlight w:val="none"/>
        </w:rPr>
        <w:t>竞争性磋商文件</w:t>
      </w:r>
    </w:p>
    <w:p w14:paraId="0AD790C0">
      <w:pPr>
        <w:snapToGrid w:val="0"/>
        <w:spacing w:before="156" w:beforeLines="50" w:line="500" w:lineRule="exact"/>
        <w:rPr>
          <w:rFonts w:hint="eastAsia" w:asciiTheme="minorEastAsia" w:hAnsiTheme="minorEastAsia" w:eastAsiaTheme="minorEastAsia" w:cstheme="minorEastAsia"/>
          <w:color w:val="auto"/>
          <w:highlight w:val="none"/>
        </w:rPr>
      </w:pPr>
    </w:p>
    <w:p w14:paraId="4EA04830">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7B2C30E8">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7F39ABBA">
      <w:pPr>
        <w:snapToGrid w:val="0"/>
        <w:spacing w:before="156" w:beforeLines="50" w:line="500" w:lineRule="exact"/>
        <w:jc w:val="center"/>
        <w:rPr>
          <w:rFonts w:hint="eastAsia" w:asciiTheme="minorEastAsia" w:hAnsiTheme="minorEastAsia" w:eastAsiaTheme="minorEastAsia" w:cstheme="minorEastAsia"/>
          <w:b/>
          <w:bCs/>
          <w:color w:val="auto"/>
          <w:sz w:val="30"/>
          <w:szCs w:val="30"/>
          <w:highlight w:val="none"/>
        </w:rPr>
      </w:pPr>
    </w:p>
    <w:p w14:paraId="23A634E1">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lang w:eastAsia="zh-CN"/>
        </w:rPr>
        <w:t>坛洛镇那坛村增朗坡蔬菜基地建设项目</w:t>
      </w:r>
    </w:p>
    <w:p w14:paraId="5BCB8566">
      <w:pPr>
        <w:snapToGrid w:val="0"/>
        <w:spacing w:before="156" w:beforeLines="50" w:line="500" w:lineRule="exact"/>
        <w:ind w:firstLine="964" w:firstLineChars="300"/>
        <w:jc w:val="left"/>
        <w:rPr>
          <w:rFonts w:hint="eastAsia" w:asciiTheme="minorEastAsia" w:hAnsiTheme="minorEastAsia" w:eastAsiaTheme="minorEastAsia" w:cstheme="minorEastAsia"/>
          <w:b/>
          <w:bCs/>
          <w:color w:val="auto"/>
          <w:sz w:val="32"/>
          <w:szCs w:val="32"/>
          <w:highlight w:val="none"/>
          <w:lang w:eastAsia="zh-CN"/>
        </w:rPr>
      </w:pPr>
      <w:r>
        <w:rPr>
          <w:rFonts w:hint="eastAsia" w:asciiTheme="minorEastAsia" w:hAnsiTheme="minorEastAsia" w:eastAsiaTheme="minorEastAsia" w:cstheme="minorEastAsia"/>
          <w:b/>
          <w:bCs/>
          <w:color w:val="auto"/>
          <w:sz w:val="32"/>
          <w:szCs w:val="32"/>
          <w:highlight w:val="none"/>
        </w:rPr>
        <w:t>项目编号：NNZC2026-C2-070009-JGJD</w:t>
      </w:r>
    </w:p>
    <w:p w14:paraId="68B6DACF">
      <w:pPr>
        <w:snapToGrid w:val="0"/>
        <w:spacing w:before="156" w:beforeLines="50" w:line="500" w:lineRule="exact"/>
        <w:rPr>
          <w:rFonts w:hint="eastAsia" w:asciiTheme="minorEastAsia" w:hAnsiTheme="minorEastAsia" w:eastAsiaTheme="minorEastAsia" w:cstheme="minorEastAsia"/>
          <w:color w:val="auto"/>
          <w:sz w:val="32"/>
          <w:szCs w:val="32"/>
          <w:highlight w:val="none"/>
        </w:rPr>
      </w:pPr>
    </w:p>
    <w:p w14:paraId="4FC7842C">
      <w:pPr>
        <w:snapToGrid w:val="0"/>
        <w:spacing w:before="156" w:beforeLines="50" w:line="500" w:lineRule="exact"/>
        <w:rPr>
          <w:rFonts w:hint="eastAsia" w:asciiTheme="minorEastAsia" w:hAnsiTheme="minorEastAsia" w:eastAsiaTheme="minorEastAsia" w:cstheme="minorEastAsia"/>
          <w:color w:val="auto"/>
          <w:highlight w:val="none"/>
        </w:rPr>
      </w:pPr>
    </w:p>
    <w:p w14:paraId="3696506F">
      <w:pPr>
        <w:pStyle w:val="5"/>
        <w:rPr>
          <w:rFonts w:hint="eastAsia" w:asciiTheme="minorEastAsia" w:hAnsiTheme="minorEastAsia" w:eastAsiaTheme="minorEastAsia" w:cstheme="minorEastAsia"/>
          <w:color w:val="auto"/>
          <w:highlight w:val="none"/>
        </w:rPr>
      </w:pPr>
    </w:p>
    <w:p w14:paraId="4AA7CDE6">
      <w:pPr>
        <w:rPr>
          <w:color w:val="auto"/>
          <w:highlight w:val="none"/>
        </w:rPr>
      </w:pPr>
    </w:p>
    <w:p w14:paraId="3C0E8927">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rPr>
      </w:pPr>
    </w:p>
    <w:p w14:paraId="529F9112">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mc:AlternateContent>
          <mc:Choice Requires="wps">
            <w:drawing>
              <wp:anchor distT="0" distB="0" distL="114300" distR="114300" simplePos="0" relativeHeight="251660288" behindDoc="0" locked="0" layoutInCell="1" allowOverlap="1">
                <wp:simplePos x="0" y="0"/>
                <wp:positionH relativeFrom="column">
                  <wp:posOffset>-110490</wp:posOffset>
                </wp:positionH>
                <wp:positionV relativeFrom="paragraph">
                  <wp:posOffset>78740</wp:posOffset>
                </wp:positionV>
                <wp:extent cx="6076950" cy="0"/>
                <wp:effectExtent l="0" t="0" r="0" b="0"/>
                <wp:wrapNone/>
                <wp:docPr id="2" name="自选图形 3"/>
                <wp:cNvGraphicFramePr/>
                <a:graphic xmlns:a="http://schemas.openxmlformats.org/drawingml/2006/main">
                  <a:graphicData uri="http://schemas.microsoft.com/office/word/2010/wordprocessingShape">
                    <wps:wsp>
                      <wps:cNvCnPr/>
                      <wps:spPr>
                        <a:xfrm>
                          <a:off x="0" y="0"/>
                          <a:ext cx="60769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8.7pt;margin-top:6.2pt;height:0pt;width:478.5pt;z-index:251660288;mso-width-relative:page;mso-height-relative:page;" filled="f" stroked="t" coordsize="21600,21600" o:gfxdata="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Mywj1wAAAAkBAAAPAAAAAAAAAAEAIAAAACIAAABkcnMvZG93bnJldi54bWxQSwEC&#10;FAAUAAAACACHTuJAlDlLd/UBAADjAwAADgAAAAAAAAABACAAAAAmAQAAZHJzL2Uyb0RvYy54bWxQ&#10;SwUGAAAAAAYABgBZAQAAjQUAAAAA&#10;">
                <v:fill on="f" focussize="0,0"/>
                <v:stroke color="#000000" joinstyle="round"/>
                <v:imagedata o:title=""/>
                <o:lock v:ext="edit" aspectratio="f"/>
              </v:shape>
            </w:pict>
          </mc:Fallback>
        </mc:AlternateContent>
      </w:r>
      <w:r>
        <w:rPr>
          <w:rFonts w:hint="eastAsia" w:asciiTheme="minorEastAsia" w:hAnsiTheme="minorEastAsia" w:eastAsiaTheme="minorEastAsia" w:cstheme="minorEastAsia"/>
          <w:b/>
          <w:bCs/>
          <w:color w:val="auto"/>
          <w:sz w:val="30"/>
          <w:szCs w:val="30"/>
          <w:highlight w:val="none"/>
        </w:rPr>
        <w:t>采购单位：</w:t>
      </w:r>
      <w:r>
        <w:rPr>
          <w:rFonts w:hint="eastAsia" w:asciiTheme="minorEastAsia" w:hAnsiTheme="minorEastAsia" w:eastAsiaTheme="minorEastAsia" w:cstheme="minorEastAsia"/>
          <w:b/>
          <w:bCs/>
          <w:color w:val="auto"/>
          <w:sz w:val="30"/>
          <w:szCs w:val="30"/>
          <w:highlight w:val="none"/>
          <w:lang w:eastAsia="zh-CN"/>
        </w:rPr>
        <w:t>南宁市西乡塘区农业农村局</w:t>
      </w:r>
    </w:p>
    <w:p w14:paraId="2F6E0222">
      <w:pPr>
        <w:snapToGrid w:val="0"/>
        <w:spacing w:before="156" w:beforeLines="50" w:line="400" w:lineRule="atLeast"/>
        <w:ind w:firstLine="1506" w:firstLineChars="500"/>
        <w:rPr>
          <w:rFonts w:hint="eastAsia" w:asciiTheme="minorEastAsia" w:hAnsiTheme="minorEastAsia" w:eastAsiaTheme="minorEastAsia" w:cstheme="minorEastAsia"/>
          <w:b/>
          <w:bCs/>
          <w:color w:val="auto"/>
          <w:sz w:val="30"/>
          <w:szCs w:val="30"/>
          <w:highlight w:val="none"/>
          <w:lang w:eastAsia="zh-CN"/>
        </w:rPr>
      </w:pPr>
      <w:r>
        <w:rPr>
          <w:rFonts w:hint="eastAsia" w:asciiTheme="minorEastAsia" w:hAnsiTheme="minorEastAsia" w:eastAsiaTheme="minorEastAsia" w:cstheme="minorEastAsia"/>
          <w:b/>
          <w:bCs/>
          <w:color w:val="auto"/>
          <w:sz w:val="30"/>
          <w:szCs w:val="30"/>
          <w:highlight w:val="none"/>
        </w:rPr>
        <w:t>采购代理机构：</w:t>
      </w:r>
      <w:r>
        <w:rPr>
          <w:rFonts w:hint="eastAsia" w:asciiTheme="minorEastAsia" w:hAnsiTheme="minorEastAsia" w:eastAsiaTheme="minorEastAsia" w:cstheme="minorEastAsia"/>
          <w:b/>
          <w:bCs/>
          <w:color w:val="auto"/>
          <w:sz w:val="30"/>
          <w:szCs w:val="30"/>
          <w:highlight w:val="none"/>
          <w:lang w:eastAsia="zh-CN"/>
        </w:rPr>
        <w:t>广西建设工程机电设备招标中心有限公司</w:t>
      </w:r>
    </w:p>
    <w:p w14:paraId="3C1323A2">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pPr>
    </w:p>
    <w:p w14:paraId="677256FC">
      <w:pPr>
        <w:snapToGrid w:val="0"/>
        <w:spacing w:before="156" w:beforeLines="50" w:line="400" w:lineRule="atLeast"/>
        <w:jc w:val="center"/>
        <w:rPr>
          <w:rFonts w:hint="eastAsia" w:asciiTheme="minorEastAsia" w:hAnsiTheme="minorEastAsia" w:eastAsiaTheme="minorEastAsia" w:cstheme="minorEastAsia"/>
          <w:b/>
          <w:bCs/>
          <w:color w:val="auto"/>
          <w:sz w:val="30"/>
          <w:szCs w:val="30"/>
          <w:highlight w:val="none"/>
        </w:rPr>
        <w:sectPr>
          <w:footerReference r:id="rId3" w:type="default"/>
          <w:pgSz w:w="11906" w:h="16838"/>
          <w:pgMar w:top="1134" w:right="1134" w:bottom="1134" w:left="1134" w:header="851" w:footer="567" w:gutter="0"/>
          <w:pgNumType w:start="0"/>
          <w:cols w:space="720" w:num="1"/>
          <w:titlePg/>
          <w:docGrid w:type="lines" w:linePitch="312" w:charSpace="0"/>
        </w:sectPr>
      </w:pPr>
      <w:r>
        <w:rPr>
          <w:rFonts w:hint="eastAsia" w:asciiTheme="minorEastAsia" w:hAnsiTheme="minorEastAsia" w:eastAsiaTheme="minorEastAsia" w:cstheme="minorEastAsia"/>
          <w:b/>
          <w:bCs/>
          <w:color w:val="auto"/>
          <w:sz w:val="30"/>
          <w:szCs w:val="30"/>
          <w:highlight w:val="none"/>
          <w:lang w:eastAsia="zh-CN"/>
        </w:rPr>
        <w:t>2026年</w:t>
      </w:r>
      <w:r>
        <w:rPr>
          <w:rFonts w:hint="eastAsia" w:asciiTheme="minorEastAsia" w:hAnsiTheme="minorEastAsia" w:eastAsiaTheme="minorEastAsia" w:cstheme="minorEastAsia"/>
          <w:b/>
          <w:bCs/>
          <w:color w:val="auto"/>
          <w:sz w:val="30"/>
          <w:szCs w:val="30"/>
          <w:highlight w:val="none"/>
          <w:lang w:val="en-US" w:eastAsia="zh-CN"/>
        </w:rPr>
        <w:t>5</w:t>
      </w:r>
      <w:r>
        <w:rPr>
          <w:rFonts w:hint="eastAsia" w:asciiTheme="minorEastAsia" w:hAnsiTheme="minorEastAsia" w:eastAsiaTheme="minorEastAsia" w:cstheme="minorEastAsia"/>
          <w:b/>
          <w:bCs/>
          <w:color w:val="auto"/>
          <w:sz w:val="30"/>
          <w:szCs w:val="30"/>
          <w:highlight w:val="none"/>
        </w:rPr>
        <w:t>月</w:t>
      </w:r>
      <w:r>
        <w:rPr>
          <w:rFonts w:hint="eastAsia" w:asciiTheme="minorEastAsia" w:hAnsiTheme="minorEastAsia" w:eastAsiaTheme="minorEastAsia" w:cstheme="minorEastAsia"/>
          <w:b/>
          <w:bCs/>
          <w:color w:val="auto"/>
          <w:sz w:val="30"/>
          <w:szCs w:val="30"/>
          <w:highlight w:val="none"/>
          <w:lang w:val="en-US" w:eastAsia="zh-CN"/>
        </w:rPr>
        <w:t>12</w:t>
      </w:r>
      <w:r>
        <w:rPr>
          <w:rFonts w:hint="eastAsia" w:asciiTheme="minorEastAsia" w:hAnsiTheme="minorEastAsia" w:eastAsiaTheme="minorEastAsia" w:cstheme="minorEastAsia"/>
          <w:b/>
          <w:bCs/>
          <w:color w:val="auto"/>
          <w:sz w:val="30"/>
          <w:szCs w:val="30"/>
          <w:highlight w:val="none"/>
        </w:rPr>
        <w:t>日</w:t>
      </w:r>
    </w:p>
    <w:p w14:paraId="7137274D">
      <w:pPr>
        <w:jc w:val="center"/>
        <w:rPr>
          <w:rFonts w:hint="eastAsia" w:ascii="宋体" w:hAnsi="宋体"/>
          <w:color w:val="auto"/>
          <w:sz w:val="44"/>
          <w:szCs w:val="44"/>
          <w:highlight w:val="none"/>
        </w:rPr>
      </w:pPr>
      <w:r>
        <w:rPr>
          <w:rFonts w:hint="eastAsia" w:ascii="宋体" w:hAnsi="宋体"/>
          <w:color w:val="auto"/>
          <w:sz w:val="44"/>
          <w:szCs w:val="44"/>
          <w:highlight w:val="none"/>
        </w:rPr>
        <w:t xml:space="preserve"> </w:t>
      </w:r>
    </w:p>
    <w:sdt>
      <w:sdtPr>
        <w:rPr>
          <w:rFonts w:ascii="宋体" w:hAnsi="宋体"/>
          <w:b/>
          <w:bCs/>
          <w:color w:val="auto"/>
          <w:sz w:val="44"/>
          <w:szCs w:val="44"/>
          <w:highlight w:val="none"/>
        </w:rPr>
        <w:id w:val="147460414"/>
        <w15:color w:val="DBDBDB"/>
        <w:docPartObj>
          <w:docPartGallery w:val="Table of Contents"/>
          <w:docPartUnique/>
        </w:docPartObj>
      </w:sdtPr>
      <w:sdtEndPr>
        <w:rPr>
          <w:rFonts w:ascii="宋体" w:hAnsi="宋体"/>
          <w:b/>
          <w:bCs/>
          <w:color w:val="auto"/>
          <w:sz w:val="44"/>
          <w:szCs w:val="44"/>
          <w:highlight w:val="none"/>
        </w:rPr>
      </w:sdtEndPr>
      <w:sdtContent>
        <w:p w14:paraId="32FD9759">
          <w:pPr>
            <w:jc w:val="center"/>
            <w:rPr>
              <w:rFonts w:hint="eastAsia" w:ascii="宋体" w:hAnsi="宋体"/>
              <w:b/>
              <w:bCs/>
              <w:color w:val="auto"/>
              <w:sz w:val="44"/>
              <w:szCs w:val="44"/>
              <w:highlight w:val="none"/>
            </w:rPr>
          </w:pPr>
          <w:r>
            <w:rPr>
              <w:rFonts w:ascii="宋体" w:hAnsi="宋体"/>
              <w:b/>
              <w:bCs/>
              <w:color w:val="auto"/>
              <w:sz w:val="44"/>
              <w:szCs w:val="44"/>
              <w:highlight w:val="none"/>
            </w:rPr>
            <w:t>目</w:t>
          </w:r>
          <w:r>
            <w:rPr>
              <w:rFonts w:hint="eastAsia" w:ascii="宋体" w:hAnsi="宋体"/>
              <w:b/>
              <w:bCs/>
              <w:color w:val="auto"/>
              <w:sz w:val="44"/>
              <w:szCs w:val="44"/>
              <w:highlight w:val="none"/>
            </w:rPr>
            <w:t xml:space="preserve">    </w:t>
          </w:r>
          <w:r>
            <w:rPr>
              <w:rFonts w:ascii="宋体" w:hAnsi="宋体"/>
              <w:b/>
              <w:bCs/>
              <w:color w:val="auto"/>
              <w:sz w:val="44"/>
              <w:szCs w:val="44"/>
              <w:highlight w:val="none"/>
            </w:rPr>
            <w:t>录</w:t>
          </w:r>
          <w:r>
            <w:rPr>
              <w:rFonts w:hint="eastAsia" w:ascii="宋体" w:hAnsi="宋体"/>
              <w:b/>
              <w:bCs/>
              <w:color w:val="auto"/>
              <w:sz w:val="44"/>
              <w:szCs w:val="44"/>
              <w:highlight w:val="none"/>
            </w:rPr>
            <w:t xml:space="preserve">     </w:t>
          </w:r>
        </w:p>
        <w:p w14:paraId="2AE51B85">
          <w:pPr>
            <w:pStyle w:val="29"/>
            <w:spacing w:line="360" w:lineRule="auto"/>
            <w:rPr>
              <w:rFonts w:hint="eastAsia" w:ascii="宋体" w:hAnsi="宋体"/>
              <w:b/>
              <w:bCs/>
              <w:color w:val="auto"/>
              <w:sz w:val="28"/>
              <w:szCs w:val="28"/>
              <w:highlight w:val="none"/>
            </w:rPr>
          </w:pPr>
        </w:p>
        <w:p w14:paraId="06F00105">
          <w:pPr>
            <w:pStyle w:val="33"/>
            <w:tabs>
              <w:tab w:val="right" w:leader="dot" w:pos="8730"/>
            </w:tabs>
            <w:spacing w:line="480" w:lineRule="auto"/>
            <w:rPr>
              <w:rFonts w:hint="eastAsia" w:ascii="宋体" w:hAnsi="宋体" w:cs="宋体"/>
              <w:b w:val="0"/>
              <w:bCs w:val="0"/>
              <w:color w:val="auto"/>
              <w:sz w:val="32"/>
              <w:szCs w:val="32"/>
              <w:highlight w:val="none"/>
            </w:rPr>
          </w:pPr>
          <w:r>
            <w:rPr>
              <w:rFonts w:hint="eastAsia" w:ascii="宋体" w:hAnsi="宋体" w:cs="宋体"/>
              <w:color w:val="auto"/>
              <w:sz w:val="32"/>
              <w:szCs w:val="32"/>
              <w:highlight w:val="none"/>
            </w:rPr>
            <w:fldChar w:fldCharType="begin"/>
          </w:r>
          <w:r>
            <w:rPr>
              <w:rFonts w:hint="eastAsia" w:ascii="宋体" w:hAnsi="宋体" w:cs="宋体"/>
              <w:color w:val="auto"/>
              <w:sz w:val="32"/>
              <w:szCs w:val="32"/>
              <w:highlight w:val="none"/>
            </w:rPr>
            <w:instrText xml:space="preserve">TOC \o "1-1" \h \u </w:instrText>
          </w:r>
          <w:r>
            <w:rPr>
              <w:rFonts w:hint="eastAsia" w:ascii="宋体" w:hAnsi="宋体" w:cs="宋体"/>
              <w:color w:val="auto"/>
              <w:sz w:val="32"/>
              <w:szCs w:val="32"/>
              <w:highlight w:val="none"/>
            </w:rPr>
            <w:fldChar w:fldCharType="separate"/>
          </w:r>
          <w:r>
            <w:rPr>
              <w:color w:val="auto"/>
              <w:highlight w:val="none"/>
            </w:rPr>
            <w:fldChar w:fldCharType="begin"/>
          </w:r>
          <w:r>
            <w:rPr>
              <w:color w:val="auto"/>
              <w:highlight w:val="none"/>
            </w:rPr>
            <w:instrText xml:space="preserve"> HYPERLINK \l "_Toc2307" </w:instrText>
          </w:r>
          <w:r>
            <w:rPr>
              <w:color w:val="auto"/>
              <w:highlight w:val="none"/>
            </w:rPr>
            <w:fldChar w:fldCharType="separate"/>
          </w:r>
          <w:r>
            <w:rPr>
              <w:rFonts w:hint="eastAsia" w:ascii="宋体" w:hAnsi="宋体" w:cs="宋体"/>
              <w:b w:val="0"/>
              <w:bCs w:val="0"/>
              <w:color w:val="auto"/>
              <w:sz w:val="32"/>
              <w:szCs w:val="32"/>
              <w:highlight w:val="none"/>
            </w:rPr>
            <w:t>第一章  竞争性磋商公告</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_Toc2307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59CE3AF2">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"_Toc26580" </w:instrText>
          </w:r>
          <w:r>
            <w:rPr>
              <w:color w:val="auto"/>
              <w:highlight w:val="none"/>
            </w:rPr>
            <w:fldChar w:fldCharType="separate"/>
          </w:r>
          <w:r>
            <w:rPr>
              <w:rFonts w:hint="eastAsia" w:ascii="宋体" w:hAnsi="宋体" w:cs="宋体"/>
              <w:b w:val="0"/>
              <w:bCs w:val="0"/>
              <w:color w:val="auto"/>
              <w:sz w:val="32"/>
              <w:szCs w:val="32"/>
              <w:highlight w:val="none"/>
            </w:rPr>
            <w:t>第二章  磋商须知前附表及磋商须知</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A61D80F">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"_Toc3413" </w:instrText>
          </w:r>
          <w:r>
            <w:rPr>
              <w:color w:val="auto"/>
              <w:highlight w:val="none"/>
            </w:rPr>
            <w:fldChar w:fldCharType="separate"/>
          </w:r>
          <w:r>
            <w:rPr>
              <w:rFonts w:hint="eastAsia" w:ascii="宋体" w:hAnsi="宋体" w:cs="宋体"/>
              <w:b w:val="0"/>
              <w:bCs w:val="0"/>
              <w:color w:val="auto"/>
              <w:sz w:val="32"/>
              <w:szCs w:val="32"/>
              <w:highlight w:val="none"/>
            </w:rPr>
            <w:t>第三章  技术规范</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_Toc3413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29</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20263A82">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"_Toc1957" </w:instrText>
          </w:r>
          <w:r>
            <w:rPr>
              <w:color w:val="auto"/>
              <w:highlight w:val="none"/>
            </w:rPr>
            <w:fldChar w:fldCharType="separate"/>
          </w:r>
          <w:r>
            <w:rPr>
              <w:rFonts w:hint="eastAsia" w:ascii="宋体" w:hAnsi="宋体" w:cs="宋体"/>
              <w:b w:val="0"/>
              <w:bCs w:val="0"/>
              <w:color w:val="auto"/>
              <w:sz w:val="32"/>
              <w:szCs w:val="32"/>
              <w:highlight w:val="none"/>
            </w:rPr>
            <w:t>第四章  评审程序、评审方法和评审标准</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_Toc1957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30</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29F78C1F">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"_Toc1580" </w:instrText>
          </w:r>
          <w:r>
            <w:rPr>
              <w:color w:val="auto"/>
              <w:highlight w:val="none"/>
            </w:rPr>
            <w:fldChar w:fldCharType="separate"/>
          </w:r>
          <w:r>
            <w:rPr>
              <w:rFonts w:hint="eastAsia" w:ascii="宋体" w:hAnsi="宋体" w:cs="宋体"/>
              <w:b w:val="0"/>
              <w:bCs w:val="0"/>
              <w:color w:val="auto"/>
              <w:sz w:val="32"/>
              <w:szCs w:val="32"/>
              <w:highlight w:val="none"/>
            </w:rPr>
            <w:t>第五章  工程量清单、最高限价及图纸</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_Toc1580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41</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3B3D3F62">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"_Toc30166" </w:instrText>
          </w:r>
          <w:r>
            <w:rPr>
              <w:color w:val="auto"/>
              <w:highlight w:val="none"/>
            </w:rPr>
            <w:fldChar w:fldCharType="separate"/>
          </w:r>
          <w:r>
            <w:rPr>
              <w:rFonts w:hint="eastAsia" w:ascii="宋体" w:hAnsi="宋体" w:cs="宋体"/>
              <w:b w:val="0"/>
              <w:bCs w:val="0"/>
              <w:color w:val="auto"/>
              <w:sz w:val="32"/>
              <w:szCs w:val="32"/>
              <w:highlight w:val="none"/>
            </w:rPr>
            <w:t>第六章  响应文件格式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_Toc30166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45</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55933DA5">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"_Toc26854" </w:instrText>
          </w:r>
          <w:r>
            <w:rPr>
              <w:color w:val="auto"/>
              <w:highlight w:val="none"/>
            </w:rPr>
            <w:fldChar w:fldCharType="separate"/>
          </w:r>
          <w:r>
            <w:rPr>
              <w:rFonts w:hint="eastAsia" w:ascii="宋体" w:hAnsi="宋体" w:cs="宋体"/>
              <w:b w:val="0"/>
              <w:bCs w:val="0"/>
              <w:color w:val="auto"/>
              <w:sz w:val="32"/>
              <w:szCs w:val="32"/>
              <w:highlight w:val="none"/>
            </w:rPr>
            <w:t>第七章  二次报价格式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_Toc26854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75</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74325976">
          <w:pPr>
            <w:pStyle w:val="33"/>
            <w:tabs>
              <w:tab w:val="right" w:leader="dot" w:pos="8730"/>
            </w:tabs>
            <w:spacing w:line="480" w:lineRule="auto"/>
            <w:rPr>
              <w:rFonts w:hint="eastAsia" w:ascii="宋体" w:hAnsi="宋体" w:cs="宋体"/>
              <w:b w:val="0"/>
              <w:bCs w:val="0"/>
              <w:color w:val="auto"/>
              <w:sz w:val="32"/>
              <w:szCs w:val="32"/>
              <w:highlight w:val="none"/>
            </w:rPr>
          </w:pPr>
          <w:r>
            <w:rPr>
              <w:color w:val="auto"/>
              <w:highlight w:val="none"/>
            </w:rPr>
            <w:fldChar w:fldCharType="begin"/>
          </w:r>
          <w:r>
            <w:rPr>
              <w:color w:val="auto"/>
              <w:highlight w:val="none"/>
            </w:rPr>
            <w:instrText xml:space="preserve"> HYPERLINK \l "_Toc22111" </w:instrText>
          </w:r>
          <w:r>
            <w:rPr>
              <w:color w:val="auto"/>
              <w:highlight w:val="none"/>
            </w:rPr>
            <w:fldChar w:fldCharType="separate"/>
          </w:r>
          <w:r>
            <w:rPr>
              <w:rFonts w:hint="eastAsia" w:ascii="宋体" w:hAnsi="宋体" w:cs="宋体"/>
              <w:b w:val="0"/>
              <w:bCs w:val="0"/>
              <w:color w:val="auto"/>
              <w:sz w:val="32"/>
              <w:szCs w:val="32"/>
              <w:highlight w:val="none"/>
            </w:rPr>
            <w:t>第八章  合同书格式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_Toc22111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78</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48033767">
          <w:pPr>
            <w:pStyle w:val="33"/>
            <w:tabs>
              <w:tab w:val="right" w:leader="dot" w:pos="8730"/>
            </w:tabs>
            <w:spacing w:line="480" w:lineRule="auto"/>
            <w:rPr>
              <w:rFonts w:hint="eastAsia" w:ascii="宋体" w:hAnsi="宋体" w:cs="宋体"/>
              <w:color w:val="auto"/>
              <w:sz w:val="32"/>
              <w:szCs w:val="32"/>
              <w:highlight w:val="none"/>
            </w:rPr>
          </w:pPr>
          <w:r>
            <w:rPr>
              <w:color w:val="auto"/>
              <w:highlight w:val="none"/>
            </w:rPr>
            <w:fldChar w:fldCharType="begin"/>
          </w:r>
          <w:r>
            <w:rPr>
              <w:color w:val="auto"/>
              <w:highlight w:val="none"/>
            </w:rPr>
            <w:instrText xml:space="preserve"> HYPERLINK \l "_Toc27024" </w:instrText>
          </w:r>
          <w:r>
            <w:rPr>
              <w:color w:val="auto"/>
              <w:highlight w:val="none"/>
            </w:rPr>
            <w:fldChar w:fldCharType="separate"/>
          </w:r>
          <w:r>
            <w:rPr>
              <w:rFonts w:hint="eastAsia" w:ascii="宋体" w:hAnsi="宋体" w:cs="宋体"/>
              <w:b w:val="0"/>
              <w:bCs w:val="0"/>
              <w:color w:val="auto"/>
              <w:sz w:val="32"/>
              <w:szCs w:val="32"/>
              <w:highlight w:val="none"/>
            </w:rPr>
            <w:t>第九章  质疑、投诉材料格式</w:t>
          </w:r>
          <w:r>
            <w:rPr>
              <w:rFonts w:hint="eastAsia" w:ascii="宋体" w:hAnsi="宋体" w:cs="宋体"/>
              <w:b w:val="0"/>
              <w:bCs w:val="0"/>
              <w:color w:val="auto"/>
              <w:sz w:val="32"/>
              <w:szCs w:val="32"/>
              <w:highlight w:val="none"/>
            </w:rPr>
            <w:tab/>
          </w:r>
          <w:r>
            <w:rPr>
              <w:rFonts w:hint="eastAsia" w:ascii="宋体" w:hAnsi="宋体" w:cs="宋体"/>
              <w:b w:val="0"/>
              <w:bCs w:val="0"/>
              <w:color w:val="auto"/>
              <w:sz w:val="32"/>
              <w:szCs w:val="32"/>
              <w:highlight w:val="none"/>
            </w:rPr>
            <w:fldChar w:fldCharType="begin"/>
          </w:r>
          <w:r>
            <w:rPr>
              <w:rFonts w:hint="eastAsia" w:ascii="宋体" w:hAnsi="宋体" w:cs="宋体"/>
              <w:b w:val="0"/>
              <w:bCs w:val="0"/>
              <w:color w:val="auto"/>
              <w:sz w:val="32"/>
              <w:szCs w:val="32"/>
              <w:highlight w:val="none"/>
            </w:rPr>
            <w:instrText xml:space="preserve"> PAGEREF _Toc27024 \h </w:instrText>
          </w:r>
          <w:r>
            <w:rPr>
              <w:rFonts w:hint="eastAsia" w:ascii="宋体" w:hAnsi="宋体" w:cs="宋体"/>
              <w:b w:val="0"/>
              <w:bCs w:val="0"/>
              <w:color w:val="auto"/>
              <w:sz w:val="32"/>
              <w:szCs w:val="32"/>
              <w:highlight w:val="none"/>
            </w:rPr>
            <w:fldChar w:fldCharType="separate"/>
          </w:r>
          <w:r>
            <w:rPr>
              <w:rFonts w:hint="eastAsia" w:ascii="宋体" w:hAnsi="宋体" w:cs="宋体"/>
              <w:b w:val="0"/>
              <w:bCs w:val="0"/>
              <w:color w:val="auto"/>
              <w:sz w:val="32"/>
              <w:szCs w:val="32"/>
              <w:highlight w:val="none"/>
            </w:rPr>
            <w:t>82</w:t>
          </w:r>
          <w:r>
            <w:rPr>
              <w:rFonts w:hint="eastAsia" w:ascii="宋体" w:hAnsi="宋体" w:cs="宋体"/>
              <w:b w:val="0"/>
              <w:bCs w:val="0"/>
              <w:color w:val="auto"/>
              <w:sz w:val="32"/>
              <w:szCs w:val="32"/>
              <w:highlight w:val="none"/>
            </w:rPr>
            <w:fldChar w:fldCharType="end"/>
          </w:r>
          <w:r>
            <w:rPr>
              <w:rFonts w:hint="eastAsia" w:ascii="宋体" w:hAnsi="宋体" w:cs="宋体"/>
              <w:b w:val="0"/>
              <w:bCs w:val="0"/>
              <w:color w:val="auto"/>
              <w:sz w:val="32"/>
              <w:szCs w:val="32"/>
              <w:highlight w:val="none"/>
            </w:rPr>
            <w:fldChar w:fldCharType="end"/>
          </w:r>
        </w:p>
        <w:p w14:paraId="1486EDA4">
          <w:pPr>
            <w:spacing w:line="360" w:lineRule="auto"/>
            <w:rPr>
              <w:color w:val="auto"/>
              <w:highlight w:val="none"/>
            </w:rPr>
          </w:pPr>
          <w:r>
            <w:rPr>
              <w:rFonts w:hint="eastAsia" w:ascii="宋体" w:hAnsi="宋体" w:cs="宋体"/>
              <w:color w:val="auto"/>
              <w:sz w:val="32"/>
              <w:szCs w:val="32"/>
              <w:highlight w:val="none"/>
            </w:rPr>
            <w:fldChar w:fldCharType="end"/>
          </w:r>
        </w:p>
      </w:sdtContent>
    </w:sdt>
    <w:p w14:paraId="13BFF60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64FEF1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A37CF2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A73931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558C7B8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19554E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77DE32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1CA62ECB">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877EA1B">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6EF48CF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236A889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9319188">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3FC80789">
      <w:pPr>
        <w:pStyle w:val="4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bookmarkStart w:id="0" w:name="_Toc2307"/>
      <w:bookmarkStart w:id="1" w:name="_Toc22939"/>
      <w:r>
        <w:rPr>
          <w:rFonts w:hint="eastAsia" w:asciiTheme="minorEastAsia" w:hAnsiTheme="minorEastAsia" w:eastAsiaTheme="minorEastAsia" w:cstheme="minorEastAsia"/>
          <w:color w:val="auto"/>
          <w:highlight w:val="none"/>
        </w:rPr>
        <w:t>第一章  竞争性磋商公告</w:t>
      </w:r>
      <w:bookmarkEnd w:id="0"/>
    </w:p>
    <w:p w14:paraId="411F9357">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广西建设工程机电设备招标中心有限公司</w:t>
      </w:r>
    </w:p>
    <w:p w14:paraId="3450B6A1">
      <w:pPr>
        <w:spacing w:line="540" w:lineRule="exact"/>
        <w:jc w:val="center"/>
        <w:rPr>
          <w:rFonts w:hint="eastAsia" w:asciiTheme="minorEastAsia" w:hAnsiTheme="minorEastAsia" w:eastAsiaTheme="minorEastAsia" w:cstheme="minorEastAsia"/>
          <w:b/>
          <w:color w:val="auto"/>
          <w:sz w:val="28"/>
          <w:szCs w:val="28"/>
          <w:highlight w:val="none"/>
          <w:lang w:eastAsia="zh-CN"/>
        </w:rPr>
      </w:pPr>
      <w:r>
        <w:rPr>
          <w:rFonts w:hint="eastAsia" w:asciiTheme="minorEastAsia" w:hAnsiTheme="minorEastAsia" w:eastAsiaTheme="minorEastAsia" w:cstheme="minorEastAsia"/>
          <w:b/>
          <w:color w:val="auto"/>
          <w:sz w:val="28"/>
          <w:szCs w:val="28"/>
          <w:highlight w:val="none"/>
          <w:lang w:eastAsia="zh-CN"/>
        </w:rPr>
        <w:t>坛洛镇那坛村增朗坡蔬菜基地建设项目</w:t>
      </w:r>
    </w:p>
    <w:p w14:paraId="587D22C4">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（项目编号：NNZC2026-C2-070009-JGJD）</w:t>
      </w:r>
    </w:p>
    <w:p w14:paraId="3952B5AD">
      <w:pPr>
        <w:spacing w:line="540" w:lineRule="exac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竞争性磋商公告</w:t>
      </w:r>
    </w:p>
    <w:p w14:paraId="4F68D9DE">
      <w:pPr>
        <w:rPr>
          <w:rFonts w:hint="eastAsia" w:asciiTheme="minorEastAsia" w:hAnsiTheme="minorEastAsia" w:eastAsiaTheme="minorEastAsia" w:cstheme="minorEastAsia"/>
          <w:color w:val="auto"/>
          <w:highlight w:val="none"/>
        </w:rPr>
      </w:pPr>
    </w:p>
    <w:p w14:paraId="1953BBFE">
      <w:pPr>
        <w:pBdr>
          <w:top w:val="single" w:color="auto" w:sz="4" w:space="1"/>
          <w:left w:val="single" w:color="auto" w:sz="4" w:space="4"/>
          <w:bottom w:val="single" w:color="auto" w:sz="4" w:space="1"/>
          <w:right w:val="single" w:color="auto" w:sz="4" w:space="4"/>
        </w:pBdr>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rPr>
        <w:t>项目概况</w:t>
      </w:r>
    </w:p>
    <w:p w14:paraId="5C92D006">
      <w:pPr>
        <w:pBdr>
          <w:top w:val="single" w:color="auto" w:sz="4" w:space="1"/>
          <w:left w:val="single" w:color="auto" w:sz="4" w:space="4"/>
          <w:bottom w:val="single" w:color="auto" w:sz="4" w:space="1"/>
          <w:right w:val="single" w:color="auto" w:sz="4" w:space="4"/>
        </w:pBdr>
        <w:ind w:firstLine="480" w:firstLineChars="200"/>
        <w:rPr>
          <w:rFonts w:hint="eastAsia" w:asciiTheme="minorEastAsia" w:hAnsiTheme="minorEastAsia" w:eastAsiaTheme="minorEastAsia" w:cstheme="minorEastAsia"/>
          <w:color w:val="auto"/>
          <w:sz w:val="24"/>
          <w:szCs w:val="28"/>
          <w:highlight w:val="none"/>
        </w:rPr>
      </w:pPr>
      <w:r>
        <w:rPr>
          <w:rFonts w:hint="eastAsia" w:asciiTheme="minorEastAsia" w:hAnsiTheme="minorEastAsia" w:eastAsiaTheme="minorEastAsia" w:cstheme="minorEastAsia"/>
          <w:color w:val="auto"/>
          <w:sz w:val="24"/>
          <w:szCs w:val="28"/>
          <w:highlight w:val="none"/>
          <w:u w:val="single"/>
          <w:lang w:eastAsia="zh-CN"/>
        </w:rPr>
        <w:t>坛洛镇那坛村增朗坡蔬菜基地建设项目</w:t>
      </w:r>
      <w:r>
        <w:rPr>
          <w:rFonts w:hint="eastAsia" w:asciiTheme="minorEastAsia" w:hAnsiTheme="minorEastAsia" w:eastAsiaTheme="minorEastAsia" w:cstheme="minorEastAsia"/>
          <w:color w:val="auto"/>
          <w:sz w:val="24"/>
          <w:szCs w:val="28"/>
          <w:highlight w:val="none"/>
        </w:rPr>
        <w:t>（</w:t>
      </w:r>
      <w:r>
        <w:rPr>
          <w:rFonts w:hint="eastAsia" w:asciiTheme="minorEastAsia" w:hAnsiTheme="minorEastAsia" w:eastAsiaTheme="minorEastAsia" w:cstheme="minorEastAsia"/>
          <w:color w:val="auto"/>
          <w:sz w:val="24"/>
          <w:szCs w:val="28"/>
          <w:highlight w:val="none"/>
          <w:lang w:eastAsia="zh-CN"/>
        </w:rPr>
        <w:t>NNZC2026-C2-070009-JGJD</w:t>
      </w:r>
      <w:r>
        <w:rPr>
          <w:rFonts w:hint="eastAsia" w:asciiTheme="minorEastAsia" w:hAnsiTheme="minorEastAsia" w:eastAsiaTheme="minorEastAsia" w:cstheme="minorEastAsia"/>
          <w:color w:val="auto"/>
          <w:sz w:val="24"/>
          <w:szCs w:val="28"/>
          <w:highlight w:val="none"/>
        </w:rPr>
        <w:t>）采 购 项 目 的 潜 在 供 应 商 应 在广西政府采购云平台（https://www.gcy.zfcg.gxzf.gov.cn/）获取(下载) 获取竞争性磋商文件，并于</w:t>
      </w:r>
      <w:r>
        <w:rPr>
          <w:rFonts w:hint="eastAsia" w:asciiTheme="minorEastAsia" w:hAnsiTheme="minorEastAsia" w:eastAsiaTheme="minorEastAsia" w:cstheme="minorEastAsia"/>
          <w:color w:val="auto"/>
          <w:sz w:val="24"/>
          <w:szCs w:val="28"/>
          <w:highlight w:val="none"/>
          <w:lang w:eastAsia="zh-CN"/>
        </w:rPr>
        <w:t>2026年</w:t>
      </w:r>
      <w:r>
        <w:rPr>
          <w:rFonts w:hint="eastAsia" w:asciiTheme="minorEastAsia" w:hAnsiTheme="minorEastAsia" w:eastAsiaTheme="minorEastAsia" w:cstheme="minorEastAsia"/>
          <w:color w:val="auto"/>
          <w:sz w:val="24"/>
          <w:szCs w:val="28"/>
          <w:highlight w:val="none"/>
          <w:lang w:val="en-US" w:eastAsia="zh-CN"/>
        </w:rPr>
        <w:t>5</w:t>
      </w:r>
      <w:r>
        <w:rPr>
          <w:rFonts w:hint="eastAsia" w:asciiTheme="minorEastAsia" w:hAnsiTheme="minorEastAsia" w:eastAsiaTheme="minorEastAsia" w:cstheme="minorEastAsia"/>
          <w:color w:val="auto"/>
          <w:sz w:val="24"/>
          <w:szCs w:val="28"/>
          <w:highlight w:val="none"/>
        </w:rPr>
        <w:t>月</w:t>
      </w:r>
      <w:r>
        <w:rPr>
          <w:rFonts w:hint="eastAsia" w:asciiTheme="minorEastAsia" w:hAnsiTheme="minorEastAsia" w:eastAsiaTheme="minorEastAsia" w:cstheme="minorEastAsia"/>
          <w:color w:val="auto"/>
          <w:sz w:val="24"/>
          <w:szCs w:val="28"/>
          <w:highlight w:val="none"/>
          <w:lang w:val="en-US" w:eastAsia="zh-CN"/>
        </w:rPr>
        <w:t xml:space="preserve">  日</w:t>
      </w:r>
      <w:r>
        <w:rPr>
          <w:rFonts w:hint="eastAsia" w:asciiTheme="minorEastAsia" w:hAnsiTheme="minorEastAsia" w:eastAsiaTheme="minorEastAsia" w:cstheme="minorEastAsia"/>
          <w:color w:val="auto"/>
          <w:sz w:val="24"/>
          <w:szCs w:val="28"/>
          <w:highlight w:val="none"/>
        </w:rPr>
        <w:t>09点30分(北京时间)前提交响应文件。</w:t>
      </w:r>
    </w:p>
    <w:p w14:paraId="2C80F820">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一、项目基本情况</w:t>
      </w:r>
    </w:p>
    <w:p w14:paraId="0B56225D">
      <w:pPr>
        <w:spacing w:line="360" w:lineRule="auto"/>
        <w:ind w:firstLine="480" w:firstLineChars="200"/>
        <w:rPr>
          <w:rFonts w:hint="eastAsia" w:ascii="微软雅黑" w:hAnsi="微软雅黑" w:cs="微软雅黑" w:eastAsiaTheme="minorEastAsia"/>
          <w:color w:val="auto"/>
          <w:highlight w:val="none"/>
          <w:shd w:val="clear" w:color="auto" w:fill="FFFFFF"/>
          <w:lang w:eastAsia="zh-CN"/>
        </w:rPr>
      </w:pPr>
      <w:r>
        <w:rPr>
          <w:rFonts w:hint="eastAsia" w:asciiTheme="minorEastAsia" w:hAnsiTheme="minorEastAsia" w:eastAsiaTheme="minorEastAsia" w:cstheme="minorEastAsia"/>
          <w:color w:val="auto"/>
          <w:sz w:val="24"/>
          <w:highlight w:val="none"/>
        </w:rPr>
        <w:t>项目名称：</w:t>
      </w:r>
      <w:r>
        <w:rPr>
          <w:rFonts w:hint="eastAsia" w:asciiTheme="minorEastAsia" w:hAnsiTheme="minorEastAsia" w:eastAsiaTheme="minorEastAsia" w:cstheme="minorEastAsia"/>
          <w:color w:val="auto"/>
          <w:sz w:val="24"/>
          <w:szCs w:val="28"/>
          <w:highlight w:val="none"/>
          <w:u w:val="single"/>
          <w:lang w:eastAsia="zh-CN"/>
        </w:rPr>
        <w:t>坛洛镇那坛村增朗坡蔬菜基地建设项目</w:t>
      </w:r>
    </w:p>
    <w:p w14:paraId="58A49BC6">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rPr>
        <w:t>项目编号：NNZC2026-C2-070009-JGJD</w:t>
      </w:r>
    </w:p>
    <w:p w14:paraId="5AEFED8C">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采购计划备案文号</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u w:val="single"/>
        </w:rPr>
        <w:t>XXTZC[2026]431</w:t>
      </w:r>
      <w:r>
        <w:rPr>
          <w:rFonts w:hint="eastAsia" w:asciiTheme="minorEastAsia" w:hAnsiTheme="minorEastAsia" w:eastAsiaTheme="minorEastAsia" w:cstheme="minorEastAsia"/>
          <w:color w:val="auto"/>
          <w:sz w:val="24"/>
          <w:highlight w:val="none"/>
          <w:u w:val="single"/>
          <w:lang w:eastAsia="zh-CN"/>
        </w:rPr>
        <w:t>号</w:t>
      </w:r>
    </w:p>
    <w:p w14:paraId="72D4C60F">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采购方式：</w:t>
      </w:r>
      <w:r>
        <w:rPr>
          <w:rFonts w:hint="eastAsia" w:asciiTheme="minorEastAsia" w:hAnsiTheme="minorEastAsia" w:eastAsiaTheme="minorEastAsia" w:cstheme="minorEastAsia"/>
          <w:color w:val="auto"/>
          <w:sz w:val="24"/>
          <w:highlight w:val="none"/>
          <w:u w:val="single"/>
        </w:rPr>
        <w:t>竞争性磋商</w:t>
      </w:r>
    </w:p>
    <w:p w14:paraId="0FE5CD06">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采购预算价：</w:t>
      </w:r>
      <w:r>
        <w:rPr>
          <w:rFonts w:hint="eastAsia" w:asciiTheme="minorEastAsia" w:hAnsiTheme="minorEastAsia" w:eastAsiaTheme="minorEastAsia" w:cstheme="minorEastAsia"/>
          <w:color w:val="auto"/>
          <w:sz w:val="24"/>
          <w:highlight w:val="none"/>
          <w:u w:val="single"/>
          <w:lang w:eastAsia="zh-CN"/>
        </w:rPr>
        <w:t>人民币</w:t>
      </w:r>
      <w:r>
        <w:rPr>
          <w:rFonts w:hint="eastAsia" w:asciiTheme="minorEastAsia" w:hAnsiTheme="minorEastAsia" w:eastAsiaTheme="minorEastAsia" w:cstheme="minorEastAsia"/>
          <w:color w:val="auto"/>
          <w:sz w:val="24"/>
          <w:highlight w:val="none"/>
          <w:u w:val="single"/>
          <w:lang w:val="en-US" w:eastAsia="zh-CN"/>
        </w:rPr>
        <w:t>叁佰玖拾柒万贰仟陆佰壹拾柒元陆角捌分</w:t>
      </w:r>
      <w:r>
        <w:rPr>
          <w:rFonts w:hint="eastAsia" w:asciiTheme="minorEastAsia" w:hAnsiTheme="minorEastAsia" w:eastAsiaTheme="minorEastAsia" w:cstheme="minorEastAsia"/>
          <w:color w:val="auto"/>
          <w:sz w:val="24"/>
          <w:highlight w:val="none"/>
          <w:u w:val="single"/>
          <w:lang w:eastAsia="zh-CN"/>
        </w:rPr>
        <w:t>（¥3972617.68元）</w:t>
      </w:r>
    </w:p>
    <w:p w14:paraId="7FB92492">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rPr>
        <w:t>最高限价：</w:t>
      </w:r>
      <w:r>
        <w:rPr>
          <w:rFonts w:hint="eastAsia" w:asciiTheme="minorEastAsia" w:hAnsiTheme="minorEastAsia" w:eastAsiaTheme="minorEastAsia" w:cstheme="minorEastAsia"/>
          <w:color w:val="auto"/>
          <w:sz w:val="24"/>
          <w:highlight w:val="none"/>
          <w:u w:val="single"/>
          <w:lang w:eastAsia="zh-CN"/>
        </w:rPr>
        <w:t>人民币</w:t>
      </w:r>
      <w:r>
        <w:rPr>
          <w:rFonts w:hint="eastAsia" w:asciiTheme="minorEastAsia" w:hAnsiTheme="minorEastAsia" w:eastAsiaTheme="minorEastAsia" w:cstheme="minorEastAsia"/>
          <w:color w:val="auto"/>
          <w:sz w:val="24"/>
          <w:highlight w:val="none"/>
          <w:u w:val="single"/>
          <w:lang w:val="en-US" w:eastAsia="zh-CN"/>
        </w:rPr>
        <w:t>叁佰玖拾柒万贰仟陆佰壹拾柒元陆角捌分</w:t>
      </w:r>
      <w:r>
        <w:rPr>
          <w:rFonts w:hint="eastAsia" w:asciiTheme="minorEastAsia" w:hAnsiTheme="minorEastAsia" w:eastAsiaTheme="minorEastAsia" w:cstheme="minorEastAsia"/>
          <w:color w:val="auto"/>
          <w:sz w:val="24"/>
          <w:highlight w:val="none"/>
          <w:u w:val="single"/>
          <w:lang w:eastAsia="zh-CN"/>
        </w:rPr>
        <w:t>（¥3972617.68元）</w:t>
      </w:r>
    </w:p>
    <w:p w14:paraId="0EE9B73A">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采购需求：</w:t>
      </w:r>
    </w:p>
    <w:p w14:paraId="41DA6B0D">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u w:val="single"/>
        </w:rPr>
        <w:t>标项名称:</w:t>
      </w:r>
      <w:r>
        <w:rPr>
          <w:rFonts w:hint="eastAsia" w:asciiTheme="minorEastAsia" w:hAnsiTheme="minorEastAsia" w:eastAsiaTheme="minorEastAsia" w:cstheme="minorEastAsia"/>
          <w:color w:val="auto"/>
          <w:sz w:val="24"/>
          <w:highlight w:val="none"/>
          <w:u w:val="single"/>
          <w:lang w:eastAsia="zh-CN"/>
        </w:rPr>
        <w:t>坛洛镇那坛村增朗坡蔬菜基地建设项目</w:t>
      </w:r>
    </w:p>
    <w:p w14:paraId="2DCEE726">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数量:1</w:t>
      </w:r>
    </w:p>
    <w:p w14:paraId="215726AB">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预算金额（元）:</w:t>
      </w:r>
      <w:r>
        <w:rPr>
          <w:rFonts w:hint="eastAsia" w:asciiTheme="minorEastAsia" w:hAnsiTheme="minorEastAsia" w:eastAsiaTheme="minorEastAsia" w:cstheme="minorEastAsia"/>
          <w:color w:val="auto"/>
          <w:sz w:val="24"/>
          <w:highlight w:val="none"/>
          <w:u w:val="single"/>
          <w:lang w:val="en-US" w:eastAsia="zh-CN"/>
        </w:rPr>
        <w:t>3972617.68</w:t>
      </w:r>
    </w:p>
    <w:p w14:paraId="64C5D131">
      <w:pPr>
        <w:spacing w:line="360" w:lineRule="auto"/>
        <w:ind w:firstLine="480" w:firstLineChars="200"/>
        <w:rPr>
          <w:rFonts w:hint="default"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简要规格描述或项目基本概况介绍、用途：本工程位于南宁市西乡塘区坛洛镇那坛村增朗坡，新建大棚12座，建筑总面积为</w:t>
      </w:r>
      <w:r>
        <w:rPr>
          <w:rFonts w:hint="eastAsia" w:asciiTheme="minorEastAsia" w:hAnsiTheme="minorEastAsia" w:eastAsiaTheme="minorEastAsia" w:cstheme="minorEastAsia"/>
          <w:color w:val="auto"/>
          <w:sz w:val="24"/>
          <w:highlight w:val="none"/>
          <w:u w:val="single"/>
          <w:lang w:eastAsia="zh-CN"/>
        </w:rPr>
        <w:t>19616</w:t>
      </w:r>
      <w:r>
        <w:rPr>
          <w:rFonts w:hint="eastAsia" w:asciiTheme="minorEastAsia" w:hAnsiTheme="minorEastAsia" w:eastAsiaTheme="minorEastAsia" w:cstheme="minorEastAsia"/>
          <w:color w:val="auto"/>
          <w:sz w:val="24"/>
          <w:highlight w:val="none"/>
          <w:u w:val="single"/>
        </w:rPr>
        <w:t>㎡，主要工程内容：钢结构、电气工程、给排水工程等，具体详见工程量清单和设计图纸。</w:t>
      </w:r>
    </w:p>
    <w:p w14:paraId="19B580E8">
      <w:pPr>
        <w:spacing w:line="360" w:lineRule="auto"/>
        <w:ind w:firstLine="480" w:firstLineChars="200"/>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u w:val="single"/>
        </w:rPr>
        <w:t>最高限价（元）（如有）：</w:t>
      </w:r>
      <w:r>
        <w:rPr>
          <w:rFonts w:hint="eastAsia" w:asciiTheme="minorEastAsia" w:hAnsiTheme="minorEastAsia" w:eastAsiaTheme="minorEastAsia" w:cstheme="minorEastAsia"/>
          <w:color w:val="auto"/>
          <w:sz w:val="24"/>
          <w:highlight w:val="none"/>
          <w:u w:val="single"/>
          <w:lang w:val="en-US" w:eastAsia="zh-CN"/>
        </w:rPr>
        <w:t>3972617.68</w:t>
      </w:r>
    </w:p>
    <w:p w14:paraId="4D352C58">
      <w:pPr>
        <w:spacing w:line="360" w:lineRule="auto"/>
        <w:ind w:firstLine="480" w:firstLineChars="200"/>
        <w:rPr>
          <w:rFonts w:hint="eastAsia" w:asciiTheme="minorEastAsia" w:hAnsiTheme="minorEastAsia" w:eastAsiaTheme="minorEastAsia" w:cstheme="minorEastAsia"/>
          <w:color w:val="auto"/>
          <w:sz w:val="24"/>
          <w:highlight w:val="none"/>
          <w:u w:val="single"/>
          <w:lang w:eastAsia="zh-CN"/>
        </w:rPr>
      </w:pPr>
      <w:r>
        <w:rPr>
          <w:rFonts w:hint="eastAsia" w:asciiTheme="minorEastAsia" w:hAnsiTheme="minorEastAsia" w:eastAsiaTheme="minorEastAsia" w:cstheme="minorEastAsia"/>
          <w:color w:val="auto"/>
          <w:sz w:val="24"/>
          <w:highlight w:val="none"/>
          <w:u w:val="single"/>
        </w:rPr>
        <w:t>合同履约期限：</w:t>
      </w:r>
      <w:r>
        <w:rPr>
          <w:rFonts w:hint="eastAsia" w:asciiTheme="minorEastAsia" w:hAnsiTheme="minorEastAsia" w:eastAsiaTheme="minorEastAsia" w:cstheme="minorEastAsia"/>
          <w:color w:val="auto"/>
          <w:sz w:val="24"/>
          <w:highlight w:val="none"/>
          <w:u w:val="single"/>
          <w:lang w:val="en-US" w:eastAsia="zh-CN"/>
        </w:rPr>
        <w:t>150</w:t>
      </w:r>
      <w:r>
        <w:rPr>
          <w:rFonts w:hint="eastAsia" w:asciiTheme="minorEastAsia" w:hAnsiTheme="minorEastAsia" w:eastAsiaTheme="minorEastAsia" w:cstheme="minorEastAsia"/>
          <w:color w:val="auto"/>
          <w:sz w:val="24"/>
          <w:highlight w:val="none"/>
          <w:u w:val="single"/>
        </w:rPr>
        <w:t>天</w:t>
      </w:r>
      <w:r>
        <w:rPr>
          <w:rFonts w:hint="eastAsia" w:asciiTheme="minorEastAsia" w:hAnsiTheme="minorEastAsia" w:eastAsiaTheme="minorEastAsia" w:cstheme="minorEastAsia"/>
          <w:color w:val="auto"/>
          <w:sz w:val="24"/>
          <w:highlight w:val="none"/>
          <w:u w:val="single"/>
        </w:rPr>
        <w:t>（自合同签</w:t>
      </w:r>
      <w:r>
        <w:rPr>
          <w:rFonts w:hint="eastAsia" w:asciiTheme="minorEastAsia" w:hAnsiTheme="minorEastAsia" w:eastAsiaTheme="minorEastAsia" w:cstheme="minorEastAsia"/>
          <w:color w:val="auto"/>
          <w:sz w:val="24"/>
          <w:highlight w:val="none"/>
          <w:u w:val="single"/>
          <w:lang w:eastAsia="zh-CN"/>
        </w:rPr>
        <w:t>订之</w:t>
      </w:r>
      <w:r>
        <w:rPr>
          <w:rFonts w:hint="eastAsia" w:asciiTheme="minorEastAsia" w:hAnsiTheme="minorEastAsia" w:eastAsiaTheme="minorEastAsia" w:cstheme="minorEastAsia"/>
          <w:color w:val="auto"/>
          <w:sz w:val="24"/>
          <w:highlight w:val="none"/>
          <w:u w:val="single"/>
        </w:rPr>
        <w:t>日起至</w:t>
      </w:r>
      <w:r>
        <w:rPr>
          <w:rFonts w:hint="eastAsia" w:asciiTheme="minorEastAsia" w:hAnsiTheme="minorEastAsia" w:eastAsiaTheme="minorEastAsia" w:cstheme="minorEastAsia"/>
          <w:color w:val="auto"/>
          <w:sz w:val="24"/>
          <w:highlight w:val="none"/>
          <w:u w:val="single"/>
          <w:lang w:val="en-US" w:eastAsia="zh-CN"/>
        </w:rPr>
        <w:t>本项目</w:t>
      </w:r>
      <w:r>
        <w:rPr>
          <w:rFonts w:hint="eastAsia" w:asciiTheme="minorEastAsia" w:hAnsiTheme="minorEastAsia" w:eastAsiaTheme="minorEastAsia" w:cstheme="minorEastAsia"/>
          <w:color w:val="auto"/>
          <w:sz w:val="24"/>
          <w:highlight w:val="none"/>
          <w:u w:val="single"/>
        </w:rPr>
        <w:t>工程通过正式验收之日止）</w:t>
      </w:r>
      <w:r>
        <w:rPr>
          <w:rFonts w:hint="eastAsia" w:asciiTheme="minorEastAsia" w:hAnsiTheme="minorEastAsia" w:eastAsiaTheme="minorEastAsia" w:cstheme="minorEastAsia"/>
          <w:color w:val="auto"/>
          <w:sz w:val="24"/>
          <w:highlight w:val="none"/>
          <w:u w:val="single"/>
          <w:lang w:eastAsia="zh-CN"/>
        </w:rPr>
        <w:t>。</w:t>
      </w:r>
    </w:p>
    <w:p w14:paraId="3A928CAE">
      <w:pPr>
        <w:spacing w:line="360" w:lineRule="auto"/>
        <w:ind w:firstLine="480" w:firstLineChars="200"/>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u w:val="single"/>
        </w:rPr>
        <w:t>本标项（否）接受联合体投标</w:t>
      </w:r>
    </w:p>
    <w:p w14:paraId="01B2189D">
      <w:pPr>
        <w:spacing w:line="360" w:lineRule="auto"/>
        <w:ind w:firstLine="480" w:firstLineChars="200"/>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u w:val="single"/>
        </w:rPr>
        <w:t>备注：</w:t>
      </w:r>
      <w:r>
        <w:rPr>
          <w:rFonts w:hint="eastAsia" w:asciiTheme="minorEastAsia" w:hAnsiTheme="minorEastAsia" w:eastAsiaTheme="minorEastAsia" w:cstheme="minorEastAsia"/>
          <w:color w:val="auto"/>
          <w:sz w:val="24"/>
          <w:highlight w:val="none"/>
          <w:u w:val="single"/>
          <w:lang w:val="en-US" w:eastAsia="zh-CN"/>
        </w:rPr>
        <w:t>/</w:t>
      </w:r>
    </w:p>
    <w:p w14:paraId="15967361">
      <w:pPr>
        <w:spacing w:line="360" w:lineRule="auto"/>
        <w:ind w:firstLine="482"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14:paraId="5295F8C2">
      <w:pPr>
        <w:spacing w:line="360" w:lineRule="auto"/>
        <w:ind w:firstLine="480" w:firstLineChars="200"/>
        <w:rPr>
          <w:rFonts w:hint="eastAsia" w:ascii="宋体" w:hAnsi="宋体"/>
          <w:color w:val="auto"/>
          <w:sz w:val="24"/>
          <w:szCs w:val="24"/>
          <w:highlight w:val="none"/>
        </w:rPr>
      </w:pPr>
      <w:r>
        <w:rPr>
          <w:rFonts w:ascii="宋体" w:hAnsi="宋体" w:cs="仿宋"/>
          <w:color w:val="auto"/>
          <w:sz w:val="24"/>
          <w:szCs w:val="24"/>
          <w:highlight w:val="none"/>
        </w:rPr>
        <w:t>1.</w:t>
      </w:r>
      <w:r>
        <w:rPr>
          <w:rFonts w:hint="eastAsia" w:ascii="宋体" w:hAnsi="宋体" w:cs="仿宋"/>
          <w:color w:val="auto"/>
          <w:sz w:val="24"/>
          <w:szCs w:val="24"/>
          <w:highlight w:val="none"/>
        </w:rPr>
        <w:t>满足《中华人民共和国政府采购法》第二十二条规定；</w:t>
      </w:r>
    </w:p>
    <w:p w14:paraId="55B2A021">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2.落实政府采购政策需满足的资格要求</w:t>
      </w:r>
    </w:p>
    <w:p w14:paraId="67696D5B">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专门面向中小企业采购的项目（供应商应为中小微企业或监狱企业或残疾人福利性单位，大型企业不得参加。)</w:t>
      </w:r>
    </w:p>
    <w:p w14:paraId="3EC756E7">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非专门面向中小企业采购的项目</w:t>
      </w:r>
    </w:p>
    <w:p w14:paraId="2BBE9A2D">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其他要求：</w:t>
      </w:r>
      <w:r>
        <w:rPr>
          <w:rFonts w:hint="eastAsia" w:ascii="宋体" w:hAnsi="宋体" w:cs="仿宋"/>
          <w:color w:val="auto"/>
          <w:sz w:val="24"/>
          <w:szCs w:val="24"/>
          <w:highlight w:val="none"/>
          <w:u w:val="single"/>
        </w:rPr>
        <w:t>无</w:t>
      </w:r>
    </w:p>
    <w:p w14:paraId="0B7D83A7">
      <w:pPr>
        <w:spacing w:line="360" w:lineRule="auto"/>
        <w:ind w:firstLine="480" w:firstLineChars="200"/>
        <w:rPr>
          <w:rFonts w:hint="eastAsia" w:ascii="宋体" w:hAnsi="宋体" w:cs="仿宋"/>
          <w:color w:val="auto"/>
          <w:sz w:val="24"/>
          <w:szCs w:val="24"/>
          <w:highlight w:val="none"/>
        </w:rPr>
      </w:pPr>
      <w:r>
        <w:rPr>
          <w:rFonts w:ascii="宋体" w:hAnsi="宋体" w:cs="仿宋"/>
          <w:color w:val="auto"/>
          <w:sz w:val="24"/>
          <w:szCs w:val="24"/>
          <w:highlight w:val="none"/>
        </w:rPr>
        <w:t>3.</w:t>
      </w:r>
      <w:r>
        <w:rPr>
          <w:rFonts w:hint="eastAsia" w:ascii="宋体" w:hAnsi="宋体" w:cs="仿宋"/>
          <w:color w:val="auto"/>
          <w:sz w:val="24"/>
          <w:szCs w:val="24"/>
          <w:highlight w:val="none"/>
        </w:rPr>
        <w:t>本项目的特定资格要求：</w:t>
      </w:r>
    </w:p>
    <w:p w14:paraId="3DEF7E00">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zh-CN"/>
        </w:rPr>
        <w:t>）本次</w:t>
      </w:r>
      <w:r>
        <w:rPr>
          <w:rFonts w:hint="eastAsia" w:asciiTheme="minorEastAsia" w:hAnsiTheme="minorEastAsia" w:eastAsiaTheme="minorEastAsia" w:cstheme="minorEastAsia"/>
          <w:color w:val="auto"/>
          <w:sz w:val="24"/>
          <w:szCs w:val="24"/>
          <w:highlight w:val="none"/>
        </w:rPr>
        <w:t>采购</w:t>
      </w:r>
      <w:r>
        <w:rPr>
          <w:rFonts w:hint="eastAsia" w:asciiTheme="minorEastAsia" w:hAnsiTheme="minorEastAsia" w:eastAsiaTheme="minorEastAsia" w:cstheme="minorEastAsia"/>
          <w:color w:val="auto"/>
          <w:sz w:val="24"/>
          <w:szCs w:val="24"/>
          <w:highlight w:val="none"/>
          <w:lang w:val="zh-CN"/>
        </w:rPr>
        <w:t>要求供应商</w:t>
      </w:r>
      <w:r>
        <w:rPr>
          <w:rFonts w:hint="eastAsia" w:asciiTheme="minorEastAsia" w:hAnsiTheme="minorEastAsia" w:eastAsiaTheme="minorEastAsia" w:cstheme="minorEastAsia"/>
          <w:color w:val="auto"/>
          <w:sz w:val="24"/>
          <w:szCs w:val="24"/>
          <w:highlight w:val="none"/>
        </w:rPr>
        <w:t>须</w:t>
      </w:r>
      <w:r>
        <w:rPr>
          <w:rFonts w:hint="eastAsia" w:asciiTheme="minorEastAsia" w:hAnsiTheme="minorEastAsia" w:eastAsiaTheme="minorEastAsia" w:cstheme="minorEastAsia"/>
          <w:color w:val="auto"/>
          <w:sz w:val="24"/>
          <w:szCs w:val="24"/>
          <w:highlight w:val="none"/>
          <w:lang w:val="en-US" w:eastAsia="zh-CN"/>
        </w:rPr>
        <w:t>具备</w:t>
      </w:r>
      <w:r>
        <w:rPr>
          <w:rFonts w:hint="eastAsia" w:asciiTheme="minorEastAsia" w:hAnsiTheme="minorEastAsia" w:eastAsiaTheme="minorEastAsia" w:cstheme="minorEastAsia"/>
          <w:b/>
          <w:bCs/>
          <w:color w:val="auto"/>
          <w:sz w:val="24"/>
          <w:szCs w:val="24"/>
          <w:highlight w:val="none"/>
        </w:rPr>
        <w:t>建筑工程施工总承包三级以上（含三级）资质</w:t>
      </w:r>
      <w:r>
        <w:rPr>
          <w:rFonts w:hint="eastAsia" w:asciiTheme="minorEastAsia" w:hAnsiTheme="minorEastAsia" w:eastAsiaTheme="minorEastAsia" w:cstheme="minorEastAsia"/>
          <w:color w:val="auto"/>
          <w:sz w:val="24"/>
          <w:szCs w:val="24"/>
          <w:highlight w:val="none"/>
        </w:rPr>
        <w:t>，且同时具有《安全生产许可证》，并在人员、设备、资金等方面具备相应的施工能力。</w:t>
      </w:r>
    </w:p>
    <w:p w14:paraId="4EB9BFCC">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（2）项目经理：供应商拟派项目经理须具备</w:t>
      </w:r>
      <w:r>
        <w:rPr>
          <w:rFonts w:hint="eastAsia" w:asciiTheme="minorEastAsia" w:hAnsiTheme="minorEastAsia" w:eastAsiaTheme="minorEastAsia" w:cstheme="minorEastAsia"/>
          <w:b/>
          <w:bCs/>
          <w:color w:val="auto"/>
          <w:sz w:val="24"/>
          <w:szCs w:val="24"/>
          <w:highlight w:val="none"/>
          <w:u w:val="single"/>
          <w:lang w:val="zh-CN"/>
        </w:rPr>
        <w:t>建筑工程专业二级以上（含二级）</w:t>
      </w:r>
      <w:r>
        <w:rPr>
          <w:rFonts w:hint="eastAsia" w:asciiTheme="minorEastAsia" w:hAnsiTheme="minorEastAsia" w:eastAsiaTheme="minorEastAsia" w:cstheme="minorEastAsia"/>
          <w:color w:val="auto"/>
          <w:sz w:val="24"/>
          <w:szCs w:val="24"/>
          <w:highlight w:val="none"/>
        </w:rPr>
        <w:t>注册建造师执业资格，具备有效的安全生产考核合格证书（B类）。本项目不接受有在建、已中标未开工或已列为其他项目中标候选人第一名的建造师作为项目经理</w:t>
      </w:r>
      <w:r>
        <w:rPr>
          <w:rFonts w:hint="eastAsia" w:asciiTheme="minorEastAsia" w:hAnsiTheme="minorEastAsia" w:eastAsiaTheme="minorEastAsia" w:cstheme="minorEastAsia"/>
          <w:color w:val="auto"/>
          <w:kern w:val="0"/>
          <w:sz w:val="24"/>
          <w:szCs w:val="24"/>
          <w:highlight w:val="none"/>
        </w:rPr>
        <w:t>（</w:t>
      </w:r>
      <w:r>
        <w:rPr>
          <w:rFonts w:hint="eastAsia" w:asciiTheme="minorEastAsia" w:hAnsiTheme="minorEastAsia" w:eastAsiaTheme="minorEastAsia" w:cstheme="minorEastAsia"/>
          <w:color w:val="auto"/>
          <w:sz w:val="24"/>
          <w:szCs w:val="24"/>
          <w:highlight w:val="none"/>
        </w:rPr>
        <w:t>符合《广西壮族自治区建筑市场诚信卡管理暂行办法》第十六条第一款及桂建管﹝</w:t>
      </w:r>
      <w:r>
        <w:rPr>
          <w:rFonts w:hint="eastAsia" w:asciiTheme="minorEastAsia" w:hAnsiTheme="minorEastAsia" w:eastAsiaTheme="minorEastAsia" w:cstheme="minorEastAsia"/>
          <w:color w:val="auto"/>
          <w:kern w:val="0"/>
          <w:sz w:val="24"/>
          <w:szCs w:val="24"/>
          <w:highlight w:val="none"/>
        </w:rPr>
        <w:t>2016</w:t>
      </w:r>
      <w:r>
        <w:rPr>
          <w:rFonts w:hint="eastAsia" w:asciiTheme="minorEastAsia" w:hAnsiTheme="minorEastAsia" w:eastAsiaTheme="minorEastAsia" w:cstheme="minorEastAsia"/>
          <w:color w:val="auto"/>
          <w:sz w:val="24"/>
          <w:szCs w:val="24"/>
          <w:highlight w:val="none"/>
        </w:rPr>
        <w:t>﹞70号</w:t>
      </w:r>
      <w:r>
        <w:rPr>
          <w:rFonts w:hint="eastAsia" w:asciiTheme="minorEastAsia" w:hAnsiTheme="minorEastAsia" w:eastAsiaTheme="minorEastAsia" w:cstheme="minorEastAsia"/>
          <w:color w:val="auto"/>
          <w:kern w:val="0"/>
          <w:sz w:val="24"/>
          <w:szCs w:val="24"/>
          <w:highlight w:val="none"/>
        </w:rPr>
        <w:t>、桂建管〔2020〕11号文除</w:t>
      </w:r>
      <w:r>
        <w:rPr>
          <w:rFonts w:hint="eastAsia" w:asciiTheme="minorEastAsia" w:hAnsiTheme="minorEastAsia" w:eastAsiaTheme="minorEastAsia" w:cstheme="minorEastAsia"/>
          <w:color w:val="auto"/>
          <w:sz w:val="24"/>
          <w:szCs w:val="24"/>
          <w:highlight w:val="none"/>
        </w:rPr>
        <w:t>外）。</w:t>
      </w:r>
    </w:p>
    <w:p w14:paraId="3B750F82">
      <w:pPr>
        <w:spacing w:line="360" w:lineRule="auto"/>
        <w:ind w:firstLine="480" w:firstLineChars="200"/>
        <w:rPr>
          <w:rFonts w:hint="eastAsia" w:ascii="宋体" w:hAnsi="宋体" w:cs="仿宋"/>
          <w:color w:val="auto"/>
          <w:sz w:val="24"/>
          <w:szCs w:val="24"/>
          <w:highlight w:val="none"/>
        </w:rPr>
      </w:pPr>
      <w:r>
        <w:rPr>
          <w:rFonts w:hint="eastAsia" w:ascii="宋体" w:hAnsi="宋体" w:cs="仿宋"/>
          <w:color w:val="auto"/>
          <w:sz w:val="24"/>
          <w:szCs w:val="24"/>
          <w:highlight w:val="none"/>
        </w:rPr>
        <w:t>（3）专职安全生产管理人员要求：专职安全生产管理人员须具备有效的安全生产考核合格证书（C类），人数符合住房城乡建设部《建筑施工企业、工程项目安全生产管理机构设置及安全生产管理人员配备办法》（建质规〔2025〕3号</w:t>
      </w:r>
      <w:r>
        <w:rPr>
          <w:rFonts w:hint="eastAsia" w:ascii="宋体" w:hAnsi="宋体" w:cs="仿宋"/>
          <w:color w:val="auto"/>
          <w:sz w:val="24"/>
          <w:szCs w:val="24"/>
          <w:highlight w:val="none"/>
          <w:lang w:eastAsia="zh-CN"/>
        </w:rPr>
        <w:t>）</w:t>
      </w:r>
      <w:r>
        <w:rPr>
          <w:rFonts w:hint="eastAsia" w:ascii="宋体" w:hAnsi="宋体" w:cs="仿宋"/>
          <w:color w:val="auto"/>
          <w:sz w:val="24"/>
          <w:szCs w:val="24"/>
          <w:highlight w:val="none"/>
        </w:rPr>
        <w:t>的规定不少于</w:t>
      </w:r>
      <w:r>
        <w:rPr>
          <w:rFonts w:hint="eastAsia" w:ascii="宋体" w:hAnsi="宋体" w:cs="仿宋"/>
          <w:color w:val="auto"/>
          <w:sz w:val="24"/>
          <w:szCs w:val="24"/>
          <w:highlight w:val="none"/>
          <w:lang w:val="en-US" w:eastAsia="zh-CN"/>
        </w:rPr>
        <w:t>2</w:t>
      </w:r>
      <w:r>
        <w:rPr>
          <w:rFonts w:hint="eastAsia" w:ascii="宋体" w:hAnsi="宋体" w:cs="仿宋"/>
          <w:color w:val="auto"/>
          <w:sz w:val="24"/>
          <w:szCs w:val="24"/>
          <w:highlight w:val="none"/>
        </w:rPr>
        <w:t>人。</w:t>
      </w:r>
    </w:p>
    <w:p w14:paraId="1F20B1E2">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三、获取采购文件</w:t>
      </w:r>
    </w:p>
    <w:p w14:paraId="341E7237">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时间：</w:t>
      </w:r>
      <w:r>
        <w:rPr>
          <w:rFonts w:hint="eastAsia" w:asciiTheme="minorEastAsia" w:hAnsiTheme="minorEastAsia" w:eastAsiaTheme="minorEastAsia" w:cstheme="minorEastAsia"/>
          <w:color w:val="auto"/>
          <w:sz w:val="24"/>
          <w:szCs w:val="24"/>
          <w:highlight w:val="none"/>
          <w:lang w:eastAsia="zh-CN"/>
        </w:rPr>
        <w:t>2026年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日</w:t>
      </w:r>
      <w:r>
        <w:rPr>
          <w:rFonts w:hint="eastAsia" w:ascii="宋体" w:hAnsi="宋体" w:cs="宋体"/>
          <w:color w:val="auto"/>
          <w:sz w:val="24"/>
          <w:szCs w:val="24"/>
          <w:highlight w:val="none"/>
        </w:rPr>
        <w:t>至</w:t>
      </w:r>
      <w:r>
        <w:rPr>
          <w:rFonts w:hint="eastAsia" w:asciiTheme="minorEastAsia" w:hAnsiTheme="minorEastAsia" w:eastAsiaTheme="minorEastAsia" w:cstheme="minorEastAsia"/>
          <w:color w:val="auto"/>
          <w:sz w:val="24"/>
          <w:szCs w:val="24"/>
          <w:highlight w:val="none"/>
          <w:lang w:eastAsia="zh-CN"/>
        </w:rPr>
        <w:t>2026年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25</w:t>
      </w:r>
      <w:r>
        <w:rPr>
          <w:rFonts w:hint="eastAsia" w:asciiTheme="minorEastAsia" w:hAnsiTheme="minorEastAsia" w:eastAsiaTheme="minorEastAsia" w:cstheme="minorEastAsia"/>
          <w:color w:val="auto"/>
          <w:sz w:val="24"/>
          <w:szCs w:val="24"/>
          <w:highlight w:val="none"/>
        </w:rPr>
        <w:t>日（磋商文件的发售期限自开始之日起不得少于5个工作日），每天上午00:00至11:59，下午12:00至23:59（北京时间，法定节假日除外）</w:t>
      </w:r>
    </w:p>
    <w:p w14:paraId="3562B5A5">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szCs w:val="24"/>
          <w:highlight w:val="none"/>
        </w:rPr>
        <w:t>广西政府采购云平台</w:t>
      </w:r>
    </w:p>
    <w:p w14:paraId="7AD4F49C">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方式：</w:t>
      </w:r>
      <w:r>
        <w:rPr>
          <w:rFonts w:hint="eastAsia" w:asciiTheme="minorEastAsia" w:hAnsiTheme="minorEastAsia" w:eastAsiaTheme="minorEastAsia" w:cstheme="minorEastAsia"/>
          <w:color w:val="auto"/>
          <w:sz w:val="24"/>
          <w:szCs w:val="24"/>
          <w:highlight w:val="none"/>
        </w:rPr>
        <w:t>网上下载。本项目不提供纸质文件，潜在供应商需使用账号登录或者使用CA登录“广西政府采购云平台”（https://www.gcy.zfcg.gxzf.gov.cn/）-进入“项目采购”应用，在获取采购文件菜单中选择项目并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政采云注册的临时供应商需在新平台启用后重新注册登记。电子</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制作需要基于“广西政府采购云平台”获取的招标文件编制，通过其他方式获取招标文件的，将有可能导致供应商无法在广西政府采购云平台编制及上传</w:t>
      </w:r>
      <w:r>
        <w:rPr>
          <w:rFonts w:hint="eastAsia" w:asciiTheme="minorEastAsia" w:hAnsiTheme="minorEastAsia" w:eastAsiaTheme="minorEastAsia" w:cstheme="minorEastAsia"/>
          <w:color w:val="auto"/>
          <w:sz w:val="24"/>
          <w:szCs w:val="24"/>
          <w:highlight w:val="none"/>
          <w:lang w:eastAsia="zh-CN"/>
        </w:rPr>
        <w:t>响应文件</w:t>
      </w:r>
      <w:r>
        <w:rPr>
          <w:rFonts w:hint="eastAsia" w:asciiTheme="minorEastAsia" w:hAnsiTheme="minorEastAsia" w:eastAsiaTheme="minorEastAsia" w:cstheme="minorEastAsia"/>
          <w:color w:val="auto"/>
          <w:sz w:val="24"/>
          <w:szCs w:val="24"/>
          <w:highlight w:val="none"/>
        </w:rPr>
        <w:t>。</w:t>
      </w:r>
    </w:p>
    <w:p w14:paraId="63B488EE">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售价：0元 </w:t>
      </w:r>
    </w:p>
    <w:p w14:paraId="756A4317">
      <w:pPr>
        <w:spacing w:line="360" w:lineRule="auto"/>
        <w:ind w:firstLine="482"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四、响应文件提交</w:t>
      </w:r>
    </w:p>
    <w:p w14:paraId="02B2FEC3">
      <w:pPr>
        <w:spacing w:line="360" w:lineRule="auto"/>
        <w:ind w:firstLine="480" w:firstLineChars="200"/>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1、首次响应文件提交截止时间</w:t>
      </w:r>
      <w:r>
        <w:rPr>
          <w:rFonts w:hint="eastAsia" w:ascii="宋体" w:hAnsi="宋体" w:cs="宋体"/>
          <w:bCs/>
          <w:color w:val="auto"/>
          <w:sz w:val="24"/>
          <w:szCs w:val="24"/>
          <w:highlight w:val="none"/>
        </w:rPr>
        <w:t>（北京时间）：</w:t>
      </w:r>
      <w:r>
        <w:rPr>
          <w:rFonts w:hint="eastAsia" w:ascii="宋体" w:hAnsi="宋体" w:cs="宋体"/>
          <w:bCs/>
          <w:color w:val="auto"/>
          <w:sz w:val="24"/>
          <w:szCs w:val="24"/>
          <w:highlight w:val="none"/>
          <w:lang w:eastAsia="zh-CN"/>
        </w:rPr>
        <w:t>2026年</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25日</w:t>
      </w:r>
      <w:r>
        <w:rPr>
          <w:rFonts w:hint="eastAsia" w:ascii="宋体" w:hAnsi="宋体" w:cs="宋体"/>
          <w:bCs/>
          <w:color w:val="auto"/>
          <w:sz w:val="24"/>
          <w:szCs w:val="24"/>
          <w:highlight w:val="none"/>
        </w:rPr>
        <w:t>0</w:t>
      </w:r>
      <w:r>
        <w:rPr>
          <w:rFonts w:hint="eastAsia" w:asciiTheme="minorEastAsia" w:hAnsiTheme="minorEastAsia" w:eastAsiaTheme="minorEastAsia" w:cstheme="minorEastAsia"/>
          <w:color w:val="auto"/>
          <w:sz w:val="24"/>
          <w:szCs w:val="24"/>
          <w:highlight w:val="none"/>
        </w:rPr>
        <w:t>9</w:t>
      </w:r>
      <w:r>
        <w:rPr>
          <w:rFonts w:hint="eastAsia" w:ascii="宋体" w:hAnsi="宋体" w:cs="宋体"/>
          <w:color w:val="auto"/>
          <w:sz w:val="24"/>
          <w:szCs w:val="24"/>
          <w:highlight w:val="none"/>
        </w:rPr>
        <w:t>时30分</w:t>
      </w:r>
      <w:r>
        <w:rPr>
          <w:rFonts w:hint="eastAsia" w:asciiTheme="minorEastAsia" w:hAnsiTheme="minorEastAsia" w:eastAsiaTheme="minorEastAsia" w:cstheme="minorEastAsia"/>
          <w:color w:val="auto"/>
          <w:sz w:val="24"/>
          <w:highlight w:val="none"/>
        </w:rPr>
        <w:t>（北京时间）</w:t>
      </w:r>
      <w:r>
        <w:rPr>
          <w:rFonts w:hint="eastAsia" w:ascii="宋体" w:hAnsi="宋体" w:cs="宋体"/>
          <w:color w:val="auto"/>
          <w:sz w:val="24"/>
          <w:szCs w:val="24"/>
          <w:highlight w:val="none"/>
          <w:u w:val="single"/>
        </w:rPr>
        <w:t>（从磋商文件开始发出之日起至供应商提交首次响应文件截止之日止不得少于10日）。</w:t>
      </w:r>
    </w:p>
    <w:p w14:paraId="68DA29A7">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2、首次响应文件提交地点：</w:t>
      </w:r>
      <w:r>
        <w:rPr>
          <w:rFonts w:hint="eastAsia" w:ascii="宋体" w:hAnsi="宋体" w:cs="宋体"/>
          <w:color w:val="auto"/>
          <w:sz w:val="24"/>
          <w:szCs w:val="24"/>
          <w:highlight w:val="none"/>
          <w:u w:val="single"/>
        </w:rPr>
        <w:t>通过广西政府采购云平台实行在线投标响应。</w:t>
      </w:r>
    </w:p>
    <w:p w14:paraId="7C0F7CF8">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Theme="minorEastAsia" w:hAnsiTheme="minorEastAsia" w:eastAsiaTheme="minorEastAsia" w:cstheme="minorEastAsia"/>
          <w:color w:val="auto"/>
          <w:sz w:val="24"/>
          <w:szCs w:val="24"/>
          <w:highlight w:val="none"/>
        </w:rPr>
        <w:t>响应文件提交方式：本项目为全流程电子化项目，通过“广西政府采购云”平台（https://www.gcy.zfcg.gxzf.gov.cn/）实行在线电子响应，供应商应先安装“政采云电子交易客户端”（请自行前往“广西政府采购云”平台进行下载），并按照本项目采购文件和“广西政府采购云”平台的要求编制、加密后在投标截止时间前通过网络上传至“广西政府采购云”平台，</w:t>
      </w:r>
      <w:r>
        <w:rPr>
          <w:rFonts w:hint="eastAsia" w:ascii="宋体" w:hAnsi="宋体" w:cs="宋体"/>
          <w:b/>
          <w:color w:val="auto"/>
          <w:sz w:val="24"/>
          <w:szCs w:val="24"/>
          <w:highlight w:val="none"/>
        </w:rPr>
        <w:t>供应商在“广西政府采购云”平台提交电子版响应文件时，请填写参加远程采购活动经办人联系方式</w:t>
      </w:r>
      <w:r>
        <w:rPr>
          <w:rFonts w:hint="eastAsia" w:ascii="宋体" w:hAnsi="宋体" w:cs="宋体"/>
          <w:color w:val="auto"/>
          <w:sz w:val="24"/>
          <w:szCs w:val="24"/>
          <w:highlight w:val="none"/>
        </w:rPr>
        <w:t>。</w:t>
      </w:r>
    </w:p>
    <w:p w14:paraId="780057AA">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需要7日左右，供应商只需办理其中一家CA数字证书及签章即可。</w:t>
      </w:r>
    </w:p>
    <w:p w14:paraId="74E89B5E">
      <w:pPr>
        <w:widowControl/>
        <w:spacing w:line="360" w:lineRule="auto"/>
        <w:ind w:firstLine="480" w:firstLineChars="200"/>
        <w:jc w:val="left"/>
        <w:rPr>
          <w:rFonts w:hint="eastAsia" w:ascii="宋体" w:hAnsi="宋体" w:cs="宋体"/>
          <w:color w:val="auto"/>
          <w:sz w:val="24"/>
          <w:szCs w:val="24"/>
          <w:highlight w:val="none"/>
        </w:rPr>
      </w:pPr>
      <w:r>
        <w:rPr>
          <w:rFonts w:hint="eastAsia" w:ascii="宋体" w:hAnsi="宋体" w:cs="宋体"/>
          <w:color w:val="auto"/>
          <w:sz w:val="24"/>
          <w:szCs w:val="24"/>
          <w:highlight w:val="none"/>
        </w:rPr>
        <w:t>（3）为确保网上操作合法、有效和安全，请供应商确保在电子响应过程中能够对相关数据电文进行加密和使用电子签章，妥善保管CA数字证书并使用有效的CA数字证书参与整个采购活动。</w:t>
      </w:r>
    </w:p>
    <w:p w14:paraId="2B1301AD">
      <w:pPr>
        <w:spacing w:line="360" w:lineRule="auto"/>
        <w:ind w:firstLine="480" w:firstLineChars="200"/>
        <w:rPr>
          <w:rFonts w:hint="eastAsia" w:ascii="宋体" w:hAnsi="宋体" w:cs="宋体"/>
          <w:bCs/>
          <w:color w:val="auto"/>
          <w:sz w:val="24"/>
          <w:szCs w:val="24"/>
          <w:highlight w:val="none"/>
          <w:u w:val="single"/>
        </w:rPr>
      </w:pPr>
      <w:r>
        <w:rPr>
          <w:rFonts w:hint="eastAsia" w:ascii="宋体" w:hAnsi="宋体" w:cs="宋体"/>
          <w:bCs/>
          <w:color w:val="auto"/>
          <w:sz w:val="24"/>
          <w:szCs w:val="24"/>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广西政府采购云”平台将予以拒收。</w:t>
      </w:r>
    </w:p>
    <w:p w14:paraId="073DAC1F">
      <w:pPr>
        <w:snapToGrid w:val="0"/>
        <w:spacing w:line="360" w:lineRule="auto"/>
        <w:ind w:firstLine="456" w:firstLineChars="200"/>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3、CA证书在线解密：首次响应文件开启时，须要供应商携带制作响应文件时用来加密的有效数字证书（CA认证）登录“广西政府采购云”平台电子开标大厅现场按规定时间对加密的响应文件进行解密，否则后果自负。</w:t>
      </w:r>
    </w:p>
    <w:p w14:paraId="7149095F">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4、供应商需要在具备有摄像头及语音功能且互联网网络状况良好的电脑登录“广西政府采购云”平台远程开标大厅参与本次磋商，否则后果自负。</w:t>
      </w:r>
    </w:p>
    <w:p w14:paraId="548B61B0">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五、开启</w:t>
      </w:r>
    </w:p>
    <w:p w14:paraId="6F6EC0BB">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时间：</w:t>
      </w:r>
      <w:r>
        <w:rPr>
          <w:rFonts w:hint="eastAsia" w:ascii="宋体" w:hAnsi="宋体" w:cs="宋体" w:eastAsiaTheme="minorEastAsia"/>
          <w:bCs/>
          <w:color w:val="auto"/>
          <w:sz w:val="24"/>
          <w:szCs w:val="24"/>
          <w:highlight w:val="none"/>
          <w:lang w:eastAsia="zh-CN"/>
        </w:rPr>
        <w:t>2026年</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rPr>
        <w:t>月</w:t>
      </w:r>
      <w:r>
        <w:rPr>
          <w:rFonts w:hint="eastAsia" w:ascii="宋体" w:hAnsi="宋体" w:cs="宋体"/>
          <w:bCs/>
          <w:color w:val="auto"/>
          <w:sz w:val="24"/>
          <w:szCs w:val="24"/>
          <w:highlight w:val="none"/>
          <w:lang w:val="en-US" w:eastAsia="zh-CN"/>
        </w:rPr>
        <w:t>25日</w:t>
      </w:r>
      <w:r>
        <w:rPr>
          <w:rFonts w:hint="eastAsia" w:asciiTheme="minorEastAsia" w:hAnsiTheme="minorEastAsia" w:eastAsiaTheme="minorEastAsia" w:cstheme="minorEastAsia"/>
          <w:color w:val="auto"/>
          <w:sz w:val="24"/>
          <w:szCs w:val="24"/>
          <w:highlight w:val="none"/>
        </w:rPr>
        <w:t>09</w:t>
      </w:r>
      <w:r>
        <w:rPr>
          <w:rFonts w:hint="eastAsia" w:ascii="宋体" w:hAnsi="宋体" w:cs="宋体"/>
          <w:color w:val="auto"/>
          <w:sz w:val="24"/>
          <w:szCs w:val="24"/>
          <w:highlight w:val="none"/>
        </w:rPr>
        <w:t>时30分</w:t>
      </w:r>
      <w:r>
        <w:rPr>
          <w:rFonts w:hint="eastAsia" w:asciiTheme="minorEastAsia" w:hAnsiTheme="minorEastAsia" w:eastAsiaTheme="minorEastAsia" w:cstheme="minorEastAsia"/>
          <w:color w:val="auto"/>
          <w:sz w:val="24"/>
          <w:highlight w:val="none"/>
        </w:rPr>
        <w:t>（北京时间）</w:t>
      </w:r>
    </w:p>
    <w:p w14:paraId="20C0AE04">
      <w:pPr>
        <w:spacing w:line="360" w:lineRule="auto"/>
        <w:ind w:firstLine="480" w:firstLineChars="200"/>
        <w:rPr>
          <w:rFonts w:hint="eastAsia" w:ascii="宋体" w:hAnsi="宋体"/>
          <w:bCs/>
          <w:color w:val="auto"/>
          <w:highlight w:val="none"/>
        </w:rPr>
      </w:pPr>
      <w:r>
        <w:rPr>
          <w:rFonts w:hint="eastAsia" w:asciiTheme="minorEastAsia" w:hAnsiTheme="minorEastAsia" w:eastAsiaTheme="minorEastAsia" w:cstheme="minorEastAsia"/>
          <w:color w:val="auto"/>
          <w:sz w:val="24"/>
          <w:highlight w:val="none"/>
        </w:rPr>
        <w:t>地点：通过广西政府采购云平台实行在线解密开启。（本项目不要求供应商到达开标现场，但供应商应派法定代表人（负责人）或委托代理人准时在线出席电子开评标会议，随时关注开评标进度，如在开评标过程中有电子询标，应在规定的时间内对电子询标函进行澄清回复）</w:t>
      </w:r>
    </w:p>
    <w:p w14:paraId="6CED6BA5">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六、公告期限</w:t>
      </w:r>
    </w:p>
    <w:p w14:paraId="0034520A">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w:t>
      </w:r>
      <w:r>
        <w:rPr>
          <w:rFonts w:hint="eastAsia" w:asciiTheme="minorEastAsia" w:hAnsiTheme="minorEastAsia" w:eastAsiaTheme="minorEastAsia" w:cstheme="minorEastAsia"/>
          <w:color w:val="auto"/>
          <w:sz w:val="24"/>
          <w:highlight w:val="none"/>
          <w:lang w:val="en-US" w:eastAsia="zh-CN"/>
        </w:rPr>
        <w:t>5</w:t>
      </w:r>
      <w:r>
        <w:rPr>
          <w:rFonts w:hint="eastAsia" w:asciiTheme="minorEastAsia" w:hAnsiTheme="minorEastAsia" w:eastAsiaTheme="minorEastAsia" w:cstheme="minorEastAsia"/>
          <w:color w:val="auto"/>
          <w:sz w:val="24"/>
          <w:highlight w:val="none"/>
        </w:rPr>
        <w:t>个工作日。</w:t>
      </w:r>
    </w:p>
    <w:p w14:paraId="69D0AE15">
      <w:pPr>
        <w:numPr>
          <w:ilvl w:val="0"/>
          <w:numId w:val="6"/>
        </w:numPr>
        <w:spacing w:line="360" w:lineRule="auto"/>
        <w:ind w:firstLine="482" w:firstLineChars="200"/>
        <w:rPr>
          <w:rFonts w:hint="eastAsia" w:asciiTheme="minorEastAsia" w:hAnsiTheme="minorEastAsia" w:eastAsiaTheme="minorEastAsia" w:cstheme="minorEastAsia"/>
          <w:b/>
          <w:bCs/>
          <w:color w:val="auto"/>
          <w:sz w:val="24"/>
          <w:highlight w:val="none"/>
        </w:rPr>
      </w:pPr>
      <w:bookmarkStart w:id="2" w:name="_Toc35393795"/>
      <w:bookmarkStart w:id="3" w:name="_Toc35393626"/>
      <w:r>
        <w:rPr>
          <w:rFonts w:hint="eastAsia" w:asciiTheme="minorEastAsia" w:hAnsiTheme="minorEastAsia" w:eastAsiaTheme="minorEastAsia" w:cstheme="minorEastAsia"/>
          <w:b/>
          <w:bCs/>
          <w:color w:val="auto"/>
          <w:sz w:val="24"/>
          <w:highlight w:val="none"/>
        </w:rPr>
        <w:t>其他补充事宜</w:t>
      </w:r>
      <w:bookmarkEnd w:id="2"/>
      <w:bookmarkEnd w:id="3"/>
    </w:p>
    <w:p w14:paraId="7A3F723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1.磋商保证金：</w:t>
      </w:r>
      <w:r>
        <w:rPr>
          <w:rFonts w:hint="eastAsia" w:ascii="宋体" w:hAnsi="宋体" w:cs="宋体"/>
          <w:color w:val="auto"/>
          <w:kern w:val="0"/>
          <w:sz w:val="24"/>
          <w:szCs w:val="24"/>
          <w:highlight w:val="none"/>
          <w:lang w:val="en-US" w:eastAsia="zh-CN"/>
        </w:rPr>
        <w:t>不收取磋商保证金</w:t>
      </w:r>
      <w:r>
        <w:rPr>
          <w:rFonts w:hint="eastAsia" w:ascii="宋体" w:hAnsi="宋体" w:cs="宋体"/>
          <w:color w:val="auto"/>
          <w:kern w:val="0"/>
          <w:sz w:val="24"/>
          <w:szCs w:val="24"/>
          <w:highlight w:val="none"/>
        </w:rPr>
        <w:t>。</w:t>
      </w:r>
    </w:p>
    <w:p w14:paraId="3577104E">
      <w:pPr>
        <w:spacing w:line="360" w:lineRule="auto"/>
        <w:ind w:firstLine="480" w:firstLineChars="200"/>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2.采购意向公开链接：https://zfcg.gxzf.gov.cn/site/detail?categoryCode=ZcyAnnouncement&amp;parentId=66485&amp;articleId=Kra7UH5ly2vzjw2r413i8Q==</w:t>
      </w:r>
    </w:p>
    <w:p w14:paraId="3D595672">
      <w:pPr>
        <w:spacing w:line="360" w:lineRule="auto"/>
        <w:ind w:firstLine="480" w:firstLineChars="200"/>
        <w:rPr>
          <w:rFonts w:hint="eastAsia" w:ascii="宋体" w:hAnsi="宋体" w:cs="宋体"/>
          <w:color w:val="auto"/>
          <w:kern w:val="0"/>
          <w:sz w:val="24"/>
          <w:szCs w:val="24"/>
          <w:highlight w:val="none"/>
        </w:rPr>
      </w:pPr>
      <w:bookmarkStart w:id="4" w:name="_Hlk37429585"/>
      <w:r>
        <w:rPr>
          <w:rFonts w:hint="eastAsia" w:ascii="宋体" w:hAnsi="宋体" w:cs="宋体"/>
          <w:color w:val="auto"/>
          <w:kern w:val="0"/>
          <w:sz w:val="24"/>
          <w:szCs w:val="24"/>
          <w:highlight w:val="none"/>
        </w:rPr>
        <w:t>3.</w:t>
      </w:r>
      <w:bookmarkStart w:id="5" w:name="_Hlk37429595"/>
      <w:r>
        <w:rPr>
          <w:rFonts w:hint="eastAsia" w:ascii="宋体" w:hAnsi="宋体" w:cs="宋体"/>
          <w:color w:val="auto"/>
          <w:kern w:val="0"/>
          <w:sz w:val="24"/>
          <w:szCs w:val="24"/>
          <w:highlight w:val="none"/>
        </w:rPr>
        <w:t>网上查询地址</w:t>
      </w:r>
    </w:p>
    <w:bookmarkEnd w:id="4"/>
    <w:bookmarkEnd w:id="5"/>
    <w:p w14:paraId="0171308B">
      <w:pPr>
        <w:spacing w:line="360" w:lineRule="auto"/>
        <w:ind w:firstLine="480" w:firstLineChars="200"/>
        <w:rPr>
          <w:rFonts w:hint="eastAsia" w:ascii="宋体" w:hAnsi="宋体" w:cs="宋体"/>
          <w:color w:val="auto"/>
          <w:kern w:val="0"/>
          <w:sz w:val="24"/>
          <w:szCs w:val="24"/>
          <w:highlight w:val="none"/>
        </w:rPr>
      </w:pPr>
      <w:bookmarkStart w:id="6" w:name="_Hlk37429674"/>
      <w:bookmarkStart w:id="1156" w:name="_GoBack"/>
      <w:bookmarkEnd w:id="1156"/>
      <w:r>
        <w:rPr>
          <w:rFonts w:hint="eastAsia" w:ascii="宋体" w:hAnsi="宋体" w:cs="宋体"/>
          <w:color w:val="auto"/>
          <w:kern w:val="0"/>
          <w:sz w:val="24"/>
          <w:szCs w:val="24"/>
          <w:highlight w:val="none"/>
        </w:rPr>
        <w:t>中国政府采购网（http://www.ccgp.gov.cn）、广西壮族自治区政府采购网（http://www.gxzfcg.gov.cn）、广西阳光采购服务平台</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fldChar w:fldCharType="begin"/>
      </w:r>
      <w:r>
        <w:rPr>
          <w:rFonts w:hint="eastAsia" w:ascii="宋体" w:hAnsi="宋体" w:cs="宋体"/>
          <w:color w:val="auto"/>
          <w:kern w:val="0"/>
          <w:sz w:val="24"/>
          <w:szCs w:val="24"/>
          <w:highlight w:val="none"/>
          <w:lang w:val="en-US" w:eastAsia="zh-CN"/>
        </w:rPr>
        <w:instrText xml:space="preserve"> HYPERLINK "https://www.gxygcg.com/" </w:instrText>
      </w:r>
      <w:r>
        <w:rPr>
          <w:rFonts w:hint="eastAsia" w:ascii="宋体" w:hAnsi="宋体" w:cs="宋体"/>
          <w:color w:val="auto"/>
          <w:kern w:val="0"/>
          <w:sz w:val="24"/>
          <w:szCs w:val="24"/>
          <w:highlight w:val="none"/>
          <w:lang w:val="en-US" w:eastAsia="zh-CN"/>
        </w:rPr>
        <w:fldChar w:fldCharType="separate"/>
      </w:r>
      <w:r>
        <w:rPr>
          <w:rFonts w:hint="eastAsia" w:ascii="宋体" w:hAnsi="宋体" w:cs="宋体"/>
          <w:color w:val="auto"/>
          <w:kern w:val="0"/>
          <w:sz w:val="24"/>
          <w:szCs w:val="24"/>
          <w:highlight w:val="none"/>
          <w:lang w:val="en-US" w:eastAsia="zh-CN"/>
        </w:rPr>
        <w:t>https://www.gxygcg.com/</w:t>
      </w:r>
      <w:r>
        <w:rPr>
          <w:rFonts w:hint="eastAsia" w:ascii="宋体" w:hAnsi="宋体" w:cs="宋体"/>
          <w:color w:val="auto"/>
          <w:kern w:val="0"/>
          <w:sz w:val="24"/>
          <w:szCs w:val="24"/>
          <w:highlight w:val="none"/>
          <w:lang w:val="en-US" w:eastAsia="zh-CN"/>
        </w:rPr>
        <w:fldChar w:fldCharType="end"/>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eastAsia="zh-CN"/>
        </w:rPr>
        <w:t>）</w:t>
      </w:r>
    </w:p>
    <w:p w14:paraId="06E5761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sz w:val="24"/>
          <w:szCs w:val="24"/>
          <w:highlight w:val="none"/>
        </w:rPr>
        <w:t xml:space="preserve">. </w:t>
      </w:r>
      <w:r>
        <w:rPr>
          <w:rFonts w:hint="eastAsia" w:ascii="宋体" w:hAnsi="宋体" w:cs="宋体"/>
          <w:color w:val="auto"/>
          <w:kern w:val="0"/>
          <w:sz w:val="24"/>
          <w:szCs w:val="24"/>
          <w:highlight w:val="none"/>
        </w:rPr>
        <w:t>本项目需要落实的政府采购政策</w:t>
      </w:r>
    </w:p>
    <w:bookmarkEnd w:id="6"/>
    <w:p w14:paraId="17B440E3">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（1）政府采购促进中小企业发展【</w:t>
      </w:r>
      <w:r>
        <w:rPr>
          <w:rFonts w:hint="eastAsia" w:ascii="宋体" w:hAnsi="宋体" w:cs="宋体"/>
          <w:b/>
          <w:bCs/>
          <w:color w:val="auto"/>
          <w:kern w:val="0"/>
          <w:sz w:val="24"/>
          <w:szCs w:val="24"/>
          <w:highlight w:val="none"/>
        </w:rPr>
        <w:t>本项目所属行业：建筑业</w:t>
      </w:r>
      <w:r>
        <w:rPr>
          <w:rFonts w:hint="eastAsia" w:ascii="宋体" w:hAnsi="宋体" w:cs="宋体"/>
          <w:color w:val="auto"/>
          <w:kern w:val="0"/>
          <w:sz w:val="24"/>
          <w:szCs w:val="24"/>
          <w:highlight w:val="none"/>
        </w:rPr>
        <w:t>】；</w:t>
      </w:r>
    </w:p>
    <w:p w14:paraId="33F5BC7C">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（2）政府采购促进残疾人就业政策；</w:t>
      </w:r>
    </w:p>
    <w:p w14:paraId="6E8CFAFA">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（3）政府采购支持监狱企业发展；</w:t>
      </w:r>
    </w:p>
    <w:p w14:paraId="728B914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（4）政府采购竞争性磋商采购方式管理暂行办法。</w:t>
      </w:r>
    </w:p>
    <w:p w14:paraId="3D2EC89E">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供应商认为采购文件使自己的权益受到损害的，可以自获取采购文件之日或者采购文件公告期限届满之日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5F2CE38">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6. 若对项目采购电子交易系统操作有疑问，可登录“</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w:t>
      </w:r>
      <w:r>
        <w:rPr>
          <w:rFonts w:hint="eastAsia" w:asciiTheme="minorEastAsia" w:hAnsiTheme="minorEastAsia" w:eastAsiaTheme="minorEastAsia" w:cstheme="minorEastAsia"/>
          <w:color w:val="auto"/>
          <w:sz w:val="24"/>
          <w:szCs w:val="24"/>
          <w:highlight w:val="none"/>
        </w:rPr>
        <w:t>（https://www.gcy.zfcg.gxzf.gov.cn/）</w:t>
      </w:r>
      <w:r>
        <w:rPr>
          <w:rFonts w:hint="eastAsia" w:ascii="宋体" w:hAnsi="宋体" w:cs="宋体"/>
          <w:color w:val="auto"/>
          <w:kern w:val="0"/>
          <w:sz w:val="24"/>
          <w:szCs w:val="24"/>
          <w:highlight w:val="none"/>
        </w:rPr>
        <w:t>，点击右侧咨询小采，获取采小蜜智能服务管家帮助，或拨打</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服务热线95763获取热线服务帮助。</w:t>
      </w:r>
    </w:p>
    <w:p w14:paraId="780B84D7">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7、在线投标响应（电子投标）说明</w:t>
      </w:r>
    </w:p>
    <w:p w14:paraId="0A4F14E0">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（1）本项目通过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平台实行在线投标响应（电子投标），供应商需要先安装“</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电子交易客户端”，并按照本竞争性磋商采购文件和政采云平台的要求，通过“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电子交易客户端”编制并加密响应文件。供应商未按规定编制并加密的响应文件，政采云平台将予以拒收。</w:t>
      </w:r>
    </w:p>
    <w:p w14:paraId="3B5994D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电子交易客户端”请自行前往广西政府采购网下载并安装；电子投标具体操作流程参考《政府采购项目电子交易管理操作指南-供应商》；在使用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投标客户端时，建议使用WIN7及以上操作系统，通过</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平台参与在线投标时如遇平台技术问题详询95763。</w:t>
      </w:r>
    </w:p>
    <w:p w14:paraId="6276661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（3）为确保网上操作合法、有效和安全，磋商供应商应当在响应文件提交截止时间前完成在“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平台”的身份认证，确保在电子投标过程中能够对相关数据电文进行加密和使用电子签章。使用“</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电子交易客户端”需要提前申领CA数字证书，申领流程请自行前往相关网站进行查阅（完成CA数字证书办理预计一周左右，建议供应商获取竞争性磋商采购文件后立即办理）。</w:t>
      </w:r>
    </w:p>
    <w:p w14:paraId="14E2F86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4）磋商供应商应当在响应文件提交截止时间前，将生成的“电子加密响应文件”上传提交至政采云平台。响应文件提交截止时间前可以补充、修改或者撤回电子磋商响应文件。补充或者修改电子磋商响应文件的，应当先行撤回原文件，补充、修改后重新传输递交，响应文件提交截止时间前未完成传输的，视为撤回响应文件。</w:t>
      </w:r>
    </w:p>
    <w:p w14:paraId="4859920E">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（5）响应文件提交截止时间后，</w:t>
      </w:r>
      <w:r>
        <w:rPr>
          <w:rFonts w:hint="eastAsia" w:asciiTheme="minorEastAsia" w:hAnsiTheme="minorEastAsia" w:eastAsiaTheme="minorEastAsia" w:cstheme="minorEastAsia"/>
          <w:color w:val="auto"/>
          <w:sz w:val="24"/>
          <w:highlight w:val="none"/>
        </w:rPr>
        <w:t>广西政府采购云</w:t>
      </w:r>
      <w:r>
        <w:rPr>
          <w:rFonts w:hint="eastAsia" w:ascii="宋体" w:hAnsi="宋体" w:cs="宋体"/>
          <w:color w:val="auto"/>
          <w:kern w:val="0"/>
          <w:sz w:val="24"/>
          <w:szCs w:val="24"/>
          <w:highlight w:val="none"/>
        </w:rPr>
        <w:t>（电子交易平台）自动提取所有响应文件，各供应商须在提交响应文件截止后30分钟内对上传政采云的响应文件进行解密，所有供应商在规定的解密时限内解密完成或解密时限到后，采购代理机构开启响应文件；供应商超过解密时限的，系统默认自动放弃。</w:t>
      </w:r>
    </w:p>
    <w:p w14:paraId="5C4D25E2">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2、相关业务联系单位及联系电话</w:t>
      </w:r>
    </w:p>
    <w:p w14:paraId="131643FB">
      <w:pPr>
        <w:spacing w:line="360" w:lineRule="auto"/>
        <w:ind w:firstLine="480" w:firstLineChars="2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CA咨询(汇信公司)客服热线：400-888-4636；“广西政府采购云”平台客服电话：95763</w:t>
      </w:r>
    </w:p>
    <w:p w14:paraId="333FA513">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八、凡对本次采购提出询问，请按以下方式联系：</w:t>
      </w:r>
    </w:p>
    <w:p w14:paraId="743860F6">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1.采购人信息</w:t>
      </w:r>
    </w:p>
    <w:p w14:paraId="62F08FE2">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名  称：</w:t>
      </w:r>
      <w:r>
        <w:rPr>
          <w:rFonts w:hint="eastAsia" w:ascii="宋体" w:hAnsi="宋体"/>
          <w:color w:val="auto"/>
          <w:sz w:val="24"/>
          <w:highlight w:val="none"/>
        </w:rPr>
        <w:t>南宁市西乡塘区农业农村局</w:t>
      </w:r>
    </w:p>
    <w:p w14:paraId="0D4F3BE4">
      <w:pPr>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址：南宁市西乡塘区秀灵路东三里30号</w:t>
      </w:r>
    </w:p>
    <w:p w14:paraId="0CBE6570">
      <w:pPr>
        <w:spacing w:line="360" w:lineRule="auto"/>
        <w:ind w:firstLine="480" w:firstLineChars="20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0000FF"/>
          <w:sz w:val="24"/>
          <w:highlight w:val="none"/>
        </w:rPr>
        <w:t>联系</w:t>
      </w:r>
      <w:r>
        <w:rPr>
          <w:rFonts w:hint="eastAsia" w:asciiTheme="minorEastAsia" w:hAnsiTheme="minorEastAsia" w:eastAsiaTheme="minorEastAsia" w:cstheme="minorEastAsia"/>
          <w:color w:val="0000FF"/>
          <w:sz w:val="24"/>
          <w:highlight w:val="none"/>
          <w:lang w:val="en-US" w:eastAsia="zh-CN"/>
        </w:rPr>
        <w:t>人</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lang w:val="en-US" w:eastAsia="zh-CN"/>
        </w:rPr>
        <w:t>杨工</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lang w:val="en-US" w:eastAsia="zh-CN"/>
        </w:rPr>
        <w:t>联系方式：</w:t>
      </w:r>
      <w:r>
        <w:rPr>
          <w:rFonts w:hint="eastAsia" w:asciiTheme="minorEastAsia" w:hAnsiTheme="minorEastAsia" w:eastAsiaTheme="minorEastAsia" w:cstheme="minorEastAsia"/>
          <w:color w:val="0000FF"/>
          <w:sz w:val="24"/>
          <w:highlight w:val="none"/>
          <w:lang w:val="en-US" w:eastAsia="zh-CN"/>
        </w:rPr>
        <w:t>0771-2318691</w:t>
      </w:r>
    </w:p>
    <w:p w14:paraId="5DDAC99F">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2.采购代理机构信息</w:t>
      </w:r>
    </w:p>
    <w:p w14:paraId="50EFBC65">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30C09788">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lang w:eastAsia="zh-CN"/>
        </w:rPr>
        <w:t>广西壮族自治区南宁市青秀区枫林路18号广西国控大厦裙楼三层</w:t>
      </w:r>
    </w:p>
    <w:p w14:paraId="500D171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lang w:eastAsia="zh-CN"/>
        </w:rPr>
        <w:t>0771-</w:t>
      </w:r>
      <w:r>
        <w:rPr>
          <w:rFonts w:hint="eastAsia" w:asciiTheme="minorEastAsia" w:hAnsiTheme="minorEastAsia" w:eastAsiaTheme="minorEastAsia" w:cstheme="minorEastAsia"/>
          <w:color w:val="auto"/>
          <w:sz w:val="24"/>
          <w:highlight w:val="none"/>
          <w:lang w:val="en-US" w:eastAsia="zh-CN"/>
        </w:rPr>
        <w:t>2825810</w:t>
      </w:r>
    </w:p>
    <w:p w14:paraId="5F358BB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3.项目联系方式</w:t>
      </w:r>
    </w:p>
    <w:p w14:paraId="7A36F393">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项目联系人</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鞠丰泽</w:t>
      </w:r>
    </w:p>
    <w:p w14:paraId="3060FC4D">
      <w:pPr>
        <w:keepNext w:val="0"/>
        <w:keepLines w:val="0"/>
        <w:pageBreakBefore w:val="0"/>
        <w:widowControl w:val="0"/>
        <w:shd w:val="clear"/>
        <w:kinsoku/>
        <w:wordWrap/>
        <w:overflowPunct/>
        <w:topLinePunct w:val="0"/>
        <w:autoSpaceDE/>
        <w:autoSpaceDN/>
        <w:bidi w:val="0"/>
        <w:snapToGrid/>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电　</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rPr>
        <w:t>　 话：</w:t>
      </w:r>
      <w:r>
        <w:rPr>
          <w:rFonts w:hint="eastAsia" w:asciiTheme="minorEastAsia" w:hAnsiTheme="minorEastAsia" w:eastAsiaTheme="minorEastAsia" w:cstheme="minorEastAsia"/>
          <w:color w:val="auto"/>
          <w:sz w:val="24"/>
          <w:highlight w:val="none"/>
          <w:lang w:eastAsia="zh-CN"/>
        </w:rPr>
        <w:t>0771-</w:t>
      </w:r>
      <w:r>
        <w:rPr>
          <w:rFonts w:hint="eastAsia" w:asciiTheme="minorEastAsia" w:hAnsiTheme="minorEastAsia" w:eastAsiaTheme="minorEastAsia" w:cstheme="minorEastAsia"/>
          <w:color w:val="auto"/>
          <w:sz w:val="24"/>
          <w:highlight w:val="none"/>
          <w:lang w:val="en-US" w:eastAsia="zh-CN"/>
        </w:rPr>
        <w:t>2825810</w:t>
      </w:r>
    </w:p>
    <w:p w14:paraId="708524B1">
      <w:pPr>
        <w:spacing w:line="360" w:lineRule="auto"/>
        <w:ind w:firstLine="720" w:firstLineChars="3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14:paraId="258C0A6D">
      <w:pPr>
        <w:spacing w:line="360" w:lineRule="auto"/>
        <w:ind w:firstLine="720" w:firstLineChars="300"/>
        <w:jc w:val="right"/>
        <w:rPr>
          <w:rFonts w:hint="eastAsia" w:asciiTheme="minorEastAsia" w:hAnsiTheme="minorEastAsia" w:eastAsiaTheme="minorEastAsia" w:cstheme="minorEastAsia"/>
          <w:color w:val="auto"/>
          <w:sz w:val="24"/>
          <w:highlight w:val="none"/>
        </w:rPr>
      </w:pPr>
    </w:p>
    <w:p w14:paraId="66EFBC21">
      <w:pPr>
        <w:keepNext w:val="0"/>
        <w:keepLines w:val="0"/>
        <w:pageBreakBefore w:val="0"/>
        <w:widowControl w:val="0"/>
        <w:shd w:val="clear"/>
        <w:kinsoku/>
        <w:wordWrap/>
        <w:overflowPunct/>
        <w:topLinePunct w:val="0"/>
        <w:autoSpaceDE/>
        <w:autoSpaceDN/>
        <w:bidi w:val="0"/>
        <w:snapToGrid/>
        <w:spacing w:line="360" w:lineRule="auto"/>
        <w:ind w:firstLine="480" w:firstLineChars="20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采购代理单位：</w:t>
      </w:r>
      <w:r>
        <w:rPr>
          <w:rFonts w:hint="eastAsia" w:asciiTheme="minorEastAsia" w:hAnsiTheme="minorEastAsia" w:eastAsiaTheme="minorEastAsia" w:cstheme="minorEastAsia"/>
          <w:color w:val="auto"/>
          <w:sz w:val="24"/>
          <w:highlight w:val="none"/>
          <w:lang w:eastAsia="zh-CN"/>
        </w:rPr>
        <w:t>广西建设工程机电设备招标中心有限公司</w:t>
      </w:r>
    </w:p>
    <w:p w14:paraId="3025667A">
      <w:pPr>
        <w:spacing w:line="360" w:lineRule="auto"/>
        <w:ind w:firstLine="480" w:firstLineChars="20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szCs w:val="24"/>
          <w:highlight w:val="none"/>
          <w:lang w:eastAsia="zh-CN"/>
        </w:rPr>
        <w:t>2026年</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日</w:t>
      </w:r>
    </w:p>
    <w:p w14:paraId="697922A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45C2AF4E">
      <w:pPr>
        <w:pStyle w:val="42"/>
        <w:rPr>
          <w:rFonts w:hint="eastAsia" w:asciiTheme="minorEastAsia" w:hAnsiTheme="minorEastAsia" w:eastAsiaTheme="minorEastAsia" w:cstheme="minorEastAsia"/>
          <w:color w:val="auto"/>
          <w:highlight w:val="none"/>
        </w:rPr>
      </w:pPr>
      <w:bookmarkStart w:id="7" w:name="_Toc26580"/>
      <w:r>
        <w:rPr>
          <w:rFonts w:hint="eastAsia" w:asciiTheme="minorEastAsia" w:hAnsiTheme="minorEastAsia" w:eastAsiaTheme="minorEastAsia" w:cstheme="minorEastAsia"/>
          <w:color w:val="auto"/>
          <w:highlight w:val="none"/>
        </w:rPr>
        <w:t>第二章  磋商须知前附表及</w:t>
      </w:r>
      <w:bookmarkEnd w:id="1"/>
      <w:r>
        <w:rPr>
          <w:rFonts w:hint="eastAsia" w:asciiTheme="minorEastAsia" w:hAnsiTheme="minorEastAsia" w:eastAsiaTheme="minorEastAsia" w:cstheme="minorEastAsia"/>
          <w:color w:val="auto"/>
          <w:highlight w:val="none"/>
        </w:rPr>
        <w:t>磋商须知</w:t>
      </w:r>
      <w:bookmarkEnd w:id="7"/>
    </w:p>
    <w:p w14:paraId="2249CE10">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磋商须知前附表</w:t>
      </w:r>
    </w:p>
    <w:tbl>
      <w:tblPr>
        <w:tblStyle w:val="44"/>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8813"/>
      </w:tblGrid>
      <w:tr w14:paraId="4BFB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Pr>
          <w:p w14:paraId="785A3362">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项号</w:t>
            </w:r>
          </w:p>
        </w:tc>
        <w:tc>
          <w:tcPr>
            <w:tcW w:w="8813" w:type="dxa"/>
          </w:tcPr>
          <w:p w14:paraId="760142AA">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内   容    规   定</w:t>
            </w:r>
          </w:p>
        </w:tc>
      </w:tr>
      <w:tr w14:paraId="508F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6" w:hRule="atLeast"/>
          <w:jc w:val="center"/>
        </w:trPr>
        <w:tc>
          <w:tcPr>
            <w:tcW w:w="1093" w:type="dxa"/>
            <w:vAlign w:val="center"/>
          </w:tcPr>
          <w:p w14:paraId="799C0329">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w:t>
            </w:r>
          </w:p>
        </w:tc>
        <w:tc>
          <w:tcPr>
            <w:tcW w:w="8813" w:type="dxa"/>
          </w:tcPr>
          <w:p w14:paraId="29BB2286">
            <w:pPr>
              <w:spacing w:line="400" w:lineRule="exact"/>
              <w:rPr>
                <w:rFonts w:hint="eastAsia" w:asciiTheme="minorEastAsia" w:hAnsiTheme="minorEastAsia" w:eastAsiaTheme="minorEastAsia" w:cstheme="minorEastAsia"/>
                <w:bCs/>
                <w:color w:val="auto"/>
                <w:spacing w:val="2"/>
                <w:highlight w:val="none"/>
                <w:lang w:eastAsia="zh-CN"/>
              </w:rPr>
            </w:pPr>
            <w:r>
              <w:rPr>
                <w:rFonts w:hint="eastAsia" w:asciiTheme="minorEastAsia" w:hAnsiTheme="minorEastAsia" w:eastAsiaTheme="minorEastAsia" w:cstheme="minorEastAsia"/>
                <w:b/>
                <w:color w:val="auto"/>
                <w:spacing w:val="2"/>
                <w:highlight w:val="none"/>
              </w:rPr>
              <w:t>项目名称：</w:t>
            </w:r>
            <w:r>
              <w:rPr>
                <w:rFonts w:hint="eastAsia" w:asciiTheme="minorEastAsia" w:hAnsiTheme="minorEastAsia" w:eastAsiaTheme="minorEastAsia" w:cstheme="minorEastAsia"/>
                <w:color w:val="auto"/>
                <w:spacing w:val="2"/>
                <w:highlight w:val="none"/>
                <w:lang w:eastAsia="zh-CN"/>
              </w:rPr>
              <w:t>坛洛镇那坛村增朗坡蔬菜基地建设项目</w:t>
            </w:r>
          </w:p>
          <w:p w14:paraId="38417588">
            <w:pPr>
              <w:spacing w:line="400" w:lineRule="exact"/>
              <w:rPr>
                <w:rFonts w:hint="eastAsia" w:asciiTheme="minorEastAsia" w:hAnsiTheme="minorEastAsia" w:eastAsiaTheme="minorEastAsia" w:cstheme="minorEastAsia"/>
                <w:color w:val="auto"/>
                <w:sz w:val="24"/>
                <w:szCs w:val="28"/>
                <w:highlight w:val="none"/>
                <w:u w:val="single"/>
                <w:lang w:eastAsia="zh-CN"/>
              </w:rPr>
            </w:pPr>
            <w:r>
              <w:rPr>
                <w:rFonts w:hint="eastAsia" w:asciiTheme="minorEastAsia" w:hAnsiTheme="minorEastAsia" w:eastAsiaTheme="minorEastAsia" w:cstheme="minorEastAsia"/>
                <w:b/>
                <w:color w:val="auto"/>
                <w:spacing w:val="2"/>
                <w:highlight w:val="none"/>
              </w:rPr>
              <w:t>项目编号：</w:t>
            </w:r>
            <w:r>
              <w:rPr>
                <w:rFonts w:hint="eastAsia" w:asciiTheme="minorEastAsia" w:hAnsiTheme="minorEastAsia" w:eastAsiaTheme="minorEastAsia" w:cstheme="minorEastAsia"/>
                <w:b/>
                <w:color w:val="auto"/>
                <w:spacing w:val="2"/>
                <w:highlight w:val="none"/>
                <w:u w:val="single"/>
              </w:rPr>
              <w:t>NNZC2026-C2-070009-JGJD</w:t>
            </w:r>
          </w:p>
          <w:p w14:paraId="056B52BA">
            <w:pPr>
              <w:spacing w:line="400" w:lineRule="exact"/>
              <w:rPr>
                <w:rFonts w:hint="eastAsia" w:asciiTheme="minorEastAsia" w:hAnsiTheme="minorEastAsia" w:eastAsiaTheme="minorEastAsia" w:cstheme="minorEastAsia"/>
                <w:b/>
                <w:color w:val="auto"/>
                <w:spacing w:val="2"/>
                <w:highlight w:val="none"/>
                <w:lang w:eastAsia="zh-CN"/>
              </w:rPr>
            </w:pPr>
            <w:r>
              <w:rPr>
                <w:rFonts w:hint="eastAsia" w:asciiTheme="minorEastAsia" w:hAnsiTheme="minorEastAsia" w:eastAsiaTheme="minorEastAsia" w:cstheme="minorEastAsia"/>
                <w:b/>
                <w:color w:val="auto"/>
                <w:spacing w:val="2"/>
                <w:highlight w:val="none"/>
              </w:rPr>
              <w:t>采购计划备案文号</w:t>
            </w:r>
            <w:r>
              <w:rPr>
                <w:rFonts w:hint="eastAsia" w:asciiTheme="minorEastAsia" w:hAnsiTheme="minorEastAsia" w:eastAsiaTheme="minorEastAsia" w:cstheme="minorEastAsia"/>
                <w:b w:val="0"/>
                <w:bCs/>
                <w:color w:val="auto"/>
                <w:spacing w:val="2"/>
                <w:highlight w:val="none"/>
              </w:rPr>
              <w:t>：XXTZC[2026]431</w:t>
            </w:r>
            <w:r>
              <w:rPr>
                <w:rFonts w:hint="eastAsia" w:asciiTheme="minorEastAsia" w:hAnsiTheme="minorEastAsia" w:eastAsiaTheme="minorEastAsia" w:cstheme="minorEastAsia"/>
                <w:b w:val="0"/>
                <w:bCs/>
                <w:color w:val="auto"/>
                <w:spacing w:val="2"/>
                <w:highlight w:val="none"/>
                <w:lang w:eastAsia="zh-CN"/>
              </w:rPr>
              <w:t>号</w:t>
            </w:r>
          </w:p>
          <w:p w14:paraId="5A502F9C">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spacing w:val="2"/>
                <w:highlight w:val="none"/>
              </w:rPr>
              <w:t>标段划分：</w:t>
            </w:r>
            <w:r>
              <w:rPr>
                <w:rFonts w:hint="eastAsia" w:asciiTheme="minorEastAsia" w:hAnsiTheme="minorEastAsia" w:eastAsiaTheme="minorEastAsia" w:cstheme="minorEastAsia"/>
                <w:bCs/>
                <w:color w:val="auto"/>
                <w:spacing w:val="2"/>
                <w:highlight w:val="none"/>
              </w:rPr>
              <w:t>本项目划</w:t>
            </w:r>
            <w:r>
              <w:rPr>
                <w:rFonts w:hint="eastAsia" w:asciiTheme="minorEastAsia" w:hAnsiTheme="minorEastAsia" w:eastAsiaTheme="minorEastAsia" w:cstheme="minorEastAsia"/>
                <w:color w:val="auto"/>
                <w:spacing w:val="2"/>
                <w:highlight w:val="none"/>
              </w:rPr>
              <w:t>分为一个标段，</w:t>
            </w:r>
            <w:r>
              <w:rPr>
                <w:rFonts w:hint="eastAsia" w:asciiTheme="minorEastAsia" w:hAnsiTheme="minorEastAsia" w:eastAsiaTheme="minorEastAsia" w:cstheme="minorEastAsia"/>
                <w:color w:val="auto"/>
                <w:spacing w:val="2"/>
                <w:highlight w:val="none"/>
                <w:lang w:eastAsia="zh-CN"/>
              </w:rPr>
              <w:t>坛洛镇那坛村增朗坡蔬菜基地建设项目</w:t>
            </w:r>
          </w:p>
          <w:p w14:paraId="4230A71D">
            <w:pPr>
              <w:spacing w:line="400" w:lineRule="exact"/>
              <w:rPr>
                <w:rFonts w:hint="eastAsia" w:asciiTheme="minorEastAsia" w:hAnsiTheme="minorEastAsia" w:eastAsiaTheme="minorEastAsia" w:cstheme="minorEastAsia"/>
                <w:color w:val="auto"/>
                <w:spacing w:val="2"/>
                <w:highlight w:val="none"/>
                <w:lang w:eastAsia="zh-CN"/>
              </w:rPr>
            </w:pPr>
            <w:r>
              <w:rPr>
                <w:rFonts w:hint="eastAsia" w:asciiTheme="minorEastAsia" w:hAnsiTheme="minorEastAsia" w:eastAsiaTheme="minorEastAsia" w:cstheme="minorEastAsia"/>
                <w:b/>
                <w:color w:val="auto"/>
                <w:highlight w:val="none"/>
              </w:rPr>
              <w:t>建设单位：</w:t>
            </w:r>
            <w:r>
              <w:rPr>
                <w:rFonts w:hint="eastAsia" w:asciiTheme="minorEastAsia" w:hAnsiTheme="minorEastAsia" w:eastAsiaTheme="minorEastAsia" w:cstheme="minorEastAsia"/>
                <w:color w:val="auto"/>
                <w:spacing w:val="2"/>
                <w:highlight w:val="none"/>
                <w:lang w:eastAsia="zh-CN"/>
              </w:rPr>
              <w:t>南宁市西乡塘区农业农村局</w:t>
            </w:r>
          </w:p>
          <w:p w14:paraId="7B3C107D">
            <w:pPr>
              <w:spacing w:line="400" w:lineRule="exact"/>
              <w:rPr>
                <w:rFonts w:hint="eastAsia" w:ascii="宋体" w:hAnsi="宋体"/>
                <w:color w:val="auto"/>
                <w:highlight w:val="none"/>
              </w:rPr>
            </w:pPr>
            <w:r>
              <w:rPr>
                <w:rFonts w:hint="eastAsia" w:ascii="宋体" w:hAnsi="宋体"/>
                <w:b/>
                <w:bCs/>
                <w:color w:val="auto"/>
                <w:highlight w:val="none"/>
              </w:rPr>
              <w:t>资金来源：</w:t>
            </w:r>
            <w:r>
              <w:rPr>
                <w:rFonts w:hint="eastAsia" w:ascii="宋体" w:hAnsi="宋体"/>
                <w:color w:val="auto"/>
                <w:highlight w:val="none"/>
              </w:rPr>
              <w:t>财政资金</w:t>
            </w:r>
          </w:p>
          <w:p w14:paraId="55A99BB7">
            <w:pPr>
              <w:spacing w:line="400" w:lineRule="exact"/>
              <w:rPr>
                <w:rFonts w:hint="eastAsia" w:ascii="宋体" w:hAnsi="宋体" w:eastAsiaTheme="minorEastAsia"/>
                <w:b/>
                <w:bCs/>
                <w:color w:val="auto"/>
                <w:highlight w:val="none"/>
                <w:lang w:eastAsia="zh-CN"/>
              </w:rPr>
            </w:pPr>
            <w:r>
              <w:rPr>
                <w:rFonts w:hint="eastAsia" w:asciiTheme="minorEastAsia" w:hAnsiTheme="minorEastAsia" w:eastAsiaTheme="minorEastAsia" w:cstheme="minorEastAsia"/>
                <w:b/>
                <w:color w:val="auto"/>
                <w:highlight w:val="none"/>
              </w:rPr>
              <w:t>工程控制价：</w:t>
            </w:r>
            <w:r>
              <w:rPr>
                <w:rFonts w:hint="eastAsia" w:asciiTheme="minorEastAsia" w:hAnsiTheme="minorEastAsia" w:eastAsiaTheme="minorEastAsia" w:cstheme="minorEastAsia"/>
                <w:bCs/>
                <w:color w:val="auto"/>
                <w:highlight w:val="none"/>
                <w:lang w:eastAsia="zh-CN"/>
              </w:rPr>
              <w:t>人民币</w:t>
            </w:r>
            <w:r>
              <w:rPr>
                <w:rFonts w:hint="eastAsia" w:asciiTheme="minorEastAsia" w:hAnsiTheme="minorEastAsia" w:eastAsiaTheme="minorEastAsia" w:cstheme="minorEastAsia"/>
                <w:bCs/>
                <w:color w:val="auto"/>
                <w:highlight w:val="none"/>
                <w:lang w:val="en-US" w:eastAsia="zh-CN"/>
              </w:rPr>
              <w:t>叁佰玖拾柒万贰仟陆佰壹拾柒元陆角捌分</w:t>
            </w:r>
            <w:r>
              <w:rPr>
                <w:rFonts w:hint="eastAsia" w:asciiTheme="minorEastAsia" w:hAnsiTheme="minorEastAsia" w:eastAsiaTheme="minorEastAsia" w:cstheme="minorEastAsia"/>
                <w:bCs/>
                <w:color w:val="auto"/>
                <w:highlight w:val="none"/>
                <w:lang w:eastAsia="zh-CN"/>
              </w:rPr>
              <w:t>（¥3972617.68元）</w:t>
            </w:r>
          </w:p>
          <w:p w14:paraId="6B505B42">
            <w:pPr>
              <w:spacing w:line="400" w:lineRule="exact"/>
              <w:rPr>
                <w:rFonts w:hint="eastAsia" w:ascii="宋体" w:hAnsi="宋体"/>
                <w:color w:val="auto"/>
                <w:highlight w:val="none"/>
                <w:lang w:eastAsia="zh-CN"/>
              </w:rPr>
            </w:pPr>
            <w:r>
              <w:rPr>
                <w:rFonts w:hint="eastAsia" w:ascii="宋体" w:hAnsi="宋体"/>
                <w:b/>
                <w:bCs/>
                <w:color w:val="auto"/>
                <w:highlight w:val="none"/>
              </w:rPr>
              <w:t>建设地点：南宁市西乡塘区坛洛镇那坛村增朗坡</w:t>
            </w:r>
          </w:p>
          <w:p w14:paraId="13DAA0AE">
            <w:pPr>
              <w:pStyle w:val="61"/>
              <w:ind w:left="0" w:firstLine="0"/>
              <w:rPr>
                <w:rFonts w:hint="eastAsia" w:ascii="宋体" w:hAnsi="宋体"/>
                <w:b/>
                <w:bCs/>
                <w:color w:val="auto"/>
                <w:szCs w:val="21"/>
                <w:highlight w:val="none"/>
                <w:lang w:val="en-US"/>
              </w:rPr>
            </w:pPr>
            <w:r>
              <w:rPr>
                <w:rFonts w:hint="eastAsia" w:ascii="宋体" w:hAnsi="宋体"/>
                <w:b/>
                <w:bCs/>
                <w:color w:val="auto"/>
                <w:szCs w:val="21"/>
                <w:highlight w:val="none"/>
                <w:lang w:val="en-US" w:eastAsia="zh-CN"/>
              </w:rPr>
              <w:t>项目背景：</w:t>
            </w:r>
            <w:r>
              <w:rPr>
                <w:rFonts w:hint="eastAsia" w:ascii="宋体" w:hAnsi="宋体"/>
                <w:b w:val="0"/>
                <w:bCs w:val="0"/>
                <w:color w:val="auto"/>
                <w:szCs w:val="21"/>
                <w:highlight w:val="none"/>
                <w:lang w:val="en-US" w:eastAsia="zh-CN"/>
              </w:rPr>
              <w:t>坛洛镇那坛村属亚热带季风气候，雨量充沛，土地平整，交通便利，十分有利于蔬菜种植。近年来那坛村蔬菜产业发展较好，但设施化程度较低。为推进那坛村蔬菜现代化高质量发展，计划在增朗坡建设坛洛镇那坛村增朗坡蔬菜基地建设项目，大力发展棚架设施蔬菜种植，建设相对集中连片的标准化设施蔬菜基地，提高蔬菜综合生产能力和效益，推动蔬菜产业提质增效、转型升级，助力乡村振兴。</w:t>
            </w:r>
          </w:p>
          <w:p w14:paraId="1ECF570B">
            <w:pPr>
              <w:spacing w:line="400" w:lineRule="exact"/>
              <w:rPr>
                <w:rFonts w:hint="eastAsia" w:ascii="宋体" w:hAnsi="宋体"/>
                <w:bCs/>
                <w:color w:val="auto"/>
                <w:highlight w:val="none"/>
              </w:rPr>
            </w:pPr>
            <w:r>
              <w:rPr>
                <w:rFonts w:hint="eastAsia" w:ascii="宋体" w:hAnsi="宋体"/>
                <w:b/>
                <w:color w:val="auto"/>
                <w:highlight w:val="none"/>
              </w:rPr>
              <w:t>工程建设规模与内容：</w:t>
            </w:r>
            <w:r>
              <w:rPr>
                <w:rFonts w:hint="eastAsia" w:ascii="宋体" w:hAnsi="宋体"/>
                <w:b w:val="0"/>
                <w:bCs/>
                <w:color w:val="auto"/>
                <w:highlight w:val="none"/>
              </w:rPr>
              <w:t>新建大棚12座，建筑总面积为</w:t>
            </w:r>
            <w:r>
              <w:rPr>
                <w:rFonts w:hint="eastAsia" w:ascii="宋体" w:hAnsi="宋体"/>
                <w:b w:val="0"/>
                <w:bCs/>
                <w:color w:val="auto"/>
                <w:highlight w:val="none"/>
                <w:lang w:eastAsia="zh-CN"/>
              </w:rPr>
              <w:t>19616</w:t>
            </w:r>
            <w:r>
              <w:rPr>
                <w:rFonts w:hint="eastAsia" w:ascii="宋体" w:hAnsi="宋体"/>
                <w:b w:val="0"/>
                <w:bCs/>
                <w:color w:val="auto"/>
                <w:highlight w:val="none"/>
              </w:rPr>
              <w:t>㎡，主要工程内容：钢结构、电气工程、给排水工程等，具体详见工程量清单和设计图纸</w:t>
            </w:r>
            <w:r>
              <w:rPr>
                <w:rFonts w:hint="eastAsia" w:ascii="宋体" w:hAnsi="宋体"/>
                <w:b w:val="0"/>
                <w:bCs/>
                <w:color w:val="auto"/>
                <w:highlight w:val="none"/>
                <w:lang w:val="en-US" w:eastAsia="zh-CN"/>
              </w:rPr>
              <w:t>。</w:t>
            </w:r>
          </w:p>
          <w:p w14:paraId="20959630">
            <w:pPr>
              <w:spacing w:line="400" w:lineRule="exact"/>
              <w:rPr>
                <w:rFonts w:hint="eastAsia" w:ascii="宋体" w:hAnsi="宋体"/>
                <w:color w:val="auto"/>
                <w:highlight w:val="none"/>
              </w:rPr>
            </w:pPr>
            <w:r>
              <w:rPr>
                <w:rFonts w:hint="eastAsia" w:asciiTheme="minorEastAsia" w:hAnsiTheme="minorEastAsia" w:eastAsiaTheme="minorEastAsia" w:cstheme="minorEastAsia"/>
                <w:b/>
                <w:bCs/>
                <w:color w:val="auto"/>
                <w:highlight w:val="none"/>
              </w:rPr>
              <w:t>工期</w:t>
            </w:r>
            <w:r>
              <w:rPr>
                <w:rFonts w:hint="eastAsia" w:ascii="宋体" w:hAnsi="宋体"/>
                <w:b/>
                <w:bCs/>
                <w:color w:val="auto"/>
                <w:highlight w:val="none"/>
              </w:rPr>
              <w:t>：</w:t>
            </w:r>
            <w:r>
              <w:rPr>
                <w:rFonts w:hint="eastAsia" w:asciiTheme="minorEastAsia" w:hAnsiTheme="minorEastAsia" w:eastAsiaTheme="minorEastAsia" w:cstheme="minorEastAsia"/>
                <w:color w:val="auto"/>
                <w:highlight w:val="none"/>
                <w:lang w:val="en-US" w:eastAsia="zh-CN"/>
              </w:rPr>
              <w:t>150</w:t>
            </w:r>
            <w:r>
              <w:rPr>
                <w:rFonts w:hint="eastAsia" w:asciiTheme="minorEastAsia" w:hAnsiTheme="minorEastAsia" w:eastAsiaTheme="minorEastAsia" w:cstheme="minorEastAsia"/>
                <w:color w:val="auto"/>
                <w:highlight w:val="none"/>
              </w:rPr>
              <w:t>天（自合同签</w:t>
            </w:r>
            <w:r>
              <w:rPr>
                <w:rFonts w:hint="eastAsia" w:asciiTheme="minorEastAsia" w:hAnsiTheme="minorEastAsia" w:eastAsiaTheme="minorEastAsia" w:cstheme="minorEastAsia"/>
                <w:color w:val="auto"/>
                <w:highlight w:val="none"/>
                <w:lang w:eastAsia="zh-CN"/>
              </w:rPr>
              <w:t>订之</w:t>
            </w:r>
            <w:r>
              <w:rPr>
                <w:rFonts w:hint="eastAsia" w:asciiTheme="minorEastAsia" w:hAnsiTheme="minorEastAsia" w:eastAsiaTheme="minorEastAsia" w:cstheme="minorEastAsia"/>
                <w:color w:val="auto"/>
                <w:highlight w:val="none"/>
              </w:rPr>
              <w:t>日起至</w:t>
            </w:r>
            <w:r>
              <w:rPr>
                <w:rFonts w:hint="eastAsia" w:asciiTheme="minorEastAsia" w:hAnsiTheme="minorEastAsia" w:eastAsiaTheme="minorEastAsia" w:cstheme="minorEastAsia"/>
                <w:color w:val="auto"/>
                <w:highlight w:val="none"/>
                <w:lang w:val="en-US" w:eastAsia="zh-CN"/>
              </w:rPr>
              <w:t>本项目</w:t>
            </w:r>
            <w:r>
              <w:rPr>
                <w:rFonts w:hint="eastAsia" w:asciiTheme="minorEastAsia" w:hAnsiTheme="minorEastAsia" w:eastAsiaTheme="minorEastAsia" w:cstheme="minorEastAsia"/>
                <w:color w:val="auto"/>
                <w:highlight w:val="none"/>
              </w:rPr>
              <w:t>工程通过正式验收之日止）。</w:t>
            </w:r>
          </w:p>
          <w:p w14:paraId="4E7CA7D9">
            <w:pPr>
              <w:spacing w:line="400" w:lineRule="exact"/>
              <w:rPr>
                <w:rFonts w:hint="eastAsia" w:asciiTheme="minorEastAsia" w:hAnsiTheme="minorEastAsia" w:cstheme="minorEastAsia"/>
                <w:color w:val="auto"/>
                <w:spacing w:val="2"/>
                <w:highlight w:val="none"/>
              </w:rPr>
            </w:pPr>
            <w:r>
              <w:rPr>
                <w:rFonts w:hint="eastAsia" w:ascii="宋体" w:hAnsi="宋体"/>
                <w:b/>
                <w:bCs/>
                <w:color w:val="auto"/>
                <w:highlight w:val="none"/>
              </w:rPr>
              <w:t>质量要求：</w:t>
            </w:r>
            <w:r>
              <w:rPr>
                <w:rFonts w:hint="eastAsia" w:ascii="宋体" w:hAnsi="宋体"/>
                <w:color w:val="auto"/>
                <w:highlight w:val="none"/>
              </w:rPr>
              <w:t>达到国家工程施工验收规范合格标准。</w:t>
            </w:r>
          </w:p>
        </w:tc>
      </w:tr>
      <w:tr w14:paraId="0609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093" w:type="dxa"/>
            <w:vAlign w:val="center"/>
          </w:tcPr>
          <w:p w14:paraId="45859CAF">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8813" w:type="dxa"/>
            <w:vAlign w:val="center"/>
          </w:tcPr>
          <w:p w14:paraId="6C5739A1">
            <w:p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供应商资格要求：</w:t>
            </w:r>
          </w:p>
          <w:p w14:paraId="492B03BF">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1.满足《中华人民共和国政府采购法》第二十二条规定；</w:t>
            </w:r>
          </w:p>
          <w:p w14:paraId="626AB683">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2.落实政府采购政策需满足的资格要求</w:t>
            </w:r>
          </w:p>
          <w:p w14:paraId="1007390E">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lang w:eastAsia="zh-CN"/>
              </w:rPr>
              <w:t>☑</w:t>
            </w:r>
            <w:r>
              <w:rPr>
                <w:rFonts w:hint="eastAsia" w:ascii="宋体" w:hAnsi="宋体" w:cs="仿宋"/>
                <w:color w:val="auto"/>
                <w:highlight w:val="none"/>
              </w:rPr>
              <w:t>专门面向中小企业采购的项目（供应商应为中小微企业或监狱企业或残疾人福利性单位，大型企业不得参加。)</w:t>
            </w:r>
          </w:p>
          <w:p w14:paraId="527FE8E4">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lang w:eastAsia="zh-CN"/>
              </w:rPr>
              <w:t>□</w:t>
            </w:r>
            <w:r>
              <w:rPr>
                <w:rFonts w:hint="eastAsia" w:ascii="宋体" w:hAnsi="宋体" w:cs="仿宋"/>
                <w:color w:val="auto"/>
                <w:highlight w:val="none"/>
              </w:rPr>
              <w:t>非专门面向中小企业采购的项目</w:t>
            </w:r>
          </w:p>
          <w:p w14:paraId="25FC2030">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其他要求：无</w:t>
            </w:r>
          </w:p>
          <w:p w14:paraId="7A4127C4">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3.本项目的特定资格要求：</w:t>
            </w:r>
          </w:p>
          <w:p w14:paraId="56DA959C">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lang w:val="zh-CN"/>
              </w:rPr>
              <w:t>（</w:t>
            </w:r>
            <w:r>
              <w:rPr>
                <w:rFonts w:hint="eastAsia" w:ascii="宋体" w:hAnsi="宋体" w:cs="宋体"/>
                <w:color w:val="auto"/>
                <w:highlight w:val="none"/>
              </w:rPr>
              <w:t>1</w:t>
            </w:r>
            <w:r>
              <w:rPr>
                <w:rFonts w:hint="eastAsia" w:ascii="宋体" w:hAnsi="宋体" w:cs="宋体"/>
                <w:color w:val="auto"/>
                <w:highlight w:val="none"/>
                <w:lang w:val="zh-CN"/>
              </w:rPr>
              <w:t>）本次</w:t>
            </w:r>
            <w:r>
              <w:rPr>
                <w:rFonts w:hint="eastAsia" w:ascii="宋体" w:hAnsi="宋体" w:cs="宋体"/>
                <w:color w:val="auto"/>
                <w:highlight w:val="none"/>
              </w:rPr>
              <w:t>采购</w:t>
            </w:r>
            <w:r>
              <w:rPr>
                <w:rFonts w:hint="eastAsia" w:ascii="宋体" w:hAnsi="宋体" w:cs="宋体"/>
                <w:color w:val="auto"/>
                <w:highlight w:val="none"/>
                <w:lang w:val="zh-CN"/>
              </w:rPr>
              <w:t>要求</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须具备</w:t>
            </w:r>
            <w:r>
              <w:rPr>
                <w:rFonts w:hint="eastAsia" w:ascii="宋体" w:hAnsi="宋体" w:cs="宋体"/>
                <w:b/>
                <w:bCs/>
                <w:color w:val="auto"/>
                <w:highlight w:val="none"/>
                <w:u w:val="single"/>
              </w:rPr>
              <w:t>建筑工程施工总承包三级以上（含三级）资质</w:t>
            </w:r>
            <w:r>
              <w:rPr>
                <w:rFonts w:hint="eastAsia" w:ascii="宋体" w:hAnsi="宋体" w:cs="宋体"/>
                <w:color w:val="auto"/>
                <w:highlight w:val="none"/>
              </w:rPr>
              <w:t>，且同时具有《安全生产许可证》，并在人员、设备、资金等方面具备相应的施工能力。</w:t>
            </w:r>
          </w:p>
          <w:p w14:paraId="724EDCE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（2）项目经理：</w:t>
            </w:r>
            <w:r>
              <w:rPr>
                <w:rFonts w:hint="eastAsia" w:asciiTheme="minorEastAsia" w:hAnsiTheme="minorEastAsia" w:eastAsiaTheme="minorEastAsia" w:cstheme="minorEastAsia"/>
                <w:color w:val="auto"/>
                <w:highlight w:val="none"/>
              </w:rPr>
              <w:t>供应商</w:t>
            </w:r>
            <w:r>
              <w:rPr>
                <w:rFonts w:hint="eastAsia" w:ascii="宋体" w:hAnsi="宋体" w:cs="宋体"/>
                <w:color w:val="auto"/>
                <w:highlight w:val="none"/>
              </w:rPr>
              <w:t>拟派项目经理须具备</w:t>
            </w:r>
            <w:r>
              <w:rPr>
                <w:rFonts w:hint="eastAsia" w:ascii="宋体" w:hAnsi="宋体" w:cs="宋体"/>
                <w:b/>
                <w:bCs/>
                <w:color w:val="auto"/>
                <w:highlight w:val="none"/>
                <w:u w:val="single"/>
              </w:rPr>
              <w:t>建筑工程专业二级以上（含二级）</w:t>
            </w:r>
            <w:r>
              <w:rPr>
                <w:rFonts w:hint="eastAsia" w:ascii="宋体" w:hAnsi="宋体" w:cs="宋体"/>
                <w:color w:val="auto"/>
                <w:highlight w:val="none"/>
              </w:rPr>
              <w:t>注册建造师执业资格，具备有效的安全生产考核合格证书（B类）。本项目不接受有在建、已中标未开工或已列为其他项目中标候选人第一名的建造师作为项目经理</w:t>
            </w:r>
            <w:r>
              <w:rPr>
                <w:rFonts w:hint="eastAsia" w:ascii="宋体" w:hAnsi="宋体" w:cs="宋体"/>
                <w:color w:val="auto"/>
                <w:kern w:val="0"/>
                <w:highlight w:val="none"/>
              </w:rPr>
              <w:t>（</w:t>
            </w:r>
            <w:r>
              <w:rPr>
                <w:rFonts w:hint="eastAsia" w:ascii="宋体" w:hAnsi="宋体" w:cs="宋体"/>
                <w:color w:val="auto"/>
                <w:highlight w:val="none"/>
              </w:rPr>
              <w:t>符合《广西壮族自治区建筑市场诚信卡管理暂行办法》第十六条第一款及桂建管﹝</w:t>
            </w:r>
            <w:r>
              <w:rPr>
                <w:rFonts w:hint="eastAsia" w:ascii="宋体" w:hAnsi="宋体" w:cs="宋体"/>
                <w:color w:val="auto"/>
                <w:kern w:val="0"/>
                <w:highlight w:val="none"/>
              </w:rPr>
              <w:t>2016</w:t>
            </w:r>
            <w:r>
              <w:rPr>
                <w:rFonts w:hint="eastAsia" w:ascii="宋体" w:hAnsi="宋体" w:cs="宋体"/>
                <w:color w:val="auto"/>
                <w:highlight w:val="none"/>
              </w:rPr>
              <w:t>﹞70号</w:t>
            </w:r>
            <w:r>
              <w:rPr>
                <w:rFonts w:hint="eastAsia" w:ascii="宋体" w:hAnsi="宋体" w:cs="宋体"/>
                <w:color w:val="auto"/>
                <w:kern w:val="0"/>
                <w:highlight w:val="none"/>
              </w:rPr>
              <w:t>、桂建管〔2020〕11号文除</w:t>
            </w:r>
            <w:r>
              <w:rPr>
                <w:rFonts w:hint="eastAsia" w:ascii="宋体" w:hAnsi="宋体" w:cs="宋体"/>
                <w:color w:val="auto"/>
                <w:highlight w:val="none"/>
              </w:rPr>
              <w:t>外）。</w:t>
            </w:r>
          </w:p>
          <w:p w14:paraId="632F1301">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3）专职安全生产管理人员要求：专职安全生产管理人员须具备有效的安全生产考核合格证书（C类），人数符合住房城乡建设部《建筑施工企业、工程项目安全生产管理机构设置及安全生产管理人员配备办法》（建质规〔2025〕3号</w:t>
            </w:r>
            <w:r>
              <w:rPr>
                <w:rFonts w:hint="eastAsia" w:ascii="宋体" w:hAnsi="宋体" w:cs="宋体"/>
                <w:color w:val="auto"/>
                <w:highlight w:val="none"/>
                <w:lang w:eastAsia="zh-CN"/>
              </w:rPr>
              <w:t>）</w:t>
            </w:r>
            <w:r>
              <w:rPr>
                <w:rFonts w:hint="eastAsia" w:ascii="宋体" w:hAnsi="宋体" w:cs="宋体"/>
                <w:color w:val="auto"/>
                <w:highlight w:val="none"/>
              </w:rPr>
              <w:t>的规定不少于</w:t>
            </w:r>
            <w:r>
              <w:rPr>
                <w:rFonts w:hint="eastAsia" w:ascii="宋体" w:hAnsi="宋体" w:cs="宋体"/>
                <w:color w:val="auto"/>
                <w:highlight w:val="none"/>
                <w:lang w:val="en-US" w:eastAsia="zh-CN"/>
              </w:rPr>
              <w:t>2</w:t>
            </w:r>
            <w:r>
              <w:rPr>
                <w:rFonts w:hint="eastAsia" w:ascii="宋体" w:hAnsi="宋体" w:cs="宋体"/>
                <w:color w:val="auto"/>
                <w:highlight w:val="none"/>
              </w:rPr>
              <w:t>人。</w:t>
            </w:r>
          </w:p>
          <w:p w14:paraId="3D614C31">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4. 本项目的特定条件：无</w:t>
            </w:r>
          </w:p>
          <w:p w14:paraId="7FDE82E6">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AF2A3AC">
            <w:pPr>
              <w:spacing w:line="400" w:lineRule="exact"/>
              <w:ind w:firstLine="420" w:firstLineChars="200"/>
              <w:rPr>
                <w:rFonts w:hint="eastAsia" w:ascii="宋体" w:hAnsi="宋体" w:cs="仿宋"/>
                <w:color w:val="auto"/>
                <w:highlight w:val="none"/>
              </w:rPr>
            </w:pPr>
            <w:r>
              <w:rPr>
                <w:rFonts w:hint="eastAsia" w:ascii="宋体" w:hAnsi="宋体" w:cs="仿宋"/>
                <w:color w:val="auto"/>
                <w:highlight w:val="none"/>
              </w:rPr>
              <w:t>6. 对在中国裁判文书网(https://wenshu.court.gov.cn/)、“信用中国”网站(www.creditchina.gov.cn)被列入失信被执行人、重大税收违法案件当事人名单、政府采购严重违法失信行为记录名单及其他不符合《中华人民共和国政府采购法》第二十二条规定条件的供应商，不得参与本次政府采购活动。</w:t>
            </w:r>
          </w:p>
          <w:p w14:paraId="303BCE5A">
            <w:pPr>
              <w:spacing w:line="400" w:lineRule="exact"/>
              <w:ind w:firstLine="420" w:firstLineChars="200"/>
              <w:rPr>
                <w:rFonts w:hint="eastAsia" w:asciiTheme="minorEastAsia" w:hAnsiTheme="minorEastAsia" w:eastAsiaTheme="minorEastAsia" w:cstheme="minorEastAsia"/>
                <w:color w:val="auto"/>
                <w:highlight w:val="none"/>
              </w:rPr>
            </w:pPr>
            <w:r>
              <w:rPr>
                <w:rFonts w:hint="eastAsia" w:ascii="宋体" w:hAnsi="宋体" w:cs="仿宋"/>
                <w:color w:val="auto"/>
                <w:highlight w:val="none"/>
              </w:rPr>
              <w:t>7.联合体：本项目不接受联合体竞标。</w:t>
            </w:r>
          </w:p>
        </w:tc>
      </w:tr>
      <w:tr w14:paraId="3ED4C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93" w:type="dxa"/>
            <w:vAlign w:val="center"/>
          </w:tcPr>
          <w:p w14:paraId="71ACA901">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8813" w:type="dxa"/>
            <w:vAlign w:val="center"/>
          </w:tcPr>
          <w:p w14:paraId="5462ED95">
            <w:pPr>
              <w:spacing w:line="400" w:lineRule="exact"/>
              <w:rPr>
                <w:rFonts w:hint="eastAsia" w:ascii="宋体" w:hAnsi="宋体" w:cs="仿宋"/>
                <w:color w:val="auto"/>
                <w:highlight w:val="none"/>
              </w:rPr>
            </w:pPr>
            <w:r>
              <w:rPr>
                <w:rFonts w:hint="eastAsia" w:ascii="宋体" w:hAnsi="宋体" w:cs="宋体"/>
                <w:color w:val="auto"/>
                <w:highlight w:val="none"/>
              </w:rPr>
              <w:t>是否允许分包：不允许</w:t>
            </w:r>
          </w:p>
        </w:tc>
      </w:tr>
      <w:tr w14:paraId="1E06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3" w:hRule="atLeast"/>
          <w:jc w:val="center"/>
        </w:trPr>
        <w:tc>
          <w:tcPr>
            <w:tcW w:w="1093" w:type="dxa"/>
            <w:vAlign w:val="center"/>
          </w:tcPr>
          <w:p w14:paraId="49A275B8">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8813" w:type="dxa"/>
            <w:vAlign w:val="center"/>
          </w:tcPr>
          <w:p w14:paraId="5B89EBBF">
            <w:pPr>
              <w:snapToGrid w:val="0"/>
              <w:spacing w:line="400" w:lineRule="exact"/>
              <w:jc w:val="lef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资格证明文件</w:t>
            </w:r>
          </w:p>
          <w:p w14:paraId="15CEAEFA">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（1）供应商为法人或者其他组织的提供其营业执照等证明文件（如营业执照或者事业单位法人证书或者执业许可证等），供应商为自然人的提供其身份证复印件；</w:t>
            </w:r>
            <w:r>
              <w:rPr>
                <w:rFonts w:hint="eastAsia" w:asciiTheme="minorEastAsia" w:hAnsiTheme="minorEastAsia" w:eastAsiaTheme="minorEastAsia" w:cstheme="minorEastAsia"/>
                <w:b/>
                <w:bCs/>
                <w:color w:val="auto"/>
                <w:highlight w:val="none"/>
              </w:rPr>
              <w:t>（必须提供，否则响应文件按无效响应处理）</w:t>
            </w:r>
          </w:p>
          <w:p w14:paraId="20311D77">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（2）供应商有效的资质证书、安全生产许可证复印件；</w:t>
            </w:r>
            <w:r>
              <w:rPr>
                <w:rFonts w:hint="eastAsia" w:asciiTheme="minorEastAsia" w:hAnsiTheme="minorEastAsia" w:eastAsiaTheme="minorEastAsia" w:cstheme="minorEastAsia"/>
                <w:b/>
                <w:bCs/>
                <w:color w:val="auto"/>
                <w:highlight w:val="none"/>
              </w:rPr>
              <w:t>（必须提供，否则响应文件按无效响应处理）</w:t>
            </w:r>
          </w:p>
          <w:p w14:paraId="554CC243">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（3）项目经理:有效的注册建造师资质证书、安全生产考核合格证书（B类）复印件；</w:t>
            </w:r>
            <w:r>
              <w:rPr>
                <w:rFonts w:hint="eastAsia" w:asciiTheme="minorEastAsia" w:hAnsiTheme="minorEastAsia" w:eastAsiaTheme="minorEastAsia" w:cstheme="minorEastAsia"/>
                <w:b/>
                <w:bCs/>
                <w:color w:val="auto"/>
                <w:highlight w:val="none"/>
              </w:rPr>
              <w:t>（必须提供，否则响应文件按无效响应处理）</w:t>
            </w:r>
          </w:p>
          <w:p w14:paraId="2C1537DC">
            <w:pPr>
              <w:pStyle w:val="16"/>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（4）专职安全生产管理人员：有效的安全员证书及安全生产考核合格证书(C类)复印件；</w:t>
            </w:r>
            <w:r>
              <w:rPr>
                <w:rFonts w:hint="eastAsia" w:asciiTheme="minorEastAsia" w:hAnsiTheme="minorEastAsia" w:eastAsiaTheme="minorEastAsia" w:cstheme="minorEastAsia"/>
                <w:b/>
                <w:bCs/>
                <w:color w:val="auto"/>
                <w:highlight w:val="none"/>
              </w:rPr>
              <w:t>（必须提供，否则响应文件按无效响应处理）</w:t>
            </w:r>
          </w:p>
          <w:p w14:paraId="600E6001">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依法缴纳税收的相关材料（开标截止之日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w:t>
            </w: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个月的依法缴纳税收的凭据复印件；依法免税的供应商，必须提供相应文件证明其依法免税。从成立之日起到</w:t>
            </w:r>
            <w:r>
              <w:rPr>
                <w:rFonts w:hint="eastAsia" w:asciiTheme="minorEastAsia" w:hAnsiTheme="minorEastAsia" w:eastAsiaTheme="minorEastAsia" w:cstheme="minorEastAsia"/>
                <w:color w:val="auto"/>
                <w:highlight w:val="none"/>
                <w:lang w:val="en-US" w:eastAsia="zh-CN"/>
              </w:rPr>
              <w:t>响应</w:t>
            </w:r>
            <w:r>
              <w:rPr>
                <w:rFonts w:hint="eastAsia" w:asciiTheme="minorEastAsia" w:hAnsiTheme="minorEastAsia" w:eastAsiaTheme="minorEastAsia" w:cstheme="minorEastAsia"/>
                <w:color w:val="auto"/>
                <w:highlight w:val="none"/>
              </w:rPr>
              <w:t>文件提交截止时间止不足要求月数的，只需提供从成立之日起的依法缴纳税收相应证明文件）；</w:t>
            </w:r>
            <w:r>
              <w:rPr>
                <w:rFonts w:hint="eastAsia" w:asciiTheme="minorEastAsia" w:hAnsiTheme="minorEastAsia" w:eastAsiaTheme="minorEastAsia" w:cstheme="minorEastAsia"/>
                <w:b/>
                <w:bCs/>
                <w:color w:val="auto"/>
                <w:highlight w:val="none"/>
              </w:rPr>
              <w:t>（必须提供，否则按无效响应处理）</w:t>
            </w:r>
          </w:p>
          <w:p w14:paraId="032C49F6">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依法缴纳社会保障资金的相关材料[开标截止之日</w:t>
            </w:r>
            <w:r>
              <w:rPr>
                <w:rFonts w:hint="eastAsia" w:asciiTheme="minorEastAsia" w:hAnsiTheme="minorEastAsia" w:eastAsiaTheme="minorEastAsia" w:cstheme="minorEastAsia"/>
                <w:color w:val="auto"/>
                <w:highlight w:val="none"/>
                <w:lang w:val="en-US" w:eastAsia="zh-CN"/>
              </w:rPr>
              <w:t>前</w:t>
            </w:r>
            <w:r>
              <w:rPr>
                <w:rFonts w:hint="eastAsia" w:asciiTheme="minorEastAsia" w:hAnsiTheme="minorEastAsia" w:eastAsiaTheme="minorEastAsia" w:cstheme="minorEastAsia"/>
                <w:color w:val="auto"/>
                <w:highlight w:val="none"/>
              </w:rPr>
              <w:t>半年内任意</w:t>
            </w: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个月的依法缴纳社会保障资金的缴费凭证（专用收据或者社会保险缴纳清单）复印件；依法不需要缴纳社会保障资金的供应商，必须提供相应文件证明不需要缴纳社会保障资金。从成立之日起到</w:t>
            </w:r>
            <w:r>
              <w:rPr>
                <w:rFonts w:hint="eastAsia" w:asciiTheme="minorEastAsia" w:hAnsiTheme="minorEastAsia" w:eastAsiaTheme="minorEastAsia" w:cstheme="minorEastAsia"/>
                <w:color w:val="auto"/>
                <w:highlight w:val="none"/>
                <w:lang w:val="en-US" w:eastAsia="zh-CN"/>
              </w:rPr>
              <w:t>响应</w:t>
            </w:r>
            <w:r>
              <w:rPr>
                <w:rFonts w:hint="eastAsia" w:asciiTheme="minorEastAsia" w:hAnsiTheme="minorEastAsia" w:eastAsiaTheme="minorEastAsia" w:cstheme="minorEastAsia"/>
                <w:color w:val="auto"/>
                <w:highlight w:val="none"/>
              </w:rPr>
              <w:t>文件提交截止时间止不足要求月数的只需提供从成立之日起的依法缴纳社会保障资金的相应证明文件]；</w:t>
            </w:r>
            <w:r>
              <w:rPr>
                <w:rFonts w:hint="eastAsia" w:asciiTheme="minorEastAsia" w:hAnsiTheme="minorEastAsia" w:eastAsiaTheme="minorEastAsia" w:cstheme="minorEastAsia"/>
                <w:b/>
                <w:bCs/>
                <w:color w:val="auto"/>
                <w:highlight w:val="none"/>
              </w:rPr>
              <w:t>（必须提供，否则按无效</w:t>
            </w: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处理）</w:t>
            </w:r>
          </w:p>
          <w:p w14:paraId="281DB7DB">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财务状况报告（202</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年度</w:t>
            </w:r>
            <w:r>
              <w:rPr>
                <w:rFonts w:hint="eastAsia" w:asciiTheme="minorEastAsia" w:hAnsiTheme="minorEastAsia" w:eastAsiaTheme="minorEastAsia" w:cstheme="minorEastAsia"/>
                <w:color w:val="auto"/>
                <w:highlight w:val="none"/>
                <w:lang w:val="en-US" w:eastAsia="zh-CN"/>
              </w:rPr>
              <w:t>或2025年度</w:t>
            </w:r>
            <w:r>
              <w:rPr>
                <w:rFonts w:hint="eastAsia" w:asciiTheme="minorEastAsia" w:hAnsiTheme="minorEastAsia" w:eastAsiaTheme="minorEastAsia" w:cstheme="minorEastAsia"/>
                <w:color w:val="auto"/>
                <w:highlight w:val="none"/>
              </w:rPr>
              <w:t>财务报表复印件或者银行出具的资信证明；</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属于成立时间在规定年度之后的法人或其他组织，需提供成立之日起至投标截止时间前的月报表或银行出具的资信证明；资信证明应在有效期内，未注明有效期的，银行出具时间至投标截止时间不超过一年）；</w:t>
            </w:r>
            <w:r>
              <w:rPr>
                <w:rFonts w:hint="eastAsia" w:asciiTheme="minorEastAsia" w:hAnsiTheme="minorEastAsia" w:eastAsiaTheme="minorEastAsia" w:cstheme="minorEastAsia"/>
                <w:b/>
                <w:bCs/>
                <w:color w:val="auto"/>
                <w:highlight w:val="none"/>
              </w:rPr>
              <w:t>（必须提供，否则按无效</w:t>
            </w:r>
            <w:r>
              <w:rPr>
                <w:rFonts w:hint="eastAsia" w:asciiTheme="minorEastAsia" w:hAnsiTheme="minorEastAsia" w:eastAsiaTheme="minorEastAsia" w:cstheme="minorEastAsia"/>
                <w:b/>
                <w:bCs/>
                <w:color w:val="auto"/>
                <w:highlight w:val="none"/>
                <w:lang w:val="en-US" w:eastAsia="zh-CN"/>
              </w:rPr>
              <w:t>响应</w:t>
            </w:r>
            <w:r>
              <w:rPr>
                <w:rFonts w:hint="eastAsia" w:asciiTheme="minorEastAsia" w:hAnsiTheme="minorEastAsia" w:eastAsiaTheme="minorEastAsia" w:cstheme="minorEastAsia"/>
                <w:b/>
                <w:bCs/>
                <w:color w:val="auto"/>
                <w:highlight w:val="none"/>
              </w:rPr>
              <w:t>处理）</w:t>
            </w:r>
          </w:p>
          <w:p w14:paraId="46D2F261">
            <w:pPr>
              <w:pStyle w:val="129"/>
              <w:spacing w:line="400" w:lineRule="exact"/>
              <w:ind w:firstLine="422" w:firstLineChars="200"/>
              <w:rPr>
                <w:rFonts w:hint="eastAsia" w:ascii="宋体" w:hAnsi="宋体" w:cs="宋体"/>
                <w:color w:val="auto"/>
                <w:szCs w:val="21"/>
                <w:highlight w:val="none"/>
              </w:rPr>
            </w:pPr>
            <w:r>
              <w:rPr>
                <w:rFonts w:hint="eastAsia" w:asciiTheme="minorEastAsia" w:hAnsiTheme="minorEastAsia" w:eastAsiaTheme="minorEastAsia" w:cstheme="minorEastAsia"/>
                <w:b/>
                <w:color w:val="auto"/>
                <w:sz w:val="21"/>
                <w:szCs w:val="21"/>
                <w:highlight w:val="none"/>
              </w:rPr>
              <w:t>注：以上标明“必须提供”的材料属于复印件的扫描件的，必须加盖供应商电子公章，否则响应文件按无效响应处理。</w:t>
            </w:r>
          </w:p>
        </w:tc>
      </w:tr>
      <w:tr w14:paraId="294F5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8" w:hRule="atLeast"/>
          <w:jc w:val="center"/>
        </w:trPr>
        <w:tc>
          <w:tcPr>
            <w:tcW w:w="1093" w:type="dxa"/>
            <w:vAlign w:val="center"/>
          </w:tcPr>
          <w:p w14:paraId="17F1E10B">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8813" w:type="dxa"/>
            <w:vAlign w:val="center"/>
          </w:tcPr>
          <w:p w14:paraId="5752D5FF">
            <w:pPr>
              <w:pStyle w:val="129"/>
              <w:tabs>
                <w:tab w:val="left" w:pos="733"/>
              </w:tabs>
              <w:spacing w:before="45" w:line="400" w:lineRule="exact"/>
              <w:ind w:right="240"/>
              <w:rPr>
                <w:rFonts w:ascii="Times New Roman" w:eastAsia="宋体" w:cs="Times New Roman"/>
                <w:b/>
                <w:bCs/>
                <w:color w:val="auto"/>
                <w:kern w:val="2"/>
                <w:sz w:val="21"/>
                <w:szCs w:val="21"/>
                <w:highlight w:val="none"/>
              </w:rPr>
            </w:pPr>
            <w:r>
              <w:rPr>
                <w:rFonts w:hint="eastAsia" w:ascii="Times New Roman" w:eastAsia="宋体" w:cs="Times New Roman"/>
                <w:b/>
                <w:bCs/>
                <w:color w:val="auto"/>
                <w:kern w:val="2"/>
                <w:sz w:val="21"/>
                <w:szCs w:val="21"/>
                <w:highlight w:val="none"/>
              </w:rPr>
              <w:t>商务文件</w:t>
            </w:r>
          </w:p>
          <w:p w14:paraId="02E02390">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法定代表人身份证明书；</w:t>
            </w:r>
            <w:r>
              <w:rPr>
                <w:rFonts w:hint="eastAsia" w:asciiTheme="minorEastAsia" w:hAnsiTheme="minorEastAsia" w:eastAsiaTheme="minorEastAsia" w:cstheme="minorEastAsia"/>
                <w:b/>
                <w:bCs/>
                <w:color w:val="auto"/>
                <w:highlight w:val="none"/>
              </w:rPr>
              <w:t>（格式后附，必须提供，否则响应文件按无效响应处理）</w:t>
            </w:r>
          </w:p>
          <w:p w14:paraId="3CF85A5D">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响应文件签署授权委托书原件及委托代理人身份证正反面复印件；</w:t>
            </w:r>
            <w:r>
              <w:rPr>
                <w:rFonts w:hint="eastAsia" w:asciiTheme="minorEastAsia" w:hAnsiTheme="minorEastAsia" w:eastAsiaTheme="minorEastAsia" w:cstheme="minorEastAsia"/>
                <w:b/>
                <w:bCs/>
                <w:color w:val="auto"/>
                <w:highlight w:val="none"/>
              </w:rPr>
              <w:t>（格式后附，</w:t>
            </w:r>
            <w:r>
              <w:rPr>
                <w:rFonts w:hint="eastAsia" w:asciiTheme="minorEastAsia" w:hAnsiTheme="minorEastAsia" w:eastAsiaTheme="minorEastAsia" w:cstheme="minorEastAsia"/>
                <w:b/>
                <w:bCs/>
                <w:color w:val="auto"/>
                <w:highlight w:val="none"/>
                <w:lang w:val="en-US" w:eastAsia="zh-CN"/>
              </w:rPr>
              <w:t>委托时</w:t>
            </w:r>
            <w:r>
              <w:rPr>
                <w:rFonts w:hint="eastAsia" w:asciiTheme="minorEastAsia" w:hAnsiTheme="minorEastAsia" w:eastAsiaTheme="minorEastAsia" w:cstheme="minorEastAsia"/>
                <w:b/>
                <w:bCs/>
                <w:color w:val="auto"/>
                <w:highlight w:val="none"/>
              </w:rPr>
              <w:t>必须提供，否则响应文件按无效响应处理）</w:t>
            </w:r>
          </w:p>
          <w:p w14:paraId="2866A517">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农民工工资保障金的交纳与使用承诺书；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3F306A9B">
            <w:pPr>
              <w:numPr>
                <w:ilvl w:val="0"/>
                <w:numId w:val="7"/>
              </w:numPr>
              <w:spacing w:line="40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highlight w:val="none"/>
              </w:rPr>
              <w:t>建设工程项目管理承诺书；</w:t>
            </w:r>
            <w:r>
              <w:rPr>
                <w:rFonts w:hint="eastAsia" w:asciiTheme="minorEastAsia" w:hAnsiTheme="minorEastAsia" w:eastAsiaTheme="minorEastAsia" w:cstheme="minorEastAsia"/>
                <w:b/>
                <w:bCs/>
                <w:color w:val="auto"/>
                <w:highlight w:val="none"/>
              </w:rPr>
              <w:t>（格式后附，必须提供，否则响应文件按无效响应处理）</w:t>
            </w:r>
          </w:p>
          <w:p w14:paraId="2E9C8D40">
            <w:pPr>
              <w:numPr>
                <w:ilvl w:val="0"/>
                <w:numId w:val="7"/>
              </w:numPr>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供应商认为需要提供的其他有关资料。（如有请提供）</w:t>
            </w:r>
          </w:p>
          <w:p w14:paraId="03344A45">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6471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1093" w:type="dxa"/>
            <w:vAlign w:val="center"/>
          </w:tcPr>
          <w:p w14:paraId="7D29302E">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8813" w:type="dxa"/>
            <w:vAlign w:val="center"/>
          </w:tcPr>
          <w:p w14:paraId="1D30A0DB">
            <w:pPr>
              <w:spacing w:line="400" w:lineRule="exact"/>
              <w:rPr>
                <w:b/>
                <w:bCs/>
                <w:color w:val="auto"/>
                <w:highlight w:val="none"/>
              </w:rPr>
            </w:pPr>
            <w:r>
              <w:rPr>
                <w:rFonts w:hint="eastAsia"/>
                <w:b/>
                <w:bCs/>
                <w:color w:val="auto"/>
                <w:highlight w:val="none"/>
              </w:rPr>
              <w:t>技术文件</w:t>
            </w:r>
          </w:p>
          <w:p w14:paraId="4E553D07">
            <w:pPr>
              <w:spacing w:line="400" w:lineRule="exact"/>
              <w:rPr>
                <w:color w:val="auto"/>
                <w:highlight w:val="none"/>
              </w:rPr>
            </w:pPr>
            <w:r>
              <w:rPr>
                <w:rFonts w:hint="eastAsia"/>
                <w:color w:val="auto"/>
                <w:highlight w:val="none"/>
              </w:rPr>
              <w:t>（1）施工组织设计；</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格式自拟，</w:t>
            </w:r>
            <w:r>
              <w:rPr>
                <w:rFonts w:hint="eastAsia" w:asciiTheme="minorEastAsia" w:hAnsiTheme="minorEastAsia" w:eastAsiaTheme="minorEastAsia" w:cstheme="minorEastAsia"/>
                <w:color w:val="auto"/>
                <w:spacing w:val="2"/>
                <w:highlight w:val="none"/>
              </w:rPr>
              <w:t>如有请提供)</w:t>
            </w:r>
          </w:p>
          <w:p w14:paraId="380AE22B">
            <w:pPr>
              <w:spacing w:line="400" w:lineRule="exact"/>
              <w:rPr>
                <w:color w:val="auto"/>
                <w:highlight w:val="none"/>
              </w:rPr>
            </w:pPr>
            <w:r>
              <w:rPr>
                <w:rFonts w:hint="eastAsia"/>
                <w:color w:val="auto"/>
                <w:highlight w:val="none"/>
              </w:rPr>
              <w:t>（2）项目管理机构；</w:t>
            </w:r>
          </w:p>
          <w:p w14:paraId="569A1F05">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1 \* GB3 </w:instrText>
            </w:r>
            <w:r>
              <w:rPr>
                <w:rFonts w:hint="eastAsia"/>
                <w:color w:val="auto"/>
                <w:highlight w:val="none"/>
              </w:rPr>
              <w:fldChar w:fldCharType="separate"/>
            </w:r>
            <w:r>
              <w:rPr>
                <w:rFonts w:hint="eastAsia"/>
                <w:color w:val="auto"/>
                <w:highlight w:val="none"/>
              </w:rPr>
              <w:t>①</w:t>
            </w:r>
            <w:r>
              <w:rPr>
                <w:rFonts w:hint="eastAsia"/>
                <w:color w:val="auto"/>
                <w:highlight w:val="none"/>
              </w:rPr>
              <w:fldChar w:fldCharType="end"/>
            </w:r>
            <w:r>
              <w:rPr>
                <w:rFonts w:hint="eastAsia"/>
                <w:color w:val="auto"/>
                <w:highlight w:val="none"/>
              </w:rPr>
              <w:t>项目管理机构配备情况表；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68F28316">
            <w:pPr>
              <w:spacing w:line="400" w:lineRule="exact"/>
              <w:ind w:firstLine="210" w:firstLineChars="100"/>
              <w:rPr>
                <w:color w:val="auto"/>
                <w:highlight w:val="none"/>
              </w:rPr>
            </w:pPr>
            <w:r>
              <w:rPr>
                <w:rFonts w:hint="eastAsia"/>
                <w:color w:val="auto"/>
                <w:highlight w:val="none"/>
              </w:rPr>
              <w:fldChar w:fldCharType="begin"/>
            </w:r>
            <w:r>
              <w:rPr>
                <w:rFonts w:hint="eastAsia"/>
                <w:color w:val="auto"/>
                <w:highlight w:val="none"/>
              </w:rPr>
              <w:instrText xml:space="preserve"> = 2 \* GB3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项目经理（注册建造师）简历表；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36E6CBC3">
            <w:pPr>
              <w:spacing w:line="400" w:lineRule="exact"/>
              <w:ind w:firstLine="210" w:firstLineChars="100"/>
              <w:rPr>
                <w:rFonts w:hint="eastAsia" w:asciiTheme="minorEastAsia" w:hAnsiTheme="minorEastAsia" w:eastAsiaTheme="minorEastAsia" w:cstheme="minorEastAsia"/>
                <w:color w:val="auto"/>
                <w:spacing w:val="2"/>
                <w:highlight w:val="none"/>
              </w:rPr>
            </w:pPr>
            <w:r>
              <w:rPr>
                <w:rFonts w:hint="eastAsia"/>
                <w:color w:val="auto"/>
                <w:highlight w:val="none"/>
              </w:rPr>
              <w:fldChar w:fldCharType="begin"/>
            </w:r>
            <w:r>
              <w:rPr>
                <w:rFonts w:hint="eastAsia"/>
                <w:color w:val="auto"/>
                <w:highlight w:val="none"/>
              </w:rPr>
              <w:instrText xml:space="preserve"> = 3 \* GB3 </w:instrText>
            </w:r>
            <w:r>
              <w:rPr>
                <w:rFonts w:hint="eastAsia"/>
                <w:color w:val="auto"/>
                <w:highlight w:val="none"/>
              </w:rPr>
              <w:fldChar w:fldCharType="separate"/>
            </w:r>
            <w:r>
              <w:rPr>
                <w:rFonts w:hint="eastAsia"/>
                <w:color w:val="auto"/>
                <w:highlight w:val="none"/>
              </w:rPr>
              <w:t>③</w:t>
            </w:r>
            <w:r>
              <w:rPr>
                <w:rFonts w:hint="eastAsia"/>
                <w:color w:val="auto"/>
                <w:highlight w:val="none"/>
              </w:rPr>
              <w:fldChar w:fldCharType="end"/>
            </w:r>
            <w:r>
              <w:rPr>
                <w:rFonts w:hint="eastAsia"/>
                <w:color w:val="auto"/>
                <w:highlight w:val="none"/>
              </w:rPr>
              <w:t>项目技术负责人简历表；</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p w14:paraId="2AB01C74">
            <w:pPr>
              <w:spacing w:line="400" w:lineRule="exact"/>
              <w:rPr>
                <w:color w:val="auto"/>
                <w:highlight w:val="none"/>
              </w:rPr>
            </w:pPr>
            <w:r>
              <w:rPr>
                <w:rFonts w:hint="eastAsia"/>
                <w:color w:val="auto"/>
                <w:highlight w:val="none"/>
              </w:rPr>
              <w:t>（3）企业业绩。</w:t>
            </w:r>
            <w:r>
              <w:rPr>
                <w:rFonts w:hint="eastAsia" w:asciiTheme="minorEastAsia" w:hAnsiTheme="minorEastAsia" w:eastAsiaTheme="minorEastAsia" w:cstheme="minorEastAsia"/>
                <w:color w:val="auto"/>
                <w:spacing w:val="2"/>
                <w:highlight w:val="none"/>
              </w:rPr>
              <w:t>(</w:t>
            </w:r>
            <w:r>
              <w:rPr>
                <w:rFonts w:hint="eastAsia" w:asciiTheme="minorEastAsia" w:hAnsiTheme="minorEastAsia" w:eastAsiaTheme="minorEastAsia" w:cstheme="minorEastAsia"/>
                <w:color w:val="auto"/>
                <w:highlight w:val="none"/>
              </w:rPr>
              <w:t>格式后附，</w:t>
            </w:r>
            <w:r>
              <w:rPr>
                <w:rFonts w:hint="eastAsia" w:asciiTheme="minorEastAsia" w:hAnsiTheme="minorEastAsia" w:eastAsiaTheme="minorEastAsia" w:cstheme="minorEastAsia"/>
                <w:color w:val="auto"/>
                <w:spacing w:val="2"/>
                <w:highlight w:val="none"/>
              </w:rPr>
              <w:t>如有请提供)</w:t>
            </w:r>
          </w:p>
        </w:tc>
      </w:tr>
      <w:tr w14:paraId="41CC0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jc w:val="center"/>
        </w:trPr>
        <w:tc>
          <w:tcPr>
            <w:tcW w:w="1093" w:type="dxa"/>
            <w:vAlign w:val="center"/>
          </w:tcPr>
          <w:p w14:paraId="5AE7932D">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8813" w:type="dxa"/>
            <w:vAlign w:val="center"/>
          </w:tcPr>
          <w:p w14:paraId="0EFB0A79">
            <w:pPr>
              <w:spacing w:line="400" w:lineRule="exact"/>
              <w:rPr>
                <w:b/>
                <w:bCs/>
                <w:color w:val="auto"/>
                <w:highlight w:val="none"/>
              </w:rPr>
            </w:pPr>
            <w:r>
              <w:rPr>
                <w:rFonts w:hint="eastAsia"/>
                <w:b/>
                <w:bCs/>
                <w:color w:val="auto"/>
                <w:highlight w:val="none"/>
              </w:rPr>
              <w:t>报价文件</w:t>
            </w:r>
          </w:p>
          <w:p w14:paraId="119E1F5C">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（1）磋商函；</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44FB5EBF">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（2）磋商函附表；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6B599BFE">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（3）磋商报价表；</w:t>
            </w:r>
            <w:r>
              <w:rPr>
                <w:rFonts w:hint="eastAsia" w:asciiTheme="minorEastAsia" w:hAnsiTheme="minorEastAsia" w:eastAsiaTheme="minorEastAsia" w:cstheme="minorEastAsia"/>
                <w:b/>
                <w:bCs/>
                <w:color w:val="auto"/>
                <w:spacing w:val="2"/>
                <w:highlight w:val="none"/>
              </w:rPr>
              <w:t>（格式后附，必须提供，否则响应文件按无效响应处理）</w:t>
            </w:r>
          </w:p>
          <w:p w14:paraId="4912BAF9">
            <w:pPr>
              <w:spacing w:line="40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color w:val="auto"/>
                <w:spacing w:val="2"/>
                <w:highlight w:val="none"/>
              </w:rPr>
              <w:t>（4）已标价的工程量清单报价有关材料。</w:t>
            </w:r>
            <w:r>
              <w:rPr>
                <w:rFonts w:hint="eastAsia" w:asciiTheme="minorEastAsia" w:hAnsiTheme="minorEastAsia" w:eastAsiaTheme="minorEastAsia" w:cstheme="minorEastAsia"/>
                <w:b/>
                <w:bCs/>
                <w:color w:val="auto"/>
                <w:spacing w:val="2"/>
                <w:highlight w:val="none"/>
              </w:rPr>
              <w:t>(</w:t>
            </w:r>
            <w:r>
              <w:rPr>
                <w:rFonts w:hint="eastAsia" w:asciiTheme="minorEastAsia" w:hAnsiTheme="minorEastAsia" w:eastAsiaTheme="minorEastAsia" w:cstheme="minorEastAsia"/>
                <w:b/>
                <w:bCs/>
                <w:color w:val="auto"/>
                <w:highlight w:val="none"/>
              </w:rPr>
              <w:t>格式自拟，</w:t>
            </w:r>
            <w:r>
              <w:rPr>
                <w:rFonts w:hint="eastAsia" w:asciiTheme="minorEastAsia" w:hAnsiTheme="minorEastAsia" w:eastAsiaTheme="minorEastAsia" w:cstheme="minorEastAsia"/>
                <w:b/>
                <w:bCs/>
                <w:color w:val="auto"/>
                <w:spacing w:val="2"/>
                <w:highlight w:val="none"/>
              </w:rPr>
              <w:t>必须提供，否则响应文件按无效响应处理)</w:t>
            </w:r>
          </w:p>
          <w:p w14:paraId="5C48893D">
            <w:pPr>
              <w:pStyle w:val="16"/>
              <w:spacing w:line="40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spacing w:val="2"/>
                <w:highlight w:val="none"/>
              </w:rPr>
              <w:t>（5）</w:t>
            </w:r>
            <w:r>
              <w:rPr>
                <w:rFonts w:hint="eastAsia" w:asciiTheme="minorEastAsia" w:hAnsiTheme="minorEastAsia" w:eastAsiaTheme="minorEastAsia" w:cstheme="minorEastAsia"/>
                <w:color w:val="auto"/>
                <w:highlight w:val="none"/>
              </w:rPr>
              <w:t>供应商如为中小微企业或监狱企业或残疾人福利性单位</w:t>
            </w:r>
            <w:r>
              <w:rPr>
                <w:rFonts w:hint="eastAsia" w:ascii="宋体" w:hAnsi="宋体" w:eastAsia="宋体" w:cs="宋体"/>
                <w:b/>
                <w:bCs/>
                <w:i w:val="0"/>
                <w:iCs w:val="0"/>
                <w:caps w:val="0"/>
                <w:color w:val="000000"/>
                <w:spacing w:val="0"/>
                <w:sz w:val="21"/>
                <w:szCs w:val="21"/>
                <w:highlight w:val="none"/>
                <w:shd w:val="clear" w:fill="FFFFFF"/>
              </w:rPr>
              <w:t>（格式后附，必须提供，否则响应文件按无效响应处理）</w:t>
            </w:r>
            <w:r>
              <w:rPr>
                <w:rFonts w:hint="eastAsia" w:asciiTheme="minorEastAsia" w:hAnsiTheme="minorEastAsia" w:eastAsiaTheme="minorEastAsia" w:cstheme="minorEastAsia"/>
                <w:color w:val="auto"/>
                <w:highlight w:val="none"/>
              </w:rPr>
              <w:t>：</w:t>
            </w:r>
          </w:p>
          <w:p w14:paraId="1747D623">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①</w:t>
            </w:r>
            <w:r>
              <w:rPr>
                <w:rFonts w:hint="eastAsia" w:asciiTheme="minorEastAsia" w:hAnsiTheme="minorEastAsia" w:eastAsiaTheme="minorEastAsia" w:cstheme="minorEastAsia"/>
                <w:color w:val="auto"/>
                <w:highlight w:val="none"/>
              </w:rPr>
              <w:t>《中小企业声明函》；</w:t>
            </w:r>
          </w:p>
          <w:p w14:paraId="3998B55E">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②</w:t>
            </w:r>
            <w:r>
              <w:rPr>
                <w:rFonts w:hint="eastAsia" w:asciiTheme="minorEastAsia" w:hAnsiTheme="minorEastAsia" w:eastAsiaTheme="minorEastAsia" w:cstheme="minorEastAsia"/>
                <w:color w:val="auto"/>
                <w:highlight w:val="none"/>
              </w:rPr>
              <w:t>供应商属于监狱企业的，应当提供由省级以上监狱管理局、戒毒管理局等（含新疆生产建设兵团）出具的属于监狱企业的证明文件；</w:t>
            </w:r>
          </w:p>
          <w:p w14:paraId="2EC21F88">
            <w:pPr>
              <w:pStyle w:val="16"/>
              <w:spacing w:line="400" w:lineRule="exact"/>
              <w:ind w:firstLine="420" w:firstLineChars="200"/>
              <w:rPr>
                <w:rFonts w:hint="eastAsia" w:asciiTheme="minorEastAsia" w:hAnsiTheme="minorEastAsia" w:eastAsiaTheme="minorEastAsia" w:cstheme="minorEastAsia"/>
                <w:color w:val="auto"/>
                <w:highlight w:val="none"/>
              </w:rPr>
            </w:pPr>
            <w:r>
              <w:rPr>
                <w:rFonts w:eastAsiaTheme="minorEastAsia"/>
                <w:color w:val="auto"/>
                <w:highlight w:val="none"/>
              </w:rPr>
              <w:t>③</w:t>
            </w:r>
            <w:r>
              <w:rPr>
                <w:rFonts w:hint="eastAsia" w:asciiTheme="minorEastAsia" w:hAnsiTheme="minorEastAsia" w:eastAsiaTheme="minorEastAsia" w:cstheme="minorEastAsia"/>
                <w:color w:val="auto"/>
                <w:highlight w:val="none"/>
              </w:rPr>
              <w:t>符合条件的残疾人福利性单位在参加政府采购活动时，应当提供《残疾人福利性单位声明函》。</w:t>
            </w:r>
          </w:p>
          <w:p w14:paraId="2CE61D70">
            <w:pPr>
              <w:spacing w:line="400" w:lineRule="exact"/>
              <w:ind w:firstLine="422" w:firstLineChars="200"/>
              <w:rPr>
                <w:color w:val="auto"/>
                <w:highlight w:val="none"/>
              </w:rPr>
            </w:pPr>
            <w:r>
              <w:rPr>
                <w:rFonts w:hint="eastAsia" w:asciiTheme="minorEastAsia" w:hAnsiTheme="minorEastAsia" w:eastAsiaTheme="minorEastAsia" w:cstheme="minorEastAsia"/>
                <w:b/>
                <w:bCs/>
                <w:color w:val="auto"/>
                <w:highlight w:val="none"/>
              </w:rPr>
              <w:t>注：以上标明“必须提供”的材料属于复印件的扫描件的，必须加盖供应商电子公章，否则响应文件按无效响应处理。</w:t>
            </w:r>
          </w:p>
        </w:tc>
      </w:tr>
      <w:tr w14:paraId="4F4D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7" w:hRule="atLeast"/>
          <w:jc w:val="center"/>
        </w:trPr>
        <w:tc>
          <w:tcPr>
            <w:tcW w:w="1093" w:type="dxa"/>
            <w:vAlign w:val="center"/>
          </w:tcPr>
          <w:p w14:paraId="47B14725">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8813" w:type="dxa"/>
            <w:vAlign w:val="center"/>
          </w:tcPr>
          <w:p w14:paraId="399755D3">
            <w:pPr>
              <w:snapToGrid w:val="0"/>
              <w:spacing w:line="400" w:lineRule="exact"/>
              <w:jc w:val="left"/>
              <w:rPr>
                <w:rFonts w:hint="eastAsia" w:ascii="宋体" w:hAnsi="宋体" w:cs="宋体"/>
                <w:b/>
                <w:color w:val="auto"/>
                <w:highlight w:val="none"/>
              </w:rPr>
            </w:pPr>
            <w:r>
              <w:rPr>
                <w:rFonts w:hint="eastAsia" w:ascii="宋体" w:hAnsi="宋体" w:cs="宋体"/>
                <w:b/>
                <w:color w:val="auto"/>
                <w:highlight w:val="none"/>
              </w:rPr>
              <w:t>▲特别说明：</w:t>
            </w:r>
          </w:p>
          <w:p w14:paraId="09EB6E71">
            <w:pPr>
              <w:snapToGrid w:val="0"/>
              <w:spacing w:line="400" w:lineRule="exact"/>
              <w:jc w:val="left"/>
              <w:rPr>
                <w:rFonts w:hint="eastAsia" w:ascii="宋体" w:hAnsi="宋体" w:cs="宋体"/>
                <w:color w:val="auto"/>
                <w:highlight w:val="none"/>
              </w:rPr>
            </w:pPr>
            <w:r>
              <w:rPr>
                <w:rFonts w:hint="eastAsia" w:ascii="宋体" w:hAnsi="宋体" w:cs="宋体"/>
                <w:b/>
                <w:color w:val="auto"/>
                <w:highlight w:val="none"/>
              </w:rPr>
              <w:t>（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54ABFEB8">
            <w:pPr>
              <w:spacing w:line="400" w:lineRule="exact"/>
              <w:rPr>
                <w:rFonts w:hint="eastAsia" w:ascii="宋体" w:hAnsi="宋体" w:cs="宋体"/>
                <w:b/>
                <w:color w:val="auto"/>
                <w:highlight w:val="none"/>
              </w:rPr>
            </w:pPr>
            <w:r>
              <w:rPr>
                <w:rFonts w:hint="eastAsia" w:ascii="宋体" w:hAnsi="宋体" w:cs="宋体"/>
                <w:b/>
                <w:color w:val="auto"/>
                <w:highlight w:val="none"/>
              </w:rPr>
              <w:t>（2）竞争性磋商采购文件要求提供的各种复印件，须加盖磋商供应商CA签章，否则其磋商无效。</w:t>
            </w:r>
          </w:p>
          <w:p w14:paraId="1411CC56">
            <w:pPr>
              <w:spacing w:line="400" w:lineRule="exact"/>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7FA29480">
            <w:pPr>
              <w:spacing w:line="400" w:lineRule="exact"/>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097F1996">
            <w:pPr>
              <w:spacing w:line="400" w:lineRule="exact"/>
              <w:rPr>
                <w:rFonts w:hint="eastAsia" w:asciiTheme="minorEastAsia" w:hAnsiTheme="minorEastAsia" w:eastAsiaTheme="minorEastAsia" w:cstheme="minorEastAsia"/>
                <w:color w:val="auto"/>
                <w:spacing w:val="2"/>
                <w:highlight w:val="none"/>
              </w:rPr>
            </w:pPr>
            <w:r>
              <w:rPr>
                <w:rFonts w:hint="eastAsia"/>
                <w:b/>
                <w:color w:val="auto"/>
                <w:highlight w:val="none"/>
              </w:rPr>
              <w:t>（5）以上材料未附格式的，由供应商自行拟定。</w:t>
            </w:r>
          </w:p>
        </w:tc>
      </w:tr>
      <w:tr w14:paraId="23C7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093" w:type="dxa"/>
            <w:vAlign w:val="center"/>
          </w:tcPr>
          <w:p w14:paraId="0883DEAB">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9</w:t>
            </w:r>
          </w:p>
        </w:tc>
        <w:tc>
          <w:tcPr>
            <w:tcW w:w="8813" w:type="dxa"/>
            <w:vAlign w:val="center"/>
          </w:tcPr>
          <w:p w14:paraId="37478C54">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竞标有效期为：</w:t>
            </w:r>
            <w:r>
              <w:rPr>
                <w:rFonts w:hint="eastAsia" w:asciiTheme="minorEastAsia" w:hAnsiTheme="minorEastAsia" w:eastAsiaTheme="minorEastAsia" w:cstheme="minorEastAsia"/>
                <w:b/>
                <w:bCs/>
                <w:color w:val="auto"/>
                <w:spacing w:val="2"/>
                <w:highlight w:val="none"/>
              </w:rPr>
              <w:t>90日历天</w:t>
            </w:r>
          </w:p>
        </w:tc>
      </w:tr>
      <w:tr w14:paraId="79F7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93" w:type="dxa"/>
            <w:vAlign w:val="center"/>
          </w:tcPr>
          <w:p w14:paraId="06E2BC20">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10</w:t>
            </w:r>
          </w:p>
        </w:tc>
        <w:tc>
          <w:tcPr>
            <w:tcW w:w="8813" w:type="dxa"/>
            <w:vAlign w:val="center"/>
          </w:tcPr>
          <w:p w14:paraId="465AC381">
            <w:pPr>
              <w:spacing w:line="400" w:lineRule="exact"/>
              <w:rPr>
                <w:rFonts w:hint="eastAsia" w:asciiTheme="minorEastAsia" w:hAnsiTheme="minorEastAsia" w:eastAsiaTheme="minorEastAsia" w:cstheme="minorEastAsia"/>
                <w:b/>
                <w:color w:val="auto"/>
                <w:spacing w:val="2"/>
                <w:highlight w:val="none"/>
                <w:u w:val="single"/>
              </w:rPr>
            </w:pPr>
            <w:r>
              <w:rPr>
                <w:rFonts w:hint="eastAsia" w:asciiTheme="minorEastAsia" w:hAnsiTheme="minorEastAsia" w:eastAsiaTheme="minorEastAsia" w:cstheme="minorEastAsia"/>
                <w:color w:val="auto"/>
                <w:highlight w:val="none"/>
              </w:rPr>
              <w:t>磋商保证金：</w:t>
            </w:r>
            <w:r>
              <w:rPr>
                <w:rFonts w:hint="eastAsia" w:asciiTheme="minorEastAsia" w:hAnsiTheme="minorEastAsia" w:eastAsiaTheme="minorEastAsia" w:cstheme="minorEastAsia"/>
                <w:color w:val="auto"/>
                <w:highlight w:val="none"/>
                <w:lang w:val="en-US" w:eastAsia="zh-CN"/>
              </w:rPr>
              <w:t>不收取磋商保证金。</w:t>
            </w:r>
          </w:p>
        </w:tc>
      </w:tr>
      <w:tr w14:paraId="6031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093" w:type="dxa"/>
            <w:vAlign w:val="center"/>
          </w:tcPr>
          <w:p w14:paraId="7CE3BF29">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w:t>
            </w:r>
          </w:p>
        </w:tc>
        <w:tc>
          <w:tcPr>
            <w:tcW w:w="8813" w:type="dxa"/>
            <w:vAlign w:val="center"/>
          </w:tcPr>
          <w:p w14:paraId="3E38F311">
            <w:pPr>
              <w:spacing w:line="400" w:lineRule="exact"/>
              <w:rPr>
                <w:rFonts w:hint="eastAsia" w:asciiTheme="minorEastAsia" w:hAnsiTheme="minorEastAsia" w:eastAsiaTheme="minorEastAsia" w:cstheme="minorEastAsia"/>
                <w:color w:val="auto"/>
                <w:spacing w:val="2"/>
                <w:highlight w:val="none"/>
              </w:rPr>
            </w:pPr>
            <w:r>
              <w:rPr>
                <w:rFonts w:hint="eastAsia" w:ascii="宋体" w:hAnsi="宋体"/>
                <w:color w:val="auto"/>
                <w:highlight w:val="none"/>
              </w:rPr>
              <w:t>竞争性磋商响应文件的份数：电子响应文件一份。</w:t>
            </w:r>
          </w:p>
        </w:tc>
      </w:tr>
      <w:tr w14:paraId="1A195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1093" w:type="dxa"/>
            <w:vAlign w:val="center"/>
          </w:tcPr>
          <w:p w14:paraId="082CAA61">
            <w:pPr>
              <w:spacing w:line="400" w:lineRule="exact"/>
              <w:jc w:val="center"/>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12</w:t>
            </w:r>
          </w:p>
        </w:tc>
        <w:tc>
          <w:tcPr>
            <w:tcW w:w="8813" w:type="dxa"/>
            <w:vAlign w:val="center"/>
          </w:tcPr>
          <w:p w14:paraId="0CBAA02F">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b/>
                <w:bCs/>
                <w:color w:val="auto"/>
                <w:spacing w:val="2"/>
                <w:highlight w:val="none"/>
              </w:rPr>
              <w:t>磋商时间：</w:t>
            </w:r>
            <w:r>
              <w:rPr>
                <w:rFonts w:hint="eastAsia" w:asciiTheme="minorEastAsia" w:hAnsiTheme="minorEastAsia" w:eastAsiaTheme="minorEastAsia" w:cstheme="minorEastAsia"/>
                <w:color w:val="auto"/>
                <w:spacing w:val="2"/>
                <w:highlight w:val="none"/>
                <w:lang w:eastAsia="zh-CN"/>
              </w:rPr>
              <w:t>2026年</w:t>
            </w:r>
            <w:r>
              <w:rPr>
                <w:rFonts w:hint="eastAsia" w:asciiTheme="minorEastAsia" w:hAnsiTheme="minorEastAsia" w:eastAsiaTheme="minorEastAsia" w:cstheme="minorEastAsia"/>
                <w:color w:val="auto"/>
                <w:spacing w:val="2"/>
                <w:highlight w:val="none"/>
                <w:lang w:val="en-US" w:eastAsia="zh-CN"/>
              </w:rPr>
              <w:t>5</w:t>
            </w:r>
            <w:r>
              <w:rPr>
                <w:rFonts w:hint="eastAsia" w:asciiTheme="minorEastAsia" w:hAnsiTheme="minorEastAsia" w:eastAsiaTheme="minorEastAsia" w:cstheme="minorEastAsia"/>
                <w:color w:val="auto"/>
                <w:spacing w:val="2"/>
                <w:highlight w:val="none"/>
              </w:rPr>
              <w:t>月</w:t>
            </w:r>
            <w:r>
              <w:rPr>
                <w:rFonts w:hint="eastAsia" w:asciiTheme="minorEastAsia" w:hAnsiTheme="minorEastAsia" w:eastAsiaTheme="minorEastAsia" w:cstheme="minorEastAsia"/>
                <w:color w:val="auto"/>
                <w:spacing w:val="2"/>
                <w:highlight w:val="none"/>
                <w:lang w:val="en-US" w:eastAsia="zh-CN"/>
              </w:rPr>
              <w:t>25</w:t>
            </w:r>
            <w:r>
              <w:rPr>
                <w:rFonts w:hint="eastAsia" w:asciiTheme="minorEastAsia" w:hAnsiTheme="minorEastAsia" w:eastAsiaTheme="minorEastAsia" w:cstheme="minorEastAsia"/>
                <w:color w:val="auto"/>
                <w:spacing w:val="2"/>
                <w:highlight w:val="none"/>
              </w:rPr>
              <w:t>日</w:t>
            </w:r>
            <w:r>
              <w:rPr>
                <w:rFonts w:hint="eastAsia" w:asciiTheme="minorEastAsia" w:hAnsiTheme="minorEastAsia" w:eastAsiaTheme="minorEastAsia" w:cstheme="minorEastAsia"/>
                <w:color w:val="auto"/>
                <w:highlight w:val="none"/>
              </w:rPr>
              <w:t>9点30分</w:t>
            </w:r>
            <w:r>
              <w:rPr>
                <w:rFonts w:hint="eastAsia" w:asciiTheme="minorEastAsia" w:hAnsiTheme="minorEastAsia" w:eastAsiaTheme="minorEastAsia" w:cstheme="minorEastAsia"/>
                <w:color w:val="auto"/>
                <w:spacing w:val="2"/>
                <w:highlight w:val="none"/>
              </w:rPr>
              <w:t>截标后</w:t>
            </w:r>
          </w:p>
          <w:p w14:paraId="6F72B50C">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磋商地点：</w:t>
            </w:r>
            <w:r>
              <w:rPr>
                <w:rFonts w:hint="eastAsia" w:asciiTheme="minorEastAsia" w:hAnsiTheme="minorEastAsia" w:eastAsiaTheme="minorEastAsia" w:cstheme="minorEastAsia"/>
                <w:color w:val="auto"/>
                <w:spacing w:val="2"/>
                <w:highlight w:val="none"/>
              </w:rPr>
              <w:t>通过广西政府采购云平台实行在线投标响应。</w:t>
            </w:r>
          </w:p>
        </w:tc>
      </w:tr>
      <w:tr w14:paraId="1C6D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7" w:hRule="atLeast"/>
          <w:jc w:val="center"/>
        </w:trPr>
        <w:tc>
          <w:tcPr>
            <w:tcW w:w="1093" w:type="dxa"/>
            <w:vAlign w:val="center"/>
          </w:tcPr>
          <w:p w14:paraId="6CECA8A7">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8813" w:type="dxa"/>
            <w:vAlign w:val="center"/>
          </w:tcPr>
          <w:p w14:paraId="2035674D">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磋商前准备：</w:t>
            </w:r>
          </w:p>
          <w:p w14:paraId="3CFA461B">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1、本项目实行网上磋商，采用电子磋商响应文件。若供应商参与磋商，自行承担磋商一切费用。</w:t>
            </w:r>
          </w:p>
          <w:p w14:paraId="1C35922F">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2、各供应商应在截标前应确保成为广西政府采购云平台正式注册入库供应商，并完成CA数字证书申领。因未注册入库、未办理CA数字证书等原因造成无法磋商或磋商失败等后果由供应商自行承担。</w:t>
            </w:r>
          </w:p>
          <w:p w14:paraId="36EB471E">
            <w:pPr>
              <w:spacing w:line="400" w:lineRule="exact"/>
              <w:ind w:hanging="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3、供应商将广西政府采购云电子交易客户端下载、安装完成后，可通过账号密码或CA登录客户端进行响应文件制作。客户端请至网站下载专区查看，如有问题可拨打广西政府采购云客户服务热线95763进行咨询。</w:t>
            </w:r>
          </w:p>
          <w:p w14:paraId="2C5D0534">
            <w:pPr>
              <w:spacing w:line="400" w:lineRule="exact"/>
              <w:ind w:hanging="6"/>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磋商响应文件解密时间：</w:t>
            </w:r>
          </w:p>
          <w:p w14:paraId="0B7A39A0">
            <w:pPr>
              <w:pStyle w:val="26"/>
              <w:spacing w:line="400" w:lineRule="exact"/>
              <w:ind w:firstLine="428"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kern w:val="2"/>
                <w:sz w:val="21"/>
                <w:szCs w:val="21"/>
                <w:highlight w:val="none"/>
              </w:rPr>
              <w:t>截标时间后30分钟内磋商供应商可以登录广西政府采购云平台，用“项目采购-开标评标”功能进行解密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tc>
      </w:tr>
      <w:tr w14:paraId="2E13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093" w:type="dxa"/>
            <w:vAlign w:val="center"/>
          </w:tcPr>
          <w:p w14:paraId="6C73C439">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w:t>
            </w:r>
          </w:p>
        </w:tc>
        <w:tc>
          <w:tcPr>
            <w:tcW w:w="8813" w:type="dxa"/>
            <w:vAlign w:val="center"/>
          </w:tcPr>
          <w:p w14:paraId="769CF58E">
            <w:pPr>
              <w:tabs>
                <w:tab w:val="left" w:pos="210"/>
              </w:tabs>
              <w:spacing w:line="400" w:lineRule="exact"/>
              <w:ind w:left="4870" w:hanging="4869" w:hangingChars="2319"/>
              <w:jc w:val="lef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highlight w:val="none"/>
              </w:rPr>
              <w:t>评标办法：综合评分法</w:t>
            </w:r>
          </w:p>
        </w:tc>
      </w:tr>
      <w:tr w14:paraId="0555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093" w:type="dxa"/>
            <w:vAlign w:val="center"/>
          </w:tcPr>
          <w:p w14:paraId="7E384215">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8813" w:type="dxa"/>
            <w:vAlign w:val="center"/>
          </w:tcPr>
          <w:p w14:paraId="505A684C">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需要补充的其他内容：</w:t>
            </w:r>
          </w:p>
          <w:p w14:paraId="55194D86">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（1）采购代理机构自评审结束之日起2个工作日内将评审报告送交采购人；</w:t>
            </w:r>
          </w:p>
          <w:p w14:paraId="0CBE399C">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（2）采购人收到采购代理机构提交的评审报告后，2个工作日内确定成交供应商；</w:t>
            </w:r>
          </w:p>
          <w:p w14:paraId="6CEB9F30">
            <w:pPr>
              <w:spacing w:line="400" w:lineRule="exact"/>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（3）合同签订期：自成交通知书发出之日起25个日历天内；</w:t>
            </w:r>
          </w:p>
          <w:p w14:paraId="318C831F">
            <w:pPr>
              <w:spacing w:line="400" w:lineRule="exact"/>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2"/>
                <w:highlight w:val="none"/>
              </w:rPr>
              <w:t>（4）采购人和成交供应商签订合同之日起2个工作日内将政府采购合同在</w:t>
            </w:r>
            <w:r>
              <w:rPr>
                <w:rFonts w:hint="eastAsia" w:ascii="宋体" w:hAnsi="宋体" w:cs="宋体"/>
                <w:color w:val="auto"/>
                <w:kern w:val="0"/>
                <w:highlight w:val="none"/>
              </w:rPr>
              <w:t>广西壮族自治区政府采购网</w:t>
            </w:r>
            <w:r>
              <w:rPr>
                <w:rFonts w:hint="eastAsia" w:asciiTheme="minorEastAsia" w:hAnsiTheme="minorEastAsia" w:eastAsiaTheme="minorEastAsia" w:cstheme="minorEastAsia"/>
                <w:color w:val="auto"/>
                <w:spacing w:val="2"/>
                <w:highlight w:val="none"/>
              </w:rPr>
              <w:t>上发布。</w:t>
            </w:r>
          </w:p>
        </w:tc>
      </w:tr>
      <w:tr w14:paraId="0CABF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vAlign w:val="center"/>
          </w:tcPr>
          <w:p w14:paraId="47A9A959">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16</w:t>
            </w:r>
          </w:p>
        </w:tc>
        <w:tc>
          <w:tcPr>
            <w:tcW w:w="8813" w:type="dxa"/>
            <w:vAlign w:val="center"/>
          </w:tcPr>
          <w:p w14:paraId="7464DC33">
            <w:pPr>
              <w:spacing w:line="400" w:lineRule="exact"/>
              <w:rPr>
                <w:rFonts w:hint="eastAsia"/>
                <w:color w:val="auto"/>
                <w:highlight w:val="none"/>
              </w:rPr>
            </w:pPr>
            <w:r>
              <w:rPr>
                <w:rFonts w:hint="eastAsia"/>
                <w:color w:val="auto"/>
                <w:highlight w:val="none"/>
              </w:rPr>
              <w:t>履约保证金金额：</w:t>
            </w:r>
          </w:p>
          <w:p w14:paraId="1C5DCC08">
            <w:pPr>
              <w:spacing w:line="400" w:lineRule="exact"/>
              <w:rPr>
                <w:rFonts w:hint="eastAsia" w:eastAsia="宋体"/>
                <w:color w:val="auto"/>
                <w:highlight w:val="none"/>
                <w:lang w:eastAsia="zh-CN"/>
              </w:rPr>
            </w:pPr>
            <w:r>
              <w:rPr>
                <w:rFonts w:hint="eastAsia"/>
                <w:color w:val="auto"/>
                <w:highlight w:val="none"/>
                <w:lang w:val="en-US" w:eastAsia="zh-CN"/>
              </w:rPr>
              <w:t>☑本项目不收取履约保证金。</w:t>
            </w:r>
          </w:p>
        </w:tc>
      </w:tr>
      <w:tr w14:paraId="794D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93" w:type="dxa"/>
            <w:vAlign w:val="center"/>
          </w:tcPr>
          <w:p w14:paraId="0152631B">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17</w:t>
            </w:r>
          </w:p>
        </w:tc>
        <w:tc>
          <w:tcPr>
            <w:tcW w:w="8813" w:type="dxa"/>
            <w:vAlign w:val="center"/>
          </w:tcPr>
          <w:p w14:paraId="341A06AC">
            <w:pPr>
              <w:pStyle w:val="18"/>
              <w:spacing w:line="400" w:lineRule="exact"/>
              <w:jc w:val="left"/>
              <w:rPr>
                <w:rFonts w:ascii="Times New Roman" w:hAnsi="Times New Roman" w:eastAsia="宋体" w:cs="Times New Roman"/>
                <w:b w:val="0"/>
                <w:bCs w:val="0"/>
                <w:color w:val="auto"/>
                <w:kern w:val="2"/>
                <w:sz w:val="21"/>
                <w:szCs w:val="21"/>
                <w:highlight w:val="none"/>
              </w:rPr>
            </w:pPr>
            <w:r>
              <w:rPr>
                <w:rFonts w:hint="eastAsia" w:ascii="Times New Roman" w:hAnsi="Times New Roman" w:eastAsia="宋体" w:cs="Times New Roman"/>
                <w:b w:val="0"/>
                <w:bCs w:val="0"/>
                <w:color w:val="auto"/>
                <w:kern w:val="2"/>
                <w:sz w:val="21"/>
                <w:szCs w:val="21"/>
                <w:highlight w:val="none"/>
              </w:rPr>
              <w:t>现场勘察：无。</w:t>
            </w:r>
          </w:p>
        </w:tc>
      </w:tr>
      <w:tr w14:paraId="2D41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3" w:type="dxa"/>
            <w:tcBorders>
              <w:bottom w:val="single" w:color="auto" w:sz="4" w:space="0"/>
            </w:tcBorders>
            <w:vAlign w:val="center"/>
          </w:tcPr>
          <w:p w14:paraId="6F0C5A67">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18</w:t>
            </w:r>
          </w:p>
        </w:tc>
        <w:tc>
          <w:tcPr>
            <w:tcW w:w="8813" w:type="dxa"/>
            <w:tcBorders>
              <w:bottom w:val="single" w:color="auto" w:sz="4" w:space="0"/>
              <w:right w:val="single" w:color="auto" w:sz="4" w:space="0"/>
            </w:tcBorders>
            <w:vAlign w:val="center"/>
          </w:tcPr>
          <w:p w14:paraId="60AC34FE">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1.采购代理费支付方式：</w:t>
            </w:r>
          </w:p>
          <w:p w14:paraId="2A6428BB">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本项目代理服务费由</w:t>
            </w:r>
            <w:r>
              <w:rPr>
                <w:rFonts w:hint="eastAsia" w:hAnsi="宋体"/>
                <w:color w:val="auto"/>
                <w:sz w:val="21"/>
                <w:highlight w:val="none"/>
                <w:lang w:val="en-US" w:eastAsia="zh-CN"/>
              </w:rPr>
              <w:t>成交供应商</w:t>
            </w:r>
            <w:r>
              <w:rPr>
                <w:rFonts w:hint="eastAsia" w:hAnsi="宋体"/>
                <w:color w:val="auto"/>
                <w:sz w:val="21"/>
                <w:highlight w:val="none"/>
              </w:rPr>
              <w:t>在领取</w:t>
            </w:r>
            <w:r>
              <w:rPr>
                <w:rFonts w:hint="eastAsia" w:hAnsi="宋体"/>
                <w:color w:val="auto"/>
                <w:sz w:val="21"/>
                <w:highlight w:val="none"/>
                <w:lang w:val="en-US" w:eastAsia="zh-CN"/>
              </w:rPr>
              <w:t>成交</w:t>
            </w:r>
            <w:r>
              <w:rPr>
                <w:rFonts w:hint="eastAsia" w:hAnsi="宋体"/>
                <w:color w:val="auto"/>
                <w:sz w:val="21"/>
                <w:highlight w:val="none"/>
              </w:rPr>
              <w:t>通知书前，一次性向采购代理机构支付。</w:t>
            </w:r>
          </w:p>
          <w:p w14:paraId="12065696">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2.采购代理费收取标准：</w:t>
            </w:r>
          </w:p>
          <w:p w14:paraId="0BC345C0">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以成交金额为计费额，按本磋商文件之《供应商须知正文》第3</w:t>
            </w:r>
            <w:r>
              <w:rPr>
                <w:rFonts w:hint="eastAsia" w:hAnsi="宋体"/>
                <w:color w:val="auto"/>
                <w:sz w:val="21"/>
                <w:highlight w:val="none"/>
                <w:lang w:val="en-US" w:eastAsia="zh-CN"/>
              </w:rPr>
              <w:t>9</w:t>
            </w:r>
            <w:r>
              <w:rPr>
                <w:rFonts w:hint="eastAsia" w:hAnsi="宋体"/>
                <w:color w:val="auto"/>
                <w:sz w:val="21"/>
                <w:highlight w:val="none"/>
              </w:rPr>
              <w:t>.</w:t>
            </w:r>
            <w:r>
              <w:rPr>
                <w:rFonts w:hint="eastAsia" w:hAnsi="宋体"/>
                <w:color w:val="auto"/>
                <w:sz w:val="21"/>
                <w:highlight w:val="none"/>
                <w:lang w:val="en-US" w:eastAsia="zh-CN"/>
              </w:rPr>
              <w:t>3</w:t>
            </w:r>
            <w:r>
              <w:rPr>
                <w:rFonts w:hint="eastAsia" w:hAnsi="宋体"/>
                <w:color w:val="auto"/>
                <w:sz w:val="21"/>
                <w:highlight w:val="none"/>
              </w:rPr>
              <w:t>条规定的收费计算标准服务类采用差额定率累进法计算出收费基准价格，采购代理服务费收费以收费基准价格收取。</w:t>
            </w:r>
          </w:p>
          <w:p w14:paraId="70C00567">
            <w:pPr>
              <w:pStyle w:val="26"/>
              <w:shd w:val="clear" w:color="auto" w:fill="FFFFFF"/>
              <w:snapToGrid w:val="0"/>
              <w:spacing w:line="400" w:lineRule="exact"/>
              <w:rPr>
                <w:rFonts w:hint="eastAsia" w:hAnsi="宋体"/>
                <w:color w:val="auto"/>
                <w:sz w:val="21"/>
                <w:highlight w:val="none"/>
              </w:rPr>
            </w:pPr>
            <w:r>
              <w:rPr>
                <w:rFonts w:hint="eastAsia" w:hAnsi="宋体"/>
                <w:color w:val="auto"/>
                <w:sz w:val="21"/>
                <w:highlight w:val="none"/>
              </w:rPr>
              <w:t xml:space="preserve">3.账户名称： </w:t>
            </w:r>
          </w:p>
          <w:p w14:paraId="1F23B92B">
            <w:pPr>
              <w:pStyle w:val="26"/>
              <w:shd w:val="clear" w:color="auto" w:fill="FFFFFF"/>
              <w:snapToGrid w:val="0"/>
              <w:spacing w:line="400" w:lineRule="exact"/>
              <w:rPr>
                <w:rFonts w:hint="eastAsia" w:hAnsi="宋体" w:eastAsia="宋体"/>
                <w:color w:val="auto"/>
                <w:sz w:val="21"/>
                <w:highlight w:val="none"/>
                <w:lang w:eastAsia="zh-CN"/>
              </w:rPr>
            </w:pPr>
            <w:r>
              <w:rPr>
                <w:rFonts w:hint="eastAsia" w:hAnsi="宋体"/>
                <w:color w:val="auto"/>
                <w:sz w:val="21"/>
                <w:highlight w:val="none"/>
              </w:rPr>
              <w:t>账户名称：</w:t>
            </w:r>
            <w:r>
              <w:rPr>
                <w:rFonts w:hint="eastAsia" w:hAnsi="宋体"/>
                <w:color w:val="auto"/>
                <w:sz w:val="21"/>
                <w:highlight w:val="none"/>
                <w:lang w:eastAsia="zh-CN"/>
              </w:rPr>
              <w:t>广西建设工程机电设备招标中心有限公司</w:t>
            </w:r>
          </w:p>
          <w:p w14:paraId="1B6FEBB0">
            <w:pPr>
              <w:pStyle w:val="26"/>
              <w:shd w:val="clear" w:color="auto" w:fill="FFFFFF"/>
              <w:snapToGrid w:val="0"/>
              <w:spacing w:line="400" w:lineRule="exact"/>
              <w:rPr>
                <w:rFonts w:hint="eastAsia" w:hAnsi="宋体"/>
                <w:b w:val="0"/>
                <w:bCs w:val="0"/>
                <w:color w:val="auto"/>
                <w:szCs w:val="21"/>
                <w:highlight w:val="none"/>
              </w:rPr>
            </w:pPr>
            <w:r>
              <w:rPr>
                <w:rFonts w:hint="eastAsia" w:hAnsi="宋体"/>
                <w:b w:val="0"/>
                <w:bCs w:val="0"/>
                <w:color w:val="auto"/>
                <w:szCs w:val="21"/>
                <w:highlight w:val="none"/>
              </w:rPr>
              <w:t>开户银行：招商银行南宁分行营业部</w:t>
            </w:r>
          </w:p>
          <w:p w14:paraId="7D87C01A">
            <w:pPr>
              <w:pStyle w:val="26"/>
              <w:shd w:val="clear" w:color="auto" w:fill="FFFFFF"/>
              <w:snapToGrid w:val="0"/>
              <w:spacing w:line="400" w:lineRule="exact"/>
              <w:rPr>
                <w:rFonts w:hint="eastAsia" w:hAnsi="宋体"/>
                <w:b/>
                <w:bCs/>
                <w:color w:val="auto"/>
                <w:szCs w:val="21"/>
                <w:highlight w:val="none"/>
              </w:rPr>
            </w:pPr>
            <w:r>
              <w:rPr>
                <w:rFonts w:hint="eastAsia" w:hAnsi="宋体"/>
                <w:b w:val="0"/>
                <w:bCs w:val="0"/>
                <w:color w:val="auto"/>
                <w:szCs w:val="21"/>
                <w:highlight w:val="none"/>
              </w:rPr>
              <w:t>银行账号：7719 0142 3310 201</w:t>
            </w:r>
          </w:p>
        </w:tc>
      </w:tr>
      <w:tr w14:paraId="08C4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093" w:type="dxa"/>
            <w:tcBorders>
              <w:top w:val="single" w:color="auto" w:sz="4" w:space="0"/>
              <w:bottom w:val="single" w:color="auto" w:sz="4" w:space="0"/>
            </w:tcBorders>
            <w:vAlign w:val="center"/>
          </w:tcPr>
          <w:p w14:paraId="7D5E4A47">
            <w:pPr>
              <w:autoSpaceDE w:val="0"/>
              <w:autoSpaceDN w:val="0"/>
              <w:spacing w:line="400" w:lineRule="exact"/>
              <w:ind w:right="69" w:rightChars="33"/>
              <w:jc w:val="center"/>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29</w:t>
            </w:r>
          </w:p>
        </w:tc>
        <w:tc>
          <w:tcPr>
            <w:tcW w:w="8813" w:type="dxa"/>
            <w:tcBorders>
              <w:top w:val="single" w:color="auto" w:sz="4" w:space="0"/>
              <w:bottom w:val="single" w:color="auto" w:sz="4" w:space="0"/>
              <w:right w:val="single" w:color="auto" w:sz="4" w:space="0"/>
            </w:tcBorders>
            <w:vAlign w:val="center"/>
          </w:tcPr>
          <w:p w14:paraId="3662C791">
            <w:pPr>
              <w:spacing w:line="440" w:lineRule="exact"/>
              <w:ind w:firstLine="420"/>
              <w:jc w:val="left"/>
              <w:rPr>
                <w:rFonts w:hint="eastAsia" w:ascii="宋体" w:hAnsi="宋体"/>
                <w:b/>
                <w:bCs/>
                <w:color w:val="auto"/>
                <w:highlight w:val="none"/>
              </w:rPr>
            </w:pPr>
            <w:r>
              <w:rPr>
                <w:rFonts w:hint="eastAsia" w:ascii="宋体" w:hAnsi="宋体"/>
                <w:b/>
                <w:bCs/>
                <w:color w:val="auto"/>
                <w:highlight w:val="none"/>
              </w:rPr>
              <w:t>付款</w:t>
            </w:r>
            <w:r>
              <w:rPr>
                <w:rFonts w:hint="eastAsia" w:ascii="宋体" w:hAnsi="宋体"/>
                <w:b/>
                <w:bCs/>
                <w:color w:val="auto"/>
                <w:highlight w:val="none"/>
                <w:lang w:val="en-US" w:eastAsia="zh-CN"/>
              </w:rPr>
              <w:t>方式</w:t>
            </w:r>
            <w:r>
              <w:rPr>
                <w:rFonts w:hint="eastAsia" w:ascii="宋体" w:hAnsi="宋体"/>
                <w:b/>
                <w:bCs/>
                <w:color w:val="auto"/>
                <w:highlight w:val="none"/>
              </w:rPr>
              <w:t>：</w:t>
            </w:r>
          </w:p>
          <w:p w14:paraId="37540F50">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1.本项目预付款：合同价的30%，合同签订后</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0个工作日内支付；</w:t>
            </w:r>
          </w:p>
          <w:p w14:paraId="7E6C63FB">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进度款支付：工程进度款按月支付，合同内工程进度款支付额为当月实际已完成工程量价款的90%；合同外新增工程量按实际完成工程量价款的60%支付进度款</w:t>
            </w:r>
            <w:r>
              <w:rPr>
                <w:rFonts w:hint="eastAsia" w:ascii="宋体" w:hAnsi="宋体" w:eastAsia="宋体" w:cs="宋体"/>
                <w:color w:val="auto"/>
                <w:sz w:val="21"/>
                <w:szCs w:val="21"/>
                <w:highlight w:val="none"/>
                <w:lang w:eastAsia="zh-CN"/>
              </w:rPr>
              <w:t>；</w:t>
            </w:r>
          </w:p>
          <w:p w14:paraId="36BBBAC8">
            <w:pPr>
              <w:spacing w:line="440" w:lineRule="exact"/>
              <w:ind w:firstLine="42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w:t>
            </w:r>
            <w:r>
              <w:rPr>
                <w:rFonts w:hint="eastAsia" w:ascii="Times New Roman" w:hAnsi="Times New Roman" w:eastAsia="宋体" w:cs="Times New Roman"/>
                <w:color w:val="auto"/>
                <w:highlight w:val="none"/>
              </w:rPr>
              <w:t>工程竣工验收合格</w:t>
            </w:r>
            <w:r>
              <w:rPr>
                <w:rFonts w:hint="eastAsia" w:ascii="Times New Roman" w:hAnsi="Times New Roman" w:eastAsia="宋体" w:cs="Times New Roman"/>
                <w:color w:val="auto"/>
                <w:highlight w:val="none"/>
                <w:lang w:eastAsia="zh-CN"/>
              </w:rPr>
              <w:t>，</w:t>
            </w:r>
            <w:r>
              <w:rPr>
                <w:rFonts w:hint="eastAsia" w:ascii="宋体" w:hAnsi="宋体" w:eastAsia="宋体" w:cs="宋体"/>
                <w:color w:val="auto"/>
                <w:sz w:val="21"/>
                <w:szCs w:val="21"/>
                <w:highlight w:val="none"/>
                <w:lang w:eastAsia="zh-CN"/>
              </w:rPr>
              <w:t>经第三方工程结算审计审定后，工程款支付至结算总价的97%，预留结算总价的3%为质量保证金，</w:t>
            </w:r>
            <w:r>
              <w:rPr>
                <w:rFonts w:hint="eastAsia" w:ascii="宋体" w:hAnsi="宋体" w:cs="宋体"/>
                <w:color w:val="auto"/>
                <w:highlight w:val="none"/>
              </w:rPr>
              <w:t>工程质量保修金在工程竣工</w:t>
            </w:r>
            <w:r>
              <w:rPr>
                <w:rFonts w:hint="eastAsia" w:ascii="宋体" w:hAnsi="宋体" w:cs="宋体"/>
                <w:color w:val="auto"/>
                <w:highlight w:val="none"/>
                <w:lang w:val="en-US" w:eastAsia="zh-CN"/>
              </w:rPr>
              <w:t>验收合格后，2年</w:t>
            </w:r>
            <w:r>
              <w:rPr>
                <w:rFonts w:hint="eastAsia" w:ascii="宋体" w:hAnsi="宋体" w:cs="宋体"/>
                <w:color w:val="auto"/>
                <w:highlight w:val="none"/>
              </w:rPr>
              <w:t>质量保修期满，并扣除有关应扣除的费用后，30个工作日内将将剩余</w:t>
            </w:r>
            <w:r>
              <w:rPr>
                <w:rFonts w:hint="eastAsia" w:ascii="宋体" w:hAnsi="宋体" w:cs="宋体"/>
                <w:color w:val="auto"/>
                <w:highlight w:val="none"/>
                <w:lang w:val="en-US" w:eastAsia="zh-CN"/>
              </w:rPr>
              <w:t>质量保证</w:t>
            </w:r>
            <w:r>
              <w:rPr>
                <w:rFonts w:hint="eastAsia" w:ascii="宋体" w:hAnsi="宋体" w:cs="宋体"/>
                <w:color w:val="auto"/>
                <w:highlight w:val="none"/>
              </w:rPr>
              <w:t>金 （不计利息）全额退回承包人。</w:t>
            </w:r>
          </w:p>
          <w:p w14:paraId="24B162BA">
            <w:pPr>
              <w:spacing w:line="440" w:lineRule="exact"/>
              <w:ind w:firstLine="420"/>
              <w:jc w:val="left"/>
              <w:rPr>
                <w:color w:val="auto"/>
                <w:highlight w:val="none"/>
              </w:rPr>
            </w:pPr>
            <w:r>
              <w:rPr>
                <w:rFonts w:hint="eastAsia" w:ascii="宋体" w:hAnsi="宋体" w:eastAsia="宋体" w:cs="宋体"/>
                <w:color w:val="auto"/>
                <w:sz w:val="21"/>
                <w:szCs w:val="21"/>
                <w:highlight w:val="none"/>
                <w:lang w:eastAsia="zh-CN"/>
              </w:rPr>
              <w:t>4.成交人在</w:t>
            </w:r>
            <w:r>
              <w:rPr>
                <w:rFonts w:hint="eastAsia" w:ascii="宋体" w:hAnsi="宋体" w:cs="宋体"/>
                <w:color w:val="auto"/>
                <w:sz w:val="21"/>
                <w:szCs w:val="21"/>
                <w:highlight w:val="none"/>
                <w:lang w:val="en-US" w:eastAsia="zh-CN"/>
              </w:rPr>
              <w:t>申请支付项目款时</w:t>
            </w:r>
            <w:r>
              <w:rPr>
                <w:rFonts w:hint="eastAsia" w:ascii="宋体" w:hAnsi="宋体" w:eastAsia="宋体" w:cs="宋体"/>
                <w:color w:val="auto"/>
                <w:sz w:val="21"/>
                <w:szCs w:val="21"/>
                <w:highlight w:val="none"/>
                <w:lang w:eastAsia="zh-CN"/>
              </w:rPr>
              <w:t>应按国家相关规定向采购人开具相应金额的正式发票。</w:t>
            </w:r>
          </w:p>
        </w:tc>
      </w:tr>
    </w:tbl>
    <w:p w14:paraId="365ABE53">
      <w:pPr>
        <w:jc w:val="center"/>
        <w:rPr>
          <w:rFonts w:hint="eastAsia" w:asciiTheme="minorEastAsia" w:hAnsiTheme="minorEastAsia" w:eastAsiaTheme="minorEastAsia" w:cstheme="minorEastAsia"/>
          <w:b/>
          <w:bCs/>
          <w:color w:val="auto"/>
          <w:sz w:val="36"/>
          <w:szCs w:val="36"/>
          <w:highlight w:val="none"/>
        </w:rPr>
      </w:pPr>
    </w:p>
    <w:p w14:paraId="05EF8D9A">
      <w:pPr>
        <w:pStyle w:val="62"/>
        <w:rPr>
          <w:color w:val="auto"/>
          <w:highlight w:val="none"/>
        </w:rPr>
      </w:pPr>
    </w:p>
    <w:p w14:paraId="6057B471">
      <w:pPr>
        <w:pStyle w:val="2"/>
        <w:numPr>
          <w:ilvl w:val="0"/>
          <w:numId w:val="0"/>
        </w:numPr>
        <w:rPr>
          <w:color w:val="auto"/>
          <w:highlight w:val="none"/>
        </w:rPr>
      </w:pPr>
    </w:p>
    <w:p w14:paraId="5774BA64">
      <w:pPr>
        <w:rPr>
          <w:color w:val="auto"/>
          <w:highlight w:val="none"/>
        </w:rPr>
      </w:pPr>
    </w:p>
    <w:p w14:paraId="293A2A98">
      <w:pPr>
        <w:rPr>
          <w:color w:val="auto"/>
          <w:highlight w:val="none"/>
        </w:rPr>
      </w:pPr>
    </w:p>
    <w:p w14:paraId="150A6F3D">
      <w:pP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br w:type="page"/>
      </w:r>
    </w:p>
    <w:p w14:paraId="2DC4F221">
      <w:pPr>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36"/>
          <w:szCs w:val="36"/>
          <w:highlight w:val="none"/>
        </w:rPr>
        <w:t>磋商须知</w:t>
      </w:r>
    </w:p>
    <w:p w14:paraId="26E0CC35">
      <w:pPr>
        <w:spacing w:line="360" w:lineRule="exact"/>
        <w:ind w:firstLine="211" w:firstLineChars="98"/>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一、总     则</w:t>
      </w:r>
    </w:p>
    <w:p w14:paraId="510BD7B4">
      <w:pPr>
        <w:spacing w:line="360" w:lineRule="auto"/>
        <w:rPr>
          <w:rFonts w:hint="eastAsia" w:asciiTheme="minorEastAsia" w:hAnsiTheme="minorEastAsia" w:eastAsiaTheme="minorEastAsia" w:cstheme="minorEastAsia"/>
          <w:b/>
          <w:bCs/>
          <w:color w:val="auto"/>
          <w:spacing w:val="2"/>
          <w:highlight w:val="none"/>
        </w:rPr>
      </w:pPr>
    </w:p>
    <w:p w14:paraId="64DC93A3">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1.适用范围</w:t>
      </w:r>
    </w:p>
    <w:p w14:paraId="03881A3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1.1本项目采购人、采购代理机构、供应商、磋商小组的相关行为均受《中华人民共和国政府采购法》、《中华人民共和国政府采购法实施条例》、</w:t>
      </w:r>
      <w:r>
        <w:rPr>
          <w:rFonts w:hint="eastAsia" w:ascii="宋体" w:hAnsi="宋体"/>
          <w:color w:val="auto"/>
          <w:highlight w:val="none"/>
        </w:rPr>
        <w:t>《政府采购竞争性磋商采购方式管理暂行办法》、《财政部关于政府采购竞争性磋商采购方式管理暂行办法有关问题的补充通知》</w:t>
      </w:r>
      <w:r>
        <w:rPr>
          <w:rFonts w:hint="eastAsia" w:ascii="宋体" w:hAnsi="宋体" w:cs="宋体"/>
          <w:color w:val="auto"/>
          <w:highlight w:val="none"/>
        </w:rPr>
        <w:t>及本项目本级和上级财政部门政府采购有关规定的约束和保护。</w:t>
      </w:r>
    </w:p>
    <w:p w14:paraId="1969DE8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w:t>
      </w:r>
      <w:r>
        <w:rPr>
          <w:rFonts w:hint="eastAsia" w:ascii="宋体" w:hAnsi="宋体" w:cs="宋体"/>
          <w:color w:val="auto"/>
          <w:spacing w:val="-6"/>
          <w:highlight w:val="none"/>
        </w:rPr>
        <w:t>本竞争性磋商文件（以下简称磋商文件）适用于本项目的所有采购程序和环节（法律、法规另有规定的，从其规定）。</w:t>
      </w:r>
    </w:p>
    <w:p w14:paraId="682E307A">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2.定义</w:t>
      </w:r>
    </w:p>
    <w:p w14:paraId="3A51CA0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2.1“采购人”是指依法进行政府采购的国家机关、事业单位、团体组织。</w:t>
      </w:r>
    </w:p>
    <w:p w14:paraId="14A7A9CB">
      <w:pPr>
        <w:spacing w:line="360" w:lineRule="auto"/>
        <w:ind w:firstLine="420" w:firstLineChars="200"/>
        <w:rPr>
          <w:rFonts w:hint="eastAsia" w:ascii="宋体" w:hAnsi="宋体" w:cs="宋体"/>
          <w:color w:val="auto"/>
          <w:highlight w:val="none"/>
          <w:u w:val="single"/>
        </w:rPr>
      </w:pPr>
      <w:r>
        <w:rPr>
          <w:rFonts w:hint="eastAsia" w:ascii="宋体" w:hAnsi="宋体" w:cs="宋体"/>
          <w:color w:val="auto"/>
          <w:highlight w:val="none"/>
        </w:rPr>
        <w:t>2.2“采购代理机构”是指政府采购集中采购机构和集中采购机构以外的采购代理机构。</w:t>
      </w:r>
    </w:p>
    <w:p w14:paraId="70D9F00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2.3“供应商”是指向采购人提供货物、工程或者服务的法人、其他组织或者自然人。</w:t>
      </w:r>
    </w:p>
    <w:p w14:paraId="0B52A17C">
      <w:pPr>
        <w:spacing w:line="360" w:lineRule="auto"/>
        <w:ind w:firstLine="420" w:firstLineChars="200"/>
        <w:rPr>
          <w:rFonts w:hint="eastAsia" w:ascii="宋体" w:hAnsi="宋体" w:cs="宋体"/>
          <w:color w:val="auto"/>
          <w:highlight w:val="none"/>
        </w:rPr>
      </w:pPr>
      <w:r>
        <w:rPr>
          <w:rFonts w:hint="eastAsia" w:ascii="宋体" w:hAnsi="宋体"/>
          <w:color w:val="auto"/>
          <w:highlight w:val="none"/>
        </w:rPr>
        <w:t>2.4“服务”是指除货物和工程以外的其他政府采购对象。</w:t>
      </w:r>
    </w:p>
    <w:p w14:paraId="6B4CA6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5</w:t>
      </w:r>
      <w:r>
        <w:rPr>
          <w:rFonts w:hint="eastAsia" w:ascii="宋体" w:hAnsi="宋体" w:cs="宋体"/>
          <w:color w:val="auto"/>
          <w:highlight w:val="none"/>
        </w:rPr>
        <w:t>“竞标”是指供应商按照本项目竞争性磋商公告或者邀请函规定的方式获取磋商文件、提交响应文件并希望获得标的的行为。</w:t>
      </w:r>
    </w:p>
    <w:p w14:paraId="0FAE9A6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6</w:t>
      </w:r>
      <w:r>
        <w:rPr>
          <w:rFonts w:hint="eastAsia" w:ascii="宋体" w:hAnsi="宋体" w:cs="宋体"/>
          <w:color w:val="auto"/>
          <w:highlight w:val="none"/>
        </w:rPr>
        <w:t>“响应文件”</w:t>
      </w:r>
      <w:r>
        <w:rPr>
          <w:rFonts w:hint="eastAsia" w:ascii="宋体" w:hAnsi="宋体" w:cs="宋体"/>
          <w:color w:val="auto"/>
          <w:spacing w:val="-6"/>
          <w:highlight w:val="none"/>
        </w:rPr>
        <w:t>是指：供应商根据本磋商文件要求，编制包含资格证明、报价商务技术等所有内容的文件。</w:t>
      </w:r>
    </w:p>
    <w:p w14:paraId="113AC82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7</w:t>
      </w:r>
      <w:r>
        <w:rPr>
          <w:rFonts w:hint="eastAsia" w:ascii="宋体" w:hAnsi="宋体" w:cs="宋体"/>
          <w:color w:val="auto"/>
          <w:highlight w:val="none"/>
        </w:rPr>
        <w:t>“实质性要求”是指磋商文件中已经指明不满足则响应文件按无效响应处理的条款，或者不能负偏离的条款，或者带“▲”的条款。</w:t>
      </w:r>
    </w:p>
    <w:p w14:paraId="143605C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8</w:t>
      </w:r>
      <w:r>
        <w:rPr>
          <w:rFonts w:hint="eastAsia" w:ascii="宋体" w:hAnsi="宋体" w:cs="宋体"/>
          <w:color w:val="auto"/>
          <w:highlight w:val="none"/>
        </w:rPr>
        <w:t>“正偏离”，是指响应文件对磋商文件中有关条款作出的响应优于条款要求并有利于采购人的情形。</w:t>
      </w:r>
    </w:p>
    <w:p w14:paraId="24E34B4D">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2.9</w:t>
      </w:r>
      <w:r>
        <w:rPr>
          <w:rFonts w:hint="eastAsia" w:ascii="宋体" w:hAnsi="宋体" w:cs="宋体"/>
          <w:color w:val="auto"/>
          <w:highlight w:val="none"/>
        </w:rPr>
        <w:t>“负偏离”，是指响应文件对磋商文件中有关条款作出的响应不满足条款要求，导致采购人要求不能得到满足的情形。</w:t>
      </w:r>
    </w:p>
    <w:p w14:paraId="559672A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2.10“允许负偏离的条款”是指采购需求中的不属于“实质性要求”的条款。</w:t>
      </w:r>
    </w:p>
    <w:p w14:paraId="42612B5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11</w:t>
      </w:r>
      <w:r>
        <w:rPr>
          <w:rFonts w:hint="eastAsia" w:ascii="宋体" w:hAnsi="宋体" w:cs="宋体"/>
          <w:color w:val="auto"/>
          <w:highlight w:val="none"/>
        </w:rPr>
        <w:t>“书面形式”是指合同书、信件和数据电文（包括电报、电传、传真、电子数据交换和电子邮件）等可以有形地表现所载内容的形式。</w:t>
      </w:r>
    </w:p>
    <w:p w14:paraId="0C32E55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w:t>
      </w:r>
      <w:r>
        <w:rPr>
          <w:rFonts w:ascii="宋体" w:hAnsi="宋体" w:cs="宋体"/>
          <w:color w:val="auto"/>
          <w:highlight w:val="none"/>
        </w:rPr>
        <w:t>12</w:t>
      </w:r>
      <w:r>
        <w:rPr>
          <w:rFonts w:hint="eastAsia" w:ascii="宋体" w:hAnsi="宋体" w:cs="宋体"/>
          <w:color w:val="auto"/>
          <w:highlight w:val="none"/>
        </w:rPr>
        <w:t>“首次报价”是指供应商提交的首次响应文件中的报价。</w:t>
      </w:r>
    </w:p>
    <w:p w14:paraId="595F726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2.1</w:t>
      </w:r>
      <w:r>
        <w:rPr>
          <w:rFonts w:ascii="宋体" w:hAnsi="宋体" w:cs="宋体"/>
          <w:color w:val="auto"/>
          <w:highlight w:val="none"/>
        </w:rPr>
        <w:t>3</w:t>
      </w:r>
      <w:r>
        <w:rPr>
          <w:rFonts w:hint="eastAsia" w:ascii="宋体" w:hAnsi="宋体" w:cs="宋体"/>
          <w:color w:val="auto"/>
          <w:highlight w:val="none"/>
        </w:rPr>
        <w:t>“评审报价”是指供应商提交的最后报价并经修正（如有）和政策功能价格扣除（如有）后的价格。</w:t>
      </w:r>
    </w:p>
    <w:p w14:paraId="6CC49EAD">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3.供应商的资格条件</w:t>
      </w:r>
    </w:p>
    <w:p w14:paraId="53AFD7E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供应商的资格条件详见“供应商须知前附表”。</w:t>
      </w:r>
    </w:p>
    <w:p w14:paraId="534AE9C3">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4.磋商费用</w:t>
      </w:r>
    </w:p>
    <w:p w14:paraId="633808B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供应商应承担参与本次采购活动有关的所有费用，包括但不限于勘查现场、编制和提交响应文件、参加磋商与应答、签订合同等，不论竞标结果如何，均应自行承担。</w:t>
      </w:r>
    </w:p>
    <w:p w14:paraId="198E07B6">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5.联合体竞标</w:t>
      </w:r>
    </w:p>
    <w:p w14:paraId="570FA95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5.1本项目是否接受联合体竞标，详见“供应商须知前附表”。</w:t>
      </w:r>
    </w:p>
    <w:p w14:paraId="1D397D5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5.2</w:t>
      </w:r>
      <w:r>
        <w:rPr>
          <w:rFonts w:hint="eastAsia" w:ascii="宋体" w:hAnsi="宋体"/>
          <w:color w:val="auto"/>
          <w:highlight w:val="none"/>
        </w:rPr>
        <w:t>如接受联合体竞标，</w:t>
      </w:r>
      <w:r>
        <w:rPr>
          <w:rFonts w:hint="eastAsia" w:ascii="宋体" w:hAnsi="宋体" w:cs="宋体"/>
          <w:color w:val="auto"/>
          <w:highlight w:val="none"/>
        </w:rPr>
        <w:t>联合体竞标要求详见“供应商须知前附表”。</w:t>
      </w:r>
    </w:p>
    <w:p w14:paraId="2825E7EE">
      <w:pPr>
        <w:spacing w:line="360" w:lineRule="auto"/>
        <w:ind w:firstLine="420" w:firstLineChars="200"/>
        <w:rPr>
          <w:rFonts w:hint="eastAsia" w:ascii="宋体" w:hAnsi="宋体"/>
          <w:bCs/>
          <w:color w:val="auto"/>
          <w:highlight w:val="none"/>
        </w:rPr>
      </w:pPr>
      <w:r>
        <w:rPr>
          <w:rFonts w:hint="eastAsia" w:ascii="宋体" w:hAnsi="宋体" w:cs="宋体"/>
          <w:color w:val="auto"/>
          <w:highlight w:val="none"/>
        </w:rPr>
        <w:t>5.3</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41AA5B59">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 xml:space="preserve">6.转包与分包             </w:t>
      </w:r>
    </w:p>
    <w:p w14:paraId="3EE0B52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6.1本项目是否允许分包详见“供应商须知前附表”，本项目不允许违法分包。</w:t>
      </w:r>
    </w:p>
    <w:p w14:paraId="4B7F409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6.2</w:t>
      </w:r>
      <w:r>
        <w:rPr>
          <w:rFonts w:hint="eastAsia" w:ascii="宋体" w:hAnsi="宋体"/>
          <w:bCs/>
          <w:color w:val="auto"/>
          <w:highlight w:val="none"/>
        </w:rPr>
        <w:t>根据《政府采购促进中小企业发展暂行办法》（财库[2020]46号）</w:t>
      </w:r>
      <w:r>
        <w:rPr>
          <w:rFonts w:ascii="宋体" w:hAnsi="宋体"/>
          <w:bCs/>
          <w:color w:val="auto"/>
          <w:highlight w:val="none"/>
        </w:rPr>
        <w:t>第九条</w:t>
      </w:r>
      <w:r>
        <w:rPr>
          <w:rFonts w:hint="eastAsia" w:ascii="宋体" w:hAnsi="宋体"/>
          <w:bCs/>
          <w:color w:val="auto"/>
          <w:highlight w:val="none"/>
        </w:rPr>
        <w:t>规定，</w:t>
      </w:r>
      <w:r>
        <w:rPr>
          <w:rFonts w:ascii="宋体" w:hAnsi="宋体"/>
          <w:bCs/>
          <w:color w:val="auto"/>
          <w:highlight w:val="none"/>
        </w:rPr>
        <w:t>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76458139">
      <w:pPr>
        <w:spacing w:line="360" w:lineRule="auto"/>
        <w:ind w:firstLine="422" w:firstLineChars="200"/>
        <w:rPr>
          <w:rFonts w:hint="eastAsia" w:ascii="黑体" w:hAnsi="黑体" w:eastAsia="黑体" w:cs="宋体"/>
          <w:b/>
          <w:bCs/>
          <w:color w:val="auto"/>
          <w:highlight w:val="none"/>
        </w:rPr>
      </w:pPr>
      <w:bookmarkStart w:id="8" w:name="_Toc254970673"/>
      <w:bookmarkStart w:id="9" w:name="_Toc254970532"/>
      <w:r>
        <w:rPr>
          <w:rFonts w:hint="eastAsia" w:ascii="黑体" w:hAnsi="黑体" w:eastAsia="黑体" w:cs="宋体"/>
          <w:b/>
          <w:bCs/>
          <w:color w:val="auto"/>
          <w:highlight w:val="none"/>
        </w:rPr>
        <w:t>7.特别说明</w:t>
      </w:r>
      <w:bookmarkEnd w:id="8"/>
      <w:bookmarkEnd w:id="9"/>
    </w:p>
    <w:p w14:paraId="72A027B7">
      <w:pPr>
        <w:spacing w:line="360" w:lineRule="auto"/>
        <w:ind w:firstLine="420" w:firstLineChars="200"/>
        <w:rPr>
          <w:rFonts w:hint="eastAsia" w:ascii="宋体" w:hAnsi="宋体" w:cs="宋体"/>
          <w:color w:val="auto"/>
          <w:highlight w:val="none"/>
        </w:rPr>
      </w:pPr>
      <w:bookmarkStart w:id="10" w:name="_8.1提供相同品牌产品且通过资格审查、符合性审查的不同投标人参加同一合"/>
      <w:bookmarkEnd w:id="10"/>
      <w:r>
        <w:rPr>
          <w:rFonts w:hint="eastAsia" w:ascii="宋体" w:hAnsi="宋体" w:cs="宋体"/>
          <w:color w:val="auto"/>
          <w:highlight w:val="none"/>
        </w:rPr>
        <w:t>7.</w:t>
      </w:r>
      <w:r>
        <w:rPr>
          <w:rFonts w:ascii="宋体" w:hAnsi="宋体" w:cs="宋体"/>
          <w:color w:val="auto"/>
          <w:highlight w:val="none"/>
        </w:rPr>
        <w:t>1</w:t>
      </w:r>
      <w:bookmarkStart w:id="11" w:name="_Hlk65832145"/>
      <w:r>
        <w:rPr>
          <w:rFonts w:hint="eastAsia" w:ascii="宋体" w:hAnsi="宋体"/>
          <w:color w:val="auto"/>
          <w:highlight w:val="none"/>
        </w:rPr>
        <w:t>如果本磋商文件要求提供供应商或制造商的资格、信誉、荣誉、业绩与企业认证等材料的，资格、信誉、荣誉、业绩与企业认证等必须为供应商或者制造商所拥有或自身获得</w:t>
      </w:r>
      <w:r>
        <w:rPr>
          <w:rFonts w:hint="eastAsia" w:ascii="宋体" w:hAnsi="宋体" w:cs="宋体"/>
          <w:color w:val="auto"/>
          <w:highlight w:val="none"/>
        </w:rPr>
        <w:t>。</w:t>
      </w:r>
    </w:p>
    <w:bookmarkEnd w:id="11"/>
    <w:p w14:paraId="2846832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2</w:t>
      </w:r>
      <w:r>
        <w:rPr>
          <w:rFonts w:hint="eastAsia" w:ascii="宋体" w:hAnsi="宋体" w:cs="宋体"/>
          <w:color w:val="auto"/>
          <w:highlight w:val="none"/>
        </w:rPr>
        <w:t>供应商应仔细阅读磋商文件的所有内容，按照磋商文件的要求提交响应文件，并对所提供的全部资料的真实性承担法律责任。</w:t>
      </w:r>
    </w:p>
    <w:p w14:paraId="775E5AF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3</w:t>
      </w:r>
      <w:r>
        <w:rPr>
          <w:rFonts w:hint="eastAsia" w:ascii="宋体" w:hAnsi="宋体" w:cs="宋体"/>
          <w:color w:val="auto"/>
          <w:highlight w:val="none"/>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5011261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4</w:t>
      </w:r>
      <w:r>
        <w:rPr>
          <w:rFonts w:hint="eastAsia" w:ascii="宋体" w:hAnsi="宋体" w:cs="宋体"/>
          <w:color w:val="auto"/>
          <w:highlight w:val="none"/>
        </w:rPr>
        <w:t>在政府采购活动中，采购人员及相关人员与供应商有下列利害关系之一的，应当回避：</w:t>
      </w:r>
    </w:p>
    <w:p w14:paraId="0AFE2D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（1）参加采购活动前3年内与供应商存在劳动关系；</w:t>
      </w:r>
    </w:p>
    <w:p w14:paraId="0D5719C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（2）参加采购活动前3年内担任供应商的董事、监事；</w:t>
      </w:r>
    </w:p>
    <w:p w14:paraId="1BE7BD3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（3）参加采购活动前3年内是供应商的控股股东或者实际控制人；</w:t>
      </w:r>
    </w:p>
    <w:p w14:paraId="699C3A1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（4）与供应商的法定代表人或者负责人有夫妻、直系血亲、三代以内旁系血亲或者近姻亲关系；</w:t>
      </w:r>
    </w:p>
    <w:p w14:paraId="1857DD0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（5）与供应商有其他可能影响政府采购活动公平、公正进行的关系。</w:t>
      </w:r>
    </w:p>
    <w:p w14:paraId="2E09954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2DFC4C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5</w:t>
      </w:r>
      <w:r>
        <w:rPr>
          <w:rFonts w:hint="eastAsia" w:ascii="宋体" w:hAnsi="宋体" w:cs="宋体"/>
          <w:color w:val="auto"/>
          <w:highlight w:val="none"/>
        </w:rPr>
        <w:t>有下列情形之一的视为供应商相互串通竞标，响应文件将被视为无效：</w:t>
      </w:r>
    </w:p>
    <w:p w14:paraId="6C541DE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（1）不同供应商的响应文件由同一单位或者个人编制；或者不同供应商报名的IP地址一致的；或者编制响应文件硬件设备CPU编号、硬盘编号、网卡地址一致的情况； </w:t>
      </w:r>
    </w:p>
    <w:p w14:paraId="27E776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（2）不同供应商委托同一单位或者个人办理竞标事宜；</w:t>
      </w:r>
    </w:p>
    <w:p w14:paraId="5CCFAD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（3）不同的供应商的响应文件载明的项目管理员为同一个人；</w:t>
      </w:r>
    </w:p>
    <w:p w14:paraId="5D6B12A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（4）不同供应商的响应文件异常一致或者报价呈规律性差异；</w:t>
      </w:r>
    </w:p>
    <w:p w14:paraId="5D3A8E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（5）不同供应商的响应文件相互混装；</w:t>
      </w:r>
    </w:p>
    <w:p w14:paraId="19D8F481">
      <w:pPr>
        <w:tabs>
          <w:tab w:val="left" w:pos="6931"/>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（6）不同供应商的磋商保证金从同一单位或者个人账户转出。</w:t>
      </w:r>
      <w:r>
        <w:rPr>
          <w:rFonts w:ascii="宋体" w:hAnsi="宋体" w:cs="宋体"/>
          <w:color w:val="auto"/>
          <w:highlight w:val="none"/>
        </w:rPr>
        <w:tab/>
      </w:r>
    </w:p>
    <w:p w14:paraId="5F9D1BB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w:t>
      </w:r>
      <w:r>
        <w:rPr>
          <w:rFonts w:ascii="宋体" w:hAnsi="宋体" w:cs="宋体"/>
          <w:color w:val="auto"/>
          <w:highlight w:val="none"/>
        </w:rPr>
        <w:t>6</w:t>
      </w:r>
      <w:r>
        <w:rPr>
          <w:rFonts w:hint="eastAsia" w:ascii="宋体" w:hAnsi="宋体" w:cs="宋体"/>
          <w:color w:val="auto"/>
          <w:highlight w:val="none"/>
        </w:rPr>
        <w:t>供应商有下列情形之一的，属于恶意串通行为，将报同级监督管理部门：</w:t>
      </w:r>
    </w:p>
    <w:p w14:paraId="50A0819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（1）供应商直接或者间接从采购人或者采购代理机构处获得其他供应商的相关信息并修改其响应文件；</w:t>
      </w:r>
    </w:p>
    <w:p w14:paraId="6906584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（2）供应商按照采购人或者采购代理机构的授意撤换、修改响应文件；</w:t>
      </w:r>
    </w:p>
    <w:p w14:paraId="39922C3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（3）供应商之间协商报价、技术方案等响应文件或者响应文件的实质性内容；</w:t>
      </w:r>
    </w:p>
    <w:p w14:paraId="19855C81">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（4）属于同一集团、协会、商会等组织成员的供应商按照该组织要求协同参加政府采购活动；</w:t>
      </w:r>
    </w:p>
    <w:p w14:paraId="37AF6E0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（5）供应商之间事先约定一致抬高或者压低报价，或者在政府采购活动中事先约定轮流以高价位或者低价位成交，或者事先约定由某一特定供应商成交，然后再参加竞标；</w:t>
      </w:r>
    </w:p>
    <w:p w14:paraId="4E98479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（6）供应商之间商定部分供应商放弃参加政府采购活动或者放弃成交；</w:t>
      </w:r>
    </w:p>
    <w:p w14:paraId="64E86647">
      <w:pPr>
        <w:pStyle w:val="26"/>
        <w:spacing w:line="360" w:lineRule="auto"/>
        <w:ind w:firstLine="420"/>
        <w:rPr>
          <w:rFonts w:hint="eastAsia" w:asciiTheme="minorEastAsia" w:hAnsiTheme="minorEastAsia" w:eastAsiaTheme="minorEastAsia" w:cstheme="minorEastAsia"/>
          <w:color w:val="auto"/>
          <w:sz w:val="21"/>
          <w:szCs w:val="21"/>
          <w:highlight w:val="none"/>
        </w:rPr>
      </w:pPr>
      <w:r>
        <w:rPr>
          <w:rFonts w:hint="eastAsia" w:hAnsi="宋体"/>
          <w:color w:val="auto"/>
          <w:szCs w:val="21"/>
          <w:highlight w:val="none"/>
        </w:rPr>
        <w:t>（7）供应商与采购人或者采购代理机构之间、供应商相互之间，为谋求特定供应商成交或者排斥其他供应商的其他串通行为。</w:t>
      </w:r>
    </w:p>
    <w:p w14:paraId="5EBFA4FB">
      <w:pPr>
        <w:spacing w:line="360" w:lineRule="auto"/>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二、竞争性磋商采购文件（简称磋商文件）</w:t>
      </w:r>
    </w:p>
    <w:p w14:paraId="10C5464F">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8．竞争性磋商采购文件的组成</w:t>
      </w:r>
    </w:p>
    <w:p w14:paraId="7D6ED96F">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第一章 竞争性磋商公告</w:t>
      </w:r>
    </w:p>
    <w:p w14:paraId="4826649C">
      <w:pPr>
        <w:spacing w:line="360" w:lineRule="auto"/>
        <w:ind w:firstLine="428" w:firstLineChars="200"/>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第二章 磋商须知前附表及磋商须知</w:t>
      </w:r>
    </w:p>
    <w:p w14:paraId="32AF3524">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第三章 </w:t>
      </w:r>
      <w:r>
        <w:rPr>
          <w:rFonts w:hint="eastAsia" w:asciiTheme="minorEastAsia" w:hAnsiTheme="minorEastAsia" w:eastAsiaTheme="minorEastAsia" w:cstheme="minorEastAsia"/>
          <w:color w:val="auto"/>
          <w:highlight w:val="none"/>
        </w:rPr>
        <w:t>技术规范</w:t>
      </w:r>
    </w:p>
    <w:p w14:paraId="6B9DAB8C">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第四章 评审程序、评审方法和评审标准</w:t>
      </w:r>
    </w:p>
    <w:p w14:paraId="1FA77F55">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第五章 工程量清单、最高限价及图纸</w:t>
      </w:r>
    </w:p>
    <w:p w14:paraId="04C052EB">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第六章 响应文件格式</w:t>
      </w:r>
    </w:p>
    <w:p w14:paraId="3CFFBF11">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第七章 二次报价格式</w:t>
      </w:r>
    </w:p>
    <w:p w14:paraId="3C3253E9">
      <w:pPr>
        <w:spacing w:line="360" w:lineRule="auto"/>
        <w:ind w:firstLine="419" w:firstLineChars="196"/>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第八章  合同书格式</w:t>
      </w:r>
    </w:p>
    <w:p w14:paraId="7CE68F32">
      <w:pPr>
        <w:spacing w:line="360" w:lineRule="auto"/>
        <w:ind w:firstLine="428" w:firstLineChars="200"/>
        <w:jc w:val="left"/>
        <w:rPr>
          <w:rFonts w:hint="eastAsia" w:ascii="宋体" w:hAnsi="宋体"/>
          <w:b/>
          <w:bCs/>
          <w:color w:val="auto"/>
          <w:highlight w:val="none"/>
        </w:rPr>
      </w:pPr>
      <w:r>
        <w:rPr>
          <w:rFonts w:hint="eastAsia" w:asciiTheme="minorEastAsia" w:hAnsiTheme="minorEastAsia" w:eastAsiaTheme="minorEastAsia" w:cstheme="minorEastAsia"/>
          <w:color w:val="auto"/>
          <w:spacing w:val="2"/>
          <w:highlight w:val="none"/>
        </w:rPr>
        <w:t>第九章  质疑、投诉材料格式</w:t>
      </w:r>
    </w:p>
    <w:p w14:paraId="57E5A477">
      <w:pPr>
        <w:spacing w:line="360" w:lineRule="auto"/>
        <w:jc w:val="left"/>
        <w:rPr>
          <w:rFonts w:hint="eastAsia" w:ascii="宋体" w:hAnsi="宋体"/>
          <w:b/>
          <w:bCs/>
          <w:color w:val="auto"/>
          <w:highlight w:val="none"/>
        </w:rPr>
      </w:pPr>
      <w:r>
        <w:rPr>
          <w:rFonts w:hint="eastAsia" w:ascii="宋体" w:hAnsi="宋体"/>
          <w:b/>
          <w:bCs/>
          <w:color w:val="auto"/>
          <w:highlight w:val="none"/>
        </w:rPr>
        <w:t>9.供应商的询问</w:t>
      </w:r>
    </w:p>
    <w:p w14:paraId="348F9CDC">
      <w:pPr>
        <w:spacing w:line="360" w:lineRule="auto"/>
        <w:ind w:firstLine="420" w:firstLineChars="200"/>
        <w:rPr>
          <w:rFonts w:hint="eastAsia" w:ascii="宋体" w:hAnsi="宋体"/>
          <w:color w:val="auto"/>
          <w:highlight w:val="none"/>
        </w:rPr>
      </w:pPr>
      <w:r>
        <w:rPr>
          <w:rFonts w:hint="eastAsia" w:ascii="宋体" w:hAnsi="宋体"/>
          <w:color w:val="auto"/>
          <w:highlight w:val="none"/>
        </w:rPr>
        <w:t>供应商应认真阅读磋商文件的采购需求，如供应商对磋商文件有疑问的，如要求采购人作出澄清或者修改的，供应商尽应在</w:t>
      </w:r>
      <w:r>
        <w:rPr>
          <w:rFonts w:ascii="宋体" w:hAnsi="宋体"/>
          <w:color w:val="auto"/>
          <w:highlight w:val="none"/>
        </w:rPr>
        <w:t>提交首次响应文件截止之日前</w:t>
      </w:r>
      <w:r>
        <w:rPr>
          <w:rFonts w:hint="eastAsia" w:ascii="宋体" w:hAnsi="宋体"/>
          <w:color w:val="auto"/>
          <w:highlight w:val="none"/>
        </w:rPr>
        <w:t>，以书面形式向</w:t>
      </w:r>
      <w:r>
        <w:rPr>
          <w:rFonts w:ascii="宋体" w:hAnsi="宋体"/>
          <w:color w:val="auto"/>
          <w:highlight w:val="none"/>
        </w:rPr>
        <w:t>采购人、采购代理机构</w:t>
      </w:r>
      <w:r>
        <w:rPr>
          <w:rFonts w:hint="eastAsia" w:ascii="宋体" w:hAnsi="宋体"/>
          <w:color w:val="auto"/>
          <w:highlight w:val="none"/>
        </w:rPr>
        <w:t>提出。</w:t>
      </w:r>
    </w:p>
    <w:p w14:paraId="27ED89A0">
      <w:pPr>
        <w:spacing w:line="360" w:lineRule="auto"/>
        <w:rPr>
          <w:rFonts w:hint="eastAsia" w:asciiTheme="minorEastAsia" w:hAnsiTheme="minorEastAsia" w:eastAsiaTheme="minorEastAsia" w:cstheme="minorEastAsia"/>
          <w:b/>
          <w:bCs/>
          <w:color w:val="auto"/>
          <w:spacing w:val="2"/>
          <w:highlight w:val="none"/>
        </w:rPr>
      </w:pPr>
      <w:r>
        <w:rPr>
          <w:rFonts w:hint="eastAsia" w:ascii="宋体" w:hAnsi="宋体"/>
          <w:b/>
          <w:bCs/>
          <w:color w:val="auto"/>
          <w:highlight w:val="none"/>
        </w:rPr>
        <w:t>10.竞争性磋商采购文件的澄清和修改</w:t>
      </w:r>
    </w:p>
    <w:p w14:paraId="7F217680">
      <w:pPr>
        <w:spacing w:line="420" w:lineRule="exact"/>
        <w:ind w:firstLine="409" w:firstLineChars="195"/>
        <w:rPr>
          <w:rFonts w:hint="eastAsia" w:ascii="宋体" w:hAnsi="宋体"/>
          <w:color w:val="auto"/>
          <w:highlight w:val="none"/>
        </w:rPr>
      </w:pPr>
      <w:r>
        <w:rPr>
          <w:rFonts w:hint="eastAsia" w:ascii="宋体" w:hAnsi="宋体"/>
          <w:color w:val="auto"/>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B3241BE">
      <w:pPr>
        <w:spacing w:line="360" w:lineRule="auto"/>
        <w:ind w:firstLine="422" w:firstLineChars="200"/>
        <w:rPr>
          <w:rFonts w:hint="eastAsia" w:ascii="宋体" w:hAnsi="宋体"/>
          <w:b/>
          <w:color w:val="auto"/>
          <w:highlight w:val="none"/>
        </w:rPr>
      </w:pPr>
      <w:r>
        <w:rPr>
          <w:rFonts w:hint="eastAsia" w:ascii="宋体" w:hAnsi="宋体"/>
          <w:b/>
          <w:color w:val="auto"/>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32862AA2">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3</w:t>
      </w:r>
      <w:r>
        <w:rPr>
          <w:rFonts w:ascii="宋体" w:hAnsi="宋体"/>
          <w:color w:val="auto"/>
          <w:highlight w:val="none"/>
        </w:rPr>
        <w:t>提交首次响应文件截止之日前，采购人、采购代理机构或者</w:t>
      </w:r>
      <w:r>
        <w:rPr>
          <w:rFonts w:hint="eastAsia" w:ascii="宋体" w:hAnsi="宋体"/>
          <w:color w:val="auto"/>
          <w:highlight w:val="none"/>
        </w:rPr>
        <w:t>磋商</w:t>
      </w:r>
      <w:r>
        <w:rPr>
          <w:rFonts w:ascii="宋体" w:hAnsi="宋体"/>
          <w:color w:val="auto"/>
          <w:highlight w:val="none"/>
        </w:rPr>
        <w:t>小组可以对已发出的磋商文件进行必要的澄清或者修改，澄清或者修改的内容作为磋商文件的组成部分。澄清或者修改的内容可能影响响应文件编制的，采购人、采购代理机构或者磋商小组在提交首次响应文件截止时间至少5日前，以</w:t>
      </w:r>
      <w:r>
        <w:rPr>
          <w:rFonts w:hint="eastAsia" w:ascii="宋体" w:hAnsi="宋体"/>
          <w:color w:val="auto"/>
          <w:highlight w:val="none"/>
        </w:rPr>
        <w:t>书面</w:t>
      </w:r>
      <w:r>
        <w:rPr>
          <w:rFonts w:ascii="宋体" w:hAnsi="宋体"/>
          <w:color w:val="auto"/>
          <w:highlight w:val="none"/>
        </w:rPr>
        <w:t>形式</w:t>
      </w:r>
      <w:r>
        <w:rPr>
          <w:rFonts w:hint="eastAsia" w:ascii="宋体" w:hAnsi="宋体"/>
          <w:color w:val="auto"/>
          <w:highlight w:val="none"/>
        </w:rPr>
        <w:t>（目前为网上公告和系统短信等形式）</w:t>
      </w:r>
      <w:r>
        <w:rPr>
          <w:rFonts w:ascii="宋体" w:hAnsi="宋体"/>
          <w:color w:val="auto"/>
          <w:highlight w:val="none"/>
        </w:rPr>
        <w:t>通知所有</w:t>
      </w:r>
      <w:r>
        <w:rPr>
          <w:rFonts w:hint="eastAsia" w:ascii="宋体" w:hAnsi="宋体"/>
          <w:color w:val="auto"/>
          <w:highlight w:val="none"/>
        </w:rPr>
        <w:t>获取</w:t>
      </w:r>
      <w:r>
        <w:rPr>
          <w:rFonts w:ascii="宋体" w:hAnsi="宋体"/>
          <w:color w:val="auto"/>
          <w:highlight w:val="none"/>
        </w:rPr>
        <w:t>磋商文件的供应商，不足5日的，采购人、采购代理机构应当顺延提交首次响应文件截止之日。</w:t>
      </w:r>
    </w:p>
    <w:p w14:paraId="0048AA1B">
      <w:pPr>
        <w:spacing w:line="360" w:lineRule="auto"/>
        <w:ind w:firstLine="420" w:firstLineChars="200"/>
        <w:rPr>
          <w:rFonts w:hint="eastAsia" w:ascii="宋体" w:hAnsi="宋体"/>
          <w:color w:val="auto"/>
          <w:highlight w:val="none"/>
        </w:rPr>
      </w:pPr>
      <w:r>
        <w:rPr>
          <w:rFonts w:hint="eastAsia" w:ascii="宋体" w:hAnsi="宋体"/>
          <w:color w:val="auto"/>
          <w:highlight w:val="none"/>
        </w:rPr>
        <w:t>1</w:t>
      </w:r>
      <w:r>
        <w:rPr>
          <w:rFonts w:ascii="宋体" w:hAnsi="宋体"/>
          <w:color w:val="auto"/>
          <w:highlight w:val="none"/>
        </w:rPr>
        <w:t>0.</w:t>
      </w:r>
      <w:r>
        <w:rPr>
          <w:rFonts w:hint="eastAsia" w:ascii="宋体" w:hAnsi="宋体"/>
          <w:color w:val="auto"/>
          <w:highlight w:val="none"/>
        </w:rPr>
        <w:t>4</w:t>
      </w:r>
      <w:r>
        <w:rPr>
          <w:rFonts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7A68DC2D">
      <w:pPr>
        <w:spacing w:line="360" w:lineRule="auto"/>
        <w:ind w:firstLine="420" w:firstLineChars="200"/>
        <w:rPr>
          <w:color w:val="auto"/>
          <w:highlight w:val="none"/>
        </w:rPr>
      </w:pPr>
      <w:r>
        <w:rPr>
          <w:rFonts w:hint="eastAsia" w:hAnsi="宋体"/>
          <w:color w:val="auto"/>
          <w:highlight w:val="none"/>
        </w:rPr>
        <w:t xml:space="preserve">10.5  </w:t>
      </w:r>
      <w:r>
        <w:rPr>
          <w:rFonts w:hint="eastAsia"/>
          <w:color w:val="auto"/>
          <w:highlight w:val="none"/>
        </w:rPr>
        <w:t>采购人和采购代理机构可以视采购具体情况，变更</w:t>
      </w:r>
      <w:r>
        <w:rPr>
          <w:rFonts w:hAnsi="宋体"/>
          <w:color w:val="auto"/>
          <w:highlight w:val="none"/>
        </w:rPr>
        <w:t>提交首次响应文件</w:t>
      </w:r>
      <w:r>
        <w:rPr>
          <w:rFonts w:hint="eastAsia"/>
          <w:color w:val="auto"/>
          <w:highlight w:val="none"/>
        </w:rPr>
        <w:t>截止时间和竞谈时间，将变更时间在</w:t>
      </w:r>
      <w:r>
        <w:rPr>
          <w:rFonts w:hint="eastAsia" w:hAnsi="宋体"/>
          <w:color w:val="auto"/>
          <w:highlight w:val="none"/>
        </w:rPr>
        <w:t>“采购文件公告</w:t>
      </w:r>
      <w:r>
        <w:rPr>
          <w:rFonts w:hAnsi="宋体"/>
          <w:color w:val="auto"/>
          <w:highlight w:val="none"/>
        </w:rPr>
        <w:t>”</w:t>
      </w:r>
      <w:r>
        <w:rPr>
          <w:rFonts w:hint="eastAsia" w:hAnsi="宋体"/>
          <w:color w:val="auto"/>
          <w:highlight w:val="none"/>
        </w:rPr>
        <w:t>中“七、其他补充事宜3.网上查询地址”</w:t>
      </w:r>
      <w:r>
        <w:rPr>
          <w:rFonts w:hint="eastAsia" w:cs="宋体"/>
          <w:color w:val="auto"/>
          <w:highlight w:val="none"/>
        </w:rPr>
        <w:t>规定的政府采购信息发布媒体上</w:t>
      </w:r>
      <w:r>
        <w:rPr>
          <w:rFonts w:hint="eastAsia"/>
          <w:color w:val="auto"/>
          <w:highlight w:val="none"/>
        </w:rPr>
        <w:t>发布更正公告。</w:t>
      </w:r>
    </w:p>
    <w:p w14:paraId="1C3F6527">
      <w:pPr>
        <w:spacing w:line="420" w:lineRule="exact"/>
        <w:ind w:firstLine="390" w:firstLineChars="195"/>
        <w:rPr>
          <w:rFonts w:ascii="宋体" w:hAnsi="Courier New"/>
          <w:b/>
          <w:color w:val="auto"/>
          <w:kern w:val="0"/>
          <w:sz w:val="20"/>
          <w:highlight w:val="none"/>
        </w:rPr>
      </w:pPr>
      <w:r>
        <w:rPr>
          <w:rFonts w:hint="eastAsia" w:ascii="宋体" w:hAnsi="Courier New"/>
          <w:color w:val="auto"/>
          <w:kern w:val="0"/>
          <w:sz w:val="20"/>
          <w:highlight w:val="none"/>
        </w:rPr>
        <w:t>▲</w:t>
      </w:r>
      <w:r>
        <w:rPr>
          <w:rFonts w:hint="eastAsia" w:ascii="宋体" w:hAnsi="Courier New"/>
          <w:b/>
          <w:color w:val="auto"/>
          <w:kern w:val="0"/>
          <w:sz w:val="20"/>
          <w:highlight w:val="none"/>
        </w:rPr>
        <w:t>响应文件未按磋商文件的澄清、修改的内容编制，又不符合实质性要求的，其响应文件作无效处理。</w:t>
      </w:r>
    </w:p>
    <w:p w14:paraId="7222D05A">
      <w:pPr>
        <w:spacing w:line="460" w:lineRule="exact"/>
        <w:ind w:firstLine="419" w:firstLineChars="195"/>
        <w:jc w:val="center"/>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三、响应文件的编制</w:t>
      </w:r>
    </w:p>
    <w:p w14:paraId="0E7AEEE8">
      <w:pPr>
        <w:spacing w:line="460" w:lineRule="exact"/>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11．竞争性磋商响应文件编制基本要求</w:t>
      </w:r>
    </w:p>
    <w:p w14:paraId="0170172C">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11.1 本项目实行电子投标，供应商应准备电子磋商响应文件。  </w:t>
      </w:r>
    </w:p>
    <w:p w14:paraId="3EA363B5">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11.1.1电子响应文件按广西政府采购云平台要求及本竞争性磋商文件要求制作、加密并递交。具体操作流程可参考《政府采购项目电子交易管理操作指南-供应商》，指南可在“http://www.ccgp-guangxi.gov.cn/PurchaseAdvisory/ImportantNotice/2866753.html”下载。</w:t>
      </w:r>
    </w:p>
    <w:p w14:paraId="70346190">
      <w:pPr>
        <w:spacing w:line="460" w:lineRule="exact"/>
        <w:ind w:firstLine="411" w:firstLineChars="195"/>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▲11.1.2磋商响应文件启用顺序和效力：磋商响应文件的启用，按先后</w:t>
      </w:r>
      <w:r>
        <w:rPr>
          <w:rFonts w:hint="eastAsia" w:asciiTheme="minorEastAsia" w:hAnsiTheme="minorEastAsia" w:eastAsiaTheme="minorEastAsia" w:cstheme="minorEastAsia"/>
          <w:b/>
          <w:bCs/>
          <w:color w:val="auto"/>
          <w:highlight w:val="none"/>
          <w:lang w:val="en-US" w:eastAsia="zh-CN"/>
        </w:rPr>
        <w:t>顺序</w:t>
      </w:r>
      <w:r>
        <w:rPr>
          <w:rFonts w:hint="eastAsia" w:asciiTheme="minorEastAsia" w:hAnsiTheme="minorEastAsia" w:eastAsiaTheme="minorEastAsia" w:cstheme="minorEastAsia"/>
          <w:b/>
          <w:bCs/>
          <w:color w:val="auto"/>
          <w:highlight w:val="none"/>
        </w:rPr>
        <w:t>分别为电子磋商响应文件、电子备份磋商响应文件。若磋商供应商在规定时间内无法解密或解密失败，可以以电子备份磋商响应文件作为依据，若电子备份磋商响应文件与广西政府采购云平台上传的电子磋商响应文件被识别为不一致的，以电子备份磋商响应文件作为评审依据；磋商供应商按时在线解密响应文件的，以在线解密的响应文件作为评审依据。若磋商供应商在规定时间内无法解密或解密失败且未提供电子备份磋商响应文件的，视为响应文件撤回。</w:t>
      </w:r>
    </w:p>
    <w:p w14:paraId="767A8DF6">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11.2 </w:t>
      </w:r>
      <w:r>
        <w:rPr>
          <w:rFonts w:hint="eastAsia" w:ascii="宋体" w:hAnsi="宋体" w:cs="宋体"/>
          <w:color w:val="auto"/>
          <w:highlight w:val="none"/>
        </w:rPr>
        <w:t>供应商应当按照竞争性磋商采购文件的要求编制响应文件，并对其提交的响应文件的真实性、合法性承担法律责任。响应文件应当对竞争性磋商采购文件作出实质性响应</w:t>
      </w:r>
      <w:r>
        <w:rPr>
          <w:rFonts w:hint="eastAsia" w:asciiTheme="minorEastAsia" w:hAnsiTheme="minorEastAsia" w:eastAsiaTheme="minorEastAsia" w:cstheme="minorEastAsia"/>
          <w:color w:val="auto"/>
          <w:spacing w:val="2"/>
          <w:highlight w:val="none"/>
        </w:rPr>
        <w:t xml:space="preserve">。  </w:t>
      </w:r>
    </w:p>
    <w:p w14:paraId="1067B8E6">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11.3磋商供应商提交的竞争性磋商响应文件以及磋商供应商与本公司和采购人就有关磋商的所有来往函电均应使用中文。磋商供应商提交的支持文件和印刷的文献可以使用别的语言，但其相应内容必须附有中文翻译文本，在解释竞争性磋商响应文件时以翻译文本为主。  </w:t>
      </w:r>
    </w:p>
    <w:p w14:paraId="0E4788D8">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11.4 磋商供应商应认真阅读、并充分理解本文件的全部内容（包括所有的澄清、更改、补充、答疑等内容），承诺并履行本文件中各项条款规定及要求 。  </w:t>
      </w:r>
    </w:p>
    <w:p w14:paraId="00D528D5">
      <w:pPr>
        <w:spacing w:line="460" w:lineRule="exact"/>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11.5竞争性磋商响应文件必须按本文件的全部内容，包括所有的澄清、更改、补充、答疑等内容及附件进行编制。</w:t>
      </w:r>
    </w:p>
    <w:p w14:paraId="2AAB23CA">
      <w:pPr>
        <w:spacing w:line="360" w:lineRule="auto"/>
        <w:ind w:firstLine="417" w:firstLineChars="195"/>
        <w:rPr>
          <w:rFonts w:hint="eastAsia" w:asciiTheme="minorEastAsia" w:hAnsiTheme="minorEastAsia" w:eastAsiaTheme="minorEastAsia" w:cstheme="minorEastAsia"/>
          <w:color w:val="auto"/>
          <w:spacing w:val="2"/>
          <w:highlight w:val="none"/>
        </w:rPr>
      </w:pPr>
      <w:r>
        <w:rPr>
          <w:rFonts w:hint="eastAsia" w:asciiTheme="minorEastAsia" w:hAnsiTheme="minorEastAsia" w:eastAsiaTheme="minorEastAsia" w:cstheme="minorEastAsia"/>
          <w:color w:val="auto"/>
          <w:spacing w:val="2"/>
          <w:highlight w:val="none"/>
        </w:rPr>
        <w:t xml:space="preserve">11.6 如因磋商供应商只填写和提供了本文件要求的部分内容和附件，而给磋商小组评审造成困难，其可能导致的结果和责任由磋商供应商自行承担。 </w:t>
      </w:r>
    </w:p>
    <w:p w14:paraId="68376F80">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12．竞争性磋商响应文件的组成</w:t>
      </w:r>
    </w:p>
    <w:p w14:paraId="36D8AA4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12.1响应文件由资格证明文件、商务和技术文件、报价文件三部分组成：</w:t>
      </w:r>
    </w:p>
    <w:p w14:paraId="1387AB4D">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2.1.1</w:t>
      </w:r>
      <w:r>
        <w:rPr>
          <w:rFonts w:hint="eastAsia" w:ascii="宋体" w:hAnsi="宋体" w:cs="宋体"/>
          <w:color w:val="auto"/>
          <w:highlight w:val="none"/>
        </w:rPr>
        <w:t>资格证明文件：详见须知前附表</w:t>
      </w:r>
    </w:p>
    <w:p w14:paraId="19791A3C">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12.1.2商务和技术文件：详见须知前附表</w:t>
      </w:r>
    </w:p>
    <w:p w14:paraId="34D9FCF4">
      <w:pPr>
        <w:spacing w:line="360" w:lineRule="auto"/>
        <w:ind w:left="420" w:leftChars="200"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2.1.</w:t>
      </w:r>
      <w:r>
        <w:rPr>
          <w:rFonts w:hint="eastAsia" w:ascii="宋体" w:hAnsi="宋体" w:cs="宋体"/>
          <w:color w:val="auto"/>
          <w:highlight w:val="none"/>
        </w:rPr>
        <w:t>3报价文件：详见须知前附表</w:t>
      </w:r>
    </w:p>
    <w:p w14:paraId="67C9F69D">
      <w:pPr>
        <w:spacing w:line="360" w:lineRule="auto"/>
        <w:rPr>
          <w:rFonts w:hint="eastAsia" w:asciiTheme="minorEastAsia" w:hAnsiTheme="minorEastAsia" w:eastAsiaTheme="minorEastAsia" w:cstheme="minorEastAsia"/>
          <w:b/>
          <w:bCs/>
          <w:color w:val="auto"/>
          <w:spacing w:val="2"/>
          <w:highlight w:val="none"/>
        </w:rPr>
      </w:pPr>
      <w:r>
        <w:rPr>
          <w:rFonts w:hint="eastAsia" w:asciiTheme="minorEastAsia" w:hAnsiTheme="minorEastAsia" w:eastAsiaTheme="minorEastAsia" w:cstheme="minorEastAsia"/>
          <w:b/>
          <w:bCs/>
          <w:color w:val="auto"/>
          <w:spacing w:val="2"/>
          <w:highlight w:val="none"/>
        </w:rPr>
        <w:t>13.计量单位</w:t>
      </w:r>
    </w:p>
    <w:p w14:paraId="3114A00B">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竞争性磋商采购文件已有明确规定的，使用竞争性磋商采购文件规定的计量单位；竞争性磋商采购文件没有规定的，应采用中华人民共和国法定计量单位，货币种类为人民币，否则视同未响应。</w:t>
      </w:r>
    </w:p>
    <w:p w14:paraId="1EB811D3">
      <w:pPr>
        <w:spacing w:line="400" w:lineRule="exact"/>
        <w:rPr>
          <w:rFonts w:hint="eastAsia" w:ascii="宋体" w:hAnsi="宋体" w:cs="宋体"/>
          <w:b/>
          <w:bCs/>
          <w:color w:val="auto"/>
          <w:highlight w:val="none"/>
        </w:rPr>
      </w:pPr>
      <w:r>
        <w:rPr>
          <w:rFonts w:hint="eastAsia" w:ascii="宋体" w:hAnsi="宋体" w:cs="宋体"/>
          <w:b/>
          <w:bCs/>
          <w:color w:val="auto"/>
          <w:highlight w:val="none"/>
        </w:rPr>
        <w:t>14.竞标的风险</w:t>
      </w:r>
    </w:p>
    <w:p w14:paraId="5FAB7D82">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供应商没有按照竞争性磋商采购文件要求提供全部资料，或者供应商没有对竞争性磋商采购文件在各方面作出实质性响应可能导致其响应无效，是供应商应当考虑的风险。</w:t>
      </w:r>
    </w:p>
    <w:p w14:paraId="67AB9928">
      <w:pPr>
        <w:spacing w:line="400" w:lineRule="exact"/>
        <w:rPr>
          <w:rFonts w:hint="eastAsia" w:ascii="宋体" w:hAnsi="宋体" w:cs="宋体"/>
          <w:b/>
          <w:bCs/>
          <w:color w:val="auto"/>
          <w:highlight w:val="none"/>
        </w:rPr>
      </w:pPr>
      <w:r>
        <w:rPr>
          <w:rFonts w:hint="eastAsia" w:ascii="宋体" w:hAnsi="宋体" w:cs="宋体"/>
          <w:b/>
          <w:bCs/>
          <w:color w:val="auto"/>
          <w:highlight w:val="none"/>
        </w:rPr>
        <w:t>15.</w:t>
      </w:r>
      <w:r>
        <w:rPr>
          <w:rFonts w:hint="eastAsia"/>
          <w:b/>
          <w:bCs/>
          <w:color w:val="auto"/>
          <w:highlight w:val="none"/>
        </w:rPr>
        <w:t xml:space="preserve"> </w:t>
      </w:r>
      <w:r>
        <w:rPr>
          <w:rFonts w:hint="eastAsia" w:ascii="宋体" w:hAnsi="宋体" w:cs="宋体"/>
          <w:b/>
          <w:bCs/>
          <w:color w:val="auto"/>
          <w:highlight w:val="none"/>
        </w:rPr>
        <w:t>磋商报价说明</w:t>
      </w:r>
    </w:p>
    <w:p w14:paraId="05BDD1F7">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15.1磋商价格</w:t>
      </w:r>
    </w:p>
    <w:p w14:paraId="308EF9F4">
      <w:pPr>
        <w:tabs>
          <w:tab w:val="left" w:pos="2492"/>
        </w:tabs>
        <w:spacing w:line="400" w:lineRule="exact"/>
        <w:ind w:firstLine="840" w:firstLineChars="400"/>
        <w:rPr>
          <w:rFonts w:hint="eastAsia" w:ascii="宋体" w:hAnsi="宋体" w:cs="宋体"/>
          <w:color w:val="auto"/>
          <w:highlight w:val="none"/>
        </w:rPr>
      </w:pPr>
      <w:r>
        <w:rPr>
          <w:rFonts w:hint="eastAsia" w:ascii="宋体" w:hAnsi="宋体" w:cs="宋体"/>
          <w:color w:val="auto"/>
          <w:highlight w:val="none"/>
        </w:rPr>
        <w:t>本工程的报价方式为工程量清单报价，合同承包方式为：</w:t>
      </w:r>
      <w:r>
        <w:rPr>
          <w:rFonts w:hint="eastAsia" w:ascii="宋体" w:hAnsi="宋体" w:cs="宋体"/>
          <w:b/>
          <w:bCs/>
          <w:color w:val="auto"/>
          <w:highlight w:val="none"/>
          <w:u w:val="single"/>
        </w:rPr>
        <w:t>固定综合单价</w:t>
      </w:r>
      <w:r>
        <w:rPr>
          <w:rFonts w:hint="eastAsia" w:ascii="宋体" w:hAnsi="宋体" w:cs="宋体"/>
          <w:color w:val="auto"/>
          <w:highlight w:val="none"/>
        </w:rPr>
        <w:t>。</w:t>
      </w:r>
    </w:p>
    <w:p w14:paraId="7B025120">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 本工程量清单是根据竞争性磋商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03B8FA68">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15.1.2 本工程量清单应与竞争性磋商文件中的供应商须知、通用合同条款、专用合同条款、技术规范及图纸等一起阅读和理解。</w:t>
      </w:r>
    </w:p>
    <w:p w14:paraId="7274F3C4">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15.1.3本工程量清单中所列工程数量是估算的或设计的预计数量，仅作为</w:t>
      </w:r>
      <w:r>
        <w:rPr>
          <w:rFonts w:hint="eastAsia" w:ascii="宋体" w:hAnsi="宋体" w:cs="宋体"/>
          <w:color w:val="auto"/>
          <w:highlight w:val="none"/>
          <w:lang w:val="en-US" w:eastAsia="zh-CN"/>
        </w:rPr>
        <w:t>响应</w:t>
      </w:r>
      <w:r>
        <w:rPr>
          <w:rFonts w:hint="eastAsia" w:ascii="宋体" w:hAnsi="宋体" w:cs="宋体"/>
          <w:color w:val="auto"/>
          <w:highlight w:val="none"/>
        </w:rPr>
        <w:t>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的规定，由监理人确定的单价或总额价计算支付额。</w:t>
      </w:r>
    </w:p>
    <w:p w14:paraId="5F989FAE">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15.1.4 工程量清单中所列工程量的变动，丝毫不会降低或影响合同条款的效力，也不免除承包人按规定的标准进行施工和修复缺陷的责任。</w:t>
      </w:r>
    </w:p>
    <w:p w14:paraId="13BC9869">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15.1.5图纸中所列的工程数量表及数量汇总表仅是提供资料，不是工程量清单的外延。当图纸与工程量清单所列数量不一致时，以工程量清单所列数量作为报价的依据。</w:t>
      </w:r>
    </w:p>
    <w:p w14:paraId="300897BA">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15.1.6工程量清单另册发放。 </w:t>
      </w:r>
    </w:p>
    <w:p w14:paraId="40FAC0FD">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15.1.7 工程量清单中的每一子目须填入单价或价格，且只允许有一个报价。</w:t>
      </w:r>
    </w:p>
    <w:p w14:paraId="4D628534">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4E3D634F">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15.1.9 工程量清单中供应商没有填入单价或价格的子目，其费用视为</w:t>
      </w:r>
      <w:r>
        <w:rPr>
          <w:rFonts w:hint="eastAsia" w:ascii="宋体" w:hAnsi="宋体" w:cs="宋体"/>
          <w:color w:val="auto"/>
          <w:highlight w:val="none"/>
          <w:lang w:eastAsia="zh-CN"/>
        </w:rPr>
        <w:t>已</w:t>
      </w:r>
      <w:r>
        <w:rPr>
          <w:rFonts w:hint="eastAsia" w:ascii="宋体" w:hAnsi="宋体" w:cs="宋体"/>
          <w:color w:val="auto"/>
          <w:highlight w:val="none"/>
        </w:rPr>
        <w:t>分摊在工程量清单中其他相关子目的单价或价格之中。承包人必须按监理人指令完成工程量清单中未填入单价或价格的子目，但不能得到结算与支付。</w:t>
      </w:r>
    </w:p>
    <w:p w14:paraId="38729853">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15.1.10 符合合同条款规定的全部费用应认为已被计入有标价的工程量清单所列各子目之中，未列子目不予计量的工作，其费用应视为已分摊在本合同工程的有关子目的单价或总额价之中。</w:t>
      </w:r>
    </w:p>
    <w:p w14:paraId="55F3C682">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15.1.11承包人用于本合同工程的各类装备的提供、运输、维护、拆卸、拼装等支付的费用，已包括在工程量清单的单价与总额价之中。</w:t>
      </w:r>
    </w:p>
    <w:p w14:paraId="0B342956">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15.1.12 工程量清单中各项金额均以人民币（元）结算。</w:t>
      </w:r>
    </w:p>
    <w:p w14:paraId="464E8C4B">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15.1.13 暂列金额（不含计日工总额）的数量及拟用子目的说明：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4680FCA5">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15.1.14 暂估价的数量及拟用子目的说明：</w:t>
      </w:r>
      <w:r>
        <w:rPr>
          <w:rFonts w:hint="eastAsia" w:ascii="宋体" w:hAnsi="宋体" w:cs="宋体"/>
          <w:color w:val="auto"/>
          <w:highlight w:val="none"/>
          <w:u w:val="single"/>
        </w:rPr>
        <w:t xml:space="preserve"> 详见工程量清单 </w:t>
      </w:r>
      <w:r>
        <w:rPr>
          <w:rFonts w:hint="eastAsia" w:ascii="宋体" w:hAnsi="宋体" w:cs="宋体"/>
          <w:color w:val="auto"/>
          <w:highlight w:val="none"/>
        </w:rPr>
        <w:t>。</w:t>
      </w:r>
    </w:p>
    <w:p w14:paraId="2D19C44B">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 xml:space="preserve">15.1.15磋商供应商的磋商报价须按竞争性磋商采购文件及澄清答疑中所确认的工程量清单进行报价。磋商供应商对自己所填写的项目编码、计量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6597ED9B">
      <w:pPr>
        <w:tabs>
          <w:tab w:val="left" w:pos="2492"/>
        </w:tabs>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15.2磋商价格计算依据：</w:t>
      </w:r>
    </w:p>
    <w:p w14:paraId="3F596739">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1.《建设工程工程量清单计价规范》（GB 50500-2013）、《房屋建筑与装饰工程工程量计算规范（GB 50854-2013）》；</w:t>
      </w:r>
      <w:r>
        <w:rPr>
          <w:rFonts w:hint="eastAsia" w:ascii="宋体" w:hAnsi="宋体" w:eastAsia="宋体" w:cs="宋体"/>
          <w:b w:val="0"/>
          <w:bCs w:val="0"/>
          <w:color w:val="auto"/>
          <w:kern w:val="2"/>
          <w:sz w:val="21"/>
          <w:szCs w:val="21"/>
          <w:highlight w:val="none"/>
          <w:lang w:val="en-US" w:eastAsia="zh-CN" w:bidi="ar-SA"/>
        </w:rPr>
        <w:tab/>
      </w:r>
    </w:p>
    <w:p w14:paraId="3217EACA">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2.《建设工程工程量计算规范广西壮族自治区实施细则（GB 50854～50862-2013）》、《建设工程工程量清单计价规范广西壮族自治区实施细则（GB 50500-2013）》；</w:t>
      </w:r>
      <w:r>
        <w:rPr>
          <w:rFonts w:hint="eastAsia" w:ascii="宋体" w:hAnsi="宋体" w:eastAsia="宋体" w:cs="宋体"/>
          <w:b w:val="0"/>
          <w:bCs w:val="0"/>
          <w:color w:val="auto"/>
          <w:kern w:val="2"/>
          <w:sz w:val="21"/>
          <w:szCs w:val="21"/>
          <w:highlight w:val="none"/>
          <w:lang w:val="en-US" w:eastAsia="zh-CN" w:bidi="ar-SA"/>
        </w:rPr>
        <w:tab/>
      </w:r>
    </w:p>
    <w:p w14:paraId="1D40BB0E">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3.2022版《广西壮族自治区市政工程消耗量定额》及其配套费用定额；</w:t>
      </w:r>
      <w:r>
        <w:rPr>
          <w:rFonts w:hint="eastAsia" w:ascii="宋体" w:hAnsi="宋体" w:eastAsia="宋体" w:cs="宋体"/>
          <w:b w:val="0"/>
          <w:bCs w:val="0"/>
          <w:color w:val="auto"/>
          <w:kern w:val="2"/>
          <w:sz w:val="21"/>
          <w:szCs w:val="21"/>
          <w:highlight w:val="none"/>
          <w:lang w:val="en-US" w:eastAsia="zh-CN" w:bidi="ar-SA"/>
        </w:rPr>
        <w:tab/>
      </w:r>
    </w:p>
    <w:p w14:paraId="47BECB65">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4.2024版《广西壮族自治区建筑装饰装修工程消耗量定额》及其配套费用定额；</w:t>
      </w:r>
      <w:r>
        <w:rPr>
          <w:rFonts w:hint="eastAsia" w:ascii="宋体" w:hAnsi="宋体" w:eastAsia="宋体" w:cs="宋体"/>
          <w:b w:val="0"/>
          <w:bCs w:val="0"/>
          <w:color w:val="auto"/>
          <w:kern w:val="2"/>
          <w:sz w:val="21"/>
          <w:szCs w:val="21"/>
          <w:highlight w:val="none"/>
          <w:lang w:val="en-US" w:eastAsia="zh-CN" w:bidi="ar-SA"/>
        </w:rPr>
        <w:tab/>
      </w:r>
    </w:p>
    <w:p w14:paraId="70A05053">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5.《自治区住房城乡建设厅关于调整建设工程定额人工费及有关费率的通知》（桂建标〔2023〕7号）；</w:t>
      </w:r>
    </w:p>
    <w:p w14:paraId="5AB7DFB4">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6.《自治区住房城乡建设厅关于调整建设工程计价增值税税率的通知》（桂建标〔2019〕12号）；</w:t>
      </w:r>
      <w:r>
        <w:rPr>
          <w:rFonts w:hint="eastAsia" w:ascii="宋体" w:hAnsi="宋体" w:eastAsia="宋体" w:cs="宋体"/>
          <w:b w:val="0"/>
          <w:bCs w:val="0"/>
          <w:color w:val="auto"/>
          <w:kern w:val="2"/>
          <w:sz w:val="21"/>
          <w:szCs w:val="21"/>
          <w:highlight w:val="none"/>
          <w:lang w:val="en-US" w:eastAsia="zh-CN" w:bidi="ar-SA"/>
        </w:rPr>
        <w:tab/>
      </w:r>
    </w:p>
    <w:p w14:paraId="5758D297">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7.《自治区住</w:t>
      </w:r>
      <w:r>
        <w:rPr>
          <w:rFonts w:hint="eastAsia" w:ascii="宋体" w:hAnsi="宋体" w:cs="宋体"/>
          <w:b w:val="0"/>
          <w:bCs w:val="0"/>
          <w:color w:val="auto"/>
          <w:kern w:val="2"/>
          <w:sz w:val="21"/>
          <w:szCs w:val="21"/>
          <w:highlight w:val="none"/>
          <w:lang w:val="en-US" w:eastAsia="zh-CN" w:bidi="ar-SA"/>
        </w:rPr>
        <w:t>房和</w:t>
      </w:r>
      <w:r>
        <w:rPr>
          <w:rFonts w:hint="eastAsia" w:ascii="宋体" w:hAnsi="宋体" w:eastAsia="宋体" w:cs="宋体"/>
          <w:b w:val="0"/>
          <w:bCs w:val="0"/>
          <w:color w:val="auto"/>
          <w:kern w:val="2"/>
          <w:sz w:val="21"/>
          <w:szCs w:val="21"/>
          <w:highlight w:val="none"/>
          <w:lang w:val="en-US" w:eastAsia="zh-CN" w:bidi="ar-SA"/>
        </w:rPr>
        <w:t>城乡建设厅关于印发广西壮族自治区房屋建筑和市政基础设施工程安全生产责任保险计价规定的通知》（桂建发〔2023〕6 号）的规定；</w:t>
      </w:r>
      <w:r>
        <w:rPr>
          <w:rFonts w:hint="eastAsia" w:ascii="宋体" w:hAnsi="宋体" w:eastAsia="宋体" w:cs="宋体"/>
          <w:b w:val="0"/>
          <w:bCs w:val="0"/>
          <w:color w:val="auto"/>
          <w:kern w:val="2"/>
          <w:sz w:val="21"/>
          <w:szCs w:val="21"/>
          <w:highlight w:val="none"/>
          <w:lang w:val="en-US" w:eastAsia="zh-CN" w:bidi="ar-SA"/>
        </w:rPr>
        <w:tab/>
      </w:r>
    </w:p>
    <w:p w14:paraId="0F66DBE3">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8.施工现场情况、工程特点及常规施工组织设计方案；</w:t>
      </w:r>
      <w:r>
        <w:rPr>
          <w:rFonts w:hint="eastAsia" w:ascii="宋体" w:hAnsi="宋体" w:eastAsia="宋体" w:cs="宋体"/>
          <w:b w:val="0"/>
          <w:bCs w:val="0"/>
          <w:color w:val="auto"/>
          <w:kern w:val="2"/>
          <w:sz w:val="21"/>
          <w:szCs w:val="21"/>
          <w:highlight w:val="none"/>
          <w:lang w:val="en-US" w:eastAsia="zh-CN" w:bidi="ar-SA"/>
        </w:rPr>
        <w:tab/>
      </w:r>
    </w:p>
    <w:p w14:paraId="65BB8C65">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9.其他现行相关文件、法律法规、标准图集等。</w:t>
      </w:r>
      <w:r>
        <w:rPr>
          <w:rFonts w:hint="eastAsia" w:ascii="宋体" w:hAnsi="宋体" w:eastAsia="宋体" w:cs="宋体"/>
          <w:b w:val="0"/>
          <w:bCs w:val="0"/>
          <w:color w:val="auto"/>
          <w:kern w:val="2"/>
          <w:sz w:val="21"/>
          <w:szCs w:val="21"/>
          <w:highlight w:val="none"/>
          <w:lang w:val="en-US" w:eastAsia="zh-CN" w:bidi="ar-SA"/>
        </w:rPr>
        <w:tab/>
      </w:r>
    </w:p>
    <w:p w14:paraId="7F4F5AE6">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材料价格:材料价格参考《南宁建设工程造价信息》</w:t>
      </w:r>
      <w:r>
        <w:rPr>
          <w:rFonts w:hint="eastAsia" w:ascii="宋体" w:hAnsi="宋体" w:cs="宋体"/>
          <w:b w:val="0"/>
          <w:bCs w:val="0"/>
          <w:color w:val="auto"/>
          <w:kern w:val="2"/>
          <w:sz w:val="21"/>
          <w:szCs w:val="21"/>
          <w:highlight w:val="none"/>
          <w:lang w:val="en-US" w:eastAsia="zh-CN" w:bidi="ar-SA"/>
        </w:rPr>
        <w:t>2026年</w:t>
      </w:r>
      <w:r>
        <w:rPr>
          <w:rFonts w:hint="eastAsia" w:ascii="宋体" w:hAnsi="宋体" w:eastAsia="宋体" w:cs="宋体"/>
          <w:b w:val="0"/>
          <w:bCs w:val="0"/>
          <w:color w:val="auto"/>
          <w:kern w:val="2"/>
          <w:sz w:val="21"/>
          <w:szCs w:val="21"/>
          <w:highlight w:val="none"/>
          <w:lang w:val="en-US" w:eastAsia="zh-CN" w:bidi="ar-SA"/>
        </w:rPr>
        <w:t>第6期上半月刊，信息价缺项部分按市场询价。</w:t>
      </w:r>
    </w:p>
    <w:p w14:paraId="48C962FA">
      <w:pPr>
        <w:tabs>
          <w:tab w:val="left" w:pos="2492"/>
        </w:tabs>
        <w:spacing w:line="360" w:lineRule="auto"/>
        <w:ind w:firstLine="420" w:firstLineChars="200"/>
        <w:rPr>
          <w:rFonts w:hint="default" w:ascii="宋体" w:hAnsi="宋体" w:eastAsia="宋体" w:cs="宋体"/>
          <w:b w:val="0"/>
          <w:bCs w:val="0"/>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其他说明：</w:t>
      </w:r>
    </w:p>
    <w:p w14:paraId="13D37592">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1.本工程采用增值税一般计税法计价，即税率为9%；</w:t>
      </w:r>
      <w:r>
        <w:rPr>
          <w:rFonts w:hint="eastAsia" w:ascii="宋体" w:hAnsi="宋体" w:eastAsia="宋体" w:cs="宋体"/>
          <w:b w:val="0"/>
          <w:bCs w:val="0"/>
          <w:color w:val="auto"/>
          <w:kern w:val="2"/>
          <w:sz w:val="21"/>
          <w:szCs w:val="21"/>
          <w:highlight w:val="none"/>
          <w:lang w:val="en-US" w:eastAsia="zh-CN" w:bidi="ar-SA"/>
        </w:rPr>
        <w:tab/>
      </w:r>
    </w:p>
    <w:p w14:paraId="41AE07BA">
      <w:pPr>
        <w:tabs>
          <w:tab w:val="left" w:pos="2492"/>
        </w:tabs>
        <w:spacing w:line="360" w:lineRule="auto"/>
        <w:ind w:firstLine="420" w:firstLineChars="20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2.安全生产责任保险费按分部分项工程费及措施项目费（含单价及总价措施项目费）为计算基数乘以0.2%计入暂估价，工程结算时，由发承包双方根据工程实际情况确认的安全生产责任保险费计入工程造价。</w:t>
      </w:r>
    </w:p>
    <w:p w14:paraId="02A4500D">
      <w:pPr>
        <w:tabs>
          <w:tab w:val="left" w:pos="2492"/>
        </w:tabs>
        <w:spacing w:line="360" w:lineRule="auto"/>
        <w:ind w:firstLine="422" w:firstLineChars="200"/>
        <w:rPr>
          <w:rFonts w:hint="eastAsia" w:ascii="宋体" w:hAnsi="宋体" w:cs="宋体"/>
          <w:color w:val="auto"/>
          <w:highlight w:val="none"/>
        </w:rPr>
      </w:pPr>
      <w:r>
        <w:rPr>
          <w:rFonts w:hint="eastAsia" w:ascii="宋体" w:hAnsi="宋体" w:cs="宋体"/>
          <w:b/>
          <w:color w:val="auto"/>
          <w:highlight w:val="none"/>
        </w:rPr>
        <w:t>15.3本项目有二次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68EC08E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15.4竞标报价（最后报价）超过规定的采购预算金额或者最高限价的（如本项目公布了最高限价），其响应文件将作无效处理。</w:t>
      </w:r>
      <w:bookmarkStart w:id="12" w:name="_Hlk42592874"/>
    </w:p>
    <w:bookmarkEnd w:id="12"/>
    <w:p w14:paraId="7DC56AB9">
      <w:pPr>
        <w:spacing w:line="360" w:lineRule="auto"/>
        <w:rPr>
          <w:rFonts w:hint="eastAsia" w:ascii="宋体" w:hAnsi="宋体" w:cs="宋体"/>
          <w:b/>
          <w:bCs/>
          <w:color w:val="auto"/>
          <w:highlight w:val="none"/>
        </w:rPr>
      </w:pPr>
      <w:r>
        <w:rPr>
          <w:rFonts w:hint="eastAsia" w:ascii="宋体" w:hAnsi="宋体" w:cs="宋体"/>
          <w:b/>
          <w:bCs/>
          <w:color w:val="auto"/>
          <w:highlight w:val="none"/>
        </w:rPr>
        <w:t>16.竞标有效期</w:t>
      </w:r>
    </w:p>
    <w:p w14:paraId="60EAB5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16.1竞标有效期是指为保证采购人有足够的时间在提交响应文件后完成评审、确定成交供应商、合同签订等工作而要求供应商提交的响应文件在一定时间内保持有效的期限。</w:t>
      </w:r>
    </w:p>
    <w:p w14:paraId="4116B67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16.2 竞标有效期应由供应商按“供应商须知前附表”规定的期限作出响应。</w:t>
      </w:r>
    </w:p>
    <w:p w14:paraId="7E4BAEF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16.3供应商的响应文件在竞标有效期内均保持有效。</w:t>
      </w:r>
    </w:p>
    <w:p w14:paraId="036CDBF4">
      <w:pPr>
        <w:spacing w:line="360" w:lineRule="auto"/>
        <w:rPr>
          <w:rFonts w:hint="eastAsia" w:ascii="宋体" w:hAnsi="宋体" w:cs="宋体"/>
          <w:b/>
          <w:bCs/>
          <w:color w:val="auto"/>
          <w:highlight w:val="none"/>
        </w:rPr>
      </w:pPr>
      <w:r>
        <w:rPr>
          <w:rFonts w:hint="eastAsia" w:ascii="宋体" w:hAnsi="宋体" w:cs="宋体"/>
          <w:b/>
          <w:bCs/>
          <w:color w:val="auto"/>
          <w:highlight w:val="none"/>
        </w:rPr>
        <w:t>17.磋商保证金：详见磋商须知前附表</w:t>
      </w:r>
    </w:p>
    <w:p w14:paraId="36B84A35">
      <w:pPr>
        <w:spacing w:line="360" w:lineRule="auto"/>
        <w:rPr>
          <w:rFonts w:hint="eastAsia" w:ascii="宋体" w:hAnsi="宋体" w:cs="宋体"/>
          <w:b/>
          <w:bCs/>
          <w:color w:val="auto"/>
          <w:highlight w:val="none"/>
        </w:rPr>
      </w:pPr>
      <w:r>
        <w:rPr>
          <w:rFonts w:hint="eastAsia" w:ascii="宋体" w:hAnsi="宋体" w:cs="宋体"/>
          <w:b/>
          <w:bCs/>
          <w:color w:val="auto"/>
          <w:highlight w:val="none"/>
        </w:rPr>
        <w:t>18.响应文件编制的要求</w:t>
      </w:r>
    </w:p>
    <w:p w14:paraId="023854F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由此引发的后果由供应商承担。</w:t>
      </w:r>
    </w:p>
    <w:p w14:paraId="7EBD18C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18.2</w:t>
      </w:r>
      <w:r>
        <w:rPr>
          <w:rFonts w:hint="eastAsia" w:ascii="宋体" w:hAnsi="宋体" w:cs="宋体"/>
          <w:b/>
          <w:bCs/>
          <w:color w:val="auto"/>
          <w:highlight w:val="none"/>
        </w:rPr>
        <w:t>响应文件应按资格证明、报价分别编制，商务技术文件合并编制，本磋商只接受电子版响应文件。</w:t>
      </w:r>
    </w:p>
    <w:p w14:paraId="37543A5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w:t>
      </w:r>
      <w:bookmarkStart w:id="13" w:name="_Hlk65832699"/>
      <w:r>
        <w:rPr>
          <w:rFonts w:hint="eastAsia" w:ascii="宋体" w:hAnsi="宋体" w:cs="宋体"/>
          <w:color w:val="auto"/>
          <w:highlight w:val="none"/>
        </w:rPr>
        <w:t>3</w:t>
      </w:r>
      <w:r>
        <w:rPr>
          <w:rFonts w:hint="eastAsia" w:ascii="宋体" w:hAnsi="宋体"/>
          <w:color w:val="auto"/>
          <w:highlight w:val="none"/>
        </w:rPr>
        <w:t>响应文件须由供应商在</w:t>
      </w:r>
      <w:r>
        <w:rPr>
          <w:rFonts w:hint="eastAsia" w:ascii="宋体" w:hAnsi="宋体" w:cs="仿宋_GB2312"/>
          <w:color w:val="auto"/>
          <w:kern w:val="0"/>
          <w:highlight w:val="none"/>
          <w:lang w:val="zh-CN"/>
        </w:rPr>
        <w:t>“</w:t>
      </w:r>
      <w:r>
        <w:rPr>
          <w:rFonts w:hint="eastAsia" w:ascii="宋体" w:hAnsi="宋体"/>
          <w:color w:val="auto"/>
          <w:highlight w:val="none"/>
        </w:rPr>
        <w:t>第五章 响应文件格式</w:t>
      </w:r>
      <w:r>
        <w:rPr>
          <w:rFonts w:hint="eastAsia" w:ascii="宋体" w:hAnsi="宋体" w:cs="仿宋_GB2312"/>
          <w:color w:val="auto"/>
          <w:kern w:val="0"/>
          <w:highlight w:val="none"/>
          <w:lang w:val="zh-CN"/>
        </w:rPr>
        <w:t>”</w:t>
      </w:r>
      <w:r>
        <w:rPr>
          <w:rFonts w:hint="eastAsia" w:ascii="宋体" w:hAnsi="宋体"/>
          <w:color w:val="auto"/>
          <w:highlight w:val="none"/>
        </w:rPr>
        <w:t>规定位置</w:t>
      </w:r>
      <w:r>
        <w:rPr>
          <w:rFonts w:hint="eastAsia" w:ascii="宋体" w:hAnsi="宋体" w:cs="仿宋_GB2312"/>
          <w:color w:val="auto"/>
          <w:highlight w:val="none"/>
        </w:rPr>
        <w:t>进行签署、盖章</w:t>
      </w:r>
      <w:bookmarkEnd w:id="13"/>
      <w:r>
        <w:rPr>
          <w:rFonts w:hint="eastAsia" w:ascii="宋体" w:hAnsi="宋体" w:cs="宋体"/>
          <w:color w:val="auto"/>
          <w:highlight w:val="none"/>
        </w:rPr>
        <w:t>，否则其响应文件按无效响应处理。骑缝盖公章不视为在规定位置盖章。</w:t>
      </w:r>
    </w:p>
    <w:p w14:paraId="5A10827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18.4响应文件中标注的供应商名称应与营业执照（事业单位法人证书、执业许可证、自然人身份证）及电子公章一致，否则其响应文件按无效响应处理。</w:t>
      </w:r>
    </w:p>
    <w:p w14:paraId="7C75643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18.5响应文件应避免涂改、行间插字或者删除，否则其响应文件按无效响应处理。</w:t>
      </w:r>
    </w:p>
    <w:p w14:paraId="0D07545B">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18.6</w:t>
      </w:r>
      <w:r>
        <w:rPr>
          <w:rFonts w:hint="eastAsia" w:ascii="宋体" w:hAnsi="宋体" w:cs="宋体"/>
          <w:b/>
          <w:color w:val="auto"/>
          <w:highlight w:val="none"/>
        </w:rPr>
        <w:t>▲特别说明：（1）响应文件中所须加盖公章部分均采用CA签章。若竞争性磋商采购文件中有专门标注的某关联点，并要求供应商在电子投标系统中作出磋商响应的，如供应商未对关联点进行响应或者在响应文件其它内容进行描述，造成电子评审不能查询的责任由供应商自行承担。</w:t>
      </w:r>
    </w:p>
    <w:p w14:paraId="18A2052E">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（2）竞争性磋商采购文件要求提供的的各种复印件，须加盖磋商供应商CA签章，否则其磋商无效。</w:t>
      </w:r>
    </w:p>
    <w:p w14:paraId="42769A43">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（3）竞争性磋商采购文件要求“必须提供”的证明等材料，磋商供应商必须全部提供，缺一不可，否则磋商无效。</w:t>
      </w:r>
    </w:p>
    <w:p w14:paraId="10DBB294">
      <w:pPr>
        <w:spacing w:line="400" w:lineRule="exact"/>
        <w:ind w:firstLine="422" w:firstLineChars="200"/>
        <w:rPr>
          <w:rFonts w:hint="eastAsia" w:ascii="宋体" w:hAnsi="宋体" w:cs="宋体"/>
          <w:b/>
          <w:color w:val="auto"/>
          <w:highlight w:val="none"/>
        </w:rPr>
      </w:pPr>
      <w:r>
        <w:rPr>
          <w:rFonts w:hint="eastAsia" w:ascii="宋体" w:hAnsi="宋体" w:cs="宋体"/>
          <w:b/>
          <w:color w:val="auto"/>
          <w:highlight w:val="none"/>
        </w:rPr>
        <w:t>（4）竞争性磋商采购文件要求法定代表人（负责人）或委托代理人签字的部分必须签字或电子签章，否则视为磋商无效。</w:t>
      </w:r>
    </w:p>
    <w:p w14:paraId="0B4EC95F">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（5）电子磋商响应文件中须加盖供应商公章部分均采用 CA 签章，并根据“政府采购项目电子交易管理操作指南-供应商”及本竞争性磋商采购文件规定的格式和顺序编制电子磋商响应文件并进行关联定位，以便磋商小组在评审时，点击评分项可直接定位到该评分项内容。如对竞争性磋商采购文件的某项要求，供应商的电子磋商响应文件未能关联定位提供相应的内容与其对应，则磋商小组在评审时如做出对供应商不利的评审由供应商自行承担。电子磋商响应文件如内容不完整、编排混乱导致磋商响应文件被误读、 漏读，或者在竞争性磋商文件规定的部位查找不到相关内容的，由供应商自行承担。</w:t>
      </w:r>
    </w:p>
    <w:p w14:paraId="1CCC8260">
      <w:pPr>
        <w:adjustRightInd w:val="0"/>
        <w:snapToGrid w:val="0"/>
        <w:spacing w:line="360" w:lineRule="exact"/>
        <w:ind w:firstLine="420"/>
        <w:rPr>
          <w:rFonts w:ascii="宋体" w:hAnsi="Courier New"/>
          <w:b/>
          <w:color w:val="auto"/>
          <w:szCs w:val="20"/>
          <w:highlight w:val="none"/>
        </w:rPr>
      </w:pPr>
      <w:r>
        <w:rPr>
          <w:rFonts w:hint="eastAsia" w:ascii="宋体" w:hAnsi="Courier New"/>
          <w:b/>
          <w:color w:val="auto"/>
          <w:szCs w:val="20"/>
          <w:highlight w:val="none"/>
        </w:rPr>
        <w:t>（6）磋商响应文件不得涂改，若有修改错漏处，须法定代表人（负责人）或授权委托人签字。磋商响应文件因字迹潦草或表达不清所引起的后果由供应商负责。</w:t>
      </w:r>
    </w:p>
    <w:p w14:paraId="740EEF53">
      <w:pPr>
        <w:shd w:val="clear" w:color="auto" w:fill="FFFFFF"/>
        <w:spacing w:line="360" w:lineRule="auto"/>
        <w:rPr>
          <w:rFonts w:hint="eastAsia" w:ascii="宋体" w:hAnsi="宋体"/>
          <w:b/>
          <w:bCs/>
          <w:color w:val="auto"/>
          <w:highlight w:val="none"/>
        </w:rPr>
      </w:pPr>
    </w:p>
    <w:p w14:paraId="33CE908D">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19.响应文件的密封和标记</w:t>
      </w:r>
    </w:p>
    <w:p w14:paraId="60C53FF5">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19.1供应商进行电子交易应安装客户端软件—“</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电子交易客户端”，并按照磋商文件和电子交易平台的要求编制并加密响应文件。供应商未按规定加密的响应文件，电子交易平台将拒收并提示。</w:t>
      </w:r>
    </w:p>
    <w:p w14:paraId="6FDAAF8B">
      <w:pPr>
        <w:spacing w:line="360" w:lineRule="auto"/>
        <w:ind w:firstLine="420" w:firstLineChars="200"/>
        <w:rPr>
          <w:rFonts w:hint="eastAsia" w:ascii="宋体" w:hAnsi="宋体" w:cs="仿宋_GB2312"/>
          <w:color w:val="auto"/>
          <w:kern w:val="0"/>
          <w:highlight w:val="none"/>
          <w:lang w:val="zh-CN"/>
        </w:rPr>
      </w:pPr>
      <w:r>
        <w:rPr>
          <w:rFonts w:hint="eastAsia" w:ascii="宋体" w:hAnsi="宋体" w:cs="仿宋_GB2312"/>
          <w:color w:val="auto"/>
          <w:kern w:val="0"/>
          <w:highlight w:val="none"/>
          <w:lang w:val="zh-CN"/>
        </w:rPr>
        <w:t>19.2使用“</w:t>
      </w:r>
      <w:r>
        <w:rPr>
          <w:rFonts w:hint="eastAsia" w:ascii="宋体" w:hAnsi="宋体" w:cs="仿宋_GB2312"/>
          <w:color w:val="auto"/>
          <w:kern w:val="0"/>
          <w:highlight w:val="none"/>
        </w:rPr>
        <w:t>广西政府采购云</w:t>
      </w:r>
      <w:r>
        <w:rPr>
          <w:rFonts w:hint="eastAsia" w:ascii="宋体" w:hAnsi="宋体" w:cs="仿宋_GB2312"/>
          <w:color w:val="auto"/>
          <w:kern w:val="0"/>
          <w:highlight w:val="none"/>
          <w:lang w:val="zh-CN"/>
        </w:rPr>
        <w:t>电子交易客户端”需要提前申领CA数字证书，申领流程见该项目采购公告附件。</w:t>
      </w:r>
    </w:p>
    <w:p w14:paraId="1FEEC307">
      <w:pPr>
        <w:spacing w:line="360" w:lineRule="auto"/>
        <w:ind w:firstLine="396" w:firstLineChars="200"/>
        <w:rPr>
          <w:rFonts w:hint="eastAsia" w:ascii="宋体" w:hAnsi="宋体" w:cs="仿宋_GB2312"/>
          <w:color w:val="auto"/>
          <w:spacing w:val="-6"/>
          <w:kern w:val="0"/>
          <w:highlight w:val="none"/>
          <w:lang w:val="zh-CN"/>
        </w:rPr>
      </w:pPr>
      <w:r>
        <w:rPr>
          <w:rFonts w:hint="eastAsia" w:ascii="宋体" w:hAnsi="宋体" w:cs="仿宋_GB2312"/>
          <w:color w:val="auto"/>
          <w:spacing w:val="-6"/>
          <w:kern w:val="0"/>
          <w:highlight w:val="none"/>
          <w:lang w:val="zh-CN"/>
        </w:rPr>
        <w:t>19.3为确保网上操作合法、有效和安全，供应商应当在响应文件提交截止时间前完成在“政府采购云平台”的身份认证，确保在电子交易过程中能够对相关数据电文进行加密和使用电子签名。</w:t>
      </w:r>
    </w:p>
    <w:p w14:paraId="4B64DB03">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20. 竞争性磋商响应文件的递交</w:t>
      </w:r>
    </w:p>
    <w:p w14:paraId="46251AF7">
      <w:pPr>
        <w:spacing w:line="360" w:lineRule="auto"/>
        <w:ind w:firstLine="420" w:firstLineChars="200"/>
        <w:rPr>
          <w:rFonts w:hint="eastAsia" w:ascii="宋体" w:hAnsi="宋体"/>
          <w:color w:val="auto"/>
          <w:highlight w:val="none"/>
        </w:rPr>
      </w:pPr>
      <w:r>
        <w:rPr>
          <w:rFonts w:hint="eastAsia" w:ascii="宋体" w:hAnsi="宋体"/>
          <w:color w:val="auto"/>
          <w:highlight w:val="none"/>
        </w:rPr>
        <w:t>20.1</w:t>
      </w:r>
      <w:r>
        <w:rPr>
          <w:rFonts w:hint="eastAsia" w:ascii="宋体" w:hAnsi="宋体" w:cs="宋体"/>
          <w:color w:val="auto"/>
          <w:highlight w:val="none"/>
        </w:rPr>
        <w:t>供应商必须在“供应商须知前附表”规定的时间和地点提交响应文件。</w:t>
      </w:r>
    </w:p>
    <w:p w14:paraId="455A604F">
      <w:pPr>
        <w:spacing w:line="360" w:lineRule="auto"/>
        <w:ind w:firstLine="420" w:firstLineChars="200"/>
        <w:rPr>
          <w:rFonts w:hint="eastAsia" w:ascii="宋体" w:hAnsi="宋体"/>
          <w:color w:val="auto"/>
          <w:highlight w:val="none"/>
        </w:rPr>
      </w:pPr>
      <w:r>
        <w:rPr>
          <w:rFonts w:hint="eastAsia" w:ascii="宋体" w:hAnsi="宋体"/>
          <w:color w:val="auto"/>
          <w:highlight w:val="none"/>
        </w:rPr>
        <w:t>20.2 在响应文件提交截止时间以后，不能补充、修改响应文件。</w:t>
      </w:r>
    </w:p>
    <w:p w14:paraId="7C54B013">
      <w:pPr>
        <w:spacing w:line="360" w:lineRule="auto"/>
        <w:ind w:firstLine="420" w:firstLineChars="200"/>
        <w:rPr>
          <w:rFonts w:hint="eastAsia" w:ascii="宋体" w:hAnsi="宋体"/>
          <w:color w:val="auto"/>
          <w:highlight w:val="none"/>
        </w:rPr>
      </w:pPr>
      <w:r>
        <w:rPr>
          <w:rFonts w:hint="eastAsia" w:ascii="宋体" w:hAnsi="宋体"/>
          <w:color w:val="auto"/>
          <w:highlight w:val="none"/>
        </w:rPr>
        <w:t>20.3 在提交“最后报价”后，供应商不能退出谈判。</w:t>
      </w:r>
    </w:p>
    <w:p w14:paraId="3B7733C6">
      <w:pPr>
        <w:spacing w:line="360" w:lineRule="auto"/>
        <w:ind w:firstLine="420" w:firstLineChars="200"/>
        <w:rPr>
          <w:rFonts w:hint="eastAsia" w:ascii="宋体" w:hAnsi="宋体"/>
          <w:color w:val="auto"/>
          <w:highlight w:val="none"/>
        </w:rPr>
      </w:pPr>
      <w:r>
        <w:rPr>
          <w:rFonts w:hint="eastAsia" w:ascii="宋体" w:hAnsi="宋体"/>
          <w:color w:val="auto"/>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7B19A5CE">
      <w:pPr>
        <w:spacing w:line="360" w:lineRule="auto"/>
        <w:ind w:firstLine="420" w:firstLineChars="200"/>
        <w:rPr>
          <w:rFonts w:hint="eastAsia" w:ascii="宋体" w:hAnsi="宋体"/>
          <w:color w:val="auto"/>
          <w:highlight w:val="none"/>
        </w:rPr>
      </w:pPr>
      <w:r>
        <w:rPr>
          <w:rFonts w:hint="eastAsia" w:ascii="宋体" w:hAnsi="宋体"/>
          <w:color w:val="auto"/>
          <w:highlight w:val="none"/>
        </w:rPr>
        <w:t>20.5 采购机构不可视情况延长提交响应文件的截止时间。</w:t>
      </w:r>
    </w:p>
    <w:p w14:paraId="579F74AC">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21.首次响应文件的补充、修改与撤回</w:t>
      </w:r>
    </w:p>
    <w:p w14:paraId="7CDE752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详见“供应商须知前附表”。</w:t>
      </w:r>
    </w:p>
    <w:p w14:paraId="5E466C6B">
      <w:pPr>
        <w:shd w:val="clear" w:color="auto" w:fill="FFFFFF"/>
        <w:spacing w:line="360" w:lineRule="auto"/>
        <w:rPr>
          <w:rFonts w:hint="eastAsia" w:ascii="宋体" w:hAnsi="宋体"/>
          <w:b/>
          <w:bCs/>
          <w:color w:val="auto"/>
          <w:highlight w:val="none"/>
        </w:rPr>
      </w:pPr>
      <w:bookmarkStart w:id="14" w:name="_Hlk45702405"/>
      <w:r>
        <w:rPr>
          <w:rFonts w:hint="eastAsia" w:ascii="宋体" w:hAnsi="宋体"/>
          <w:b/>
          <w:bCs/>
          <w:color w:val="auto"/>
          <w:highlight w:val="none"/>
        </w:rPr>
        <w:t>22. 首次响应文件的退回</w:t>
      </w:r>
    </w:p>
    <w:p w14:paraId="1B42F256">
      <w:pPr>
        <w:spacing w:line="360" w:lineRule="auto"/>
        <w:ind w:firstLine="396" w:firstLineChars="200"/>
        <w:rPr>
          <w:rFonts w:hint="eastAsia" w:ascii="宋体" w:hAnsi="宋体" w:cs="宋体"/>
          <w:color w:val="auto"/>
          <w:spacing w:val="-6"/>
          <w:highlight w:val="none"/>
        </w:rPr>
      </w:pPr>
      <w:r>
        <w:rPr>
          <w:rFonts w:hint="eastAsia" w:ascii="宋体" w:hAnsi="宋体" w:cs="宋体"/>
          <w:color w:val="auto"/>
          <w:spacing w:val="-6"/>
          <w:highlight w:val="none"/>
        </w:rPr>
        <w:t>在首次响应文件提交截止时间止提交响应文件的供应商不足3家时电子响应文件由代理机构在“政采云”平台操作退回，除此之外采购人和采购代理机构对已提交的电子响应文件概不退回。</w:t>
      </w:r>
    </w:p>
    <w:p w14:paraId="7C34C9AE">
      <w:pPr>
        <w:shd w:val="clear" w:color="auto" w:fill="FFFFFF"/>
        <w:spacing w:line="360" w:lineRule="auto"/>
        <w:rPr>
          <w:rFonts w:hint="eastAsia" w:ascii="宋体" w:hAnsi="宋体"/>
          <w:b/>
          <w:bCs/>
          <w:color w:val="auto"/>
          <w:highlight w:val="none"/>
        </w:rPr>
      </w:pPr>
      <w:r>
        <w:rPr>
          <w:rFonts w:hint="eastAsia" w:ascii="宋体" w:hAnsi="宋体"/>
          <w:b/>
          <w:bCs/>
          <w:color w:val="auto"/>
          <w:highlight w:val="none"/>
        </w:rPr>
        <w:t>23. 截止时间后的撤回</w:t>
      </w:r>
    </w:p>
    <w:p w14:paraId="79A9A597">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供应商在首次响应文件提交截止时间后可向采购人、采购代理机构书面申请撤回电子响应文件。</w:t>
      </w:r>
      <w:bookmarkEnd w:id="14"/>
    </w:p>
    <w:p w14:paraId="505CE794">
      <w:pPr>
        <w:pStyle w:val="26"/>
        <w:spacing w:line="42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四、评审和磋商</w:t>
      </w:r>
    </w:p>
    <w:p w14:paraId="01A5EE13">
      <w:pPr>
        <w:spacing w:line="460" w:lineRule="exact"/>
        <w:ind w:firstLine="417" w:firstLineChars="195"/>
        <w:rPr>
          <w:rFonts w:hint="eastAsia" w:asciiTheme="minorEastAsia" w:hAnsiTheme="minorEastAsia" w:eastAsiaTheme="minorEastAsia" w:cstheme="minorEastAsia"/>
          <w:color w:val="auto"/>
          <w:spacing w:val="2"/>
          <w:highlight w:val="none"/>
        </w:rPr>
      </w:pPr>
    </w:p>
    <w:p w14:paraId="722444BD">
      <w:pPr>
        <w:pStyle w:val="26"/>
        <w:spacing w:line="360" w:lineRule="auto"/>
        <w:rPr>
          <w:rFonts w:hint="eastAsia" w:hAnsi="宋体"/>
          <w:b/>
          <w:bCs/>
          <w:color w:val="auto"/>
          <w:sz w:val="21"/>
          <w:highlight w:val="none"/>
        </w:rPr>
      </w:pPr>
      <w:r>
        <w:rPr>
          <w:rFonts w:hint="eastAsia" w:hAnsi="宋体"/>
          <w:b/>
          <w:bCs/>
          <w:color w:val="auto"/>
          <w:sz w:val="21"/>
          <w:highlight w:val="none"/>
        </w:rPr>
        <w:t>24.磋商小组的组建</w:t>
      </w:r>
    </w:p>
    <w:p w14:paraId="103191B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07EFA50">
      <w:pPr>
        <w:pStyle w:val="5"/>
        <w:ind w:firstLine="420" w:firstLineChars="200"/>
        <w:jc w:val="left"/>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6F464C09">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25.首次响应文件的开启</w:t>
      </w:r>
    </w:p>
    <w:p w14:paraId="40A884C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25</w:t>
      </w:r>
      <w:r>
        <w:rPr>
          <w:rFonts w:ascii="宋体" w:hAnsi="宋体" w:cs="宋体"/>
          <w:color w:val="auto"/>
          <w:highlight w:val="none"/>
        </w:rPr>
        <w:t>.1</w:t>
      </w:r>
      <w:r>
        <w:rPr>
          <w:rFonts w:hint="eastAsia" w:ascii="宋体" w:hAnsi="宋体" w:cs="宋体"/>
          <w:color w:val="auto"/>
          <w:highlight w:val="none"/>
        </w:rPr>
        <w:t>首次响应文件由磋商小组或者采购代理机构在“供应商须知前附表”规定的时间开启。</w:t>
      </w:r>
    </w:p>
    <w:p w14:paraId="3C359B16">
      <w:pPr>
        <w:pStyle w:val="26"/>
        <w:spacing w:line="360" w:lineRule="auto"/>
        <w:ind w:firstLine="420" w:firstLineChars="200"/>
        <w:rPr>
          <w:rFonts w:hint="eastAsia" w:hAnsi="宋体"/>
          <w:bCs/>
          <w:color w:val="auto"/>
          <w:sz w:val="21"/>
          <w:highlight w:val="none"/>
        </w:rPr>
      </w:pPr>
      <w:r>
        <w:rPr>
          <w:rFonts w:hAnsi="宋体"/>
          <w:color w:val="auto"/>
          <w:sz w:val="21"/>
          <w:highlight w:val="none"/>
        </w:rPr>
        <w:t>2</w:t>
      </w:r>
      <w:r>
        <w:rPr>
          <w:rFonts w:hint="eastAsia" w:hAnsi="宋体"/>
          <w:color w:val="auto"/>
          <w:sz w:val="21"/>
          <w:highlight w:val="none"/>
        </w:rPr>
        <w:t>5</w:t>
      </w:r>
      <w:r>
        <w:rPr>
          <w:rFonts w:hAnsi="宋体"/>
          <w:color w:val="auto"/>
          <w:sz w:val="21"/>
          <w:highlight w:val="none"/>
        </w:rPr>
        <w:t xml:space="preserve">.2 </w:t>
      </w:r>
      <w:r>
        <w:rPr>
          <w:rFonts w:hint="eastAsia" w:hAnsi="宋体"/>
          <w:bCs/>
          <w:color w:val="auto"/>
          <w:sz w:val="21"/>
          <w:highlight w:val="none"/>
        </w:rPr>
        <w:t>响应文件解密</w:t>
      </w:r>
    </w:p>
    <w:p w14:paraId="6B7DD689">
      <w:pPr>
        <w:pStyle w:val="26"/>
        <w:snapToGrid w:val="0"/>
        <w:spacing w:line="360" w:lineRule="auto"/>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26.3电子交易活动的中止。）</w:t>
      </w:r>
    </w:p>
    <w:p w14:paraId="6F3671AD">
      <w:pPr>
        <w:pStyle w:val="26"/>
        <w:spacing w:line="360" w:lineRule="auto"/>
        <w:ind w:firstLine="420" w:firstLineChars="200"/>
        <w:rPr>
          <w:color w:val="auto"/>
          <w:sz w:val="21"/>
          <w:szCs w:val="21"/>
          <w:highlight w:val="none"/>
        </w:rPr>
      </w:pPr>
      <w:r>
        <w:rPr>
          <w:rFonts w:hint="eastAsia" w:hAnsi="宋体"/>
          <w:color w:val="auto"/>
          <w:sz w:val="21"/>
          <w:szCs w:val="21"/>
          <w:highlight w:val="none"/>
        </w:rPr>
        <w:t>如</w:t>
      </w:r>
      <w:r>
        <w:rPr>
          <w:rFonts w:hint="eastAsia" w:hAnsi="宋体"/>
          <w:bCs/>
          <w:color w:val="auto"/>
          <w:sz w:val="21"/>
          <w:szCs w:val="21"/>
          <w:highlight w:val="none"/>
        </w:rPr>
        <w:t>供应商成功解密响应文件，但未在“广西政府采购云”电子开标大厅参加谈判的，视同认可谈判过程和结果，</w:t>
      </w:r>
      <w:r>
        <w:rPr>
          <w:rFonts w:hint="eastAsia" w:hAnsi="宋体"/>
          <w:color w:val="auto"/>
          <w:sz w:val="21"/>
          <w:szCs w:val="21"/>
          <w:highlight w:val="none"/>
        </w:rPr>
        <w:t>由此产生的后果由供应商自行负责。参与谈判的供应商</w:t>
      </w:r>
      <w:r>
        <w:rPr>
          <w:rFonts w:hint="eastAsia"/>
          <w:color w:val="auto"/>
          <w:sz w:val="21"/>
          <w:szCs w:val="21"/>
          <w:highlight w:val="none"/>
        </w:rPr>
        <w:t>不足3家的，不得谈判。</w:t>
      </w:r>
    </w:p>
    <w:p w14:paraId="2D9AE411">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26.评审程序、评审方法和评审标准</w:t>
      </w:r>
    </w:p>
    <w:p w14:paraId="1A079ECB">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26.1</w:t>
      </w:r>
      <w:r>
        <w:rPr>
          <w:rFonts w:hint="eastAsia" w:ascii="宋体" w:hAnsi="宋体" w:cs="宋体"/>
          <w:color w:val="auto"/>
          <w:highlight w:val="none"/>
        </w:rPr>
        <w:t>磋商小组</w:t>
      </w:r>
      <w:r>
        <w:rPr>
          <w:rFonts w:ascii="宋体" w:hAnsi="宋体" w:cs="宋体"/>
          <w:color w:val="auto"/>
          <w:highlight w:val="none"/>
        </w:rPr>
        <w:t>按照</w:t>
      </w:r>
      <w:r>
        <w:rPr>
          <w:rFonts w:hint="eastAsia" w:ascii="宋体" w:hAnsi="宋体" w:cs="宋体"/>
          <w:color w:val="auto"/>
          <w:highlight w:val="none"/>
        </w:rPr>
        <w:t>“第四章 评审程序、评审方法和评审标准”</w:t>
      </w:r>
      <w:r>
        <w:rPr>
          <w:rFonts w:ascii="宋体" w:hAnsi="宋体" w:cs="宋体"/>
          <w:color w:val="auto"/>
          <w:highlight w:val="none"/>
        </w:rPr>
        <w:t>规定的方法、评审因素、标准和程序对</w:t>
      </w:r>
      <w:r>
        <w:rPr>
          <w:rFonts w:hint="eastAsia" w:ascii="宋体" w:hAnsi="宋体" w:cs="宋体"/>
          <w:color w:val="auto"/>
          <w:highlight w:val="none"/>
        </w:rPr>
        <w:t>响应</w:t>
      </w:r>
      <w:r>
        <w:rPr>
          <w:rFonts w:ascii="宋体" w:hAnsi="宋体" w:cs="宋体"/>
          <w:color w:val="auto"/>
          <w:highlight w:val="none"/>
        </w:rPr>
        <w:t>文件进行评审。</w:t>
      </w:r>
    </w:p>
    <w:p w14:paraId="036BCE89">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 xml:space="preserve">6.2 </w:t>
      </w:r>
      <w:r>
        <w:rPr>
          <w:rFonts w:hint="eastAsia" w:ascii="宋体" w:hAnsi="宋体"/>
          <w:color w:val="auto"/>
          <w:highlight w:val="none"/>
        </w:rPr>
        <w:t>磋商顺序详见 “ 供应商须知前附表”。</w:t>
      </w:r>
    </w:p>
    <w:p w14:paraId="0162F1D1">
      <w:pPr>
        <w:spacing w:line="360" w:lineRule="auto"/>
        <w:ind w:firstLine="420" w:firstLineChars="200"/>
        <w:rPr>
          <w:rFonts w:hint="eastAsia" w:ascii="宋体" w:hAnsi="宋体"/>
          <w:color w:val="auto"/>
          <w:highlight w:val="none"/>
        </w:rPr>
      </w:pPr>
      <w:r>
        <w:rPr>
          <w:rFonts w:hint="eastAsia" w:ascii="宋体" w:hAnsi="宋体"/>
          <w:color w:val="auto"/>
          <w:highlight w:val="none"/>
        </w:rPr>
        <w:t>2</w:t>
      </w:r>
      <w:r>
        <w:rPr>
          <w:rFonts w:ascii="宋体" w:hAnsi="宋体"/>
          <w:color w:val="auto"/>
          <w:highlight w:val="none"/>
        </w:rPr>
        <w:t>6.3</w:t>
      </w:r>
      <w:r>
        <w:rPr>
          <w:rFonts w:hint="eastAsia" w:ascii="宋体" w:hAnsi="宋体"/>
          <w:color w:val="auto"/>
          <w:highlight w:val="none"/>
        </w:rPr>
        <w:t>电子交易活动的中止。采购过程中出现以下情形，导致电子交易平台无法正常运行，或者无法保证电子交易的公平、公正和安全时，采购机构可中止电子交易活动：</w:t>
      </w:r>
    </w:p>
    <w:p w14:paraId="44441A29">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1F5C7AED">
      <w:pPr>
        <w:spacing w:line="360" w:lineRule="auto"/>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69FD536D">
      <w:pPr>
        <w:spacing w:line="360" w:lineRule="auto"/>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5A1B81C5">
      <w:pPr>
        <w:spacing w:line="360" w:lineRule="auto"/>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30E74CC8">
      <w:pPr>
        <w:spacing w:line="360" w:lineRule="auto"/>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11320A7F">
      <w:pPr>
        <w:spacing w:line="360" w:lineRule="auto"/>
        <w:rPr>
          <w:rFonts w:hint="eastAsia" w:ascii="宋体" w:hAnsi="宋体"/>
          <w:color w:val="auto"/>
          <w:highlight w:val="none"/>
        </w:rPr>
      </w:pPr>
      <w:r>
        <w:rPr>
          <w:rFonts w:hint="eastAsia" w:ascii="宋体" w:hAnsi="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2C668A06">
      <w:pPr>
        <w:pStyle w:val="4"/>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bookmarkStart w:id="15" w:name="_Toc80886934"/>
      <w:bookmarkStart w:id="16" w:name="_Toc20286"/>
    </w:p>
    <w:p w14:paraId="3413D3C2">
      <w:pPr>
        <w:pStyle w:val="4"/>
        <w:spacing w:before="0" w:after="0" w:line="360" w:lineRule="auto"/>
        <w:jc w:val="center"/>
        <w:rPr>
          <w:rFonts w:hint="eastAsia" w:asciiTheme="minorEastAsia" w:hAnsiTheme="minorEastAsia" w:eastAsiaTheme="minorEastAsia" w:cstheme="minorEastAsia"/>
          <w:bCs w:val="0"/>
          <w:color w:val="auto"/>
          <w:kern w:val="0"/>
          <w:sz w:val="21"/>
          <w:szCs w:val="21"/>
          <w:highlight w:val="none"/>
        </w:rPr>
      </w:pPr>
      <w:r>
        <w:rPr>
          <w:rFonts w:hint="eastAsia" w:asciiTheme="minorEastAsia" w:hAnsiTheme="minorEastAsia" w:eastAsiaTheme="minorEastAsia" w:cstheme="minorEastAsia"/>
          <w:bCs w:val="0"/>
          <w:color w:val="auto"/>
          <w:kern w:val="0"/>
          <w:sz w:val="21"/>
          <w:szCs w:val="21"/>
          <w:highlight w:val="none"/>
        </w:rPr>
        <w:t>五、成交及合同</w:t>
      </w:r>
      <w:bookmarkEnd w:id="15"/>
      <w:bookmarkEnd w:id="16"/>
    </w:p>
    <w:p w14:paraId="460A1ECF">
      <w:pPr>
        <w:spacing w:line="400" w:lineRule="exact"/>
        <w:rPr>
          <w:rFonts w:hint="eastAsia" w:ascii="宋体" w:hAnsi="宋体" w:cs="宋体"/>
          <w:b/>
          <w:bCs/>
          <w:color w:val="auto"/>
          <w:highlight w:val="none"/>
        </w:rPr>
      </w:pPr>
      <w:r>
        <w:rPr>
          <w:rFonts w:hint="eastAsia" w:ascii="宋体" w:hAnsi="宋体" w:cs="宋体"/>
          <w:b/>
          <w:bCs/>
          <w:color w:val="auto"/>
          <w:highlight w:val="none"/>
        </w:rPr>
        <w:t>27.确定成交供应商及结果公告</w:t>
      </w:r>
    </w:p>
    <w:p w14:paraId="7CFDA21D">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27.1</w:t>
      </w:r>
      <w:r>
        <w:rPr>
          <w:rFonts w:hint="eastAsia" w:ascii="宋体" w:hAnsi="宋体" w:cs="宋体"/>
          <w:color w:val="auto"/>
          <w:kern w:val="0"/>
          <w:highlight w:val="none"/>
        </w:rPr>
        <w:t xml:space="preserve"> </w:t>
      </w:r>
      <w:r>
        <w:rPr>
          <w:rFonts w:hint="eastAsia" w:ascii="宋体" w:hAnsi="宋体" w:cs="宋体"/>
          <w:color w:val="auto"/>
          <w:highlight w:val="none"/>
        </w:rPr>
        <w:t>采购代理机构应当在评审结束后2个工作日内将评审报告送采购人确认。采购人应当在收到评审报告后2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979CBE0">
      <w:pPr>
        <w:spacing w:line="400" w:lineRule="exact"/>
        <w:ind w:firstLine="420" w:firstLineChars="200"/>
        <w:rPr>
          <w:rFonts w:hint="eastAsia" w:ascii="宋体" w:hAnsi="宋体" w:cs="宋体"/>
          <w:color w:val="auto"/>
          <w:highlight w:val="none"/>
        </w:rPr>
      </w:pPr>
      <w:r>
        <w:rPr>
          <w:rFonts w:hint="eastAsia" w:ascii="宋体" w:hAnsi="宋体" w:cs="宋体"/>
          <w:color w:val="auto"/>
          <w:highlight w:val="none"/>
        </w:rPr>
        <w:t>27.2采购代理机构应当在</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供应商确定后2个工作日内，在省级以上财政部门指定的媒体上公告成交结果，同时向成交供应商发出成交通知书。</w:t>
      </w:r>
    </w:p>
    <w:p w14:paraId="685715BE">
      <w:pPr>
        <w:spacing w:line="400" w:lineRule="exact"/>
        <w:ind w:firstLine="420" w:firstLineChars="200"/>
        <w:rPr>
          <w:rFonts w:hint="eastAsia" w:ascii="宋体" w:hAnsi="宋体" w:cs="宋体"/>
          <w:b/>
          <w:color w:val="auto"/>
          <w:highlight w:val="none"/>
        </w:rPr>
      </w:pPr>
      <w:r>
        <w:rPr>
          <w:rFonts w:hint="eastAsia" w:ascii="宋体" w:hAnsi="宋体" w:cs="宋体"/>
          <w:color w:val="auto"/>
          <w:highlight w:val="none"/>
        </w:rPr>
        <w:t>27</w:t>
      </w:r>
      <w:r>
        <w:rPr>
          <w:rFonts w:ascii="宋体" w:hAnsi="宋体" w:cs="宋体"/>
          <w:color w:val="auto"/>
          <w:highlight w:val="none"/>
        </w:rPr>
        <w:t>.3</w:t>
      </w:r>
      <w:r>
        <w:rPr>
          <w:rFonts w:hint="eastAsia" w:ascii="宋体" w:hAnsi="宋体" w:cs="宋体"/>
          <w:b/>
          <w:color w:val="auto"/>
          <w:highlight w:val="none"/>
        </w:rPr>
        <w:t xml:space="preserve"> </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774C188">
      <w:pPr>
        <w:spacing w:line="400" w:lineRule="exact"/>
        <w:ind w:firstLine="420" w:firstLineChars="200"/>
        <w:rPr>
          <w:rFonts w:hint="eastAsia" w:ascii="宋体" w:hAnsi="宋体" w:cs="宋体"/>
          <w:color w:val="auto"/>
          <w:highlight w:val="none"/>
        </w:rPr>
      </w:pPr>
      <w:r>
        <w:rPr>
          <w:rFonts w:hint="eastAsia" w:ascii="宋体" w:hAnsi="宋体"/>
          <w:bCs/>
          <w:color w:val="auto"/>
          <w:highlight w:val="none"/>
        </w:rPr>
        <w:t>27</w:t>
      </w:r>
      <w:r>
        <w:rPr>
          <w:rFonts w:ascii="宋体" w:hAnsi="宋体"/>
          <w:bCs/>
          <w:color w:val="auto"/>
          <w:highlight w:val="none"/>
        </w:rPr>
        <w:t>.4</w:t>
      </w:r>
      <w:r>
        <w:rPr>
          <w:rFonts w:hint="eastAsia" w:ascii="宋体" w:hAnsi="宋体"/>
          <w:bCs/>
          <w:color w:val="auto"/>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也可以重新开展采购活动。</w:t>
      </w:r>
    </w:p>
    <w:p w14:paraId="7DC24782">
      <w:pPr>
        <w:spacing w:line="400" w:lineRule="exact"/>
        <w:rPr>
          <w:rFonts w:hint="eastAsia" w:ascii="宋体" w:hAnsi="宋体" w:cs="宋体"/>
          <w:b/>
          <w:bCs/>
          <w:color w:val="auto"/>
          <w:highlight w:val="none"/>
        </w:rPr>
      </w:pPr>
      <w:r>
        <w:rPr>
          <w:rFonts w:hint="eastAsia" w:ascii="宋体" w:hAnsi="宋体" w:cs="宋体"/>
          <w:b/>
          <w:bCs/>
          <w:color w:val="auto"/>
          <w:highlight w:val="none"/>
        </w:rPr>
        <w:t>28.履约保证金：详见磋商须知前附表。</w:t>
      </w:r>
    </w:p>
    <w:p w14:paraId="0656EED9">
      <w:pPr>
        <w:spacing w:line="400" w:lineRule="exact"/>
        <w:rPr>
          <w:rFonts w:hint="eastAsia" w:ascii="宋体" w:hAnsi="宋体" w:cs="宋体"/>
          <w:color w:val="auto"/>
          <w:highlight w:val="none"/>
        </w:rPr>
      </w:pPr>
      <w:r>
        <w:rPr>
          <w:rFonts w:hint="eastAsia" w:ascii="宋体" w:hAnsi="宋体" w:cs="宋体"/>
          <w:b/>
          <w:bCs/>
          <w:color w:val="auto"/>
          <w:highlight w:val="none"/>
        </w:rPr>
        <w:t>29.签订合同</w:t>
      </w:r>
    </w:p>
    <w:p w14:paraId="1281D156">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w:t>
      </w:r>
      <w:r>
        <w:rPr>
          <w:rFonts w:ascii="宋体" w:hAnsi="宋体" w:cs="宋体"/>
          <w:color w:val="auto"/>
          <w:highlight w:val="none"/>
        </w:rPr>
        <w:t>.1</w:t>
      </w:r>
      <w:r>
        <w:rPr>
          <w:rFonts w:hint="eastAsia" w:ascii="宋体" w:hAnsi="宋体" w:cs="宋体"/>
          <w:color w:val="auto"/>
          <w:highlight w:val="none"/>
        </w:rPr>
        <w:t xml:space="preserve"> 签订合同时间：自成交通知书发出之日起25个日历天内与采购人签订政府采购合同。</w:t>
      </w:r>
    </w:p>
    <w:p w14:paraId="31BF662E">
      <w:pPr>
        <w:spacing w:line="400" w:lineRule="exact"/>
        <w:ind w:firstLine="424" w:firstLineChars="202"/>
        <w:rPr>
          <w:rFonts w:hint="eastAsia" w:ascii="宋体" w:hAnsi="宋体" w:cs="宋体"/>
          <w:color w:val="auto"/>
          <w:highlight w:val="none"/>
        </w:rPr>
      </w:pPr>
      <w:r>
        <w:rPr>
          <w:rFonts w:hint="eastAsia" w:ascii="宋体" w:hAnsi="宋体" w:cs="宋体"/>
          <w:color w:val="auto"/>
          <w:highlight w:val="none"/>
        </w:rPr>
        <w:t>29.2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61F8969A">
      <w:pPr>
        <w:spacing w:line="400" w:lineRule="exact"/>
        <w:rPr>
          <w:rFonts w:hint="eastAsia" w:ascii="宋体" w:hAnsi="宋体" w:cs="宋体"/>
          <w:b/>
          <w:bCs/>
          <w:color w:val="auto"/>
          <w:highlight w:val="none"/>
        </w:rPr>
      </w:pPr>
      <w:r>
        <w:rPr>
          <w:rFonts w:hint="eastAsia" w:ascii="宋体" w:hAnsi="宋体" w:cs="宋体"/>
          <w:b/>
          <w:bCs/>
          <w:color w:val="auto"/>
          <w:highlight w:val="none"/>
        </w:rPr>
        <w:t>30.政府采购合同公告</w:t>
      </w:r>
    </w:p>
    <w:p w14:paraId="122A1BDA">
      <w:pPr>
        <w:spacing w:line="360" w:lineRule="auto"/>
        <w:ind w:firstLine="420" w:firstLineChars="200"/>
        <w:rPr>
          <w:rFonts w:hint="eastAsia" w:hAnsi="宋体"/>
          <w:color w:val="auto"/>
          <w:highlight w:val="none"/>
        </w:rPr>
      </w:pPr>
      <w:r>
        <w:rPr>
          <w:rFonts w:hint="eastAsia" w:ascii="宋体" w:hAnsi="宋体" w:cs="宋体"/>
          <w:color w:val="auto"/>
          <w:highlight w:val="none"/>
        </w:rPr>
        <w:t>根据《中华人民共和国政府采购法实施条例》第五十条规定，</w:t>
      </w:r>
      <w:r>
        <w:rPr>
          <w:rFonts w:hint="eastAsia" w:hAnsi="宋体"/>
          <w:color w:val="auto"/>
          <w:highlight w:val="none"/>
        </w:rPr>
        <w:t>采购人或者受托采购代理机构应当自政府采购合同签订之日起2个工作日内，将政府采购合同</w:t>
      </w:r>
      <w:r>
        <w:rPr>
          <w:rFonts w:hint="eastAsia" w:ascii="宋体" w:hAnsi="宋体"/>
          <w:bCs/>
          <w:color w:val="auto"/>
          <w:highlight w:val="none"/>
        </w:rPr>
        <w:t>在</w:t>
      </w:r>
      <w:r>
        <w:rPr>
          <w:rFonts w:hint="eastAsia" w:ascii="宋体" w:hAnsi="宋体" w:cs="宋体"/>
          <w:color w:val="auto"/>
          <w:kern w:val="0"/>
          <w:highlight w:val="none"/>
        </w:rPr>
        <w:t>“广西政府采购网（http://zfcg.gxzf.gov.cn）”</w:t>
      </w:r>
      <w:r>
        <w:rPr>
          <w:rFonts w:hint="eastAsia" w:hAnsi="宋体"/>
          <w:color w:val="auto"/>
          <w:highlight w:val="none"/>
        </w:rPr>
        <w:t>上公告，</w:t>
      </w:r>
      <w:r>
        <w:rPr>
          <w:rFonts w:hAnsi="宋体"/>
          <w:color w:val="auto"/>
          <w:highlight w:val="none"/>
        </w:rPr>
        <w:t>但政府采购合同中涉及国家秘密、商业秘密的内容除外。</w:t>
      </w:r>
    </w:p>
    <w:p w14:paraId="5E34D70F">
      <w:pPr>
        <w:spacing w:line="360" w:lineRule="auto"/>
        <w:rPr>
          <w:rFonts w:hint="eastAsia" w:ascii="宋体" w:hAnsi="宋体" w:cs="宋体"/>
          <w:b/>
          <w:bCs/>
          <w:color w:val="auto"/>
          <w:highlight w:val="none"/>
        </w:rPr>
      </w:pPr>
      <w:r>
        <w:rPr>
          <w:rFonts w:hint="eastAsia" w:ascii="宋体" w:hAnsi="宋体" w:cs="宋体"/>
          <w:b/>
          <w:bCs/>
          <w:color w:val="auto"/>
          <w:highlight w:val="none"/>
        </w:rPr>
        <w:t>31. 询问、质疑和投诉</w:t>
      </w:r>
    </w:p>
    <w:p w14:paraId="0A3F8D4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25911183">
      <w:pPr>
        <w:spacing w:line="360" w:lineRule="auto"/>
        <w:ind w:firstLine="420" w:firstLineChars="200"/>
        <w:rPr>
          <w:rFonts w:hint="eastAsia" w:ascii="宋体" w:hAnsi="宋体"/>
          <w:b/>
          <w:color w:val="auto"/>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highlight w:val="none"/>
          <w:shd w:val="clear" w:color="auto" w:fill="FFFFFF"/>
        </w:rPr>
        <w:t>接收质疑函的方式、联系部门、联系电话和通讯地址等信息</w:t>
      </w:r>
      <w:r>
        <w:rPr>
          <w:rFonts w:hint="eastAsia" w:ascii="宋体" w:hAnsi="宋体" w:cs="Arial"/>
          <w:color w:val="auto"/>
          <w:highlight w:val="none"/>
          <w:shd w:val="clear" w:color="auto" w:fill="FFFFFF"/>
        </w:rPr>
        <w:t>详见</w:t>
      </w:r>
      <w:r>
        <w:rPr>
          <w:rFonts w:hint="eastAsia" w:ascii="宋体" w:hAnsi="宋体" w:cs="宋体"/>
          <w:color w:val="auto"/>
          <w:highlight w:val="none"/>
        </w:rPr>
        <w:t>“供应商须知前附表”。</w:t>
      </w:r>
      <w:r>
        <w:rPr>
          <w:rFonts w:hint="eastAsia" w:ascii="宋体" w:hAnsi="宋体"/>
          <w:b/>
          <w:color w:val="auto"/>
          <w:highlight w:val="none"/>
        </w:rPr>
        <w:t xml:space="preserve">具体质疑起算时间及处理方式如下： </w:t>
      </w:r>
    </w:p>
    <w:p w14:paraId="2A2E50CF">
      <w:pPr>
        <w:spacing w:line="360" w:lineRule="auto"/>
        <w:ind w:firstLine="420" w:firstLineChars="200"/>
        <w:rPr>
          <w:rFonts w:hint="eastAsia" w:hAnsi="宋体"/>
          <w:bCs/>
          <w:color w:val="auto"/>
          <w:highlight w:val="none"/>
        </w:rPr>
      </w:pPr>
      <w:r>
        <w:rPr>
          <w:rFonts w:hint="eastAsia" w:hAnsi="宋体"/>
          <w:bCs/>
          <w:color w:val="auto"/>
          <w:highlight w:val="none"/>
        </w:rPr>
        <w:t>（1）潜在供应商依法获取采购文件后，认为采购文件使自己的权益受到损害的，应当在竞争性磋商采购文件公告期限届满之日起7个工作日内提出质疑。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592D2E85">
      <w:pPr>
        <w:spacing w:line="360" w:lineRule="auto"/>
        <w:ind w:firstLine="420" w:firstLineChars="200"/>
        <w:rPr>
          <w:rFonts w:hint="eastAsia" w:hAnsi="宋体"/>
          <w:bCs/>
          <w:color w:val="auto"/>
          <w:highlight w:val="none"/>
        </w:rPr>
      </w:pPr>
      <w:r>
        <w:rPr>
          <w:rFonts w:hint="eastAsia" w:hAnsi="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190CE23">
      <w:pPr>
        <w:spacing w:line="360" w:lineRule="auto"/>
        <w:ind w:firstLine="420" w:firstLineChars="200"/>
        <w:rPr>
          <w:rFonts w:hint="eastAsia" w:hAnsi="宋体"/>
          <w:bCs/>
          <w:color w:val="auto"/>
          <w:highlight w:val="none"/>
        </w:rPr>
      </w:pPr>
      <w:r>
        <w:rPr>
          <w:rFonts w:hint="eastAsia" w:hAnsi="宋体"/>
          <w:bCs/>
          <w:color w:val="auto"/>
          <w:highlight w:val="none"/>
        </w:rPr>
        <w:t>（3）供应商认为成交结果使自己的权益受到损害的，应当在成交结果公告期限届满之日起7个工作日内提出质疑，由采购人受理并负责答复。</w:t>
      </w:r>
    </w:p>
    <w:p w14:paraId="15974DF7">
      <w:pPr>
        <w:spacing w:line="360" w:lineRule="auto"/>
        <w:ind w:firstLine="420" w:firstLineChars="200"/>
        <w:rPr>
          <w:rFonts w:hint="eastAsia" w:hAnsi="宋体"/>
          <w:bCs/>
          <w:color w:val="auto"/>
          <w:highlight w:val="none"/>
        </w:rPr>
      </w:pPr>
      <w:r>
        <w:rPr>
          <w:rFonts w:hint="eastAsia" w:asciiTheme="minorEastAsia" w:hAnsiTheme="minorEastAsia" w:eastAsiaTheme="minorEastAsia" w:cstheme="minorEastAsia"/>
          <w:bCs/>
          <w:color w:val="auto"/>
          <w:highlight w:val="none"/>
        </w:rPr>
        <w:t>31.3</w:t>
      </w:r>
      <w:r>
        <w:rPr>
          <w:rFonts w:hint="eastAsia" w:hAnsi="宋体"/>
          <w:bCs/>
          <w:color w:val="auto"/>
          <w:highlight w:val="none"/>
        </w:rPr>
        <w:t>供应商提出的询问或者质疑超出采购人对采购代理机构委托授权范围的，采购代理机构应当告知供应商向采购人提出。政府采购评审专家应当配合采购人或者采购代理机构答复供应商的询问和质疑。</w:t>
      </w:r>
    </w:p>
    <w:p w14:paraId="2DE2923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609DF73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15DCF49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3D983F0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4C28D5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3D55E76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7E8F844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523910B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34708D0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31</w:t>
      </w:r>
      <w:r>
        <w:rPr>
          <w:rFonts w:ascii="宋体" w:hAnsi="宋体" w:cs="宋体"/>
          <w:color w:val="auto"/>
          <w:highlight w:val="none"/>
        </w:rPr>
        <w:t>.5</w:t>
      </w:r>
      <w:r>
        <w:rPr>
          <w:rFonts w:hint="eastAsia" w:ascii="宋体" w:hAnsi="宋体" w:cs="宋体"/>
          <w:color w:val="auto"/>
          <w:highlight w:val="none"/>
        </w:rPr>
        <w:t>采购人、采购代理机构认为供应商质疑不成立，或者成立但未对成交结果构成影响的，继续开展采购活动；认为供应商质疑成立且影响或者可能影响成交结果的，按照下列情况处理：</w:t>
      </w:r>
    </w:p>
    <w:p w14:paraId="328C1A1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9AAF0D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45E348D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6062FEF">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3</w:t>
      </w:r>
      <w:r>
        <w:rPr>
          <w:rFonts w:hint="eastAsia" w:ascii="宋体" w:hAnsi="宋体" w:cs="宋体"/>
          <w:color w:val="auto"/>
          <w:highlight w:val="none"/>
        </w:rPr>
        <w:t>1.</w:t>
      </w:r>
      <w:r>
        <w:rPr>
          <w:rFonts w:ascii="宋体" w:hAnsi="宋体" w:cs="宋体"/>
          <w:color w:val="auto"/>
          <w:highlight w:val="none"/>
        </w:rPr>
        <w:t>6</w:t>
      </w:r>
      <w:r>
        <w:rPr>
          <w:rFonts w:hint="eastAsia" w:ascii="宋体" w:hAnsi="宋体" w:cs="宋体"/>
          <w:color w:val="auto"/>
          <w:highlight w:val="none"/>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12AE3CE9">
      <w:pPr>
        <w:snapToGrid w:val="0"/>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31.7接收质疑函方式：书面形式或邮寄。</w:t>
      </w:r>
    </w:p>
    <w:p w14:paraId="69E8211D">
      <w:pPr>
        <w:pStyle w:val="26"/>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质疑联系部门：</w:t>
      </w:r>
      <w:r>
        <w:rPr>
          <w:rFonts w:hint="eastAsia" w:asciiTheme="minorEastAsia" w:hAnsiTheme="minorEastAsia" w:eastAsiaTheme="minorEastAsia" w:cstheme="minorEastAsia"/>
          <w:color w:val="auto"/>
          <w:kern w:val="2"/>
          <w:sz w:val="21"/>
          <w:szCs w:val="21"/>
          <w:highlight w:val="none"/>
          <w:lang w:eastAsia="zh-CN"/>
        </w:rPr>
        <w:t>广西建设工程机电设备招标中心有限公司</w:t>
      </w:r>
    </w:p>
    <w:p w14:paraId="0E36A5FA">
      <w:pPr>
        <w:pStyle w:val="26"/>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联系电话：</w:t>
      </w:r>
      <w:r>
        <w:rPr>
          <w:rFonts w:hint="eastAsia" w:asciiTheme="minorEastAsia" w:hAnsiTheme="minorEastAsia" w:eastAsiaTheme="minorEastAsia" w:cstheme="minorEastAsia"/>
          <w:color w:val="auto"/>
          <w:kern w:val="2"/>
          <w:sz w:val="21"/>
          <w:szCs w:val="21"/>
          <w:highlight w:val="none"/>
          <w:lang w:eastAsia="zh-CN"/>
        </w:rPr>
        <w:t>0771-2821389</w:t>
      </w:r>
    </w:p>
    <w:p w14:paraId="13AA59FB">
      <w:pPr>
        <w:pStyle w:val="26"/>
        <w:snapToGrid w:val="0"/>
        <w:spacing w:line="360" w:lineRule="auto"/>
        <w:ind w:firstLine="420" w:firstLineChars="200"/>
        <w:rPr>
          <w:rFonts w:hint="eastAsia" w:asciiTheme="minorEastAsia" w:hAnsiTheme="minorEastAsia" w:eastAsiaTheme="minorEastAsia" w:cstheme="minorEastAsia"/>
          <w:color w:val="auto"/>
          <w:kern w:val="2"/>
          <w:sz w:val="21"/>
          <w:szCs w:val="21"/>
          <w:highlight w:val="none"/>
          <w:lang w:eastAsia="zh-CN"/>
        </w:rPr>
      </w:pPr>
      <w:r>
        <w:rPr>
          <w:rFonts w:hint="eastAsia" w:asciiTheme="minorEastAsia" w:hAnsiTheme="minorEastAsia" w:eastAsiaTheme="minorEastAsia" w:cstheme="minorEastAsia"/>
          <w:color w:val="auto"/>
          <w:kern w:val="2"/>
          <w:sz w:val="21"/>
          <w:szCs w:val="21"/>
          <w:highlight w:val="none"/>
        </w:rPr>
        <w:t>通讯地址：</w:t>
      </w:r>
      <w:r>
        <w:rPr>
          <w:rFonts w:hint="eastAsia" w:asciiTheme="minorEastAsia" w:hAnsiTheme="minorEastAsia" w:eastAsiaTheme="minorEastAsia" w:cstheme="minorEastAsia"/>
          <w:color w:val="auto"/>
          <w:kern w:val="2"/>
          <w:sz w:val="21"/>
          <w:szCs w:val="21"/>
          <w:highlight w:val="none"/>
          <w:lang w:eastAsia="zh-CN"/>
        </w:rPr>
        <w:t>广西壮族自治区南宁市青秀区枫林路18号广西国控大厦裙楼三层</w:t>
      </w:r>
    </w:p>
    <w:p w14:paraId="578F09CF">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业务时间：每天8时00分到12时00分，15时00分到18时 00分，双休日和法定节假日不办理业务。</w:t>
      </w:r>
    </w:p>
    <w:p w14:paraId="153B9213">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32.评标结果公示</w:t>
      </w:r>
    </w:p>
    <w:p w14:paraId="13235020">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32.1在评标结束的2个工作日内，</w:t>
      </w:r>
      <w:r>
        <w:rPr>
          <w:rFonts w:hint="eastAsia" w:asciiTheme="minorEastAsia" w:hAnsiTheme="minorEastAsia" w:eastAsiaTheme="minorEastAsia" w:cstheme="minorEastAsia"/>
          <w:color w:val="auto"/>
          <w:spacing w:val="2"/>
          <w:highlight w:val="none"/>
        </w:rPr>
        <w:t>在http://www.ccgp.gov.cn/（中国政府采购网）、http://zfcg.gxzf.gov.cn (广西政府采购网)、http://www.guangxibid.com.cn/（广西招标网）公示评标结果。</w:t>
      </w:r>
    </w:p>
    <w:p w14:paraId="014CB321">
      <w:pPr>
        <w:spacing w:line="460" w:lineRule="exac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33.成交通知书</w:t>
      </w:r>
    </w:p>
    <w:p w14:paraId="1F83A3F3">
      <w:pPr>
        <w:spacing w:line="460" w:lineRule="exact"/>
        <w:ind w:firstLine="409" w:firstLineChars="195"/>
        <w:rPr>
          <w:rFonts w:hint="eastAsia" w:ascii="宋体" w:hAnsi="宋体" w:cs="宋体"/>
          <w:color w:val="auto"/>
          <w:kern w:val="0"/>
          <w:highlight w:val="none"/>
        </w:rPr>
      </w:pPr>
      <w:r>
        <w:rPr>
          <w:rFonts w:hint="eastAsia" w:asciiTheme="minorEastAsia" w:hAnsiTheme="minorEastAsia" w:eastAsiaTheme="minorEastAsia" w:cstheme="minorEastAsia"/>
          <w:color w:val="auto"/>
          <w:highlight w:val="none"/>
        </w:rPr>
        <w:t>33.1</w:t>
      </w:r>
      <w:r>
        <w:rPr>
          <w:rFonts w:hint="eastAsia" w:ascii="宋体" w:hAnsi="宋体" w:cs="宋体"/>
          <w:color w:val="auto"/>
          <w:highlight w:val="none"/>
        </w:rPr>
        <w:t>成交通知及成交结果公告。</w:t>
      </w:r>
      <w:r>
        <w:rPr>
          <w:rFonts w:hint="eastAsia" w:ascii="宋体" w:hAnsi="宋体" w:cs="宋体"/>
          <w:color w:val="auto"/>
          <w:kern w:val="0"/>
          <w:highlight w:val="none"/>
        </w:rPr>
        <w:t>成交</w:t>
      </w:r>
      <w:r>
        <w:rPr>
          <w:rFonts w:hint="eastAsia" w:ascii="宋体" w:hAnsi="宋体" w:cs="宋体"/>
          <w:color w:val="auto"/>
          <w:highlight w:val="none"/>
        </w:rPr>
        <w:t>供应商确定后2个工作日内，在省级以上财政部门指定的媒体上公</w:t>
      </w:r>
      <w:r>
        <w:rPr>
          <w:rFonts w:hint="eastAsia" w:ascii="宋体" w:hAnsi="宋体" w:cs="宋体"/>
          <w:color w:val="auto"/>
          <w:kern w:val="0"/>
          <w:highlight w:val="none"/>
        </w:rPr>
        <w:t>告成交结果（公告内容除包含《政府采购公告和公示信息格式规范（2020年版）》要求内容外，还应包含采购人专门面向中小企业预留份额情况及成交供应商评审价格、优惠率等内容），</w:t>
      </w:r>
      <w:r>
        <w:rPr>
          <w:rFonts w:hint="eastAsia" w:ascii="宋体" w:hAnsi="宋体" w:cs="宋体"/>
          <w:color w:val="auto"/>
          <w:highlight w:val="none"/>
        </w:rPr>
        <w:t>同时向成交供应商发出成交通知书，成交通知书规定签订合同的时间不得超过20个日历天。</w:t>
      </w:r>
      <w:r>
        <w:rPr>
          <w:rFonts w:hint="eastAsia" w:asciiTheme="minorEastAsia" w:hAnsiTheme="minorEastAsia" w:eastAsiaTheme="minorEastAsia" w:cstheme="minorEastAsia"/>
          <w:color w:val="auto"/>
          <w:highlight w:val="none"/>
        </w:rPr>
        <w:t>在该通知书（以下合同条件中称“成交通知书”）中给出采购人对成交的磋商供应商按本合同施工、竣工和保修工程的成交标价（以下</w:t>
      </w:r>
      <w:r>
        <w:rPr>
          <w:rFonts w:hint="eastAsia" w:ascii="宋体" w:hAnsi="宋体" w:cs="宋体"/>
          <w:color w:val="auto"/>
          <w:kern w:val="0"/>
          <w:highlight w:val="none"/>
        </w:rPr>
        <w:t>合同条件中称为“合同价格”），以及工期、质量和有关合同签订的期限、地点。</w:t>
      </w:r>
    </w:p>
    <w:p w14:paraId="5344ED2E">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33.2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w:t>
      </w:r>
      <w:r>
        <w:rPr>
          <w:rFonts w:hint="eastAsia" w:asciiTheme="minorEastAsia" w:hAnsiTheme="minorEastAsia" w:eastAsiaTheme="minorEastAsia" w:cstheme="minorEastAsia"/>
          <w:color w:val="auto"/>
          <w:highlight w:val="none"/>
        </w:rPr>
        <w:t>交候选人因上述规定的同样原因被取消成交资格的，采购人可以确定排名第三的成交候选人为成交供应商，以此类推，</w:t>
      </w:r>
      <w:r>
        <w:rPr>
          <w:rFonts w:hint="eastAsia" w:ascii="宋体" w:hAnsi="宋体"/>
          <w:bCs/>
          <w:color w:val="auto"/>
          <w:highlight w:val="none"/>
        </w:rPr>
        <w:t>也可以重新开展采购活动。</w:t>
      </w:r>
      <w:r>
        <w:rPr>
          <w:rFonts w:hint="eastAsia" w:asciiTheme="minorEastAsia" w:hAnsiTheme="minorEastAsia" w:eastAsiaTheme="minorEastAsia" w:cstheme="minorEastAsia"/>
          <w:color w:val="auto"/>
          <w:highlight w:val="none"/>
        </w:rPr>
        <w:t>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7148FC8A">
      <w:pPr>
        <w:spacing w:line="360" w:lineRule="auto"/>
        <w:ind w:firstLine="420" w:firstLineChars="200"/>
        <w:rPr>
          <w:rFonts w:hint="eastAsia" w:ascii="宋体" w:hAnsi="宋体" w:cs="宋体"/>
          <w:color w:val="auto"/>
          <w:highlight w:val="none"/>
        </w:rPr>
      </w:pPr>
      <w:r>
        <w:rPr>
          <w:rFonts w:hint="eastAsia" w:ascii="宋体" w:hAnsi="宋体" w:cs="宋体"/>
          <w:color w:val="auto"/>
          <w:kern w:val="0"/>
          <w:highlight w:val="none"/>
        </w:rPr>
        <w:t>33.3</w:t>
      </w:r>
      <w:r>
        <w:rPr>
          <w:rFonts w:hint="eastAsia" w:ascii="宋体" w:hAnsi="宋体" w:cs="宋体"/>
          <w:color w:val="auto"/>
          <w:highlight w:val="none"/>
        </w:rPr>
        <w:t>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9199D1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r>
        <w:rPr>
          <w:rFonts w:hint="eastAsia" w:ascii="宋体" w:hAnsi="宋体"/>
          <w:bCs/>
          <w:color w:val="auto"/>
          <w:highlight w:val="none"/>
        </w:rPr>
        <w:t>也可以重新开展采购活动</w:t>
      </w:r>
      <w:r>
        <w:rPr>
          <w:rFonts w:hint="eastAsia" w:ascii="宋体" w:hAnsi="宋体" w:cs="宋体"/>
          <w:color w:val="auto"/>
          <w:highlight w:val="none"/>
        </w:rPr>
        <w:t>。</w:t>
      </w:r>
    </w:p>
    <w:p w14:paraId="00858A2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33.5成交通知书为合同的组成部分。</w:t>
      </w:r>
    </w:p>
    <w:p w14:paraId="00BD0C6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33.6采购代理机构应及时将未成交的结果通知其他磋商供应商。</w:t>
      </w:r>
    </w:p>
    <w:p w14:paraId="6694E803">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34.合同的授予标准</w:t>
      </w:r>
    </w:p>
    <w:p w14:paraId="4D613AD4">
      <w:pPr>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rPr>
        <w:t>34.1合同将授予被确定为实质上响应招标文件要求，具备履行合同能力，综合评分排名第一的供应商。</w:t>
      </w:r>
    </w:p>
    <w:p w14:paraId="412D8E2E">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35.合同的签署</w:t>
      </w:r>
    </w:p>
    <w:p w14:paraId="2D095C28">
      <w:pPr>
        <w:pStyle w:val="172"/>
        <w:snapToGrid w:val="0"/>
        <w:spacing w:before="0"/>
        <w:ind w:firstLine="396"/>
        <w:rPr>
          <w:rFonts w:hint="eastAsia" w:ascii="宋体" w:hAnsi="宋体"/>
          <w:color w:val="auto"/>
          <w:spacing w:val="-6"/>
          <w:sz w:val="21"/>
          <w:szCs w:val="21"/>
          <w:highlight w:val="none"/>
        </w:rPr>
      </w:pPr>
      <w:r>
        <w:rPr>
          <w:rFonts w:hint="eastAsia" w:ascii="宋体" w:hAnsi="宋体" w:cs="宋体"/>
          <w:color w:val="auto"/>
          <w:spacing w:val="-6"/>
          <w:sz w:val="21"/>
          <w:szCs w:val="21"/>
          <w:highlight w:val="none"/>
        </w:rPr>
        <w:t>35.1</w:t>
      </w:r>
      <w:r>
        <w:rPr>
          <w:rFonts w:hint="eastAsia" w:ascii="宋体" w:hAnsi="宋体"/>
          <w:color w:val="auto"/>
          <w:spacing w:val="-6"/>
          <w:sz w:val="21"/>
          <w:szCs w:val="21"/>
          <w:highlight w:val="none"/>
        </w:rPr>
        <w:t>成交结果公告无异议的项目，采购人在成交通知书发出之日起2</w:t>
      </w:r>
      <w:r>
        <w:rPr>
          <w:rFonts w:hint="eastAsia" w:ascii="宋体" w:hAnsi="宋体"/>
          <w:color w:val="auto"/>
          <w:spacing w:val="-6"/>
          <w:sz w:val="21"/>
          <w:szCs w:val="21"/>
          <w:highlight w:val="none"/>
          <w:lang w:val="en-US" w:eastAsia="zh-CN"/>
        </w:rPr>
        <w:t>5</w:t>
      </w:r>
      <w:r>
        <w:rPr>
          <w:rFonts w:hint="eastAsia" w:ascii="宋体" w:hAnsi="宋体"/>
          <w:color w:val="auto"/>
          <w:spacing w:val="-6"/>
          <w:sz w:val="21"/>
          <w:szCs w:val="21"/>
          <w:highlight w:val="none"/>
        </w:rPr>
        <w:t>个日历天内和成交供应商签订采购合同，倡导各采购人尽量压缩合同签订时间。</w:t>
      </w:r>
    </w:p>
    <w:p w14:paraId="3DF9F99A">
      <w:pPr>
        <w:pStyle w:val="172"/>
        <w:snapToGrid w:val="0"/>
        <w:spacing w:before="0"/>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35.2</w:t>
      </w:r>
      <w:r>
        <w:rPr>
          <w:rFonts w:hint="eastAsia" w:ascii="宋体" w:hAnsi="宋体"/>
          <w:color w:val="auto"/>
          <w:sz w:val="21"/>
          <w:szCs w:val="21"/>
          <w:highlight w:val="none"/>
        </w:rPr>
        <w:t>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w:t>
      </w:r>
      <w:r>
        <w:rPr>
          <w:rFonts w:hint="eastAsia" w:ascii="宋体" w:hAnsi="宋体"/>
          <w:color w:val="auto"/>
          <w:sz w:val="21"/>
          <w:szCs w:val="21"/>
          <w:highlight w:val="none"/>
        </w:rPr>
        <w:t>允许联合体竞标时</w:t>
      </w:r>
      <w:r>
        <w:rPr>
          <w:rFonts w:hint="eastAsia" w:ascii="宋体" w:hAnsi="宋体"/>
          <w:color w:val="auto"/>
          <w:sz w:val="21"/>
          <w:szCs w:val="21"/>
          <w:highlight w:val="none"/>
          <w:lang w:val="zh-CN"/>
        </w:rPr>
        <w:t>），由联合体成员各方法定代表人或其授权代表与采购人代表签订合同。</w:t>
      </w:r>
    </w:p>
    <w:p w14:paraId="63D1D707">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35.3</w:t>
      </w:r>
      <w:r>
        <w:rPr>
          <w:rFonts w:hint="eastAsia" w:ascii="宋体" w:hAnsi="宋体"/>
          <w:color w:val="auto"/>
          <w:highlight w:val="none"/>
        </w:rPr>
        <w:t>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014F2432">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35.4</w:t>
      </w:r>
      <w:r>
        <w:rPr>
          <w:rFonts w:hint="eastAsia" w:ascii="宋体" w:hAnsi="宋体"/>
          <w:color w:val="auto"/>
          <w:highlight w:val="none"/>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F736CD9">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35.5</w:t>
      </w:r>
      <w:r>
        <w:rPr>
          <w:rFonts w:hint="eastAsia" w:ascii="宋体" w:hAnsi="宋体"/>
          <w:color w:val="auto"/>
          <w:highlight w:val="none"/>
        </w:rPr>
        <w:t>如签订合同并生效后，供应商无故拒绝或延期履行义务，除按照合同条款处理外，列入不良行为记录，并给予通报。</w:t>
      </w:r>
    </w:p>
    <w:p w14:paraId="38194A92">
      <w:pPr>
        <w:pStyle w:val="172"/>
        <w:spacing w:before="0"/>
        <w:ind w:firstLine="420"/>
        <w:rPr>
          <w:rFonts w:hint="eastAsia" w:ascii="宋体" w:hAnsi="宋体" w:cs="宋体"/>
          <w:color w:val="auto"/>
          <w:szCs w:val="21"/>
          <w:highlight w:val="none"/>
        </w:rPr>
      </w:pPr>
      <w:r>
        <w:rPr>
          <w:rFonts w:hint="eastAsia" w:ascii="宋体" w:hAnsi="宋体" w:cs="宋体"/>
          <w:color w:val="auto"/>
          <w:sz w:val="21"/>
          <w:szCs w:val="21"/>
          <w:highlight w:val="none"/>
        </w:rPr>
        <w:t>35.6</w:t>
      </w:r>
      <w:r>
        <w:rPr>
          <w:rFonts w:ascii="宋体" w:hAnsi="宋体" w:cs="仿宋_GB2312"/>
          <w:color w:val="auto"/>
          <w:sz w:val="21"/>
          <w:szCs w:val="21"/>
          <w:highlight w:val="none"/>
        </w:rPr>
        <w:t>采购合同由采购人与</w:t>
      </w:r>
      <w:r>
        <w:rPr>
          <w:rFonts w:hint="eastAsia" w:ascii="宋体" w:hAnsi="宋体" w:cs="仿宋_GB2312"/>
          <w:color w:val="auto"/>
          <w:sz w:val="21"/>
          <w:szCs w:val="21"/>
          <w:highlight w:val="none"/>
        </w:rPr>
        <w:t>成交</w:t>
      </w:r>
      <w:r>
        <w:rPr>
          <w:rFonts w:ascii="宋体" w:hAnsi="宋体" w:cs="仿宋_GB2312"/>
          <w:color w:val="auto"/>
          <w:sz w:val="21"/>
          <w:szCs w:val="21"/>
          <w:highlight w:val="none"/>
        </w:rPr>
        <w:t>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根据《中华人民共和国政府采购法实施条例》第五十条规定，采购人应当自采购合同签订之日起2个工作日内，将采购合同在竞争性磋商采购公告发布的媒体上公告，但采购合同中涉及国家秘密、商业秘密的内容除外。在线签订须携带使</w:t>
      </w:r>
      <w:r>
        <w:rPr>
          <w:rFonts w:hint="eastAsia" w:ascii="宋体" w:hAnsi="宋体" w:cs="宋体"/>
          <w:color w:val="auto"/>
          <w:sz w:val="21"/>
          <w:szCs w:val="21"/>
          <w:highlight w:val="none"/>
        </w:rPr>
        <w:t>用的有效 CA 证书加盖单位电子公章</w:t>
      </w:r>
      <w:r>
        <w:rPr>
          <w:rFonts w:hint="eastAsia" w:ascii="宋体" w:hAnsi="宋体" w:cs="仿宋_GB2312"/>
          <w:color w:val="auto"/>
          <w:sz w:val="21"/>
          <w:szCs w:val="21"/>
          <w:highlight w:val="none"/>
        </w:rPr>
        <w:t>。</w:t>
      </w:r>
    </w:p>
    <w:p w14:paraId="6BA83EF3">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36.履约保证金</w:t>
      </w:r>
    </w:p>
    <w:p w14:paraId="32B317D0">
      <w:pPr>
        <w:tabs>
          <w:tab w:val="left" w:pos="0"/>
        </w:tabs>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详见磋商须知前附表。</w:t>
      </w:r>
    </w:p>
    <w:p w14:paraId="588D0345">
      <w:pPr>
        <w:pStyle w:val="31"/>
        <w:spacing w:line="360" w:lineRule="auto"/>
        <w:jc w:val="center"/>
        <w:rPr>
          <w:rFonts w:eastAsiaTheme="minorEastAsia"/>
          <w:color w:val="auto"/>
          <w:highlight w:val="none"/>
        </w:rPr>
      </w:pPr>
      <w:r>
        <w:rPr>
          <w:rFonts w:hint="eastAsia" w:asciiTheme="minorEastAsia" w:hAnsiTheme="minorEastAsia" w:eastAsiaTheme="minorEastAsia" w:cstheme="minorEastAsia"/>
          <w:b/>
          <w:color w:val="auto"/>
          <w:sz w:val="21"/>
          <w:szCs w:val="21"/>
          <w:highlight w:val="none"/>
        </w:rPr>
        <w:t>六、验收</w:t>
      </w:r>
    </w:p>
    <w:p w14:paraId="089263ED">
      <w:pPr>
        <w:tabs>
          <w:tab w:val="left" w:pos="0"/>
        </w:tabs>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37.1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D9F056B">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宋体"/>
          <w:color w:val="auto"/>
          <w:kern w:val="0"/>
          <w:highlight w:val="none"/>
        </w:rPr>
        <w:t>37.2采购人可以邀请参加本项目的其他供应商或者第三方机构参与验收。参与验收的供应商或者第三方机构</w:t>
      </w:r>
      <w:r>
        <w:rPr>
          <w:rFonts w:hint="eastAsia" w:ascii="宋体" w:hAnsi="宋体" w:cs="Helvetica"/>
          <w:color w:val="auto"/>
          <w:kern w:val="0"/>
          <w:highlight w:val="none"/>
        </w:rPr>
        <w:t>的意见作为验收书的参考资料一并存档。</w:t>
      </w:r>
    </w:p>
    <w:p w14:paraId="15C3AC54">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E18C72D">
      <w:pPr>
        <w:tabs>
          <w:tab w:val="left" w:pos="0"/>
        </w:tabs>
        <w:spacing w:line="360" w:lineRule="auto"/>
        <w:ind w:firstLine="420" w:firstLineChars="200"/>
        <w:rPr>
          <w:rFonts w:hint="eastAsia" w:ascii="宋体" w:hAnsi="宋体" w:cs="Helvetica"/>
          <w:color w:val="auto"/>
          <w:kern w:val="0"/>
          <w:highlight w:val="none"/>
        </w:rPr>
      </w:pPr>
      <w:r>
        <w:rPr>
          <w:rFonts w:hint="eastAsia" w:ascii="宋体" w:hAnsi="宋体" w:cs="Helvetica"/>
          <w:color w:val="auto"/>
          <w:kern w:val="0"/>
          <w:highlight w:val="none"/>
        </w:rPr>
        <w:t>37.4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72EE0997">
      <w:pPr>
        <w:pStyle w:val="26"/>
        <w:spacing w:line="360" w:lineRule="auto"/>
        <w:ind w:firstLine="422" w:firstLineChars="200"/>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七、其他事项</w:t>
      </w:r>
    </w:p>
    <w:p w14:paraId="439E4AA1">
      <w:pPr>
        <w:pStyle w:val="26"/>
        <w:spacing w:line="360" w:lineRule="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38.代理服务费</w:t>
      </w:r>
    </w:p>
    <w:p w14:paraId="79E75EFA">
      <w:pPr>
        <w:pStyle w:val="26"/>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代理服务收费标准及缴费账户详见“供应商须知前附表”，供应商为联合体的</w:t>
      </w:r>
      <w:r>
        <w:rPr>
          <w:rFonts w:hint="eastAsia" w:hAnsi="宋体"/>
          <w:color w:val="auto"/>
          <w:sz w:val="21"/>
          <w:szCs w:val="21"/>
          <w:highlight w:val="none"/>
          <w:lang w:val="zh-CN"/>
        </w:rPr>
        <w:t>（</w:t>
      </w:r>
      <w:r>
        <w:rPr>
          <w:rFonts w:hint="eastAsia" w:hAnsi="宋体"/>
          <w:color w:val="auto"/>
          <w:sz w:val="21"/>
          <w:szCs w:val="21"/>
          <w:highlight w:val="none"/>
        </w:rPr>
        <w:t>允许联合体竞标时</w:t>
      </w:r>
      <w:r>
        <w:rPr>
          <w:rFonts w:hint="eastAsia" w:hAnsi="宋体"/>
          <w:color w:val="auto"/>
          <w:sz w:val="21"/>
          <w:szCs w:val="21"/>
          <w:highlight w:val="none"/>
          <w:lang w:val="zh-CN"/>
        </w:rPr>
        <w:t>）</w:t>
      </w:r>
      <w:r>
        <w:rPr>
          <w:rFonts w:hint="eastAsia" w:hAnsi="宋体"/>
          <w:color w:val="auto"/>
          <w:kern w:val="2"/>
          <w:sz w:val="21"/>
          <w:highlight w:val="none"/>
        </w:rPr>
        <w:t>，可以由联合体中的一方或者多方共同交纳代理服务费。</w:t>
      </w:r>
    </w:p>
    <w:p w14:paraId="0C9E9488">
      <w:pPr>
        <w:pStyle w:val="26"/>
        <w:spacing w:line="380" w:lineRule="exact"/>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39.需要补充的其他内容</w:t>
      </w:r>
    </w:p>
    <w:p w14:paraId="3BC5A573">
      <w:pPr>
        <w:pStyle w:val="26"/>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39.1本竞争性磋商采购文件是根据《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解释权属本采购代理机构。</w:t>
      </w:r>
    </w:p>
    <w:p w14:paraId="2EED93A1">
      <w:pPr>
        <w:pStyle w:val="26"/>
        <w:spacing w:line="360" w:lineRule="auto"/>
        <w:ind w:firstLine="420" w:firstLineChars="200"/>
        <w:textAlignment w:val="center"/>
        <w:rPr>
          <w:rFonts w:hint="eastAsia" w:hAnsi="宋体"/>
          <w:color w:val="auto"/>
          <w:kern w:val="2"/>
          <w:sz w:val="21"/>
          <w:highlight w:val="none"/>
        </w:rPr>
      </w:pPr>
      <w:r>
        <w:rPr>
          <w:rFonts w:hint="eastAsia" w:asciiTheme="minorEastAsia" w:hAnsiTheme="minorEastAsia" w:eastAsiaTheme="minorEastAsia" w:cstheme="minorEastAsia"/>
          <w:color w:val="auto"/>
          <w:sz w:val="21"/>
          <w:szCs w:val="21"/>
          <w:highlight w:val="none"/>
        </w:rPr>
        <w:t>39.2</w:t>
      </w:r>
      <w:r>
        <w:rPr>
          <w:rFonts w:hint="eastAsia" w:hAnsi="宋体"/>
          <w:color w:val="auto"/>
          <w:kern w:val="2"/>
          <w:sz w:val="21"/>
          <w:highlight w:val="none"/>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olor w:val="auto"/>
          <w:kern w:val="2"/>
          <w:sz w:val="21"/>
          <w:highlight w:val="none"/>
        </w:rPr>
        <w:t>，享受本文件规定的中小企业扶持政策。监狱企业或残疾人福利性单位视同为中小企业。</w:t>
      </w:r>
    </w:p>
    <w:p w14:paraId="6292D1A3">
      <w:pPr>
        <w:pStyle w:val="26"/>
        <w:spacing w:line="360" w:lineRule="auto"/>
        <w:ind w:firstLine="420" w:firstLineChars="200"/>
        <w:textAlignment w:val="center"/>
        <w:rPr>
          <w:rFonts w:hint="eastAsia" w:hAnsi="宋体"/>
          <w:color w:val="auto"/>
          <w:kern w:val="2"/>
          <w:sz w:val="21"/>
          <w:highlight w:val="none"/>
        </w:rPr>
      </w:pPr>
      <w:r>
        <w:rPr>
          <w:rFonts w:hint="eastAsia" w:hAnsi="宋体"/>
          <w:color w:val="auto"/>
          <w:kern w:val="2"/>
          <w:sz w:val="21"/>
          <w:highlight w:val="none"/>
        </w:rPr>
        <w:t>以联合体形式参加政府采购活动，联合体各方均为中小企业的，联合体视同中小企业。其中，联合体各方均为小微企业的，联合体视同小微企业。</w:t>
      </w:r>
    </w:p>
    <w:p w14:paraId="63D03CDD">
      <w:pPr>
        <w:tabs>
          <w:tab w:val="left" w:pos="2835"/>
        </w:tabs>
        <w:spacing w:line="360" w:lineRule="auto"/>
        <w:ind w:firstLine="420" w:firstLineChars="200"/>
        <w:jc w:val="both"/>
        <w:rPr>
          <w:rFonts w:hint="eastAsia" w:hAnsi="宋体"/>
          <w:color w:val="auto"/>
          <w:kern w:val="2"/>
          <w:sz w:val="21"/>
          <w:highlight w:val="none"/>
        </w:rPr>
      </w:pPr>
      <w:r>
        <w:rPr>
          <w:rFonts w:hint="eastAsia" w:hAnsi="宋体"/>
          <w:color w:val="auto"/>
          <w:kern w:val="2"/>
          <w:sz w:val="21"/>
          <w:highlight w:val="none"/>
        </w:rPr>
        <w:t>依据本文件规定享受扶持政策获得政府采购合同的，小微企业不得将合同分包给大中型企业，中型企业不得将合同分包给大型企业。</w:t>
      </w:r>
    </w:p>
    <w:p w14:paraId="7974DDCC">
      <w:pPr>
        <w:tabs>
          <w:tab w:val="left" w:pos="2835"/>
        </w:tabs>
        <w:spacing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代理服务费：代理服务收取标准及缴费账户详见“供应商须知前附表”，供应商为联合体的，可以由联合体中的一方或者多方共同交纳代理服务费。</w:t>
      </w:r>
    </w:p>
    <w:p w14:paraId="38C1F6DB">
      <w:pPr>
        <w:tabs>
          <w:tab w:val="left" w:pos="2835"/>
        </w:tabs>
        <w:spacing w:line="360" w:lineRule="auto"/>
        <w:ind w:firstLine="420" w:firstLineChars="200"/>
        <w:jc w:val="both"/>
        <w:outlineLvl w:val="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代理服务费收费计算标准：</w:t>
      </w:r>
    </w:p>
    <w:p w14:paraId="60AC3DFD">
      <w:pPr>
        <w:pStyle w:val="18"/>
        <w:jc w:val="both"/>
        <w:rPr>
          <w:rFonts w:hint="eastAsia" w:ascii="宋体" w:hAnsi="宋体" w:eastAsia="宋体" w:cs="宋体"/>
          <w:color w:val="auto"/>
          <w:sz w:val="21"/>
          <w:szCs w:val="21"/>
          <w:highlight w:val="none"/>
        </w:rPr>
      </w:pP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3FC8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tcPr>
          <w:p w14:paraId="597FD0FF">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费率</w:t>
            </w:r>
          </w:p>
          <w:p w14:paraId="6451534A">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金额（人民币）</w:t>
            </w:r>
          </w:p>
        </w:tc>
        <w:tc>
          <w:tcPr>
            <w:tcW w:w="1659" w:type="dxa"/>
            <w:vAlign w:val="center"/>
          </w:tcPr>
          <w:p w14:paraId="02915D46">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货物类</w:t>
            </w:r>
          </w:p>
        </w:tc>
        <w:tc>
          <w:tcPr>
            <w:tcW w:w="1532" w:type="dxa"/>
            <w:vAlign w:val="center"/>
          </w:tcPr>
          <w:p w14:paraId="67E6B049">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服务类</w:t>
            </w:r>
          </w:p>
        </w:tc>
        <w:tc>
          <w:tcPr>
            <w:tcW w:w="1546" w:type="dxa"/>
            <w:vAlign w:val="center"/>
          </w:tcPr>
          <w:p w14:paraId="681EB4BA">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工程类</w:t>
            </w:r>
          </w:p>
        </w:tc>
      </w:tr>
      <w:tr w14:paraId="380C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CDD82A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100万元以下</w:t>
            </w:r>
          </w:p>
        </w:tc>
        <w:tc>
          <w:tcPr>
            <w:tcW w:w="1659" w:type="dxa"/>
          </w:tcPr>
          <w:p w14:paraId="0DC46F71">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1.5%                </w:t>
            </w:r>
          </w:p>
        </w:tc>
        <w:tc>
          <w:tcPr>
            <w:tcW w:w="1532" w:type="dxa"/>
          </w:tcPr>
          <w:p w14:paraId="29805C7E">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1.5%</w:t>
            </w:r>
          </w:p>
        </w:tc>
        <w:tc>
          <w:tcPr>
            <w:tcW w:w="1546" w:type="dxa"/>
          </w:tcPr>
          <w:p w14:paraId="3335D9C3">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1.0% </w:t>
            </w:r>
          </w:p>
        </w:tc>
      </w:tr>
      <w:tr w14:paraId="1D89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4FB1349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100～500万元</w:t>
            </w:r>
          </w:p>
        </w:tc>
        <w:tc>
          <w:tcPr>
            <w:tcW w:w="1659" w:type="dxa"/>
          </w:tcPr>
          <w:p w14:paraId="229709D9">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1.1%                 </w:t>
            </w:r>
          </w:p>
        </w:tc>
        <w:tc>
          <w:tcPr>
            <w:tcW w:w="1532" w:type="dxa"/>
          </w:tcPr>
          <w:p w14:paraId="37B4670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0.8%</w:t>
            </w:r>
          </w:p>
        </w:tc>
        <w:tc>
          <w:tcPr>
            <w:tcW w:w="1546" w:type="dxa"/>
          </w:tcPr>
          <w:p w14:paraId="21D94D45">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0.7% </w:t>
            </w:r>
          </w:p>
        </w:tc>
      </w:tr>
      <w:tr w14:paraId="5C41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1FE8252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500～1000万元</w:t>
            </w:r>
          </w:p>
        </w:tc>
        <w:tc>
          <w:tcPr>
            <w:tcW w:w="1659" w:type="dxa"/>
          </w:tcPr>
          <w:p w14:paraId="532BB6AD">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  0.8%                </w:t>
            </w:r>
          </w:p>
        </w:tc>
        <w:tc>
          <w:tcPr>
            <w:tcW w:w="1532" w:type="dxa"/>
          </w:tcPr>
          <w:p w14:paraId="3D01117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0.45%</w:t>
            </w:r>
          </w:p>
        </w:tc>
        <w:tc>
          <w:tcPr>
            <w:tcW w:w="1546" w:type="dxa"/>
          </w:tcPr>
          <w:p w14:paraId="5B77375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0.55%</w:t>
            </w:r>
          </w:p>
        </w:tc>
      </w:tr>
      <w:tr w14:paraId="1121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E2F53BC">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1000～5000万元</w:t>
            </w:r>
          </w:p>
        </w:tc>
        <w:tc>
          <w:tcPr>
            <w:tcW w:w="1659" w:type="dxa"/>
          </w:tcPr>
          <w:p w14:paraId="5C0FA9D4">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0.5%                </w:t>
            </w:r>
          </w:p>
        </w:tc>
        <w:tc>
          <w:tcPr>
            <w:tcW w:w="1532" w:type="dxa"/>
          </w:tcPr>
          <w:p w14:paraId="117602E1">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0.25%</w:t>
            </w:r>
          </w:p>
        </w:tc>
        <w:tc>
          <w:tcPr>
            <w:tcW w:w="1546" w:type="dxa"/>
          </w:tcPr>
          <w:p w14:paraId="708C19FB">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0.35% </w:t>
            </w:r>
          </w:p>
        </w:tc>
      </w:tr>
      <w:tr w14:paraId="693C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26D9F48">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5000万元～1亿元</w:t>
            </w:r>
          </w:p>
        </w:tc>
        <w:tc>
          <w:tcPr>
            <w:tcW w:w="1659" w:type="dxa"/>
          </w:tcPr>
          <w:p w14:paraId="1431DA7A">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0.25%                 </w:t>
            </w:r>
          </w:p>
        </w:tc>
        <w:tc>
          <w:tcPr>
            <w:tcW w:w="1532" w:type="dxa"/>
          </w:tcPr>
          <w:p w14:paraId="2A1C367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0.1%</w:t>
            </w:r>
          </w:p>
        </w:tc>
        <w:tc>
          <w:tcPr>
            <w:tcW w:w="1546" w:type="dxa"/>
          </w:tcPr>
          <w:p w14:paraId="1E5F9A98">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0.2%</w:t>
            </w:r>
          </w:p>
        </w:tc>
      </w:tr>
      <w:tr w14:paraId="7D1E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786E9337">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1～5亿元</w:t>
            </w:r>
          </w:p>
        </w:tc>
        <w:tc>
          <w:tcPr>
            <w:tcW w:w="1659" w:type="dxa"/>
          </w:tcPr>
          <w:p w14:paraId="528883D2">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0.05%</w:t>
            </w:r>
          </w:p>
        </w:tc>
        <w:tc>
          <w:tcPr>
            <w:tcW w:w="1532" w:type="dxa"/>
          </w:tcPr>
          <w:p w14:paraId="36CD541D">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0.05%</w:t>
            </w:r>
          </w:p>
        </w:tc>
        <w:tc>
          <w:tcPr>
            <w:tcW w:w="1546" w:type="dxa"/>
          </w:tcPr>
          <w:p w14:paraId="481076E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0.05%</w:t>
            </w:r>
          </w:p>
        </w:tc>
      </w:tr>
      <w:tr w14:paraId="2783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332AA74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5～10亿元</w:t>
            </w:r>
          </w:p>
        </w:tc>
        <w:tc>
          <w:tcPr>
            <w:tcW w:w="1659" w:type="dxa"/>
          </w:tcPr>
          <w:p w14:paraId="05E225C7">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0.035%</w:t>
            </w:r>
          </w:p>
        </w:tc>
        <w:tc>
          <w:tcPr>
            <w:tcW w:w="1532" w:type="dxa"/>
          </w:tcPr>
          <w:p w14:paraId="1515184F">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0.035%</w:t>
            </w:r>
          </w:p>
        </w:tc>
        <w:tc>
          <w:tcPr>
            <w:tcW w:w="1546" w:type="dxa"/>
          </w:tcPr>
          <w:p w14:paraId="43372160">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0.035%</w:t>
            </w:r>
          </w:p>
        </w:tc>
      </w:tr>
      <w:tr w14:paraId="4E69E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6F6392EB">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10～50亿元</w:t>
            </w:r>
          </w:p>
        </w:tc>
        <w:tc>
          <w:tcPr>
            <w:tcW w:w="1659" w:type="dxa"/>
          </w:tcPr>
          <w:p w14:paraId="5B71DB8E">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c>
          <w:tcPr>
            <w:tcW w:w="1532" w:type="dxa"/>
          </w:tcPr>
          <w:p w14:paraId="4A7B1CFB">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c>
          <w:tcPr>
            <w:tcW w:w="1546" w:type="dxa"/>
          </w:tcPr>
          <w:p w14:paraId="41D64676">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0.008%</w:t>
            </w:r>
          </w:p>
        </w:tc>
      </w:tr>
      <w:tr w14:paraId="0732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51AB5F0E">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50～100亿元</w:t>
            </w:r>
          </w:p>
        </w:tc>
        <w:tc>
          <w:tcPr>
            <w:tcW w:w="1659" w:type="dxa"/>
          </w:tcPr>
          <w:p w14:paraId="17C067C9">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0.006%</w:t>
            </w:r>
          </w:p>
        </w:tc>
        <w:tc>
          <w:tcPr>
            <w:tcW w:w="1532" w:type="dxa"/>
          </w:tcPr>
          <w:p w14:paraId="7131C995">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0.006%</w:t>
            </w:r>
          </w:p>
        </w:tc>
        <w:tc>
          <w:tcPr>
            <w:tcW w:w="1546" w:type="dxa"/>
          </w:tcPr>
          <w:p w14:paraId="0C740491">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0.006%</w:t>
            </w:r>
          </w:p>
        </w:tc>
      </w:tr>
      <w:tr w14:paraId="5D7A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Pr>
          <w:p w14:paraId="062CEF42">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100亿元以上</w:t>
            </w:r>
          </w:p>
        </w:tc>
        <w:tc>
          <w:tcPr>
            <w:tcW w:w="1659" w:type="dxa"/>
          </w:tcPr>
          <w:p w14:paraId="518FCC84">
            <w:pPr>
              <w:spacing w:line="360" w:lineRule="auto"/>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0.004%</w:t>
            </w:r>
          </w:p>
        </w:tc>
        <w:tc>
          <w:tcPr>
            <w:tcW w:w="1532" w:type="dxa"/>
          </w:tcPr>
          <w:p w14:paraId="199740C5">
            <w:pPr>
              <w:spacing w:line="360" w:lineRule="auto"/>
              <w:ind w:firstLine="210" w:firstLineChars="10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0.004%</w:t>
            </w:r>
          </w:p>
        </w:tc>
        <w:tc>
          <w:tcPr>
            <w:tcW w:w="1546" w:type="dxa"/>
          </w:tcPr>
          <w:p w14:paraId="747E4D4D">
            <w:pPr>
              <w:spacing w:line="360" w:lineRule="auto"/>
              <w:ind w:firstLine="105" w:firstLineChars="5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0.004%</w:t>
            </w:r>
          </w:p>
        </w:tc>
      </w:tr>
    </w:tbl>
    <w:p w14:paraId="4CFDACD6">
      <w:pPr>
        <w:spacing w:line="360" w:lineRule="auto"/>
        <w:ind w:firstLine="422" w:firstLineChars="200"/>
        <w:jc w:val="both"/>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07CCCFFA">
      <w:pPr>
        <w:spacing w:line="360" w:lineRule="auto"/>
        <w:ind w:firstLine="420"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（1）按本表费率计算的收费标准为采购代理的收费价格；</w:t>
      </w:r>
    </w:p>
    <w:p w14:paraId="63FBD5B3">
      <w:pPr>
        <w:spacing w:line="360" w:lineRule="auto"/>
        <w:ind w:firstLine="420"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（2）采购代理收费按差额定率累进法计算。</w:t>
      </w:r>
    </w:p>
    <w:p w14:paraId="19C88E16">
      <w:pPr>
        <w:spacing w:line="360" w:lineRule="auto"/>
        <w:ind w:firstLine="420" w:firstLineChars="200"/>
        <w:jc w:val="both"/>
        <w:outlineLvl w:val="3"/>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39.</w:t>
      </w:r>
      <w:r>
        <w:rPr>
          <w:rFonts w:hint="eastAsia" w:ascii="宋体" w:hAnsi="宋体" w:cs="宋体"/>
          <w:color w:val="auto"/>
          <w:kern w:val="2"/>
          <w:sz w:val="21"/>
          <w:szCs w:val="20"/>
          <w:highlight w:val="none"/>
          <w:lang w:val="en-US" w:eastAsia="zh-CN" w:bidi="ar-SA"/>
        </w:rPr>
        <w:t>5</w:t>
      </w:r>
      <w:r>
        <w:rPr>
          <w:rFonts w:hint="eastAsia" w:ascii="宋体" w:hAnsi="宋体" w:eastAsia="宋体" w:cs="宋体"/>
          <w:color w:val="auto"/>
          <w:kern w:val="2"/>
          <w:sz w:val="21"/>
          <w:szCs w:val="20"/>
          <w:highlight w:val="none"/>
          <w:lang w:val="en-US" w:eastAsia="zh-CN" w:bidi="ar-SA"/>
        </w:rPr>
        <w:t xml:space="preserve"> 代理服务费交纳银行账号信息</w:t>
      </w:r>
    </w:p>
    <w:p w14:paraId="1E4050A9">
      <w:pPr>
        <w:pStyle w:val="18"/>
        <w:ind w:firstLine="422" w:firstLineChars="20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color w:val="auto"/>
          <w:kern w:val="2"/>
          <w:sz w:val="21"/>
          <w:szCs w:val="20"/>
          <w:highlight w:val="none"/>
          <w:lang w:val="en-US" w:eastAsia="zh-CN" w:bidi="ar-SA"/>
        </w:rPr>
        <w:t xml:space="preserve">开户名称：广西建设工程机电设备招标中心有限公司 </w:t>
      </w:r>
    </w:p>
    <w:p w14:paraId="2DA16257">
      <w:pPr>
        <w:pStyle w:val="26"/>
        <w:spacing w:line="360" w:lineRule="auto"/>
        <w:ind w:firstLine="420"/>
        <w:jc w:val="both"/>
        <w:rPr>
          <w:rFonts w:hint="eastAsia" w:ascii="宋体" w:hAnsi="宋体" w:eastAsia="宋体" w:cs="宋体"/>
          <w:b/>
          <w:bCs/>
          <w:color w:val="auto"/>
          <w:kern w:val="2"/>
          <w:sz w:val="21"/>
          <w:szCs w:val="20"/>
          <w:highlight w:val="none"/>
          <w:lang w:val="en-US" w:eastAsia="zh-CN" w:bidi="ar-SA"/>
        </w:rPr>
      </w:pPr>
      <w:r>
        <w:rPr>
          <w:rFonts w:hint="eastAsia" w:ascii="宋体" w:hAnsi="宋体" w:eastAsia="宋体" w:cs="宋体"/>
          <w:b/>
          <w:bCs/>
          <w:color w:val="auto"/>
          <w:kern w:val="2"/>
          <w:sz w:val="21"/>
          <w:szCs w:val="20"/>
          <w:highlight w:val="none"/>
          <w:lang w:val="en-US" w:eastAsia="zh-CN" w:bidi="ar-SA"/>
        </w:rPr>
        <w:t>开户银行：招商银行南宁分行营业部</w:t>
      </w:r>
    </w:p>
    <w:p w14:paraId="1A6B19D9">
      <w:pPr>
        <w:pStyle w:val="26"/>
        <w:spacing w:line="360" w:lineRule="auto"/>
        <w:ind w:firstLine="420"/>
        <w:jc w:val="both"/>
        <w:rPr>
          <w:rFonts w:hint="eastAsia" w:ascii="宋体" w:hAnsi="宋体" w:eastAsia="宋体" w:cs="宋体"/>
          <w:color w:val="auto"/>
          <w:kern w:val="2"/>
          <w:sz w:val="21"/>
          <w:szCs w:val="20"/>
          <w:highlight w:val="none"/>
          <w:lang w:val="en-US" w:eastAsia="zh-CN" w:bidi="ar-SA"/>
        </w:rPr>
      </w:pPr>
      <w:r>
        <w:rPr>
          <w:rFonts w:hint="eastAsia" w:ascii="宋体" w:hAnsi="宋体" w:eastAsia="宋体" w:cs="宋体"/>
          <w:b/>
          <w:bCs/>
          <w:color w:val="auto"/>
          <w:kern w:val="2"/>
          <w:sz w:val="21"/>
          <w:szCs w:val="20"/>
          <w:highlight w:val="none"/>
          <w:lang w:val="en-US" w:eastAsia="zh-CN" w:bidi="ar-SA"/>
        </w:rPr>
        <w:t>银行账号：7719 0142 3310 201</w:t>
      </w:r>
    </w:p>
    <w:p w14:paraId="12CE6C8B">
      <w:pPr>
        <w:rPr>
          <w:rFonts w:hint="eastAsia" w:ascii="宋体" w:hAnsi="宋体" w:eastAsia="宋体" w:cs="宋体"/>
          <w:color w:val="auto"/>
          <w:kern w:val="2"/>
          <w:sz w:val="21"/>
          <w:szCs w:val="20"/>
          <w:highlight w:val="none"/>
          <w:lang w:val="en-US" w:eastAsia="zh-CN" w:bidi="ar-SA"/>
        </w:rPr>
      </w:pPr>
      <w:bookmarkStart w:id="17" w:name="_Toc13906"/>
      <w:r>
        <w:rPr>
          <w:rFonts w:hint="eastAsia" w:ascii="宋体" w:hAnsi="宋体" w:eastAsia="宋体" w:cs="宋体"/>
          <w:color w:val="auto"/>
          <w:kern w:val="2"/>
          <w:sz w:val="21"/>
          <w:szCs w:val="20"/>
          <w:highlight w:val="none"/>
          <w:lang w:val="en-US" w:eastAsia="zh-CN" w:bidi="ar-SA"/>
        </w:rPr>
        <w:br w:type="page"/>
      </w:r>
    </w:p>
    <w:p w14:paraId="47479320">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8" w:name="_Toc3413"/>
      <w:r>
        <w:rPr>
          <w:rFonts w:hint="eastAsia" w:asciiTheme="minorEastAsia" w:hAnsiTheme="minorEastAsia" w:eastAsiaTheme="minorEastAsia" w:cstheme="minorEastAsia"/>
          <w:color w:val="auto"/>
          <w:kern w:val="0"/>
          <w:sz w:val="44"/>
          <w:szCs w:val="44"/>
          <w:highlight w:val="none"/>
        </w:rPr>
        <w:t>技术规范</w:t>
      </w:r>
      <w:bookmarkEnd w:id="18"/>
    </w:p>
    <w:p w14:paraId="6B9FC4F6">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一、工程建设地点的现场条件：</w:t>
      </w:r>
    </w:p>
    <w:p w14:paraId="44F326DE">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（一）现场自然条件</w:t>
      </w:r>
    </w:p>
    <w:p w14:paraId="160E0BFC">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满足施工要求。</w:t>
      </w:r>
    </w:p>
    <w:p w14:paraId="6C2FA6CE">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（二）现场施工条件</w:t>
      </w:r>
    </w:p>
    <w:p w14:paraId="7567F2FF">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符合施工要求。</w:t>
      </w:r>
    </w:p>
    <w:p w14:paraId="0242E5AC">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二、施工要求</w:t>
      </w:r>
    </w:p>
    <w:p w14:paraId="6C810752">
      <w:pPr>
        <w:spacing w:line="420" w:lineRule="exact"/>
        <w:ind w:firstLine="420" w:firstLineChars="200"/>
        <w:jc w:val="left"/>
        <w:rPr>
          <w:rFonts w:hint="eastAsia" w:ascii="宋体" w:hAnsi="宋体"/>
          <w:color w:val="auto"/>
          <w:highlight w:val="none"/>
        </w:rPr>
      </w:pPr>
      <w:r>
        <w:rPr>
          <w:rFonts w:hint="eastAsia" w:ascii="宋体" w:hAnsi="宋体"/>
          <w:color w:val="auto"/>
          <w:highlight w:val="none"/>
        </w:rPr>
        <w:t>本工程应该认真按照设计施工图纸的要求进行施工，同时也要严格现行标准和技术规范。具体技术参数按工程图纸说明。</w:t>
      </w:r>
    </w:p>
    <w:p w14:paraId="5C57F64F">
      <w:pPr>
        <w:numPr>
          <w:ilvl w:val="0"/>
          <w:numId w:val="9"/>
        </w:numPr>
        <w:spacing w:line="420" w:lineRule="exact"/>
        <w:ind w:firstLine="420" w:firstLineChars="200"/>
        <w:jc w:val="left"/>
        <w:rPr>
          <w:rFonts w:hint="eastAsia" w:ascii="宋体" w:hAnsi="宋体"/>
          <w:color w:val="auto"/>
          <w:highlight w:val="none"/>
          <w:lang w:val="en-US" w:eastAsia="zh-CN"/>
        </w:rPr>
      </w:pPr>
      <w:r>
        <w:rPr>
          <w:rFonts w:hint="eastAsia" w:ascii="宋体" w:hAnsi="宋体"/>
          <w:color w:val="auto"/>
          <w:highlight w:val="none"/>
          <w:lang w:val="en-US" w:eastAsia="zh-CN"/>
        </w:rPr>
        <w:t>质量标准：</w:t>
      </w:r>
      <w:r>
        <w:rPr>
          <w:rFonts w:hint="eastAsia" w:ascii="宋体" w:hAnsi="宋体" w:eastAsia="宋体" w:cs="宋体"/>
          <w:color w:val="auto"/>
          <w:u w:val="none"/>
        </w:rPr>
        <w:t>达到国家施工验收规范合格标准</w:t>
      </w:r>
      <w:r>
        <w:rPr>
          <w:rFonts w:hint="eastAsia" w:ascii="宋体" w:hAnsi="宋体" w:eastAsia="宋体" w:cs="宋体"/>
          <w:color w:val="auto"/>
          <w:u w:val="none"/>
          <w:lang w:eastAsia="zh-CN"/>
        </w:rPr>
        <w:t>。</w:t>
      </w:r>
    </w:p>
    <w:p w14:paraId="7066B0DB">
      <w:pPr>
        <w:spacing w:line="420" w:lineRule="exact"/>
        <w:ind w:firstLine="420" w:firstLineChars="200"/>
        <w:jc w:val="left"/>
        <w:rPr>
          <w:rFonts w:hint="default" w:ascii="宋体" w:hAnsi="宋体"/>
          <w:color w:val="auto"/>
          <w:highlight w:val="none"/>
          <w:lang w:val="en-US" w:eastAsia="zh-CN"/>
        </w:rPr>
      </w:pPr>
      <w:r>
        <w:rPr>
          <w:rFonts w:hint="eastAsia" w:ascii="宋体" w:hAnsi="宋体"/>
          <w:color w:val="auto"/>
          <w:highlight w:val="yellow"/>
          <w:lang w:val="en-US" w:eastAsia="zh-CN"/>
        </w:rPr>
        <w:t>四、验收要求：采购人应按合同约定条款组织验收。</w:t>
      </w:r>
    </w:p>
    <w:p w14:paraId="072D40F8">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150C4366">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44E7B10E">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495B1DBA">
      <w:pPr>
        <w:rPr>
          <w:rStyle w:val="63"/>
          <w:rFonts w:hint="eastAsia" w:asciiTheme="minorEastAsia" w:hAnsiTheme="minorEastAsia" w:eastAsiaTheme="minorEastAsia" w:cstheme="minorEastAsia"/>
          <w:color w:val="auto"/>
          <w:sz w:val="36"/>
          <w:szCs w:val="36"/>
          <w:highlight w:val="none"/>
        </w:rPr>
      </w:pPr>
      <w:r>
        <w:rPr>
          <w:rStyle w:val="63"/>
          <w:rFonts w:hint="eastAsia" w:asciiTheme="minorEastAsia" w:hAnsiTheme="minorEastAsia" w:eastAsiaTheme="minorEastAsia" w:cstheme="minorEastAsia"/>
          <w:color w:val="auto"/>
          <w:sz w:val="36"/>
          <w:szCs w:val="36"/>
          <w:highlight w:val="none"/>
        </w:rPr>
        <w:br w:type="page"/>
      </w:r>
    </w:p>
    <w:p w14:paraId="561D90EE">
      <w:pPr>
        <w:pStyle w:val="5"/>
        <w:rPr>
          <w:rFonts w:hint="eastAsia"/>
        </w:rPr>
      </w:pPr>
    </w:p>
    <w:p w14:paraId="5BB20114">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19" w:name="_Toc1957"/>
      <w:r>
        <w:rPr>
          <w:rFonts w:hint="eastAsia" w:asciiTheme="minorEastAsia" w:hAnsiTheme="minorEastAsia" w:eastAsiaTheme="minorEastAsia" w:cstheme="minorEastAsia"/>
          <w:color w:val="auto"/>
          <w:kern w:val="0"/>
          <w:sz w:val="44"/>
          <w:szCs w:val="44"/>
          <w:highlight w:val="none"/>
        </w:rPr>
        <w:t>评审程序、评审方法和评审标准</w:t>
      </w:r>
      <w:bookmarkEnd w:id="19"/>
    </w:p>
    <w:p w14:paraId="71513330">
      <w:pPr>
        <w:pStyle w:val="3"/>
        <w:jc w:val="center"/>
        <w:rPr>
          <w:rFonts w:hint="eastAsia" w:ascii="宋体" w:hAnsi="宋体"/>
          <w:b w:val="0"/>
          <w:color w:val="auto"/>
          <w:highlight w:val="none"/>
        </w:rPr>
      </w:pPr>
      <w:bookmarkStart w:id="20" w:name="_Toc80886938"/>
      <w:bookmarkStart w:id="21" w:name="_Toc23320"/>
      <w:r>
        <w:rPr>
          <w:rFonts w:hint="eastAsia" w:ascii="宋体" w:hAnsi="宋体"/>
          <w:b w:val="0"/>
          <w:color w:val="auto"/>
          <w:highlight w:val="none"/>
        </w:rPr>
        <w:t>第一节 评审程序和评审方法</w:t>
      </w:r>
      <w:bookmarkEnd w:id="20"/>
      <w:bookmarkEnd w:id="21"/>
    </w:p>
    <w:p w14:paraId="20B45290">
      <w:pPr>
        <w:spacing w:line="360" w:lineRule="auto"/>
        <w:ind w:firstLine="422" w:firstLineChars="200"/>
        <w:rPr>
          <w:rFonts w:hint="eastAsia" w:ascii="黑体" w:hAnsi="黑体" w:eastAsia="黑体" w:cs="宋体"/>
          <w:b/>
          <w:bCs/>
          <w:color w:val="auto"/>
          <w:highlight w:val="none"/>
        </w:rPr>
      </w:pPr>
      <w:r>
        <w:rPr>
          <w:rFonts w:ascii="黑体" w:hAnsi="黑体" w:eastAsia="黑体" w:cs="宋体"/>
          <w:b/>
          <w:bCs/>
          <w:color w:val="auto"/>
          <w:highlight w:val="none"/>
        </w:rPr>
        <w:t>1</w:t>
      </w:r>
      <w:r>
        <w:rPr>
          <w:rFonts w:hint="eastAsia" w:ascii="黑体" w:hAnsi="黑体" w:eastAsia="黑体" w:cs="宋体"/>
          <w:b/>
          <w:bCs/>
          <w:color w:val="auto"/>
          <w:highlight w:val="none"/>
        </w:rPr>
        <w:t>.确认磋商文件</w:t>
      </w:r>
    </w:p>
    <w:p w14:paraId="2435431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1.1由磋商小组确认磋商文件。</w:t>
      </w:r>
    </w:p>
    <w:p w14:paraId="25DE4F46">
      <w:pPr>
        <w:spacing w:line="360" w:lineRule="auto"/>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2.资格审查</w:t>
      </w:r>
    </w:p>
    <w:p w14:paraId="0E818C9E">
      <w:pPr>
        <w:snapToGrid w:val="0"/>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2.1</w:t>
      </w:r>
      <w:r>
        <w:rPr>
          <w:rFonts w:hint="eastAsia" w:ascii="宋体" w:hAnsi="宋体"/>
          <w:color w:val="auto"/>
          <w:highlight w:val="none"/>
        </w:rPr>
        <w:t>响应文件开启后，磋商小组依法对供应商的资格证明文件进行审查。</w:t>
      </w:r>
    </w:p>
    <w:p w14:paraId="44619CFE">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注：采购人代表或者采购代理机构在资格审查结束前，对供应商进行信用查询。</w:t>
      </w:r>
    </w:p>
    <w:p w14:paraId="6D6E8723">
      <w:pPr>
        <w:snapToGrid w:val="0"/>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（1）查询渠道：“广西政府采购云”平台</w:t>
      </w:r>
      <w:r>
        <w:rPr>
          <w:rFonts w:hint="eastAsia" w:ascii="宋体" w:hAnsi="宋体" w:cs="宋体"/>
          <w:color w:val="auto"/>
          <w:highlight w:val="none"/>
          <w:lang w:eastAsia="zh-CN"/>
        </w:rPr>
        <w:t>、</w:t>
      </w:r>
      <w:r>
        <w:rPr>
          <w:rFonts w:hint="eastAsia" w:ascii="宋体" w:hAnsi="宋体" w:cs="宋体"/>
          <w:color w:val="auto"/>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55"/>
          <w:rFonts w:hint="eastAsia" w:hAnsi="宋体" w:cs="宋体"/>
          <w:color w:val="auto"/>
          <w:highlight w:val="none"/>
        </w:rPr>
        <w:t>www.creditchina.gov.cn</w:t>
      </w:r>
      <w:r>
        <w:rPr>
          <w:rStyle w:val="55"/>
          <w:rFonts w:hint="eastAsia" w:hAnsi="宋体" w:cs="宋体"/>
          <w:color w:val="auto"/>
          <w:highlight w:val="none"/>
        </w:rPr>
        <w:fldChar w:fldCharType="end"/>
      </w:r>
      <w:r>
        <w:rPr>
          <w:rFonts w:hint="eastAsia" w:ascii="宋体" w:hAnsi="宋体" w:cs="宋体"/>
          <w:color w:val="auto"/>
          <w:highlight w:val="none"/>
        </w:rPr>
        <w:t>)、链接入口。</w:t>
      </w:r>
    </w:p>
    <w:p w14:paraId="787F3089">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（2）信用查询截止时点：资格审查结束前。</w:t>
      </w:r>
    </w:p>
    <w:p w14:paraId="76BBB011">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查询记录和证据留存方式：在查询网站中直接打印查询记录，截图另存为电子文档作为评审资料保存。</w:t>
      </w:r>
    </w:p>
    <w:p w14:paraId="4964D5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信用信息使用规则：对在“信用中国”网站(www.creditchina.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442D5E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2.2资格审查标准为本磋商文件中载明对供应商资格要求的条件。资格审查采用合格制，凡符合磋商文件规定的供应商资格要求的响应文件均通过资格审查。</w:t>
      </w:r>
    </w:p>
    <w:p w14:paraId="32FA110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2.3供应商有下列情形之一的，资格审查不通过，其响应文件按无效响应处理：</w:t>
      </w:r>
    </w:p>
    <w:p w14:paraId="013A36E6">
      <w:pPr>
        <w:snapToGrid w:val="0"/>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1</w:t>
      </w:r>
      <w:r>
        <w:rPr>
          <w:rFonts w:hint="eastAsia" w:ascii="宋体" w:hAnsi="宋体" w:cs="宋体"/>
          <w:color w:val="auto"/>
          <w:highlight w:val="none"/>
        </w:rPr>
        <w:t>）不具备磋商文件中规定的资格要求的；</w:t>
      </w:r>
    </w:p>
    <w:p w14:paraId="0300A4E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）响应文件未提供任一项“供应商须知前附表”资格证明文件规定的“必须提供”的文件资料的；</w:t>
      </w:r>
    </w:p>
    <w:p w14:paraId="529C3A4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w:t>
      </w:r>
      <w:r>
        <w:rPr>
          <w:rFonts w:hint="eastAsia" w:ascii="宋体" w:hAnsi="宋体" w:cs="宋体"/>
          <w:color w:val="auto"/>
          <w:highlight w:val="none"/>
        </w:rPr>
        <w:t>）响应文件提供的资格证明文件出现任一项不符合“供应商须知前附表”资格证明文件规定的“必须提供”的文件资料要求或者无效的。</w:t>
      </w:r>
    </w:p>
    <w:p w14:paraId="28F2AB6D">
      <w:pPr>
        <w:spacing w:line="360" w:lineRule="auto"/>
        <w:ind w:firstLine="420" w:firstLineChars="200"/>
        <w:rPr>
          <w:rFonts w:hint="eastAsia" w:ascii="宋体" w:hAnsi="宋体" w:cs="宋体"/>
          <w:color w:val="auto"/>
          <w:highlight w:val="none"/>
        </w:rPr>
      </w:pPr>
      <w:bookmarkStart w:id="22" w:name="_Hlk68601553"/>
      <w:r>
        <w:rPr>
          <w:rFonts w:hint="eastAsia" w:ascii="宋体" w:hAnsi="宋体" w:cs="宋体"/>
          <w:color w:val="auto"/>
          <w:highlight w:val="none"/>
        </w:rPr>
        <w:t>（4）同一合同项下的不同供应商，单位负责人为同一人或者存在直接控股、管理关系的；为本项目提供过整体设计、规范编制或者项目管理、监理、检测等服务的。</w:t>
      </w:r>
      <w:bookmarkEnd w:id="22"/>
    </w:p>
    <w:p w14:paraId="790DC1C6">
      <w:pPr>
        <w:spacing w:line="360" w:lineRule="auto"/>
        <w:ind w:firstLine="420" w:firstLineChars="200"/>
        <w:rPr>
          <w:rFonts w:hint="eastAsia" w:ascii="宋体" w:hAnsi="宋体"/>
          <w:color w:val="auto"/>
          <w:highlight w:val="none"/>
        </w:rPr>
      </w:pPr>
      <w:r>
        <w:rPr>
          <w:rFonts w:hint="eastAsia" w:ascii="宋体" w:hAnsi="宋体" w:cs="宋体"/>
          <w:color w:val="auto"/>
          <w:highlight w:val="none"/>
        </w:rPr>
        <w:t>2.4通过资格审查的合格供应商不足3家的，不得进入符合性审查环节，</w:t>
      </w:r>
      <w:r>
        <w:rPr>
          <w:rFonts w:hint="eastAsia" w:ascii="宋体" w:hAnsi="宋体"/>
          <w:color w:val="auto"/>
          <w:highlight w:val="none"/>
        </w:rPr>
        <w:t>采购人或者采购代理机构应当重新开展采购活动。</w:t>
      </w:r>
    </w:p>
    <w:p w14:paraId="0E81C840">
      <w:pPr>
        <w:pStyle w:val="29"/>
        <w:rPr>
          <w:color w:val="auto"/>
          <w:highlight w:val="none"/>
        </w:rPr>
      </w:pPr>
    </w:p>
    <w:p w14:paraId="65FF004F">
      <w:pPr>
        <w:spacing w:line="360" w:lineRule="auto"/>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0AFB983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.1</w:t>
      </w:r>
      <w:r>
        <w:rPr>
          <w:rFonts w:hint="eastAsia" w:ascii="宋体" w:hAnsi="宋体" w:cs="宋体"/>
          <w:color w:val="auto"/>
          <w:highlight w:val="none"/>
        </w:rPr>
        <w:t>由磋商小组对</w:t>
      </w:r>
      <w:r>
        <w:rPr>
          <w:rFonts w:hint="eastAsia" w:ascii="宋体" w:hAnsi="宋体"/>
          <w:color w:val="auto"/>
          <w:highlight w:val="none"/>
        </w:rPr>
        <w:t>通过资格审查的合格供应商</w:t>
      </w:r>
      <w:r>
        <w:rPr>
          <w:rFonts w:hint="eastAsia" w:ascii="宋体" w:hAnsi="宋体" w:cs="宋体"/>
          <w:color w:val="auto"/>
          <w:highlight w:val="none"/>
        </w:rPr>
        <w:t>的响应文件的响应报价、商务、技术等实质性要求进行符合性审查，以确定其是否满足磋商文件的实质性要求。</w:t>
      </w:r>
    </w:p>
    <w:p w14:paraId="6E5E96A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.2</w:t>
      </w:r>
      <w:r>
        <w:rPr>
          <w:rFonts w:hint="eastAsia" w:ascii="宋体" w:hAnsi="宋体" w:cs="宋体"/>
          <w:color w:val="auto"/>
          <w:highlight w:val="none"/>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E8035F7">
      <w:pPr>
        <w:spacing w:line="360" w:lineRule="auto"/>
        <w:ind w:firstLine="420" w:firstLineChars="200"/>
        <w:rPr>
          <w:rFonts w:hint="eastAsia" w:ascii="宋体" w:hAnsi="宋体" w:cs="宋体"/>
          <w:color w:val="auto"/>
          <w:spacing w:val="-6"/>
          <w:highlight w:val="none"/>
        </w:rPr>
      </w:pPr>
      <w:r>
        <w:rPr>
          <w:rFonts w:hint="eastAsia" w:ascii="宋体" w:hAnsi="宋体" w:cs="宋体"/>
          <w:color w:val="auto"/>
          <w:highlight w:val="none"/>
        </w:rPr>
        <w:t>3.</w:t>
      </w:r>
      <w:r>
        <w:rPr>
          <w:rFonts w:ascii="宋体" w:hAnsi="宋体" w:cs="宋体"/>
          <w:color w:val="auto"/>
          <w:highlight w:val="none"/>
        </w:rPr>
        <w:t>3</w:t>
      </w:r>
      <w:r>
        <w:rPr>
          <w:rFonts w:hint="eastAsia" w:ascii="宋体" w:hAnsi="宋体" w:cs="宋体"/>
          <w:color w:val="auto"/>
          <w:highlight w:val="none"/>
        </w:rPr>
        <w:t>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highlight w:val="none"/>
        </w:rPr>
        <w:t>。供应商为自然人的，必须由本人签字并附身份证明。</w:t>
      </w:r>
    </w:p>
    <w:p w14:paraId="3E869B5F">
      <w:pPr>
        <w:spacing w:line="360" w:lineRule="auto"/>
        <w:ind w:firstLine="396" w:firstLineChars="200"/>
        <w:rPr>
          <w:rFonts w:hint="eastAsia" w:ascii="宋体" w:hAnsi="宋体" w:cs="宋体"/>
          <w:color w:val="auto"/>
          <w:highlight w:val="none"/>
        </w:rPr>
      </w:pPr>
      <w:r>
        <w:rPr>
          <w:rFonts w:hint="eastAsia" w:ascii="宋体" w:hAnsi="宋体" w:cs="宋体"/>
          <w:color w:val="auto"/>
          <w:spacing w:val="-6"/>
          <w:highlight w:val="none"/>
        </w:rPr>
        <w:t>3</w:t>
      </w:r>
      <w:r>
        <w:rPr>
          <w:rFonts w:ascii="宋体" w:hAnsi="宋体" w:cs="宋体"/>
          <w:color w:val="auto"/>
          <w:spacing w:val="-6"/>
          <w:highlight w:val="none"/>
        </w:rPr>
        <w:t>.4</w:t>
      </w:r>
      <w:r>
        <w:rPr>
          <w:rFonts w:hint="eastAsia" w:ascii="宋体" w:hAnsi="宋体" w:cs="宋体"/>
          <w:color w:val="auto"/>
          <w:highlight w:val="none"/>
        </w:rPr>
        <w:t xml:space="preserve">首次响应文件报价出现前后不一致的，按照下列规定修正： </w:t>
      </w:r>
    </w:p>
    <w:p w14:paraId="2C60ADB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（1）响应文件中报价表内容与响应文件中相应内容不一致的，以报价表为准；</w:t>
      </w:r>
    </w:p>
    <w:p w14:paraId="04CB076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（2）大写金额和小写金额不一致的，以大写金额为准；</w:t>
      </w:r>
    </w:p>
    <w:p w14:paraId="6F7BE28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（3）单价金额小数点或者百分比有明显错位的，以报价表的总价为准，并修改单价；</w:t>
      </w:r>
    </w:p>
    <w:p w14:paraId="0B5F662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（4）总价金额与按单价汇总金额不一致的，以单价金额计算结果为准。</w:t>
      </w:r>
    </w:p>
    <w:p w14:paraId="3B45AAA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同时出现两种以上不一致的，按照以上（1）-（4）规定的顺序逐条进行修正。修正后的报价经供应商确认后产生约束力，供应商不确认的，其响应文件按无效响应处理。</w:t>
      </w:r>
    </w:p>
    <w:p w14:paraId="7CE5F60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5</w:t>
      </w:r>
      <w:r>
        <w:rPr>
          <w:rFonts w:hint="eastAsia" w:ascii="宋体" w:hAnsi="宋体" w:cs="宋体"/>
          <w:color w:val="auto"/>
          <w:highlight w:val="none"/>
        </w:rPr>
        <w:t>商务技术、报价评审</w:t>
      </w:r>
    </w:p>
    <w:p w14:paraId="6246623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在评审时，如发现下列情形之一的，将被视为响应文件无效处理：</w:t>
      </w:r>
    </w:p>
    <w:p w14:paraId="7F0D43E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（1）商务技术评审</w:t>
      </w:r>
    </w:p>
    <w:p w14:paraId="7080294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1）响应文件未按磋商文件要求签署、盖章；</w:t>
      </w:r>
    </w:p>
    <w:p w14:paraId="37149DF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 xml:space="preserve">2）委托代理人未能出具有效身份证明或者出具的身份证明与授权委托书中的信息不符； </w:t>
      </w:r>
    </w:p>
    <w:p w14:paraId="53EE8D5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AD85C4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4）实质性的要求发生负偏离；</w:t>
      </w:r>
    </w:p>
    <w:p w14:paraId="6EDEA66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5）未对竞标有效期作出响应或者响应文件承诺的竞标有效期不满足磋商文件要求；</w:t>
      </w:r>
    </w:p>
    <w:p w14:paraId="2ACEBB6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6）响应文件的实质性内容未使用中文表述、使用计量单位不符合磋商文件要求；</w:t>
      </w:r>
    </w:p>
    <w:p w14:paraId="5259409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7）响应文件中的文件资料因填写不齐全或者内容虚假或者出现其他情形而导致被磋商小组认定无效；</w:t>
      </w:r>
    </w:p>
    <w:p w14:paraId="11A41E7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8）响应文件含有采购人不能接受的附加条件；</w:t>
      </w:r>
    </w:p>
    <w:p w14:paraId="25E2DA0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9）属于“供应商须知正文”第7.</w:t>
      </w:r>
      <w:r>
        <w:rPr>
          <w:rFonts w:ascii="宋体" w:hAnsi="宋体" w:cs="宋体"/>
          <w:color w:val="auto"/>
          <w:highlight w:val="none"/>
        </w:rPr>
        <w:t>5</w:t>
      </w:r>
      <w:r>
        <w:rPr>
          <w:rFonts w:hint="eastAsia" w:ascii="宋体" w:hAnsi="宋体" w:cs="宋体"/>
          <w:color w:val="auto"/>
          <w:highlight w:val="none"/>
        </w:rPr>
        <w:t>条情形；</w:t>
      </w:r>
    </w:p>
    <w:p w14:paraId="3ED084F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10）虚假竞标，或者出现其他情形而导致被磋商小组认定无效；</w:t>
      </w:r>
    </w:p>
    <w:p w14:paraId="7243602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11）竞标技术方案不明确，磋商文件未允许</w:t>
      </w:r>
      <w:r>
        <w:rPr>
          <w:rFonts w:hint="eastAsia" w:ascii="宋体" w:hAnsi="宋体"/>
          <w:color w:val="auto"/>
          <w:highlight w:val="none"/>
        </w:rPr>
        <w:t>但响应文件中</w:t>
      </w:r>
      <w:r>
        <w:rPr>
          <w:rFonts w:hint="eastAsia" w:ascii="宋体" w:hAnsi="宋体" w:cs="宋体"/>
          <w:color w:val="auto"/>
          <w:highlight w:val="none"/>
        </w:rPr>
        <w:t>存在一个或者一个以上备选（替代）竞标方案；</w:t>
      </w:r>
    </w:p>
    <w:p w14:paraId="3103A38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12）响应文件标注的项目名称或者项目编号与竞争性磋商文件标注的项目名称或者项目编号不一致的；</w:t>
      </w:r>
    </w:p>
    <w:p w14:paraId="3458D0A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13）未响应磋商文件实质性要求；</w:t>
      </w:r>
    </w:p>
    <w:p w14:paraId="14392D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14）法律、法规和磋商文件规定的其他无效情形。</w:t>
      </w:r>
    </w:p>
    <w:p w14:paraId="4F5C512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2</w:t>
      </w:r>
      <w:r>
        <w:rPr>
          <w:rFonts w:hint="eastAsia" w:ascii="宋体" w:hAnsi="宋体" w:cs="宋体"/>
          <w:color w:val="auto"/>
          <w:highlight w:val="none"/>
        </w:rPr>
        <w:t>）报价评审</w:t>
      </w:r>
    </w:p>
    <w:p w14:paraId="3499380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 xml:space="preserve"> </w:t>
      </w:r>
      <w:r>
        <w:rPr>
          <w:rFonts w:hint="eastAsia" w:ascii="宋体" w:hAnsi="宋体" w:cs="宋体"/>
          <w:color w:val="auto"/>
          <w:highlight w:val="none"/>
        </w:rPr>
        <w:t>响应文件未提供“供应商须知前附表” 报价文件中规定的“响应报价表”；</w:t>
      </w:r>
    </w:p>
    <w:p w14:paraId="41C9ADA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2）未采用人民币报价或者未按照磋商文件标明的币种报价；</w:t>
      </w:r>
    </w:p>
    <w:p w14:paraId="6194E3B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1C401A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4D2C3A0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262B6BE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hint="eastAsia" w:ascii="宋体" w:hAnsi="宋体"/>
          <w:color w:val="auto"/>
          <w:highlight w:val="none"/>
        </w:rPr>
        <w:t>响应文件响应的标的数量及单位与竞争性磋商采购文件要求实质性不一致的。</w:t>
      </w:r>
    </w:p>
    <w:p w14:paraId="6B17B12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.6</w:t>
      </w:r>
      <w:r>
        <w:rPr>
          <w:rFonts w:hint="eastAsia" w:ascii="宋体" w:hAnsi="宋体" w:cs="宋体"/>
          <w:color w:val="auto"/>
          <w:highlight w:val="none"/>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403AEF8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w:t>
      </w:r>
      <w:r>
        <w:rPr>
          <w:rFonts w:ascii="宋体" w:hAnsi="宋体" w:cs="宋体"/>
          <w:color w:val="auto"/>
          <w:highlight w:val="none"/>
        </w:rPr>
        <w:t>.7</w:t>
      </w:r>
      <w:r>
        <w:rPr>
          <w:rFonts w:hint="eastAsia" w:ascii="宋体" w:hAnsi="宋体" w:cs="宋体"/>
          <w:color w:val="auto"/>
          <w:highlight w:val="none"/>
        </w:rPr>
        <w:t>非</w:t>
      </w:r>
      <w:r>
        <w:rPr>
          <w:rFonts w:hint="eastAsia" w:ascii="宋体" w:hAnsi="宋体"/>
          <w:color w:val="auto"/>
          <w:highlight w:val="none"/>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05EDCF95">
      <w:pPr>
        <w:ind w:firstLine="422" w:firstLineChars="200"/>
        <w:rPr>
          <w:rFonts w:hint="eastAsia" w:ascii="黑体" w:hAnsi="黑体" w:eastAsia="黑体" w:cs="宋体"/>
          <w:b/>
          <w:bCs/>
          <w:color w:val="auto"/>
          <w:highlight w:val="none"/>
        </w:rPr>
      </w:pPr>
      <w:r>
        <w:rPr>
          <w:rFonts w:hint="eastAsia" w:ascii="黑体" w:hAnsi="黑体" w:eastAsia="黑体" w:cs="宋体"/>
          <w:b/>
          <w:bCs/>
          <w:color w:val="auto"/>
          <w:highlight w:val="none"/>
        </w:rPr>
        <w:t>4.磋商程序</w:t>
      </w:r>
    </w:p>
    <w:p w14:paraId="7F5092EF">
      <w:pPr>
        <w:spacing w:line="360" w:lineRule="auto"/>
        <w:ind w:firstLine="420" w:firstLineChars="200"/>
        <w:rPr>
          <w:rFonts w:hint="eastAsia" w:ascii="宋体" w:hAnsi="宋体" w:cs="宋体"/>
          <w:color w:val="auto"/>
          <w:kern w:val="0"/>
          <w:highlight w:val="none"/>
        </w:rPr>
      </w:pPr>
      <w:r>
        <w:rPr>
          <w:rFonts w:hint="eastAsia" w:ascii="宋体" w:hAnsi="宋体" w:cs="宋体"/>
          <w:color w:val="auto"/>
          <w:kern w:val="0"/>
          <w:highlight w:val="none"/>
        </w:rPr>
        <w:t>4</w:t>
      </w:r>
      <w:r>
        <w:rPr>
          <w:rFonts w:ascii="宋体" w:hAnsi="宋体" w:cs="宋体"/>
          <w:color w:val="auto"/>
          <w:kern w:val="0"/>
          <w:highlight w:val="none"/>
        </w:rPr>
        <w:t>.1</w:t>
      </w:r>
      <w:r>
        <w:rPr>
          <w:rFonts w:hint="eastAsia" w:ascii="宋体" w:hAnsi="宋体" w:cs="宋体"/>
          <w:color w:val="auto"/>
          <w:kern w:val="0"/>
          <w:highlight w:val="none"/>
        </w:rPr>
        <w:t>磋商小组按照“供应商须知前附表”</w:t>
      </w:r>
      <w:r>
        <w:rPr>
          <w:rFonts w:hint="eastAsia" w:ascii="宋体" w:hAnsi="宋体" w:cs="宋体"/>
          <w:color w:val="auto"/>
          <w:highlight w:val="none"/>
        </w:rPr>
        <w:t xml:space="preserve"> </w:t>
      </w:r>
      <w:r>
        <w:rPr>
          <w:rFonts w:hint="eastAsia" w:ascii="宋体" w:hAnsi="宋体" w:cs="宋体"/>
          <w:color w:val="auto"/>
          <w:kern w:val="0"/>
          <w:highlight w:val="none"/>
        </w:rPr>
        <w:t>确定的</w:t>
      </w:r>
      <w:r>
        <w:rPr>
          <w:rFonts w:hint="eastAsia" w:ascii="宋体" w:hAnsi="宋体" w:cs="宋体"/>
          <w:color w:val="auto"/>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15DF7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.2</w:t>
      </w:r>
      <w:r>
        <w:rPr>
          <w:rFonts w:hint="eastAsia" w:ascii="宋体" w:hAnsi="宋体" w:cs="宋体"/>
          <w:color w:val="auto"/>
          <w:highlight w:val="none"/>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7840C29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.3</w:t>
      </w:r>
      <w:r>
        <w:rPr>
          <w:rFonts w:hint="eastAsia" w:ascii="宋体" w:hAnsi="宋体" w:cs="宋体"/>
          <w:color w:val="auto"/>
          <w:highlight w:val="none"/>
        </w:rPr>
        <w:t>对磋商文件作出的实质性变动是磋商文件的有效组成部分，由磋商小组及时以电子澄清函形式同时通知所有参加磋商的供应商。</w:t>
      </w:r>
    </w:p>
    <w:p w14:paraId="1BBA34B5">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.4</w:t>
      </w:r>
      <w:r>
        <w:rPr>
          <w:rFonts w:hint="eastAsia" w:ascii="宋体" w:hAnsi="宋体" w:cs="宋体"/>
          <w:color w:val="auto"/>
          <w:highlight w:val="none"/>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05A237D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.5</w:t>
      </w:r>
      <w:r>
        <w:rPr>
          <w:rFonts w:hint="eastAsia" w:ascii="宋体" w:hAnsi="宋体" w:cs="宋体"/>
          <w:color w:val="auto"/>
          <w:highlight w:val="none"/>
        </w:rPr>
        <w:t>磋商中，</w:t>
      </w:r>
      <w:r>
        <w:rPr>
          <w:rFonts w:hint="eastAsia" w:ascii="宋体" w:hAnsi="宋体" w:cs="宋体"/>
          <w:color w:val="auto"/>
          <w:spacing w:val="-6"/>
          <w:highlight w:val="none"/>
        </w:rPr>
        <w:t>磋商的任何一方不得透露与磋商有关的其他供应商的技术资料、价格和其他信息。</w:t>
      </w:r>
    </w:p>
    <w:p w14:paraId="5CAA4BD2">
      <w:pPr>
        <w:widowControl/>
        <w:tabs>
          <w:tab w:val="left" w:pos="540"/>
        </w:tabs>
        <w:spacing w:line="360" w:lineRule="auto"/>
        <w:ind w:firstLine="420" w:firstLineChars="200"/>
        <w:jc w:val="left"/>
        <w:rPr>
          <w:rFonts w:hint="eastAsia" w:ascii="仿宋" w:hAnsi="仿宋" w:eastAsia="仿宋" w:cs="仿宋_GB2312"/>
          <w:b/>
          <w:color w:val="auto"/>
          <w:highlight w:val="none"/>
        </w:rPr>
      </w:pPr>
      <w:r>
        <w:rPr>
          <w:rFonts w:hint="eastAsia" w:ascii="宋体" w:hAnsi="宋体" w:cs="宋体"/>
          <w:color w:val="auto"/>
          <w:highlight w:val="none"/>
        </w:rPr>
        <w:t>4</w:t>
      </w:r>
      <w:r>
        <w:rPr>
          <w:rFonts w:ascii="宋体" w:hAnsi="宋体" w:cs="宋体"/>
          <w:color w:val="auto"/>
          <w:highlight w:val="none"/>
        </w:rPr>
        <w:t>.6</w:t>
      </w:r>
      <w:r>
        <w:rPr>
          <w:rFonts w:hint="eastAsia" w:ascii="宋体" w:hAnsi="宋体" w:cs="宋体"/>
          <w:color w:val="auto"/>
          <w:highlight w:val="none"/>
        </w:rPr>
        <w:t>磋商小组应对磋商过程和重要磋商内容进行记录，作为评标报告一部分，磋商小组在记录上签字确认。</w:t>
      </w:r>
      <w:r>
        <w:rPr>
          <w:rFonts w:hint="eastAsia" w:ascii="仿宋" w:hAnsi="仿宋" w:eastAsia="仿宋" w:cs="仿宋_GB2312"/>
          <w:b/>
          <w:color w:val="auto"/>
          <w:highlight w:val="none"/>
        </w:rPr>
        <w:t>主要内容包括：</w:t>
      </w:r>
    </w:p>
    <w:p w14:paraId="1C4B4403">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5F8ACE44">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（2）磋商日期和地点，磋商供应商名单；</w:t>
      </w:r>
    </w:p>
    <w:p w14:paraId="1B334CC9">
      <w:pPr>
        <w:pStyle w:val="172"/>
        <w:spacing w:before="0"/>
        <w:ind w:firstLine="396"/>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6ACF2BB1">
      <w:pPr>
        <w:widowControl/>
        <w:tabs>
          <w:tab w:val="left" w:pos="540"/>
        </w:tabs>
        <w:spacing w:line="360" w:lineRule="auto"/>
        <w:ind w:firstLine="420" w:firstLineChars="200"/>
        <w:jc w:val="left"/>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7</w:t>
      </w:r>
      <w:r>
        <w:rPr>
          <w:rFonts w:hint="eastAsia" w:ascii="宋体" w:hAnsi="宋体" w:cs="宋体"/>
          <w:color w:val="auto"/>
          <w:highlight w:val="none"/>
        </w:rPr>
        <w:t>磋商过程中重新提交的响应文件，供应商可以在开启前补充、修改。</w:t>
      </w:r>
    </w:p>
    <w:p w14:paraId="303180C3">
      <w:pPr>
        <w:tabs>
          <w:tab w:val="left" w:pos="2835"/>
        </w:tabs>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.8</w:t>
      </w:r>
      <w:r>
        <w:rPr>
          <w:rFonts w:hint="eastAsia" w:ascii="宋体" w:hAnsi="宋体"/>
          <w:color w:val="auto"/>
          <w:highlight w:val="none"/>
        </w:rPr>
        <w:t>对磋商过程提交的响应文件进行有效性、完整性和响应程度审查，通过审查的合格供应商不足3家的，采购人或者采购代理机构应当重新开展采购活动。</w:t>
      </w:r>
    </w:p>
    <w:p w14:paraId="4975B508">
      <w:pPr>
        <w:ind w:firstLine="200"/>
        <w:rPr>
          <w:rFonts w:hint="eastAsia" w:ascii="宋体" w:hAnsi="宋体" w:cs="宋体"/>
          <w:color w:val="auto"/>
          <w:highlight w:val="none"/>
        </w:rPr>
      </w:pPr>
      <w:r>
        <w:rPr>
          <w:rFonts w:hint="eastAsia" w:ascii="黑体" w:hAnsi="黑体" w:eastAsia="黑体" w:cs="宋体"/>
          <w:b/>
          <w:bCs/>
          <w:color w:val="auto"/>
          <w:highlight w:val="none"/>
        </w:rPr>
        <w:t>5</w:t>
      </w:r>
      <w:r>
        <w:rPr>
          <w:rFonts w:ascii="黑体" w:hAnsi="黑体" w:eastAsia="黑体" w:cs="宋体"/>
          <w:b/>
          <w:bCs/>
          <w:color w:val="auto"/>
          <w:highlight w:val="none"/>
        </w:rPr>
        <w:t>.</w:t>
      </w:r>
      <w:r>
        <w:rPr>
          <w:rFonts w:hint="eastAsia" w:ascii="黑体" w:hAnsi="黑体" w:eastAsia="黑体" w:cs="宋体"/>
          <w:b/>
          <w:bCs/>
          <w:color w:val="auto"/>
          <w:highlight w:val="none"/>
        </w:rPr>
        <w:t xml:space="preserve"> 最后报价</w:t>
      </w:r>
    </w:p>
    <w:p w14:paraId="63EF4BE1">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.1</w:t>
      </w:r>
      <w:r>
        <w:rPr>
          <w:rFonts w:hint="eastAsia" w:ascii="宋体" w:hAnsi="宋体" w:cs="宋体"/>
          <w:color w:val="auto"/>
          <w:highlight w:val="none"/>
        </w:rPr>
        <w:t>磋商文件能够详细列明采购标的的技术、服务要求的，磋商结束后，由磋商小组要求所有继续参加磋商的供应商在规定时间内密封提交最后报价，除本章第5</w:t>
      </w:r>
      <w:r>
        <w:rPr>
          <w:rFonts w:ascii="宋体" w:hAnsi="宋体" w:cs="宋体"/>
          <w:color w:val="auto"/>
          <w:highlight w:val="none"/>
        </w:rPr>
        <w:t>.3</w:t>
      </w:r>
      <w:r>
        <w:rPr>
          <w:rFonts w:hint="eastAsia" w:ascii="宋体" w:hAnsi="宋体" w:cs="宋体"/>
          <w:color w:val="auto"/>
          <w:highlight w:val="none"/>
        </w:rPr>
        <w:t>条外，提交最后报价的供应商不得少于3家，否则必须重新采购。</w:t>
      </w:r>
    </w:p>
    <w:p w14:paraId="1CA813D6">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.2</w:t>
      </w:r>
      <w:r>
        <w:rPr>
          <w:rFonts w:hint="eastAsia" w:ascii="宋体" w:hAnsi="宋体" w:cs="宋体"/>
          <w:color w:val="auto"/>
          <w:highlight w:val="none"/>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5F5A9C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.3</w:t>
      </w:r>
      <w:r>
        <w:rPr>
          <w:rFonts w:hint="eastAsia" w:ascii="宋体" w:hAnsi="宋体" w:cs="宋体"/>
          <w:color w:val="auto"/>
          <w:highlight w:val="none"/>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963BC2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.4</w:t>
      </w:r>
      <w:r>
        <w:rPr>
          <w:rFonts w:hint="eastAsia" w:ascii="宋体" w:hAnsi="宋体" w:cs="宋体"/>
          <w:color w:val="auto"/>
          <w:highlight w:val="none"/>
        </w:rPr>
        <w:t>已经提交响应文件的供应商，在提交最后报价之前，可以根据磋商情况退出磋商，退出磋商的供应商的响应文件按无效响应处理。</w:t>
      </w:r>
    </w:p>
    <w:p w14:paraId="58A9763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.5</w:t>
      </w:r>
      <w:r>
        <w:rPr>
          <w:rFonts w:hint="eastAsia" w:ascii="宋体" w:hAnsi="宋体" w:cs="宋体"/>
          <w:color w:val="auto"/>
          <w:highlight w:val="none"/>
        </w:rPr>
        <w:t>供应商未在规定时间内提交最后报价的，视同退出磋商。</w:t>
      </w:r>
    </w:p>
    <w:p w14:paraId="3687D4B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.6</w:t>
      </w:r>
      <w:r>
        <w:rPr>
          <w:rFonts w:hint="eastAsia" w:ascii="宋体" w:hAnsi="宋体" w:cs="宋体"/>
          <w:color w:val="auto"/>
          <w:highlight w:val="none"/>
        </w:rPr>
        <w:t>磋商小组收齐某一分标最后报价后统一开启，磋商小组对最后报价进行有效性、完整性和响应程度的审查。</w:t>
      </w:r>
    </w:p>
    <w:p w14:paraId="466FDB3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.7</w:t>
      </w:r>
      <w:r>
        <w:rPr>
          <w:rFonts w:hint="eastAsia" w:ascii="宋体" w:hAnsi="宋体" w:cs="宋体"/>
          <w:color w:val="auto"/>
          <w:highlight w:val="none"/>
        </w:rPr>
        <w:t>最终响应文件的报价出现前后不一致的，按照本章第3</w:t>
      </w:r>
      <w:r>
        <w:rPr>
          <w:rFonts w:ascii="宋体" w:hAnsi="宋体" w:cs="宋体"/>
          <w:color w:val="auto"/>
          <w:highlight w:val="none"/>
        </w:rPr>
        <w:t>.4</w:t>
      </w:r>
      <w:r>
        <w:rPr>
          <w:rFonts w:hint="eastAsia" w:ascii="宋体" w:hAnsi="宋体" w:cs="宋体"/>
          <w:color w:val="auto"/>
          <w:highlight w:val="none"/>
        </w:rPr>
        <w:t xml:space="preserve">条的规定修正。 </w:t>
      </w:r>
    </w:p>
    <w:p w14:paraId="79BDA272">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.8</w:t>
      </w:r>
      <w:r>
        <w:rPr>
          <w:rFonts w:hint="eastAsia" w:ascii="宋体" w:hAnsi="宋体" w:cs="宋体"/>
          <w:color w:val="auto"/>
          <w:highlight w:val="none"/>
        </w:rPr>
        <w:t>修正后的最终报价出现下列情形的，按无效响应处理：</w:t>
      </w:r>
    </w:p>
    <w:p w14:paraId="4D3FB45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（1）供应商不确认的（全流程电子化评标采取在线确认）；</w:t>
      </w:r>
    </w:p>
    <w:p w14:paraId="7E9CE18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（2）经供应商确认修正后的响应报价（包含首次报价、最后报价）超过所竞标分标规定的采购预算金额或者最高限价的（如本项目公布了最高限价）；</w:t>
      </w:r>
    </w:p>
    <w:p w14:paraId="2AED2CEC">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（3）经供应商确认修正后的响应报价（包含首次报价、最后报价）超过分项采购预算金额或者最高限价的（如本项目公布了最高限价）。</w:t>
      </w:r>
    </w:p>
    <w:p w14:paraId="7FD197CF">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.9</w:t>
      </w:r>
      <w:r>
        <w:rPr>
          <w:rFonts w:hint="eastAsia" w:ascii="宋体" w:hAnsi="宋体" w:cs="宋体"/>
          <w:color w:val="auto"/>
          <w:highlight w:val="none"/>
        </w:rPr>
        <w:t>经供应商确认修正后的最后报价作为评审及签订合同的依据。</w:t>
      </w:r>
    </w:p>
    <w:p w14:paraId="5E5182D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5.10供应商出现最后报价按无效响应处理或者响应文件按无效处理时</w:t>
      </w:r>
      <w:r>
        <w:rPr>
          <w:rFonts w:hint="eastAsia" w:ascii="宋体" w:hAnsi="宋体"/>
          <w:color w:val="auto"/>
          <w:sz w:val="22"/>
          <w:szCs w:val="22"/>
          <w:highlight w:val="none"/>
        </w:rPr>
        <w:t>，磋商小组应当告知有关供应商</w:t>
      </w:r>
      <w:r>
        <w:rPr>
          <w:rFonts w:hint="eastAsia" w:ascii="宋体" w:hAnsi="宋体" w:cs="宋体"/>
          <w:color w:val="auto"/>
          <w:highlight w:val="none"/>
        </w:rPr>
        <w:t>。</w:t>
      </w:r>
    </w:p>
    <w:p w14:paraId="6EB2F71B">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5.1</w:t>
      </w:r>
      <w:r>
        <w:rPr>
          <w:rFonts w:hint="eastAsia" w:ascii="宋体" w:hAnsi="宋体" w:cs="宋体"/>
          <w:color w:val="auto"/>
          <w:highlight w:val="none"/>
        </w:rPr>
        <w:t>1最后报价结束后，磋商小组不得再与供应商进行任何形式的商谈。</w:t>
      </w:r>
    </w:p>
    <w:p w14:paraId="5FE4522D">
      <w:pPr>
        <w:spacing w:line="360" w:lineRule="auto"/>
        <w:ind w:firstLine="200"/>
        <w:rPr>
          <w:rFonts w:hint="eastAsia" w:ascii="黑体" w:hAnsi="黑体" w:eastAsia="黑体" w:cs="宋体"/>
          <w:b/>
          <w:bCs/>
          <w:color w:val="auto"/>
          <w:highlight w:val="none"/>
        </w:rPr>
      </w:pPr>
      <w:r>
        <w:rPr>
          <w:rFonts w:hint="eastAsia" w:ascii="黑体" w:hAnsi="黑体" w:eastAsia="黑体" w:cs="宋体"/>
          <w:b/>
          <w:bCs/>
          <w:color w:val="auto"/>
          <w:highlight w:val="none"/>
        </w:rPr>
        <w:t>6</w:t>
      </w:r>
      <w:r>
        <w:rPr>
          <w:rFonts w:ascii="黑体" w:hAnsi="黑体" w:eastAsia="黑体" w:cs="宋体"/>
          <w:b/>
          <w:bCs/>
          <w:color w:val="auto"/>
          <w:highlight w:val="none"/>
        </w:rPr>
        <w:t>.</w:t>
      </w:r>
      <w:r>
        <w:rPr>
          <w:rFonts w:hint="eastAsia" w:ascii="黑体" w:hAnsi="黑体" w:eastAsia="黑体" w:cs="宋体"/>
          <w:b/>
          <w:bCs/>
          <w:color w:val="auto"/>
          <w:highlight w:val="none"/>
        </w:rPr>
        <w:t>比较与评价</w:t>
      </w:r>
    </w:p>
    <w:p w14:paraId="5565420E">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6</w:t>
      </w:r>
      <w:r>
        <w:rPr>
          <w:rFonts w:ascii="宋体" w:hAnsi="宋体" w:cs="宋体"/>
          <w:color w:val="auto"/>
          <w:highlight w:val="none"/>
        </w:rPr>
        <w:t>.1</w:t>
      </w:r>
      <w:r>
        <w:rPr>
          <w:rFonts w:hint="eastAsia" w:ascii="宋体" w:hAnsi="宋体" w:cs="宋体"/>
          <w:color w:val="auto"/>
          <w:highlight w:val="none"/>
        </w:rPr>
        <w:t>评审方法：综合评分法。</w:t>
      </w:r>
    </w:p>
    <w:p w14:paraId="4EEDFFE9">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6.2</w:t>
      </w:r>
      <w:r>
        <w:rPr>
          <w:rFonts w:hint="eastAsia" w:ascii="宋体" w:hAnsi="宋体" w:cs="宋体"/>
          <w:color w:val="auto"/>
          <w:highlight w:val="none"/>
        </w:rPr>
        <w:t>经磋商确定最终采购需求和提交最后报价的供应商后，由磋商小组采用综合评分法对提交最后报价的供应商的响应文件和最后报价进行综合评分。</w:t>
      </w:r>
    </w:p>
    <w:p w14:paraId="4AD82918">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6.3</w:t>
      </w:r>
      <w:r>
        <w:rPr>
          <w:rFonts w:hint="eastAsia" w:ascii="宋体" w:hAnsi="宋体" w:cs="宋体"/>
          <w:color w:val="auto"/>
          <w:highlight w:val="none"/>
        </w:rPr>
        <w:t>评审时，磋商小组各成员应当独立对每个有效响应的文件进行评价、打分，然后汇总每个供应商每项评分因素的得分。</w:t>
      </w:r>
    </w:p>
    <w:p w14:paraId="79586F0B">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（1）磋商小组按照磋商文件中规定的评审标准计算各供应商的报价得分。项目评审过程中，不得去掉最后报价中的最高报价和最低报价。</w:t>
      </w:r>
    </w:p>
    <w:p w14:paraId="0C73DB74">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（2）各供应商的得分为磋商小组所有成员的有效评分的算术平均数。</w:t>
      </w:r>
    </w:p>
    <w:p w14:paraId="0E811C0D">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依据规定《财政部关于推动解决政府采购异常低价问题的通知》（财库〔2026〕2号）规定，政府采购评审中出现以下异常低价情形，评标委员会（或磋商小组，谈判小组，询价小组）应当启动异常低价投标审查程序：</w:t>
      </w:r>
    </w:p>
    <w:p w14:paraId="3BE03866">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1）投标（磋商、谈判）报价低于全部通过符合性审查供应商投标（磋商、谈判）报价平均值  ％的（注：此处由采购人根据项目实际情况填写，填写范围不得低于50％，最高不得超过65％）；</w:t>
      </w:r>
    </w:p>
    <w:p w14:paraId="61ADFE16">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2）投标（磋商、谈判）报价低于通过符合性审查的次低报价供应商投标（磋商、谈判）报价  ％的（注：此处由采购人根据项目实际情况填写，填写范围不得低于50％，最高不得超过65％）；</w:t>
      </w:r>
    </w:p>
    <w:p w14:paraId="0B3CEF9B">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3）投标（响应）报价低于采购项目最高限价    ％的（注：此处由采购人根据项目实际情况填写，填写范围不得低于45％，最高不得超过65％）；</w:t>
      </w:r>
    </w:p>
    <w:p w14:paraId="6C217DFB">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4）评标委员会（或磋商小组，谈判小组，询价小组）基于专业判断，认为供应商报价过低，有可能影响产品质量或者不能诚信履约的其他情形。相关法律法规对供应商报价有规定的，从其规定。</w:t>
      </w:r>
    </w:p>
    <w:p w14:paraId="7142B7F8">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5）相关法律法规对供应商报价有规定的，从其规定。</w:t>
      </w:r>
    </w:p>
    <w:p w14:paraId="7BA9AB0C">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评标委员会（或磋商小组，谈判小组，询价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7E9E23F">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评标委员会（或磋商小组，谈判小组，询价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或磋商小组，谈判小组，询价小组）应当将其作为无效投标（响应）处理。</w:t>
      </w:r>
    </w:p>
    <w:p w14:paraId="2AA768AD">
      <w:pPr>
        <w:spacing w:line="360" w:lineRule="auto"/>
        <w:ind w:firstLine="420" w:firstLineChars="200"/>
        <w:rPr>
          <w:rFonts w:hint="eastAsia" w:ascii="宋体" w:hAnsi="宋体" w:cs="宋体"/>
          <w:color w:val="auto"/>
          <w:highlight w:val="none"/>
          <w:lang w:eastAsia="zh-CN"/>
        </w:rPr>
      </w:pPr>
      <w:r>
        <w:rPr>
          <w:rFonts w:hint="eastAsia" w:ascii="宋体" w:hAnsi="宋体" w:cs="宋体"/>
          <w:color w:val="auto"/>
          <w:highlight w:val="none"/>
          <w:lang w:eastAsia="zh-CN"/>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49F303BD">
      <w:pPr>
        <w:spacing w:line="360"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lang w:eastAsia="zh-CN"/>
        </w:rPr>
        <w:t>记录及归档:异常低价投标审查的启动原因、审查意见和审查结果应当在评审报告中记录，并随供应商提供的相关书面说明及证明材料，以及评审委员会有关互联网浏览、查询历史一并归档。</w:t>
      </w:r>
    </w:p>
    <w:p w14:paraId="708C6313">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6.4</w:t>
      </w:r>
      <w:r>
        <w:rPr>
          <w:rFonts w:hint="eastAsia" w:ascii="宋体" w:hAnsi="宋体" w:cs="宋体"/>
          <w:color w:val="auto"/>
          <w:highlight w:val="none"/>
        </w:rPr>
        <w:t>评审价为供应商的最后报价进行政策性扣除后的价格，评审价只是作为评审时使用。最终成交供应商的成交金额等于最后报价（如有修正，以确认修正后的最后报价为准）。</w:t>
      </w:r>
    </w:p>
    <w:p w14:paraId="716E5C08">
      <w:pPr>
        <w:spacing w:line="360" w:lineRule="auto"/>
        <w:ind w:firstLine="420" w:firstLineChars="200"/>
        <w:rPr>
          <w:rFonts w:hint="eastAsia" w:ascii="宋体" w:hAnsi="宋体"/>
          <w:color w:val="auto"/>
          <w:kern w:val="0"/>
          <w:highlight w:val="none"/>
        </w:rPr>
      </w:pPr>
      <w:r>
        <w:rPr>
          <w:rFonts w:ascii="宋体" w:hAnsi="宋体" w:cs="宋体"/>
          <w:color w:val="auto"/>
          <w:highlight w:val="none"/>
        </w:rPr>
        <w:t>6.5</w:t>
      </w:r>
      <w:r>
        <w:rPr>
          <w:rFonts w:hint="eastAsia" w:ascii="宋体" w:hAnsi="宋体" w:cs="宋体"/>
          <w:color w:val="auto"/>
          <w:highlight w:val="none"/>
        </w:rPr>
        <w:t>由磋商小组根据综合评分情况，按照评审得分由高到低顺序推荐3名以上成交候选供应商，并编写评</w:t>
      </w:r>
      <w:r>
        <w:rPr>
          <w:rFonts w:hint="eastAsia" w:ascii="宋体" w:hAnsi="宋体"/>
          <w:color w:val="auto"/>
          <w:kern w:val="0"/>
          <w:highlight w:val="none"/>
        </w:rPr>
        <w:t>审报告。符合本章第5</w:t>
      </w:r>
      <w:r>
        <w:rPr>
          <w:rFonts w:ascii="宋体" w:hAnsi="宋体"/>
          <w:color w:val="auto"/>
          <w:kern w:val="0"/>
          <w:highlight w:val="none"/>
        </w:rPr>
        <w:t>.3</w:t>
      </w:r>
      <w:r>
        <w:rPr>
          <w:rFonts w:hint="eastAsia" w:ascii="宋体" w:hAnsi="宋体"/>
          <w:color w:val="auto"/>
          <w:kern w:val="0"/>
          <w:highlight w:val="none"/>
        </w:rPr>
        <w:t>条情形的，可以推荐2家成交候选供应商。评审得分相同的，按照最后报价由低到高的顺序推荐。评审得分且最后报价相同的，按照技术指标优劣顺序推荐。</w:t>
      </w:r>
    </w:p>
    <w:p w14:paraId="2CC94303">
      <w:pPr>
        <w:spacing w:line="360" w:lineRule="auto"/>
        <w:ind w:firstLine="420" w:firstLineChars="200"/>
        <w:rPr>
          <w:rFonts w:hint="eastAsia" w:ascii="宋体" w:hAnsi="宋体" w:cs="宋体"/>
          <w:color w:val="auto"/>
          <w:highlight w:val="none"/>
        </w:rPr>
      </w:pPr>
      <w:r>
        <w:rPr>
          <w:rFonts w:ascii="宋体" w:hAnsi="宋体"/>
          <w:color w:val="auto"/>
          <w:kern w:val="0"/>
          <w:highlight w:val="none"/>
        </w:rPr>
        <w:t>6.6</w:t>
      </w:r>
      <w:r>
        <w:rPr>
          <w:rFonts w:hint="eastAsia" w:ascii="宋体" w:hAnsi="宋体"/>
          <w:color w:val="auto"/>
          <w:kern w:val="0"/>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D650D19">
      <w:pPr>
        <w:spacing w:line="360" w:lineRule="auto"/>
        <w:rPr>
          <w:rFonts w:hint="eastAsia" w:ascii="黑体" w:hAnsi="黑体" w:eastAsia="黑体" w:cs="宋体"/>
          <w:b/>
          <w:bCs/>
          <w:color w:val="auto"/>
          <w:highlight w:val="none"/>
        </w:rPr>
      </w:pPr>
    </w:p>
    <w:p w14:paraId="402A1823">
      <w:pPr>
        <w:spacing w:line="360" w:lineRule="auto"/>
        <w:rPr>
          <w:rFonts w:hint="eastAsia" w:ascii="黑体" w:hAnsi="黑体" w:eastAsia="黑体" w:cs="宋体"/>
          <w:b/>
          <w:bCs/>
          <w:color w:val="auto"/>
          <w:highlight w:val="none"/>
        </w:rPr>
      </w:pPr>
      <w:bookmarkStart w:id="23" w:name="_Toc32748"/>
      <w:bookmarkStart w:id="24" w:name="_Toc80886939"/>
      <w:r>
        <w:rPr>
          <w:rFonts w:hint="eastAsia" w:ascii="黑体" w:hAnsi="黑体" w:eastAsia="黑体" w:cs="宋体"/>
          <w:b/>
          <w:bCs/>
          <w:color w:val="auto"/>
          <w:highlight w:val="none"/>
        </w:rPr>
        <w:t>7</w:t>
      </w:r>
      <w:r>
        <w:rPr>
          <w:rFonts w:ascii="黑体" w:hAnsi="黑体" w:eastAsia="黑体" w:cs="宋体"/>
          <w:b/>
          <w:bCs/>
          <w:color w:val="auto"/>
          <w:highlight w:val="none"/>
        </w:rPr>
        <w:t>.</w:t>
      </w:r>
      <w:r>
        <w:rPr>
          <w:rFonts w:hint="eastAsia" w:ascii="黑体" w:hAnsi="黑体" w:eastAsia="黑体" w:cs="宋体"/>
          <w:b/>
          <w:bCs/>
          <w:color w:val="auto"/>
          <w:highlight w:val="none"/>
        </w:rPr>
        <w:t>评审标准</w:t>
      </w:r>
    </w:p>
    <w:p w14:paraId="40B66438">
      <w:pPr>
        <w:spacing w:line="360" w:lineRule="auto"/>
        <w:ind w:firstLine="420" w:firstLineChars="200"/>
        <w:rPr>
          <w:rFonts w:hint="eastAsia" w:ascii="宋体" w:hAnsi="宋体"/>
          <w:bCs/>
          <w:color w:val="auto"/>
          <w:highlight w:val="none"/>
        </w:rPr>
      </w:pPr>
      <w:r>
        <w:rPr>
          <w:rFonts w:hint="eastAsia" w:ascii="宋体" w:hAnsi="宋体"/>
          <w:bCs/>
          <w:color w:val="auto"/>
          <w:highlight w:val="none"/>
        </w:rPr>
        <w:t>评审依据：磋商小组将以磋商响应文件为评审依据，对供应商的报价、技术、商务等方面内容按百分制打分。（计分方法按四舍五入取至百分位）</w:t>
      </w:r>
    </w:p>
    <w:p w14:paraId="0DE0C38E">
      <w:pPr>
        <w:spacing w:line="360" w:lineRule="auto"/>
        <w:ind w:firstLine="422" w:firstLineChars="200"/>
        <w:rPr>
          <w:color w:val="auto"/>
          <w:highlight w:val="none"/>
        </w:rPr>
      </w:pPr>
      <w:r>
        <w:rPr>
          <w:rFonts w:hint="eastAsia" w:ascii="宋体" w:cs="宋体"/>
          <w:b/>
          <w:color w:val="auto"/>
          <w:kern w:val="0"/>
          <w:highlight w:val="none"/>
        </w:rPr>
        <w:t>1、价格分………………………………………………………………………………………</w:t>
      </w:r>
      <w:r>
        <w:rPr>
          <w:rFonts w:hint="eastAsia" w:ascii="宋体" w:cs="宋体"/>
          <w:b/>
          <w:color w:val="auto"/>
          <w:kern w:val="0"/>
          <w:highlight w:val="none"/>
          <w:lang w:val="en-US" w:eastAsia="zh-CN"/>
        </w:rPr>
        <w:t>1</w:t>
      </w:r>
      <w:r>
        <w:rPr>
          <w:rFonts w:hint="eastAsia" w:ascii="宋体" w:cs="宋体"/>
          <w:b/>
          <w:color w:val="auto"/>
          <w:kern w:val="0"/>
          <w:highlight w:val="none"/>
        </w:rPr>
        <w:t>0分</w:t>
      </w:r>
    </w:p>
    <w:p w14:paraId="08A555A3">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（1）</w:t>
      </w:r>
      <w:r>
        <w:rPr>
          <w:rFonts w:hint="eastAsia" w:ascii="宋体" w:hAnsi="宋体" w:eastAsia="宋体" w:cs="宋体"/>
          <w:bCs/>
          <w:color w:val="auto"/>
          <w:sz w:val="21"/>
          <w:szCs w:val="21"/>
          <w:highlight w:val="none"/>
        </w:rPr>
        <w:t>本项目专门面向中小企业</w:t>
      </w:r>
      <w:r>
        <w:rPr>
          <w:rFonts w:hint="eastAsia" w:ascii="宋体" w:hAnsi="宋体" w:eastAsia="宋体" w:cs="宋体"/>
          <w:bCs/>
          <w:color w:val="auto"/>
          <w:sz w:val="21"/>
          <w:szCs w:val="21"/>
          <w:highlight w:val="none"/>
          <w:lang w:eastAsia="zh-CN"/>
        </w:rPr>
        <w:t>采购</w:t>
      </w:r>
      <w:r>
        <w:rPr>
          <w:rFonts w:hint="eastAsia" w:ascii="宋体" w:hAnsi="宋体" w:eastAsia="宋体" w:cs="宋体"/>
          <w:bCs/>
          <w:color w:val="auto"/>
          <w:sz w:val="21"/>
          <w:szCs w:val="21"/>
          <w:highlight w:val="none"/>
        </w:rPr>
        <w:t>，不再执行价格评审优惠的扶持政策。</w:t>
      </w:r>
    </w:p>
    <w:p w14:paraId="65499E28">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hAnsi="宋体" w:cs="宋体"/>
          <w:bCs/>
          <w:color w:val="auto"/>
          <w:highlight w:val="none"/>
        </w:rPr>
        <w:t>评标报价为</w:t>
      </w:r>
      <w:r>
        <w:rPr>
          <w:rFonts w:hint="eastAsia" w:hAnsi="宋体" w:cs="宋体"/>
          <w:bCs/>
          <w:color w:val="auto"/>
          <w:highlight w:val="none"/>
          <w:lang w:val="en-US" w:eastAsia="zh-CN"/>
        </w:rPr>
        <w:t>供应商</w:t>
      </w:r>
      <w:r>
        <w:rPr>
          <w:rFonts w:hint="eastAsia" w:hAnsi="宋体" w:cs="宋体"/>
          <w:bCs/>
          <w:color w:val="auto"/>
          <w:highlight w:val="none"/>
        </w:rPr>
        <w:t>的投标报价进行政策性扣除后的价格，评标报价只是作为评标时使用。最终</w:t>
      </w:r>
      <w:r>
        <w:rPr>
          <w:rFonts w:hint="eastAsia" w:hAnsi="宋体" w:cs="宋体"/>
          <w:bCs/>
          <w:color w:val="auto"/>
          <w:highlight w:val="none"/>
          <w:lang w:val="en-US" w:eastAsia="zh-CN"/>
        </w:rPr>
        <w:t>成交供应商</w:t>
      </w:r>
      <w:r>
        <w:rPr>
          <w:rFonts w:hint="eastAsia" w:hAnsi="宋体" w:cs="宋体"/>
          <w:bCs/>
          <w:color w:val="auto"/>
          <w:highlight w:val="none"/>
        </w:rPr>
        <w:t>的</w:t>
      </w:r>
      <w:r>
        <w:rPr>
          <w:rFonts w:hint="eastAsia" w:hAnsi="宋体" w:cs="宋体"/>
          <w:bCs/>
          <w:color w:val="auto"/>
          <w:highlight w:val="none"/>
          <w:lang w:val="en-US" w:eastAsia="zh-CN"/>
        </w:rPr>
        <w:t>成交</w:t>
      </w:r>
      <w:r>
        <w:rPr>
          <w:rFonts w:hint="eastAsia" w:hAnsi="宋体" w:cs="宋体"/>
          <w:bCs/>
          <w:color w:val="auto"/>
          <w:highlight w:val="none"/>
        </w:rPr>
        <w:t>金额等于投标报价。</w:t>
      </w:r>
    </w:p>
    <w:p w14:paraId="54F7DDD5">
      <w:pPr>
        <w:spacing w:line="400" w:lineRule="exact"/>
        <w:ind w:firstLine="420" w:firstLineChars="200"/>
        <w:jc w:val="left"/>
        <w:rPr>
          <w:rFonts w:hint="eastAsia" w:hAnsi="宋体" w:cs="宋体"/>
          <w:bCs/>
          <w:color w:val="auto"/>
          <w:highlight w:val="none"/>
        </w:rPr>
      </w:pPr>
      <w:r>
        <w:rPr>
          <w:rFonts w:hint="eastAsia" w:hAnsi="宋体" w:cs="宋体"/>
          <w:bCs/>
          <w:color w:val="auto"/>
          <w:highlight w:val="none"/>
        </w:rPr>
        <w:t>（</w:t>
      </w:r>
      <w:r>
        <w:rPr>
          <w:rFonts w:hint="eastAsia" w:hAnsi="宋体" w:cs="宋体"/>
          <w:bCs/>
          <w:color w:val="auto"/>
          <w:highlight w:val="none"/>
          <w:lang w:val="en-US" w:eastAsia="zh-CN"/>
        </w:rPr>
        <w:t>3）</w:t>
      </w:r>
      <w:r>
        <w:rPr>
          <w:rFonts w:hint="eastAsia" w:hAnsi="宋体" w:cs="宋体"/>
          <w:bCs/>
          <w:color w:val="auto"/>
          <w:highlight w:val="none"/>
        </w:rPr>
        <w:t>满足招标文件要求且评标报价最低的评标报价为评标基准价，基准价报价得分为</w:t>
      </w:r>
      <w:r>
        <w:rPr>
          <w:rFonts w:hint="eastAsia" w:hAnsi="宋体" w:cs="宋体"/>
          <w:bCs/>
          <w:color w:val="auto"/>
          <w:highlight w:val="none"/>
          <w:lang w:val="en-US" w:eastAsia="zh-CN"/>
        </w:rPr>
        <w:t>1</w:t>
      </w:r>
      <w:r>
        <w:rPr>
          <w:rFonts w:hint="eastAsia" w:hAnsi="宋体" w:cs="宋体"/>
          <w:bCs/>
          <w:color w:val="auto"/>
          <w:highlight w:val="none"/>
        </w:rPr>
        <w:t>0 分。</w:t>
      </w:r>
    </w:p>
    <w:p w14:paraId="4703E787">
      <w:pPr>
        <w:spacing w:line="400" w:lineRule="exact"/>
        <w:ind w:firstLine="420" w:firstLineChars="200"/>
        <w:jc w:val="left"/>
        <w:rPr>
          <w:rFonts w:hint="eastAsia" w:ascii="宋体" w:hAnsi="宋体"/>
          <w:b/>
          <w:bCs/>
          <w:color w:val="auto"/>
          <w:kern w:val="0"/>
          <w:highlight w:val="none"/>
        </w:rPr>
      </w:pPr>
      <w:r>
        <w:rPr>
          <w:rFonts w:hint="eastAsia" w:hAnsi="宋体" w:cs="宋体"/>
          <w:bCs/>
          <w:color w:val="auto"/>
          <w:highlight w:val="none"/>
        </w:rPr>
        <w:t>（</w:t>
      </w:r>
      <w:r>
        <w:rPr>
          <w:rFonts w:hint="eastAsia" w:hAnsi="宋体" w:cs="宋体"/>
          <w:bCs/>
          <w:color w:val="auto"/>
          <w:highlight w:val="none"/>
          <w:lang w:val="en-US" w:eastAsia="zh-CN"/>
        </w:rPr>
        <w:t>4</w:t>
      </w:r>
      <w:r>
        <w:rPr>
          <w:rFonts w:hint="eastAsia" w:hAnsi="宋体" w:cs="宋体"/>
          <w:bCs/>
          <w:color w:val="auto"/>
          <w:highlight w:val="none"/>
        </w:rPr>
        <w:t xml:space="preserve">）价格分计算公式：价格分=(评标基准价／评标报价)× </w:t>
      </w:r>
      <w:r>
        <w:rPr>
          <w:rFonts w:hint="eastAsia" w:hAnsi="宋体" w:cs="宋体"/>
          <w:bCs/>
          <w:color w:val="auto"/>
          <w:highlight w:val="none"/>
          <w:lang w:val="en-US" w:eastAsia="zh-CN"/>
        </w:rPr>
        <w:t>1</w:t>
      </w:r>
      <w:r>
        <w:rPr>
          <w:rFonts w:hint="eastAsia" w:hAnsi="宋体" w:cs="宋体"/>
          <w:bCs/>
          <w:color w:val="auto"/>
          <w:highlight w:val="none"/>
        </w:rPr>
        <w:t>0分</w:t>
      </w:r>
      <w:r>
        <w:rPr>
          <w:rFonts w:hint="eastAsia" w:ascii="宋体" w:hAnsi="宋体"/>
          <w:b/>
          <w:bCs/>
          <w:color w:val="auto"/>
          <w:kern w:val="0"/>
          <w:highlight w:val="none"/>
        </w:rPr>
        <w:t xml:space="preserve">   </w:t>
      </w:r>
    </w:p>
    <w:p w14:paraId="3D59E68C">
      <w:pPr>
        <w:spacing w:line="400" w:lineRule="exact"/>
        <w:ind w:firstLine="211" w:firstLineChars="100"/>
        <w:jc w:val="left"/>
        <w:rPr>
          <w:rFonts w:hint="eastAsia" w:ascii="宋体" w:hAnsi="宋体"/>
          <w:b/>
          <w:bCs/>
          <w:color w:val="auto"/>
          <w:kern w:val="0"/>
          <w:highlight w:val="none"/>
        </w:rPr>
      </w:pPr>
      <w:r>
        <w:rPr>
          <w:rFonts w:hint="eastAsia" w:ascii="宋体" w:hAnsi="宋体"/>
          <w:b/>
          <w:bCs/>
          <w:color w:val="auto"/>
          <w:kern w:val="0"/>
          <w:highlight w:val="none"/>
        </w:rPr>
        <w:t xml:space="preserve"> 2、技术分</w:t>
      </w:r>
      <w:r>
        <w:rPr>
          <w:rFonts w:hint="eastAsia" w:ascii="宋体" w:cs="宋体"/>
          <w:b/>
          <w:color w:val="auto"/>
          <w:kern w:val="0"/>
          <w:highlight w:val="none"/>
        </w:rPr>
        <w:t>………………………………………………………………………………………</w:t>
      </w:r>
      <w:r>
        <w:rPr>
          <w:rFonts w:hint="eastAsia" w:ascii="宋体" w:cs="宋体"/>
          <w:b/>
          <w:color w:val="auto"/>
          <w:kern w:val="0"/>
          <w:highlight w:val="none"/>
          <w:lang w:val="en-US" w:eastAsia="zh-CN"/>
        </w:rPr>
        <w:t>86</w:t>
      </w:r>
      <w:r>
        <w:rPr>
          <w:rFonts w:hint="eastAsia" w:ascii="宋体" w:cs="宋体"/>
          <w:b/>
          <w:color w:val="auto"/>
          <w:kern w:val="0"/>
          <w:highlight w:val="none"/>
        </w:rPr>
        <w:t>分</w:t>
      </w:r>
    </w:p>
    <w:p w14:paraId="2283D307">
      <w:pPr>
        <w:spacing w:line="400" w:lineRule="exact"/>
        <w:ind w:firstLine="422" w:firstLineChars="200"/>
        <w:jc w:val="left"/>
        <w:rPr>
          <w:rFonts w:hint="eastAsia" w:ascii="宋体" w:hAnsi="宋体"/>
          <w:b/>
          <w:color w:val="auto"/>
          <w:kern w:val="0"/>
          <w:highlight w:val="none"/>
        </w:rPr>
      </w:pPr>
      <w:r>
        <w:rPr>
          <w:rFonts w:hint="eastAsia" w:ascii="宋体" w:hAnsi="宋体"/>
          <w:b/>
          <w:color w:val="auto"/>
          <w:kern w:val="0"/>
          <w:highlight w:val="none"/>
        </w:rPr>
        <w:t>2.1施工组织设计分（满分</w:t>
      </w:r>
      <w:r>
        <w:rPr>
          <w:rFonts w:hint="eastAsia" w:ascii="宋体" w:hAnsi="宋体"/>
          <w:b/>
          <w:color w:val="auto"/>
          <w:kern w:val="0"/>
          <w:highlight w:val="none"/>
          <w:lang w:val="en-US" w:eastAsia="zh-CN"/>
        </w:rPr>
        <w:t>75</w:t>
      </w:r>
      <w:r>
        <w:rPr>
          <w:rFonts w:hint="eastAsia" w:ascii="宋体" w:hAnsi="宋体"/>
          <w:b/>
          <w:color w:val="auto"/>
          <w:kern w:val="0"/>
          <w:highlight w:val="none"/>
        </w:rPr>
        <w:t>分）：</w:t>
      </w:r>
    </w:p>
    <w:p w14:paraId="37537096">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（1）主要施工方法（满分1</w:t>
      </w:r>
      <w:r>
        <w:rPr>
          <w:rFonts w:hint="eastAsia" w:ascii="宋体" w:hAnsi="宋体"/>
          <w:b/>
          <w:bCs/>
          <w:color w:val="auto"/>
          <w:kern w:val="0"/>
          <w:highlight w:val="none"/>
          <w:lang w:val="en-US" w:eastAsia="zh-CN"/>
        </w:rPr>
        <w:t>5</w:t>
      </w:r>
      <w:r>
        <w:rPr>
          <w:rFonts w:hint="eastAsia" w:ascii="宋体" w:hAnsi="宋体"/>
          <w:b/>
          <w:bCs/>
          <w:color w:val="auto"/>
          <w:kern w:val="0"/>
          <w:highlight w:val="none"/>
        </w:rPr>
        <w:t>分）</w:t>
      </w:r>
    </w:p>
    <w:p w14:paraId="7B57A809">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一档（5分）：各主要分部施工方法符合项目需求，有施工技术方案。 </w:t>
      </w:r>
    </w:p>
    <w:p w14:paraId="706B75E6">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二档（10分）：各主要分部施工方法符合项目实际，有</w:t>
      </w:r>
      <w:r>
        <w:rPr>
          <w:rFonts w:hint="eastAsia" w:ascii="宋体" w:hAnsi="宋体" w:eastAsia="宋体" w:cs="宋体"/>
          <w:color w:val="auto"/>
          <w:highlight w:val="none"/>
          <w:lang w:eastAsia="zh-CN"/>
        </w:rPr>
        <w:t>较详细</w:t>
      </w:r>
      <w:r>
        <w:rPr>
          <w:rFonts w:hint="eastAsia" w:ascii="宋体" w:hAnsi="宋体" w:eastAsia="宋体" w:cs="宋体"/>
          <w:color w:val="auto"/>
          <w:highlight w:val="none"/>
        </w:rPr>
        <w:t>施工技术方案，</w:t>
      </w:r>
      <w:bookmarkStart w:id="25" w:name="OLE_LINK37"/>
      <w:r>
        <w:rPr>
          <w:rFonts w:hint="eastAsia" w:ascii="宋体" w:hAnsi="宋体" w:eastAsia="宋体" w:cs="宋体"/>
          <w:color w:val="auto"/>
          <w:highlight w:val="none"/>
        </w:rPr>
        <w:t>有主要分部工程施工步骤、施工要点</w:t>
      </w:r>
      <w:bookmarkEnd w:id="25"/>
      <w:r>
        <w:rPr>
          <w:rFonts w:hint="eastAsia" w:ascii="宋体" w:hAnsi="宋体" w:eastAsia="宋体" w:cs="宋体"/>
          <w:color w:val="auto"/>
          <w:highlight w:val="none"/>
        </w:rPr>
        <w:t xml:space="preserve">，能指导具体施工并确保安全。 </w:t>
      </w:r>
    </w:p>
    <w:p w14:paraId="6F16935C">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三档（15分）：各主要分部施工方法符合项目实际，有</w:t>
      </w:r>
      <w:r>
        <w:rPr>
          <w:rFonts w:hint="eastAsia" w:ascii="宋体" w:hAnsi="宋体" w:eastAsia="宋体" w:cs="宋体"/>
          <w:color w:val="auto"/>
          <w:highlight w:val="none"/>
          <w:lang w:eastAsia="zh-CN"/>
        </w:rPr>
        <w:t>详细</w:t>
      </w:r>
      <w:r>
        <w:rPr>
          <w:rFonts w:hint="eastAsia" w:ascii="宋体" w:hAnsi="宋体" w:eastAsia="宋体" w:cs="宋体"/>
          <w:color w:val="auto"/>
          <w:highlight w:val="none"/>
        </w:rPr>
        <w:t>施工技术方案，主要分部工程施工工序、施工步骤、施工要点、施工工艺方案</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施工准备、技术准备或交底、各工种施工配合方案具有针对性，能指导具体施工并确保安全。</w:t>
      </w:r>
    </w:p>
    <w:p w14:paraId="5354F69D">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（2）</w:t>
      </w:r>
      <w:r>
        <w:rPr>
          <w:rFonts w:hint="eastAsia" w:ascii="宋体" w:hAnsi="宋体" w:eastAsia="宋体" w:cs="宋体"/>
          <w:b/>
          <w:bCs/>
          <w:color w:val="auto"/>
          <w:highlight w:val="none"/>
        </w:rPr>
        <w:t>拟投入的主要物资计划</w:t>
      </w:r>
      <w:r>
        <w:rPr>
          <w:rFonts w:hint="eastAsia" w:ascii="宋体" w:hAnsi="宋体"/>
          <w:b/>
          <w:bCs/>
          <w:color w:val="auto"/>
          <w:kern w:val="0"/>
          <w:highlight w:val="none"/>
        </w:rPr>
        <w:t>（满分</w:t>
      </w:r>
      <w:r>
        <w:rPr>
          <w:rFonts w:hint="eastAsia" w:ascii="宋体" w:hAnsi="宋体"/>
          <w:b/>
          <w:bCs/>
          <w:color w:val="auto"/>
          <w:kern w:val="0"/>
          <w:highlight w:val="none"/>
          <w:lang w:val="en-US" w:eastAsia="zh-CN"/>
        </w:rPr>
        <w:t>5</w:t>
      </w:r>
      <w:r>
        <w:rPr>
          <w:rFonts w:hint="eastAsia" w:ascii="宋体" w:hAnsi="宋体"/>
          <w:b/>
          <w:bCs/>
          <w:color w:val="auto"/>
          <w:kern w:val="0"/>
          <w:highlight w:val="none"/>
        </w:rPr>
        <w:t>分）</w:t>
      </w:r>
    </w:p>
    <w:p w14:paraId="1E0BA262">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cs="宋体"/>
          <w:color w:val="auto"/>
          <w:highlight w:val="none"/>
          <w:lang w:val="en-US" w:eastAsia="zh-CN"/>
        </w:rPr>
        <w:t>1</w:t>
      </w:r>
      <w:r>
        <w:rPr>
          <w:rFonts w:hint="eastAsia" w:ascii="宋体" w:hAnsi="宋体" w:eastAsia="宋体" w:cs="宋体"/>
          <w:color w:val="auto"/>
          <w:highlight w:val="none"/>
        </w:rPr>
        <w:t>分）：投入的施工材料有组织计划，基本满足本项目施工需要。各主要施工工序有劳动力安排计划，有各工种劳动力安排计划，基本能满足施工需要。</w:t>
      </w:r>
    </w:p>
    <w:p w14:paraId="5FE41BA3">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cs="宋体"/>
          <w:color w:val="auto"/>
          <w:highlight w:val="none"/>
          <w:lang w:val="en-US" w:eastAsia="zh-CN"/>
        </w:rPr>
        <w:t>3</w:t>
      </w:r>
      <w:r>
        <w:rPr>
          <w:rFonts w:hint="eastAsia" w:ascii="宋体" w:hAnsi="宋体" w:eastAsia="宋体" w:cs="宋体"/>
          <w:color w:val="auto"/>
          <w:highlight w:val="none"/>
        </w:rPr>
        <w:t>分）：投入的主要物资计划与进度计划呼应，满足施工需要，定量定点堆放物资。各主要施工工序有劳动力安排计划，不窝工，有各工种劳动力安排计划，能满足施工需要。</w:t>
      </w:r>
    </w:p>
    <w:p w14:paraId="1F86E70B">
      <w:pPr>
        <w:spacing w:line="360" w:lineRule="auto"/>
        <w:ind w:firstLine="420" w:firstLineChars="200"/>
        <w:jc w:val="left"/>
        <w:rPr>
          <w:rFonts w:hint="eastAsia" w:ascii="宋体" w:hAnsi="宋体" w:cs="宋体"/>
          <w:color w:val="auto"/>
          <w:kern w:val="0"/>
          <w:highlight w:val="none"/>
        </w:rPr>
      </w:pPr>
      <w:r>
        <w:rPr>
          <w:rFonts w:hint="eastAsia" w:ascii="宋体" w:hAnsi="宋体" w:eastAsia="宋体" w:cs="宋体"/>
          <w:color w:val="auto"/>
          <w:highlight w:val="none"/>
        </w:rPr>
        <w:t>三档（</w:t>
      </w:r>
      <w:r>
        <w:rPr>
          <w:rFonts w:hint="eastAsia" w:ascii="宋体" w:hAnsi="宋体" w:cs="宋体"/>
          <w:color w:val="auto"/>
          <w:highlight w:val="none"/>
          <w:lang w:val="en-US" w:eastAsia="zh-CN"/>
        </w:rPr>
        <w:t>5</w:t>
      </w:r>
      <w:r>
        <w:rPr>
          <w:rFonts w:hint="eastAsia" w:ascii="宋体" w:hAnsi="宋体" w:eastAsia="宋体" w:cs="宋体"/>
          <w:color w:val="auto"/>
          <w:highlight w:val="none"/>
        </w:rPr>
        <w:t>分）：投入的主要物资计划与进度计划呼应，满足施工需要，</w:t>
      </w:r>
      <w:r>
        <w:rPr>
          <w:rFonts w:hint="eastAsia" w:ascii="宋体" w:hAnsi="宋体" w:eastAsia="宋体" w:cs="宋体"/>
          <w:color w:val="auto"/>
          <w:highlight w:val="none"/>
          <w:lang w:eastAsia="zh-CN"/>
        </w:rPr>
        <w:t>有详细的</w:t>
      </w:r>
      <w:r>
        <w:rPr>
          <w:rFonts w:hint="eastAsia" w:ascii="宋体" w:hAnsi="宋体" w:eastAsia="宋体" w:cs="宋体"/>
          <w:color w:val="auto"/>
          <w:highlight w:val="none"/>
        </w:rPr>
        <w:t>材料物资采购及供应保证措施，定量定点堆放物资。各主要施工工序有</w:t>
      </w:r>
      <w:r>
        <w:rPr>
          <w:rFonts w:hint="eastAsia" w:ascii="宋体" w:hAnsi="宋体" w:eastAsia="宋体" w:cs="宋体"/>
          <w:color w:val="auto"/>
          <w:highlight w:val="none"/>
          <w:lang w:eastAsia="zh-CN"/>
        </w:rPr>
        <w:t>细致</w:t>
      </w:r>
      <w:r>
        <w:rPr>
          <w:rFonts w:hint="eastAsia" w:ascii="宋体" w:hAnsi="宋体" w:eastAsia="宋体" w:cs="宋体"/>
          <w:color w:val="auto"/>
          <w:highlight w:val="none"/>
        </w:rPr>
        <w:t>的劳动力安排计划，不窝工，各工种劳动力安排计划</w:t>
      </w:r>
      <w:r>
        <w:rPr>
          <w:rFonts w:hint="eastAsia" w:ascii="宋体" w:hAnsi="宋体" w:eastAsia="宋体" w:cs="宋体"/>
          <w:color w:val="auto"/>
          <w:highlight w:val="none"/>
          <w:lang w:eastAsia="zh-CN"/>
        </w:rPr>
        <w:t>具有针对性</w:t>
      </w:r>
      <w:r>
        <w:rPr>
          <w:rFonts w:hint="eastAsia" w:ascii="宋体" w:hAnsi="宋体" w:eastAsia="宋体" w:cs="宋体"/>
          <w:color w:val="auto"/>
          <w:highlight w:val="none"/>
        </w:rPr>
        <w:t>，有切实有效的劳动力保障措施，能满足施工需要且衔接得当。</w:t>
      </w:r>
    </w:p>
    <w:p w14:paraId="05551574">
      <w:pPr>
        <w:spacing w:line="360" w:lineRule="auto"/>
        <w:ind w:firstLine="422" w:firstLineChars="200"/>
        <w:jc w:val="left"/>
        <w:rPr>
          <w:rFonts w:hint="eastAsia" w:ascii="宋体" w:hAnsi="宋体" w:eastAsia="宋体"/>
          <w:b/>
          <w:bCs/>
          <w:color w:val="auto"/>
          <w:kern w:val="0"/>
          <w:highlight w:val="none"/>
          <w:lang w:eastAsia="zh-CN"/>
        </w:rPr>
      </w:pPr>
      <w:r>
        <w:rPr>
          <w:rFonts w:hint="eastAsia" w:ascii="宋体" w:hAnsi="宋体"/>
          <w:b/>
          <w:bCs/>
          <w:color w:val="auto"/>
          <w:kern w:val="0"/>
          <w:highlight w:val="none"/>
        </w:rPr>
        <w:t>（</w:t>
      </w:r>
      <w:r>
        <w:rPr>
          <w:rFonts w:hint="eastAsia" w:ascii="宋体" w:hAnsi="宋体"/>
          <w:b/>
          <w:bCs/>
          <w:color w:val="auto"/>
          <w:kern w:val="0"/>
          <w:highlight w:val="none"/>
          <w:lang w:val="en-US" w:eastAsia="zh-CN"/>
        </w:rPr>
        <w:t>3</w:t>
      </w:r>
      <w:r>
        <w:rPr>
          <w:rFonts w:hint="eastAsia" w:ascii="宋体" w:hAnsi="宋体"/>
          <w:b/>
          <w:bCs/>
          <w:color w:val="auto"/>
          <w:kern w:val="0"/>
          <w:highlight w:val="none"/>
        </w:rPr>
        <w:t>）</w:t>
      </w:r>
      <w:r>
        <w:rPr>
          <w:rFonts w:hint="eastAsia" w:ascii="宋体" w:hAnsi="宋体" w:eastAsia="宋体" w:cs="宋体"/>
          <w:b/>
          <w:bCs/>
          <w:color w:val="auto"/>
          <w:highlight w:val="none"/>
        </w:rPr>
        <w:t>劳动力安排计划</w:t>
      </w:r>
      <w:r>
        <w:rPr>
          <w:rFonts w:hint="eastAsia" w:ascii="宋体" w:hAnsi="宋体" w:cs="宋体"/>
          <w:b/>
          <w:bCs/>
          <w:color w:val="auto"/>
          <w:highlight w:val="none"/>
          <w:lang w:eastAsia="zh-CN"/>
        </w:rPr>
        <w:t>（</w:t>
      </w:r>
      <w:r>
        <w:rPr>
          <w:rFonts w:hint="eastAsia" w:ascii="宋体" w:hAnsi="宋体" w:cs="宋体"/>
          <w:b/>
          <w:bCs/>
          <w:color w:val="auto"/>
          <w:highlight w:val="none"/>
          <w:lang w:val="en-US" w:eastAsia="zh-CN"/>
        </w:rPr>
        <w:t>满分5分</w:t>
      </w:r>
      <w:r>
        <w:rPr>
          <w:rFonts w:hint="eastAsia" w:ascii="宋体" w:hAnsi="宋体" w:cs="宋体"/>
          <w:b/>
          <w:bCs/>
          <w:color w:val="auto"/>
          <w:highlight w:val="none"/>
          <w:lang w:eastAsia="zh-CN"/>
        </w:rPr>
        <w:t>）</w:t>
      </w:r>
    </w:p>
    <w:p w14:paraId="2691C337">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lang w:val="en-US" w:eastAsia="zh-CN"/>
        </w:rPr>
        <w:t>一档</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1</w:t>
      </w:r>
      <w:r>
        <w:rPr>
          <w:rFonts w:hint="eastAsia" w:ascii="宋体" w:hAnsi="宋体" w:cs="宋体"/>
          <w:color w:val="auto"/>
          <w:kern w:val="0"/>
          <w:highlight w:val="none"/>
        </w:rPr>
        <w:t>分）：磋商供应商根据本项目施工需要，配置各分部劳动力一般，各主要施工工序有劳动力安排计划，有各工种劳动力安排计划，但劳动力投入不合理，有应急安排计划但不完善，满足项目施工需要。</w:t>
      </w:r>
    </w:p>
    <w:p w14:paraId="57177A27">
      <w:pPr>
        <w:spacing w:line="360" w:lineRule="auto"/>
        <w:ind w:firstLine="420" w:firstLineChars="200"/>
        <w:jc w:val="left"/>
        <w:rPr>
          <w:rFonts w:hint="eastAsia" w:ascii="宋体" w:hAnsi="宋体" w:cs="宋体"/>
          <w:color w:val="auto"/>
          <w:kern w:val="0"/>
          <w:highlight w:val="none"/>
        </w:rPr>
      </w:pPr>
      <w:r>
        <w:rPr>
          <w:rFonts w:hint="eastAsia" w:ascii="宋体" w:hAnsi="宋体" w:cs="宋体"/>
          <w:color w:val="auto"/>
          <w:kern w:val="0"/>
          <w:highlight w:val="none"/>
          <w:lang w:val="en-US" w:eastAsia="zh-CN"/>
        </w:rPr>
        <w:t>二档</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3</w:t>
      </w:r>
      <w:r>
        <w:rPr>
          <w:rFonts w:hint="eastAsia" w:ascii="宋体" w:hAnsi="宋体" w:cs="宋体"/>
          <w:color w:val="auto"/>
          <w:kern w:val="0"/>
          <w:highlight w:val="none"/>
        </w:rPr>
        <w:t>分）：磋商供应商根据本项目施工需要，合理配置各分部劳动力，且各主要施工工序有较详细周密的劳动力安排计划，有针对性的安排各工种劳动力，提供人员进退场计划，杜绝人员不足、人员窝工等情况，且安排计划较详细周密、可行，劳动力投入合理，且具有应急安排计划，满足项目平行施工等需要。并承诺拟投入本项目各工种劳动力，特殊工种具备相应的资格证书或合格证书。</w:t>
      </w:r>
    </w:p>
    <w:p w14:paraId="75CD8696">
      <w:pPr>
        <w:spacing w:line="360" w:lineRule="auto"/>
        <w:ind w:firstLine="420" w:firstLineChars="200"/>
        <w:jc w:val="left"/>
        <w:rPr>
          <w:rFonts w:hint="eastAsia" w:ascii="宋体" w:hAnsi="宋体"/>
          <w:b/>
          <w:bCs/>
          <w:color w:val="auto"/>
          <w:kern w:val="0"/>
          <w:highlight w:val="none"/>
        </w:rPr>
      </w:pPr>
      <w:r>
        <w:rPr>
          <w:rFonts w:hint="eastAsia" w:ascii="宋体" w:hAnsi="宋体" w:cs="宋体"/>
          <w:color w:val="auto"/>
          <w:kern w:val="0"/>
          <w:highlight w:val="none"/>
          <w:lang w:val="en-US" w:eastAsia="zh-CN"/>
        </w:rPr>
        <w:t>三档</w:t>
      </w:r>
      <w:r>
        <w:rPr>
          <w:rFonts w:hint="eastAsia" w:ascii="宋体" w:hAnsi="宋体" w:cs="宋体"/>
          <w:color w:val="auto"/>
          <w:kern w:val="0"/>
          <w:highlight w:val="none"/>
        </w:rPr>
        <w:t>（</w:t>
      </w:r>
      <w:r>
        <w:rPr>
          <w:rFonts w:hint="eastAsia" w:ascii="宋体" w:hAnsi="宋体" w:cs="宋体"/>
          <w:color w:val="auto"/>
          <w:kern w:val="0"/>
          <w:highlight w:val="none"/>
          <w:lang w:val="en-US" w:eastAsia="zh-CN"/>
        </w:rPr>
        <w:t>5</w:t>
      </w:r>
      <w:r>
        <w:rPr>
          <w:rFonts w:hint="eastAsia" w:ascii="宋体" w:hAnsi="宋体" w:cs="宋体"/>
          <w:color w:val="auto"/>
          <w:kern w:val="0"/>
          <w:highlight w:val="none"/>
        </w:rPr>
        <w:t>分）：磋商供应商根据本项目施工需要，合理配置各分部劳动力，各主要施工工序有详细周密的劳动力安排计划，有针对性的安排各工种劳动力，提供人员进退场计划，杜绝人员不足、人员窝工等情况，且安排计划详细周密，可行性高，劳动力投入科学合理，具有应急安排计划，完全满足项目平行施工等需要。并承诺拟投入本项目的劳动力稳定，各工种劳动力</w:t>
      </w:r>
      <w:r>
        <w:rPr>
          <w:rFonts w:hint="eastAsia" w:ascii="宋体" w:hAnsi="宋体" w:cs="宋体"/>
          <w:color w:val="auto"/>
          <w:kern w:val="0"/>
          <w:highlight w:val="none"/>
          <w:lang w:val="en-US" w:eastAsia="zh-CN"/>
        </w:rPr>
        <w:t>及</w:t>
      </w:r>
      <w:r>
        <w:rPr>
          <w:rFonts w:hint="eastAsia" w:ascii="宋体" w:hAnsi="宋体" w:cs="宋体"/>
          <w:color w:val="auto"/>
          <w:kern w:val="0"/>
          <w:highlight w:val="none"/>
        </w:rPr>
        <w:t>特殊工种具备相应的资格证书或合格证书。</w:t>
      </w:r>
    </w:p>
    <w:p w14:paraId="4734061F">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lang w:eastAsia="zh-CN"/>
        </w:rPr>
        <w:t>（</w:t>
      </w:r>
      <w:r>
        <w:rPr>
          <w:rFonts w:hint="eastAsia" w:ascii="宋体" w:hAnsi="宋体"/>
          <w:b/>
          <w:bCs/>
          <w:color w:val="auto"/>
          <w:kern w:val="0"/>
          <w:highlight w:val="none"/>
          <w:lang w:val="en-US" w:eastAsia="zh-CN"/>
        </w:rPr>
        <w:t>4</w:t>
      </w:r>
      <w:r>
        <w:rPr>
          <w:rFonts w:hint="eastAsia" w:ascii="宋体" w:hAnsi="宋体"/>
          <w:b/>
          <w:bCs/>
          <w:color w:val="auto"/>
          <w:kern w:val="0"/>
          <w:highlight w:val="none"/>
          <w:lang w:eastAsia="zh-CN"/>
        </w:rPr>
        <w:t>）</w:t>
      </w:r>
      <w:r>
        <w:rPr>
          <w:rFonts w:hint="eastAsia" w:ascii="宋体" w:hAnsi="宋体"/>
          <w:b/>
          <w:bCs/>
          <w:color w:val="auto"/>
          <w:kern w:val="0"/>
          <w:highlight w:val="none"/>
        </w:rPr>
        <w:t>确保工程质量的技术组织措施（满分</w:t>
      </w:r>
      <w:r>
        <w:rPr>
          <w:rFonts w:hint="eastAsia" w:ascii="宋体" w:hAnsi="宋体"/>
          <w:b/>
          <w:bCs/>
          <w:color w:val="auto"/>
          <w:kern w:val="0"/>
          <w:highlight w:val="none"/>
          <w:lang w:val="en-US" w:eastAsia="zh-CN"/>
        </w:rPr>
        <w:t>10</w:t>
      </w:r>
      <w:r>
        <w:rPr>
          <w:rFonts w:hint="eastAsia" w:ascii="宋体" w:hAnsi="宋体"/>
          <w:b/>
          <w:bCs/>
          <w:color w:val="auto"/>
          <w:kern w:val="0"/>
          <w:highlight w:val="none"/>
        </w:rPr>
        <w:t>分）</w:t>
      </w:r>
    </w:p>
    <w:p w14:paraId="6082A1B1">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分）：有质量技术管理班子和制度，主要工序有质量技术保证措施和手段。</w:t>
      </w:r>
    </w:p>
    <w:p w14:paraId="36B4BB47">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分）：有质量技术管理班子和制度，主要工序有质量技术保证措施和手段，有施工准备阶段和施工过程质量控制措施，能保证技术质量，满足采购需求文件的质量要求及验收规范要求。</w:t>
      </w:r>
    </w:p>
    <w:p w14:paraId="5ACEED3C">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有专门的质量技术管理班子和制度，明确管理班子质量责任，主要工序有质量技术保证措施和手段，有施工准备阶段、施工过程、竣工验收及交工阶段质量控制措施，隐蔽工程检查制度，有施工质量验收制度，工程质量保修方案，保障技术质量，达到承诺的质量标准及验收规范要求</w:t>
      </w:r>
      <w:r>
        <w:rPr>
          <w:rFonts w:hint="eastAsia" w:asciiTheme="minorEastAsia" w:hAnsiTheme="minorEastAsia" w:eastAsiaTheme="minorEastAsia" w:cstheme="minorEastAsia"/>
          <w:color w:val="auto"/>
          <w:kern w:val="0"/>
          <w:highlight w:val="none"/>
        </w:rPr>
        <w:t>。</w:t>
      </w:r>
    </w:p>
    <w:p w14:paraId="4396BDC8">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5</w:t>
      </w:r>
      <w:r>
        <w:rPr>
          <w:rFonts w:hint="eastAsia" w:asciiTheme="minorEastAsia" w:hAnsiTheme="minorEastAsia" w:eastAsiaTheme="minorEastAsia" w:cstheme="minorEastAsia"/>
          <w:b/>
          <w:bCs/>
          <w:color w:val="auto"/>
          <w:kern w:val="0"/>
          <w:highlight w:val="none"/>
        </w:rPr>
        <w:t>）确保安全生产的技术组织措施（满分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591734DF">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一档（2分）：</w:t>
      </w:r>
      <w:r>
        <w:rPr>
          <w:rFonts w:hint="eastAsia" w:ascii="宋体" w:hAnsi="宋体" w:eastAsia="宋体" w:cs="宋体"/>
          <w:color w:val="auto"/>
          <w:szCs w:val="21"/>
          <w:highlight w:val="none"/>
        </w:rPr>
        <w:t>有专门的安全管理人员和制度，有各道工序安全技术措施。</w:t>
      </w:r>
    </w:p>
    <w:p w14:paraId="43A3C422">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bCs/>
          <w:color w:val="auto"/>
          <w:highlight w:val="none"/>
        </w:rPr>
      </w:pPr>
      <w:r>
        <w:rPr>
          <w:rFonts w:hint="eastAsia" w:ascii="宋体" w:hAnsi="宋体" w:eastAsia="宋体" w:cs="宋体"/>
          <w:color w:val="auto"/>
          <w:highlight w:val="none"/>
        </w:rPr>
        <w:t>二档（6分）：</w:t>
      </w:r>
      <w:r>
        <w:rPr>
          <w:rFonts w:hint="eastAsia" w:ascii="宋体" w:hAnsi="宋体" w:eastAsia="宋体" w:cs="宋体"/>
          <w:color w:val="auto"/>
          <w:szCs w:val="21"/>
          <w:highlight w:val="none"/>
        </w:rPr>
        <w:t>有专门的安全管理人员和制度，有各道工序安全技术措施，确保</w:t>
      </w:r>
      <w:r>
        <w:rPr>
          <w:rFonts w:hint="eastAsia" w:ascii="宋体" w:hAnsi="宋体" w:eastAsia="宋体" w:cs="宋体"/>
          <w:bCs/>
          <w:color w:val="auto"/>
          <w:highlight w:val="none"/>
        </w:rPr>
        <w:t>工程质量的技术组织措施符合实际且满足有关安全技术标准要求。有现场防火、应急救援、社会治安安全措施。</w:t>
      </w:r>
    </w:p>
    <w:p w14:paraId="5543E99C">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eastAsia="宋体" w:cs="宋体"/>
          <w:bCs/>
          <w:color w:val="auto"/>
          <w:highlight w:val="none"/>
        </w:rPr>
        <w:t>三档（10分）：有专门的安全管理人员和制度，各道工序安全技术措施具有针对性，确保工程质量的技术组织措施切合实际且优于有关安全技术标准要求。有</w:t>
      </w:r>
      <w:r>
        <w:rPr>
          <w:rFonts w:hint="eastAsia" w:ascii="宋体" w:hAnsi="宋体" w:eastAsia="宋体" w:cs="宋体"/>
          <w:bCs/>
          <w:color w:val="auto"/>
          <w:highlight w:val="none"/>
          <w:lang w:eastAsia="zh-CN"/>
        </w:rPr>
        <w:t>详细的</w:t>
      </w:r>
      <w:r>
        <w:rPr>
          <w:rFonts w:hint="eastAsia" w:ascii="宋体" w:hAnsi="宋体" w:eastAsia="宋体" w:cs="宋体"/>
          <w:bCs/>
          <w:color w:val="auto"/>
          <w:highlight w:val="none"/>
        </w:rPr>
        <w:t>现场防火、应急救援、社会治安安全措施且有保障性。有安全生产责任、安全生产教育培训制度、施工现场临时用电方案及安全用电措施、安全管理目标</w:t>
      </w:r>
      <w:r>
        <w:rPr>
          <w:rFonts w:hint="eastAsia" w:asciiTheme="minorEastAsia" w:hAnsiTheme="minorEastAsia" w:eastAsiaTheme="minorEastAsia" w:cstheme="minorEastAsia"/>
          <w:color w:val="auto"/>
          <w:kern w:val="0"/>
          <w:highlight w:val="none"/>
        </w:rPr>
        <w:t>。</w:t>
      </w:r>
    </w:p>
    <w:p w14:paraId="09B433E4">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6</w:t>
      </w:r>
      <w:r>
        <w:rPr>
          <w:rFonts w:hint="eastAsia" w:asciiTheme="minorEastAsia" w:hAnsiTheme="minorEastAsia" w:eastAsiaTheme="minorEastAsia" w:cstheme="minorEastAsia"/>
          <w:b/>
          <w:bCs/>
          <w:color w:val="auto"/>
          <w:kern w:val="0"/>
          <w:highlight w:val="none"/>
        </w:rPr>
        <w:t>）确保工期的技术组织措施（满分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5E085AA2">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分）：在施工工艺、施工方法、材料选用、劳动力安排、技术方面有保证工期的措施。有控制工期的施工进度计划。</w:t>
      </w:r>
    </w:p>
    <w:p w14:paraId="21712A36">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分）：在施工工艺、施工方法、材料选用、劳动力安排、技术方面有保证工期的措施。有控制工期的施工进度计划。有施工总进度表或施工网络图。</w:t>
      </w:r>
    </w:p>
    <w:p w14:paraId="2A0E6215">
      <w:pPr>
        <w:widowControl/>
        <w:spacing w:line="360" w:lineRule="auto"/>
        <w:ind w:firstLine="420" w:firstLineChars="200"/>
        <w:rPr>
          <w:rFonts w:hint="eastAsia" w:asciiTheme="minorEastAsia" w:hAnsiTheme="minorEastAsia" w:eastAsiaTheme="minorEastAsia" w:cstheme="minorEastAsia"/>
          <w:color w:val="auto"/>
          <w:kern w:val="0"/>
          <w:highlight w:val="none"/>
        </w:rPr>
      </w:pPr>
      <w:r>
        <w:rPr>
          <w:rFonts w:hint="eastAsia" w:ascii="宋体" w:hAnsi="宋体" w:eastAsia="宋体" w:cs="宋体"/>
          <w:color w:val="auto"/>
          <w:highlight w:val="none"/>
        </w:rPr>
        <w:t>三档（</w:t>
      </w:r>
      <w:r>
        <w:rPr>
          <w:rFonts w:hint="eastAsia" w:ascii="宋体" w:hAnsi="宋体" w:eastAsia="宋体" w:cs="宋体"/>
          <w:color w:val="auto"/>
          <w:highlight w:val="none"/>
          <w:lang w:val="en-US" w:eastAsia="zh-CN"/>
        </w:rPr>
        <w:t>10</w:t>
      </w:r>
      <w:r>
        <w:rPr>
          <w:rFonts w:hint="eastAsia" w:ascii="宋体" w:hAnsi="宋体" w:eastAsia="宋体" w:cs="宋体"/>
          <w:color w:val="auto"/>
          <w:highlight w:val="none"/>
        </w:rPr>
        <w:t>分）：在施工工艺、施工方法、材料选用、劳动力安排、技术方面有保证工期的措施且具有针对性，满足项目需求。有控制工期的施工进度计划</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施工进度计划的执行与控制</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进度偏差管理措施。有</w:t>
      </w:r>
      <w:r>
        <w:rPr>
          <w:rFonts w:hint="eastAsia" w:ascii="宋体" w:hAnsi="宋体" w:eastAsia="宋体" w:cs="宋体"/>
          <w:color w:val="auto"/>
          <w:highlight w:val="none"/>
          <w:lang w:eastAsia="zh-CN"/>
        </w:rPr>
        <w:t>详细的</w:t>
      </w:r>
      <w:r>
        <w:rPr>
          <w:rFonts w:hint="eastAsia" w:ascii="宋体" w:hAnsi="宋体" w:eastAsia="宋体" w:cs="宋体"/>
          <w:color w:val="auto"/>
          <w:highlight w:val="none"/>
        </w:rPr>
        <w:t>施工总进度表或施工网络图</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各项计划图表编制。</w:t>
      </w:r>
    </w:p>
    <w:p w14:paraId="736EC28F">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w:t>
      </w:r>
      <w:r>
        <w:rPr>
          <w:rFonts w:hint="eastAsia" w:asciiTheme="minorEastAsia" w:hAnsiTheme="minorEastAsia" w:eastAsiaTheme="minorEastAsia" w:cstheme="minorEastAsia"/>
          <w:b/>
          <w:bCs/>
          <w:color w:val="auto"/>
          <w:kern w:val="0"/>
          <w:highlight w:val="none"/>
          <w:lang w:val="en-US" w:eastAsia="zh-CN"/>
        </w:rPr>
        <w:t>7</w:t>
      </w:r>
      <w:r>
        <w:rPr>
          <w:rFonts w:hint="eastAsia" w:asciiTheme="minorEastAsia" w:hAnsiTheme="minorEastAsia" w:eastAsiaTheme="minorEastAsia" w:cstheme="minorEastAsia"/>
          <w:b/>
          <w:bCs/>
          <w:color w:val="auto"/>
          <w:kern w:val="0"/>
          <w:highlight w:val="none"/>
        </w:rPr>
        <w:t>）确保文明施工的技术组织措施（满分</w:t>
      </w:r>
      <w:r>
        <w:rPr>
          <w:rFonts w:hint="eastAsia" w:asciiTheme="minorEastAsia" w:hAnsiTheme="minorEastAsia" w:eastAsiaTheme="minorEastAsia" w:cstheme="minorEastAsia"/>
          <w:b/>
          <w:bCs/>
          <w:color w:val="auto"/>
          <w:kern w:val="0"/>
          <w:highlight w:val="none"/>
          <w:lang w:val="en-US" w:eastAsia="zh-CN"/>
        </w:rPr>
        <w:t>10</w:t>
      </w:r>
      <w:r>
        <w:rPr>
          <w:rFonts w:hint="eastAsia" w:asciiTheme="minorEastAsia" w:hAnsiTheme="minorEastAsia" w:eastAsiaTheme="minorEastAsia" w:cstheme="minorEastAsia"/>
          <w:b/>
          <w:bCs/>
          <w:color w:val="auto"/>
          <w:kern w:val="0"/>
          <w:highlight w:val="none"/>
        </w:rPr>
        <w:t>分）</w:t>
      </w:r>
    </w:p>
    <w:p w14:paraId="302EAA5F">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一档（</w:t>
      </w:r>
      <w:r>
        <w:rPr>
          <w:rFonts w:hint="eastAsia" w:ascii="宋体" w:hAnsi="宋体" w:cs="宋体"/>
          <w:color w:val="auto"/>
          <w:highlight w:val="none"/>
          <w:lang w:val="en-US" w:eastAsia="zh-CN"/>
        </w:rPr>
        <w:t>2</w:t>
      </w:r>
      <w:r>
        <w:rPr>
          <w:rFonts w:hint="eastAsia" w:ascii="宋体" w:hAnsi="宋体" w:eastAsia="宋体" w:cs="宋体"/>
          <w:color w:val="auto"/>
          <w:highlight w:val="none"/>
        </w:rPr>
        <w:t>分）：文明施工方案达到《建筑施工安全生产检查标准》（JGJ59-2011）合格标准。</w:t>
      </w:r>
    </w:p>
    <w:p w14:paraId="1932FC06">
      <w:pPr>
        <w:pageBreakBefore w:val="0"/>
        <w:kinsoku/>
        <w:wordWrap/>
        <w:overflowPunct/>
        <w:topLinePunct w:val="0"/>
        <w:autoSpaceDE/>
        <w:autoSpaceDN/>
        <w:bidi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二档（</w:t>
      </w:r>
      <w:r>
        <w:rPr>
          <w:rFonts w:hint="eastAsia" w:ascii="宋体" w:hAnsi="宋体" w:cs="宋体"/>
          <w:color w:val="auto"/>
          <w:highlight w:val="none"/>
          <w:lang w:val="en-US" w:eastAsia="zh-CN"/>
        </w:rPr>
        <w:t>6</w:t>
      </w:r>
      <w:r>
        <w:rPr>
          <w:rFonts w:hint="eastAsia" w:ascii="宋体" w:hAnsi="宋体" w:eastAsia="宋体" w:cs="宋体"/>
          <w:color w:val="auto"/>
          <w:highlight w:val="none"/>
        </w:rPr>
        <w:t>分）：针对本工程项目特点，有现场文明施工措施，达到 《建筑施工安全生产检查标准》 （JGJ59-2011） 合格标准并符合《广西壮族自治区建筑工程文明施工导则》要求。</w:t>
      </w:r>
    </w:p>
    <w:p w14:paraId="32C97973">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宋体" w:hAnsi="宋体" w:eastAsia="宋体" w:cs="宋体"/>
          <w:color w:val="auto"/>
          <w:highlight w:val="none"/>
        </w:rPr>
        <w:t>三档（</w:t>
      </w:r>
      <w:r>
        <w:rPr>
          <w:rFonts w:hint="eastAsia" w:ascii="宋体" w:hAnsi="宋体" w:cs="宋体"/>
          <w:color w:val="auto"/>
          <w:highlight w:val="none"/>
          <w:lang w:val="en-US" w:eastAsia="zh-CN"/>
        </w:rPr>
        <w:t>10</w:t>
      </w:r>
      <w:r>
        <w:rPr>
          <w:rFonts w:hint="eastAsia" w:ascii="宋体" w:hAnsi="宋体" w:eastAsia="宋体" w:cs="宋体"/>
          <w:color w:val="auto"/>
          <w:highlight w:val="none"/>
        </w:rPr>
        <w:t>分）：针对本工程项目特点，有现场文明施工、环境保护措施，且措施内容达到《建筑施工安全生产检查标准》（JGJ59-2011）合格标准并符合《广西壮族自治区建筑工程文明施工导则》要求。各项措施切合项目需求，具有针对性。相关措施符合实现现场文明施工目标的承诺。</w:t>
      </w:r>
    </w:p>
    <w:p w14:paraId="4257B2FD">
      <w:pPr>
        <w:spacing w:line="360" w:lineRule="auto"/>
        <w:ind w:firstLine="422" w:firstLineChars="200"/>
        <w:jc w:val="left"/>
        <w:rPr>
          <w:rFonts w:hint="eastAsia" w:ascii="宋体" w:hAnsi="宋体"/>
          <w:b/>
          <w:bCs/>
          <w:color w:val="auto"/>
          <w:kern w:val="0"/>
          <w:highlight w:val="none"/>
        </w:rPr>
      </w:pPr>
      <w:r>
        <w:rPr>
          <w:rFonts w:hint="eastAsia" w:ascii="宋体" w:hAnsi="宋体"/>
          <w:b/>
          <w:bCs/>
          <w:color w:val="auto"/>
          <w:kern w:val="0"/>
          <w:highlight w:val="none"/>
        </w:rPr>
        <w:t>（8）工程施工的重点和难点及保证措施（满分</w:t>
      </w:r>
      <w:r>
        <w:rPr>
          <w:rFonts w:hint="eastAsia" w:ascii="宋体" w:hAnsi="宋体"/>
          <w:b/>
          <w:bCs/>
          <w:color w:val="auto"/>
          <w:kern w:val="0"/>
          <w:highlight w:val="none"/>
          <w:lang w:eastAsia="zh-CN"/>
        </w:rPr>
        <w:t>1</w:t>
      </w:r>
      <w:r>
        <w:rPr>
          <w:rFonts w:hint="eastAsia" w:ascii="宋体" w:hAnsi="宋体"/>
          <w:b/>
          <w:bCs/>
          <w:color w:val="auto"/>
          <w:kern w:val="0"/>
          <w:highlight w:val="none"/>
          <w:lang w:val="en-US" w:eastAsia="zh-CN"/>
        </w:rPr>
        <w:t>0</w:t>
      </w:r>
      <w:r>
        <w:rPr>
          <w:rFonts w:hint="eastAsia" w:ascii="宋体" w:hAnsi="宋体"/>
          <w:b/>
          <w:bCs/>
          <w:color w:val="auto"/>
          <w:kern w:val="0"/>
          <w:highlight w:val="none"/>
        </w:rPr>
        <w:t>分）</w:t>
      </w:r>
    </w:p>
    <w:p w14:paraId="0696282A">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分别针对：①</w:t>
      </w:r>
      <w:r>
        <w:rPr>
          <w:rFonts w:hint="eastAsia" w:asciiTheme="minorEastAsia" w:hAnsiTheme="minorEastAsia" w:eastAsiaTheme="minorEastAsia" w:cstheme="minorEastAsia"/>
          <w:color w:val="auto"/>
          <w:highlight w:val="none"/>
          <w:lang w:val="en-US" w:eastAsia="zh-CN"/>
        </w:rPr>
        <w:t>施工</w:t>
      </w:r>
      <w:r>
        <w:rPr>
          <w:rFonts w:hint="eastAsia" w:asciiTheme="minorEastAsia" w:hAnsiTheme="minorEastAsia" w:eastAsiaTheme="minorEastAsia" w:cstheme="minorEastAsia"/>
          <w:color w:val="auto"/>
          <w:highlight w:val="none"/>
        </w:rPr>
        <w:t>；②</w:t>
      </w:r>
      <w:r>
        <w:rPr>
          <w:rFonts w:hint="eastAsia" w:asciiTheme="minorEastAsia" w:hAnsiTheme="minorEastAsia" w:eastAsiaTheme="minorEastAsia" w:cstheme="minorEastAsia"/>
          <w:color w:val="auto"/>
          <w:highlight w:val="none"/>
          <w:lang w:val="en-US" w:eastAsia="zh-CN"/>
        </w:rPr>
        <w:t>材料运输</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③噪音控制</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④供应商</w:t>
      </w:r>
      <w:r>
        <w:rPr>
          <w:rFonts w:hint="eastAsia" w:asciiTheme="minorEastAsia" w:hAnsiTheme="minorEastAsia" w:eastAsiaTheme="minorEastAsia" w:cstheme="minorEastAsia"/>
          <w:color w:val="auto"/>
          <w:highlight w:val="none"/>
        </w:rPr>
        <w:t>认为的本项目其他特点，阐述本工程的重点和难点，按以下标准计分：</w:t>
      </w:r>
    </w:p>
    <w:p w14:paraId="1478F85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一档</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val="en-US" w:eastAsia="zh-CN"/>
        </w:rPr>
        <w:t>2</w:t>
      </w:r>
      <w:r>
        <w:rPr>
          <w:rFonts w:hint="eastAsia" w:asciiTheme="minorEastAsia" w:hAnsiTheme="minorEastAsia" w:eastAsiaTheme="minorEastAsia" w:cstheme="minorEastAsia"/>
          <w:color w:val="auto"/>
          <w:highlight w:val="none"/>
        </w:rPr>
        <w:t>分)：针对本工程的特点，阐述本工程的重点和难点，解决重点和难点问题的方法有针对性且较为合理。</w:t>
      </w:r>
    </w:p>
    <w:p w14:paraId="1404A4A4">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二档</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6</w:t>
      </w:r>
      <w:r>
        <w:rPr>
          <w:rFonts w:hint="eastAsia" w:asciiTheme="minorEastAsia" w:hAnsiTheme="minorEastAsia" w:eastAsiaTheme="minorEastAsia" w:cstheme="minorEastAsia"/>
          <w:color w:val="auto"/>
          <w:highlight w:val="none"/>
        </w:rPr>
        <w:t>分)：针对本工程的特点，阐述本工程的重点和难点，解决重点和难点问题的方法合理。</w:t>
      </w:r>
    </w:p>
    <w:p w14:paraId="5CFF35DB">
      <w:pPr>
        <w:spacing w:line="360" w:lineRule="auto"/>
        <w:ind w:firstLine="420"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三档</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highlight w:val="none"/>
          <w:lang w:eastAsia="zh-CN"/>
        </w:rPr>
        <w:t>1</w:t>
      </w:r>
      <w:r>
        <w:rPr>
          <w:rFonts w:hint="eastAsia" w:asciiTheme="minorEastAsia" w:hAnsiTheme="minorEastAsia" w:eastAsiaTheme="minorEastAsia" w:cstheme="minorEastAsia"/>
          <w:color w:val="auto"/>
          <w:highlight w:val="none"/>
          <w:lang w:val="en-US" w:eastAsia="zh-CN"/>
        </w:rPr>
        <w:t>0</w:t>
      </w:r>
      <w:r>
        <w:rPr>
          <w:rFonts w:hint="eastAsia" w:asciiTheme="minorEastAsia" w:hAnsiTheme="minorEastAsia" w:eastAsiaTheme="minorEastAsia" w:cstheme="minorEastAsia"/>
          <w:color w:val="auto"/>
          <w:highlight w:val="none"/>
        </w:rPr>
        <w:t>分)：针对本工程的特点，阐述本工程的重点和难点，解决重点和难点问题的方法针对性强且科学合理，可行性强。</w:t>
      </w:r>
    </w:p>
    <w:p w14:paraId="48EA7CBF">
      <w:pPr>
        <w:spacing w:line="360" w:lineRule="auto"/>
        <w:ind w:firstLine="422" w:firstLineChars="200"/>
        <w:jc w:val="left"/>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kern w:val="0"/>
          <w:highlight w:val="none"/>
        </w:rPr>
        <w:t>2.2项目管理机构配备分（满分</w:t>
      </w:r>
      <w:r>
        <w:rPr>
          <w:rFonts w:hint="eastAsia" w:asciiTheme="minorEastAsia" w:hAnsiTheme="minorEastAsia" w:eastAsiaTheme="minorEastAsia" w:cstheme="minorEastAsia"/>
          <w:b/>
          <w:bCs/>
          <w:color w:val="000000" w:themeColor="text1"/>
          <w:kern w:val="0"/>
          <w:highlight w:val="none"/>
          <w:lang w:val="en-US" w:eastAsia="zh-CN"/>
          <w14:textFill>
            <w14:solidFill>
              <w14:schemeClr w14:val="tx1"/>
            </w14:solidFill>
          </w14:textFill>
        </w:rPr>
        <w:t>11</w:t>
      </w:r>
      <w:r>
        <w:rPr>
          <w:rFonts w:hint="eastAsia" w:asciiTheme="minorEastAsia" w:hAnsiTheme="minorEastAsia" w:eastAsiaTheme="minorEastAsia" w:cstheme="minorEastAsia"/>
          <w:b/>
          <w:bCs/>
          <w:color w:val="000000" w:themeColor="text1"/>
          <w:kern w:val="0"/>
          <w:highlight w:val="none"/>
          <w14:textFill>
            <w14:solidFill>
              <w14:schemeClr w14:val="tx1"/>
            </w14:solidFill>
          </w14:textFill>
        </w:rPr>
        <w:t>分</w:t>
      </w:r>
      <w:r>
        <w:rPr>
          <w:rFonts w:hint="eastAsia" w:asciiTheme="minorEastAsia" w:hAnsiTheme="minorEastAsia" w:eastAsiaTheme="minorEastAsia" w:cstheme="minorEastAsia"/>
          <w:b/>
          <w:bCs/>
          <w:color w:val="auto"/>
          <w:kern w:val="0"/>
          <w:highlight w:val="none"/>
        </w:rPr>
        <w:t>）</w:t>
      </w:r>
    </w:p>
    <w:p w14:paraId="2F354933">
      <w:pPr>
        <w:spacing w:line="360" w:lineRule="auto"/>
        <w:ind w:firstLine="422" w:firstLineChars="2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
          <w:bCs/>
          <w:color w:val="auto"/>
          <w:kern w:val="0"/>
          <w:highlight w:val="none"/>
        </w:rPr>
        <w:t>（1）项目经理（满分</w:t>
      </w:r>
      <w:r>
        <w:rPr>
          <w:rFonts w:hint="eastAsia" w:asciiTheme="minorEastAsia" w:hAnsiTheme="minorEastAsia" w:eastAsiaTheme="minorEastAsia" w:cstheme="minorEastAsia"/>
          <w:b/>
          <w:bCs/>
          <w:color w:val="auto"/>
          <w:kern w:val="0"/>
          <w:highlight w:val="none"/>
          <w:lang w:val="en-US" w:eastAsia="zh-CN"/>
        </w:rPr>
        <w:t>5</w:t>
      </w:r>
      <w:r>
        <w:rPr>
          <w:rFonts w:hint="eastAsia" w:asciiTheme="minorEastAsia" w:hAnsiTheme="minorEastAsia" w:eastAsiaTheme="minorEastAsia" w:cstheme="minorEastAsia"/>
          <w:b/>
          <w:bCs/>
          <w:color w:val="auto"/>
          <w:kern w:val="0"/>
          <w:highlight w:val="none"/>
        </w:rPr>
        <w:t>分）</w:t>
      </w:r>
      <w:r>
        <w:rPr>
          <w:rFonts w:hint="eastAsia" w:asciiTheme="minorEastAsia" w:hAnsiTheme="minorEastAsia" w:eastAsiaTheme="minorEastAsia" w:cstheme="minorEastAsia"/>
          <w:bCs/>
          <w:color w:val="auto"/>
          <w:kern w:val="0"/>
          <w:highlight w:val="none"/>
        </w:rPr>
        <w:t>：项目经理具有初级工程师职称的得</w:t>
      </w:r>
      <w:r>
        <w:rPr>
          <w:rFonts w:hint="eastAsia" w:asciiTheme="minorEastAsia" w:hAnsiTheme="minorEastAsia" w:eastAsiaTheme="minorEastAsia" w:cstheme="minorEastAsia"/>
          <w:bCs/>
          <w:color w:val="auto"/>
          <w:kern w:val="0"/>
          <w:highlight w:val="none"/>
          <w:lang w:val="en-US" w:eastAsia="zh-CN"/>
        </w:rPr>
        <w:t>2</w:t>
      </w:r>
      <w:r>
        <w:rPr>
          <w:rFonts w:hint="eastAsia" w:asciiTheme="minorEastAsia" w:hAnsiTheme="minorEastAsia" w:eastAsiaTheme="minorEastAsia" w:cstheme="minorEastAsia"/>
          <w:bCs/>
          <w:color w:val="auto"/>
          <w:kern w:val="0"/>
          <w:highlight w:val="none"/>
        </w:rPr>
        <w:t>分，项目经理具有中级工程师职称（或中级工程师以上职称）的得</w:t>
      </w:r>
      <w:r>
        <w:rPr>
          <w:rFonts w:hint="eastAsia" w:asciiTheme="minorEastAsia" w:hAnsiTheme="minorEastAsia" w:eastAsiaTheme="minorEastAsia" w:cstheme="minorEastAsia"/>
          <w:bCs/>
          <w:color w:val="000000" w:themeColor="text1"/>
          <w:kern w:val="0"/>
          <w:highlight w:val="none"/>
          <w:lang w:val="en-US" w:eastAsia="zh-CN"/>
          <w14:textFill>
            <w14:solidFill>
              <w14:schemeClr w14:val="tx1"/>
            </w14:solidFill>
          </w14:textFill>
        </w:rPr>
        <w:t>5</w:t>
      </w:r>
      <w:r>
        <w:rPr>
          <w:rFonts w:hint="eastAsia" w:asciiTheme="minorEastAsia" w:hAnsiTheme="minorEastAsia" w:eastAsiaTheme="minorEastAsia" w:cstheme="minorEastAsia"/>
          <w:bCs/>
          <w:color w:val="auto"/>
          <w:kern w:val="0"/>
          <w:highlight w:val="none"/>
        </w:rPr>
        <w:t>分。</w:t>
      </w:r>
    </w:p>
    <w:p w14:paraId="5AF8D871">
      <w:pPr>
        <w:spacing w:line="360" w:lineRule="auto"/>
        <w:ind w:firstLine="422" w:firstLineChars="200"/>
        <w:jc w:val="left"/>
        <w:rPr>
          <w:rFonts w:hint="eastAsia" w:asciiTheme="minorEastAsia" w:hAnsiTheme="minorEastAsia" w:eastAsiaTheme="minorEastAsia" w:cstheme="minorEastAsia"/>
          <w:b/>
          <w:bCs/>
          <w:color w:val="auto"/>
          <w:kern w:val="0"/>
          <w:highlight w:val="none"/>
        </w:rPr>
      </w:pPr>
      <w:r>
        <w:rPr>
          <w:rFonts w:hint="eastAsia" w:asciiTheme="minorEastAsia" w:hAnsiTheme="minorEastAsia" w:eastAsiaTheme="minorEastAsia" w:cstheme="minorEastAsia"/>
          <w:b/>
          <w:bCs/>
          <w:color w:val="auto"/>
          <w:kern w:val="0"/>
          <w:highlight w:val="none"/>
        </w:rPr>
        <w:t>（2）其他主要管理人员（满分</w:t>
      </w:r>
      <w:r>
        <w:rPr>
          <w:rFonts w:hint="eastAsia" w:asciiTheme="minorEastAsia" w:hAnsiTheme="minorEastAsia" w:eastAsiaTheme="minorEastAsia" w:cstheme="minorEastAsia"/>
          <w:b/>
          <w:bCs/>
          <w:color w:val="auto"/>
          <w:kern w:val="0"/>
          <w:highlight w:val="none"/>
          <w:lang w:val="en-US" w:eastAsia="zh-CN"/>
        </w:rPr>
        <w:t>6</w:t>
      </w:r>
      <w:r>
        <w:rPr>
          <w:rFonts w:hint="eastAsia" w:asciiTheme="minorEastAsia" w:hAnsiTheme="minorEastAsia" w:eastAsiaTheme="minorEastAsia" w:cstheme="minorEastAsia"/>
          <w:b/>
          <w:bCs/>
          <w:color w:val="auto"/>
          <w:kern w:val="0"/>
          <w:highlight w:val="none"/>
        </w:rPr>
        <w:t>分）</w:t>
      </w:r>
    </w:p>
    <w:p w14:paraId="5467B7CB">
      <w:pPr>
        <w:spacing w:line="360" w:lineRule="auto"/>
        <w:ind w:firstLine="630" w:firstLineChars="300"/>
        <w:jc w:val="left"/>
        <w:rPr>
          <w:rFonts w:hint="eastAsia" w:asciiTheme="minorEastAsia" w:hAnsiTheme="minorEastAsia" w:eastAsiaTheme="minorEastAsia" w:cstheme="minorEastAsia"/>
          <w:bCs/>
          <w:color w:val="auto"/>
          <w:kern w:val="0"/>
          <w:highlight w:val="none"/>
        </w:rPr>
      </w:pPr>
      <w:r>
        <w:rPr>
          <w:rFonts w:hint="eastAsia" w:asciiTheme="minorEastAsia" w:hAnsiTheme="minorEastAsia" w:eastAsiaTheme="minorEastAsia" w:cstheme="minorEastAsia"/>
          <w:bCs/>
          <w:color w:val="auto"/>
          <w:kern w:val="0"/>
          <w:highlight w:val="none"/>
        </w:rPr>
        <w:t>①拟投入本工程的技术负责人有中级工程师以上（含中级工程师）职称的得2分。</w:t>
      </w:r>
    </w:p>
    <w:p w14:paraId="6D65D03A">
      <w:pPr>
        <w:pStyle w:val="26"/>
        <w:spacing w:line="360" w:lineRule="auto"/>
        <w:ind w:firstLine="630" w:firstLineChars="300"/>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Cs/>
          <w:color w:val="auto"/>
          <w:sz w:val="21"/>
          <w:szCs w:val="21"/>
          <w:highlight w:val="none"/>
        </w:rPr>
        <w:t>②拟投入本工程的施工员、质量员、安全员、材料员</w:t>
      </w:r>
      <w:r>
        <w:rPr>
          <w:rFonts w:hint="eastAsia" w:hAnsi="宋体"/>
          <w:color w:val="auto"/>
          <w:sz w:val="21"/>
          <w:szCs w:val="21"/>
          <w:highlight w:val="none"/>
        </w:rPr>
        <w:t>配备齐全合理且全部持证上岗经年检合格的得</w:t>
      </w:r>
      <w:r>
        <w:rPr>
          <w:rFonts w:hint="eastAsia" w:hAnsi="宋体"/>
          <w:color w:val="FF0000"/>
          <w:sz w:val="21"/>
          <w:szCs w:val="21"/>
          <w:highlight w:val="none"/>
          <w:lang w:val="en-US" w:eastAsia="zh-CN"/>
        </w:rPr>
        <w:t>4</w:t>
      </w:r>
      <w:r>
        <w:rPr>
          <w:rFonts w:hint="eastAsia" w:hAnsi="宋体"/>
          <w:color w:val="auto"/>
          <w:sz w:val="21"/>
          <w:szCs w:val="21"/>
          <w:highlight w:val="none"/>
        </w:rPr>
        <w:t>分，每缺1员扣</w:t>
      </w:r>
      <w:r>
        <w:rPr>
          <w:rFonts w:hint="eastAsia" w:hAnsi="宋体"/>
          <w:color w:val="FF0000"/>
          <w:sz w:val="21"/>
          <w:szCs w:val="21"/>
          <w:highlight w:val="none"/>
          <w:lang w:val="en-US" w:eastAsia="zh-CN"/>
        </w:rPr>
        <w:t>1</w:t>
      </w:r>
      <w:r>
        <w:rPr>
          <w:rFonts w:hint="eastAsia" w:hAnsi="宋体"/>
          <w:color w:val="auto"/>
          <w:sz w:val="21"/>
          <w:szCs w:val="21"/>
          <w:highlight w:val="none"/>
        </w:rPr>
        <w:t>分（无证或无效证件的算缺员），扣完为止</w:t>
      </w:r>
      <w:r>
        <w:rPr>
          <w:rFonts w:hint="eastAsia" w:asciiTheme="minorEastAsia" w:hAnsiTheme="minorEastAsia" w:eastAsiaTheme="minorEastAsia" w:cstheme="minorEastAsia"/>
          <w:bCs/>
          <w:color w:val="auto"/>
          <w:sz w:val="21"/>
          <w:szCs w:val="21"/>
          <w:highlight w:val="none"/>
        </w:rPr>
        <w:t>。</w:t>
      </w:r>
    </w:p>
    <w:p w14:paraId="2F99BBF3">
      <w:pPr>
        <w:spacing w:line="360" w:lineRule="auto"/>
        <w:ind w:firstLine="422" w:firstLineChars="200"/>
        <w:jc w:val="left"/>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3、企业业绩分</w:t>
      </w:r>
      <w:r>
        <w:rPr>
          <w:rFonts w:hint="eastAsia" w:ascii="宋体" w:cs="宋体"/>
          <w:b/>
          <w:color w:val="auto"/>
          <w:kern w:val="0"/>
          <w:highlight w:val="none"/>
        </w:rPr>
        <w:t>…………………………………………………………………………………</w:t>
      </w:r>
      <w:r>
        <w:rPr>
          <w:rFonts w:hint="eastAsia" w:ascii="宋体" w:cs="宋体"/>
          <w:b/>
          <w:color w:val="auto"/>
          <w:kern w:val="0"/>
          <w:highlight w:val="none"/>
          <w:lang w:val="en-US" w:eastAsia="zh-CN"/>
        </w:rPr>
        <w:t>4</w:t>
      </w:r>
      <w:r>
        <w:rPr>
          <w:rFonts w:hint="eastAsia" w:ascii="宋体" w:cs="宋体"/>
          <w:b/>
          <w:color w:val="auto"/>
          <w:kern w:val="0"/>
          <w:highlight w:val="none"/>
        </w:rPr>
        <w:t>分</w:t>
      </w:r>
    </w:p>
    <w:p w14:paraId="1A0C7018">
      <w:pPr>
        <w:pStyle w:val="26"/>
        <w:spacing w:line="360" w:lineRule="auto"/>
        <w:ind w:firstLine="420" w:firstLineChars="200"/>
        <w:rPr>
          <w:rFonts w:hint="eastAsia"/>
          <w:highlight w:val="none"/>
        </w:rPr>
      </w:pPr>
      <w:r>
        <w:rPr>
          <w:rFonts w:hint="eastAsia" w:hAnsi="宋体" w:cs="Times New Roman"/>
          <w:bCs/>
          <w:color w:val="auto"/>
          <w:kern w:val="2"/>
          <w:sz w:val="21"/>
          <w:szCs w:val="21"/>
          <w:highlight w:val="none"/>
        </w:rPr>
        <w:t>企业2022年以来在建或完成过类似工程业绩</w:t>
      </w:r>
      <w:r>
        <w:rPr>
          <w:rFonts w:hint="eastAsia"/>
          <w:sz w:val="21"/>
          <w:szCs w:val="21"/>
          <w:highlight w:val="none"/>
          <w:lang w:eastAsia="zh-CN"/>
        </w:rPr>
        <w:t>（</w:t>
      </w:r>
      <w:r>
        <w:rPr>
          <w:rFonts w:hint="eastAsia"/>
          <w:sz w:val="21"/>
          <w:szCs w:val="21"/>
          <w:highlight w:val="none"/>
          <w:lang w:val="en-US" w:eastAsia="zh-CN"/>
        </w:rPr>
        <w:t>类似项目指房屋建筑类业绩</w:t>
      </w:r>
      <w:r>
        <w:rPr>
          <w:rFonts w:hint="eastAsia"/>
          <w:sz w:val="21"/>
          <w:szCs w:val="21"/>
          <w:highlight w:val="none"/>
          <w:lang w:eastAsia="zh-CN"/>
        </w:rPr>
        <w:t>）</w:t>
      </w:r>
      <w:r>
        <w:rPr>
          <w:rFonts w:hint="eastAsia" w:hAnsi="宋体" w:cs="Times New Roman"/>
          <w:bCs/>
          <w:color w:val="auto"/>
          <w:kern w:val="2"/>
          <w:sz w:val="21"/>
          <w:szCs w:val="21"/>
          <w:highlight w:val="none"/>
        </w:rPr>
        <w:t>，</w:t>
      </w:r>
      <w:r>
        <w:rPr>
          <w:rFonts w:hint="eastAsia" w:hAnsi="宋体" w:cs="Times New Roman"/>
          <w:bCs/>
          <w:color w:val="000000" w:themeColor="text1"/>
          <w:kern w:val="2"/>
          <w:sz w:val="21"/>
          <w:szCs w:val="21"/>
          <w:highlight w:val="none"/>
          <w14:textFill>
            <w14:solidFill>
              <w14:schemeClr w14:val="tx1"/>
            </w14:solidFill>
          </w14:textFill>
        </w:rPr>
        <w:t>每个得</w:t>
      </w:r>
      <w:r>
        <w:rPr>
          <w:rFonts w:hint="eastAsia" w:hAnsi="宋体" w:cs="Times New Roman"/>
          <w:bCs/>
          <w:color w:val="000000" w:themeColor="text1"/>
          <w:kern w:val="2"/>
          <w:sz w:val="21"/>
          <w:szCs w:val="21"/>
          <w:highlight w:val="none"/>
          <w:lang w:val="en-US" w:eastAsia="zh-CN"/>
          <w14:textFill>
            <w14:solidFill>
              <w14:schemeClr w14:val="tx1"/>
            </w14:solidFill>
          </w14:textFill>
        </w:rPr>
        <w:t>1</w:t>
      </w:r>
      <w:r>
        <w:rPr>
          <w:rFonts w:hint="eastAsia" w:hAnsi="宋体" w:cs="Times New Roman"/>
          <w:bCs/>
          <w:color w:val="000000" w:themeColor="text1"/>
          <w:kern w:val="2"/>
          <w:sz w:val="21"/>
          <w:szCs w:val="21"/>
          <w:highlight w:val="none"/>
          <w14:textFill>
            <w14:solidFill>
              <w14:schemeClr w14:val="tx1"/>
            </w14:solidFill>
          </w14:textFill>
        </w:rPr>
        <w:t>分，满分</w:t>
      </w:r>
      <w:r>
        <w:rPr>
          <w:rFonts w:hint="eastAsia" w:hAnsi="宋体" w:cs="Times New Roman"/>
          <w:bCs/>
          <w:color w:val="000000" w:themeColor="text1"/>
          <w:kern w:val="2"/>
          <w:sz w:val="21"/>
          <w:szCs w:val="21"/>
          <w:highlight w:val="none"/>
          <w:lang w:val="en-US" w:eastAsia="zh-CN"/>
          <w14:textFill>
            <w14:solidFill>
              <w14:schemeClr w14:val="tx1"/>
            </w14:solidFill>
          </w14:textFill>
        </w:rPr>
        <w:t>4</w:t>
      </w:r>
      <w:r>
        <w:rPr>
          <w:rFonts w:hint="eastAsia" w:hAnsi="宋体" w:cs="Times New Roman"/>
          <w:bCs/>
          <w:color w:val="000000" w:themeColor="text1"/>
          <w:kern w:val="2"/>
          <w:sz w:val="21"/>
          <w:szCs w:val="21"/>
          <w:highlight w:val="none"/>
          <w14:textFill>
            <w14:solidFill>
              <w14:schemeClr w14:val="tx1"/>
            </w14:solidFill>
          </w14:textFill>
        </w:rPr>
        <w:t>分</w:t>
      </w:r>
      <w:r>
        <w:rPr>
          <w:rFonts w:hint="eastAsia" w:hAnsi="宋体" w:cs="Times New Roman"/>
          <w:bCs/>
          <w:color w:val="auto"/>
          <w:kern w:val="2"/>
          <w:sz w:val="21"/>
          <w:szCs w:val="21"/>
          <w:highlight w:val="none"/>
        </w:rPr>
        <w:t>。【以中标通知书（如有）、工程合同协议书有关页面、工程竣工验收证明材料（在建工程不需提供）为准】</w:t>
      </w:r>
      <w:r>
        <w:rPr>
          <w:rFonts w:hint="eastAsia" w:asciiTheme="minorEastAsia" w:hAnsiTheme="minorEastAsia" w:eastAsiaTheme="minorEastAsia" w:cstheme="minorEastAsia"/>
          <w:bCs/>
          <w:color w:val="auto"/>
          <w:sz w:val="21"/>
          <w:szCs w:val="21"/>
          <w:highlight w:val="none"/>
        </w:rPr>
        <w:t>。同一项目，不同标段时按最高金额的标段计分，不重复计分。</w:t>
      </w:r>
    </w:p>
    <w:p w14:paraId="57520F51">
      <w:pPr>
        <w:pStyle w:val="22"/>
        <w:spacing w:line="360" w:lineRule="auto"/>
        <w:ind w:firstLine="422" w:firstLineChars="200"/>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总得分=1+2+3</w:t>
      </w:r>
    </w:p>
    <w:p w14:paraId="1D7A7516">
      <w:pPr>
        <w:spacing w:line="360" w:lineRule="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highlight w:val="none"/>
        </w:rPr>
        <w:t>8.终止竞争性磋商采购活动</w:t>
      </w:r>
    </w:p>
    <w:p w14:paraId="7ED8147B">
      <w:pPr>
        <w:pStyle w:val="22"/>
        <w:spacing w:line="360" w:lineRule="auto"/>
        <w:ind w:firstLine="42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28BC8533">
      <w:pPr>
        <w:rPr>
          <w:rFonts w:hint="eastAsia" w:ascii="宋体" w:hAnsi="宋体"/>
          <w:color w:val="auto"/>
          <w:highlight w:val="none"/>
        </w:rPr>
      </w:pPr>
    </w:p>
    <w:p w14:paraId="2505A2B6">
      <w:pPr>
        <w:pStyle w:val="3"/>
        <w:jc w:val="center"/>
        <w:rPr>
          <w:rFonts w:hint="eastAsia" w:ascii="宋体" w:hAnsi="宋体"/>
          <w:b w:val="0"/>
          <w:color w:val="auto"/>
          <w:highlight w:val="none"/>
        </w:rPr>
      </w:pPr>
      <w:r>
        <w:rPr>
          <w:rFonts w:hint="eastAsia" w:ascii="宋体" w:hAnsi="宋体"/>
          <w:b w:val="0"/>
          <w:color w:val="auto"/>
          <w:highlight w:val="none"/>
        </w:rPr>
        <w:t>第二节 评标报告</w:t>
      </w:r>
      <w:bookmarkEnd w:id="23"/>
      <w:bookmarkEnd w:id="24"/>
    </w:p>
    <w:p w14:paraId="16EAB060">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1.成交标准</w:t>
      </w:r>
    </w:p>
    <w:p w14:paraId="5BFA0950">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highlight w:val="none"/>
        </w:rPr>
        <w:t>由磋商小组根据综合评分情况，按照评审得分由高到低顺序推荐3名以上成交候选供应商</w:t>
      </w:r>
      <w:r>
        <w:rPr>
          <w:rFonts w:hint="eastAsia" w:asciiTheme="minorEastAsia" w:hAnsiTheme="minorEastAsia" w:eastAsiaTheme="minorEastAsia" w:cstheme="minorEastAsia"/>
          <w:color w:val="auto"/>
          <w:highlight w:val="none"/>
        </w:rPr>
        <w:t>,并在线编写电子评审报告</w:t>
      </w:r>
      <w:r>
        <w:rPr>
          <w:rFonts w:hint="eastAsia" w:asciiTheme="minorEastAsia" w:hAnsiTheme="minorEastAsia" w:eastAsiaTheme="minorEastAsia" w:cstheme="minorEastAsia"/>
          <w:bCs/>
          <w:color w:val="auto"/>
          <w:highlight w:val="none"/>
        </w:rPr>
        <w:t>。符合本章第一节第5.3条情形的，可以推荐2家成交候选供应商。评审得分相同的，按照最后报价（不计算价格折扣）由低到高的顺序推荐。评审得分且最后报价（不计算价格折扣）相同的，</w:t>
      </w:r>
      <w:r>
        <w:rPr>
          <w:rFonts w:hint="eastAsia" w:cs="宋体"/>
          <w:color w:val="auto"/>
          <w:highlight w:val="none"/>
        </w:rPr>
        <w:t>以企业信誉实力分高的优先；企业信誉实力分也相等的，以企业用于该项工程投标的资质高的优先；企业用于该项工程投标的资质也相等的，以技术标得分高的优先；技术标得分也相等的</w:t>
      </w:r>
      <w:r>
        <w:rPr>
          <w:rFonts w:hint="eastAsia" w:asciiTheme="minorEastAsia" w:hAnsiTheme="minorEastAsia" w:eastAsiaTheme="minorEastAsia" w:cstheme="minorEastAsia"/>
          <w:bCs/>
          <w:color w:val="auto"/>
          <w:highlight w:val="none"/>
        </w:rPr>
        <w:t>，由磋商小组随机抽取推荐。</w:t>
      </w:r>
    </w:p>
    <w:p w14:paraId="247E9E8C">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2.评标争议事项处理</w:t>
      </w:r>
    </w:p>
    <w:p w14:paraId="287AE35A">
      <w:pPr>
        <w:pStyle w:val="172"/>
        <w:spacing w:before="0"/>
        <w:ind w:firstLine="420"/>
        <w:rPr>
          <w:rFonts w:hint="eastAsia" w:asciiTheme="minorEastAsia" w:hAnsiTheme="minorEastAsia" w:eastAsiaTheme="minorEastAsia" w:cstheme="minorEastAsia"/>
          <w:color w:val="auto"/>
          <w:kern w:val="2"/>
          <w:sz w:val="21"/>
          <w:szCs w:val="21"/>
          <w:highlight w:val="none"/>
        </w:rPr>
      </w:pPr>
      <w:r>
        <w:rPr>
          <w:rFonts w:hint="eastAsia" w:asciiTheme="minorEastAsia" w:hAnsiTheme="minorEastAsia" w:eastAsiaTheme="minorEastAsia" w:cstheme="minorEastAsia"/>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C4B2086">
      <w:pPr>
        <w:pStyle w:val="3"/>
        <w:jc w:val="center"/>
        <w:rPr>
          <w:rFonts w:hint="eastAsia" w:ascii="宋体" w:hAnsi="宋体"/>
          <w:b w:val="0"/>
          <w:color w:val="auto"/>
          <w:highlight w:val="none"/>
        </w:rPr>
      </w:pPr>
      <w:bookmarkStart w:id="26" w:name="_Toc80205936"/>
      <w:bookmarkStart w:id="27" w:name="_Toc80886940"/>
      <w:bookmarkStart w:id="28" w:name="_Toc7829"/>
      <w:r>
        <w:rPr>
          <w:rFonts w:hint="eastAsia" w:ascii="宋体" w:hAnsi="宋体"/>
          <w:b w:val="0"/>
          <w:color w:val="auto"/>
          <w:highlight w:val="none"/>
        </w:rPr>
        <w:t>第三节 评审过程的保密与录像</w:t>
      </w:r>
      <w:bookmarkEnd w:id="26"/>
      <w:bookmarkEnd w:id="27"/>
      <w:bookmarkEnd w:id="28"/>
    </w:p>
    <w:p w14:paraId="7062FFEA">
      <w:p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1.保密。</w:t>
      </w:r>
    </w:p>
    <w:p w14:paraId="21F0893A">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活动在严格保密的情况下进行。评审过程中凡是与采购响应文件评审和比较、成交供应商推荐等评审有关的情况，以及涉及国家秘密和商业秘密等信息，评审委员会成员、采购人和采购机构工作人员、相关监督人员等与评审有关的人员应当予以保密。</w:t>
      </w:r>
    </w:p>
    <w:p w14:paraId="2B704108">
      <w:pPr>
        <w:widowControl/>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2.录音录像。</w:t>
      </w:r>
    </w:p>
    <w:p w14:paraId="521E3A8C">
      <w:pPr>
        <w:pStyle w:val="22"/>
        <w:spacing w:line="360" w:lineRule="auto"/>
        <w:ind w:firstLine="21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采购代理机构对评审工作现场及操作屏幕进行全过程录音录像，录音录像资料作为采购项目文件随其他文件一并存档。</w:t>
      </w:r>
    </w:p>
    <w:p w14:paraId="497C1758">
      <w:pPr>
        <w:pStyle w:val="22"/>
        <w:spacing w:line="360" w:lineRule="auto"/>
        <w:ind w:firstLine="482"/>
        <w:rPr>
          <w:color w:val="auto"/>
          <w:highlight w:val="none"/>
        </w:rPr>
      </w:pPr>
    </w:p>
    <w:p w14:paraId="2C3BE43A">
      <w:pPr>
        <w:pStyle w:val="22"/>
        <w:spacing w:line="360" w:lineRule="auto"/>
        <w:ind w:firstLine="482"/>
        <w:rPr>
          <w:color w:val="auto"/>
          <w:highlight w:val="none"/>
        </w:rPr>
      </w:pPr>
    </w:p>
    <w:p w14:paraId="0D76EDBC">
      <w:pPr>
        <w:pStyle w:val="22"/>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footerReference r:id="rId4" w:type="default"/>
          <w:pgSz w:w="11910" w:h="16840"/>
          <w:pgMar w:top="1340" w:right="1500" w:bottom="280" w:left="1680" w:header="720" w:footer="720" w:gutter="0"/>
          <w:pgNumType w:start="1"/>
          <w:cols w:space="720" w:num="1"/>
        </w:sectPr>
      </w:pPr>
      <w:bookmarkStart w:id="29" w:name="_Toc44229897"/>
    </w:p>
    <w:p w14:paraId="3259ACDA">
      <w:pPr>
        <w:pStyle w:val="3"/>
        <w:numPr>
          <w:ilvl w:val="0"/>
          <w:numId w:val="8"/>
        </w:numPr>
        <w:jc w:val="center"/>
        <w:rPr>
          <w:rFonts w:hint="eastAsia" w:asciiTheme="minorEastAsia" w:hAnsiTheme="minorEastAsia" w:eastAsiaTheme="minorEastAsia" w:cstheme="minorEastAsia"/>
          <w:color w:val="auto"/>
          <w:kern w:val="0"/>
          <w:sz w:val="44"/>
          <w:szCs w:val="44"/>
          <w:highlight w:val="none"/>
        </w:rPr>
      </w:pPr>
      <w:r>
        <w:rPr>
          <w:rFonts w:hint="eastAsia" w:asciiTheme="minorEastAsia" w:hAnsiTheme="minorEastAsia" w:eastAsiaTheme="minorEastAsia" w:cstheme="minorEastAsia"/>
          <w:color w:val="auto"/>
          <w:kern w:val="0"/>
          <w:sz w:val="44"/>
          <w:szCs w:val="44"/>
          <w:highlight w:val="none"/>
        </w:rPr>
        <w:t xml:space="preserve"> </w:t>
      </w:r>
      <w:bookmarkStart w:id="30" w:name="_Toc1580"/>
      <w:r>
        <w:rPr>
          <w:rFonts w:hint="eastAsia" w:asciiTheme="minorEastAsia" w:hAnsiTheme="minorEastAsia" w:eastAsiaTheme="minorEastAsia" w:cstheme="minorEastAsia"/>
          <w:color w:val="auto"/>
          <w:kern w:val="0"/>
          <w:sz w:val="44"/>
          <w:szCs w:val="44"/>
          <w:highlight w:val="none"/>
        </w:rPr>
        <w:t>工程量清单、最高限价及图纸</w:t>
      </w:r>
      <w:bookmarkEnd w:id="30"/>
    </w:p>
    <w:p w14:paraId="44FDD16F">
      <w:pPr>
        <w:pStyle w:val="3"/>
        <w:spacing w:before="0" w:after="0" w:line="440" w:lineRule="exact"/>
        <w:ind w:firstLine="422" w:firstLineChars="200"/>
        <w:rPr>
          <w:rFonts w:ascii="Times New Roman" w:hAnsi="Times New Roman"/>
          <w:color w:val="auto"/>
          <w:kern w:val="44"/>
          <w:sz w:val="21"/>
          <w:szCs w:val="21"/>
          <w:highlight w:val="none"/>
        </w:rPr>
      </w:pPr>
      <w:bookmarkStart w:id="31" w:name="_Toc1392571603"/>
      <w:bookmarkStart w:id="32" w:name="_Toc78449869"/>
      <w:bookmarkStart w:id="33" w:name="_Toc407135284"/>
      <w:bookmarkStart w:id="34" w:name="_Toc1386396751"/>
      <w:bookmarkStart w:id="35" w:name="_Toc128638342"/>
      <w:r>
        <w:rPr>
          <w:rFonts w:ascii="Times New Roman" w:hAnsi="Times New Roman"/>
          <w:color w:val="auto"/>
          <w:sz w:val="21"/>
          <w:szCs w:val="21"/>
          <w:highlight w:val="none"/>
        </w:rPr>
        <w:t>1.工程量清单编制说明</w:t>
      </w:r>
      <w:bookmarkEnd w:id="31"/>
      <w:bookmarkEnd w:id="32"/>
      <w:bookmarkEnd w:id="33"/>
      <w:bookmarkEnd w:id="34"/>
      <w:bookmarkEnd w:id="35"/>
    </w:p>
    <w:p w14:paraId="4A1174AB">
      <w:pPr>
        <w:spacing w:line="440" w:lineRule="exact"/>
        <w:ind w:firstLine="420" w:firstLineChars="200"/>
        <w:rPr>
          <w:color w:val="auto"/>
          <w:highlight w:val="none"/>
        </w:rPr>
      </w:pPr>
      <w:r>
        <w:rPr>
          <w:color w:val="auto"/>
          <w:highlight w:val="none"/>
        </w:rPr>
        <w:t>1.1本工程量清单依据</w:t>
      </w:r>
      <w:r>
        <w:rPr>
          <w:rFonts w:hint="eastAsia"/>
          <w:color w:val="auto"/>
          <w:highlight w:val="none"/>
        </w:rPr>
        <w:t>1.《建设工程工程量清单计价规范》（GB 50500-2013）、《房屋建筑与装饰工程工程量计算规范（GB 50854-2013）》；2.《建设工程工程量计算规范广西壮族自治区实施细则（GB 50854～50862-2013）》、《建设工程工程量清单计价规范广西壮族自治区实施细则（GB 50500-2013）》；3.2022版《广西壮族自治区市政工程消耗量定额》及其配套费用定额；4.2024版《广西壮族自治区建筑装饰装修工程消耗量定额》及其配套费用定额；5.《自治区住</w:t>
      </w:r>
      <w:r>
        <w:rPr>
          <w:rFonts w:hint="eastAsia"/>
          <w:color w:val="auto"/>
          <w:highlight w:val="none"/>
          <w:lang w:eastAsia="zh-CN"/>
        </w:rPr>
        <w:t>房和</w:t>
      </w:r>
      <w:r>
        <w:rPr>
          <w:rFonts w:hint="eastAsia"/>
          <w:color w:val="auto"/>
          <w:highlight w:val="none"/>
        </w:rPr>
        <w:t>城乡建设厅关于调整建设工程定额人工费及有关费率的通知》（桂建标〔2023〕7号）；6.《自治区住房城乡建设厅关于调整建设工程计价增值税税率的通知》（桂建标〔2019〕12号）；7.《自治区住房城乡建设厅关于印发广西壮族自治区房屋建筑和市政基础设施工程安全生产责任保险计价规定的通知》（桂建发〔2023〕6 号）的规定；8.施工现场情况、工程特点及常规施工组织设计方案；9.其他现行相关文件、法律法规、标准图集等</w:t>
      </w:r>
      <w:r>
        <w:rPr>
          <w:rFonts w:hint="eastAsia"/>
          <w:color w:val="auto"/>
          <w:highlight w:val="none"/>
          <w:lang w:eastAsia="zh-CN"/>
        </w:rPr>
        <w:t>，</w:t>
      </w:r>
      <w:r>
        <w:rPr>
          <w:rFonts w:hint="eastAsia"/>
          <w:color w:val="auto"/>
          <w:highlight w:val="none"/>
        </w:rPr>
        <w:tab/>
      </w:r>
      <w:r>
        <w:rPr>
          <w:rFonts w:hint="eastAsia"/>
          <w:color w:val="auto"/>
          <w:highlight w:val="none"/>
        </w:rPr>
        <w:t>材料价格参考《南宁建设工程造价信息》</w:t>
      </w:r>
      <w:r>
        <w:rPr>
          <w:rFonts w:hint="eastAsia"/>
          <w:color w:val="auto"/>
          <w:highlight w:val="none"/>
          <w:lang w:eastAsia="zh-CN"/>
        </w:rPr>
        <w:t>2026年</w:t>
      </w:r>
      <w:r>
        <w:rPr>
          <w:rFonts w:hint="eastAsia"/>
          <w:color w:val="auto"/>
          <w:highlight w:val="none"/>
        </w:rPr>
        <w:t>第6期上半月刊，信息价缺项部分按市场询价。</w:t>
      </w:r>
      <w:r>
        <w:rPr>
          <w:rFonts w:hint="eastAsia"/>
          <w:color w:val="auto"/>
          <w:highlight w:val="none"/>
          <w:lang w:val="en-US" w:eastAsia="zh-CN"/>
        </w:rPr>
        <w:t>以及</w:t>
      </w:r>
      <w:r>
        <w:rPr>
          <w:color w:val="auto"/>
          <w:kern w:val="0"/>
          <w:highlight w:val="none"/>
        </w:rPr>
        <w:t>磋商文件</w:t>
      </w:r>
      <w:r>
        <w:rPr>
          <w:color w:val="auto"/>
          <w:highlight w:val="none"/>
        </w:rPr>
        <w:t>、施工图等编制。计算规范中没有的清单项目，应在本章第1.4款约定。</w:t>
      </w:r>
    </w:p>
    <w:p w14:paraId="3B87650C">
      <w:pPr>
        <w:spacing w:line="440" w:lineRule="exact"/>
        <w:ind w:firstLine="420" w:firstLineChars="200"/>
        <w:rPr>
          <w:color w:val="auto"/>
          <w:highlight w:val="none"/>
        </w:rPr>
      </w:pPr>
      <w:r>
        <w:rPr>
          <w:color w:val="auto"/>
          <w:highlight w:val="none"/>
        </w:rPr>
        <w:t>1.2 工程量清单应与供应商须知、合同协议条款、合同的通用条款、合同专用条款、技术规范及图纸等文件一起结合使用。</w:t>
      </w:r>
    </w:p>
    <w:p w14:paraId="55B4CF67">
      <w:pPr>
        <w:spacing w:line="440" w:lineRule="exact"/>
        <w:ind w:firstLine="420" w:firstLineChars="200"/>
        <w:rPr>
          <w:color w:val="auto"/>
          <w:highlight w:val="none"/>
        </w:rPr>
      </w:pPr>
      <w:r>
        <w:rPr>
          <w:color w:val="auto"/>
          <w:highlight w:val="none"/>
        </w:rPr>
        <w:t>1.3 工程量清单是磋商文件的组成部分，是工程量清单计价的基础，作为编制最高限价、竞争性磋商报价、计算或调整工程量、索赔等的依据之一。</w:t>
      </w:r>
    </w:p>
    <w:p w14:paraId="7148C6F7">
      <w:pPr>
        <w:spacing w:line="440" w:lineRule="exact"/>
        <w:ind w:firstLine="420" w:firstLineChars="200"/>
        <w:rPr>
          <w:color w:val="auto"/>
          <w:highlight w:val="none"/>
        </w:rPr>
      </w:pPr>
      <w:r>
        <w:rPr>
          <w:color w:val="auto"/>
          <w:highlight w:val="none"/>
        </w:rPr>
        <w:t>1.4 补充清单项目的特征、计量单位、工程量计算规则及工作内容说明如下：无。</w:t>
      </w:r>
    </w:p>
    <w:p w14:paraId="2C8DC313">
      <w:pPr>
        <w:pStyle w:val="26"/>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1.5 《允许调整主要材料和工程设备一览表》（表-22，表格编号为计价规范相应表格编号，下同）作为项目实施过程中材料和设备价格风险调整依据。</w:t>
      </w:r>
    </w:p>
    <w:p w14:paraId="711E82D2">
      <w:pPr>
        <w:pStyle w:val="26"/>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1.6 本工程暂列金额</w:t>
      </w:r>
      <w:r>
        <w:rPr>
          <w:rFonts w:hint="eastAsia" w:ascii="Times New Roman" w:hAnsi="Times New Roman"/>
          <w:color w:val="auto"/>
          <w:sz w:val="21"/>
          <w:highlight w:val="none"/>
        </w:rPr>
        <w:t>：</w:t>
      </w:r>
      <w:r>
        <w:rPr>
          <w:rFonts w:ascii="Times New Roman" w:hAnsi="Times New Roman"/>
          <w:color w:val="auto"/>
          <w:sz w:val="21"/>
          <w:highlight w:val="none"/>
        </w:rPr>
        <w:t>（约按合同造价</w:t>
      </w:r>
      <w:r>
        <w:rPr>
          <w:rFonts w:ascii="Times New Roman" w:hAnsi="Times New Roman"/>
          <w:color w:val="auto"/>
          <w:sz w:val="21"/>
          <w:highlight w:val="none"/>
          <w:u w:val="single"/>
        </w:rPr>
        <w:t xml:space="preserve"> /  </w:t>
      </w:r>
      <w:r>
        <w:rPr>
          <w:rFonts w:ascii="Times New Roman" w:hAnsi="Times New Roman"/>
          <w:color w:val="auto"/>
          <w:sz w:val="21"/>
          <w:highlight w:val="none"/>
        </w:rPr>
        <w:t>%计算），共</w:t>
      </w:r>
      <w:r>
        <w:rPr>
          <w:rFonts w:ascii="Times New Roman" w:hAnsi="Times New Roman"/>
          <w:color w:val="auto"/>
          <w:sz w:val="21"/>
          <w:highlight w:val="none"/>
          <w:u w:val="single"/>
        </w:rPr>
        <w:t xml:space="preserve">     </w:t>
      </w:r>
      <w:r>
        <w:rPr>
          <w:rFonts w:ascii="Times New Roman" w:hAnsi="Times New Roman"/>
          <w:color w:val="auto"/>
          <w:sz w:val="21"/>
          <w:highlight w:val="none"/>
        </w:rPr>
        <w:t>元（人民币），作为合同签订时尚未确定或者不可预见但施工中可能发生的费用。</w:t>
      </w:r>
    </w:p>
    <w:p w14:paraId="03E1E095">
      <w:pPr>
        <w:pStyle w:val="26"/>
        <w:spacing w:line="440" w:lineRule="exact"/>
        <w:ind w:firstLine="420" w:firstLineChars="200"/>
        <w:rPr>
          <w:rFonts w:ascii="Times New Roman" w:hAnsi="Times New Roman"/>
          <w:color w:val="auto"/>
          <w:sz w:val="21"/>
          <w:highlight w:val="none"/>
        </w:rPr>
      </w:pPr>
      <w:r>
        <w:rPr>
          <w:rFonts w:ascii="Times New Roman" w:hAnsi="Times New Roman"/>
          <w:color w:val="auto"/>
          <w:sz w:val="21"/>
          <w:highlight w:val="none"/>
        </w:rPr>
        <w:t>1.7 本工程发包人提供的材料和设备详见《发包人提供的主要材料和工程设备一览表》（表-21）。</w:t>
      </w:r>
    </w:p>
    <w:p w14:paraId="5BCAA737">
      <w:pPr>
        <w:spacing w:line="440" w:lineRule="exact"/>
        <w:ind w:firstLine="420" w:firstLineChars="200"/>
        <w:rPr>
          <w:color w:val="auto"/>
          <w:highlight w:val="none"/>
        </w:rPr>
      </w:pPr>
      <w:r>
        <w:rPr>
          <w:color w:val="auto"/>
          <w:highlight w:val="none"/>
        </w:rPr>
        <w:t>1.8 本工程部分材料和设备在招标时作为暂估价计列，结算按实调整，具体内容详见《材料（工程设备）暂估单价及调整表》（表12-2）。</w:t>
      </w:r>
    </w:p>
    <w:p w14:paraId="4A042615">
      <w:pPr>
        <w:spacing w:line="440" w:lineRule="exact"/>
        <w:ind w:firstLine="420" w:firstLineChars="200"/>
        <w:rPr>
          <w:color w:val="auto"/>
          <w:highlight w:val="none"/>
        </w:rPr>
      </w:pPr>
      <w:r>
        <w:rPr>
          <w:color w:val="auto"/>
          <w:highlight w:val="none"/>
        </w:rPr>
        <w:t>1.9 招标时暂估专业工程的价款属于暂估价，结算按实调整，具体内容详见《专业工程暂估价及结算价表》（表12-3）。</w:t>
      </w:r>
    </w:p>
    <w:p w14:paraId="68613453">
      <w:pPr>
        <w:spacing w:line="440" w:lineRule="exact"/>
        <w:ind w:firstLine="420" w:firstLineChars="200"/>
        <w:rPr>
          <w:color w:val="auto"/>
          <w:highlight w:val="none"/>
        </w:rPr>
      </w:pPr>
      <w:r>
        <w:rPr>
          <w:color w:val="auto"/>
          <w:highlight w:val="none"/>
        </w:rPr>
        <w:t>1.10 本工程量清单编码处标注“*”号的清单项目作为主要清单项目，需要供应商提供《主要清单项目工料机分析表》（表-10）。</w:t>
      </w:r>
    </w:p>
    <w:p w14:paraId="08A1A5E9">
      <w:pPr>
        <w:spacing w:line="440" w:lineRule="exact"/>
        <w:ind w:firstLine="420" w:firstLineChars="200"/>
        <w:rPr>
          <w:color w:val="auto"/>
          <w:highlight w:val="none"/>
        </w:rPr>
      </w:pPr>
      <w:r>
        <w:rPr>
          <w:color w:val="auto"/>
          <w:highlight w:val="none"/>
        </w:rPr>
        <w:t>1.11 其它需要说明的问题：</w:t>
      </w:r>
      <w:r>
        <w:rPr>
          <w:color w:val="auto"/>
          <w:highlight w:val="none"/>
          <w:u w:val="single"/>
        </w:rPr>
        <w:t>无</w:t>
      </w:r>
      <w:r>
        <w:rPr>
          <w:color w:val="auto"/>
          <w:highlight w:val="none"/>
        </w:rPr>
        <w:t>。</w:t>
      </w:r>
    </w:p>
    <w:p w14:paraId="1DAEBFC3">
      <w:pPr>
        <w:spacing w:line="440" w:lineRule="exact"/>
        <w:ind w:firstLine="420" w:firstLineChars="200"/>
        <w:jc w:val="left"/>
        <w:rPr>
          <w:color w:val="auto"/>
          <w:highlight w:val="none"/>
        </w:rPr>
      </w:pPr>
      <w:r>
        <w:rPr>
          <w:color w:val="auto"/>
          <w:highlight w:val="none"/>
        </w:rPr>
        <w:t>1.12 工程量清单与磋商文件同时发布。 一般计税法建设工程的工程量清单表格按</w:t>
      </w:r>
      <w:r>
        <w:rPr>
          <w:color w:val="auto"/>
          <w:kern w:val="0"/>
          <w:highlight w:val="none"/>
        </w:rPr>
        <w:t>《关于建筑业实施营业税改征增值税后广西壮族自治区建设工程计价依据调整的通知》（桂建标〔2016〕17号）</w:t>
      </w:r>
      <w:r>
        <w:rPr>
          <w:color w:val="auto"/>
          <w:highlight w:val="none"/>
        </w:rPr>
        <w:t>附件“增值税一般计税方法工程计价表”要求提供；简易计税法建设工程按照《计价规范》要求的表格提供，但规费和税费要按照《关于建筑业实施营业税改征增值税后广西壮族自治区建设工程计价依据调整的通知》（桂建标〔2016〕17号）要求调整，具体包括</w:t>
      </w:r>
      <w:r>
        <w:rPr>
          <w:rFonts w:hint="eastAsia"/>
          <w:color w:val="auto"/>
          <w:highlight w:val="none"/>
          <w:lang w:eastAsia="zh-CN"/>
        </w:rPr>
        <w:t>（</w:t>
      </w:r>
      <w:r>
        <w:rPr>
          <w:rFonts w:hint="eastAsia"/>
          <w:color w:val="auto"/>
          <w:highlight w:val="none"/>
          <w:lang w:val="en-US" w:eastAsia="zh-CN"/>
        </w:rPr>
        <w:t>以提供的工程量清单为准</w:t>
      </w:r>
      <w:r>
        <w:rPr>
          <w:rFonts w:hint="eastAsia"/>
          <w:color w:val="auto"/>
          <w:highlight w:val="none"/>
          <w:lang w:eastAsia="zh-CN"/>
        </w:rPr>
        <w:t>）</w:t>
      </w:r>
      <w:r>
        <w:rPr>
          <w:color w:val="auto"/>
          <w:highlight w:val="none"/>
        </w:rPr>
        <w:t>：</w:t>
      </w:r>
    </w:p>
    <w:p w14:paraId="762586BF">
      <w:pPr>
        <w:spacing w:line="440" w:lineRule="exact"/>
        <w:ind w:firstLine="420" w:firstLineChars="200"/>
        <w:jc w:val="left"/>
        <w:rPr>
          <w:color w:val="auto"/>
          <w:highlight w:val="none"/>
        </w:rPr>
      </w:pPr>
      <w:r>
        <w:rPr>
          <w:color w:val="auto"/>
          <w:highlight w:val="none"/>
        </w:rPr>
        <w:t>1.1 招标工程量清单（封-1）</w:t>
      </w:r>
    </w:p>
    <w:p w14:paraId="3EBAE95E">
      <w:pPr>
        <w:spacing w:line="440" w:lineRule="exact"/>
        <w:ind w:firstLine="420" w:firstLineChars="200"/>
        <w:jc w:val="left"/>
        <w:rPr>
          <w:color w:val="auto"/>
          <w:highlight w:val="none"/>
        </w:rPr>
      </w:pPr>
      <w:r>
        <w:rPr>
          <w:color w:val="auto"/>
          <w:highlight w:val="none"/>
        </w:rPr>
        <w:t>1.2 招标工程量清单（封扉-1）</w:t>
      </w:r>
    </w:p>
    <w:p w14:paraId="73015BF0">
      <w:pPr>
        <w:spacing w:line="440" w:lineRule="exact"/>
        <w:ind w:firstLine="420" w:firstLineChars="200"/>
        <w:jc w:val="left"/>
        <w:rPr>
          <w:color w:val="auto"/>
          <w:highlight w:val="none"/>
        </w:rPr>
      </w:pPr>
      <w:r>
        <w:rPr>
          <w:color w:val="auto"/>
          <w:highlight w:val="none"/>
        </w:rPr>
        <w:t>1.3 总说明（表-01）</w:t>
      </w:r>
    </w:p>
    <w:p w14:paraId="73DEB05B">
      <w:pPr>
        <w:spacing w:line="440" w:lineRule="exact"/>
        <w:ind w:firstLine="420" w:firstLineChars="200"/>
        <w:jc w:val="left"/>
        <w:rPr>
          <w:color w:val="auto"/>
          <w:highlight w:val="none"/>
        </w:rPr>
      </w:pPr>
      <w:r>
        <w:rPr>
          <w:color w:val="auto"/>
          <w:highlight w:val="none"/>
        </w:rPr>
        <w:t xml:space="preserve">1.4 </w:t>
      </w:r>
      <w:r>
        <w:rPr>
          <w:rFonts w:hint="eastAsia"/>
          <w:color w:val="auto"/>
          <w:highlight w:val="none"/>
        </w:rPr>
        <w:t>建设项目建筑安装工程费汇总表</w:t>
      </w:r>
      <w:r>
        <w:rPr>
          <w:color w:val="auto"/>
          <w:highlight w:val="none"/>
        </w:rPr>
        <w:t>（表-02）</w:t>
      </w:r>
    </w:p>
    <w:p w14:paraId="170803B4">
      <w:pPr>
        <w:spacing w:line="440" w:lineRule="exact"/>
        <w:ind w:firstLine="420" w:firstLineChars="200"/>
        <w:jc w:val="left"/>
        <w:rPr>
          <w:color w:val="auto"/>
          <w:highlight w:val="none"/>
        </w:rPr>
      </w:pPr>
      <w:r>
        <w:rPr>
          <w:color w:val="auto"/>
          <w:highlight w:val="none"/>
        </w:rPr>
        <w:t xml:space="preserve">1.5 </w:t>
      </w:r>
      <w:r>
        <w:rPr>
          <w:rFonts w:hint="eastAsia"/>
          <w:color w:val="auto"/>
          <w:highlight w:val="none"/>
        </w:rPr>
        <w:t>单项工程建筑安装工程费汇总表</w:t>
      </w:r>
      <w:r>
        <w:rPr>
          <w:color w:val="auto"/>
          <w:highlight w:val="none"/>
        </w:rPr>
        <w:t>（表-03）</w:t>
      </w:r>
    </w:p>
    <w:p w14:paraId="7ADE20E7">
      <w:pPr>
        <w:spacing w:line="440" w:lineRule="exact"/>
        <w:ind w:firstLine="420" w:firstLineChars="200"/>
        <w:jc w:val="left"/>
        <w:rPr>
          <w:color w:val="auto"/>
          <w:highlight w:val="none"/>
        </w:rPr>
      </w:pPr>
      <w:r>
        <w:rPr>
          <w:color w:val="auto"/>
          <w:highlight w:val="none"/>
        </w:rPr>
        <w:t xml:space="preserve">1.6 </w:t>
      </w:r>
      <w:r>
        <w:rPr>
          <w:rFonts w:hint="eastAsia"/>
          <w:color w:val="auto"/>
          <w:highlight w:val="none"/>
        </w:rPr>
        <w:t>单位工程建筑安装工程费汇总表</w:t>
      </w:r>
      <w:r>
        <w:rPr>
          <w:color w:val="auto"/>
          <w:highlight w:val="none"/>
        </w:rPr>
        <w:t>（表-04）</w:t>
      </w:r>
    </w:p>
    <w:p w14:paraId="5ABC453F">
      <w:pPr>
        <w:spacing w:line="440" w:lineRule="exact"/>
        <w:ind w:firstLine="420" w:firstLineChars="200"/>
        <w:jc w:val="left"/>
        <w:rPr>
          <w:color w:val="auto"/>
          <w:highlight w:val="none"/>
        </w:rPr>
      </w:pPr>
      <w:r>
        <w:rPr>
          <w:color w:val="auto"/>
          <w:highlight w:val="none"/>
        </w:rPr>
        <w:t xml:space="preserve">1.7 </w:t>
      </w:r>
      <w:r>
        <w:rPr>
          <w:rFonts w:hint="eastAsia"/>
          <w:color w:val="auto"/>
          <w:highlight w:val="none"/>
        </w:rPr>
        <w:t>分部分项工程和单价措施项目费用表</w:t>
      </w:r>
      <w:r>
        <w:rPr>
          <w:color w:val="auto"/>
          <w:highlight w:val="none"/>
        </w:rPr>
        <w:t>（表-08）</w:t>
      </w:r>
    </w:p>
    <w:p w14:paraId="797D405E">
      <w:pPr>
        <w:spacing w:line="440" w:lineRule="exact"/>
        <w:ind w:firstLine="420" w:firstLineChars="200"/>
        <w:jc w:val="left"/>
        <w:rPr>
          <w:color w:val="auto"/>
          <w:highlight w:val="none"/>
        </w:rPr>
      </w:pPr>
      <w:r>
        <w:rPr>
          <w:color w:val="auto"/>
          <w:highlight w:val="none"/>
        </w:rPr>
        <w:t xml:space="preserve">1.8 </w:t>
      </w:r>
      <w:r>
        <w:rPr>
          <w:rFonts w:hint="eastAsia"/>
          <w:color w:val="auto"/>
          <w:highlight w:val="none"/>
        </w:rPr>
        <w:t>总价措施项目费用表</w:t>
      </w:r>
      <w:r>
        <w:rPr>
          <w:color w:val="auto"/>
          <w:highlight w:val="none"/>
        </w:rPr>
        <w:t>（表-1</w:t>
      </w:r>
      <w:r>
        <w:rPr>
          <w:rFonts w:hint="eastAsia"/>
          <w:color w:val="auto"/>
          <w:highlight w:val="none"/>
          <w:lang w:val="en-US" w:eastAsia="zh-CN"/>
        </w:rPr>
        <w:t>0</w:t>
      </w:r>
      <w:r>
        <w:rPr>
          <w:color w:val="auto"/>
          <w:highlight w:val="none"/>
        </w:rPr>
        <w:t>）</w:t>
      </w:r>
    </w:p>
    <w:p w14:paraId="76CE792C">
      <w:pPr>
        <w:spacing w:line="440" w:lineRule="exact"/>
        <w:ind w:firstLine="420" w:firstLineChars="200"/>
        <w:jc w:val="left"/>
        <w:rPr>
          <w:color w:val="auto"/>
          <w:highlight w:val="none"/>
        </w:rPr>
      </w:pPr>
      <w:r>
        <w:rPr>
          <w:color w:val="auto"/>
          <w:highlight w:val="none"/>
        </w:rPr>
        <w:t xml:space="preserve">1.9 </w:t>
      </w:r>
      <w:r>
        <w:rPr>
          <w:rFonts w:hint="eastAsia"/>
          <w:color w:val="auto"/>
          <w:highlight w:val="none"/>
        </w:rPr>
        <w:t>其他项目费用汇总表</w:t>
      </w:r>
      <w:r>
        <w:rPr>
          <w:color w:val="auto"/>
          <w:highlight w:val="none"/>
        </w:rPr>
        <w:t>（表-1</w:t>
      </w:r>
      <w:r>
        <w:rPr>
          <w:rFonts w:hint="eastAsia"/>
          <w:color w:val="auto"/>
          <w:highlight w:val="none"/>
          <w:lang w:val="en-US" w:eastAsia="zh-CN"/>
        </w:rPr>
        <w:t>1</w:t>
      </w:r>
      <w:r>
        <w:rPr>
          <w:color w:val="auto"/>
          <w:highlight w:val="none"/>
        </w:rPr>
        <w:t>）</w:t>
      </w:r>
    </w:p>
    <w:p w14:paraId="6A06DF30">
      <w:pPr>
        <w:pStyle w:val="3"/>
        <w:spacing w:before="0" w:after="0" w:line="440" w:lineRule="exact"/>
        <w:ind w:firstLine="422" w:firstLineChars="200"/>
        <w:rPr>
          <w:rFonts w:ascii="Times New Roman" w:hAnsi="Times New Roman"/>
          <w:color w:val="auto"/>
          <w:sz w:val="21"/>
          <w:szCs w:val="21"/>
          <w:highlight w:val="none"/>
        </w:rPr>
      </w:pPr>
      <w:bookmarkStart w:id="36" w:name="_Toc78449870"/>
      <w:bookmarkStart w:id="37" w:name="_Toc347872619"/>
      <w:bookmarkStart w:id="38" w:name="_Toc407135285"/>
      <w:bookmarkStart w:id="39" w:name="_Toc128638343"/>
      <w:bookmarkStart w:id="40" w:name="_Toc990933621"/>
      <w:r>
        <w:rPr>
          <w:rFonts w:ascii="Times New Roman" w:hAnsi="Times New Roman"/>
          <w:color w:val="auto"/>
          <w:sz w:val="21"/>
          <w:szCs w:val="21"/>
          <w:highlight w:val="none"/>
        </w:rPr>
        <w:t>2.最高限价编制说明</w:t>
      </w:r>
      <w:bookmarkEnd w:id="36"/>
      <w:bookmarkEnd w:id="37"/>
      <w:bookmarkEnd w:id="38"/>
      <w:bookmarkEnd w:id="39"/>
      <w:bookmarkEnd w:id="40"/>
    </w:p>
    <w:p w14:paraId="51DA0D44">
      <w:pPr>
        <w:spacing w:line="440" w:lineRule="exact"/>
        <w:ind w:firstLine="420" w:firstLineChars="200"/>
        <w:rPr>
          <w:color w:val="auto"/>
          <w:highlight w:val="none"/>
        </w:rPr>
      </w:pPr>
      <w:r>
        <w:rPr>
          <w:color w:val="auto"/>
          <w:highlight w:val="none"/>
        </w:rPr>
        <w:t>2.1 最高限价编制依据：</w:t>
      </w:r>
    </w:p>
    <w:p w14:paraId="6A55FFA6">
      <w:pPr>
        <w:spacing w:line="440" w:lineRule="exact"/>
        <w:ind w:firstLine="420" w:firstLineChars="200"/>
        <w:rPr>
          <w:rFonts w:hint="eastAsia"/>
          <w:color w:val="auto"/>
          <w:highlight w:val="none"/>
        </w:rPr>
      </w:pPr>
      <w:r>
        <w:rPr>
          <w:rFonts w:hint="eastAsia"/>
          <w:color w:val="auto"/>
          <w:highlight w:val="none"/>
        </w:rPr>
        <w:t>1.《建设工程工程量清单计价规范》（GB 50500-2013）、《房屋建筑与装饰工程工程量计算规范（GB 50854-2013）》；</w:t>
      </w:r>
      <w:r>
        <w:rPr>
          <w:rFonts w:hint="eastAsia"/>
          <w:color w:val="auto"/>
          <w:highlight w:val="none"/>
        </w:rPr>
        <w:tab/>
      </w:r>
    </w:p>
    <w:p w14:paraId="089313DF">
      <w:pPr>
        <w:spacing w:line="440" w:lineRule="exact"/>
        <w:ind w:firstLine="630" w:firstLineChars="300"/>
        <w:rPr>
          <w:rFonts w:hint="eastAsia"/>
          <w:color w:val="auto"/>
          <w:highlight w:val="none"/>
        </w:rPr>
      </w:pPr>
      <w:r>
        <w:rPr>
          <w:rFonts w:hint="eastAsia"/>
          <w:color w:val="auto"/>
          <w:highlight w:val="none"/>
        </w:rPr>
        <w:t>2.《建设工程工程量计算规范广西壮族自治区实施细则（GB 50854～50862-2013）》、《建设工程工程量清单计价规范广西壮族自治区实施细则（GB 50500-2013）》；</w:t>
      </w:r>
      <w:r>
        <w:rPr>
          <w:rFonts w:hint="eastAsia"/>
          <w:color w:val="auto"/>
          <w:highlight w:val="none"/>
        </w:rPr>
        <w:tab/>
      </w:r>
    </w:p>
    <w:p w14:paraId="5C2E0DD1">
      <w:pPr>
        <w:spacing w:line="440" w:lineRule="exact"/>
        <w:ind w:firstLine="630" w:firstLineChars="300"/>
        <w:rPr>
          <w:rFonts w:hint="eastAsia"/>
          <w:color w:val="auto"/>
          <w:highlight w:val="none"/>
        </w:rPr>
      </w:pPr>
      <w:r>
        <w:rPr>
          <w:rFonts w:hint="eastAsia"/>
          <w:color w:val="auto"/>
          <w:highlight w:val="none"/>
        </w:rPr>
        <w:t>3.2022版《广西壮族自治区市政工程消耗量定额》及其配套费用定额；</w:t>
      </w:r>
      <w:r>
        <w:rPr>
          <w:rFonts w:hint="eastAsia"/>
          <w:color w:val="auto"/>
          <w:highlight w:val="none"/>
        </w:rPr>
        <w:tab/>
      </w:r>
    </w:p>
    <w:p w14:paraId="24FD0E55">
      <w:pPr>
        <w:spacing w:line="440" w:lineRule="exact"/>
        <w:ind w:firstLine="630" w:firstLineChars="300"/>
        <w:rPr>
          <w:rFonts w:hint="eastAsia"/>
          <w:color w:val="auto"/>
          <w:highlight w:val="none"/>
        </w:rPr>
      </w:pPr>
      <w:r>
        <w:rPr>
          <w:rFonts w:hint="eastAsia"/>
          <w:color w:val="auto"/>
          <w:highlight w:val="none"/>
        </w:rPr>
        <w:t>4.2024版《广西壮族自治区建筑装饰装修工程消耗量定额》及其配套费用定额；</w:t>
      </w:r>
      <w:r>
        <w:rPr>
          <w:rFonts w:hint="eastAsia"/>
          <w:color w:val="auto"/>
          <w:highlight w:val="none"/>
        </w:rPr>
        <w:tab/>
      </w:r>
    </w:p>
    <w:p w14:paraId="16784AF1">
      <w:pPr>
        <w:spacing w:line="440" w:lineRule="exact"/>
        <w:ind w:firstLine="630" w:firstLineChars="300"/>
        <w:rPr>
          <w:rFonts w:hint="eastAsia"/>
          <w:color w:val="auto"/>
          <w:highlight w:val="none"/>
        </w:rPr>
      </w:pPr>
      <w:r>
        <w:rPr>
          <w:rFonts w:hint="eastAsia"/>
          <w:color w:val="auto"/>
          <w:highlight w:val="none"/>
        </w:rPr>
        <w:t>5.《自治区住房城乡建设厅关于调整建设工程定额人工费及有关费率的通知》（桂建标〔2023〕7号）；</w:t>
      </w:r>
      <w:r>
        <w:rPr>
          <w:rFonts w:hint="eastAsia"/>
          <w:color w:val="auto"/>
          <w:highlight w:val="none"/>
        </w:rPr>
        <w:tab/>
      </w:r>
    </w:p>
    <w:p w14:paraId="6F12E500">
      <w:pPr>
        <w:spacing w:line="440" w:lineRule="exact"/>
        <w:ind w:firstLine="630" w:firstLineChars="300"/>
        <w:rPr>
          <w:rFonts w:hint="eastAsia"/>
          <w:color w:val="auto"/>
          <w:highlight w:val="none"/>
        </w:rPr>
      </w:pPr>
      <w:r>
        <w:rPr>
          <w:rFonts w:hint="eastAsia"/>
          <w:color w:val="auto"/>
          <w:highlight w:val="none"/>
        </w:rPr>
        <w:t>6.《自治区住房城乡建设厅关于调整建设工程计价增值税税率的通知》（桂建标〔2019〕12号）；</w:t>
      </w:r>
      <w:r>
        <w:rPr>
          <w:rFonts w:hint="eastAsia"/>
          <w:color w:val="auto"/>
          <w:highlight w:val="none"/>
        </w:rPr>
        <w:tab/>
      </w:r>
    </w:p>
    <w:p w14:paraId="294C5778">
      <w:pPr>
        <w:spacing w:line="440" w:lineRule="exact"/>
        <w:ind w:firstLine="630" w:firstLineChars="300"/>
        <w:rPr>
          <w:rFonts w:hint="eastAsia"/>
          <w:color w:val="auto"/>
          <w:highlight w:val="none"/>
        </w:rPr>
      </w:pPr>
      <w:r>
        <w:rPr>
          <w:rFonts w:hint="eastAsia"/>
          <w:color w:val="auto"/>
          <w:highlight w:val="none"/>
        </w:rPr>
        <w:t>7.《自治区住房城乡建设厅关于印发广西壮族自治区房屋建筑和市政基础设施工程安全生产责任保险计价规定的通知》（桂建发〔2023〕6 号）的规定；</w:t>
      </w:r>
      <w:r>
        <w:rPr>
          <w:rFonts w:hint="eastAsia"/>
          <w:color w:val="auto"/>
          <w:highlight w:val="none"/>
        </w:rPr>
        <w:tab/>
      </w:r>
    </w:p>
    <w:p w14:paraId="5300D9D3">
      <w:pPr>
        <w:spacing w:line="440" w:lineRule="exact"/>
        <w:ind w:firstLine="630" w:firstLineChars="300"/>
        <w:rPr>
          <w:rFonts w:hint="eastAsia"/>
          <w:color w:val="auto"/>
          <w:highlight w:val="none"/>
        </w:rPr>
      </w:pPr>
      <w:r>
        <w:rPr>
          <w:rFonts w:hint="eastAsia"/>
          <w:color w:val="auto"/>
          <w:highlight w:val="none"/>
        </w:rPr>
        <w:t>8.施工现场情况、工程特点及常规施工组织设计方案；</w:t>
      </w:r>
      <w:r>
        <w:rPr>
          <w:rFonts w:hint="eastAsia"/>
          <w:color w:val="auto"/>
          <w:highlight w:val="none"/>
        </w:rPr>
        <w:tab/>
      </w:r>
    </w:p>
    <w:p w14:paraId="080F747D">
      <w:pPr>
        <w:spacing w:line="440" w:lineRule="exact"/>
        <w:ind w:firstLine="630" w:firstLineChars="300"/>
        <w:rPr>
          <w:rFonts w:hint="eastAsia"/>
          <w:color w:val="auto"/>
          <w:highlight w:val="none"/>
        </w:rPr>
      </w:pPr>
      <w:r>
        <w:rPr>
          <w:rFonts w:hint="eastAsia"/>
          <w:color w:val="auto"/>
          <w:highlight w:val="none"/>
        </w:rPr>
        <w:t>9.其他现行相关文件、法律法规、标准图集等。</w:t>
      </w:r>
      <w:r>
        <w:rPr>
          <w:rFonts w:hint="eastAsia"/>
          <w:color w:val="auto"/>
          <w:highlight w:val="none"/>
        </w:rPr>
        <w:tab/>
      </w:r>
    </w:p>
    <w:p w14:paraId="02EF4EB2">
      <w:pPr>
        <w:spacing w:line="440" w:lineRule="exact"/>
        <w:ind w:firstLine="630" w:firstLineChars="300"/>
        <w:rPr>
          <w:rFonts w:hint="eastAsia"/>
          <w:color w:val="auto"/>
          <w:highlight w:val="none"/>
        </w:rPr>
      </w:pPr>
      <w:r>
        <w:rPr>
          <w:rFonts w:hint="eastAsia"/>
          <w:color w:val="auto"/>
          <w:highlight w:val="none"/>
        </w:rPr>
        <w:t>材料价格:材料价格参考《南宁建设工程造价信息》</w:t>
      </w:r>
      <w:r>
        <w:rPr>
          <w:rFonts w:hint="eastAsia"/>
          <w:color w:val="auto"/>
          <w:highlight w:val="none"/>
          <w:lang w:eastAsia="zh-CN"/>
        </w:rPr>
        <w:t>2026年</w:t>
      </w:r>
      <w:r>
        <w:rPr>
          <w:rFonts w:hint="eastAsia"/>
          <w:color w:val="auto"/>
          <w:highlight w:val="none"/>
        </w:rPr>
        <w:t>第6期上半月刊，信息价缺项部分按市场询价。</w:t>
      </w:r>
      <w:r>
        <w:rPr>
          <w:rFonts w:hint="eastAsia"/>
          <w:color w:val="auto"/>
          <w:highlight w:val="none"/>
        </w:rPr>
        <w:tab/>
      </w:r>
    </w:p>
    <w:p w14:paraId="46C4525C">
      <w:pPr>
        <w:spacing w:line="440" w:lineRule="exact"/>
        <w:ind w:firstLine="630" w:firstLineChars="300"/>
        <w:rPr>
          <w:rFonts w:hint="eastAsia" w:eastAsia="宋体"/>
          <w:color w:val="auto"/>
          <w:highlight w:val="none"/>
          <w:lang w:eastAsia="zh-CN"/>
        </w:rPr>
      </w:pPr>
      <w:r>
        <w:rPr>
          <w:rFonts w:hint="eastAsia"/>
          <w:color w:val="auto"/>
          <w:highlight w:val="none"/>
        </w:rPr>
        <w:t>其他说明</w:t>
      </w:r>
      <w:r>
        <w:rPr>
          <w:rFonts w:hint="eastAsia"/>
          <w:color w:val="auto"/>
          <w:highlight w:val="none"/>
          <w:lang w:eastAsia="zh-CN"/>
        </w:rPr>
        <w:t>：</w:t>
      </w:r>
    </w:p>
    <w:p w14:paraId="1BE31EB9">
      <w:pPr>
        <w:spacing w:line="440" w:lineRule="exact"/>
        <w:ind w:firstLine="630" w:firstLineChars="30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本工程采用增值税一般计税法计价，即税率为9%；</w:t>
      </w:r>
      <w:r>
        <w:rPr>
          <w:rFonts w:hint="eastAsia"/>
          <w:color w:val="auto"/>
          <w:highlight w:val="none"/>
        </w:rPr>
        <w:tab/>
      </w:r>
    </w:p>
    <w:p w14:paraId="13CD4619">
      <w:pPr>
        <w:spacing w:line="440" w:lineRule="exact"/>
        <w:ind w:firstLine="630" w:firstLineChars="30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安全生产责任保险费按分部分项工程费及措施项目费（含单价及总价措施项目费）为计算基数乘以0.2%计入暂估价，工程结算时，由发承包双方根据工程实际情况确认的安全生产责任保险费计入工程造价</w:t>
      </w:r>
      <w:r>
        <w:rPr>
          <w:rFonts w:hint="eastAsia"/>
          <w:color w:val="auto"/>
          <w:highlight w:val="none"/>
          <w:lang w:eastAsia="zh-CN"/>
        </w:rPr>
        <w:t>，投标人在编制投标报价文件时，安责险应按招标工程量清单中给出的安责险暂估价的具体金额填写，不得调整</w:t>
      </w:r>
      <w:r>
        <w:rPr>
          <w:rFonts w:hint="eastAsia"/>
          <w:color w:val="auto"/>
          <w:highlight w:val="none"/>
        </w:rPr>
        <w:t>。</w:t>
      </w:r>
      <w:r>
        <w:rPr>
          <w:rFonts w:hint="eastAsia"/>
          <w:color w:val="auto"/>
          <w:highlight w:val="none"/>
        </w:rPr>
        <w:tab/>
      </w:r>
    </w:p>
    <w:p w14:paraId="193B8CF6">
      <w:pPr>
        <w:spacing w:line="440" w:lineRule="exact"/>
        <w:ind w:firstLine="420" w:firstLineChars="200"/>
        <w:rPr>
          <w:color w:val="auto"/>
          <w:highlight w:val="none"/>
          <w:u w:val="single"/>
        </w:rPr>
      </w:pPr>
      <w:r>
        <w:rPr>
          <w:color w:val="auto"/>
          <w:highlight w:val="none"/>
        </w:rPr>
        <w:t>（3）建设工程设计文件及相关资料：</w:t>
      </w:r>
      <w:r>
        <w:rPr>
          <w:color w:val="auto"/>
          <w:highlight w:val="none"/>
          <w:u w:val="single"/>
        </w:rPr>
        <w:t>详见施工图纸</w:t>
      </w:r>
      <w:r>
        <w:rPr>
          <w:color w:val="auto"/>
          <w:highlight w:val="none"/>
        </w:rPr>
        <w:t xml:space="preserve">。 </w:t>
      </w:r>
    </w:p>
    <w:p w14:paraId="329AA813">
      <w:pPr>
        <w:spacing w:line="440" w:lineRule="exact"/>
        <w:ind w:firstLine="420" w:firstLineChars="200"/>
        <w:rPr>
          <w:color w:val="auto"/>
          <w:highlight w:val="none"/>
        </w:rPr>
      </w:pPr>
      <w:r>
        <w:rPr>
          <w:color w:val="auto"/>
          <w:highlight w:val="none"/>
        </w:rPr>
        <w:t>（4）本工程磋商文件及工程量清单；</w:t>
      </w:r>
    </w:p>
    <w:p w14:paraId="1222323A">
      <w:pPr>
        <w:spacing w:line="440" w:lineRule="exact"/>
        <w:ind w:firstLine="420" w:firstLineChars="200"/>
        <w:rPr>
          <w:color w:val="auto"/>
          <w:highlight w:val="none"/>
        </w:rPr>
      </w:pPr>
      <w:r>
        <w:rPr>
          <w:color w:val="auto"/>
          <w:highlight w:val="none"/>
        </w:rPr>
        <w:t>（5）与建设项目相关的标准、规范、技术资料；</w:t>
      </w:r>
    </w:p>
    <w:p w14:paraId="5048E950">
      <w:pPr>
        <w:spacing w:line="440" w:lineRule="exact"/>
        <w:ind w:firstLine="420" w:firstLineChars="200"/>
        <w:rPr>
          <w:color w:val="auto"/>
          <w:highlight w:val="none"/>
        </w:rPr>
      </w:pPr>
      <w:r>
        <w:rPr>
          <w:color w:val="auto"/>
          <w:highlight w:val="none"/>
        </w:rPr>
        <w:t>（6）施工现场情况、工程特点及常规施工方案；</w:t>
      </w:r>
    </w:p>
    <w:p w14:paraId="7C18D5CA">
      <w:pPr>
        <w:spacing w:line="440" w:lineRule="exact"/>
        <w:ind w:firstLine="420" w:firstLineChars="200"/>
        <w:rPr>
          <w:color w:val="auto"/>
          <w:highlight w:val="none"/>
        </w:rPr>
      </w:pPr>
      <w:r>
        <w:rPr>
          <w:color w:val="auto"/>
          <w:highlight w:val="none"/>
        </w:rPr>
        <w:t>（7）材料价格信息：材料价格按《</w:t>
      </w:r>
      <w:r>
        <w:rPr>
          <w:rStyle w:val="57"/>
          <w:rFonts w:hint="eastAsia" w:ascii="Calibri" w:hAnsi="Calibri" w:cs="Calibri"/>
          <w:color w:val="auto"/>
          <w:highlight w:val="none"/>
          <w:lang w:val="en-US" w:eastAsia="zh-CN"/>
        </w:rPr>
        <w:t>南宁</w:t>
      </w:r>
      <w:r>
        <w:rPr>
          <w:color w:val="auto"/>
          <w:highlight w:val="none"/>
        </w:rPr>
        <w:t>建设工程造价信息》202</w:t>
      </w:r>
      <w:r>
        <w:rPr>
          <w:rFonts w:hint="eastAsia"/>
          <w:color w:val="auto"/>
          <w:highlight w:val="none"/>
          <w:lang w:val="en-US" w:eastAsia="zh-CN"/>
        </w:rPr>
        <w:t>5</w:t>
      </w:r>
      <w:r>
        <w:rPr>
          <w:color w:val="auto"/>
          <w:highlight w:val="none"/>
        </w:rPr>
        <w:t>第</w:t>
      </w:r>
      <w:r>
        <w:rPr>
          <w:rFonts w:hint="eastAsia"/>
          <w:color w:val="auto"/>
          <w:highlight w:val="none"/>
          <w:lang w:val="en-US" w:eastAsia="zh-CN"/>
        </w:rPr>
        <w:t>6</w:t>
      </w:r>
      <w:r>
        <w:rPr>
          <w:color w:val="auto"/>
          <w:highlight w:val="none"/>
        </w:rPr>
        <w:t>期（</w:t>
      </w:r>
      <w:r>
        <w:rPr>
          <w:rFonts w:hint="eastAsia"/>
          <w:color w:val="auto"/>
          <w:highlight w:val="none"/>
          <w:lang w:val="en-US" w:eastAsia="zh-CN"/>
        </w:rPr>
        <w:t>上</w:t>
      </w:r>
      <w:r>
        <w:rPr>
          <w:color w:val="auto"/>
          <w:highlight w:val="none"/>
        </w:rPr>
        <w:t>半月刊）计取，</w:t>
      </w:r>
      <w:r>
        <w:rPr>
          <w:rFonts w:hint="eastAsia"/>
          <w:color w:val="auto"/>
          <w:highlight w:val="none"/>
          <w:lang w:val="en-US" w:eastAsia="zh-CN"/>
        </w:rPr>
        <w:t>信息价缺项部分按市场询价</w:t>
      </w:r>
      <w:r>
        <w:rPr>
          <w:color w:val="auto"/>
          <w:highlight w:val="none"/>
        </w:rPr>
        <w:t>。</w:t>
      </w:r>
    </w:p>
    <w:p w14:paraId="6C74D0F9">
      <w:pPr>
        <w:spacing w:line="440" w:lineRule="exact"/>
        <w:ind w:firstLine="420" w:firstLineChars="200"/>
        <w:rPr>
          <w:color w:val="auto"/>
          <w:highlight w:val="none"/>
        </w:rPr>
      </w:pPr>
      <w:r>
        <w:rPr>
          <w:color w:val="auto"/>
          <w:highlight w:val="none"/>
        </w:rPr>
        <w:t>2.2 分部分项及单价措施项目综合单价应包括磋商文件中采购人要求供应商所承担的风险内容及其范围（幅度）产生的风险费用。</w:t>
      </w:r>
    </w:p>
    <w:p w14:paraId="73AECF44">
      <w:pPr>
        <w:spacing w:line="440" w:lineRule="exact"/>
        <w:ind w:firstLine="420" w:firstLineChars="200"/>
        <w:rPr>
          <w:color w:val="auto"/>
          <w:highlight w:val="none"/>
        </w:rPr>
      </w:pPr>
      <w:r>
        <w:rPr>
          <w:color w:val="auto"/>
          <w:highlight w:val="none"/>
        </w:rPr>
        <w:t>2.3 总价措施项目应根据拟定的磋商文件和常规施工方案按《计价规范》和《计算规范》规定编制。</w:t>
      </w:r>
    </w:p>
    <w:p w14:paraId="6FAC8893">
      <w:pPr>
        <w:spacing w:line="440" w:lineRule="exact"/>
        <w:ind w:firstLine="420" w:firstLineChars="200"/>
        <w:rPr>
          <w:color w:val="auto"/>
          <w:highlight w:val="none"/>
        </w:rPr>
      </w:pPr>
      <w:r>
        <w:rPr>
          <w:color w:val="auto"/>
          <w:highlight w:val="none"/>
        </w:rPr>
        <w:t>2.4 其他项目费应按下列规定报价：</w:t>
      </w:r>
    </w:p>
    <w:p w14:paraId="44797414">
      <w:pPr>
        <w:spacing w:line="440" w:lineRule="exact"/>
        <w:ind w:firstLine="420" w:firstLineChars="200"/>
        <w:rPr>
          <w:color w:val="auto"/>
          <w:highlight w:val="none"/>
        </w:rPr>
      </w:pPr>
      <w:r>
        <w:rPr>
          <w:color w:val="auto"/>
          <w:highlight w:val="none"/>
        </w:rPr>
        <w:t>（1）暂列金额应按工程量清单中列出的金额填写；</w:t>
      </w:r>
    </w:p>
    <w:p w14:paraId="176F6981">
      <w:pPr>
        <w:pStyle w:val="168"/>
        <w:spacing w:line="440" w:lineRule="exact"/>
        <w:ind w:firstLine="420" w:firstLineChars="200"/>
        <w:rPr>
          <w:color w:val="auto"/>
          <w:highlight w:val="none"/>
        </w:rPr>
      </w:pPr>
      <w:r>
        <w:rPr>
          <w:color w:val="auto"/>
          <w:highlight w:val="none"/>
        </w:rPr>
        <w:t>（2）材料、工程设备暂估价应按工程量清单中列出的单价计入综合单价；</w:t>
      </w:r>
    </w:p>
    <w:p w14:paraId="6CB14117">
      <w:pPr>
        <w:spacing w:line="440" w:lineRule="exact"/>
        <w:ind w:firstLine="420" w:firstLineChars="200"/>
        <w:rPr>
          <w:color w:val="auto"/>
          <w:highlight w:val="none"/>
        </w:rPr>
      </w:pPr>
      <w:r>
        <w:rPr>
          <w:color w:val="auto"/>
          <w:highlight w:val="none"/>
        </w:rPr>
        <w:t>（3）专业工程暂估价应按工程量清单中列出的金额填写，</w:t>
      </w:r>
      <w:r>
        <w:rPr>
          <w:b/>
          <w:bCs/>
          <w:color w:val="auto"/>
          <w:highlight w:val="none"/>
        </w:rPr>
        <w:t>安全生产责任保险费暂估价应按工程量清单中列出的金额填写</w:t>
      </w:r>
      <w:r>
        <w:rPr>
          <w:color w:val="auto"/>
          <w:highlight w:val="none"/>
        </w:rPr>
        <w:t>；</w:t>
      </w:r>
    </w:p>
    <w:p w14:paraId="0D15E814">
      <w:pPr>
        <w:spacing w:line="440" w:lineRule="exact"/>
        <w:ind w:firstLine="420" w:firstLineChars="200"/>
        <w:rPr>
          <w:color w:val="auto"/>
          <w:highlight w:val="none"/>
        </w:rPr>
      </w:pPr>
      <w:r>
        <w:rPr>
          <w:color w:val="auto"/>
          <w:highlight w:val="none"/>
        </w:rPr>
        <w:t>（4）计日工应按工程量清单中列出的项目和数量，根据工程特点和有关计价依据确定的综合单价计算；</w:t>
      </w:r>
    </w:p>
    <w:p w14:paraId="7730B8C2">
      <w:pPr>
        <w:spacing w:line="440" w:lineRule="exact"/>
        <w:ind w:firstLine="420" w:firstLineChars="200"/>
        <w:rPr>
          <w:color w:val="auto"/>
          <w:highlight w:val="none"/>
        </w:rPr>
      </w:pPr>
      <w:r>
        <w:rPr>
          <w:color w:val="auto"/>
          <w:highlight w:val="none"/>
        </w:rPr>
        <w:t>（5）总承包服务费应根据工程量清单列出的内容和要求，按自治区住</w:t>
      </w:r>
      <w:r>
        <w:rPr>
          <w:rFonts w:hint="eastAsia"/>
          <w:color w:val="auto"/>
          <w:highlight w:val="none"/>
          <w:lang w:eastAsia="zh-CN"/>
        </w:rPr>
        <w:t>房和</w:t>
      </w:r>
      <w:r>
        <w:rPr>
          <w:color w:val="auto"/>
          <w:highlight w:val="none"/>
        </w:rPr>
        <w:t>城乡建设行政主管部门颁发的计价定额及有关规定计算。</w:t>
      </w:r>
    </w:p>
    <w:p w14:paraId="1C675C9D">
      <w:pPr>
        <w:spacing w:line="440" w:lineRule="exact"/>
        <w:ind w:firstLine="420" w:firstLineChars="200"/>
        <w:rPr>
          <w:color w:val="auto"/>
          <w:highlight w:val="none"/>
        </w:rPr>
      </w:pPr>
      <w:r>
        <w:rPr>
          <w:color w:val="auto"/>
          <w:highlight w:val="none"/>
        </w:rPr>
        <w:t>（6）对建设单位创建优质工程的，鼓励在最高限价和预算中按广西区工程建设定额规定计列工程优质费，并明确工程优质费不可竞争。</w:t>
      </w:r>
    </w:p>
    <w:p w14:paraId="239A92E3">
      <w:pPr>
        <w:spacing w:line="440" w:lineRule="exact"/>
        <w:ind w:firstLine="420" w:firstLineChars="200"/>
        <w:rPr>
          <w:color w:val="auto"/>
          <w:highlight w:val="none"/>
        </w:rPr>
      </w:pPr>
      <w:r>
        <w:rPr>
          <w:color w:val="auto"/>
          <w:highlight w:val="none"/>
        </w:rPr>
        <w:t>2.5 规费和增值税应按规定确定，作为不可竞争费用。</w:t>
      </w:r>
    </w:p>
    <w:p w14:paraId="589F0A83">
      <w:pPr>
        <w:spacing w:line="440" w:lineRule="exact"/>
        <w:ind w:firstLine="420" w:firstLineChars="200"/>
        <w:rPr>
          <w:color w:val="auto"/>
          <w:highlight w:val="none"/>
        </w:rPr>
      </w:pPr>
      <w:r>
        <w:rPr>
          <w:color w:val="auto"/>
          <w:highlight w:val="none"/>
        </w:rPr>
        <w:t>2.6 其它需要说明的问题：</w:t>
      </w:r>
      <w:r>
        <w:rPr>
          <w:color w:val="auto"/>
          <w:highlight w:val="none"/>
          <w:u w:val="single"/>
        </w:rPr>
        <w:t>无</w:t>
      </w:r>
      <w:r>
        <w:rPr>
          <w:color w:val="auto"/>
          <w:highlight w:val="none"/>
        </w:rPr>
        <w:t>。</w:t>
      </w:r>
    </w:p>
    <w:p w14:paraId="3405E4E6">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p>
    <w:p w14:paraId="19DED628">
      <w:pPr>
        <w:pStyle w:val="26"/>
        <w:spacing w:line="360" w:lineRule="auto"/>
        <w:jc w:val="center"/>
        <w:rPr>
          <w:rStyle w:val="63"/>
          <w:rFonts w:hint="eastAsia" w:asciiTheme="minorEastAsia" w:hAnsiTheme="minorEastAsia" w:eastAsiaTheme="minorEastAsia" w:cstheme="minorEastAsia"/>
          <w:color w:val="auto"/>
          <w:sz w:val="36"/>
          <w:szCs w:val="36"/>
          <w:highlight w:val="none"/>
        </w:rPr>
      </w:pPr>
      <w:bookmarkStart w:id="41" w:name="_Toc30817"/>
      <w:r>
        <w:rPr>
          <w:rStyle w:val="63"/>
          <w:rFonts w:hint="eastAsia" w:asciiTheme="minorEastAsia" w:hAnsiTheme="minorEastAsia" w:eastAsiaTheme="minorEastAsia" w:cstheme="minorEastAsia"/>
          <w:color w:val="auto"/>
          <w:sz w:val="36"/>
          <w:szCs w:val="36"/>
          <w:highlight w:val="none"/>
        </w:rPr>
        <w:t>本项目工程量清单及图纸另册发放。</w:t>
      </w:r>
    </w:p>
    <w:bookmarkEnd w:id="41"/>
    <w:p w14:paraId="72EBB843">
      <w:pPr>
        <w:pStyle w:val="22"/>
        <w:spacing w:line="360" w:lineRule="auto"/>
        <w:ind w:firstLine="442"/>
        <w:jc w:val="center"/>
        <w:outlineLvl w:val="0"/>
        <w:rPr>
          <w:rFonts w:hint="eastAsia" w:asciiTheme="minorEastAsia" w:hAnsiTheme="minorEastAsia" w:eastAsiaTheme="minorEastAsia" w:cstheme="minorEastAsia"/>
          <w:color w:val="auto"/>
          <w:sz w:val="44"/>
          <w:szCs w:val="44"/>
          <w:highlight w:val="none"/>
        </w:rPr>
        <w:sectPr>
          <w:pgSz w:w="11910" w:h="16840"/>
          <w:pgMar w:top="1340" w:right="1500" w:bottom="280" w:left="1680" w:header="720" w:footer="720" w:gutter="0"/>
          <w:cols w:space="720" w:num="1"/>
        </w:sectPr>
      </w:pPr>
    </w:p>
    <w:p w14:paraId="5862724C">
      <w:pPr>
        <w:pStyle w:val="22"/>
        <w:spacing w:line="360" w:lineRule="auto"/>
        <w:ind w:firstLine="442"/>
        <w:jc w:val="center"/>
        <w:outlineLvl w:val="0"/>
        <w:rPr>
          <w:rFonts w:hint="eastAsia" w:asciiTheme="minorEastAsia" w:hAnsiTheme="minorEastAsia" w:eastAsiaTheme="minorEastAsia" w:cstheme="minorEastAsia"/>
          <w:color w:val="auto"/>
          <w:sz w:val="44"/>
          <w:szCs w:val="44"/>
          <w:highlight w:val="none"/>
        </w:rPr>
      </w:pPr>
      <w:bookmarkStart w:id="42" w:name="_Toc30166"/>
      <w:r>
        <w:rPr>
          <w:rFonts w:hint="eastAsia" w:asciiTheme="minorEastAsia" w:hAnsiTheme="minorEastAsia" w:eastAsiaTheme="minorEastAsia" w:cstheme="minorEastAsia"/>
          <w:color w:val="auto"/>
          <w:sz w:val="44"/>
          <w:szCs w:val="44"/>
          <w:highlight w:val="none"/>
        </w:rPr>
        <w:t>第六章  响应文件格式</w:t>
      </w:r>
      <w:bookmarkEnd w:id="42"/>
    </w:p>
    <w:p w14:paraId="189C349C">
      <w:pPr>
        <w:pStyle w:val="3"/>
        <w:jc w:val="center"/>
        <w:rPr>
          <w:rFonts w:hint="eastAsia" w:ascii="宋体" w:hAnsi="宋体"/>
          <w:bCs w:val="0"/>
          <w:color w:val="auto"/>
          <w:highlight w:val="none"/>
        </w:rPr>
      </w:pPr>
      <w:r>
        <w:rPr>
          <w:rFonts w:hint="eastAsia" w:ascii="宋体" w:hAnsi="宋体"/>
          <w:bCs w:val="0"/>
          <w:color w:val="auto"/>
          <w:highlight w:val="none"/>
        </w:rPr>
        <w:t>第一节 封面格式</w:t>
      </w:r>
    </w:p>
    <w:p w14:paraId="06EA7176">
      <w:pPr>
        <w:rPr>
          <w:rFonts w:hint="eastAsia" w:ascii="宋体" w:hAnsi="宋体"/>
          <w:b/>
          <w:bCs/>
          <w:color w:val="auto"/>
          <w:sz w:val="32"/>
          <w:szCs w:val="32"/>
          <w:highlight w:val="none"/>
        </w:rPr>
      </w:pPr>
      <w:r>
        <w:rPr>
          <w:rFonts w:hint="eastAsia" w:ascii="宋体" w:hAnsi="宋体"/>
          <w:b/>
          <w:color w:val="auto"/>
          <w:sz w:val="32"/>
          <w:szCs w:val="32"/>
          <w:highlight w:val="none"/>
        </w:rPr>
        <w:t>（</w:t>
      </w:r>
      <w:r>
        <w:rPr>
          <w:rFonts w:hint="eastAsia" w:ascii="宋体" w:hAnsi="宋体"/>
          <w:b/>
          <w:bCs/>
          <w:color w:val="auto"/>
          <w:sz w:val="32"/>
          <w:szCs w:val="32"/>
          <w:highlight w:val="none"/>
        </w:rPr>
        <w:t>响应文件外层包装封面格式</w:t>
      </w:r>
      <w:r>
        <w:rPr>
          <w:rFonts w:hint="eastAsia" w:ascii="宋体" w:hAnsi="宋体"/>
          <w:b/>
          <w:color w:val="auto"/>
          <w:sz w:val="32"/>
          <w:szCs w:val="32"/>
          <w:highlight w:val="none"/>
        </w:rPr>
        <w:t xml:space="preserve"> ）</w:t>
      </w:r>
    </w:p>
    <w:p w14:paraId="3AA14EE3">
      <w:pPr>
        <w:snapToGrid w:val="0"/>
        <w:spacing w:before="120" w:beforeLines="50" w:after="50"/>
        <w:rPr>
          <w:rFonts w:hint="eastAsia" w:ascii="宋体" w:hAnsi="宋体"/>
          <w:color w:val="auto"/>
          <w:sz w:val="24"/>
          <w:szCs w:val="20"/>
          <w:highlight w:val="none"/>
        </w:rPr>
      </w:pPr>
    </w:p>
    <w:p w14:paraId="3C5347A1">
      <w:pPr>
        <w:snapToGrid w:val="0"/>
        <w:spacing w:before="120" w:beforeLines="50" w:after="50"/>
        <w:jc w:val="center"/>
        <w:rPr>
          <w:rFonts w:hint="eastAsia" w:ascii="宋体" w:hAnsi="宋体"/>
          <w:bCs/>
          <w:color w:val="auto"/>
          <w:sz w:val="24"/>
          <w:szCs w:val="20"/>
          <w:highlight w:val="none"/>
        </w:rPr>
      </w:pPr>
    </w:p>
    <w:p w14:paraId="6033CFB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2F9B99CF">
      <w:pPr>
        <w:snapToGrid w:val="0"/>
        <w:spacing w:before="120" w:beforeLines="50" w:after="50"/>
        <w:rPr>
          <w:rFonts w:hint="eastAsia" w:ascii="宋体" w:hAnsi="宋体"/>
          <w:bCs/>
          <w:color w:val="auto"/>
          <w:sz w:val="24"/>
          <w:szCs w:val="20"/>
          <w:highlight w:val="none"/>
        </w:rPr>
      </w:pPr>
    </w:p>
    <w:p w14:paraId="472A5D0F">
      <w:pPr>
        <w:snapToGrid w:val="0"/>
        <w:spacing w:before="120" w:beforeLines="50" w:after="50"/>
        <w:rPr>
          <w:rFonts w:hint="eastAsia" w:ascii="宋体" w:hAnsi="宋体"/>
          <w:bCs/>
          <w:color w:val="auto"/>
          <w:sz w:val="24"/>
          <w:szCs w:val="20"/>
          <w:highlight w:val="none"/>
        </w:rPr>
      </w:pPr>
    </w:p>
    <w:p w14:paraId="2377FDD0">
      <w:pPr>
        <w:snapToGrid w:val="0"/>
        <w:spacing w:before="120" w:beforeLines="50" w:after="50"/>
        <w:rPr>
          <w:rFonts w:hint="eastAsia" w:ascii="仿宋_GB2312" w:hAnsi="仿宋_GB2312" w:eastAsia="仿宋_GB2312" w:cs="仿宋_GB2312"/>
          <w:bCs/>
          <w:color w:val="auto"/>
          <w:sz w:val="32"/>
          <w:szCs w:val="32"/>
          <w:highlight w:val="none"/>
        </w:rPr>
      </w:pPr>
    </w:p>
    <w:p w14:paraId="3EA636A2">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38045E7">
      <w:pPr>
        <w:snapToGrid w:val="0"/>
        <w:spacing w:before="120" w:beforeLines="50" w:after="50"/>
        <w:ind w:firstLine="480" w:firstLineChars="150"/>
        <w:rPr>
          <w:rFonts w:hint="eastAsia" w:ascii="宋体" w:hAnsi="宋体" w:cs="仿宋_GB2312"/>
          <w:bCs/>
          <w:color w:val="auto"/>
          <w:sz w:val="32"/>
          <w:szCs w:val="32"/>
          <w:highlight w:val="none"/>
        </w:rPr>
      </w:pPr>
    </w:p>
    <w:p w14:paraId="7B16EA1C">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0F48B58C">
      <w:pPr>
        <w:snapToGrid w:val="0"/>
        <w:spacing w:before="120" w:beforeLines="50" w:after="50"/>
        <w:ind w:firstLine="480" w:firstLineChars="150"/>
        <w:rPr>
          <w:rFonts w:hint="eastAsia" w:ascii="宋体" w:hAnsi="宋体" w:cs="仿宋_GB2312"/>
          <w:bCs/>
          <w:color w:val="auto"/>
          <w:sz w:val="32"/>
          <w:szCs w:val="32"/>
          <w:highlight w:val="none"/>
        </w:rPr>
      </w:pPr>
    </w:p>
    <w:p w14:paraId="700EEDC5">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7AF04B7">
      <w:pPr>
        <w:snapToGrid w:val="0"/>
        <w:spacing w:before="120" w:beforeLines="50" w:after="50"/>
        <w:rPr>
          <w:rFonts w:hint="eastAsia" w:ascii="宋体" w:hAnsi="宋体" w:cs="仿宋_GB2312"/>
          <w:bCs/>
          <w:color w:val="auto"/>
          <w:sz w:val="32"/>
          <w:szCs w:val="32"/>
          <w:highlight w:val="none"/>
        </w:rPr>
      </w:pPr>
    </w:p>
    <w:p w14:paraId="13F473F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FD7B7FF">
      <w:pPr>
        <w:snapToGrid w:val="0"/>
        <w:spacing w:before="120" w:beforeLines="50" w:after="50"/>
        <w:rPr>
          <w:rFonts w:hint="eastAsia" w:ascii="宋体" w:hAnsi="宋体" w:cs="仿宋_GB2312"/>
          <w:bCs/>
          <w:color w:val="auto"/>
          <w:sz w:val="32"/>
          <w:szCs w:val="32"/>
          <w:highlight w:val="none"/>
        </w:rPr>
      </w:pPr>
    </w:p>
    <w:p w14:paraId="7FC2E237">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31ABC4F7">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039F70CB">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53BD52B1">
      <w:pPr>
        <w:rPr>
          <w:color w:val="auto"/>
          <w:highlight w:val="none"/>
        </w:rPr>
        <w:sectPr>
          <w:pgSz w:w="11910" w:h="16840"/>
          <w:pgMar w:top="1340" w:right="1500" w:bottom="280" w:left="1680" w:header="720" w:footer="720" w:gutter="0"/>
          <w:cols w:space="720" w:num="1"/>
        </w:sectPr>
      </w:pPr>
    </w:p>
    <w:p w14:paraId="111CF191">
      <w:pPr>
        <w:pStyle w:val="3"/>
        <w:jc w:val="center"/>
        <w:rPr>
          <w:rFonts w:hint="eastAsia" w:ascii="宋体" w:hAnsi="宋体"/>
          <w:bCs w:val="0"/>
          <w:color w:val="auto"/>
          <w:highlight w:val="none"/>
        </w:rPr>
      </w:pPr>
      <w:r>
        <w:rPr>
          <w:rFonts w:hint="eastAsia" w:ascii="宋体" w:hAnsi="宋体"/>
          <w:bCs w:val="0"/>
          <w:color w:val="auto"/>
          <w:highlight w:val="none"/>
        </w:rPr>
        <w:t>第二节 资格证明文件格式</w:t>
      </w:r>
    </w:p>
    <w:p w14:paraId="60FBF19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757B1ABC">
      <w:pPr>
        <w:snapToGrid w:val="0"/>
        <w:spacing w:before="120" w:beforeLines="50" w:after="50"/>
        <w:rPr>
          <w:rFonts w:hint="eastAsia" w:ascii="宋体" w:hAnsi="宋体"/>
          <w:color w:val="auto"/>
          <w:sz w:val="24"/>
          <w:szCs w:val="20"/>
          <w:highlight w:val="none"/>
        </w:rPr>
      </w:pPr>
    </w:p>
    <w:p w14:paraId="64C2A3F5">
      <w:pPr>
        <w:snapToGrid w:val="0"/>
        <w:spacing w:before="120" w:beforeLines="50" w:after="50"/>
        <w:rPr>
          <w:rFonts w:hint="eastAsia" w:ascii="宋体" w:hAnsi="宋体"/>
          <w:color w:val="auto"/>
          <w:sz w:val="24"/>
          <w:szCs w:val="20"/>
          <w:highlight w:val="none"/>
        </w:rPr>
      </w:pPr>
    </w:p>
    <w:p w14:paraId="03A733B8">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6693301D">
      <w:pPr>
        <w:snapToGrid w:val="0"/>
        <w:spacing w:before="120" w:beforeLines="50" w:after="50"/>
        <w:rPr>
          <w:rFonts w:hint="eastAsia" w:ascii="宋体" w:hAnsi="宋体"/>
          <w:bCs/>
          <w:color w:val="auto"/>
          <w:sz w:val="24"/>
          <w:szCs w:val="20"/>
          <w:highlight w:val="none"/>
        </w:rPr>
      </w:pPr>
    </w:p>
    <w:p w14:paraId="05FC2DE0">
      <w:pPr>
        <w:snapToGrid w:val="0"/>
        <w:spacing w:before="120" w:beforeLines="50" w:after="50"/>
        <w:rPr>
          <w:rFonts w:hint="eastAsia" w:ascii="宋体" w:hAnsi="宋体"/>
          <w:bCs/>
          <w:color w:val="auto"/>
          <w:sz w:val="24"/>
          <w:szCs w:val="20"/>
          <w:highlight w:val="none"/>
        </w:rPr>
      </w:pPr>
    </w:p>
    <w:p w14:paraId="5E0344C3">
      <w:pPr>
        <w:snapToGrid w:val="0"/>
        <w:spacing w:before="120" w:beforeLines="50" w:after="50"/>
        <w:rPr>
          <w:rFonts w:hint="eastAsia" w:ascii="宋体" w:hAnsi="宋体"/>
          <w:bCs/>
          <w:color w:val="auto"/>
          <w:sz w:val="24"/>
          <w:szCs w:val="20"/>
          <w:highlight w:val="none"/>
        </w:rPr>
      </w:pPr>
    </w:p>
    <w:p w14:paraId="54241314">
      <w:pPr>
        <w:snapToGrid w:val="0"/>
        <w:spacing w:before="120" w:beforeLines="50" w:after="50"/>
        <w:rPr>
          <w:rFonts w:hint="eastAsia" w:ascii="宋体" w:hAnsi="宋体"/>
          <w:bCs/>
          <w:color w:val="auto"/>
          <w:sz w:val="24"/>
          <w:szCs w:val="20"/>
          <w:highlight w:val="none"/>
        </w:rPr>
      </w:pPr>
    </w:p>
    <w:p w14:paraId="28D42FDF">
      <w:pPr>
        <w:snapToGrid w:val="0"/>
        <w:spacing w:before="120" w:beforeLines="50" w:after="50"/>
        <w:rPr>
          <w:rFonts w:hint="eastAsia" w:ascii="宋体" w:hAnsi="宋体"/>
          <w:bCs/>
          <w:color w:val="auto"/>
          <w:sz w:val="24"/>
          <w:szCs w:val="20"/>
          <w:highlight w:val="none"/>
        </w:rPr>
      </w:pPr>
    </w:p>
    <w:p w14:paraId="01083890">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6E66A69">
      <w:pPr>
        <w:snapToGrid w:val="0"/>
        <w:spacing w:before="120" w:beforeLines="50" w:after="50"/>
        <w:ind w:firstLine="720" w:firstLineChars="225"/>
        <w:rPr>
          <w:rFonts w:hint="eastAsia" w:ascii="宋体" w:hAnsi="宋体" w:cs="仿宋_GB2312"/>
          <w:bCs/>
          <w:color w:val="auto"/>
          <w:sz w:val="32"/>
          <w:szCs w:val="32"/>
          <w:highlight w:val="none"/>
        </w:rPr>
      </w:pPr>
    </w:p>
    <w:p w14:paraId="5B757AD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40C1006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0BF90749">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8C6AE69">
      <w:pPr>
        <w:snapToGrid w:val="0"/>
        <w:spacing w:before="120" w:beforeLines="50" w:after="50"/>
        <w:ind w:firstLine="720" w:firstLineChars="225"/>
        <w:rPr>
          <w:rFonts w:hint="eastAsia" w:ascii="宋体" w:hAnsi="宋体" w:cs="仿宋_GB2312"/>
          <w:bCs/>
          <w:color w:val="auto"/>
          <w:sz w:val="32"/>
          <w:szCs w:val="32"/>
          <w:highlight w:val="none"/>
        </w:rPr>
      </w:pPr>
    </w:p>
    <w:p w14:paraId="433A5CA7">
      <w:pPr>
        <w:pStyle w:val="7"/>
        <w:snapToGrid w:val="0"/>
        <w:spacing w:before="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0090DFB6">
      <w:pPr>
        <w:pStyle w:val="7"/>
        <w:snapToGrid w:val="0"/>
        <w:spacing w:before="50" w:after="50"/>
        <w:ind w:firstLine="720" w:firstLineChars="225"/>
        <w:rPr>
          <w:rFonts w:hint="eastAsia" w:ascii="宋体" w:hAnsi="宋体" w:cs="仿宋_GB2312"/>
          <w:bCs/>
          <w:color w:val="auto"/>
          <w:sz w:val="32"/>
          <w:szCs w:val="32"/>
          <w:highlight w:val="none"/>
        </w:rPr>
      </w:pPr>
    </w:p>
    <w:p w14:paraId="5D9A8575">
      <w:pPr>
        <w:pStyle w:val="7"/>
        <w:snapToGrid w:val="0"/>
        <w:spacing w:before="50" w:after="50"/>
        <w:ind w:firstLine="720" w:firstLineChars="225"/>
        <w:rPr>
          <w:rFonts w:hint="eastAsia" w:ascii="宋体" w:hAnsi="宋体" w:cs="仿宋_GB2312"/>
          <w:bCs/>
          <w:color w:val="auto"/>
          <w:sz w:val="32"/>
          <w:szCs w:val="32"/>
          <w:highlight w:val="none"/>
        </w:rPr>
      </w:pPr>
    </w:p>
    <w:p w14:paraId="0BCE0567">
      <w:pPr>
        <w:pStyle w:val="7"/>
        <w:snapToGrid w:val="0"/>
        <w:spacing w:before="50" w:after="50"/>
        <w:ind w:firstLine="720" w:firstLineChars="225"/>
        <w:rPr>
          <w:rFonts w:hint="eastAsia" w:ascii="宋体" w:hAnsi="宋体" w:cs="仿宋_GB2312"/>
          <w:bCs/>
          <w:color w:val="auto"/>
          <w:sz w:val="32"/>
          <w:szCs w:val="32"/>
          <w:highlight w:val="none"/>
        </w:rPr>
      </w:pPr>
    </w:p>
    <w:p w14:paraId="53D913C1">
      <w:pPr>
        <w:pStyle w:val="7"/>
        <w:snapToGrid w:val="0"/>
        <w:spacing w:before="50" w:after="50"/>
        <w:ind w:firstLine="1280" w:firstLineChars="400"/>
        <w:rPr>
          <w:rFonts w:hint="eastAsia" w:ascii="宋体" w:hAnsi="宋体" w:cs="仿宋_GB2312"/>
          <w:bCs/>
          <w:color w:val="auto"/>
          <w:sz w:val="32"/>
          <w:szCs w:val="32"/>
          <w:highlight w:val="none"/>
        </w:rPr>
      </w:pPr>
    </w:p>
    <w:p w14:paraId="4D9ECCB9">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EAA1E2E">
      <w:pPr>
        <w:pStyle w:val="22"/>
        <w:spacing w:line="360" w:lineRule="auto"/>
        <w:ind w:firstLine="0" w:firstLineChars="0"/>
        <w:rPr>
          <w:color w:val="auto"/>
          <w:sz w:val="21"/>
          <w:szCs w:val="21"/>
          <w:highlight w:val="none"/>
        </w:rPr>
      </w:pPr>
      <w:r>
        <w:rPr>
          <w:rFonts w:ascii="宋体" w:hAnsi="宋体"/>
          <w:color w:val="auto"/>
          <w:sz w:val="24"/>
          <w:highlight w:val="none"/>
        </w:rPr>
        <w:br w:type="page"/>
      </w:r>
    </w:p>
    <w:p w14:paraId="023F4362">
      <w:pPr>
        <w:snapToGrid w:val="0"/>
        <w:spacing w:before="120" w:beforeLines="50" w:after="50"/>
        <w:jc w:val="left"/>
        <w:rPr>
          <w:rFonts w:hint="eastAsia" w:ascii="宋体" w:hAnsi="宋体"/>
          <w:b/>
          <w:color w:val="auto"/>
          <w:sz w:val="32"/>
          <w:szCs w:val="32"/>
          <w:highlight w:val="none"/>
        </w:rPr>
      </w:pPr>
    </w:p>
    <w:p w14:paraId="6B5142B9">
      <w:pPr>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资格证明文件目录</w:t>
      </w:r>
    </w:p>
    <w:p w14:paraId="7C8DF1E7">
      <w:pPr>
        <w:pStyle w:val="62"/>
        <w:rPr>
          <w:color w:val="auto"/>
          <w:highlight w:val="none"/>
        </w:rPr>
      </w:pPr>
    </w:p>
    <w:p w14:paraId="2E008092">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w:t>
      </w:r>
      <w:r>
        <w:rPr>
          <w:rFonts w:hint="eastAsia" w:asciiTheme="minorEastAsia" w:hAnsiTheme="minorEastAsia" w:eastAsiaTheme="minorEastAsia" w:cstheme="minorEastAsia"/>
          <w:color w:val="auto"/>
          <w:highlight w:val="none"/>
        </w:rPr>
        <w:t>供应商为法人或者其他组织的提供其营业执照等证明文件（如营业执照或者事业单位法人证书或者执业许可证等），供应商为自然人的提供其身份证复印件</w:t>
      </w:r>
      <w:r>
        <w:rPr>
          <w:rFonts w:hint="eastAsia" w:ascii="宋体" w:hAnsi="宋体"/>
          <w:color w:val="auto"/>
          <w:spacing w:val="2"/>
          <w:highlight w:val="none"/>
        </w:rPr>
        <w:t>………………………………………………（页码）</w:t>
      </w:r>
    </w:p>
    <w:p w14:paraId="510ACBCC">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二、有效的资质证书、安全生产许可证复印件</w:t>
      </w:r>
      <w:r>
        <w:rPr>
          <w:rFonts w:ascii="宋体" w:hAnsi="宋体"/>
          <w:color w:val="auto"/>
          <w:spacing w:val="2"/>
          <w:highlight w:val="none"/>
        </w:rPr>
        <w:t>………………………………………………</w:t>
      </w:r>
      <w:r>
        <w:rPr>
          <w:rFonts w:hint="eastAsia" w:ascii="宋体" w:hAnsi="宋体"/>
          <w:color w:val="auto"/>
          <w:spacing w:val="2"/>
          <w:highlight w:val="none"/>
        </w:rPr>
        <w:t>（页码）</w:t>
      </w:r>
    </w:p>
    <w:p w14:paraId="7AAD1DEC">
      <w:pPr>
        <w:autoSpaceDE w:val="0"/>
        <w:autoSpaceDN w:val="0"/>
        <w:adjustRightInd w:val="0"/>
        <w:spacing w:line="360" w:lineRule="auto"/>
        <w:jc w:val="left"/>
        <w:rPr>
          <w:rFonts w:hint="eastAsia" w:asciiTheme="minorEastAsia" w:hAnsiTheme="minorEastAsia" w:eastAsiaTheme="minorEastAsia" w:cstheme="minorEastAsia"/>
          <w:color w:val="auto"/>
          <w:highlight w:val="none"/>
        </w:rPr>
      </w:pPr>
      <w:r>
        <w:rPr>
          <w:rFonts w:hint="eastAsia" w:ascii="宋体" w:hAnsi="宋体" w:cs="宋体"/>
          <w:color w:val="auto"/>
          <w:kern w:val="0"/>
          <w:highlight w:val="none"/>
        </w:rPr>
        <w:t>三、</w:t>
      </w:r>
      <w:r>
        <w:rPr>
          <w:rFonts w:hint="eastAsia" w:asciiTheme="minorEastAsia" w:hAnsiTheme="minorEastAsia" w:eastAsiaTheme="minorEastAsia" w:cstheme="minorEastAsia"/>
          <w:color w:val="auto"/>
          <w:highlight w:val="none"/>
        </w:rPr>
        <w:t>项目经理:有效的注册建造师资质证书、安全生产考核合格证书（B类）复印件</w:t>
      </w:r>
      <w:r>
        <w:rPr>
          <w:rFonts w:ascii="宋体" w:hAnsi="宋体"/>
          <w:color w:val="auto"/>
          <w:spacing w:val="2"/>
          <w:highlight w:val="none"/>
        </w:rPr>
        <w:t>……</w:t>
      </w:r>
      <w:r>
        <w:rPr>
          <w:rFonts w:hint="eastAsia" w:ascii="宋体" w:hAnsi="宋体"/>
          <w:color w:val="auto"/>
          <w:spacing w:val="2"/>
          <w:highlight w:val="none"/>
        </w:rPr>
        <w:t>（页码）</w:t>
      </w:r>
    </w:p>
    <w:p w14:paraId="5089F344">
      <w:pPr>
        <w:autoSpaceDE w:val="0"/>
        <w:autoSpaceDN w:val="0"/>
        <w:adjustRightInd w:val="0"/>
        <w:spacing w:line="360" w:lineRule="auto"/>
        <w:jc w:val="left"/>
        <w:rPr>
          <w:rFonts w:hint="eastAsia" w:hAnsi="宋体"/>
          <w:color w:val="auto"/>
          <w:spacing w:val="2"/>
          <w:highlight w:val="none"/>
        </w:rPr>
      </w:pPr>
      <w:r>
        <w:rPr>
          <w:rFonts w:hint="eastAsia" w:asciiTheme="minorEastAsia" w:hAnsiTheme="minorEastAsia" w:eastAsiaTheme="minorEastAsia" w:cstheme="minorEastAsia"/>
          <w:color w:val="auto"/>
          <w:highlight w:val="none"/>
        </w:rPr>
        <w:t>四、专职安全生产管理人员：有效的安全员证书及安全生产考核合格证书(C类)复印件</w:t>
      </w:r>
      <w:r>
        <w:rPr>
          <w:rFonts w:ascii="宋体" w:hAnsi="宋体"/>
          <w:color w:val="auto"/>
          <w:spacing w:val="2"/>
          <w:highlight w:val="none"/>
        </w:rPr>
        <w:t>…</w:t>
      </w:r>
      <w:r>
        <w:rPr>
          <w:rFonts w:hint="eastAsia" w:ascii="宋体" w:hAnsi="宋体"/>
          <w:color w:val="auto"/>
          <w:spacing w:val="2"/>
          <w:highlight w:val="none"/>
        </w:rPr>
        <w:t>（页码）</w:t>
      </w:r>
    </w:p>
    <w:p w14:paraId="05F9E83F">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依法缴纳税收的相关材料（开标截止之日起半年内任意</w:t>
      </w:r>
      <w:r>
        <w:rPr>
          <w:rFonts w:hint="eastAsia" w:ascii="宋体" w:hAnsi="宋体" w:cs="宋体"/>
          <w:color w:val="auto"/>
          <w:highlight w:val="none"/>
          <w:lang w:val="en-US" w:eastAsia="zh-CN"/>
        </w:rPr>
        <w:t>1个月</w:t>
      </w:r>
      <w:r>
        <w:rPr>
          <w:rFonts w:hint="eastAsia" w:ascii="宋体" w:hAnsi="宋体" w:cs="宋体"/>
          <w:color w:val="auto"/>
          <w:highlight w:val="none"/>
        </w:rPr>
        <w:t>的依法缴纳税收的凭据复印件；依法免税的供应商，必须提供相应文件证明其依法免税。从成立之日起到</w:t>
      </w:r>
      <w:r>
        <w:rPr>
          <w:rFonts w:hint="eastAsia" w:ascii="宋体" w:hAnsi="宋体" w:cs="宋体"/>
          <w:color w:val="auto"/>
          <w:highlight w:val="none"/>
          <w:lang w:eastAsia="zh-CN"/>
        </w:rPr>
        <w:t>响应文件</w:t>
      </w:r>
      <w:r>
        <w:rPr>
          <w:rFonts w:hint="eastAsia" w:ascii="宋体" w:hAnsi="宋体" w:cs="宋体"/>
          <w:color w:val="auto"/>
          <w:highlight w:val="none"/>
        </w:rPr>
        <w:t>提交截止时间止不足要求月数的，只需提供从成立之日起的依法缴纳税收相应证明文件）</w:t>
      </w:r>
      <w:r>
        <w:rPr>
          <w:rFonts w:ascii="宋体" w:hAnsi="宋体"/>
          <w:color w:val="auto"/>
          <w:spacing w:val="2"/>
          <w:highlight w:val="none"/>
        </w:rPr>
        <w:t>…………</w:t>
      </w:r>
      <w:r>
        <w:rPr>
          <w:rFonts w:hint="eastAsia" w:ascii="宋体" w:hAnsi="宋体"/>
          <w:color w:val="auto"/>
          <w:spacing w:val="2"/>
          <w:highlight w:val="none"/>
        </w:rPr>
        <w:t>（页码）</w:t>
      </w:r>
    </w:p>
    <w:p w14:paraId="0BDD74CD">
      <w:pPr>
        <w:spacing w:line="360" w:lineRule="auto"/>
        <w:jc w:val="distribute"/>
        <w:rPr>
          <w:rFonts w:hint="eastAsia" w:ascii="宋体" w:hAnsi="宋体" w:cs="宋体"/>
          <w:color w:val="auto"/>
          <w:highlight w:val="none"/>
        </w:rPr>
      </w:pPr>
      <w:r>
        <w:rPr>
          <w:rFonts w:hint="eastAsia" w:ascii="宋体" w:hAnsi="宋体" w:cs="宋体"/>
          <w:color w:val="auto"/>
          <w:highlight w:val="none"/>
        </w:rPr>
        <w:t>六、</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依法缴纳社会保障资金的相关材料[开标截止之日起半年内任意</w:t>
      </w:r>
      <w:r>
        <w:rPr>
          <w:rFonts w:hint="eastAsia" w:ascii="宋体" w:hAnsi="宋体" w:cs="宋体"/>
          <w:color w:val="auto"/>
          <w:highlight w:val="none"/>
          <w:lang w:val="en-US" w:eastAsia="zh-CN"/>
        </w:rPr>
        <w:t>1个月</w:t>
      </w:r>
      <w:r>
        <w:rPr>
          <w:rFonts w:hint="eastAsia" w:ascii="宋体" w:hAnsi="宋体" w:cs="宋体"/>
          <w:color w:val="auto"/>
          <w:highlight w:val="none"/>
        </w:rPr>
        <w:t>的依法缴纳社会保障资金的缴费凭证（专用收据或者社会保险缴纳清单）复印件；依法不需要缴纳社会保障资金的供应商，必须提供相应文件证明不需要缴纳社会保障资金。从成立之日起到</w:t>
      </w:r>
      <w:r>
        <w:rPr>
          <w:rFonts w:hint="eastAsia" w:ascii="宋体" w:hAnsi="宋体" w:cs="宋体"/>
          <w:color w:val="auto"/>
          <w:highlight w:val="none"/>
          <w:lang w:eastAsia="zh-CN"/>
        </w:rPr>
        <w:t>响应文件</w:t>
      </w:r>
      <w:r>
        <w:rPr>
          <w:rFonts w:hint="eastAsia" w:ascii="宋体" w:hAnsi="宋体" w:cs="宋体"/>
          <w:color w:val="auto"/>
          <w:highlight w:val="none"/>
        </w:rPr>
        <w:t>提交截止时间止不足要求月数的只需提供从成立之日起的依法缴纳社会保障资金的相应证明文件]</w:t>
      </w:r>
      <w:r>
        <w:rPr>
          <w:rFonts w:ascii="宋体" w:hAnsi="宋体"/>
          <w:color w:val="auto"/>
          <w:spacing w:val="2"/>
          <w:highlight w:val="none"/>
        </w:rPr>
        <w:t>…………</w:t>
      </w:r>
      <w:r>
        <w:rPr>
          <w:rFonts w:hint="eastAsia" w:ascii="宋体" w:hAnsi="宋体"/>
          <w:color w:val="auto"/>
          <w:spacing w:val="2"/>
          <w:highlight w:val="none"/>
        </w:rPr>
        <w:t>（页码）</w:t>
      </w:r>
    </w:p>
    <w:p w14:paraId="4E41C9C9">
      <w:pPr>
        <w:spacing w:line="360" w:lineRule="auto"/>
        <w:jc w:val="distribute"/>
        <w:rPr>
          <w:rFonts w:hint="eastAsia" w:ascii="宋体" w:hAnsi="宋体" w:cs="宋体"/>
          <w:color w:val="auto"/>
          <w:spacing w:val="2"/>
          <w:highlight w:val="none"/>
        </w:rPr>
      </w:pPr>
      <w:r>
        <w:rPr>
          <w:rFonts w:hint="eastAsia" w:ascii="宋体" w:hAnsi="宋体" w:cs="宋体"/>
          <w:color w:val="auto"/>
          <w:highlight w:val="none"/>
        </w:rPr>
        <w:t>七、</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财务状况报告（</w:t>
      </w:r>
      <w:r>
        <w:rPr>
          <w:rFonts w:hint="eastAsia" w:asciiTheme="minorEastAsia" w:hAnsiTheme="minorEastAsia" w:eastAsiaTheme="minorEastAsia" w:cstheme="minorEastAsia"/>
          <w:color w:val="auto"/>
          <w:highlight w:val="none"/>
        </w:rPr>
        <w:t>202</w:t>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年度</w:t>
      </w:r>
      <w:r>
        <w:rPr>
          <w:rFonts w:hint="eastAsia" w:asciiTheme="minorEastAsia" w:hAnsiTheme="minorEastAsia" w:eastAsiaTheme="minorEastAsia" w:cstheme="minorEastAsia"/>
          <w:color w:val="auto"/>
          <w:highlight w:val="none"/>
          <w:lang w:val="en-US" w:eastAsia="zh-CN"/>
        </w:rPr>
        <w:t>或2025年度</w:t>
      </w:r>
      <w:r>
        <w:rPr>
          <w:rFonts w:hint="eastAsia" w:ascii="宋体" w:hAnsi="宋体" w:cs="宋体"/>
          <w:color w:val="auto"/>
          <w:highlight w:val="none"/>
        </w:rPr>
        <w:t>财务报表复印件或者银行出具的资信证明；</w:t>
      </w:r>
      <w:r>
        <w:rPr>
          <w:rFonts w:hint="eastAsia" w:asciiTheme="minorEastAsia" w:hAnsiTheme="minorEastAsia" w:eastAsiaTheme="minorEastAsia" w:cstheme="minorEastAsia"/>
          <w:color w:val="auto"/>
          <w:highlight w:val="none"/>
          <w:lang w:val="en-US" w:eastAsia="zh-CN"/>
        </w:rPr>
        <w:t>供应商</w:t>
      </w:r>
      <w:r>
        <w:rPr>
          <w:rFonts w:hint="eastAsia" w:ascii="宋体" w:hAnsi="宋体" w:cs="宋体"/>
          <w:color w:val="auto"/>
          <w:highlight w:val="none"/>
        </w:rPr>
        <w:t>属于成立时间在规定年度之后的法人或其他组织，需提供成立之日起至投标截止时间前的月报表或银行出具的资信证明；资信证明应在有效期内，未注明有效期的，银行出具时间至</w:t>
      </w:r>
      <w:r>
        <w:rPr>
          <w:rFonts w:hint="eastAsia" w:ascii="宋体" w:hAnsi="宋体" w:cs="宋体"/>
          <w:color w:val="auto"/>
          <w:highlight w:val="none"/>
          <w:lang w:val="en-US" w:eastAsia="zh-CN"/>
        </w:rPr>
        <w:t>响应</w:t>
      </w:r>
      <w:r>
        <w:rPr>
          <w:rFonts w:hint="eastAsia" w:ascii="宋体" w:hAnsi="宋体" w:cs="宋体"/>
          <w:color w:val="auto"/>
          <w:highlight w:val="none"/>
        </w:rPr>
        <w:t>截止时间不超过一年）</w:t>
      </w:r>
      <w:r>
        <w:rPr>
          <w:rFonts w:ascii="宋体" w:hAnsi="宋体"/>
          <w:color w:val="auto"/>
          <w:spacing w:val="2"/>
          <w:highlight w:val="none"/>
        </w:rPr>
        <w:t>…………</w:t>
      </w:r>
      <w:r>
        <w:rPr>
          <w:rFonts w:hint="eastAsia" w:ascii="宋体" w:hAnsi="宋体"/>
          <w:color w:val="auto"/>
          <w:spacing w:val="2"/>
          <w:highlight w:val="none"/>
        </w:rPr>
        <w:t>（页码）</w:t>
      </w:r>
    </w:p>
    <w:p w14:paraId="775C8526">
      <w:pPr>
        <w:spacing w:line="360" w:lineRule="auto"/>
        <w:rPr>
          <w:rFonts w:hint="eastAsia" w:ascii="仿宋_GB2312" w:hAnsi="仿宋_GB2312" w:eastAsia="仿宋_GB2312" w:cs="仿宋_GB2312"/>
          <w:b/>
          <w:bCs/>
          <w:color w:val="auto"/>
          <w:sz w:val="24"/>
          <w:highlight w:val="none"/>
        </w:rPr>
      </w:pPr>
    </w:p>
    <w:p w14:paraId="0B7F99DF">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5EFDEBA9">
      <w:pPr>
        <w:pStyle w:val="26"/>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0A1FFCAB">
      <w:pPr>
        <w:pStyle w:val="26"/>
        <w:spacing w:line="360" w:lineRule="auto"/>
        <w:ind w:firstLine="40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w:t>
      </w:r>
    </w:p>
    <w:p w14:paraId="7CA672B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p w14:paraId="010EB5D0">
      <w:pPr>
        <w:pStyle w:val="26"/>
        <w:spacing w:line="360" w:lineRule="auto"/>
        <w:ind w:firstLine="602" w:firstLineChars="20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一、供应商为法人或者其他组织的提供其营业执照等证明文件（如营业执照或者事业单位法人证书或者执业许可证等），供应商为自然人的提供其身份证复印件</w:t>
      </w:r>
    </w:p>
    <w:p w14:paraId="3EDA03AA">
      <w:pPr>
        <w:pStyle w:val="26"/>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2EE5756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2F8F957">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003B2F2">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4340DB94">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16916F9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5E588ED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9335C48">
      <w:pPr>
        <w:pStyle w:val="22"/>
        <w:ind w:firstLine="240"/>
        <w:jc w:val="righ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bCs w:val="0"/>
          <w:color w:val="auto"/>
          <w:sz w:val="24"/>
          <w:highlight w:val="none"/>
          <w:lang w:val="zh-CN"/>
        </w:rPr>
        <w:t>日期：  年  月</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b w:val="0"/>
          <w:bCs w:val="0"/>
          <w:color w:val="auto"/>
          <w:sz w:val="24"/>
          <w:highlight w:val="none"/>
          <w:lang w:val="zh-CN"/>
        </w:rPr>
        <w:t xml:space="preserve">  日</w:t>
      </w:r>
    </w:p>
    <w:p w14:paraId="0F85426E">
      <w:pPr>
        <w:snapToGrid w:val="0"/>
        <w:spacing w:before="50" w:after="120" w:afterLines="50" w:line="440" w:lineRule="exact"/>
        <w:jc w:val="center"/>
        <w:rPr>
          <w:rFonts w:hint="eastAsia" w:asciiTheme="minorEastAsia" w:hAnsiTheme="minorEastAsia" w:eastAsiaTheme="minorEastAsia" w:cstheme="minorEastAsia"/>
          <w:b/>
          <w:color w:val="auto"/>
          <w:sz w:val="44"/>
          <w:szCs w:val="44"/>
          <w:highlight w:val="none"/>
        </w:rPr>
      </w:pPr>
    </w:p>
    <w:p w14:paraId="4A3A09FC">
      <w:pPr>
        <w:pStyle w:val="5"/>
        <w:rPr>
          <w:rFonts w:hint="eastAsia" w:asciiTheme="minorEastAsia" w:hAnsiTheme="minorEastAsia" w:eastAsiaTheme="minorEastAsia" w:cstheme="minorEastAsia"/>
          <w:color w:val="auto"/>
          <w:sz w:val="44"/>
          <w:szCs w:val="44"/>
          <w:highlight w:val="none"/>
        </w:rPr>
      </w:pPr>
    </w:p>
    <w:p w14:paraId="3606F6ED">
      <w:pPr>
        <w:rPr>
          <w:rFonts w:hint="eastAsia" w:asciiTheme="minorEastAsia" w:hAnsiTheme="minorEastAsia" w:eastAsiaTheme="minorEastAsia" w:cstheme="minorEastAsia"/>
          <w:b/>
          <w:color w:val="auto"/>
          <w:sz w:val="44"/>
          <w:szCs w:val="44"/>
          <w:highlight w:val="none"/>
        </w:rPr>
      </w:pPr>
    </w:p>
    <w:p w14:paraId="2487DF69">
      <w:pPr>
        <w:pStyle w:val="5"/>
        <w:rPr>
          <w:color w:val="auto"/>
          <w:highlight w:val="none"/>
        </w:rPr>
      </w:pPr>
    </w:p>
    <w:p w14:paraId="7919F73E">
      <w:pPr>
        <w:numPr>
          <w:ilvl w:val="0"/>
          <w:numId w:val="10"/>
        </w:num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t>有效的资质证书、安全生产许可证复印件</w:t>
      </w:r>
    </w:p>
    <w:p w14:paraId="782527F0">
      <w:pPr>
        <w:pStyle w:val="5"/>
        <w:rPr>
          <w:color w:val="auto"/>
          <w:highlight w:val="none"/>
        </w:rPr>
      </w:pPr>
    </w:p>
    <w:p w14:paraId="0F251C8D">
      <w:pPr>
        <w:pStyle w:val="26"/>
        <w:spacing w:line="360" w:lineRule="auto"/>
        <w:ind w:firstLine="602" w:firstLineChars="200"/>
        <w:rPr>
          <w:rFonts w:hint="eastAsia" w:asciiTheme="minorEastAsia" w:hAnsiTheme="minorEastAsia" w:eastAsiaTheme="minorEastAsia" w:cstheme="minorEastAsia"/>
          <w:b/>
          <w:color w:val="auto"/>
          <w:sz w:val="30"/>
          <w:szCs w:val="30"/>
          <w:highlight w:val="none"/>
        </w:rPr>
      </w:pPr>
    </w:p>
    <w:p w14:paraId="4D625806">
      <w:pPr>
        <w:rPr>
          <w:rFonts w:hint="eastAsia" w:asciiTheme="minorEastAsia" w:hAnsiTheme="minorEastAsia" w:eastAsiaTheme="minorEastAsia" w:cstheme="minorEastAsia"/>
          <w:b/>
          <w:color w:val="auto"/>
          <w:sz w:val="30"/>
          <w:szCs w:val="30"/>
          <w:highlight w:val="none"/>
        </w:rPr>
      </w:pPr>
    </w:p>
    <w:p w14:paraId="3272B1DD">
      <w:pPr>
        <w:pStyle w:val="62"/>
        <w:rPr>
          <w:color w:val="auto"/>
          <w:highlight w:val="none"/>
        </w:rPr>
      </w:pPr>
    </w:p>
    <w:p w14:paraId="16819A5C">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5FBA71A2">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601B69C0">
      <w:pPr>
        <w:pStyle w:val="5"/>
        <w:rPr>
          <w:color w:val="auto"/>
          <w:highlight w:val="none"/>
        </w:rPr>
      </w:pPr>
    </w:p>
    <w:p w14:paraId="460193B1">
      <w:pPr>
        <w:rPr>
          <w:color w:val="auto"/>
          <w:highlight w:val="none"/>
        </w:rPr>
      </w:pPr>
    </w:p>
    <w:p w14:paraId="3DC56B4F">
      <w:pPr>
        <w:pStyle w:val="62"/>
        <w:rPr>
          <w:color w:val="auto"/>
          <w:highlight w:val="none"/>
        </w:rPr>
      </w:pPr>
    </w:p>
    <w:p w14:paraId="6E69CA8C">
      <w:pPr>
        <w:rPr>
          <w:color w:val="auto"/>
          <w:highlight w:val="none"/>
        </w:rPr>
      </w:pPr>
    </w:p>
    <w:p w14:paraId="691FF475">
      <w:pPr>
        <w:rPr>
          <w:color w:val="auto"/>
          <w:highlight w:val="none"/>
        </w:rPr>
      </w:pPr>
    </w:p>
    <w:p w14:paraId="42EAAC9D">
      <w:pPr>
        <w:pStyle w:val="22"/>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三、</w:t>
      </w:r>
      <w:r>
        <w:rPr>
          <w:rFonts w:hint="eastAsia" w:asciiTheme="minorEastAsia" w:hAnsiTheme="minorEastAsia" w:eastAsiaTheme="minorEastAsia" w:cstheme="minorEastAsia"/>
          <w:color w:val="auto"/>
          <w:sz w:val="30"/>
          <w:szCs w:val="30"/>
          <w:highlight w:val="none"/>
        </w:rPr>
        <w:t>项目经理:有效的注册建造师资质证书、安全生产考核合格证书（B类）复印件；</w:t>
      </w:r>
    </w:p>
    <w:p w14:paraId="3C6A0899">
      <w:pPr>
        <w:pStyle w:val="22"/>
        <w:ind w:firstLine="602" w:firstLineChars="200"/>
        <w:rPr>
          <w:rFonts w:hint="eastAsia" w:asciiTheme="minorEastAsia" w:hAnsiTheme="minorEastAsia" w:eastAsiaTheme="minorEastAsia" w:cstheme="minorEastAsia"/>
          <w:color w:val="auto"/>
          <w:sz w:val="30"/>
          <w:szCs w:val="30"/>
          <w:highlight w:val="none"/>
        </w:rPr>
      </w:pPr>
    </w:p>
    <w:p w14:paraId="77599FC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074383EC">
      <w:pPr>
        <w:pStyle w:val="62"/>
        <w:rPr>
          <w:color w:val="auto"/>
          <w:highlight w:val="none"/>
        </w:rPr>
      </w:pPr>
    </w:p>
    <w:p w14:paraId="04AF0D3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70EC3D8B">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66703B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7FCD4C40">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07804C60">
      <w:pPr>
        <w:pStyle w:val="5"/>
        <w:rPr>
          <w:color w:val="auto"/>
          <w:highlight w:val="none"/>
        </w:rPr>
      </w:pPr>
    </w:p>
    <w:p w14:paraId="5A69F4E9">
      <w:pPr>
        <w:rPr>
          <w:color w:val="auto"/>
          <w:highlight w:val="none"/>
        </w:rPr>
      </w:pPr>
    </w:p>
    <w:p w14:paraId="681994AF">
      <w:pPr>
        <w:pStyle w:val="62"/>
        <w:rPr>
          <w:color w:val="auto"/>
          <w:highlight w:val="none"/>
        </w:rPr>
      </w:pPr>
    </w:p>
    <w:p w14:paraId="254B64A1">
      <w:pPr>
        <w:rPr>
          <w:color w:val="auto"/>
          <w:highlight w:val="none"/>
        </w:rPr>
      </w:pPr>
    </w:p>
    <w:p w14:paraId="6CAE2EBC">
      <w:pPr>
        <w:ind w:left="451"/>
        <w:rPr>
          <w:rFonts w:hint="eastAsia" w:asciiTheme="minorEastAsia" w:hAnsiTheme="minorEastAsia" w:eastAsiaTheme="minorEastAsia" w:cstheme="minorEastAsia"/>
          <w:b/>
          <w:color w:val="auto"/>
          <w:sz w:val="30"/>
          <w:szCs w:val="30"/>
          <w:highlight w:val="none"/>
        </w:rPr>
      </w:pPr>
    </w:p>
    <w:p w14:paraId="4BA9D480">
      <w:pPr>
        <w:pStyle w:val="22"/>
        <w:ind w:firstLine="301"/>
        <w:jc w:val="left"/>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kern w:val="2"/>
          <w:sz w:val="30"/>
          <w:szCs w:val="30"/>
          <w:highlight w:val="none"/>
        </w:rPr>
        <w:t>四、专职安全生产管理人员</w:t>
      </w:r>
      <w:r>
        <w:rPr>
          <w:rFonts w:hint="eastAsia" w:asciiTheme="minorEastAsia" w:hAnsiTheme="minorEastAsia" w:eastAsiaTheme="minorEastAsia" w:cstheme="minorEastAsia"/>
          <w:color w:val="auto"/>
          <w:sz w:val="30"/>
          <w:szCs w:val="30"/>
          <w:highlight w:val="none"/>
        </w:rPr>
        <w:t>：有效的安全员证书及安全生产考核合格证书(C类)复印件</w:t>
      </w:r>
    </w:p>
    <w:p w14:paraId="62873339">
      <w:pPr>
        <w:pStyle w:val="22"/>
        <w:ind w:firstLine="602" w:firstLineChars="200"/>
        <w:rPr>
          <w:rFonts w:hint="eastAsia" w:asciiTheme="minorEastAsia" w:hAnsiTheme="minorEastAsia" w:eastAsiaTheme="minorEastAsia" w:cstheme="minorEastAsia"/>
          <w:color w:val="auto"/>
          <w:sz w:val="30"/>
          <w:szCs w:val="30"/>
          <w:highlight w:val="none"/>
        </w:rPr>
      </w:pPr>
    </w:p>
    <w:p w14:paraId="585BA6F1">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28F1D14C">
      <w:pPr>
        <w:pStyle w:val="62"/>
        <w:rPr>
          <w:color w:val="auto"/>
          <w:highlight w:val="none"/>
        </w:rPr>
      </w:pPr>
    </w:p>
    <w:p w14:paraId="330597ED">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3E6CF5AA">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p>
    <w:p w14:paraId="0228D883">
      <w:pPr>
        <w:autoSpaceDE w:val="0"/>
        <w:autoSpaceDN w:val="0"/>
        <w:spacing w:line="360" w:lineRule="auto"/>
        <w:ind w:left="4365" w:leftChars="1850" w:hanging="480" w:hanging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供应商名称（电子签章）：</w:t>
      </w:r>
    </w:p>
    <w:p w14:paraId="3E92E3B5">
      <w:pPr>
        <w:jc w:val="right"/>
        <w:rPr>
          <w:color w:val="auto"/>
          <w:highlight w:val="none"/>
        </w:rPr>
      </w:pPr>
      <w:r>
        <w:rPr>
          <w:rFonts w:hint="eastAsia" w:asciiTheme="minorEastAsia" w:hAnsiTheme="minorEastAsia" w:eastAsiaTheme="minorEastAsia" w:cstheme="minorEastAsia"/>
          <w:color w:val="auto"/>
          <w:kern w:val="0"/>
          <w:sz w:val="24"/>
          <w:highlight w:val="none"/>
          <w:lang w:val="zh-CN"/>
        </w:rPr>
        <w:t>日期：  年  月   日</w:t>
      </w:r>
    </w:p>
    <w:p w14:paraId="6BCECA2E">
      <w:pPr>
        <w:pStyle w:val="5"/>
        <w:rPr>
          <w:color w:val="auto"/>
          <w:highlight w:val="none"/>
        </w:rPr>
      </w:pPr>
    </w:p>
    <w:p w14:paraId="2DEEBD08">
      <w:pPr>
        <w:ind w:left="451"/>
        <w:rPr>
          <w:rFonts w:hint="eastAsia" w:asciiTheme="minorEastAsia" w:hAnsiTheme="minorEastAsia" w:eastAsiaTheme="minorEastAsia" w:cstheme="minorEastAsia"/>
          <w:b/>
          <w:color w:val="auto"/>
          <w:sz w:val="30"/>
          <w:szCs w:val="30"/>
          <w:highlight w:val="none"/>
        </w:rPr>
      </w:pPr>
    </w:p>
    <w:p w14:paraId="6D155B05">
      <w:pPr>
        <w:ind w:left="451"/>
        <w:rPr>
          <w:rFonts w:hint="eastAsia" w:asciiTheme="minorEastAsia" w:hAnsiTheme="minorEastAsia" w:eastAsiaTheme="minorEastAsia" w:cstheme="minorEastAsia"/>
          <w:b/>
          <w:color w:val="auto"/>
          <w:sz w:val="30"/>
          <w:szCs w:val="30"/>
          <w:highlight w:val="none"/>
        </w:rPr>
      </w:pPr>
    </w:p>
    <w:p w14:paraId="5F640D10">
      <w:pPr>
        <w:rPr>
          <w:rFonts w:hint="eastAsia" w:asciiTheme="minorEastAsia" w:hAnsiTheme="minorEastAsia" w:eastAsiaTheme="minorEastAsia" w:cstheme="minorEastAsia"/>
          <w:b/>
          <w:color w:val="auto"/>
          <w:sz w:val="30"/>
          <w:szCs w:val="30"/>
          <w:highlight w:val="none"/>
        </w:rPr>
      </w:pPr>
    </w:p>
    <w:p w14:paraId="3C7D0CDE">
      <w:pPr>
        <w:pStyle w:val="22"/>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五、</w:t>
      </w:r>
      <w:r>
        <w:rPr>
          <w:rFonts w:hint="eastAsia" w:asciiTheme="minorEastAsia" w:hAnsiTheme="minorEastAsia" w:eastAsiaTheme="minorEastAsia" w:cstheme="minorEastAsia"/>
          <w:color w:val="auto"/>
          <w:sz w:val="30"/>
          <w:szCs w:val="30"/>
          <w:highlight w:val="none"/>
          <w:lang w:val="en-US" w:eastAsia="zh-CN"/>
        </w:rPr>
        <w:t>供应商</w:t>
      </w:r>
      <w:r>
        <w:rPr>
          <w:rFonts w:hint="eastAsia" w:asciiTheme="minorEastAsia" w:hAnsiTheme="minorEastAsia" w:eastAsiaTheme="minorEastAsia" w:cstheme="minorEastAsia"/>
          <w:color w:val="auto"/>
          <w:sz w:val="30"/>
          <w:szCs w:val="30"/>
          <w:highlight w:val="none"/>
        </w:rPr>
        <w:t>依法缴纳税收的相关材料（开标截止之日起半年内任意任意</w:t>
      </w:r>
      <w:r>
        <w:rPr>
          <w:rFonts w:hint="eastAsia" w:asciiTheme="minorEastAsia" w:hAnsiTheme="minorEastAsia" w:eastAsiaTheme="minorEastAsia" w:cstheme="minorEastAsia"/>
          <w:color w:val="auto"/>
          <w:sz w:val="30"/>
          <w:szCs w:val="30"/>
          <w:highlight w:val="none"/>
          <w:lang w:val="en-US" w:eastAsia="zh-CN"/>
        </w:rPr>
        <w:t>1个月</w:t>
      </w:r>
      <w:r>
        <w:rPr>
          <w:rFonts w:hint="eastAsia" w:asciiTheme="minorEastAsia" w:hAnsiTheme="minorEastAsia" w:eastAsiaTheme="minorEastAsia" w:cstheme="minorEastAsia"/>
          <w:color w:val="auto"/>
          <w:sz w:val="30"/>
          <w:szCs w:val="30"/>
          <w:highlight w:val="none"/>
        </w:rPr>
        <w:t>的依法缴纳税收的凭据复印件；依法免税的供应商，必须提供相应文件证明其依法免税。从成立之日起到</w:t>
      </w:r>
      <w:r>
        <w:rPr>
          <w:rFonts w:hint="eastAsia" w:asciiTheme="minorEastAsia" w:hAnsiTheme="minorEastAsia" w:eastAsiaTheme="minorEastAsia" w:cstheme="minorEastAsia"/>
          <w:color w:val="auto"/>
          <w:sz w:val="30"/>
          <w:szCs w:val="30"/>
          <w:highlight w:val="none"/>
          <w:lang w:eastAsia="zh-CN"/>
        </w:rPr>
        <w:t>响应文件</w:t>
      </w:r>
      <w:r>
        <w:rPr>
          <w:rFonts w:hint="eastAsia" w:asciiTheme="minorEastAsia" w:hAnsiTheme="minorEastAsia" w:eastAsiaTheme="minorEastAsia" w:cstheme="minorEastAsia"/>
          <w:color w:val="auto"/>
          <w:sz w:val="30"/>
          <w:szCs w:val="30"/>
          <w:highlight w:val="none"/>
        </w:rPr>
        <w:t>提交截止时间止不足要求月数的，只需提供从成立之日起的依法缴纳税收相应证明文件）；（必须提供，否则按</w:t>
      </w:r>
      <w:r>
        <w:rPr>
          <w:rFonts w:hint="eastAsia" w:asciiTheme="minorEastAsia" w:hAnsiTheme="minorEastAsia" w:eastAsiaTheme="minorEastAsia" w:cstheme="minorEastAsia"/>
          <w:color w:val="auto"/>
          <w:sz w:val="30"/>
          <w:szCs w:val="30"/>
          <w:highlight w:val="none"/>
          <w:lang w:eastAsia="zh-CN"/>
        </w:rPr>
        <w:t>无效响应处理</w:t>
      </w:r>
      <w:r>
        <w:rPr>
          <w:rFonts w:hint="eastAsia" w:asciiTheme="minorEastAsia" w:hAnsiTheme="minorEastAsia" w:eastAsiaTheme="minorEastAsia" w:cstheme="minorEastAsia"/>
          <w:color w:val="auto"/>
          <w:sz w:val="30"/>
          <w:szCs w:val="30"/>
          <w:highlight w:val="none"/>
        </w:rPr>
        <w:t>）</w:t>
      </w:r>
    </w:p>
    <w:p w14:paraId="62753785">
      <w:pPr>
        <w:pStyle w:val="22"/>
        <w:ind w:firstLine="301"/>
        <w:jc w:val="center"/>
        <w:rPr>
          <w:rFonts w:hint="eastAsia" w:asciiTheme="minorEastAsia" w:hAnsiTheme="minorEastAsia" w:eastAsiaTheme="minorEastAsia" w:cstheme="minorEastAsia"/>
          <w:color w:val="auto"/>
          <w:sz w:val="30"/>
          <w:szCs w:val="30"/>
          <w:highlight w:val="none"/>
        </w:rPr>
      </w:pPr>
    </w:p>
    <w:p w14:paraId="67BDE9B9">
      <w:pPr>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br w:type="page"/>
      </w:r>
    </w:p>
    <w:p w14:paraId="75BC8F49">
      <w:pPr>
        <w:pStyle w:val="22"/>
        <w:numPr>
          <w:ilvl w:val="0"/>
          <w:numId w:val="11"/>
        </w:numPr>
        <w:ind w:firstLine="0" w:firstLineChars="0"/>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供应商依法缴纳社会保障资金的相关材料[开标截止之日起半年内任意任意</w:t>
      </w:r>
      <w:r>
        <w:rPr>
          <w:rFonts w:hint="eastAsia" w:asciiTheme="minorEastAsia" w:hAnsiTheme="minorEastAsia" w:eastAsiaTheme="minorEastAsia" w:cstheme="minorEastAsia"/>
          <w:color w:val="auto"/>
          <w:sz w:val="30"/>
          <w:szCs w:val="30"/>
          <w:highlight w:val="none"/>
          <w:lang w:val="en-US" w:eastAsia="zh-CN"/>
        </w:rPr>
        <w:t>1个月</w:t>
      </w:r>
      <w:r>
        <w:rPr>
          <w:rFonts w:hint="eastAsia" w:asciiTheme="minorEastAsia" w:hAnsiTheme="minorEastAsia" w:eastAsiaTheme="minorEastAsia" w:cstheme="minorEastAsia"/>
          <w:color w:val="auto"/>
          <w:sz w:val="30"/>
          <w:szCs w:val="30"/>
          <w:highlight w:val="none"/>
        </w:rPr>
        <w:t>的依法缴纳社会保障资金的缴费凭证（专用收据或者社会保险缴纳清单）复印件；依法不需要缴纳社会保障资金的供应商，必须提供相应文件证明不需要缴纳社会保障资金。从成立之日起到</w:t>
      </w:r>
      <w:r>
        <w:rPr>
          <w:rFonts w:hint="eastAsia" w:asciiTheme="minorEastAsia" w:hAnsiTheme="minorEastAsia" w:eastAsiaTheme="minorEastAsia" w:cstheme="minorEastAsia"/>
          <w:color w:val="auto"/>
          <w:sz w:val="30"/>
          <w:szCs w:val="30"/>
          <w:highlight w:val="none"/>
          <w:lang w:eastAsia="zh-CN"/>
        </w:rPr>
        <w:t>响应文件</w:t>
      </w:r>
      <w:r>
        <w:rPr>
          <w:rFonts w:hint="eastAsia" w:asciiTheme="minorEastAsia" w:hAnsiTheme="minorEastAsia" w:eastAsiaTheme="minorEastAsia" w:cstheme="minorEastAsia"/>
          <w:color w:val="auto"/>
          <w:sz w:val="30"/>
          <w:szCs w:val="30"/>
          <w:highlight w:val="none"/>
        </w:rPr>
        <w:t>提交截止时间止不足要求月数的只需提供从成立之日起的依法缴纳社会保障资金的相应证明文件]；（必须提供，否则按</w:t>
      </w:r>
      <w:r>
        <w:rPr>
          <w:rFonts w:hint="eastAsia" w:asciiTheme="minorEastAsia" w:hAnsiTheme="minorEastAsia" w:eastAsiaTheme="minorEastAsia" w:cstheme="minorEastAsia"/>
          <w:color w:val="auto"/>
          <w:sz w:val="30"/>
          <w:szCs w:val="30"/>
          <w:highlight w:val="none"/>
          <w:lang w:eastAsia="zh-CN"/>
        </w:rPr>
        <w:t>无效响应处理</w:t>
      </w:r>
      <w:r>
        <w:rPr>
          <w:rFonts w:hint="eastAsia" w:asciiTheme="minorEastAsia" w:hAnsiTheme="minorEastAsia" w:eastAsiaTheme="minorEastAsia" w:cstheme="minorEastAsia"/>
          <w:color w:val="auto"/>
          <w:sz w:val="30"/>
          <w:szCs w:val="30"/>
          <w:highlight w:val="none"/>
        </w:rPr>
        <w:t>）</w:t>
      </w:r>
    </w:p>
    <w:p w14:paraId="603E1A86">
      <w:pPr>
        <w:pStyle w:val="22"/>
        <w:ind w:firstLine="0" w:firstLineChars="0"/>
        <w:rPr>
          <w:rFonts w:hint="eastAsia" w:asciiTheme="minorEastAsia" w:hAnsiTheme="minorEastAsia" w:eastAsiaTheme="minorEastAsia" w:cstheme="minorEastAsia"/>
          <w:color w:val="auto"/>
          <w:sz w:val="30"/>
          <w:szCs w:val="30"/>
          <w:highlight w:val="none"/>
        </w:rPr>
      </w:pPr>
    </w:p>
    <w:p w14:paraId="0C167B9D">
      <w:pPr>
        <w:pStyle w:val="22"/>
        <w:ind w:firstLine="0" w:firstLineChars="0"/>
        <w:rPr>
          <w:rFonts w:hint="eastAsia" w:asciiTheme="minorEastAsia" w:hAnsiTheme="minorEastAsia" w:eastAsiaTheme="minorEastAsia" w:cstheme="minorEastAsia"/>
          <w:bCs w:val="0"/>
          <w:color w:val="auto"/>
          <w:sz w:val="30"/>
          <w:szCs w:val="30"/>
          <w:highlight w:val="none"/>
        </w:rPr>
      </w:pPr>
      <w:r>
        <w:rPr>
          <w:rFonts w:hint="eastAsia" w:asciiTheme="minorEastAsia" w:hAnsiTheme="minorEastAsia" w:eastAsiaTheme="minorEastAsia" w:cstheme="minorEastAsia"/>
          <w:color w:val="auto"/>
          <w:sz w:val="30"/>
          <w:szCs w:val="30"/>
          <w:highlight w:val="none"/>
        </w:rPr>
        <w:t>七、供应商财务状况报告（202</w:t>
      </w:r>
      <w:r>
        <w:rPr>
          <w:rFonts w:hint="eastAsia" w:asciiTheme="minorEastAsia" w:hAnsiTheme="minorEastAsia" w:eastAsiaTheme="minorEastAsia" w:cstheme="minorEastAsia"/>
          <w:color w:val="auto"/>
          <w:sz w:val="30"/>
          <w:szCs w:val="30"/>
          <w:highlight w:val="none"/>
          <w:lang w:val="en-US" w:eastAsia="zh-CN"/>
        </w:rPr>
        <w:t>4</w:t>
      </w:r>
      <w:r>
        <w:rPr>
          <w:rFonts w:hint="eastAsia" w:asciiTheme="minorEastAsia" w:hAnsiTheme="minorEastAsia" w:eastAsiaTheme="minorEastAsia" w:cstheme="minorEastAsia"/>
          <w:color w:val="auto"/>
          <w:sz w:val="30"/>
          <w:szCs w:val="30"/>
          <w:highlight w:val="none"/>
        </w:rPr>
        <w:t>年度</w:t>
      </w:r>
      <w:r>
        <w:rPr>
          <w:rFonts w:hint="eastAsia" w:asciiTheme="minorEastAsia" w:hAnsiTheme="minorEastAsia" w:eastAsiaTheme="minorEastAsia" w:cstheme="minorEastAsia"/>
          <w:color w:val="auto"/>
          <w:sz w:val="30"/>
          <w:szCs w:val="30"/>
          <w:highlight w:val="none"/>
          <w:lang w:val="en-US" w:eastAsia="zh-CN"/>
        </w:rPr>
        <w:t>或2025年度</w:t>
      </w:r>
      <w:r>
        <w:rPr>
          <w:rFonts w:hint="eastAsia" w:asciiTheme="minorEastAsia" w:hAnsiTheme="minorEastAsia" w:eastAsiaTheme="minorEastAsia" w:cstheme="minorEastAsia"/>
          <w:color w:val="auto"/>
          <w:sz w:val="30"/>
          <w:szCs w:val="30"/>
          <w:highlight w:val="none"/>
        </w:rPr>
        <w:t>财务报表复印件或者银行出具的资信证明；</w:t>
      </w:r>
      <w:r>
        <w:rPr>
          <w:rFonts w:hint="eastAsia" w:asciiTheme="minorEastAsia" w:hAnsiTheme="minorEastAsia" w:eastAsiaTheme="minorEastAsia" w:cstheme="minorEastAsia"/>
          <w:color w:val="auto"/>
          <w:sz w:val="30"/>
          <w:szCs w:val="30"/>
          <w:highlight w:val="none"/>
          <w:lang w:val="en-US" w:eastAsia="zh-CN"/>
        </w:rPr>
        <w:t>供应商</w:t>
      </w:r>
      <w:r>
        <w:rPr>
          <w:rFonts w:hint="eastAsia" w:asciiTheme="minorEastAsia" w:hAnsiTheme="minorEastAsia" w:eastAsiaTheme="minorEastAsia" w:cstheme="minorEastAsia"/>
          <w:color w:val="auto"/>
          <w:sz w:val="30"/>
          <w:szCs w:val="30"/>
          <w:highlight w:val="none"/>
        </w:rPr>
        <w:t>属于成立时间在规定年度之后的法人或其他组织，需提供成立之日起至</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截止时间前的月报表或银行出具的资信证明；资信证明应在有效期内，未注明有效期的，银行出具时间至</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截止时间不超过一年）；（必须提供，否则按无效</w:t>
      </w:r>
      <w:r>
        <w:rPr>
          <w:rFonts w:hint="eastAsia" w:asciiTheme="minorEastAsia" w:hAnsiTheme="minorEastAsia" w:eastAsiaTheme="minorEastAsia" w:cstheme="minorEastAsia"/>
          <w:color w:val="auto"/>
          <w:sz w:val="30"/>
          <w:szCs w:val="30"/>
          <w:highlight w:val="none"/>
          <w:lang w:val="en-US" w:eastAsia="zh-CN"/>
        </w:rPr>
        <w:t>响应</w:t>
      </w:r>
      <w:r>
        <w:rPr>
          <w:rFonts w:hint="eastAsia" w:asciiTheme="minorEastAsia" w:hAnsiTheme="minorEastAsia" w:eastAsiaTheme="minorEastAsia" w:cstheme="minorEastAsia"/>
          <w:color w:val="auto"/>
          <w:sz w:val="30"/>
          <w:szCs w:val="30"/>
          <w:highlight w:val="none"/>
        </w:rPr>
        <w:t>处理）</w:t>
      </w:r>
    </w:p>
    <w:p w14:paraId="49A8C425">
      <w:pPr>
        <w:pStyle w:val="22"/>
        <w:ind w:firstLine="482"/>
        <w:rPr>
          <w:rFonts w:hint="eastAsia" w:asciiTheme="minorEastAsia" w:hAnsiTheme="minorEastAsia" w:eastAsiaTheme="minorEastAsia" w:cstheme="minorEastAsia"/>
          <w:color w:val="auto"/>
          <w:highlight w:val="none"/>
        </w:rPr>
      </w:pPr>
    </w:p>
    <w:p w14:paraId="17ECDFAE">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19EAA12F">
      <w:pPr>
        <w:pStyle w:val="3"/>
        <w:jc w:val="center"/>
        <w:rPr>
          <w:rFonts w:hint="eastAsia" w:ascii="宋体" w:hAnsi="宋体"/>
          <w:b w:val="0"/>
          <w:color w:val="auto"/>
          <w:highlight w:val="none"/>
        </w:rPr>
      </w:pPr>
      <w:r>
        <w:rPr>
          <w:rFonts w:hint="eastAsia" w:ascii="宋体" w:hAnsi="宋体"/>
          <w:b w:val="0"/>
          <w:bCs w:val="0"/>
          <w:color w:val="auto"/>
          <w:highlight w:val="none"/>
        </w:rPr>
        <w:t xml:space="preserve">第三节 </w:t>
      </w:r>
      <w:r>
        <w:rPr>
          <w:rFonts w:hint="eastAsia" w:ascii="宋体" w:hAnsi="宋体"/>
          <w:b w:val="0"/>
          <w:color w:val="auto"/>
          <w:highlight w:val="none"/>
        </w:rPr>
        <w:t>商务技术文件格式</w:t>
      </w:r>
    </w:p>
    <w:p w14:paraId="594D5A54">
      <w:pPr>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2F5337A">
      <w:pPr>
        <w:snapToGrid w:val="0"/>
        <w:spacing w:before="120" w:beforeLines="50" w:after="50"/>
        <w:rPr>
          <w:rFonts w:hint="eastAsia" w:ascii="宋体" w:hAnsi="宋体"/>
          <w:color w:val="auto"/>
          <w:sz w:val="24"/>
          <w:szCs w:val="20"/>
          <w:highlight w:val="none"/>
        </w:rPr>
      </w:pPr>
    </w:p>
    <w:p w14:paraId="7288A4BE">
      <w:pPr>
        <w:snapToGrid w:val="0"/>
        <w:spacing w:before="120" w:beforeLines="50" w:after="50"/>
        <w:rPr>
          <w:rFonts w:hint="eastAsia" w:ascii="宋体" w:hAnsi="宋体"/>
          <w:color w:val="auto"/>
          <w:sz w:val="24"/>
          <w:szCs w:val="20"/>
          <w:highlight w:val="none"/>
        </w:rPr>
      </w:pPr>
    </w:p>
    <w:p w14:paraId="71DECC4D">
      <w:pPr>
        <w:snapToGrid w:val="0"/>
        <w:spacing w:before="120" w:beforeLines="50" w:after="50"/>
        <w:rPr>
          <w:rFonts w:hint="eastAsia" w:ascii="宋体" w:hAnsi="宋体"/>
          <w:color w:val="auto"/>
          <w:sz w:val="24"/>
          <w:szCs w:val="20"/>
          <w:highlight w:val="none"/>
        </w:rPr>
      </w:pPr>
    </w:p>
    <w:p w14:paraId="4CFF2E01">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05502CEB">
      <w:pPr>
        <w:snapToGrid w:val="0"/>
        <w:spacing w:before="120" w:beforeLines="50" w:after="50"/>
        <w:rPr>
          <w:rFonts w:hint="eastAsia" w:ascii="宋体" w:hAnsi="宋体"/>
          <w:bCs/>
          <w:color w:val="auto"/>
          <w:sz w:val="24"/>
          <w:szCs w:val="20"/>
          <w:highlight w:val="none"/>
        </w:rPr>
      </w:pPr>
    </w:p>
    <w:p w14:paraId="6B8B6978">
      <w:pPr>
        <w:snapToGrid w:val="0"/>
        <w:spacing w:before="120" w:beforeLines="50" w:after="50"/>
        <w:rPr>
          <w:rFonts w:hint="eastAsia" w:ascii="宋体" w:hAnsi="宋体"/>
          <w:bCs/>
          <w:color w:val="auto"/>
          <w:sz w:val="24"/>
          <w:szCs w:val="20"/>
          <w:highlight w:val="none"/>
        </w:rPr>
      </w:pPr>
    </w:p>
    <w:p w14:paraId="6544A01A">
      <w:pPr>
        <w:snapToGrid w:val="0"/>
        <w:spacing w:before="120" w:beforeLines="50" w:after="50"/>
        <w:rPr>
          <w:rFonts w:hint="eastAsia" w:ascii="宋体" w:hAnsi="宋体"/>
          <w:bCs/>
          <w:color w:val="auto"/>
          <w:sz w:val="24"/>
          <w:szCs w:val="20"/>
          <w:highlight w:val="none"/>
        </w:rPr>
      </w:pPr>
    </w:p>
    <w:p w14:paraId="61A4EE2B">
      <w:pPr>
        <w:snapToGrid w:val="0"/>
        <w:spacing w:before="120" w:beforeLines="50" w:after="50"/>
        <w:rPr>
          <w:rFonts w:hint="eastAsia" w:ascii="宋体" w:hAnsi="宋体"/>
          <w:bCs/>
          <w:color w:val="auto"/>
          <w:sz w:val="24"/>
          <w:szCs w:val="20"/>
          <w:highlight w:val="none"/>
        </w:rPr>
      </w:pPr>
    </w:p>
    <w:p w14:paraId="4D69C3CA">
      <w:pPr>
        <w:snapToGrid w:val="0"/>
        <w:spacing w:before="120" w:beforeLines="50" w:after="50"/>
        <w:rPr>
          <w:rFonts w:hint="eastAsia" w:ascii="宋体" w:hAnsi="宋体"/>
          <w:bCs/>
          <w:color w:val="auto"/>
          <w:sz w:val="24"/>
          <w:szCs w:val="20"/>
          <w:highlight w:val="none"/>
        </w:rPr>
      </w:pPr>
    </w:p>
    <w:p w14:paraId="395AA719">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0D59118">
      <w:pPr>
        <w:snapToGrid w:val="0"/>
        <w:spacing w:before="120" w:beforeLines="50" w:after="50"/>
        <w:ind w:firstLine="720" w:firstLineChars="225"/>
        <w:rPr>
          <w:rFonts w:hint="eastAsia" w:ascii="宋体" w:hAnsi="宋体" w:cs="仿宋_GB2312"/>
          <w:bCs/>
          <w:color w:val="auto"/>
          <w:sz w:val="32"/>
          <w:szCs w:val="32"/>
          <w:highlight w:val="none"/>
        </w:rPr>
      </w:pPr>
    </w:p>
    <w:p w14:paraId="4B76F03E">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65D7C16C">
      <w:pPr>
        <w:snapToGrid w:val="0"/>
        <w:spacing w:before="120"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5D50F31">
      <w:pPr>
        <w:snapToGrid w:val="0"/>
        <w:spacing w:before="120"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79E763AD">
      <w:pPr>
        <w:snapToGrid w:val="0"/>
        <w:spacing w:before="120" w:beforeLines="50" w:after="50"/>
        <w:ind w:firstLine="720" w:firstLineChars="225"/>
        <w:rPr>
          <w:rFonts w:hint="eastAsia" w:ascii="宋体" w:hAnsi="宋体" w:cs="仿宋_GB2312"/>
          <w:bCs/>
          <w:color w:val="auto"/>
          <w:sz w:val="32"/>
          <w:szCs w:val="32"/>
          <w:highlight w:val="none"/>
        </w:rPr>
      </w:pPr>
    </w:p>
    <w:p w14:paraId="52DABC20">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4A1E62B">
      <w:pPr>
        <w:pStyle w:val="7"/>
        <w:snapToGrid w:val="0"/>
        <w:spacing w:before="50" w:after="50"/>
        <w:ind w:firstLine="720" w:firstLineChars="225"/>
        <w:rPr>
          <w:rFonts w:hint="eastAsia" w:ascii="宋体" w:hAnsi="宋体" w:cs="仿宋_GB2312"/>
          <w:bCs/>
          <w:color w:val="auto"/>
          <w:sz w:val="32"/>
          <w:szCs w:val="32"/>
          <w:highlight w:val="none"/>
        </w:rPr>
      </w:pPr>
    </w:p>
    <w:p w14:paraId="25E781F2">
      <w:pPr>
        <w:pStyle w:val="7"/>
        <w:snapToGrid w:val="0"/>
        <w:spacing w:before="50" w:after="50"/>
        <w:ind w:firstLine="720" w:firstLineChars="225"/>
        <w:rPr>
          <w:rFonts w:hint="eastAsia" w:ascii="宋体" w:hAnsi="宋体" w:cs="仿宋_GB2312"/>
          <w:bCs/>
          <w:color w:val="auto"/>
          <w:sz w:val="32"/>
          <w:szCs w:val="32"/>
          <w:highlight w:val="none"/>
        </w:rPr>
      </w:pPr>
    </w:p>
    <w:p w14:paraId="2BFE6801">
      <w:pPr>
        <w:pStyle w:val="7"/>
        <w:snapToGrid w:val="0"/>
        <w:spacing w:before="50" w:after="50"/>
        <w:ind w:firstLine="1280" w:firstLineChars="400"/>
        <w:rPr>
          <w:rFonts w:hint="eastAsia" w:ascii="宋体" w:hAnsi="宋体" w:cs="仿宋_GB2312"/>
          <w:bCs/>
          <w:color w:val="auto"/>
          <w:sz w:val="32"/>
          <w:szCs w:val="32"/>
          <w:highlight w:val="none"/>
        </w:rPr>
      </w:pPr>
    </w:p>
    <w:p w14:paraId="51D56AA7">
      <w:pPr>
        <w:snapToGrid w:val="0"/>
        <w:spacing w:before="120"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08AF325">
      <w:pPr>
        <w:snapToGrid w:val="0"/>
        <w:spacing w:before="120" w:beforeLines="50" w:after="50" w:line="360" w:lineRule="auto"/>
        <w:ind w:left="142" w:firstLine="643" w:firstLineChars="200"/>
        <w:jc w:val="left"/>
        <w:rPr>
          <w:rFonts w:hint="eastAsia" w:ascii="宋体" w:hAnsi="宋体"/>
          <w:b/>
          <w:bCs/>
          <w:color w:val="auto"/>
          <w:sz w:val="32"/>
          <w:szCs w:val="32"/>
          <w:highlight w:val="none"/>
        </w:rPr>
        <w:sectPr>
          <w:pgSz w:w="11910" w:h="16840"/>
          <w:pgMar w:top="1340" w:right="1500" w:bottom="280" w:left="1680" w:header="720" w:footer="720" w:gutter="0"/>
          <w:cols w:space="720" w:num="1"/>
        </w:sectPr>
      </w:pPr>
    </w:p>
    <w:p w14:paraId="4762A061">
      <w:pPr>
        <w:pStyle w:val="22"/>
        <w:spacing w:line="360" w:lineRule="auto"/>
        <w:ind w:firstLine="321"/>
        <w:rPr>
          <w:rFonts w:hint="eastAsia" w:ascii="宋体" w:hAnsi="宋体" w:eastAsia="宋体" w:cs="Times New Roman"/>
          <w:color w:val="auto"/>
          <w:kern w:val="2"/>
          <w:sz w:val="32"/>
          <w:szCs w:val="32"/>
          <w:highlight w:val="none"/>
        </w:rPr>
      </w:pPr>
    </w:p>
    <w:p w14:paraId="55F303EF">
      <w:pPr>
        <w:pStyle w:val="22"/>
        <w:spacing w:line="360" w:lineRule="auto"/>
        <w:ind w:firstLine="321"/>
        <w:jc w:val="center"/>
        <w:rPr>
          <w:rFonts w:hint="eastAsia" w:ascii="宋体" w:hAnsi="宋体" w:eastAsia="宋体" w:cs="Times New Roman"/>
          <w:color w:val="auto"/>
          <w:kern w:val="2"/>
          <w:sz w:val="32"/>
          <w:szCs w:val="32"/>
          <w:highlight w:val="none"/>
        </w:rPr>
      </w:pPr>
      <w:r>
        <w:rPr>
          <w:rFonts w:hint="eastAsia" w:ascii="宋体" w:hAnsi="宋体" w:eastAsia="宋体" w:cs="Times New Roman"/>
          <w:color w:val="auto"/>
          <w:kern w:val="2"/>
          <w:sz w:val="32"/>
          <w:szCs w:val="32"/>
          <w:highlight w:val="none"/>
        </w:rPr>
        <w:t>商务技术文件目录</w:t>
      </w:r>
    </w:p>
    <w:p w14:paraId="48BA384B">
      <w:pPr>
        <w:pStyle w:val="22"/>
        <w:spacing w:line="360" w:lineRule="auto"/>
        <w:ind w:firstLine="321"/>
        <w:jc w:val="center"/>
        <w:rPr>
          <w:rFonts w:hint="eastAsia" w:ascii="宋体" w:hAnsi="宋体" w:eastAsia="宋体" w:cs="Times New Roman"/>
          <w:color w:val="auto"/>
          <w:kern w:val="2"/>
          <w:sz w:val="32"/>
          <w:szCs w:val="32"/>
          <w:highlight w:val="none"/>
        </w:rPr>
      </w:pPr>
    </w:p>
    <w:p w14:paraId="33C4F461">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一、法定代表人身份证明书……………………………………………………………（页码）</w:t>
      </w:r>
    </w:p>
    <w:p w14:paraId="478DBEE0">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二、响应文件签署授权委托书原件及委托代理人身份证正反面复印件……………（页码）</w:t>
      </w:r>
    </w:p>
    <w:p w14:paraId="7E8F074D">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三、农民工工资保障金的交纳与使用承诺书…………………………………………（页码）</w:t>
      </w:r>
    </w:p>
    <w:p w14:paraId="2602E709">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四、建设工程项目管理承诺书…………………………………………………………（页码）</w:t>
      </w:r>
    </w:p>
    <w:p w14:paraId="586A744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五、供应商认为需要提供的其他有关资料……………………………………………（页码）</w:t>
      </w:r>
    </w:p>
    <w:p w14:paraId="4D314AD5">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六、施工组织设计……………………………………………………………………（页码）</w:t>
      </w:r>
    </w:p>
    <w:p w14:paraId="5A73B244">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七、项目管理机构………………………………………………………………………（页码）</w:t>
      </w:r>
    </w:p>
    <w:p w14:paraId="3BDAF63E">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1、项目管理机构配备情况表………………………………………………………（页码）</w:t>
      </w:r>
    </w:p>
    <w:p w14:paraId="5A2A6666">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2、项目经理（注册建造师）简历表………………………………………………（页码）</w:t>
      </w:r>
    </w:p>
    <w:p w14:paraId="228605DF">
      <w:pPr>
        <w:spacing w:line="360" w:lineRule="auto"/>
        <w:jc w:val="distribute"/>
        <w:rPr>
          <w:rFonts w:hint="eastAsia" w:ascii="宋体" w:hAnsi="宋体"/>
          <w:color w:val="auto"/>
          <w:spacing w:val="2"/>
          <w:highlight w:val="none"/>
        </w:rPr>
      </w:pPr>
      <w:r>
        <w:rPr>
          <w:rFonts w:hint="eastAsia" w:ascii="宋体" w:hAnsi="宋体"/>
          <w:color w:val="auto"/>
          <w:spacing w:val="2"/>
          <w:highlight w:val="none"/>
        </w:rPr>
        <w:t xml:space="preserve">  3、项目技术负责人简历表…………………………………………………………（页码）八、企业业绩（如有）…………………………………………………………………（页码）</w:t>
      </w:r>
    </w:p>
    <w:p w14:paraId="67ECBB0D">
      <w:pPr>
        <w:pStyle w:val="22"/>
        <w:ind w:firstLine="482"/>
        <w:rPr>
          <w:color w:val="auto"/>
          <w:highlight w:val="none"/>
        </w:rPr>
      </w:pPr>
    </w:p>
    <w:p w14:paraId="7B5554AB">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注：以上目录是编制供应商响应文件的基本格式要求，各供应商可根据自身情况进一步细化。</w:t>
      </w:r>
    </w:p>
    <w:p w14:paraId="4835D4A4">
      <w:pPr>
        <w:pStyle w:val="62"/>
        <w:rPr>
          <w:color w:val="auto"/>
          <w:highlight w:val="none"/>
        </w:rPr>
      </w:pPr>
    </w:p>
    <w:p w14:paraId="0FB6688A">
      <w:pPr>
        <w:pStyle w:val="22"/>
        <w:ind w:firstLine="482"/>
        <w:rPr>
          <w:color w:val="auto"/>
          <w:highlight w:val="none"/>
        </w:rPr>
      </w:pPr>
    </w:p>
    <w:p w14:paraId="5C01575C">
      <w:pPr>
        <w:pStyle w:val="22"/>
        <w:ind w:firstLine="482"/>
        <w:rPr>
          <w:color w:val="auto"/>
          <w:highlight w:val="none"/>
        </w:rPr>
      </w:pPr>
    </w:p>
    <w:p w14:paraId="5E977FD2">
      <w:pPr>
        <w:pStyle w:val="22"/>
        <w:ind w:firstLine="482"/>
        <w:rPr>
          <w:color w:val="auto"/>
          <w:highlight w:val="none"/>
        </w:rPr>
      </w:pPr>
    </w:p>
    <w:p w14:paraId="5573A006">
      <w:pPr>
        <w:pStyle w:val="22"/>
        <w:ind w:firstLine="482"/>
        <w:rPr>
          <w:color w:val="auto"/>
          <w:highlight w:val="none"/>
        </w:rPr>
      </w:pPr>
    </w:p>
    <w:p w14:paraId="4DF93406">
      <w:pPr>
        <w:pStyle w:val="22"/>
        <w:ind w:firstLine="482"/>
        <w:rPr>
          <w:color w:val="auto"/>
          <w:highlight w:val="none"/>
        </w:rPr>
      </w:pPr>
    </w:p>
    <w:p w14:paraId="279E77DA">
      <w:pPr>
        <w:pStyle w:val="22"/>
        <w:ind w:firstLine="301"/>
        <w:jc w:val="center"/>
        <w:rPr>
          <w:rFonts w:hint="eastAsia" w:asciiTheme="minorEastAsia" w:hAnsiTheme="minorEastAsia" w:eastAsiaTheme="minorEastAsia" w:cstheme="minorEastAsia"/>
          <w:color w:val="auto"/>
          <w:sz w:val="30"/>
          <w:szCs w:val="30"/>
          <w:highlight w:val="none"/>
        </w:rPr>
      </w:pPr>
    </w:p>
    <w:p w14:paraId="7CBF5189">
      <w:pPr>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rPr>
        <w:br w:type="page"/>
      </w:r>
    </w:p>
    <w:p w14:paraId="2948E3EE">
      <w:pPr>
        <w:pStyle w:val="22"/>
        <w:ind w:firstLine="301"/>
        <w:jc w:val="center"/>
        <w:rPr>
          <w:color w:val="auto"/>
          <w:highlight w:val="none"/>
        </w:rPr>
      </w:pPr>
      <w:r>
        <w:rPr>
          <w:rFonts w:hint="eastAsia" w:asciiTheme="minorEastAsia" w:hAnsiTheme="minorEastAsia" w:eastAsiaTheme="minorEastAsia" w:cstheme="minorEastAsia"/>
          <w:color w:val="auto"/>
          <w:sz w:val="30"/>
          <w:szCs w:val="30"/>
          <w:highlight w:val="none"/>
        </w:rPr>
        <w:t>一、法定代表人身份证明书</w:t>
      </w:r>
    </w:p>
    <w:p w14:paraId="27A46701">
      <w:pPr>
        <w:jc w:val="center"/>
        <w:rPr>
          <w:rFonts w:hint="eastAsia" w:asciiTheme="minorEastAsia" w:hAnsiTheme="minorEastAsia" w:eastAsiaTheme="minorEastAsia" w:cstheme="minorEastAsia"/>
          <w:b/>
          <w:color w:val="auto"/>
          <w:highlight w:val="none"/>
        </w:rPr>
      </w:pPr>
    </w:p>
    <w:p w14:paraId="67AE8FA8">
      <w:pPr>
        <w:rPr>
          <w:rFonts w:hint="eastAsia" w:asciiTheme="minorEastAsia" w:hAnsiTheme="minorEastAsia" w:eastAsiaTheme="minorEastAsia" w:cstheme="minorEastAsia"/>
          <w:b/>
          <w:color w:val="auto"/>
          <w:highlight w:val="none"/>
        </w:rPr>
      </w:pPr>
    </w:p>
    <w:p w14:paraId="0F50A2B4">
      <w:pPr>
        <w:pStyle w:val="62"/>
        <w:rPr>
          <w:color w:val="auto"/>
          <w:highlight w:val="none"/>
        </w:rPr>
      </w:pPr>
    </w:p>
    <w:p w14:paraId="213A90F7">
      <w:pPr>
        <w:spacing w:line="360" w:lineRule="auto"/>
        <w:ind w:firstLine="61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单位名称：</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58D346E2">
      <w:pPr>
        <w:spacing w:line="360" w:lineRule="auto"/>
        <w:ind w:firstLine="612"/>
        <w:rPr>
          <w:rFonts w:hint="eastAsia" w:asciiTheme="minorEastAsia" w:hAnsiTheme="minorEastAsia" w:eastAsiaTheme="minorEastAsia" w:cstheme="minorEastAsia"/>
          <w:color w:val="auto"/>
          <w:highlight w:val="none"/>
        </w:rPr>
      </w:pPr>
    </w:p>
    <w:p w14:paraId="21C24B25">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单位性质：</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003EA592">
      <w:pPr>
        <w:spacing w:line="360" w:lineRule="auto"/>
        <w:ind w:firstLine="610"/>
        <w:rPr>
          <w:rFonts w:hint="eastAsia" w:asciiTheme="minorEastAsia" w:hAnsiTheme="minorEastAsia" w:eastAsiaTheme="minorEastAsia" w:cstheme="minorEastAsia"/>
          <w:color w:val="auto"/>
          <w:highlight w:val="none"/>
        </w:rPr>
      </w:pPr>
    </w:p>
    <w:p w14:paraId="314FF929">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p>
    <w:p w14:paraId="2E2BC111">
      <w:pPr>
        <w:spacing w:line="360" w:lineRule="auto"/>
        <w:ind w:firstLine="610"/>
        <w:rPr>
          <w:rFonts w:hint="eastAsia" w:asciiTheme="minorEastAsia" w:hAnsiTheme="minorEastAsia" w:eastAsiaTheme="minorEastAsia" w:cstheme="minorEastAsia"/>
          <w:color w:val="auto"/>
          <w:highlight w:val="none"/>
        </w:rPr>
      </w:pPr>
    </w:p>
    <w:p w14:paraId="44A57B0F">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成立时间：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4103C586">
      <w:pPr>
        <w:spacing w:line="360" w:lineRule="auto"/>
        <w:ind w:firstLine="610"/>
        <w:rPr>
          <w:rFonts w:hint="eastAsia" w:asciiTheme="minorEastAsia" w:hAnsiTheme="minorEastAsia" w:eastAsiaTheme="minorEastAsia" w:cstheme="minorEastAsia"/>
          <w:color w:val="auto"/>
          <w:highlight w:val="none"/>
          <w:u w:val="single"/>
        </w:rPr>
      </w:pPr>
    </w:p>
    <w:p w14:paraId="3B818CD8">
      <w:pPr>
        <w:spacing w:line="360" w:lineRule="auto"/>
        <w:ind w:firstLine="610"/>
        <w:rPr>
          <w:rFonts w:hint="eastAsia" w:asciiTheme="minorEastAsia" w:hAnsiTheme="minorEastAsia" w:eastAsiaTheme="minorEastAsia" w:cstheme="minorEastAsia"/>
          <w:color w:val="auto"/>
          <w:highlight w:val="none"/>
        </w:rPr>
      </w:pPr>
    </w:p>
    <w:p w14:paraId="3736B89D">
      <w:pPr>
        <w:spacing w:line="360" w:lineRule="auto"/>
        <w:ind w:firstLine="610"/>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职务：</w:t>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ab/>
      </w:r>
      <w:r>
        <w:rPr>
          <w:rFonts w:hint="eastAsia" w:asciiTheme="minorEastAsia" w:hAnsiTheme="minorEastAsia" w:eastAsiaTheme="minorEastAsia" w:cstheme="minorEastAsia"/>
          <w:color w:val="auto"/>
          <w:highlight w:val="none"/>
          <w:u w:val="single"/>
        </w:rPr>
        <w:t xml:space="preserve"> </w:t>
      </w:r>
    </w:p>
    <w:p w14:paraId="6B660F9C">
      <w:pPr>
        <w:spacing w:line="360" w:lineRule="auto"/>
        <w:ind w:firstLine="610"/>
        <w:rPr>
          <w:color w:val="auto"/>
          <w:highlight w:val="non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w:t>
      </w:r>
    </w:p>
    <w:p w14:paraId="57A8F7B8">
      <w:pPr>
        <w:spacing w:line="360" w:lineRule="auto"/>
        <w:ind w:firstLine="610"/>
        <w:rPr>
          <w:rFonts w:hint="eastAsia" w:asciiTheme="minorEastAsia" w:hAnsiTheme="minorEastAsia" w:eastAsiaTheme="minorEastAsia" w:cstheme="minorEastAsia"/>
          <w:color w:val="auto"/>
          <w:highlight w:val="none"/>
        </w:rPr>
      </w:pPr>
    </w:p>
    <w:p w14:paraId="57608807">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系</w:t>
      </w:r>
      <w:r>
        <w:rPr>
          <w:rFonts w:hint="eastAsia" w:asciiTheme="minorEastAsia" w:hAnsiTheme="minorEastAsia" w:eastAsiaTheme="minorEastAsia" w:cstheme="minorEastAsia"/>
          <w:color w:val="auto"/>
          <w:highlight w:val="none"/>
          <w:u w:val="single"/>
        </w:rPr>
        <w:t xml:space="preserve">          （磋商供应商单位名称）         </w:t>
      </w:r>
      <w:r>
        <w:rPr>
          <w:rFonts w:hint="eastAsia" w:asciiTheme="minorEastAsia" w:hAnsiTheme="minorEastAsia" w:eastAsiaTheme="minorEastAsia" w:cstheme="minorEastAsia"/>
          <w:color w:val="auto"/>
          <w:highlight w:val="none"/>
        </w:rPr>
        <w:t>的法定代表人。</w:t>
      </w:r>
    </w:p>
    <w:p w14:paraId="71D003CB">
      <w:pPr>
        <w:spacing w:line="360" w:lineRule="auto"/>
        <w:ind w:firstLine="610"/>
        <w:rPr>
          <w:rFonts w:hint="eastAsia" w:asciiTheme="minorEastAsia" w:hAnsiTheme="minorEastAsia" w:eastAsiaTheme="minorEastAsia" w:cstheme="minorEastAsia"/>
          <w:color w:val="auto"/>
          <w:highlight w:val="none"/>
        </w:rPr>
      </w:pPr>
    </w:p>
    <w:p w14:paraId="0A68A3D6">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特此证明。</w:t>
      </w:r>
    </w:p>
    <w:p w14:paraId="55BACD59">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6445FB1F">
      <w:pPr>
        <w:tabs>
          <w:tab w:val="left" w:pos="720"/>
          <w:tab w:val="left" w:pos="900"/>
        </w:tabs>
        <w:spacing w:line="360" w:lineRule="auto"/>
        <w:ind w:firstLine="420" w:firstLineChars="200"/>
        <w:rPr>
          <w:rFonts w:hint="eastAsia" w:asciiTheme="minorEastAsia" w:hAnsiTheme="minorEastAsia" w:eastAsiaTheme="minorEastAsia" w:cstheme="minorEastAsia"/>
          <w:color w:val="auto"/>
          <w:highlight w:val="none"/>
        </w:rPr>
      </w:pPr>
    </w:p>
    <w:p w14:paraId="3AB797E3">
      <w:pPr>
        <w:tabs>
          <w:tab w:val="left" w:pos="720"/>
          <w:tab w:val="left" w:pos="900"/>
        </w:tabs>
        <w:spacing w:line="360" w:lineRule="auto"/>
        <w:ind w:firstLine="3990" w:firstLineChars="1900"/>
        <w:rPr>
          <w:rFonts w:hint="eastAsia" w:asciiTheme="minorEastAsia" w:hAnsiTheme="minorEastAsia" w:eastAsiaTheme="minorEastAsia" w:cstheme="minorEastAsia"/>
          <w:color w:val="auto"/>
          <w:highlight w:val="none"/>
        </w:rPr>
      </w:pPr>
    </w:p>
    <w:p w14:paraId="096E5366">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w:t>
      </w:r>
      <w:r>
        <w:rPr>
          <w:rFonts w:hint="eastAsia" w:asciiTheme="minorEastAsia" w:hAnsiTheme="minorEastAsia" w:eastAsiaTheme="minorEastAsia" w:cstheme="minorEastAsia"/>
          <w:color w:val="auto"/>
          <w:highlight w:val="none"/>
          <w:u w:val="single"/>
        </w:rPr>
        <w:t xml:space="preserve">             （盖公章）</w:t>
      </w:r>
    </w:p>
    <w:p w14:paraId="17D88689">
      <w:pPr>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7ADDDCA2">
      <w:pPr>
        <w:ind w:firstLine="4410" w:firstLineChars="2100"/>
        <w:rPr>
          <w:rFonts w:hint="eastAsia" w:asciiTheme="minorEastAsia" w:hAnsiTheme="minorEastAsia" w:eastAsiaTheme="minorEastAsia" w:cstheme="minorEastAsia"/>
          <w:color w:val="auto"/>
          <w:highlight w:val="none"/>
        </w:rPr>
      </w:pPr>
    </w:p>
    <w:p w14:paraId="33957F34">
      <w:pPr>
        <w:pStyle w:val="22"/>
        <w:ind w:firstLine="301"/>
        <w:rPr>
          <w:rFonts w:hint="eastAsia" w:asciiTheme="minorEastAsia" w:hAnsiTheme="minorEastAsia" w:eastAsiaTheme="minorEastAsia" w:cstheme="minorEastAsia"/>
          <w:color w:val="auto"/>
          <w:sz w:val="30"/>
          <w:szCs w:val="30"/>
          <w:highlight w:val="none"/>
        </w:rPr>
      </w:pPr>
    </w:p>
    <w:p w14:paraId="653018F7">
      <w:pPr>
        <w:pStyle w:val="22"/>
        <w:ind w:firstLine="301"/>
        <w:rPr>
          <w:rFonts w:hint="eastAsia" w:asciiTheme="minorEastAsia" w:hAnsiTheme="minorEastAsia" w:eastAsiaTheme="minorEastAsia" w:cstheme="minorEastAsia"/>
          <w:color w:val="auto"/>
          <w:sz w:val="30"/>
          <w:szCs w:val="30"/>
          <w:highlight w:val="none"/>
        </w:rPr>
      </w:pPr>
    </w:p>
    <w:p w14:paraId="5F8261A9">
      <w:pPr>
        <w:pStyle w:val="22"/>
        <w:ind w:firstLine="301"/>
        <w:rPr>
          <w:rFonts w:hint="eastAsia" w:asciiTheme="minorEastAsia" w:hAnsiTheme="minorEastAsia" w:eastAsiaTheme="minorEastAsia" w:cstheme="minorEastAsia"/>
          <w:color w:val="auto"/>
          <w:sz w:val="30"/>
          <w:szCs w:val="30"/>
          <w:highlight w:val="none"/>
        </w:rPr>
      </w:pPr>
    </w:p>
    <w:p w14:paraId="4E4CDF49">
      <w:pPr>
        <w:snapToGrid w:val="0"/>
        <w:ind w:firstLine="472" w:firstLineChars="196"/>
        <w:jc w:val="center"/>
        <w:rPr>
          <w:rFonts w:hint="eastAsia" w:ascii="宋体" w:hAnsi="宋体"/>
          <w:b/>
          <w:color w:val="auto"/>
          <w:sz w:val="24"/>
          <w:highlight w:val="none"/>
        </w:rPr>
      </w:pPr>
    </w:p>
    <w:p w14:paraId="30507C29">
      <w:pPr>
        <w:snapToGrid w:val="0"/>
        <w:ind w:firstLine="472" w:firstLineChars="196"/>
        <w:jc w:val="center"/>
        <w:rPr>
          <w:rFonts w:hint="eastAsia" w:ascii="宋体" w:hAnsi="宋体"/>
          <w:b/>
          <w:color w:val="auto"/>
          <w:sz w:val="24"/>
          <w:highlight w:val="none"/>
        </w:rPr>
      </w:pPr>
      <w:r>
        <w:rPr>
          <w:rFonts w:hint="eastAsia" w:ascii="宋体" w:hAnsi="宋体"/>
          <w:b/>
          <w:color w:val="auto"/>
          <w:sz w:val="24"/>
          <w:highlight w:val="none"/>
        </w:rPr>
        <w:t>法定代表人身份证复印件</w:t>
      </w:r>
    </w:p>
    <w:p w14:paraId="0EA928FE">
      <w:pPr>
        <w:rPr>
          <w:rFonts w:hint="eastAsia" w:ascii="宋体" w:hAnsi="宋体"/>
          <w:color w:val="auto"/>
          <w:highlight w:val="none"/>
        </w:rPr>
      </w:pPr>
    </w:p>
    <w:p w14:paraId="61FA473A">
      <w:pPr>
        <w:rPr>
          <w:rFonts w:hint="eastAsia" w:ascii="宋体" w:hAnsi="宋体"/>
          <w:color w:val="auto"/>
          <w:highlight w:val="none"/>
        </w:rPr>
      </w:pPr>
      <w:r>
        <w:rPr>
          <w:rFonts w:hint="eastAsia" w:ascii="宋体" w:hAnsi="宋体"/>
          <w:color w:val="auto"/>
          <w:highlight w:val="none"/>
          <w:lang w:val="en-US" w:eastAsia="zh-CN"/>
        </w:rPr>
        <w:t>供应商</w:t>
      </w:r>
      <w:r>
        <w:rPr>
          <w:rFonts w:hint="eastAsia" w:ascii="宋体" w:hAnsi="宋体"/>
          <w:color w:val="auto"/>
          <w:highlight w:val="none"/>
        </w:rPr>
        <w:t>法定代表人身份证复印件：</w:t>
      </w:r>
    </w:p>
    <w:p w14:paraId="2762C9E4">
      <w:pPr>
        <w:rPr>
          <w:rFonts w:hint="eastAsia" w:ascii="宋体" w:hAnsi="宋体"/>
          <w:color w:val="auto"/>
          <w:highlight w:val="none"/>
        </w:rPr>
      </w:pPr>
    </w:p>
    <w:tbl>
      <w:tblPr>
        <w:tblStyle w:val="44"/>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600BA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14:paraId="142F3DE9">
            <w:pPr>
              <w:jc w:val="center"/>
              <w:rPr>
                <w:rFonts w:hint="eastAsia" w:ascii="宋体" w:hAnsi="宋体"/>
                <w:color w:val="auto"/>
                <w:highlight w:val="none"/>
              </w:rPr>
            </w:pPr>
            <w:r>
              <w:rPr>
                <w:rFonts w:hint="eastAsia" w:ascii="宋体" w:hAnsi="宋体"/>
                <w:color w:val="auto"/>
                <w:highlight w:val="none"/>
              </w:rPr>
              <w:t>身份证（正面）</w:t>
            </w:r>
          </w:p>
        </w:tc>
      </w:tr>
    </w:tbl>
    <w:p w14:paraId="15A9C1AD">
      <w:pPr>
        <w:rPr>
          <w:rFonts w:hint="eastAsia" w:ascii="宋体" w:hAnsi="宋体"/>
          <w:color w:val="auto"/>
          <w:highlight w:val="none"/>
        </w:rPr>
      </w:pPr>
    </w:p>
    <w:tbl>
      <w:tblPr>
        <w:tblStyle w:val="44"/>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14:paraId="2811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14:paraId="1F0C697F">
            <w:pPr>
              <w:jc w:val="center"/>
              <w:rPr>
                <w:rFonts w:hint="eastAsia" w:ascii="宋体" w:hAnsi="宋体"/>
                <w:color w:val="auto"/>
                <w:highlight w:val="none"/>
              </w:rPr>
            </w:pPr>
            <w:r>
              <w:rPr>
                <w:rFonts w:hint="eastAsia" w:ascii="宋体" w:hAnsi="宋体"/>
                <w:color w:val="auto"/>
                <w:highlight w:val="none"/>
              </w:rPr>
              <w:t>身份证（反面）</w:t>
            </w:r>
          </w:p>
          <w:p w14:paraId="13EC3ABB">
            <w:pPr>
              <w:jc w:val="center"/>
              <w:rPr>
                <w:rFonts w:hint="eastAsia" w:ascii="宋体" w:hAnsi="宋体"/>
                <w:color w:val="auto"/>
                <w:highlight w:val="none"/>
              </w:rPr>
            </w:pPr>
          </w:p>
        </w:tc>
      </w:tr>
    </w:tbl>
    <w:p w14:paraId="3C28AA23">
      <w:pPr>
        <w:rPr>
          <w:rFonts w:hint="eastAsia" w:ascii="宋体" w:hAnsi="宋体"/>
          <w:color w:val="auto"/>
          <w:highlight w:val="none"/>
        </w:rPr>
      </w:pPr>
    </w:p>
    <w:p w14:paraId="12AC3EA9">
      <w:pPr>
        <w:rPr>
          <w:rFonts w:hint="eastAsia" w:ascii="宋体" w:hAnsi="宋体"/>
          <w:color w:val="auto"/>
          <w:highlight w:val="none"/>
        </w:rPr>
      </w:pPr>
    </w:p>
    <w:p w14:paraId="017ED13F">
      <w:pPr>
        <w:spacing w:line="360" w:lineRule="auto"/>
        <w:jc w:val="center"/>
        <w:rPr>
          <w:rFonts w:hint="eastAsia" w:ascii="宋体" w:hAnsi="宋体"/>
          <w:color w:val="auto"/>
          <w:highlight w:val="none"/>
        </w:rPr>
      </w:pPr>
      <w:r>
        <w:rPr>
          <w:rFonts w:hint="eastAsia" w:ascii="宋体" w:hAnsi="宋体"/>
          <w:color w:val="auto"/>
          <w:highlight w:val="none"/>
        </w:rPr>
        <w:t xml:space="preserve">                 </w:t>
      </w:r>
    </w:p>
    <w:p w14:paraId="74292C39">
      <w:pPr>
        <w:spacing w:line="360" w:lineRule="auto"/>
        <w:jc w:val="center"/>
        <w:rPr>
          <w:rFonts w:hint="eastAsia" w:ascii="宋体" w:hAnsi="宋体"/>
          <w:color w:val="auto"/>
          <w:highlight w:val="none"/>
        </w:rPr>
      </w:pPr>
    </w:p>
    <w:p w14:paraId="3964397D">
      <w:pPr>
        <w:spacing w:line="360" w:lineRule="auto"/>
        <w:jc w:val="center"/>
        <w:rPr>
          <w:rFonts w:hint="eastAsia" w:ascii="宋体" w:hAnsi="宋体"/>
          <w:color w:val="auto"/>
          <w:highlight w:val="none"/>
          <w:u w:val="single"/>
        </w:rPr>
      </w:pPr>
      <w:r>
        <w:rPr>
          <w:rFonts w:hint="eastAsia" w:ascii="宋体" w:hAnsi="宋体"/>
          <w:color w:val="auto"/>
          <w:highlight w:val="none"/>
        </w:rPr>
        <w:t xml:space="preserve">                 法定代表人（签字或盖章）：</w:t>
      </w:r>
      <w:r>
        <w:rPr>
          <w:rFonts w:hint="eastAsia" w:ascii="宋体" w:hAnsi="宋体"/>
          <w:color w:val="auto"/>
          <w:highlight w:val="none"/>
          <w:u w:val="single"/>
        </w:rPr>
        <w:t xml:space="preserve">               </w:t>
      </w:r>
    </w:p>
    <w:p w14:paraId="6E312119">
      <w:pPr>
        <w:tabs>
          <w:tab w:val="left" w:pos="720"/>
          <w:tab w:val="left" w:pos="900"/>
        </w:tabs>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磋商供应商（盖公章）：</w:t>
      </w:r>
      <w:r>
        <w:rPr>
          <w:rFonts w:hint="eastAsia" w:asciiTheme="minorEastAsia" w:hAnsiTheme="minorEastAsia" w:eastAsiaTheme="minorEastAsia" w:cstheme="minorEastAsia"/>
          <w:color w:val="auto"/>
          <w:highlight w:val="none"/>
          <w:u w:val="single"/>
        </w:rPr>
        <w:t xml:space="preserve">             </w:t>
      </w:r>
    </w:p>
    <w:p w14:paraId="3B0771DB">
      <w:pPr>
        <w:spacing w:line="360" w:lineRule="auto"/>
        <w:ind w:firstLine="4410" w:firstLineChars="2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  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0CFD6079">
      <w:pPr>
        <w:pStyle w:val="22"/>
        <w:ind w:firstLine="482"/>
        <w:rPr>
          <w:rFonts w:hint="eastAsia" w:asciiTheme="minorEastAsia" w:hAnsiTheme="minorEastAsia" w:eastAsiaTheme="minorEastAsia" w:cstheme="minorEastAsia"/>
          <w:color w:val="auto"/>
          <w:sz w:val="30"/>
          <w:szCs w:val="30"/>
          <w:highlight w:val="none"/>
        </w:rPr>
      </w:pPr>
      <w:r>
        <w:rPr>
          <w:rFonts w:ascii="宋体" w:hAnsi="宋体"/>
          <w:color w:val="auto"/>
          <w:highlight w:val="none"/>
        </w:rPr>
        <w:br w:type="page"/>
      </w:r>
    </w:p>
    <w:p w14:paraId="0DA77E7F">
      <w:pPr>
        <w:pStyle w:val="22"/>
        <w:ind w:firstLine="301"/>
        <w:rPr>
          <w:rFonts w:hint="eastAsia" w:asciiTheme="minorEastAsia" w:hAnsiTheme="minorEastAsia" w:eastAsiaTheme="minorEastAsia" w:cstheme="minorEastAsia"/>
          <w:color w:val="auto"/>
          <w:sz w:val="30"/>
          <w:szCs w:val="30"/>
          <w:highlight w:val="none"/>
        </w:rPr>
      </w:pPr>
      <w:r>
        <w:rPr>
          <w:rFonts w:hint="eastAsia" w:asciiTheme="minorEastAsia" w:hAnsiTheme="minorEastAsia" w:eastAsiaTheme="minorEastAsia" w:cstheme="minorEastAsia"/>
          <w:color w:val="auto"/>
          <w:sz w:val="30"/>
          <w:szCs w:val="30"/>
          <w:highlight w:val="none"/>
        </w:rPr>
        <w:t>二、响应文件签署授权委托书原件及委托代理人身份证正反面复印件</w:t>
      </w:r>
    </w:p>
    <w:p w14:paraId="24141997">
      <w:pPr>
        <w:pStyle w:val="4"/>
        <w:spacing w:line="5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（委托代理时必须提供）</w:t>
      </w:r>
    </w:p>
    <w:p w14:paraId="43B581E0">
      <w:pPr>
        <w:spacing w:after="156"/>
        <w:rPr>
          <w:rFonts w:hint="eastAsia" w:asciiTheme="minorEastAsia" w:hAnsiTheme="minorEastAsia" w:eastAsiaTheme="minorEastAsia" w:cstheme="minorEastAsia"/>
          <w:b/>
          <w:color w:val="auto"/>
          <w:highlight w:val="none"/>
        </w:rPr>
      </w:pPr>
    </w:p>
    <w:p w14:paraId="4BFFDB37">
      <w:pPr>
        <w:spacing w:line="360" w:lineRule="auto"/>
        <w:ind w:firstLine="61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本授权委托书声明：我</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（姓名）系</w:t>
      </w:r>
      <w:r>
        <w:rPr>
          <w:rFonts w:hint="eastAsia" w:asciiTheme="minorEastAsia" w:hAnsiTheme="minorEastAsia" w:eastAsiaTheme="minorEastAsia" w:cstheme="minorEastAsia"/>
          <w:color w:val="auto"/>
          <w:highlight w:val="none"/>
          <w:u w:val="single"/>
        </w:rPr>
        <w:t xml:space="preserve">        （竞 标 人 名 称）</w:t>
      </w:r>
      <w:r>
        <w:rPr>
          <w:rFonts w:hint="eastAsia" w:asciiTheme="minorEastAsia" w:hAnsiTheme="minorEastAsia" w:eastAsiaTheme="minorEastAsia" w:cstheme="minorEastAsia"/>
          <w:color w:val="auto"/>
          <w:highlight w:val="none"/>
        </w:rPr>
        <w:t>的法定代表人，现授权委托</w:t>
      </w:r>
      <w:r>
        <w:rPr>
          <w:rFonts w:hint="eastAsia" w:asciiTheme="minorEastAsia" w:hAnsiTheme="minorEastAsia" w:eastAsiaTheme="minorEastAsia" w:cstheme="minorEastAsia"/>
          <w:color w:val="auto"/>
          <w:highlight w:val="none"/>
          <w:u w:val="single"/>
        </w:rPr>
        <w:t xml:space="preserve">      （单 位 名 称）     </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 xml:space="preserve">    （姓名）    </w:t>
      </w:r>
      <w:r>
        <w:rPr>
          <w:rFonts w:hint="eastAsia" w:asciiTheme="minorEastAsia" w:hAnsiTheme="minorEastAsia" w:eastAsiaTheme="minorEastAsia" w:cstheme="minorEastAsia"/>
          <w:color w:val="auto"/>
          <w:highlight w:val="none"/>
        </w:rPr>
        <w:t>为我公司签署本工程的响应文件的法定代表人授权委托代理人，我承认代理人全权代表我所签署的本工程的响应文件的内容。</w:t>
      </w:r>
    </w:p>
    <w:p w14:paraId="3D251991">
      <w:pPr>
        <w:spacing w:line="360" w:lineRule="auto"/>
        <w:ind w:firstLine="610"/>
        <w:rPr>
          <w:rFonts w:hint="eastAsia" w:asciiTheme="minorEastAsia" w:hAnsiTheme="minorEastAsia" w:eastAsiaTheme="minorEastAsia" w:cstheme="minorEastAsia"/>
          <w:color w:val="auto"/>
          <w:highlight w:val="none"/>
        </w:rPr>
      </w:pPr>
    </w:p>
    <w:p w14:paraId="0989C646">
      <w:pPr>
        <w:spacing w:line="360" w:lineRule="auto"/>
        <w:ind w:firstLine="69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代理人无转委托权，特此委托。</w:t>
      </w:r>
    </w:p>
    <w:p w14:paraId="5F8776C1">
      <w:pPr>
        <w:ind w:left="1260"/>
        <w:rPr>
          <w:rFonts w:hint="eastAsia" w:asciiTheme="minorEastAsia" w:hAnsiTheme="minorEastAsia" w:eastAsiaTheme="minorEastAsia" w:cstheme="minorEastAsia"/>
          <w:color w:val="auto"/>
          <w:highlight w:val="none"/>
        </w:rPr>
      </w:pPr>
    </w:p>
    <w:p w14:paraId="35D45774">
      <w:pPr>
        <w:ind w:left="1260"/>
        <w:rPr>
          <w:rFonts w:hint="eastAsia" w:asciiTheme="minorEastAsia" w:hAnsiTheme="minorEastAsia" w:eastAsiaTheme="minorEastAsia" w:cstheme="minorEastAsia"/>
          <w:color w:val="auto"/>
          <w:highlight w:val="none"/>
        </w:rPr>
      </w:pPr>
    </w:p>
    <w:p w14:paraId="4D8FC457">
      <w:pPr>
        <w:ind w:left="1260"/>
        <w:rPr>
          <w:rFonts w:hint="eastAsia" w:asciiTheme="minorEastAsia" w:hAnsiTheme="minorEastAsia" w:eastAsiaTheme="minorEastAsia" w:cstheme="minorEastAsia"/>
          <w:color w:val="auto"/>
          <w:highlight w:val="none"/>
        </w:rPr>
      </w:pPr>
    </w:p>
    <w:p w14:paraId="0A99A937">
      <w:pPr>
        <w:ind w:left="1260"/>
        <w:rPr>
          <w:rFonts w:hint="eastAsia" w:asciiTheme="minorEastAsia" w:hAnsiTheme="minorEastAsia" w:eastAsiaTheme="minorEastAsia" w:cstheme="minorEastAsia"/>
          <w:color w:val="auto"/>
          <w:highlight w:val="none"/>
        </w:rPr>
      </w:pPr>
    </w:p>
    <w:p w14:paraId="70254FF7">
      <w:pPr>
        <w:ind w:left="1260"/>
        <w:rPr>
          <w:rFonts w:hint="eastAsia" w:asciiTheme="minorEastAsia" w:hAnsiTheme="minorEastAsia" w:eastAsiaTheme="minorEastAsia" w:cstheme="minorEastAsia"/>
          <w:color w:val="auto"/>
          <w:highlight w:val="none"/>
        </w:rPr>
      </w:pPr>
    </w:p>
    <w:p w14:paraId="590F3EF0">
      <w:pPr>
        <w:ind w:left="1260"/>
        <w:rPr>
          <w:rFonts w:hint="eastAsia" w:asciiTheme="minorEastAsia" w:hAnsiTheme="minorEastAsia" w:eastAsiaTheme="minorEastAsia" w:cstheme="minorEastAsia"/>
          <w:color w:val="auto"/>
          <w:highlight w:val="none"/>
        </w:rPr>
      </w:pPr>
    </w:p>
    <w:p w14:paraId="51446C6E">
      <w:pPr>
        <w:ind w:left="1260"/>
        <w:rPr>
          <w:rFonts w:hint="eastAsia" w:asciiTheme="minorEastAsia" w:hAnsiTheme="minorEastAsia" w:eastAsiaTheme="minorEastAsia" w:cstheme="minorEastAsia"/>
          <w:color w:val="auto"/>
          <w:highlight w:val="none"/>
        </w:rPr>
      </w:pPr>
    </w:p>
    <w:p w14:paraId="3CDE2FD9">
      <w:pPr>
        <w:ind w:left="1260"/>
        <w:rPr>
          <w:rFonts w:hint="eastAsia" w:asciiTheme="minorEastAsia" w:hAnsiTheme="minorEastAsia" w:eastAsiaTheme="minorEastAsia" w:cstheme="minorEastAsia"/>
          <w:color w:val="auto"/>
          <w:highlight w:val="none"/>
        </w:rPr>
      </w:pPr>
    </w:p>
    <w:p w14:paraId="4D3E294A">
      <w:pPr>
        <w:ind w:left="1260"/>
        <w:rPr>
          <w:rFonts w:hint="eastAsia" w:asciiTheme="minorEastAsia" w:hAnsiTheme="minorEastAsia" w:eastAsiaTheme="minorEastAsia" w:cstheme="minorEastAsia"/>
          <w:color w:val="auto"/>
          <w:highlight w:val="none"/>
        </w:rPr>
      </w:pPr>
    </w:p>
    <w:p w14:paraId="52A98352">
      <w:pPr>
        <w:ind w:left="1260"/>
        <w:rPr>
          <w:rFonts w:hint="eastAsia" w:asciiTheme="minorEastAsia" w:hAnsiTheme="minorEastAsia" w:eastAsiaTheme="minorEastAsia" w:cstheme="minorEastAsia"/>
          <w:color w:val="auto"/>
          <w:highlight w:val="none"/>
        </w:rPr>
      </w:pPr>
    </w:p>
    <w:p w14:paraId="39367BF3">
      <w:pPr>
        <w:ind w:left="1260"/>
        <w:rPr>
          <w:rFonts w:hint="eastAsia" w:asciiTheme="minorEastAsia" w:hAnsiTheme="minorEastAsia" w:eastAsiaTheme="minorEastAsia" w:cstheme="minorEastAsia"/>
          <w:color w:val="auto"/>
          <w:highlight w:val="none"/>
        </w:rPr>
      </w:pPr>
    </w:p>
    <w:p w14:paraId="34AD53EA">
      <w:pPr>
        <w:ind w:left="1260"/>
        <w:rPr>
          <w:rFonts w:hint="eastAsia" w:asciiTheme="minorEastAsia" w:hAnsiTheme="minorEastAsia" w:eastAsiaTheme="minorEastAsia" w:cstheme="minorEastAsia"/>
          <w:color w:val="auto"/>
          <w:highlight w:val="none"/>
        </w:rPr>
      </w:pPr>
    </w:p>
    <w:p w14:paraId="47922937">
      <w:pPr>
        <w:ind w:left="1260"/>
        <w:rPr>
          <w:rFonts w:hint="eastAsia" w:asciiTheme="minorEastAsia" w:hAnsiTheme="minorEastAsia" w:eastAsiaTheme="minorEastAsia" w:cstheme="minorEastAsia"/>
          <w:color w:val="auto"/>
          <w:highlight w:val="none"/>
        </w:rPr>
      </w:pPr>
    </w:p>
    <w:p w14:paraId="4B0D229A">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代理人（签字或盖章）：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p>
    <w:p w14:paraId="21714447">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身份证号码：</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p>
    <w:p w14:paraId="5FA64E91">
      <w:pPr>
        <w:spacing w:line="360" w:lineRule="auto"/>
        <w:ind w:left="2699"/>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4CA1194F">
      <w:pPr>
        <w:spacing w:line="360" w:lineRule="auto"/>
        <w:ind w:left="2699"/>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法定代表人（签字或盖章）：</w:t>
      </w:r>
      <w:r>
        <w:rPr>
          <w:rFonts w:hint="eastAsia" w:asciiTheme="minorEastAsia" w:hAnsiTheme="minorEastAsia" w:eastAsiaTheme="minorEastAsia" w:cstheme="minorEastAsia"/>
          <w:color w:val="auto"/>
          <w:highlight w:val="none"/>
          <w:u w:val="single"/>
        </w:rPr>
        <w:t xml:space="preserve">                            </w:t>
      </w:r>
    </w:p>
    <w:p w14:paraId="0128A56D">
      <w:pPr>
        <w:pStyle w:val="16"/>
        <w:rPr>
          <w:color w:val="auto"/>
          <w:highlight w:val="none"/>
        </w:rPr>
      </w:pPr>
    </w:p>
    <w:p w14:paraId="475D932B">
      <w:pPr>
        <w:pStyle w:val="22"/>
        <w:ind w:firstLine="482"/>
        <w:rPr>
          <w:color w:val="auto"/>
          <w:highlight w:val="none"/>
        </w:rPr>
      </w:pPr>
    </w:p>
    <w:p w14:paraId="2FE2A42B">
      <w:pPr>
        <w:pStyle w:val="22"/>
        <w:ind w:firstLine="482"/>
        <w:rPr>
          <w:color w:val="auto"/>
          <w:highlight w:val="none"/>
        </w:rPr>
      </w:pPr>
    </w:p>
    <w:p w14:paraId="253D6DB7">
      <w:pPr>
        <w:pStyle w:val="22"/>
        <w:ind w:firstLine="482"/>
        <w:rPr>
          <w:color w:val="auto"/>
          <w:highlight w:val="none"/>
        </w:rPr>
      </w:pPr>
    </w:p>
    <w:p w14:paraId="4415BD86">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19402104">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12057EB4">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三、农民工工资保障金的交纳与使用承诺书</w:t>
      </w:r>
    </w:p>
    <w:p w14:paraId="2E605016">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p>
    <w:p w14:paraId="48A74736">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sz w:val="24"/>
          <w:szCs w:val="24"/>
          <w:highlight w:val="none"/>
        </w:rPr>
        <w:t>（采购单位名称）</w:t>
      </w:r>
    </w:p>
    <w:p w14:paraId="44E4E872">
      <w:pPr>
        <w:pStyle w:val="7"/>
        <w:spacing w:line="480" w:lineRule="auto"/>
        <w:ind w:firstLine="400" w:firstLineChars="1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如我公司在贵单位的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项目成交，根据广西壮族自治区劳动和社会保障厅、广西壮族自治区建设厅桂劳社发[2009]50号规定，我方在此向采购人承诺： </w:t>
      </w:r>
    </w:p>
    <w:p w14:paraId="197E0CCA">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1、我方保证在</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项目的磋商文件中，如实反映我方以前所承建工程中工资支付的情况，并特别注明至提交磋商文件截止之日止，不存在拖欠或克扣农民工工资的行为。 </w:t>
      </w:r>
    </w:p>
    <w:p w14:paraId="04BBF667">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2、我方参与磋商的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项目，一旦成交，我方保证在收到成交通知书之日起 7个工作日内，及时并足额将农民工工资保证金存入指定帐户，作为本项目农民工工资保证金。 </w:t>
      </w:r>
    </w:p>
    <w:p w14:paraId="45B62F42">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3、如我方在承包</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 xml:space="preserve"> 项目中出现欠或克扣农民工工资和其它职工工资情况的，由建设行政主管部门从本企业缴纳的农民工工资保证金中先予划支。 </w:t>
      </w:r>
    </w:p>
    <w:p w14:paraId="5CE63A1D">
      <w:pPr>
        <w:pStyle w:val="7"/>
        <w:spacing w:line="480" w:lineRule="auto"/>
        <w:ind w:firstLine="880" w:firstLineChars="367"/>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4、如我方不按时、足额存入农民工工资保证金，采购人有权取消我方成交资格。 </w:t>
      </w:r>
    </w:p>
    <w:p w14:paraId="1B6F9634">
      <w:pPr>
        <w:pStyle w:val="7"/>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45662C2E">
      <w:pPr>
        <w:pStyle w:val="7"/>
        <w:spacing w:line="360" w:lineRule="auto"/>
        <w:ind w:firstLine="400" w:firstLineChars="167"/>
        <w:rPr>
          <w:rFonts w:hint="eastAsia" w:asciiTheme="minorEastAsia" w:hAnsiTheme="minorEastAsia" w:eastAsiaTheme="minorEastAsia" w:cstheme="minorEastAsia"/>
          <w:color w:val="auto"/>
          <w:sz w:val="24"/>
          <w:szCs w:val="24"/>
          <w:highlight w:val="none"/>
        </w:rPr>
      </w:pPr>
    </w:p>
    <w:p w14:paraId="4B4E2B4D">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磋商供应商（盖章）：</w:t>
      </w:r>
      <w:r>
        <w:rPr>
          <w:rFonts w:hint="eastAsia" w:asciiTheme="minorEastAsia" w:hAnsiTheme="minorEastAsia" w:eastAsiaTheme="minorEastAsia" w:cstheme="minorEastAsia"/>
          <w:color w:val="auto"/>
          <w:sz w:val="24"/>
          <w:szCs w:val="24"/>
          <w:highlight w:val="none"/>
          <w:u w:val="single"/>
        </w:rPr>
        <w:t xml:space="preserve">                     </w:t>
      </w:r>
    </w:p>
    <w:p w14:paraId="2875CFFD">
      <w:pPr>
        <w:spacing w:line="360" w:lineRule="auto"/>
        <w:jc w:val="center"/>
        <w:rPr>
          <w:rFonts w:hint="eastAsia" w:asciiTheme="minorEastAsia" w:hAnsiTheme="minorEastAsia" w:eastAsiaTheme="minorEastAsia" w:cstheme="minorEastAsia"/>
          <w:color w:val="auto"/>
          <w:sz w:val="24"/>
          <w:szCs w:val="24"/>
          <w:highlight w:val="none"/>
          <w:u w:val="single"/>
        </w:rPr>
      </w:pPr>
      <w:r>
        <w:rPr>
          <w:rFonts w:hint="eastAsia" w:asciiTheme="minorEastAsia" w:hAnsiTheme="minorEastAsia" w:eastAsiaTheme="minorEastAsia" w:cstheme="minorEastAsia"/>
          <w:color w:val="auto"/>
          <w:sz w:val="24"/>
          <w:szCs w:val="24"/>
          <w:highlight w:val="none"/>
        </w:rPr>
        <w:t>法定代表人或授权代理人（签字或盖章）：</w:t>
      </w:r>
      <w:r>
        <w:rPr>
          <w:rFonts w:hint="eastAsia" w:asciiTheme="minorEastAsia" w:hAnsiTheme="minorEastAsia" w:eastAsiaTheme="minorEastAsia" w:cstheme="minorEastAsia"/>
          <w:color w:val="auto"/>
          <w:sz w:val="24"/>
          <w:szCs w:val="24"/>
          <w:highlight w:val="none"/>
          <w:u w:val="single"/>
        </w:rPr>
        <w:t xml:space="preserve">              </w:t>
      </w:r>
    </w:p>
    <w:p w14:paraId="738107A1">
      <w:pPr>
        <w:spacing w:line="400" w:lineRule="exact"/>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日期：</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月</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日</w:t>
      </w:r>
    </w:p>
    <w:p w14:paraId="3D94F065">
      <w:pPr>
        <w:spacing w:line="400" w:lineRule="exact"/>
        <w:jc w:val="center"/>
        <w:rPr>
          <w:rFonts w:hint="eastAsia" w:asciiTheme="minorEastAsia" w:hAnsiTheme="minorEastAsia" w:eastAsiaTheme="minorEastAsia" w:cstheme="minorEastAsia"/>
          <w:color w:val="auto"/>
          <w:highlight w:val="none"/>
        </w:rPr>
      </w:pPr>
    </w:p>
    <w:p w14:paraId="2BBDD714">
      <w:pPr>
        <w:spacing w:line="400" w:lineRule="exact"/>
        <w:jc w:val="center"/>
        <w:rPr>
          <w:rFonts w:hint="eastAsia" w:asciiTheme="minorEastAsia" w:hAnsiTheme="minorEastAsia" w:eastAsiaTheme="minorEastAsia" w:cstheme="minorEastAsia"/>
          <w:color w:val="auto"/>
          <w:highlight w:val="none"/>
        </w:rPr>
      </w:pPr>
    </w:p>
    <w:p w14:paraId="3A150BCD">
      <w:pPr>
        <w:spacing w:line="400" w:lineRule="exact"/>
        <w:jc w:val="center"/>
        <w:rPr>
          <w:rFonts w:hint="eastAsia" w:asciiTheme="minorEastAsia" w:hAnsiTheme="minorEastAsia" w:eastAsiaTheme="minorEastAsia" w:cstheme="minorEastAsia"/>
          <w:color w:val="auto"/>
          <w:highlight w:val="none"/>
        </w:rPr>
      </w:pPr>
    </w:p>
    <w:p w14:paraId="588E1481">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49E19167">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四、建设工程项目管理承诺书</w:t>
      </w:r>
    </w:p>
    <w:p w14:paraId="04FA2372">
      <w:pPr>
        <w:spacing w:line="360" w:lineRule="auto"/>
        <w:jc w:val="left"/>
        <w:rPr>
          <w:rFonts w:hint="eastAsia" w:asciiTheme="minorEastAsia" w:hAnsiTheme="minorEastAsia" w:eastAsiaTheme="minorEastAsia" w:cstheme="minorEastAsia"/>
          <w:color w:val="auto"/>
          <w:highlight w:val="none"/>
        </w:rPr>
      </w:pPr>
    </w:p>
    <w:p w14:paraId="29E34A6C">
      <w:pPr>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5C9EC864">
      <w:pPr>
        <w:spacing w:line="360" w:lineRule="auto"/>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作为参与</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（工程名称）项目的投标方，根据国家、自治区相关文件规定，我方在此向招标人承诺：</w:t>
      </w:r>
    </w:p>
    <w:p w14:paraId="2CC38671">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，我方保证按照政府相关部门的规定，在发出</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通知书之日起7个工作日内足额将农民工工资保障金转入农民工工资保障金专用账户。一旦我方所承包的该项目中出现拖欠农民工工资情况，由劳动保障、住</w:t>
      </w:r>
      <w:r>
        <w:rPr>
          <w:rFonts w:hint="eastAsia" w:asciiTheme="minorEastAsia" w:hAnsiTheme="minorEastAsia" w:eastAsiaTheme="minorEastAsia" w:cstheme="minorEastAsia"/>
          <w:color w:val="auto"/>
          <w:highlight w:val="none"/>
          <w:lang w:eastAsia="zh-CN"/>
        </w:rPr>
        <w:t>房和</w:t>
      </w:r>
      <w:r>
        <w:rPr>
          <w:rFonts w:hint="eastAsia" w:asciiTheme="minorEastAsia" w:hAnsiTheme="minorEastAsia" w:eastAsiaTheme="minorEastAsia" w:cstheme="minorEastAsia"/>
          <w:color w:val="auto"/>
          <w:highlight w:val="none"/>
        </w:rPr>
        <w:t>城乡建设行政主管部门按照《关于进一步完善建筑行业农民工工资保证金制度的通知》（桂劳社发〔2009〕50号）从我方农民工工资保障金中先予划支。</w:t>
      </w:r>
    </w:p>
    <w:p w14:paraId="4EEB85CD">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广西壮族自治区建筑工程安全文明施工费使用管理细则》（桂建质〔2015〕16号）的有关规定，确保建设工程各项安全防护、文明施工措施落实到位。如我方在该项目的承包中出现未按桂建质〔2006〕22号文附件一规定执行的情形，我方愿意按照相关规定接受建设单位及有关主管部门的处罚。</w:t>
      </w:r>
    </w:p>
    <w:p w14:paraId="0282E03A">
      <w:pPr>
        <w:spacing w:line="520" w:lineRule="exact"/>
        <w:ind w:left="-2" w:leftChars="-1" w:firstLine="449" w:firstLineChars="214"/>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1ED79427">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在施工过程中，严格执行《关于禁止使用不符合规范要求的竹脚手架的通知》（桂建管字〔2003〕40号）的有关规定，不使用竹脚手架。如我方在该项目的承包中出现未按规定执行的情形，我方愿意按照相关规定接受建设单位及有关主管部门的处罚。</w:t>
      </w:r>
    </w:p>
    <w:p w14:paraId="08C60464">
      <w:pPr>
        <w:spacing w:line="520" w:lineRule="exact"/>
        <w:ind w:left="-10" w:firstLine="455" w:firstLineChars="217"/>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我方保证严格执行《危险性较大的分部分项工程安全管理办法》（建质〔2009〕87号）的规定，强化对深基坑、高切坡、高大模板、人工挖孔桩、起重吊装、临时活动板房等重大危险源的专项施工方案的编制、论证、审批、实施、检测的风险管理。</w:t>
      </w:r>
    </w:p>
    <w:p w14:paraId="6BA5456F">
      <w:pPr>
        <w:spacing w:line="360" w:lineRule="auto"/>
        <w:ind w:firstLine="4410" w:firstLineChars="2100"/>
        <w:jc w:val="left"/>
        <w:rPr>
          <w:rFonts w:hint="eastAsia" w:asciiTheme="minorEastAsia" w:hAnsiTheme="minorEastAsia" w:eastAsiaTheme="minorEastAsia" w:cstheme="minorEastAsia"/>
          <w:color w:val="auto"/>
          <w:highlight w:val="none"/>
        </w:rPr>
      </w:pPr>
    </w:p>
    <w:p w14:paraId="10D5DF70">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p>
    <w:p w14:paraId="4646E47D">
      <w:pPr>
        <w:spacing w:line="360" w:lineRule="auto"/>
        <w:jc w:val="center"/>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法定代表人或授权代理人（签字或盖章）：</w:t>
      </w:r>
      <w:r>
        <w:rPr>
          <w:rFonts w:hint="eastAsia" w:asciiTheme="minorEastAsia" w:hAnsiTheme="minorEastAsia" w:eastAsiaTheme="minorEastAsia" w:cstheme="minorEastAsia"/>
          <w:color w:val="auto"/>
          <w:highlight w:val="none"/>
          <w:u w:val="single"/>
        </w:rPr>
        <w:t xml:space="preserve">              </w:t>
      </w:r>
    </w:p>
    <w:p w14:paraId="2D1EE0B6">
      <w:pPr>
        <w:spacing w:line="400" w:lineRule="exact"/>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157B0EFB">
      <w:pPr>
        <w:pStyle w:val="18"/>
        <w:rPr>
          <w:color w:val="auto"/>
          <w:highlight w:val="none"/>
        </w:rPr>
      </w:pPr>
      <w:r>
        <w:rPr>
          <w:rFonts w:hint="eastAsia" w:asciiTheme="minorEastAsia" w:hAnsiTheme="minorEastAsia" w:eastAsiaTheme="minorEastAsia" w:cstheme="minorEastAsia"/>
          <w:color w:val="auto"/>
          <w:highlight w:val="none"/>
        </w:rPr>
        <w:br w:type="page"/>
      </w:r>
    </w:p>
    <w:p w14:paraId="65F2F8FE">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五、供应商认为需要提供的其他有关资料</w:t>
      </w:r>
    </w:p>
    <w:p w14:paraId="0D1F544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7B098FB">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34E5118">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AE6E20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EB1B99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767A4F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FC6F7C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1FDE90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FC5469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2BDD8EE">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4ADABDB">
      <w:pPr>
        <w:pStyle w:val="62"/>
        <w:rPr>
          <w:color w:val="auto"/>
          <w:highlight w:val="none"/>
        </w:rPr>
      </w:pPr>
    </w:p>
    <w:p w14:paraId="1518FA8F">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868CD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A94E9D3">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2D445F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F4A2B3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5C33A0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1F26F3D">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403FD7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3F5E05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24ABDF77">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C3AB294">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90C2224">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03BC2CA4">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328FAD0">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AA62A8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720F882A">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3B96895B">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414B4B7B">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F3F6971">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80DF7B6">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6F3A169C">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5EE4FE9">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4CCC1006">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08DEB25E">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六、施工组织设计</w:t>
      </w:r>
    </w:p>
    <w:p w14:paraId="7AE91FC3">
      <w:pPr>
        <w:spacing w:line="460" w:lineRule="exact"/>
        <w:ind w:firstLine="420" w:firstLineChars="200"/>
        <w:rPr>
          <w:rFonts w:hint="eastAsia" w:asciiTheme="minorEastAsia" w:hAnsiTheme="minorEastAsia" w:eastAsiaTheme="minorEastAsia" w:cstheme="minorEastAsia"/>
          <w:color w:val="auto"/>
          <w:highlight w:val="none"/>
        </w:rPr>
      </w:pPr>
    </w:p>
    <w:p w14:paraId="6E6B24C2">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供应商编制施工组织设计的要求：编制时应采用文字并结合图表形式说明施工方法；拟投入本工程的主要施工设备情况、拟配备本工程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14:paraId="09F864E3">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2．施工组织设计除采用文字表述外可附下列图表，图表及格式要求附后。</w:t>
      </w:r>
    </w:p>
    <w:p w14:paraId="699AC2BA">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  拟投入本工程的主要施工设备表</w:t>
      </w:r>
    </w:p>
    <w:p w14:paraId="52949767">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  拟配备本工程的试验和检测仪器设备表</w:t>
      </w:r>
    </w:p>
    <w:p w14:paraId="38C6D818">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  劳动力计划表</w:t>
      </w:r>
    </w:p>
    <w:p w14:paraId="20F5C46A">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  计划开、竣工日期和施工进度网络图</w:t>
      </w:r>
    </w:p>
    <w:p w14:paraId="4255688E">
      <w:pPr>
        <w:spacing w:line="460" w:lineRule="exact"/>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red"/>
        </w:rPr>
        <w:t>附表</w:t>
      </w:r>
      <w:r>
        <w:rPr>
          <w:rFonts w:hint="eastAsia" w:asciiTheme="minorEastAsia" w:hAnsiTheme="minorEastAsia" w:eastAsiaTheme="minorEastAsia" w:cstheme="minorEastAsia"/>
          <w:color w:val="auto"/>
          <w:highlight w:val="red"/>
          <w:lang w:val="en-US" w:eastAsia="zh-CN"/>
        </w:rPr>
        <w:t>五</w:t>
      </w:r>
      <w:r>
        <w:rPr>
          <w:rFonts w:hint="eastAsia" w:asciiTheme="minorEastAsia" w:hAnsiTheme="minorEastAsia" w:eastAsiaTheme="minorEastAsia" w:cstheme="minorEastAsia"/>
          <w:color w:val="auto"/>
          <w:highlight w:val="red"/>
        </w:rPr>
        <w:t xml:space="preserve"> </w:t>
      </w:r>
      <w:r>
        <w:rPr>
          <w:rFonts w:hint="eastAsia" w:asciiTheme="minorEastAsia" w:hAnsiTheme="minorEastAsia" w:eastAsiaTheme="minorEastAsia" w:cstheme="minorEastAsia"/>
          <w:color w:val="auto"/>
          <w:highlight w:val="none"/>
        </w:rPr>
        <w:t xml:space="preserve"> 临时用地表</w:t>
      </w:r>
    </w:p>
    <w:p w14:paraId="3713488B">
      <w:pPr>
        <w:spacing w:line="460" w:lineRule="exact"/>
        <w:ind w:firstLine="420" w:firstLineChars="200"/>
        <w:rPr>
          <w:rFonts w:hint="eastAsia" w:asciiTheme="minorEastAsia" w:hAnsiTheme="minorEastAsia" w:eastAsiaTheme="minorEastAsia" w:cstheme="minorEastAsia"/>
          <w:color w:val="auto"/>
          <w:highlight w:val="none"/>
        </w:rPr>
      </w:pPr>
    </w:p>
    <w:p w14:paraId="3BE68919">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附表一：拟投入本工程的主要施工设备表</w:t>
      </w:r>
    </w:p>
    <w:tbl>
      <w:tblPr>
        <w:tblStyle w:val="4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851"/>
        <w:gridCol w:w="1134"/>
        <w:gridCol w:w="992"/>
        <w:gridCol w:w="1134"/>
        <w:gridCol w:w="992"/>
      </w:tblGrid>
      <w:tr w14:paraId="3A76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758" w:type="dxa"/>
            <w:tcBorders>
              <w:top w:val="single" w:color="auto" w:sz="4" w:space="0"/>
              <w:left w:val="single" w:color="auto" w:sz="4" w:space="0"/>
              <w:bottom w:val="single" w:color="auto" w:sz="4" w:space="0"/>
              <w:right w:val="single" w:color="auto" w:sz="4" w:space="0"/>
            </w:tcBorders>
            <w:vAlign w:val="center"/>
          </w:tcPr>
          <w:p w14:paraId="7C40752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2BB71C3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7C4986F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16B0BE8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14799EA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0086BF5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02F2C6E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851" w:type="dxa"/>
            <w:tcBorders>
              <w:top w:val="single" w:color="auto" w:sz="4" w:space="0"/>
              <w:left w:val="single" w:color="auto" w:sz="4" w:space="0"/>
              <w:bottom w:val="single" w:color="auto" w:sz="4" w:space="0"/>
              <w:right w:val="single" w:color="auto" w:sz="4" w:space="0"/>
            </w:tcBorders>
            <w:vAlign w:val="center"/>
          </w:tcPr>
          <w:p w14:paraId="67428A2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w:t>
            </w:r>
          </w:p>
          <w:p w14:paraId="110BDA2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年份</w:t>
            </w:r>
          </w:p>
        </w:tc>
        <w:tc>
          <w:tcPr>
            <w:tcW w:w="1134" w:type="dxa"/>
            <w:tcBorders>
              <w:top w:val="single" w:color="auto" w:sz="4" w:space="0"/>
              <w:left w:val="single" w:color="auto" w:sz="4" w:space="0"/>
              <w:bottom w:val="single" w:color="auto" w:sz="4" w:space="0"/>
              <w:right w:val="single" w:color="auto" w:sz="4" w:space="0"/>
            </w:tcBorders>
            <w:vAlign w:val="center"/>
          </w:tcPr>
          <w:p w14:paraId="3ECEE33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额定功率</w:t>
            </w:r>
          </w:p>
          <w:p w14:paraId="761200D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（KW）</w:t>
            </w:r>
          </w:p>
        </w:tc>
        <w:tc>
          <w:tcPr>
            <w:tcW w:w="992" w:type="dxa"/>
            <w:tcBorders>
              <w:top w:val="single" w:color="auto" w:sz="4" w:space="0"/>
              <w:left w:val="single" w:color="auto" w:sz="4" w:space="0"/>
              <w:bottom w:val="single" w:color="auto" w:sz="4" w:space="0"/>
              <w:right w:val="single" w:color="auto" w:sz="4" w:space="0"/>
            </w:tcBorders>
            <w:vAlign w:val="center"/>
          </w:tcPr>
          <w:p w14:paraId="2001DCC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生产</w:t>
            </w:r>
          </w:p>
          <w:p w14:paraId="69F6B8A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能力</w:t>
            </w:r>
          </w:p>
        </w:tc>
        <w:tc>
          <w:tcPr>
            <w:tcW w:w="1134" w:type="dxa"/>
            <w:tcBorders>
              <w:top w:val="single" w:color="auto" w:sz="4" w:space="0"/>
              <w:left w:val="single" w:color="auto" w:sz="4" w:space="0"/>
              <w:bottom w:val="single" w:color="auto" w:sz="4" w:space="0"/>
              <w:right w:val="single" w:color="auto" w:sz="4" w:space="0"/>
            </w:tcBorders>
            <w:vAlign w:val="center"/>
          </w:tcPr>
          <w:p w14:paraId="0AD9028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用于施</w:t>
            </w:r>
          </w:p>
          <w:p w14:paraId="6AFB9C9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工部位</w:t>
            </w:r>
          </w:p>
        </w:tc>
        <w:tc>
          <w:tcPr>
            <w:tcW w:w="992" w:type="dxa"/>
            <w:tcBorders>
              <w:top w:val="single" w:color="auto" w:sz="4" w:space="0"/>
              <w:left w:val="single" w:color="auto" w:sz="4" w:space="0"/>
              <w:bottom w:val="single" w:color="auto" w:sz="4" w:space="0"/>
              <w:right w:val="single" w:color="auto" w:sz="4" w:space="0"/>
            </w:tcBorders>
            <w:vAlign w:val="center"/>
          </w:tcPr>
          <w:p w14:paraId="1315DB6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0994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11514A0A">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62FD9C79">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2B9D4157">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334BFE5C">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28E3B2B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7A9B8B70">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B9E12F8">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C163951">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3DB247C5">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604A68A2">
            <w:pPr>
              <w:spacing w:line="360" w:lineRule="auto"/>
              <w:rPr>
                <w:rFonts w:hint="eastAsia" w:asciiTheme="minorEastAsia" w:hAnsiTheme="minorEastAsia" w:eastAsiaTheme="minorEastAsia" w:cstheme="minorEastAsia"/>
                <w:color w:val="auto"/>
                <w:highlight w:val="none"/>
              </w:rPr>
            </w:pPr>
          </w:p>
        </w:tc>
      </w:tr>
      <w:tr w14:paraId="6A84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5D7529E4">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2F704A22">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535CC1DA">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72AE58AE">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3ABEA382">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3D4048AE">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56952C52">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8E6FA6A">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4F376EE2">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3A75B642">
            <w:pPr>
              <w:spacing w:line="360" w:lineRule="auto"/>
              <w:rPr>
                <w:rFonts w:hint="eastAsia" w:asciiTheme="minorEastAsia" w:hAnsiTheme="minorEastAsia" w:eastAsiaTheme="minorEastAsia" w:cstheme="minorEastAsia"/>
                <w:color w:val="auto"/>
                <w:highlight w:val="none"/>
              </w:rPr>
            </w:pPr>
          </w:p>
        </w:tc>
      </w:tr>
      <w:tr w14:paraId="19D3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4469F032">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3ED71AF6">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9FDE599">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4C93F261">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553F0EC1">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CF7A70F">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6016B7BB">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0DD0A1B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F792505">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81AD220">
            <w:pPr>
              <w:spacing w:line="360" w:lineRule="auto"/>
              <w:rPr>
                <w:rFonts w:hint="eastAsia" w:asciiTheme="minorEastAsia" w:hAnsiTheme="minorEastAsia" w:eastAsiaTheme="minorEastAsia" w:cstheme="minorEastAsia"/>
                <w:color w:val="auto"/>
                <w:highlight w:val="none"/>
              </w:rPr>
            </w:pPr>
          </w:p>
        </w:tc>
      </w:tr>
      <w:tr w14:paraId="4D5F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4CC14A4">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408358A9">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06C4725D">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3491B71E">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6E447196">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D33CC4B">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669FCAC">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118D9E8F">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79C32C36">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29C842D7">
            <w:pPr>
              <w:spacing w:line="360" w:lineRule="auto"/>
              <w:rPr>
                <w:rFonts w:hint="eastAsia" w:asciiTheme="minorEastAsia" w:hAnsiTheme="minorEastAsia" w:eastAsiaTheme="minorEastAsia" w:cstheme="minorEastAsia"/>
                <w:color w:val="auto"/>
                <w:highlight w:val="none"/>
              </w:rPr>
            </w:pPr>
          </w:p>
        </w:tc>
      </w:tr>
      <w:tr w14:paraId="602D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8" w:type="dxa"/>
            <w:tcBorders>
              <w:top w:val="single" w:color="auto" w:sz="4" w:space="0"/>
              <w:left w:val="single" w:color="auto" w:sz="4" w:space="0"/>
              <w:bottom w:val="single" w:color="auto" w:sz="4" w:space="0"/>
              <w:right w:val="single" w:color="auto" w:sz="4" w:space="0"/>
            </w:tcBorders>
          </w:tcPr>
          <w:p w14:paraId="6BFA87B7">
            <w:pPr>
              <w:spacing w:line="360" w:lineRule="auto"/>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tcPr>
          <w:p w14:paraId="092ACB92">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13464F91">
            <w:pPr>
              <w:spacing w:line="360" w:lineRule="auto"/>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tcPr>
          <w:p w14:paraId="2C448EB8">
            <w:pPr>
              <w:spacing w:line="360" w:lineRule="auto"/>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tcPr>
          <w:p w14:paraId="021E259A">
            <w:pPr>
              <w:spacing w:line="360" w:lineRule="auto"/>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tcPr>
          <w:p w14:paraId="40F78332">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677FFF77">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47A9BE55">
            <w:pPr>
              <w:spacing w:line="360" w:lineRule="auto"/>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tcPr>
          <w:p w14:paraId="4CEAC3E3">
            <w:pPr>
              <w:spacing w:line="360" w:lineRule="auto"/>
              <w:rPr>
                <w:rFonts w:hint="eastAsia" w:asciiTheme="minorEastAsia" w:hAnsiTheme="minorEastAsia" w:eastAsiaTheme="minorEastAsia" w:cstheme="minorEastAsia"/>
                <w:color w:val="auto"/>
                <w:highlight w:val="none"/>
              </w:rPr>
            </w:pPr>
          </w:p>
        </w:tc>
        <w:tc>
          <w:tcPr>
            <w:tcW w:w="992" w:type="dxa"/>
            <w:tcBorders>
              <w:top w:val="single" w:color="auto" w:sz="4" w:space="0"/>
              <w:left w:val="single" w:color="auto" w:sz="4" w:space="0"/>
              <w:bottom w:val="single" w:color="auto" w:sz="4" w:space="0"/>
              <w:right w:val="single" w:color="auto" w:sz="4" w:space="0"/>
            </w:tcBorders>
          </w:tcPr>
          <w:p w14:paraId="7119A4A1">
            <w:pPr>
              <w:spacing w:line="360" w:lineRule="auto"/>
              <w:rPr>
                <w:rFonts w:hint="eastAsia" w:asciiTheme="minorEastAsia" w:hAnsiTheme="minorEastAsia" w:eastAsiaTheme="minorEastAsia" w:cstheme="minorEastAsia"/>
                <w:color w:val="auto"/>
                <w:highlight w:val="none"/>
              </w:rPr>
            </w:pPr>
          </w:p>
        </w:tc>
      </w:tr>
    </w:tbl>
    <w:p w14:paraId="7EA18463">
      <w:pPr>
        <w:rPr>
          <w:rFonts w:hint="eastAsia" w:asciiTheme="minorEastAsia" w:hAnsiTheme="minorEastAsia" w:eastAsiaTheme="minorEastAsia" w:cstheme="minorEastAsia"/>
          <w:color w:val="auto"/>
          <w:highlight w:val="none"/>
        </w:rPr>
      </w:pPr>
    </w:p>
    <w:p w14:paraId="5B23C9B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附表二：拟配备本工程的试验和检测仪器设备表</w:t>
      </w:r>
    </w:p>
    <w:tbl>
      <w:tblPr>
        <w:tblStyle w:val="44"/>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226"/>
        <w:gridCol w:w="851"/>
        <w:gridCol w:w="708"/>
        <w:gridCol w:w="709"/>
        <w:gridCol w:w="1134"/>
        <w:gridCol w:w="1276"/>
        <w:gridCol w:w="1134"/>
        <w:gridCol w:w="1559"/>
      </w:tblGrid>
      <w:tr w14:paraId="4F26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17762999">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序号</w:t>
            </w:r>
          </w:p>
        </w:tc>
        <w:tc>
          <w:tcPr>
            <w:tcW w:w="1226" w:type="dxa"/>
            <w:tcBorders>
              <w:top w:val="single" w:color="auto" w:sz="4" w:space="0"/>
              <w:left w:val="single" w:color="auto" w:sz="4" w:space="0"/>
              <w:bottom w:val="single" w:color="auto" w:sz="4" w:space="0"/>
              <w:right w:val="single" w:color="auto" w:sz="4" w:space="0"/>
            </w:tcBorders>
            <w:vAlign w:val="center"/>
          </w:tcPr>
          <w:p w14:paraId="06D13A7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仪器设备名称</w:t>
            </w:r>
          </w:p>
        </w:tc>
        <w:tc>
          <w:tcPr>
            <w:tcW w:w="851" w:type="dxa"/>
            <w:tcBorders>
              <w:top w:val="single" w:color="auto" w:sz="4" w:space="0"/>
              <w:left w:val="single" w:color="auto" w:sz="4" w:space="0"/>
              <w:bottom w:val="single" w:color="auto" w:sz="4" w:space="0"/>
              <w:right w:val="single" w:color="auto" w:sz="4" w:space="0"/>
            </w:tcBorders>
            <w:vAlign w:val="center"/>
          </w:tcPr>
          <w:p w14:paraId="2561CDF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型号</w:t>
            </w:r>
          </w:p>
          <w:p w14:paraId="78ED31D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w:t>
            </w:r>
          </w:p>
        </w:tc>
        <w:tc>
          <w:tcPr>
            <w:tcW w:w="708" w:type="dxa"/>
            <w:tcBorders>
              <w:top w:val="single" w:color="auto" w:sz="4" w:space="0"/>
              <w:left w:val="single" w:color="auto" w:sz="4" w:space="0"/>
              <w:bottom w:val="single" w:color="auto" w:sz="4" w:space="0"/>
              <w:right w:val="single" w:color="auto" w:sz="4" w:space="0"/>
            </w:tcBorders>
            <w:vAlign w:val="center"/>
          </w:tcPr>
          <w:p w14:paraId="2BDA969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709" w:type="dxa"/>
            <w:tcBorders>
              <w:top w:val="single" w:color="auto" w:sz="4" w:space="0"/>
              <w:left w:val="single" w:color="auto" w:sz="4" w:space="0"/>
              <w:bottom w:val="single" w:color="auto" w:sz="4" w:space="0"/>
              <w:right w:val="single" w:color="auto" w:sz="4" w:space="0"/>
            </w:tcBorders>
            <w:vAlign w:val="center"/>
          </w:tcPr>
          <w:p w14:paraId="53DC556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国别</w:t>
            </w:r>
          </w:p>
          <w:p w14:paraId="04CF2A9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产地</w:t>
            </w:r>
          </w:p>
        </w:tc>
        <w:tc>
          <w:tcPr>
            <w:tcW w:w="1134" w:type="dxa"/>
            <w:tcBorders>
              <w:top w:val="single" w:color="auto" w:sz="4" w:space="0"/>
              <w:left w:val="single" w:color="auto" w:sz="4" w:space="0"/>
              <w:bottom w:val="single" w:color="auto" w:sz="4" w:space="0"/>
              <w:right w:val="single" w:color="auto" w:sz="4" w:space="0"/>
            </w:tcBorders>
            <w:vAlign w:val="center"/>
          </w:tcPr>
          <w:p w14:paraId="1766CFC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制造年份</w:t>
            </w:r>
          </w:p>
        </w:tc>
        <w:tc>
          <w:tcPr>
            <w:tcW w:w="1276" w:type="dxa"/>
            <w:tcBorders>
              <w:top w:val="single" w:color="auto" w:sz="4" w:space="0"/>
              <w:left w:val="single" w:color="auto" w:sz="4" w:space="0"/>
              <w:bottom w:val="single" w:color="auto" w:sz="4" w:space="0"/>
              <w:right w:val="single" w:color="auto" w:sz="4" w:space="0"/>
            </w:tcBorders>
            <w:vAlign w:val="center"/>
          </w:tcPr>
          <w:p w14:paraId="1FB14D7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已使用</w:t>
            </w:r>
          </w:p>
          <w:p w14:paraId="58F9CA2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台时数</w:t>
            </w:r>
          </w:p>
        </w:tc>
        <w:tc>
          <w:tcPr>
            <w:tcW w:w="1134" w:type="dxa"/>
            <w:tcBorders>
              <w:top w:val="single" w:color="auto" w:sz="4" w:space="0"/>
              <w:left w:val="single" w:color="auto" w:sz="4" w:space="0"/>
              <w:bottom w:val="single" w:color="auto" w:sz="4" w:space="0"/>
              <w:right w:val="single" w:color="auto" w:sz="4" w:space="0"/>
            </w:tcBorders>
            <w:vAlign w:val="center"/>
          </w:tcPr>
          <w:p w14:paraId="17FCDBE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1559" w:type="dxa"/>
            <w:tcBorders>
              <w:top w:val="single" w:color="auto" w:sz="4" w:space="0"/>
              <w:left w:val="single" w:color="auto" w:sz="4" w:space="0"/>
              <w:bottom w:val="single" w:color="auto" w:sz="4" w:space="0"/>
              <w:right w:val="single" w:color="auto" w:sz="4" w:space="0"/>
            </w:tcBorders>
            <w:vAlign w:val="center"/>
          </w:tcPr>
          <w:p w14:paraId="3B51B67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00F7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2FBDF6D5">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ACF253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12661065">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4C476A38">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5B481416">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6668006">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3EB55631">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02A39BD">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2CE7CB35">
            <w:pPr>
              <w:spacing w:line="360" w:lineRule="auto"/>
              <w:ind w:firstLine="420" w:firstLineChars="200"/>
              <w:rPr>
                <w:rFonts w:hint="eastAsia" w:asciiTheme="minorEastAsia" w:hAnsiTheme="minorEastAsia" w:eastAsiaTheme="minorEastAsia" w:cstheme="minorEastAsia"/>
                <w:color w:val="auto"/>
                <w:highlight w:val="none"/>
              </w:rPr>
            </w:pPr>
          </w:p>
        </w:tc>
      </w:tr>
      <w:tr w14:paraId="2B27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4AB18F9F">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325236DC">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1DE6558">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611B8BF">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72766823">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042266B">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ABB653C">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26299C4">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3D65288D">
            <w:pPr>
              <w:spacing w:line="360" w:lineRule="auto"/>
              <w:ind w:firstLine="420" w:firstLineChars="200"/>
              <w:rPr>
                <w:rFonts w:hint="eastAsia" w:asciiTheme="minorEastAsia" w:hAnsiTheme="minorEastAsia" w:eastAsiaTheme="minorEastAsia" w:cstheme="minorEastAsia"/>
                <w:color w:val="auto"/>
                <w:highlight w:val="none"/>
              </w:rPr>
            </w:pPr>
          </w:p>
        </w:tc>
      </w:tr>
      <w:tr w14:paraId="78BC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CC1F319">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6B8FDA5C">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55C72412">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691F9E1C">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275695E1">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9C61A8C">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6384F855">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A4EB633">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6B04223">
            <w:pPr>
              <w:spacing w:line="360" w:lineRule="auto"/>
              <w:ind w:firstLine="420" w:firstLineChars="200"/>
              <w:rPr>
                <w:rFonts w:hint="eastAsia" w:asciiTheme="minorEastAsia" w:hAnsiTheme="minorEastAsia" w:eastAsiaTheme="minorEastAsia" w:cstheme="minorEastAsia"/>
                <w:color w:val="auto"/>
                <w:highlight w:val="none"/>
              </w:rPr>
            </w:pPr>
          </w:p>
        </w:tc>
      </w:tr>
      <w:tr w14:paraId="7FB3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left w:val="single" w:color="auto" w:sz="4" w:space="0"/>
              <w:bottom w:val="single" w:color="auto" w:sz="4" w:space="0"/>
              <w:right w:val="single" w:color="auto" w:sz="4" w:space="0"/>
            </w:tcBorders>
            <w:vAlign w:val="center"/>
          </w:tcPr>
          <w:p w14:paraId="784307E4">
            <w:pPr>
              <w:spacing w:line="360" w:lineRule="auto"/>
              <w:ind w:firstLine="420" w:firstLineChars="200"/>
              <w:rPr>
                <w:rFonts w:hint="eastAsia" w:asciiTheme="minorEastAsia" w:hAnsiTheme="minorEastAsia" w:eastAsiaTheme="minorEastAsia" w:cstheme="minorEastAsia"/>
                <w:color w:val="auto"/>
                <w:highlight w:val="none"/>
              </w:rPr>
            </w:pPr>
          </w:p>
        </w:tc>
        <w:tc>
          <w:tcPr>
            <w:tcW w:w="1226" w:type="dxa"/>
            <w:tcBorders>
              <w:top w:val="single" w:color="auto" w:sz="4" w:space="0"/>
              <w:left w:val="single" w:color="auto" w:sz="4" w:space="0"/>
              <w:bottom w:val="single" w:color="auto" w:sz="4" w:space="0"/>
              <w:right w:val="single" w:color="auto" w:sz="4" w:space="0"/>
            </w:tcBorders>
            <w:vAlign w:val="center"/>
          </w:tcPr>
          <w:p w14:paraId="2AD847F2">
            <w:pPr>
              <w:spacing w:line="360" w:lineRule="auto"/>
              <w:ind w:firstLine="420" w:firstLineChars="200"/>
              <w:rPr>
                <w:rFonts w:hint="eastAsia" w:asciiTheme="minorEastAsia" w:hAnsiTheme="minorEastAsia" w:eastAsiaTheme="minorEastAsia" w:cstheme="minorEastAsia"/>
                <w:color w:val="auto"/>
                <w:highlight w:val="none"/>
              </w:rPr>
            </w:pPr>
          </w:p>
        </w:tc>
        <w:tc>
          <w:tcPr>
            <w:tcW w:w="851" w:type="dxa"/>
            <w:tcBorders>
              <w:top w:val="single" w:color="auto" w:sz="4" w:space="0"/>
              <w:left w:val="single" w:color="auto" w:sz="4" w:space="0"/>
              <w:bottom w:val="single" w:color="auto" w:sz="4" w:space="0"/>
              <w:right w:val="single" w:color="auto" w:sz="4" w:space="0"/>
            </w:tcBorders>
            <w:vAlign w:val="center"/>
          </w:tcPr>
          <w:p w14:paraId="0821BE4A">
            <w:pPr>
              <w:spacing w:line="360" w:lineRule="auto"/>
              <w:ind w:firstLine="420" w:firstLineChars="200"/>
              <w:rPr>
                <w:rFonts w:hint="eastAsia" w:asciiTheme="minorEastAsia" w:hAnsiTheme="minorEastAsia" w:eastAsiaTheme="minorEastAsia" w:cstheme="minorEastAsia"/>
                <w:color w:val="auto"/>
                <w:highlight w:val="none"/>
              </w:rPr>
            </w:pPr>
          </w:p>
        </w:tc>
        <w:tc>
          <w:tcPr>
            <w:tcW w:w="708" w:type="dxa"/>
            <w:tcBorders>
              <w:top w:val="single" w:color="auto" w:sz="4" w:space="0"/>
              <w:left w:val="single" w:color="auto" w:sz="4" w:space="0"/>
              <w:bottom w:val="single" w:color="auto" w:sz="4" w:space="0"/>
              <w:right w:val="single" w:color="auto" w:sz="4" w:space="0"/>
            </w:tcBorders>
            <w:vAlign w:val="center"/>
          </w:tcPr>
          <w:p w14:paraId="12D84B40">
            <w:pPr>
              <w:spacing w:line="360" w:lineRule="auto"/>
              <w:ind w:firstLine="420" w:firstLineChars="200"/>
              <w:rPr>
                <w:rFonts w:hint="eastAsia" w:asciiTheme="minorEastAsia" w:hAnsiTheme="minorEastAsia" w:eastAsiaTheme="minorEastAsia" w:cstheme="minorEastAsia"/>
                <w:color w:val="auto"/>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14:paraId="06A0A846">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B37DD1A">
            <w:pPr>
              <w:spacing w:line="360" w:lineRule="auto"/>
              <w:ind w:firstLine="420" w:firstLineChars="200"/>
              <w:rPr>
                <w:rFonts w:hint="eastAsia" w:asciiTheme="minorEastAsia" w:hAnsiTheme="minorEastAsia" w:eastAsiaTheme="minorEastAsia" w:cstheme="minorEastAsia"/>
                <w:color w:val="auto"/>
                <w:highlight w:val="none"/>
              </w:rPr>
            </w:pPr>
          </w:p>
        </w:tc>
        <w:tc>
          <w:tcPr>
            <w:tcW w:w="1276" w:type="dxa"/>
            <w:tcBorders>
              <w:top w:val="single" w:color="auto" w:sz="4" w:space="0"/>
              <w:left w:val="single" w:color="auto" w:sz="4" w:space="0"/>
              <w:bottom w:val="single" w:color="auto" w:sz="4" w:space="0"/>
              <w:right w:val="single" w:color="auto" w:sz="4" w:space="0"/>
            </w:tcBorders>
            <w:vAlign w:val="center"/>
          </w:tcPr>
          <w:p w14:paraId="7874C712">
            <w:pPr>
              <w:spacing w:line="360" w:lineRule="auto"/>
              <w:ind w:firstLine="420" w:firstLineChars="200"/>
              <w:rPr>
                <w:rFonts w:hint="eastAsia" w:asciiTheme="minorEastAsia" w:hAnsiTheme="minorEastAsia" w:eastAsiaTheme="minorEastAsia" w:cstheme="minorEastAsia"/>
                <w:color w:val="auto"/>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2BF54BF">
            <w:pPr>
              <w:spacing w:line="360" w:lineRule="auto"/>
              <w:ind w:firstLine="420" w:firstLineChars="200"/>
              <w:rPr>
                <w:rFonts w:hint="eastAsia" w:asciiTheme="minorEastAsia" w:hAnsiTheme="minorEastAsia" w:eastAsiaTheme="minorEastAsia" w:cstheme="minorEastAsia"/>
                <w:color w:val="auto"/>
                <w:highlight w:val="none"/>
              </w:rPr>
            </w:pPr>
          </w:p>
        </w:tc>
        <w:tc>
          <w:tcPr>
            <w:tcW w:w="1559" w:type="dxa"/>
            <w:tcBorders>
              <w:top w:val="single" w:color="auto" w:sz="4" w:space="0"/>
              <w:left w:val="single" w:color="auto" w:sz="4" w:space="0"/>
              <w:bottom w:val="single" w:color="auto" w:sz="4" w:space="0"/>
              <w:right w:val="single" w:color="auto" w:sz="4" w:space="0"/>
            </w:tcBorders>
            <w:vAlign w:val="center"/>
          </w:tcPr>
          <w:p w14:paraId="61D4CF1E">
            <w:pPr>
              <w:spacing w:line="360" w:lineRule="auto"/>
              <w:ind w:firstLine="420" w:firstLineChars="200"/>
              <w:rPr>
                <w:rFonts w:hint="eastAsia" w:asciiTheme="minorEastAsia" w:hAnsiTheme="minorEastAsia" w:eastAsiaTheme="minorEastAsia" w:cstheme="minorEastAsia"/>
                <w:color w:val="auto"/>
                <w:highlight w:val="none"/>
              </w:rPr>
            </w:pPr>
          </w:p>
        </w:tc>
      </w:tr>
    </w:tbl>
    <w:p w14:paraId="60714948">
      <w:pPr>
        <w:rPr>
          <w:rFonts w:hint="eastAsia" w:asciiTheme="minorEastAsia" w:hAnsiTheme="minorEastAsia" w:eastAsiaTheme="minorEastAsia" w:cstheme="minorEastAsia"/>
          <w:color w:val="auto"/>
          <w:highlight w:val="none"/>
        </w:rPr>
      </w:pPr>
    </w:p>
    <w:p w14:paraId="15C78CDF">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附表三：劳动力计划表</w:t>
      </w:r>
    </w:p>
    <w:p w14:paraId="0BFE3E95">
      <w:pPr>
        <w:ind w:firstLine="7245" w:firstLineChars="34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单位：人</w:t>
      </w:r>
    </w:p>
    <w:tbl>
      <w:tblPr>
        <w:tblStyle w:val="44"/>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961"/>
        <w:gridCol w:w="1257"/>
        <w:gridCol w:w="1258"/>
        <w:gridCol w:w="1257"/>
        <w:gridCol w:w="1258"/>
        <w:gridCol w:w="1257"/>
        <w:gridCol w:w="1258"/>
      </w:tblGrid>
      <w:tr w14:paraId="281C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E428717">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工种</w:t>
            </w:r>
          </w:p>
        </w:tc>
        <w:tc>
          <w:tcPr>
            <w:tcW w:w="8506" w:type="dxa"/>
            <w:gridSpan w:val="7"/>
            <w:tcBorders>
              <w:top w:val="single" w:color="auto" w:sz="4" w:space="0"/>
              <w:left w:val="single" w:color="auto" w:sz="4" w:space="0"/>
              <w:bottom w:val="single" w:color="auto" w:sz="4" w:space="0"/>
              <w:right w:val="single" w:color="auto" w:sz="4" w:space="0"/>
            </w:tcBorders>
            <w:vAlign w:val="center"/>
          </w:tcPr>
          <w:p w14:paraId="72916342">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按工程施工阶段投入劳动力情况</w:t>
            </w:r>
          </w:p>
        </w:tc>
      </w:tr>
      <w:tr w14:paraId="1481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39BD35D4">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CE749FA">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A686E1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90414B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1107EFC">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970DA4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4F24859">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30DE3D4F">
            <w:pPr>
              <w:spacing w:line="360" w:lineRule="auto"/>
              <w:jc w:val="center"/>
              <w:rPr>
                <w:rFonts w:hint="eastAsia" w:asciiTheme="minorEastAsia" w:hAnsiTheme="minorEastAsia" w:eastAsiaTheme="minorEastAsia" w:cstheme="minorEastAsia"/>
                <w:color w:val="auto"/>
                <w:highlight w:val="none"/>
              </w:rPr>
            </w:pPr>
          </w:p>
        </w:tc>
      </w:tr>
      <w:tr w14:paraId="62D90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261C854">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0779200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D2F1337">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7A0D49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1348E9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91C536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B15313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2CCA031">
            <w:pPr>
              <w:spacing w:line="360" w:lineRule="auto"/>
              <w:jc w:val="center"/>
              <w:rPr>
                <w:rFonts w:hint="eastAsia" w:asciiTheme="minorEastAsia" w:hAnsiTheme="minorEastAsia" w:eastAsiaTheme="minorEastAsia" w:cstheme="minorEastAsia"/>
                <w:color w:val="auto"/>
                <w:highlight w:val="none"/>
              </w:rPr>
            </w:pPr>
          </w:p>
        </w:tc>
      </w:tr>
      <w:tr w14:paraId="3113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186CA70B">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17931F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45748B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5C77FC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29D636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D26C1C9">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0E32D5C">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C5ACB24">
            <w:pPr>
              <w:spacing w:line="360" w:lineRule="auto"/>
              <w:jc w:val="center"/>
              <w:rPr>
                <w:rFonts w:hint="eastAsia" w:asciiTheme="minorEastAsia" w:hAnsiTheme="minorEastAsia" w:eastAsiaTheme="minorEastAsia" w:cstheme="minorEastAsia"/>
                <w:color w:val="auto"/>
                <w:highlight w:val="none"/>
              </w:rPr>
            </w:pPr>
          </w:p>
        </w:tc>
      </w:tr>
      <w:tr w14:paraId="681C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5F68A142">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3DC468E">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FD3B4C0">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280C24A">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71597854">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ED7339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4D7B23F8">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3B64081">
            <w:pPr>
              <w:spacing w:line="360" w:lineRule="auto"/>
              <w:jc w:val="center"/>
              <w:rPr>
                <w:rFonts w:hint="eastAsia" w:asciiTheme="minorEastAsia" w:hAnsiTheme="minorEastAsia" w:eastAsiaTheme="minorEastAsia" w:cstheme="minorEastAsia"/>
                <w:color w:val="auto"/>
                <w:highlight w:val="none"/>
              </w:rPr>
            </w:pPr>
          </w:p>
        </w:tc>
      </w:tr>
      <w:tr w14:paraId="7C1B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0B8BF9B9">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5F9F940C">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2A35E37E">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7D8C1B54">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D249FF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1F160EF6">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CD85141">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38DE8A5">
            <w:pPr>
              <w:spacing w:line="360" w:lineRule="auto"/>
              <w:jc w:val="center"/>
              <w:rPr>
                <w:rFonts w:hint="eastAsia" w:asciiTheme="minorEastAsia" w:hAnsiTheme="minorEastAsia" w:eastAsiaTheme="minorEastAsia" w:cstheme="minorEastAsia"/>
                <w:color w:val="auto"/>
                <w:highlight w:val="none"/>
              </w:rPr>
            </w:pPr>
          </w:p>
        </w:tc>
      </w:tr>
      <w:tr w14:paraId="2006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6D6460EE">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2EE77E8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1F909700">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0B715F5">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02CB573">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8DEF4F3">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063A7736">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4F74BDC5">
            <w:pPr>
              <w:spacing w:line="360" w:lineRule="auto"/>
              <w:jc w:val="center"/>
              <w:rPr>
                <w:rFonts w:hint="eastAsia" w:asciiTheme="minorEastAsia" w:hAnsiTheme="minorEastAsia" w:eastAsiaTheme="minorEastAsia" w:cstheme="minorEastAsia"/>
                <w:color w:val="auto"/>
                <w:highlight w:val="none"/>
              </w:rPr>
            </w:pPr>
          </w:p>
        </w:tc>
      </w:tr>
      <w:tr w14:paraId="389D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tcBorders>
              <w:top w:val="single" w:color="auto" w:sz="4" w:space="0"/>
              <w:left w:val="single" w:color="auto" w:sz="4" w:space="0"/>
              <w:bottom w:val="single" w:color="auto" w:sz="4" w:space="0"/>
              <w:right w:val="single" w:color="auto" w:sz="4" w:space="0"/>
            </w:tcBorders>
            <w:vAlign w:val="center"/>
          </w:tcPr>
          <w:p w14:paraId="77747D61">
            <w:pPr>
              <w:spacing w:line="360" w:lineRule="auto"/>
              <w:jc w:val="center"/>
              <w:rPr>
                <w:rFonts w:hint="eastAsia" w:asciiTheme="minorEastAsia" w:hAnsiTheme="minorEastAsia" w:eastAsiaTheme="minorEastAsia" w:cstheme="minorEastAsia"/>
                <w:color w:val="auto"/>
                <w:highlight w:val="none"/>
              </w:rPr>
            </w:pPr>
          </w:p>
        </w:tc>
        <w:tc>
          <w:tcPr>
            <w:tcW w:w="961" w:type="dxa"/>
            <w:tcBorders>
              <w:top w:val="single" w:color="auto" w:sz="4" w:space="0"/>
              <w:left w:val="single" w:color="auto" w:sz="4" w:space="0"/>
              <w:bottom w:val="single" w:color="auto" w:sz="4" w:space="0"/>
              <w:right w:val="single" w:color="auto" w:sz="4" w:space="0"/>
            </w:tcBorders>
            <w:vAlign w:val="center"/>
          </w:tcPr>
          <w:p w14:paraId="46929310">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95094D9">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011D6018">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589DA3DD">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577A25B1">
            <w:pPr>
              <w:spacing w:line="360" w:lineRule="auto"/>
              <w:jc w:val="center"/>
              <w:rPr>
                <w:rFonts w:hint="eastAsia" w:asciiTheme="minorEastAsia" w:hAnsiTheme="minorEastAsia" w:eastAsiaTheme="minorEastAsia" w:cstheme="minorEastAsia"/>
                <w:color w:val="auto"/>
                <w:highlight w:val="none"/>
              </w:rPr>
            </w:pPr>
          </w:p>
        </w:tc>
        <w:tc>
          <w:tcPr>
            <w:tcW w:w="1257" w:type="dxa"/>
            <w:tcBorders>
              <w:top w:val="single" w:color="auto" w:sz="4" w:space="0"/>
              <w:left w:val="single" w:color="auto" w:sz="4" w:space="0"/>
              <w:bottom w:val="single" w:color="auto" w:sz="4" w:space="0"/>
              <w:right w:val="single" w:color="auto" w:sz="4" w:space="0"/>
            </w:tcBorders>
            <w:vAlign w:val="center"/>
          </w:tcPr>
          <w:p w14:paraId="33C0F67E">
            <w:pPr>
              <w:spacing w:line="360" w:lineRule="auto"/>
              <w:jc w:val="center"/>
              <w:rPr>
                <w:rFonts w:hint="eastAsia" w:asciiTheme="minorEastAsia" w:hAnsiTheme="minorEastAsia" w:eastAsiaTheme="minorEastAsia" w:cstheme="minorEastAsia"/>
                <w:color w:val="auto"/>
                <w:highlight w:val="none"/>
              </w:rPr>
            </w:pPr>
          </w:p>
        </w:tc>
        <w:tc>
          <w:tcPr>
            <w:tcW w:w="1258" w:type="dxa"/>
            <w:tcBorders>
              <w:top w:val="single" w:color="auto" w:sz="4" w:space="0"/>
              <w:left w:val="single" w:color="auto" w:sz="4" w:space="0"/>
              <w:bottom w:val="single" w:color="auto" w:sz="4" w:space="0"/>
              <w:right w:val="single" w:color="auto" w:sz="4" w:space="0"/>
            </w:tcBorders>
            <w:vAlign w:val="center"/>
          </w:tcPr>
          <w:p w14:paraId="6A15407C">
            <w:pPr>
              <w:spacing w:line="360" w:lineRule="auto"/>
              <w:jc w:val="center"/>
              <w:rPr>
                <w:rFonts w:hint="eastAsia" w:asciiTheme="minorEastAsia" w:hAnsiTheme="minorEastAsia" w:eastAsiaTheme="minorEastAsia" w:cstheme="minorEastAsia"/>
                <w:color w:val="auto"/>
                <w:highlight w:val="none"/>
              </w:rPr>
            </w:pPr>
          </w:p>
        </w:tc>
      </w:tr>
    </w:tbl>
    <w:p w14:paraId="235213FE">
      <w:pPr>
        <w:rPr>
          <w:rFonts w:hint="eastAsia" w:asciiTheme="minorEastAsia" w:hAnsiTheme="minorEastAsia" w:eastAsiaTheme="minorEastAsia" w:cstheme="minorEastAsia"/>
          <w:color w:val="auto"/>
          <w:highlight w:val="none"/>
        </w:rPr>
      </w:pPr>
    </w:p>
    <w:p w14:paraId="4084D459">
      <w:pPr>
        <w:rPr>
          <w:rFonts w:hint="eastAsia" w:asciiTheme="minorEastAsia" w:hAnsiTheme="minorEastAsia" w:eastAsiaTheme="minorEastAsia" w:cstheme="minorEastAsia"/>
          <w:color w:val="auto"/>
          <w:highlight w:val="none"/>
        </w:rPr>
      </w:pPr>
    </w:p>
    <w:p w14:paraId="2EA3650C">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附表四：计划开、竣工日期和施工进度计划（网络图或横道图）</w:t>
      </w:r>
    </w:p>
    <w:p w14:paraId="0AB0957C">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供应商应提交施工进度计划，说明按招标文件要求的工期进行施工的各个关键日期。</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lang w:val="en-US" w:eastAsia="zh-CN"/>
        </w:rPr>
        <w:t>供应商</w:t>
      </w:r>
      <w:r>
        <w:rPr>
          <w:rFonts w:hint="eastAsia" w:asciiTheme="minorEastAsia" w:hAnsiTheme="minorEastAsia" w:eastAsiaTheme="minorEastAsia" w:cstheme="minorEastAsia"/>
          <w:color w:val="auto"/>
          <w:highlight w:val="none"/>
        </w:rPr>
        <w:t>还应按合同条件有关条款的要求提交详细的施工进度计划。</w:t>
      </w:r>
    </w:p>
    <w:p w14:paraId="566CE024">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 施工进度计划可采用网络图（或横道图）表示，说明计划开工日期和各分项工程各阶段的完工日期和分包合同签订的日期。</w:t>
      </w:r>
    </w:p>
    <w:p w14:paraId="341AC52E">
      <w:pPr>
        <w:spacing w:line="460" w:lineRule="exact"/>
        <w:ind w:left="-6" w:firstLine="42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 施工进度计划应与施工组织设计相适应。</w:t>
      </w:r>
    </w:p>
    <w:p w14:paraId="7442ADE8">
      <w:pPr>
        <w:spacing w:line="360" w:lineRule="auto"/>
        <w:ind w:left="-6" w:firstLine="420"/>
        <w:rPr>
          <w:rFonts w:hint="eastAsia" w:asciiTheme="minorEastAsia" w:hAnsiTheme="minorEastAsia" w:eastAsiaTheme="minorEastAsia" w:cstheme="minorEastAsia"/>
          <w:color w:val="auto"/>
          <w:highlight w:val="none"/>
        </w:rPr>
      </w:pPr>
    </w:p>
    <w:p w14:paraId="4388268C">
      <w:pPr>
        <w:rPr>
          <w:rFonts w:hint="eastAsia" w:asciiTheme="minorEastAsia" w:hAnsiTheme="minorEastAsia" w:eastAsiaTheme="minorEastAsia" w:cstheme="minorEastAsia"/>
          <w:color w:val="auto"/>
          <w:highlight w:val="none"/>
        </w:rPr>
      </w:pPr>
    </w:p>
    <w:p w14:paraId="7179EC3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red"/>
        </w:rPr>
        <w:t>附表</w:t>
      </w:r>
      <w:r>
        <w:rPr>
          <w:rFonts w:hint="eastAsia" w:asciiTheme="minorEastAsia" w:hAnsiTheme="minorEastAsia" w:eastAsiaTheme="minorEastAsia" w:cstheme="minorEastAsia"/>
          <w:color w:val="auto"/>
          <w:highlight w:val="red"/>
          <w:lang w:val="en-US" w:eastAsia="zh-CN"/>
        </w:rPr>
        <w:t>五</w:t>
      </w:r>
      <w:r>
        <w:rPr>
          <w:rFonts w:hint="eastAsia" w:asciiTheme="minorEastAsia" w:hAnsiTheme="minorEastAsia" w:eastAsiaTheme="minorEastAsia" w:cstheme="minorEastAsia"/>
          <w:color w:val="auto"/>
          <w:highlight w:val="red"/>
        </w:rPr>
        <w:t>：</w:t>
      </w:r>
      <w:r>
        <w:rPr>
          <w:rFonts w:hint="eastAsia" w:asciiTheme="minorEastAsia" w:hAnsiTheme="minorEastAsia" w:eastAsiaTheme="minorEastAsia" w:cstheme="minorEastAsia"/>
          <w:color w:val="auto"/>
          <w:highlight w:val="none"/>
        </w:rPr>
        <w:t>临时用地表</w:t>
      </w:r>
    </w:p>
    <w:tbl>
      <w:tblPr>
        <w:tblStyle w:val="44"/>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6"/>
        <w:gridCol w:w="2357"/>
        <w:gridCol w:w="2356"/>
        <w:gridCol w:w="2357"/>
      </w:tblGrid>
      <w:tr w14:paraId="2E6E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2356" w:type="dxa"/>
            <w:tcBorders>
              <w:top w:val="single" w:color="auto" w:sz="4" w:space="0"/>
              <w:left w:val="single" w:color="auto" w:sz="4" w:space="0"/>
              <w:bottom w:val="single" w:color="auto" w:sz="4" w:space="0"/>
              <w:right w:val="single" w:color="auto" w:sz="4" w:space="0"/>
            </w:tcBorders>
            <w:vAlign w:val="center"/>
          </w:tcPr>
          <w:p w14:paraId="42178AC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用途</w:t>
            </w:r>
          </w:p>
        </w:tc>
        <w:tc>
          <w:tcPr>
            <w:tcW w:w="2357" w:type="dxa"/>
            <w:tcBorders>
              <w:top w:val="single" w:color="auto" w:sz="4" w:space="0"/>
              <w:left w:val="single" w:color="auto" w:sz="4" w:space="0"/>
              <w:bottom w:val="single" w:color="auto" w:sz="4" w:space="0"/>
              <w:right w:val="single" w:color="auto" w:sz="4" w:space="0"/>
            </w:tcBorders>
            <w:vAlign w:val="center"/>
          </w:tcPr>
          <w:p w14:paraId="645A0AB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面积（平方米）</w:t>
            </w:r>
          </w:p>
        </w:tc>
        <w:tc>
          <w:tcPr>
            <w:tcW w:w="2356" w:type="dxa"/>
            <w:tcBorders>
              <w:top w:val="single" w:color="auto" w:sz="4" w:space="0"/>
              <w:left w:val="single" w:color="auto" w:sz="4" w:space="0"/>
              <w:bottom w:val="single" w:color="auto" w:sz="4" w:space="0"/>
              <w:right w:val="single" w:color="auto" w:sz="4" w:space="0"/>
            </w:tcBorders>
            <w:vAlign w:val="center"/>
          </w:tcPr>
          <w:p w14:paraId="7999D39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位置</w:t>
            </w:r>
          </w:p>
        </w:tc>
        <w:tc>
          <w:tcPr>
            <w:tcW w:w="2357" w:type="dxa"/>
            <w:tcBorders>
              <w:top w:val="single" w:color="auto" w:sz="4" w:space="0"/>
              <w:left w:val="single" w:color="auto" w:sz="4" w:space="0"/>
              <w:bottom w:val="single" w:color="auto" w:sz="4" w:space="0"/>
              <w:right w:val="single" w:color="auto" w:sz="4" w:space="0"/>
            </w:tcBorders>
            <w:vAlign w:val="center"/>
          </w:tcPr>
          <w:p w14:paraId="7A5AE68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需用时间</w:t>
            </w:r>
          </w:p>
        </w:tc>
      </w:tr>
      <w:tr w14:paraId="5D67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16850D96">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702AE341">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39E73D7D">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200287B">
            <w:pPr>
              <w:rPr>
                <w:rFonts w:hint="eastAsia" w:asciiTheme="minorEastAsia" w:hAnsiTheme="minorEastAsia" w:eastAsiaTheme="minorEastAsia" w:cstheme="minorEastAsia"/>
                <w:color w:val="auto"/>
                <w:highlight w:val="none"/>
              </w:rPr>
            </w:pPr>
          </w:p>
        </w:tc>
      </w:tr>
      <w:tr w14:paraId="78BFE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3263A3DF">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2504269">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16D2D96">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1078D133">
            <w:pPr>
              <w:rPr>
                <w:rFonts w:hint="eastAsia" w:asciiTheme="minorEastAsia" w:hAnsiTheme="minorEastAsia" w:eastAsiaTheme="minorEastAsia" w:cstheme="minorEastAsia"/>
                <w:color w:val="auto"/>
                <w:highlight w:val="none"/>
              </w:rPr>
            </w:pPr>
          </w:p>
        </w:tc>
      </w:tr>
      <w:tr w14:paraId="29A5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356" w:type="dxa"/>
            <w:tcBorders>
              <w:top w:val="single" w:color="auto" w:sz="4" w:space="0"/>
              <w:left w:val="single" w:color="auto" w:sz="4" w:space="0"/>
              <w:bottom w:val="single" w:color="auto" w:sz="4" w:space="0"/>
              <w:right w:val="single" w:color="auto" w:sz="4" w:space="0"/>
            </w:tcBorders>
          </w:tcPr>
          <w:p w14:paraId="41E90FDC">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60362273">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44F2496A">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23CF271E">
            <w:pPr>
              <w:rPr>
                <w:rFonts w:hint="eastAsia" w:asciiTheme="minorEastAsia" w:hAnsiTheme="minorEastAsia" w:eastAsiaTheme="minorEastAsia" w:cstheme="minorEastAsia"/>
                <w:color w:val="auto"/>
                <w:highlight w:val="none"/>
              </w:rPr>
            </w:pPr>
          </w:p>
        </w:tc>
      </w:tr>
      <w:tr w14:paraId="1B15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56" w:type="dxa"/>
            <w:tcBorders>
              <w:top w:val="single" w:color="auto" w:sz="4" w:space="0"/>
              <w:left w:val="single" w:color="auto" w:sz="4" w:space="0"/>
              <w:bottom w:val="single" w:color="auto" w:sz="4" w:space="0"/>
              <w:right w:val="single" w:color="auto" w:sz="4" w:space="0"/>
            </w:tcBorders>
          </w:tcPr>
          <w:p w14:paraId="0BD8CDE4">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08B94EE0">
            <w:pPr>
              <w:rPr>
                <w:rFonts w:hint="eastAsia" w:asciiTheme="minorEastAsia" w:hAnsiTheme="minorEastAsia" w:eastAsiaTheme="minorEastAsia" w:cstheme="minorEastAsia"/>
                <w:color w:val="auto"/>
                <w:highlight w:val="none"/>
              </w:rPr>
            </w:pPr>
          </w:p>
        </w:tc>
        <w:tc>
          <w:tcPr>
            <w:tcW w:w="2356" w:type="dxa"/>
            <w:tcBorders>
              <w:top w:val="single" w:color="auto" w:sz="4" w:space="0"/>
              <w:left w:val="single" w:color="auto" w:sz="4" w:space="0"/>
              <w:bottom w:val="single" w:color="auto" w:sz="4" w:space="0"/>
              <w:right w:val="single" w:color="auto" w:sz="4" w:space="0"/>
            </w:tcBorders>
          </w:tcPr>
          <w:p w14:paraId="61441413">
            <w:pPr>
              <w:rPr>
                <w:rFonts w:hint="eastAsia" w:asciiTheme="minorEastAsia" w:hAnsiTheme="minorEastAsia" w:eastAsiaTheme="minorEastAsia" w:cstheme="minorEastAsia"/>
                <w:color w:val="auto"/>
                <w:highlight w:val="none"/>
              </w:rPr>
            </w:pPr>
          </w:p>
        </w:tc>
        <w:tc>
          <w:tcPr>
            <w:tcW w:w="2357" w:type="dxa"/>
            <w:tcBorders>
              <w:top w:val="single" w:color="auto" w:sz="4" w:space="0"/>
              <w:left w:val="single" w:color="auto" w:sz="4" w:space="0"/>
              <w:bottom w:val="single" w:color="auto" w:sz="4" w:space="0"/>
              <w:right w:val="single" w:color="auto" w:sz="4" w:space="0"/>
            </w:tcBorders>
          </w:tcPr>
          <w:p w14:paraId="3A9FBB15">
            <w:pPr>
              <w:rPr>
                <w:rFonts w:hint="eastAsia" w:asciiTheme="minorEastAsia" w:hAnsiTheme="minorEastAsia" w:eastAsiaTheme="minorEastAsia" w:cstheme="minorEastAsia"/>
                <w:color w:val="auto"/>
                <w:highlight w:val="none"/>
              </w:rPr>
            </w:pPr>
          </w:p>
        </w:tc>
      </w:tr>
    </w:tbl>
    <w:p w14:paraId="7709CD88">
      <w:pPr>
        <w:pStyle w:val="16"/>
        <w:rPr>
          <w:rFonts w:hint="eastAsia" w:asciiTheme="minorEastAsia" w:hAnsiTheme="minorEastAsia" w:eastAsiaTheme="minorEastAsia" w:cstheme="minorEastAsia"/>
          <w:color w:val="auto"/>
          <w:highlight w:val="none"/>
        </w:rPr>
      </w:pPr>
    </w:p>
    <w:p w14:paraId="49BC319E">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045431EA">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4096866A">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七、项目管理机构</w:t>
      </w:r>
    </w:p>
    <w:p w14:paraId="0DB51CEB">
      <w:pPr>
        <w:pStyle w:val="62"/>
        <w:rPr>
          <w:color w:val="auto"/>
          <w:highlight w:val="none"/>
        </w:rPr>
      </w:pPr>
    </w:p>
    <w:p w14:paraId="007FA782">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1、项目管理机构配备情况表</w:t>
      </w:r>
    </w:p>
    <w:p w14:paraId="3C0DFA91">
      <w:pPr>
        <w:pStyle w:val="168"/>
        <w:rPr>
          <w:rFonts w:hint="eastAsia" w:asciiTheme="minorEastAsia" w:hAnsiTheme="minorEastAsia" w:eastAsiaTheme="minorEastAsia" w:cstheme="minorEastAsia"/>
          <w:color w:val="auto"/>
          <w:highlight w:val="none"/>
          <w:u w:val="single"/>
        </w:rPr>
      </w:pPr>
    </w:p>
    <w:p w14:paraId="153A1506">
      <w:pPr>
        <w:pStyle w:val="168"/>
        <w:rPr>
          <w:rFonts w:hint="eastAsia" w:asciiTheme="minorEastAsia" w:hAnsiTheme="minorEastAsia" w:eastAsiaTheme="minorEastAsia" w:cstheme="minorEastAsia"/>
          <w:color w:val="auto"/>
          <w:highlight w:val="none"/>
          <w:u w:val="single"/>
        </w:rPr>
      </w:pPr>
    </w:p>
    <w:p w14:paraId="44F58E0D">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 </w:t>
      </w:r>
    </w:p>
    <w:tbl>
      <w:tblPr>
        <w:tblStyle w:val="44"/>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71715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41CEED4E">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岗位</w:t>
            </w:r>
          </w:p>
        </w:tc>
        <w:tc>
          <w:tcPr>
            <w:tcW w:w="829" w:type="dxa"/>
            <w:vMerge w:val="restart"/>
            <w:vAlign w:val="center"/>
          </w:tcPr>
          <w:p w14:paraId="70B7B3A5">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816" w:type="dxa"/>
            <w:vMerge w:val="restart"/>
            <w:vAlign w:val="center"/>
          </w:tcPr>
          <w:p w14:paraId="13D41539">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4592" w:type="dxa"/>
            <w:gridSpan w:val="4"/>
            <w:vAlign w:val="center"/>
          </w:tcPr>
          <w:p w14:paraId="6A3C334D">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执业或职业资格证明</w:t>
            </w:r>
          </w:p>
        </w:tc>
        <w:tc>
          <w:tcPr>
            <w:tcW w:w="2126" w:type="dxa"/>
            <w:gridSpan w:val="2"/>
            <w:vAlign w:val="center"/>
          </w:tcPr>
          <w:p w14:paraId="60219EA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承担完工工程情况</w:t>
            </w:r>
          </w:p>
        </w:tc>
      </w:tr>
      <w:tr w14:paraId="4E39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4D65B301">
            <w:pPr>
              <w:ind w:left="223" w:hanging="222" w:hangingChars="106"/>
              <w:jc w:val="center"/>
              <w:rPr>
                <w:rFonts w:hint="eastAsia" w:asciiTheme="minorEastAsia" w:hAnsiTheme="minorEastAsia" w:eastAsiaTheme="minorEastAsia" w:cstheme="minorEastAsia"/>
                <w:color w:val="auto"/>
                <w:highlight w:val="none"/>
              </w:rPr>
            </w:pPr>
          </w:p>
        </w:tc>
        <w:tc>
          <w:tcPr>
            <w:tcW w:w="829" w:type="dxa"/>
            <w:vMerge w:val="continue"/>
            <w:vAlign w:val="center"/>
          </w:tcPr>
          <w:p w14:paraId="68650D31">
            <w:pPr>
              <w:ind w:left="223" w:hanging="222" w:hangingChars="106"/>
              <w:jc w:val="center"/>
              <w:rPr>
                <w:rFonts w:hint="eastAsia" w:asciiTheme="minorEastAsia" w:hAnsiTheme="minorEastAsia" w:eastAsiaTheme="minorEastAsia" w:cstheme="minorEastAsia"/>
                <w:color w:val="auto"/>
                <w:highlight w:val="none"/>
              </w:rPr>
            </w:pPr>
          </w:p>
        </w:tc>
        <w:tc>
          <w:tcPr>
            <w:tcW w:w="816" w:type="dxa"/>
            <w:vMerge w:val="continue"/>
            <w:vAlign w:val="center"/>
          </w:tcPr>
          <w:p w14:paraId="20AB457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14464BA">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证书名称</w:t>
            </w:r>
          </w:p>
        </w:tc>
        <w:tc>
          <w:tcPr>
            <w:tcW w:w="1148" w:type="dxa"/>
            <w:vAlign w:val="center"/>
          </w:tcPr>
          <w:p w14:paraId="14F8BF76">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级别</w:t>
            </w:r>
          </w:p>
        </w:tc>
        <w:tc>
          <w:tcPr>
            <w:tcW w:w="1148" w:type="dxa"/>
            <w:vAlign w:val="center"/>
          </w:tcPr>
          <w:p w14:paraId="1D760E3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证号</w:t>
            </w:r>
          </w:p>
        </w:tc>
        <w:tc>
          <w:tcPr>
            <w:tcW w:w="1148" w:type="dxa"/>
            <w:vAlign w:val="center"/>
          </w:tcPr>
          <w:p w14:paraId="262BC05F">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专业</w:t>
            </w:r>
          </w:p>
        </w:tc>
        <w:tc>
          <w:tcPr>
            <w:tcW w:w="850" w:type="dxa"/>
            <w:vAlign w:val="center"/>
          </w:tcPr>
          <w:p w14:paraId="253060FA">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项目数</w:t>
            </w:r>
          </w:p>
        </w:tc>
        <w:tc>
          <w:tcPr>
            <w:tcW w:w="1276" w:type="dxa"/>
            <w:vAlign w:val="center"/>
          </w:tcPr>
          <w:p w14:paraId="0BE2AE63">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主要项目</w:t>
            </w:r>
          </w:p>
          <w:p w14:paraId="050A0396">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名称</w:t>
            </w:r>
          </w:p>
        </w:tc>
      </w:tr>
      <w:tr w14:paraId="78FAE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77E48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施工员</w:t>
            </w:r>
          </w:p>
        </w:tc>
        <w:tc>
          <w:tcPr>
            <w:tcW w:w="829" w:type="dxa"/>
            <w:vAlign w:val="center"/>
          </w:tcPr>
          <w:p w14:paraId="5513F102">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01197D2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E2E7DD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71DBCC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1591F83">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8B62377">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5106CF6">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F8A09F0">
            <w:pPr>
              <w:ind w:left="223" w:hanging="222" w:hangingChars="106"/>
              <w:jc w:val="center"/>
              <w:rPr>
                <w:rFonts w:hint="eastAsia" w:asciiTheme="minorEastAsia" w:hAnsiTheme="minorEastAsia" w:eastAsiaTheme="minorEastAsia" w:cstheme="minorEastAsia"/>
                <w:color w:val="auto"/>
                <w:highlight w:val="none"/>
              </w:rPr>
            </w:pPr>
          </w:p>
        </w:tc>
      </w:tr>
      <w:tr w14:paraId="4FCD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70D9218">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质量员</w:t>
            </w:r>
          </w:p>
        </w:tc>
        <w:tc>
          <w:tcPr>
            <w:tcW w:w="829" w:type="dxa"/>
            <w:vAlign w:val="center"/>
          </w:tcPr>
          <w:p w14:paraId="6B0688FD">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518A7DF">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8A62C2E">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5BADE1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4AE154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272F15D">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4DCE183D">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16DC249">
            <w:pPr>
              <w:ind w:left="223" w:hanging="222" w:hangingChars="106"/>
              <w:jc w:val="center"/>
              <w:rPr>
                <w:rFonts w:hint="eastAsia" w:asciiTheme="minorEastAsia" w:hAnsiTheme="minorEastAsia" w:eastAsiaTheme="minorEastAsia" w:cstheme="minorEastAsia"/>
                <w:color w:val="auto"/>
                <w:highlight w:val="none"/>
              </w:rPr>
            </w:pPr>
          </w:p>
        </w:tc>
      </w:tr>
      <w:tr w14:paraId="6612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restart"/>
            <w:vAlign w:val="center"/>
          </w:tcPr>
          <w:p w14:paraId="1BBB1D1F">
            <w:pPr>
              <w:ind w:left="223" w:hanging="222" w:hangingChars="106"/>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专职安全生产管理人员</w:t>
            </w:r>
          </w:p>
        </w:tc>
        <w:tc>
          <w:tcPr>
            <w:tcW w:w="829" w:type="dxa"/>
            <w:vAlign w:val="center"/>
          </w:tcPr>
          <w:p w14:paraId="0E64C3A2">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0E39CBC4">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F8549A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9B9D4C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6CCBEF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63B18D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11A2935C">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48C3A381">
            <w:pPr>
              <w:ind w:left="223" w:hanging="222" w:hangingChars="106"/>
              <w:jc w:val="center"/>
              <w:rPr>
                <w:rFonts w:hint="eastAsia" w:asciiTheme="minorEastAsia" w:hAnsiTheme="minorEastAsia" w:eastAsiaTheme="minorEastAsia" w:cstheme="minorEastAsia"/>
                <w:color w:val="auto"/>
                <w:highlight w:val="none"/>
              </w:rPr>
            </w:pPr>
          </w:p>
        </w:tc>
      </w:tr>
      <w:tr w14:paraId="4935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29240D84">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7377F3D7">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38AF0F4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A97644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F8F11B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0518EA9">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F76F6B8">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44744710">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E1BB072">
            <w:pPr>
              <w:ind w:left="223" w:hanging="222" w:hangingChars="106"/>
              <w:jc w:val="center"/>
              <w:rPr>
                <w:rFonts w:hint="eastAsia" w:asciiTheme="minorEastAsia" w:hAnsiTheme="minorEastAsia" w:eastAsiaTheme="minorEastAsia" w:cstheme="minorEastAsia"/>
                <w:color w:val="auto"/>
                <w:highlight w:val="none"/>
              </w:rPr>
            </w:pPr>
          </w:p>
        </w:tc>
      </w:tr>
      <w:tr w14:paraId="18C1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Merge w:val="continue"/>
            <w:vAlign w:val="center"/>
          </w:tcPr>
          <w:p w14:paraId="11F731B4">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6FA5FCD0">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75BC74A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C7D3E86">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581FBE1">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308BC7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DFE9259">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54C30160">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71D77C5F">
            <w:pPr>
              <w:ind w:left="223" w:hanging="222" w:hangingChars="106"/>
              <w:jc w:val="center"/>
              <w:rPr>
                <w:rFonts w:hint="eastAsia" w:asciiTheme="minorEastAsia" w:hAnsiTheme="minorEastAsia" w:eastAsiaTheme="minorEastAsia" w:cstheme="minorEastAsia"/>
                <w:color w:val="auto"/>
                <w:highlight w:val="none"/>
              </w:rPr>
            </w:pPr>
          </w:p>
        </w:tc>
      </w:tr>
      <w:tr w14:paraId="772C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ADAADC1">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材料员</w:t>
            </w:r>
          </w:p>
        </w:tc>
        <w:tc>
          <w:tcPr>
            <w:tcW w:w="829" w:type="dxa"/>
            <w:vAlign w:val="center"/>
          </w:tcPr>
          <w:p w14:paraId="284C8620">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27AA72C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A642D8A">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5C828BAC">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2C50230">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14DE03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CA9BFF3">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4B9D01AC">
            <w:pPr>
              <w:ind w:left="223" w:hanging="222" w:hangingChars="106"/>
              <w:jc w:val="center"/>
              <w:rPr>
                <w:rFonts w:hint="eastAsia" w:asciiTheme="minorEastAsia" w:hAnsiTheme="minorEastAsia" w:eastAsiaTheme="minorEastAsia" w:cstheme="minorEastAsia"/>
                <w:color w:val="auto"/>
                <w:highlight w:val="none"/>
              </w:rPr>
            </w:pPr>
          </w:p>
        </w:tc>
      </w:tr>
      <w:tr w14:paraId="3E401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16FA963A">
            <w:pPr>
              <w:ind w:left="223" w:hanging="222" w:hangingChars="106"/>
              <w:jc w:val="center"/>
              <w:rPr>
                <w:rFonts w:hint="eastAsia" w:asciiTheme="minorEastAsia" w:hAnsiTheme="minorEastAsia" w:eastAsiaTheme="minorEastAsia" w:cstheme="minorEastAsia"/>
                <w:color w:val="auto"/>
                <w:highlight w:val="none"/>
              </w:rPr>
            </w:pPr>
          </w:p>
        </w:tc>
        <w:tc>
          <w:tcPr>
            <w:tcW w:w="829" w:type="dxa"/>
            <w:vAlign w:val="center"/>
          </w:tcPr>
          <w:p w14:paraId="2DF621C5">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183C5D06">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1C43194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4F6EF2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46CE8198">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34876321">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0954AE38">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31392560">
            <w:pPr>
              <w:ind w:left="223" w:hanging="222" w:hangingChars="106"/>
              <w:jc w:val="center"/>
              <w:rPr>
                <w:rFonts w:hint="eastAsia" w:asciiTheme="minorEastAsia" w:hAnsiTheme="minorEastAsia" w:eastAsiaTheme="minorEastAsia" w:cstheme="minorEastAsia"/>
                <w:color w:val="auto"/>
                <w:highlight w:val="none"/>
              </w:rPr>
            </w:pPr>
          </w:p>
        </w:tc>
      </w:tr>
      <w:tr w14:paraId="36AA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681DC9B5">
            <w:pPr>
              <w:ind w:left="223" w:hanging="222" w:hangingChars="10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29" w:type="dxa"/>
            <w:vAlign w:val="center"/>
          </w:tcPr>
          <w:p w14:paraId="3F15058C">
            <w:pPr>
              <w:ind w:left="223" w:hanging="222" w:hangingChars="106"/>
              <w:jc w:val="center"/>
              <w:rPr>
                <w:rFonts w:hint="eastAsia" w:asciiTheme="minorEastAsia" w:hAnsiTheme="minorEastAsia" w:eastAsiaTheme="minorEastAsia" w:cstheme="minorEastAsia"/>
                <w:color w:val="auto"/>
                <w:highlight w:val="none"/>
              </w:rPr>
            </w:pPr>
          </w:p>
        </w:tc>
        <w:tc>
          <w:tcPr>
            <w:tcW w:w="816" w:type="dxa"/>
            <w:vAlign w:val="center"/>
          </w:tcPr>
          <w:p w14:paraId="3775626D">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29D32525">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0CC3321B">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77588AA2">
            <w:pPr>
              <w:ind w:left="223" w:hanging="222" w:hangingChars="106"/>
              <w:jc w:val="center"/>
              <w:rPr>
                <w:rFonts w:hint="eastAsia" w:asciiTheme="minorEastAsia" w:hAnsiTheme="minorEastAsia" w:eastAsiaTheme="minorEastAsia" w:cstheme="minorEastAsia"/>
                <w:color w:val="auto"/>
                <w:highlight w:val="none"/>
              </w:rPr>
            </w:pPr>
          </w:p>
        </w:tc>
        <w:tc>
          <w:tcPr>
            <w:tcW w:w="1148" w:type="dxa"/>
            <w:vAlign w:val="center"/>
          </w:tcPr>
          <w:p w14:paraId="6EB0570E">
            <w:pPr>
              <w:ind w:left="223" w:hanging="222" w:hangingChars="106"/>
              <w:jc w:val="center"/>
              <w:rPr>
                <w:rFonts w:hint="eastAsia" w:asciiTheme="minorEastAsia" w:hAnsiTheme="minorEastAsia" w:eastAsiaTheme="minorEastAsia" w:cstheme="minorEastAsia"/>
                <w:color w:val="auto"/>
                <w:highlight w:val="none"/>
              </w:rPr>
            </w:pPr>
          </w:p>
        </w:tc>
        <w:tc>
          <w:tcPr>
            <w:tcW w:w="850" w:type="dxa"/>
            <w:vAlign w:val="center"/>
          </w:tcPr>
          <w:p w14:paraId="3932F05C">
            <w:pPr>
              <w:ind w:left="223" w:hanging="222" w:hangingChars="106"/>
              <w:jc w:val="center"/>
              <w:rPr>
                <w:rFonts w:hint="eastAsia" w:asciiTheme="minorEastAsia" w:hAnsiTheme="minorEastAsia" w:eastAsiaTheme="minorEastAsia" w:cstheme="minorEastAsia"/>
                <w:color w:val="auto"/>
                <w:highlight w:val="none"/>
              </w:rPr>
            </w:pPr>
          </w:p>
        </w:tc>
        <w:tc>
          <w:tcPr>
            <w:tcW w:w="1276" w:type="dxa"/>
            <w:vAlign w:val="center"/>
          </w:tcPr>
          <w:p w14:paraId="0D89D635">
            <w:pPr>
              <w:ind w:left="223" w:hanging="222" w:hangingChars="106"/>
              <w:jc w:val="center"/>
              <w:rPr>
                <w:rFonts w:hint="eastAsia" w:asciiTheme="minorEastAsia" w:hAnsiTheme="minorEastAsia" w:eastAsiaTheme="minorEastAsia" w:cstheme="minorEastAsia"/>
                <w:color w:val="auto"/>
                <w:highlight w:val="none"/>
              </w:rPr>
            </w:pPr>
          </w:p>
        </w:tc>
      </w:tr>
      <w:tr w14:paraId="11BE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4D63259C">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一旦我单位</w:t>
            </w:r>
            <w:r>
              <w:rPr>
                <w:rFonts w:hint="eastAsia" w:asciiTheme="minorEastAsia" w:hAnsiTheme="minorEastAsia" w:eastAsiaTheme="minorEastAsia" w:cstheme="minorEastAsia"/>
                <w:color w:val="auto"/>
                <w:highlight w:val="none"/>
                <w:lang w:val="en-US" w:eastAsia="zh-CN"/>
              </w:rPr>
              <w:t>成交</w:t>
            </w:r>
            <w:r>
              <w:rPr>
                <w:rFonts w:hint="eastAsia" w:asciiTheme="minorEastAsia" w:hAnsiTheme="minorEastAsia" w:eastAsiaTheme="minorEastAsia" w:cstheme="minorEastAsia"/>
                <w:color w:val="auto"/>
                <w:highlight w:val="none"/>
              </w:rPr>
              <w:t>，将实行项目经理负责制，我方保证并配备上述项目管理机构。上述填报内容真实，若不真实，愿按有关规定接受处理。项目管理班子机构设置、职责分工等情况另附资料说明。</w:t>
            </w:r>
          </w:p>
        </w:tc>
      </w:tr>
    </w:tbl>
    <w:p w14:paraId="3BF9EE3C">
      <w:pPr>
        <w:tabs>
          <w:tab w:val="left" w:pos="0"/>
        </w:tabs>
        <w:spacing w:line="360" w:lineRule="auto"/>
        <w:ind w:right="-210"/>
        <w:rPr>
          <w:rFonts w:hint="eastAsia" w:asciiTheme="minorEastAsia" w:hAnsiTheme="minorEastAsia" w:eastAsiaTheme="minorEastAsia" w:cstheme="minorEastAsia"/>
          <w:color w:val="auto"/>
          <w:highlight w:val="none"/>
        </w:rPr>
      </w:pPr>
    </w:p>
    <w:p w14:paraId="6043BAA6">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【备注：附各岗位人员资格证件（如有）的复印件。】</w:t>
      </w:r>
    </w:p>
    <w:p w14:paraId="66BA9B3D">
      <w:pPr>
        <w:pStyle w:val="174"/>
        <w:spacing w:line="360" w:lineRule="auto"/>
        <w:rPr>
          <w:rFonts w:ascii="Times New Roman" w:hAnsi="Times New Roman" w:eastAsia="楷体_GB2312" w:cs="楷体_GB2312"/>
          <w:color w:val="auto"/>
          <w:szCs w:val="21"/>
          <w:highlight w:val="none"/>
        </w:rPr>
      </w:pPr>
    </w:p>
    <w:p w14:paraId="4E1D22C6">
      <w:pPr>
        <w:pStyle w:val="174"/>
        <w:spacing w:line="360" w:lineRule="auto"/>
        <w:rPr>
          <w:rFonts w:ascii="Times New Roman" w:hAnsi="Times New Roman" w:eastAsia="楷体_GB2312" w:cs="楷体_GB2312"/>
          <w:color w:val="auto"/>
          <w:szCs w:val="21"/>
          <w:highlight w:val="none"/>
        </w:rPr>
      </w:pPr>
    </w:p>
    <w:p w14:paraId="78BC8A1E">
      <w:pPr>
        <w:pStyle w:val="18"/>
        <w:rPr>
          <w:color w:val="auto"/>
          <w:highlight w:val="none"/>
        </w:rPr>
      </w:pPr>
    </w:p>
    <w:p w14:paraId="68BA8E93">
      <w:pPr>
        <w:pStyle w:val="22"/>
        <w:ind w:firstLine="482"/>
        <w:rPr>
          <w:color w:val="auto"/>
          <w:highlight w:val="none"/>
        </w:rPr>
      </w:pPr>
    </w:p>
    <w:p w14:paraId="05116A20">
      <w:pPr>
        <w:pStyle w:val="22"/>
        <w:ind w:firstLine="482"/>
        <w:rPr>
          <w:color w:val="auto"/>
          <w:highlight w:val="none"/>
        </w:rPr>
      </w:pPr>
    </w:p>
    <w:p w14:paraId="1685EF89">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383DA5A0">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2、项目经理（注册建造师）简历表</w:t>
      </w:r>
    </w:p>
    <w:p w14:paraId="4C0E99DA">
      <w:pPr>
        <w:pStyle w:val="168"/>
        <w:rPr>
          <w:rFonts w:hint="eastAsia" w:asciiTheme="minorEastAsia" w:hAnsiTheme="minorEastAsia" w:eastAsiaTheme="minorEastAsia" w:cstheme="minorEastAsia"/>
          <w:color w:val="auto"/>
          <w:highlight w:val="none"/>
          <w:u w:val="single"/>
        </w:rPr>
      </w:pPr>
    </w:p>
    <w:p w14:paraId="1D646AAC">
      <w:pPr>
        <w:pStyle w:val="168"/>
        <w:rPr>
          <w:rFonts w:hint="eastAsia" w:asciiTheme="minorEastAsia" w:hAnsiTheme="minorEastAsia" w:eastAsiaTheme="minorEastAsia" w:cstheme="minorEastAsia"/>
          <w:color w:val="auto"/>
          <w:highlight w:val="none"/>
          <w:u w:val="single"/>
        </w:rPr>
      </w:pPr>
    </w:p>
    <w:p w14:paraId="7CB6E2A2">
      <w:pPr>
        <w:pStyle w:val="168"/>
        <w:rPr>
          <w:rFonts w:hint="eastAsia" w:asciiTheme="minorEastAsia" w:hAnsiTheme="minorEastAsia" w:eastAsiaTheme="minorEastAsia" w:cstheme="minorEastAsia"/>
          <w:color w:val="auto"/>
          <w:highlight w:val="none"/>
          <w:u w:val="single"/>
        </w:rPr>
      </w:pPr>
    </w:p>
    <w:p w14:paraId="7F43CFD5">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35D13DAC">
      <w:pPr>
        <w:pStyle w:val="168"/>
        <w:rPr>
          <w:rFonts w:hint="eastAsia" w:asciiTheme="minorEastAsia" w:hAnsiTheme="minorEastAsia" w:eastAsiaTheme="minorEastAsia" w:cstheme="minorEastAsia"/>
          <w:color w:val="auto"/>
          <w:highlight w:val="none"/>
        </w:rPr>
      </w:pPr>
    </w:p>
    <w:tbl>
      <w:tblPr>
        <w:tblStyle w:val="4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75CB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BE725E8">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20316085">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7EFA50B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13BC84FD">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3D3F5DE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6A637A3F">
            <w:pPr>
              <w:jc w:val="center"/>
              <w:rPr>
                <w:rFonts w:hint="eastAsia" w:asciiTheme="minorEastAsia" w:hAnsiTheme="minorEastAsia" w:eastAsiaTheme="minorEastAsia" w:cstheme="minorEastAsia"/>
                <w:color w:val="auto"/>
                <w:highlight w:val="none"/>
              </w:rPr>
            </w:pPr>
          </w:p>
        </w:tc>
      </w:tr>
      <w:tr w14:paraId="305A7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3DBE163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4F466870">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25527B0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506D7A8D">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7A4AC1A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104BCAB2">
            <w:pPr>
              <w:jc w:val="center"/>
              <w:rPr>
                <w:rFonts w:hint="eastAsia" w:asciiTheme="minorEastAsia" w:hAnsiTheme="minorEastAsia" w:eastAsiaTheme="minorEastAsia" w:cstheme="minorEastAsia"/>
                <w:color w:val="auto"/>
                <w:highlight w:val="none"/>
              </w:rPr>
            </w:pPr>
          </w:p>
        </w:tc>
      </w:tr>
      <w:tr w14:paraId="5D34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141BD52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24030487">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08B76202">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担任项目经理年限</w:t>
            </w:r>
          </w:p>
        </w:tc>
        <w:tc>
          <w:tcPr>
            <w:tcW w:w="1276" w:type="dxa"/>
            <w:vAlign w:val="center"/>
          </w:tcPr>
          <w:p w14:paraId="4172B22C">
            <w:pPr>
              <w:jc w:val="center"/>
              <w:rPr>
                <w:rFonts w:hint="eastAsia" w:asciiTheme="minorEastAsia" w:hAnsiTheme="minorEastAsia" w:eastAsiaTheme="minorEastAsia" w:cstheme="minorEastAsia"/>
                <w:color w:val="auto"/>
                <w:highlight w:val="none"/>
              </w:rPr>
            </w:pPr>
          </w:p>
        </w:tc>
      </w:tr>
      <w:tr w14:paraId="1F18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18F8CF4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建造师注册证书编号</w:t>
            </w:r>
          </w:p>
        </w:tc>
        <w:tc>
          <w:tcPr>
            <w:tcW w:w="5862" w:type="dxa"/>
            <w:gridSpan w:val="7"/>
            <w:vAlign w:val="center"/>
          </w:tcPr>
          <w:p w14:paraId="34F87C53">
            <w:pPr>
              <w:jc w:val="center"/>
              <w:rPr>
                <w:rFonts w:hint="eastAsia" w:asciiTheme="minorEastAsia" w:hAnsiTheme="minorEastAsia" w:eastAsiaTheme="minorEastAsia" w:cstheme="minorEastAsia"/>
                <w:color w:val="auto"/>
                <w:highlight w:val="none"/>
              </w:rPr>
            </w:pPr>
          </w:p>
        </w:tc>
      </w:tr>
      <w:tr w14:paraId="3F95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1B7175EA">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237F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0073E1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7E6407F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1C46885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06B9459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79EAA82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643E7D7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6354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3B138B5">
            <w:pPr>
              <w:jc w:val="center"/>
              <w:rPr>
                <w:rFonts w:hint="eastAsia" w:asciiTheme="minorEastAsia" w:hAnsiTheme="minorEastAsia" w:eastAsiaTheme="minorEastAsia" w:cstheme="minorEastAsia"/>
                <w:color w:val="auto"/>
                <w:highlight w:val="none"/>
              </w:rPr>
            </w:pPr>
          </w:p>
        </w:tc>
        <w:tc>
          <w:tcPr>
            <w:tcW w:w="1548" w:type="dxa"/>
            <w:vAlign w:val="center"/>
          </w:tcPr>
          <w:p w14:paraId="692F2BAF">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EBAD66C">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63EE39EE">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EDC47FE">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54CFC78">
            <w:pPr>
              <w:jc w:val="center"/>
              <w:rPr>
                <w:rFonts w:hint="eastAsia" w:asciiTheme="minorEastAsia" w:hAnsiTheme="minorEastAsia" w:eastAsiaTheme="minorEastAsia" w:cstheme="minorEastAsia"/>
                <w:color w:val="auto"/>
                <w:highlight w:val="none"/>
              </w:rPr>
            </w:pPr>
          </w:p>
        </w:tc>
      </w:tr>
      <w:tr w14:paraId="71D2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9D974CC">
            <w:pPr>
              <w:jc w:val="center"/>
              <w:rPr>
                <w:rFonts w:hint="eastAsia" w:asciiTheme="minorEastAsia" w:hAnsiTheme="minorEastAsia" w:eastAsiaTheme="minorEastAsia" w:cstheme="minorEastAsia"/>
                <w:color w:val="auto"/>
                <w:highlight w:val="none"/>
              </w:rPr>
            </w:pPr>
          </w:p>
        </w:tc>
        <w:tc>
          <w:tcPr>
            <w:tcW w:w="1548" w:type="dxa"/>
            <w:vAlign w:val="center"/>
          </w:tcPr>
          <w:p w14:paraId="7701F548">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FED51A6">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743C6EE">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17E40EC">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885F5EC">
            <w:pPr>
              <w:jc w:val="center"/>
              <w:rPr>
                <w:rFonts w:hint="eastAsia" w:asciiTheme="minorEastAsia" w:hAnsiTheme="minorEastAsia" w:eastAsiaTheme="minorEastAsia" w:cstheme="minorEastAsia"/>
                <w:color w:val="auto"/>
                <w:highlight w:val="none"/>
              </w:rPr>
            </w:pPr>
          </w:p>
        </w:tc>
      </w:tr>
      <w:tr w14:paraId="0D47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022A74A7">
            <w:pPr>
              <w:jc w:val="center"/>
              <w:rPr>
                <w:rFonts w:hint="eastAsia" w:asciiTheme="minorEastAsia" w:hAnsiTheme="minorEastAsia" w:eastAsiaTheme="minorEastAsia" w:cstheme="minorEastAsia"/>
                <w:color w:val="auto"/>
                <w:highlight w:val="none"/>
              </w:rPr>
            </w:pPr>
          </w:p>
        </w:tc>
        <w:tc>
          <w:tcPr>
            <w:tcW w:w="1548" w:type="dxa"/>
            <w:vAlign w:val="center"/>
          </w:tcPr>
          <w:p w14:paraId="4E054C17">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3F23893">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48016EE2">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EC81C7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6D7009DE">
            <w:pPr>
              <w:jc w:val="center"/>
              <w:rPr>
                <w:rFonts w:hint="eastAsia" w:asciiTheme="minorEastAsia" w:hAnsiTheme="minorEastAsia" w:eastAsiaTheme="minorEastAsia" w:cstheme="minorEastAsia"/>
                <w:color w:val="auto"/>
                <w:highlight w:val="none"/>
              </w:rPr>
            </w:pPr>
          </w:p>
        </w:tc>
      </w:tr>
      <w:tr w14:paraId="3D467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B09FEDD">
            <w:pPr>
              <w:jc w:val="center"/>
              <w:rPr>
                <w:rFonts w:hint="eastAsia" w:asciiTheme="minorEastAsia" w:hAnsiTheme="minorEastAsia" w:eastAsiaTheme="minorEastAsia" w:cstheme="minorEastAsia"/>
                <w:color w:val="auto"/>
                <w:highlight w:val="none"/>
              </w:rPr>
            </w:pPr>
          </w:p>
        </w:tc>
        <w:tc>
          <w:tcPr>
            <w:tcW w:w="1548" w:type="dxa"/>
            <w:vAlign w:val="center"/>
          </w:tcPr>
          <w:p w14:paraId="22BF8D8F">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586B072">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916F8D5">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22104D0D">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F627CAA">
            <w:pPr>
              <w:jc w:val="center"/>
              <w:rPr>
                <w:rFonts w:hint="eastAsia" w:asciiTheme="minorEastAsia" w:hAnsiTheme="minorEastAsia" w:eastAsiaTheme="minorEastAsia" w:cstheme="minorEastAsia"/>
                <w:color w:val="auto"/>
                <w:highlight w:val="none"/>
              </w:rPr>
            </w:pPr>
          </w:p>
        </w:tc>
      </w:tr>
    </w:tbl>
    <w:p w14:paraId="33B44D8A">
      <w:pPr>
        <w:spacing w:line="360" w:lineRule="auto"/>
        <w:rPr>
          <w:rFonts w:hint="eastAsia" w:asciiTheme="minorEastAsia" w:hAnsiTheme="minorEastAsia" w:eastAsiaTheme="minorEastAsia" w:cstheme="minorEastAsia"/>
          <w:color w:val="auto"/>
          <w:highlight w:val="none"/>
        </w:rPr>
      </w:pPr>
    </w:p>
    <w:p w14:paraId="3872DD9C">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645CA941">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1E54F5A2">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03F0A383">
      <w:pPr>
        <w:numPr>
          <w:ilvl w:val="0"/>
          <w:numId w:val="12"/>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174071FE">
      <w:pPr>
        <w:pStyle w:val="18"/>
        <w:rPr>
          <w:color w:val="auto"/>
          <w:highlight w:val="none"/>
        </w:rPr>
      </w:pPr>
    </w:p>
    <w:p w14:paraId="074202F3">
      <w:pPr>
        <w:pStyle w:val="22"/>
        <w:ind w:firstLine="482"/>
        <w:rPr>
          <w:color w:val="auto"/>
          <w:highlight w:val="none"/>
        </w:rPr>
      </w:pPr>
    </w:p>
    <w:p w14:paraId="377FAEDD">
      <w:pPr>
        <w:pStyle w:val="22"/>
        <w:ind w:firstLine="482"/>
        <w:rPr>
          <w:color w:val="auto"/>
          <w:highlight w:val="none"/>
        </w:rPr>
      </w:pPr>
    </w:p>
    <w:p w14:paraId="5AE175B5">
      <w:pPr>
        <w:pStyle w:val="22"/>
        <w:ind w:firstLine="482"/>
        <w:rPr>
          <w:color w:val="auto"/>
          <w:highlight w:val="none"/>
        </w:rPr>
      </w:pPr>
    </w:p>
    <w:p w14:paraId="4810C0E8">
      <w:pPr>
        <w:spacing w:line="400" w:lineRule="exact"/>
        <w:jc w:val="left"/>
        <w:rPr>
          <w:rFonts w:hint="eastAsia" w:asciiTheme="minorEastAsia" w:hAnsiTheme="minorEastAsia" w:eastAsiaTheme="minorEastAsia" w:cstheme="minorEastAsia"/>
          <w:b/>
          <w:bCs/>
          <w:color w:val="auto"/>
          <w:kern w:val="0"/>
          <w:sz w:val="30"/>
          <w:szCs w:val="30"/>
          <w:highlight w:val="none"/>
        </w:rPr>
      </w:pPr>
    </w:p>
    <w:p w14:paraId="5123B228">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59F04053">
      <w:pPr>
        <w:spacing w:line="400" w:lineRule="exact"/>
        <w:jc w:val="left"/>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3、项目技术负责人简历表</w:t>
      </w:r>
    </w:p>
    <w:p w14:paraId="780033AC">
      <w:pPr>
        <w:pStyle w:val="168"/>
        <w:rPr>
          <w:rFonts w:hint="eastAsia" w:asciiTheme="minorEastAsia" w:hAnsiTheme="minorEastAsia" w:eastAsiaTheme="minorEastAsia" w:cstheme="minorEastAsia"/>
          <w:color w:val="auto"/>
          <w:highlight w:val="none"/>
          <w:u w:val="single"/>
        </w:rPr>
      </w:pPr>
    </w:p>
    <w:p w14:paraId="0C90A28D">
      <w:pPr>
        <w:pStyle w:val="168"/>
        <w:rPr>
          <w:rFonts w:hint="eastAsia" w:asciiTheme="minorEastAsia" w:hAnsiTheme="minorEastAsia" w:eastAsiaTheme="minorEastAsia" w:cstheme="minorEastAsia"/>
          <w:color w:val="auto"/>
          <w:highlight w:val="none"/>
          <w:u w:val="single"/>
        </w:rPr>
      </w:pPr>
    </w:p>
    <w:p w14:paraId="1AC1A749">
      <w:pPr>
        <w:pStyle w:val="16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rPr>
        <w:t xml:space="preserve">            （工程项目名称）        </w:t>
      </w:r>
      <w:r>
        <w:rPr>
          <w:rFonts w:hint="eastAsia" w:asciiTheme="minorEastAsia" w:hAnsiTheme="minorEastAsia" w:eastAsiaTheme="minorEastAsia" w:cstheme="minorEastAsia"/>
          <w:color w:val="auto"/>
          <w:highlight w:val="none"/>
        </w:rPr>
        <w:t xml:space="preserve"> 工程</w:t>
      </w:r>
    </w:p>
    <w:p w14:paraId="6A526005">
      <w:pPr>
        <w:pStyle w:val="168"/>
        <w:rPr>
          <w:rFonts w:hint="eastAsia" w:asciiTheme="minorEastAsia" w:hAnsiTheme="minorEastAsia" w:eastAsiaTheme="minorEastAsia" w:cstheme="minorEastAsia"/>
          <w:color w:val="auto"/>
          <w:highlight w:val="none"/>
        </w:rPr>
      </w:pPr>
    </w:p>
    <w:tbl>
      <w:tblPr>
        <w:tblStyle w:val="44"/>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0B9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1D1B75B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p>
        </w:tc>
        <w:tc>
          <w:tcPr>
            <w:tcW w:w="2340" w:type="dxa"/>
            <w:gridSpan w:val="3"/>
            <w:vAlign w:val="center"/>
          </w:tcPr>
          <w:p w14:paraId="01C6863F">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64CE369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性别</w:t>
            </w:r>
          </w:p>
        </w:tc>
        <w:tc>
          <w:tcPr>
            <w:tcW w:w="1585" w:type="dxa"/>
            <w:gridSpan w:val="2"/>
            <w:vAlign w:val="center"/>
          </w:tcPr>
          <w:p w14:paraId="398D5F83">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0A4EA7C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年龄</w:t>
            </w:r>
          </w:p>
        </w:tc>
        <w:tc>
          <w:tcPr>
            <w:tcW w:w="1276" w:type="dxa"/>
            <w:vAlign w:val="center"/>
          </w:tcPr>
          <w:p w14:paraId="70184587">
            <w:pPr>
              <w:jc w:val="center"/>
              <w:rPr>
                <w:rFonts w:hint="eastAsia" w:asciiTheme="minorEastAsia" w:hAnsiTheme="minorEastAsia" w:eastAsiaTheme="minorEastAsia" w:cstheme="minorEastAsia"/>
                <w:color w:val="auto"/>
                <w:highlight w:val="none"/>
              </w:rPr>
            </w:pPr>
          </w:p>
        </w:tc>
      </w:tr>
      <w:tr w14:paraId="210B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724D58A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职务</w:t>
            </w:r>
          </w:p>
        </w:tc>
        <w:tc>
          <w:tcPr>
            <w:tcW w:w="2340" w:type="dxa"/>
            <w:gridSpan w:val="3"/>
            <w:vAlign w:val="center"/>
          </w:tcPr>
          <w:p w14:paraId="266FE87A">
            <w:pPr>
              <w:jc w:val="center"/>
              <w:rPr>
                <w:rFonts w:hint="eastAsia" w:asciiTheme="minorEastAsia" w:hAnsiTheme="minorEastAsia" w:eastAsiaTheme="minorEastAsia" w:cstheme="minorEastAsia"/>
                <w:color w:val="auto"/>
                <w:highlight w:val="none"/>
              </w:rPr>
            </w:pPr>
          </w:p>
        </w:tc>
        <w:tc>
          <w:tcPr>
            <w:tcW w:w="1893" w:type="dxa"/>
            <w:gridSpan w:val="2"/>
            <w:vAlign w:val="center"/>
          </w:tcPr>
          <w:p w14:paraId="05A0833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职称</w:t>
            </w:r>
          </w:p>
        </w:tc>
        <w:tc>
          <w:tcPr>
            <w:tcW w:w="1585" w:type="dxa"/>
            <w:gridSpan w:val="2"/>
            <w:vAlign w:val="center"/>
          </w:tcPr>
          <w:p w14:paraId="6B3A5FB0">
            <w:pPr>
              <w:jc w:val="center"/>
              <w:rPr>
                <w:rFonts w:hint="eastAsia" w:asciiTheme="minorEastAsia" w:hAnsiTheme="minorEastAsia" w:eastAsiaTheme="minorEastAsia" w:cstheme="minorEastAsia"/>
                <w:color w:val="auto"/>
                <w:highlight w:val="none"/>
              </w:rPr>
            </w:pPr>
          </w:p>
        </w:tc>
        <w:tc>
          <w:tcPr>
            <w:tcW w:w="1108" w:type="dxa"/>
            <w:gridSpan w:val="2"/>
            <w:vAlign w:val="center"/>
          </w:tcPr>
          <w:p w14:paraId="55085E3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学历</w:t>
            </w:r>
          </w:p>
        </w:tc>
        <w:tc>
          <w:tcPr>
            <w:tcW w:w="1276" w:type="dxa"/>
            <w:vAlign w:val="center"/>
          </w:tcPr>
          <w:p w14:paraId="355C3187">
            <w:pPr>
              <w:jc w:val="center"/>
              <w:rPr>
                <w:rFonts w:hint="eastAsia" w:asciiTheme="minorEastAsia" w:hAnsiTheme="minorEastAsia" w:eastAsiaTheme="minorEastAsia" w:cstheme="minorEastAsia"/>
                <w:color w:val="auto"/>
                <w:highlight w:val="none"/>
              </w:rPr>
            </w:pPr>
          </w:p>
        </w:tc>
      </w:tr>
      <w:tr w14:paraId="257C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570F319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参加工作时间</w:t>
            </w:r>
          </w:p>
        </w:tc>
        <w:tc>
          <w:tcPr>
            <w:tcW w:w="1893" w:type="dxa"/>
            <w:gridSpan w:val="2"/>
            <w:vAlign w:val="center"/>
          </w:tcPr>
          <w:p w14:paraId="6798609D">
            <w:pPr>
              <w:jc w:val="center"/>
              <w:rPr>
                <w:rFonts w:hint="eastAsia" w:asciiTheme="minorEastAsia" w:hAnsiTheme="minorEastAsia" w:eastAsiaTheme="minorEastAsia" w:cstheme="minorEastAsia"/>
                <w:color w:val="auto"/>
                <w:highlight w:val="none"/>
              </w:rPr>
            </w:pPr>
          </w:p>
        </w:tc>
        <w:tc>
          <w:tcPr>
            <w:tcW w:w="2693" w:type="dxa"/>
            <w:gridSpan w:val="4"/>
            <w:vAlign w:val="center"/>
          </w:tcPr>
          <w:p w14:paraId="6DD6CA1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担任技术负责人年限</w:t>
            </w:r>
          </w:p>
        </w:tc>
        <w:tc>
          <w:tcPr>
            <w:tcW w:w="1276" w:type="dxa"/>
            <w:vAlign w:val="center"/>
          </w:tcPr>
          <w:p w14:paraId="017A772B">
            <w:pPr>
              <w:jc w:val="center"/>
              <w:rPr>
                <w:rFonts w:hint="eastAsia" w:asciiTheme="minorEastAsia" w:hAnsiTheme="minorEastAsia" w:eastAsiaTheme="minorEastAsia" w:cstheme="minorEastAsia"/>
                <w:color w:val="auto"/>
                <w:highlight w:val="none"/>
              </w:rPr>
            </w:pPr>
          </w:p>
        </w:tc>
      </w:tr>
      <w:tr w14:paraId="2266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643E2E5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在建和已完工程项目情况</w:t>
            </w:r>
          </w:p>
        </w:tc>
      </w:tr>
      <w:tr w14:paraId="7AE1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6762171">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建设单位</w:t>
            </w:r>
          </w:p>
        </w:tc>
        <w:tc>
          <w:tcPr>
            <w:tcW w:w="1548" w:type="dxa"/>
            <w:vAlign w:val="center"/>
          </w:tcPr>
          <w:p w14:paraId="1A9BD9E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1547" w:type="dxa"/>
            <w:gridSpan w:val="2"/>
            <w:vAlign w:val="center"/>
          </w:tcPr>
          <w:p w14:paraId="3FE614CC">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1548" w:type="dxa"/>
            <w:gridSpan w:val="2"/>
            <w:vAlign w:val="center"/>
          </w:tcPr>
          <w:p w14:paraId="482F5B5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开、竣工日期</w:t>
            </w:r>
          </w:p>
        </w:tc>
        <w:tc>
          <w:tcPr>
            <w:tcW w:w="1547" w:type="dxa"/>
            <w:gridSpan w:val="2"/>
            <w:vAlign w:val="center"/>
          </w:tcPr>
          <w:p w14:paraId="494F591D">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在建或已完</w:t>
            </w:r>
          </w:p>
        </w:tc>
        <w:tc>
          <w:tcPr>
            <w:tcW w:w="1548" w:type="dxa"/>
            <w:gridSpan w:val="2"/>
            <w:vAlign w:val="center"/>
          </w:tcPr>
          <w:p w14:paraId="2E1CE41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工程质量</w:t>
            </w:r>
          </w:p>
        </w:tc>
      </w:tr>
      <w:tr w14:paraId="1C01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CE7069A">
            <w:pPr>
              <w:jc w:val="center"/>
              <w:rPr>
                <w:rFonts w:hint="eastAsia" w:asciiTheme="minorEastAsia" w:hAnsiTheme="minorEastAsia" w:eastAsiaTheme="minorEastAsia" w:cstheme="minorEastAsia"/>
                <w:color w:val="auto"/>
                <w:highlight w:val="none"/>
              </w:rPr>
            </w:pPr>
          </w:p>
        </w:tc>
        <w:tc>
          <w:tcPr>
            <w:tcW w:w="1548" w:type="dxa"/>
            <w:vAlign w:val="center"/>
          </w:tcPr>
          <w:p w14:paraId="718B4C7E">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0379C6FD">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F728180">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4B494062">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3E018C02">
            <w:pPr>
              <w:jc w:val="center"/>
              <w:rPr>
                <w:rFonts w:hint="eastAsia" w:asciiTheme="minorEastAsia" w:hAnsiTheme="minorEastAsia" w:eastAsiaTheme="minorEastAsia" w:cstheme="minorEastAsia"/>
                <w:color w:val="auto"/>
                <w:highlight w:val="none"/>
              </w:rPr>
            </w:pPr>
          </w:p>
        </w:tc>
      </w:tr>
      <w:tr w14:paraId="606E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7187CBA1">
            <w:pPr>
              <w:jc w:val="center"/>
              <w:rPr>
                <w:rFonts w:hint="eastAsia" w:asciiTheme="minorEastAsia" w:hAnsiTheme="minorEastAsia" w:eastAsiaTheme="minorEastAsia" w:cstheme="minorEastAsia"/>
                <w:color w:val="auto"/>
                <w:highlight w:val="none"/>
              </w:rPr>
            </w:pPr>
          </w:p>
        </w:tc>
        <w:tc>
          <w:tcPr>
            <w:tcW w:w="1548" w:type="dxa"/>
            <w:vAlign w:val="center"/>
          </w:tcPr>
          <w:p w14:paraId="27E8E427">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7428F16">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F7CAADA">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1B5C65A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19CD2205">
            <w:pPr>
              <w:jc w:val="center"/>
              <w:rPr>
                <w:rFonts w:hint="eastAsia" w:asciiTheme="minorEastAsia" w:hAnsiTheme="minorEastAsia" w:eastAsiaTheme="minorEastAsia" w:cstheme="minorEastAsia"/>
                <w:color w:val="auto"/>
                <w:highlight w:val="none"/>
              </w:rPr>
            </w:pPr>
          </w:p>
        </w:tc>
      </w:tr>
      <w:tr w14:paraId="4EA7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2B4879D">
            <w:pPr>
              <w:jc w:val="center"/>
              <w:rPr>
                <w:rFonts w:hint="eastAsia" w:asciiTheme="minorEastAsia" w:hAnsiTheme="minorEastAsia" w:eastAsiaTheme="minorEastAsia" w:cstheme="minorEastAsia"/>
                <w:color w:val="auto"/>
                <w:highlight w:val="none"/>
              </w:rPr>
            </w:pPr>
          </w:p>
        </w:tc>
        <w:tc>
          <w:tcPr>
            <w:tcW w:w="1548" w:type="dxa"/>
            <w:vAlign w:val="center"/>
          </w:tcPr>
          <w:p w14:paraId="35B283F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55AEE851">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656C369A">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67D14A5">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723E8F7B">
            <w:pPr>
              <w:jc w:val="center"/>
              <w:rPr>
                <w:rFonts w:hint="eastAsia" w:asciiTheme="minorEastAsia" w:hAnsiTheme="minorEastAsia" w:eastAsiaTheme="minorEastAsia" w:cstheme="minorEastAsia"/>
                <w:color w:val="auto"/>
                <w:highlight w:val="none"/>
              </w:rPr>
            </w:pPr>
          </w:p>
        </w:tc>
      </w:tr>
      <w:tr w14:paraId="3F23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724CD571">
            <w:pPr>
              <w:jc w:val="center"/>
              <w:rPr>
                <w:rFonts w:hint="eastAsia" w:asciiTheme="minorEastAsia" w:hAnsiTheme="minorEastAsia" w:eastAsiaTheme="minorEastAsia" w:cstheme="minorEastAsia"/>
                <w:color w:val="auto"/>
                <w:highlight w:val="none"/>
              </w:rPr>
            </w:pPr>
          </w:p>
        </w:tc>
        <w:tc>
          <w:tcPr>
            <w:tcW w:w="1548" w:type="dxa"/>
            <w:vAlign w:val="center"/>
          </w:tcPr>
          <w:p w14:paraId="214CF9FC">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7E4B42EF">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00B479E9">
            <w:pPr>
              <w:jc w:val="center"/>
              <w:rPr>
                <w:rFonts w:hint="eastAsia" w:asciiTheme="minorEastAsia" w:hAnsiTheme="minorEastAsia" w:eastAsiaTheme="minorEastAsia" w:cstheme="minorEastAsia"/>
                <w:color w:val="auto"/>
                <w:highlight w:val="none"/>
              </w:rPr>
            </w:pPr>
          </w:p>
        </w:tc>
        <w:tc>
          <w:tcPr>
            <w:tcW w:w="1547" w:type="dxa"/>
            <w:gridSpan w:val="2"/>
            <w:vAlign w:val="center"/>
          </w:tcPr>
          <w:p w14:paraId="6E397740">
            <w:pPr>
              <w:jc w:val="center"/>
              <w:rPr>
                <w:rFonts w:hint="eastAsia" w:asciiTheme="minorEastAsia" w:hAnsiTheme="minorEastAsia" w:eastAsiaTheme="minorEastAsia" w:cstheme="minorEastAsia"/>
                <w:color w:val="auto"/>
                <w:highlight w:val="none"/>
              </w:rPr>
            </w:pPr>
          </w:p>
        </w:tc>
        <w:tc>
          <w:tcPr>
            <w:tcW w:w="1548" w:type="dxa"/>
            <w:gridSpan w:val="2"/>
            <w:vAlign w:val="center"/>
          </w:tcPr>
          <w:p w14:paraId="547A567B">
            <w:pPr>
              <w:jc w:val="center"/>
              <w:rPr>
                <w:rFonts w:hint="eastAsia" w:asciiTheme="minorEastAsia" w:hAnsiTheme="minorEastAsia" w:eastAsiaTheme="minorEastAsia" w:cstheme="minorEastAsia"/>
                <w:color w:val="auto"/>
                <w:highlight w:val="none"/>
              </w:rPr>
            </w:pPr>
          </w:p>
        </w:tc>
      </w:tr>
    </w:tbl>
    <w:p w14:paraId="136B39F7">
      <w:pPr>
        <w:spacing w:line="360" w:lineRule="auto"/>
        <w:rPr>
          <w:rFonts w:hint="eastAsia" w:asciiTheme="minorEastAsia" w:hAnsiTheme="minorEastAsia" w:eastAsiaTheme="minorEastAsia" w:cstheme="minorEastAsia"/>
          <w:color w:val="auto"/>
          <w:highlight w:val="none"/>
        </w:rPr>
      </w:pPr>
    </w:p>
    <w:p w14:paraId="7D8C216A">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w:t>
      </w:r>
    </w:p>
    <w:p w14:paraId="6EEB58AC">
      <w:pPr>
        <w:numPr>
          <w:ilvl w:val="0"/>
          <w:numId w:val="13"/>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资格证件复印件；</w:t>
      </w:r>
    </w:p>
    <w:p w14:paraId="761360BD">
      <w:pPr>
        <w:numPr>
          <w:ilvl w:val="0"/>
          <w:numId w:val="13"/>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已完成的工程应附中标通知书（如有）、合同协议书有关页面、工程竣工验收证明材料复印件</w:t>
      </w:r>
      <w:r>
        <w:rPr>
          <w:rFonts w:hint="eastAsia" w:ascii="宋体" w:hAnsi="宋体" w:cs="Arial"/>
          <w:color w:val="auto"/>
          <w:kern w:val="0"/>
          <w:highlight w:val="none"/>
        </w:rPr>
        <w:t>，并加盖单位电子公章；</w:t>
      </w:r>
    </w:p>
    <w:p w14:paraId="7605EF10">
      <w:pPr>
        <w:numPr>
          <w:ilvl w:val="0"/>
          <w:numId w:val="13"/>
        </w:numPr>
        <w:spacing w:line="360" w:lineRule="auto"/>
        <w:ind w:firstLine="42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在建工程应附中标通知书（如有）、合同协议书有关页面复印件</w:t>
      </w:r>
      <w:r>
        <w:rPr>
          <w:rFonts w:hint="eastAsia" w:ascii="宋体" w:hAnsi="宋体" w:cs="Arial"/>
          <w:color w:val="auto"/>
          <w:kern w:val="0"/>
          <w:highlight w:val="none"/>
        </w:rPr>
        <w:t>，并加盖单位电子公章。</w:t>
      </w:r>
    </w:p>
    <w:p w14:paraId="5BBF8A8F">
      <w:pPr>
        <w:spacing w:line="360" w:lineRule="auto"/>
        <w:ind w:firstLine="420" w:firstLineChars="200"/>
        <w:rPr>
          <w:rFonts w:hint="eastAsia" w:asciiTheme="minorEastAsia" w:hAnsiTheme="minorEastAsia" w:eastAsiaTheme="minorEastAsia" w:cstheme="minorEastAsia"/>
          <w:color w:val="auto"/>
          <w:highlight w:val="none"/>
        </w:rPr>
      </w:pPr>
    </w:p>
    <w:p w14:paraId="7FFB7FC7">
      <w:pPr>
        <w:jc w:val="center"/>
        <w:rPr>
          <w:rFonts w:hint="eastAsia" w:asciiTheme="minorEastAsia" w:hAnsiTheme="minorEastAsia" w:eastAsiaTheme="minorEastAsia" w:cstheme="minorEastAsia"/>
          <w:color w:val="auto"/>
          <w:sz w:val="32"/>
          <w:szCs w:val="32"/>
          <w:highlight w:val="none"/>
        </w:rPr>
      </w:pPr>
    </w:p>
    <w:p w14:paraId="3B3AF20A">
      <w:pPr>
        <w:rPr>
          <w:rFonts w:hint="eastAsia" w:asciiTheme="minorEastAsia" w:hAnsiTheme="minorEastAsia" w:eastAsiaTheme="minorEastAsia" w:cstheme="minorEastAsia"/>
          <w:color w:val="auto"/>
          <w:highlight w:val="none"/>
        </w:rPr>
      </w:pPr>
    </w:p>
    <w:p w14:paraId="753BABBB">
      <w:pPr>
        <w:rPr>
          <w:rFonts w:hint="eastAsia" w:asciiTheme="minorEastAsia" w:hAnsiTheme="minorEastAsia" w:eastAsiaTheme="minorEastAsia" w:cstheme="minorEastAsia"/>
          <w:color w:val="auto"/>
          <w:highlight w:val="none"/>
        </w:rPr>
      </w:pPr>
    </w:p>
    <w:p w14:paraId="78F8F166">
      <w:pPr>
        <w:spacing w:line="360" w:lineRule="auto"/>
        <w:rPr>
          <w:rFonts w:hint="eastAsia" w:asciiTheme="minorEastAsia" w:hAnsiTheme="minorEastAsia" w:eastAsiaTheme="minorEastAsia" w:cstheme="minorEastAsia"/>
          <w:color w:val="auto"/>
          <w:highlight w:val="none"/>
        </w:rPr>
      </w:pPr>
    </w:p>
    <w:p w14:paraId="50BB61E3">
      <w:pPr>
        <w:pStyle w:val="18"/>
        <w:rPr>
          <w:color w:val="auto"/>
          <w:highlight w:val="none"/>
        </w:rPr>
      </w:pPr>
      <w:r>
        <w:rPr>
          <w:rFonts w:hint="eastAsia" w:asciiTheme="minorEastAsia" w:hAnsiTheme="minorEastAsia" w:eastAsiaTheme="minorEastAsia" w:cstheme="minorEastAsia"/>
          <w:color w:val="auto"/>
          <w:szCs w:val="21"/>
          <w:highlight w:val="none"/>
        </w:rPr>
        <w:br w:type="page"/>
      </w:r>
    </w:p>
    <w:p w14:paraId="1E0F4D22">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八、企业业绩（如有）</w:t>
      </w:r>
    </w:p>
    <w:p w14:paraId="3F5FE5F5">
      <w:pPr>
        <w:pStyle w:val="174"/>
        <w:rPr>
          <w:rFonts w:ascii="Times New Roman" w:hAnsi="Times New Roman" w:cs="宋体"/>
          <w:b/>
          <w:bCs/>
          <w:color w:val="auto"/>
          <w:sz w:val="24"/>
          <w:szCs w:val="24"/>
          <w:highlight w:val="none"/>
        </w:rPr>
      </w:pPr>
    </w:p>
    <w:p w14:paraId="292AE64C">
      <w:pPr>
        <w:pStyle w:val="174"/>
        <w:jc w:val="center"/>
        <w:rPr>
          <w:rFonts w:ascii="Times New Roman" w:hAnsi="Times New Roman" w:cs="宋体"/>
          <w:b/>
          <w:bCs/>
          <w:color w:val="auto"/>
          <w:sz w:val="24"/>
          <w:szCs w:val="24"/>
          <w:highlight w:val="none"/>
        </w:rPr>
      </w:pPr>
      <w:r>
        <w:rPr>
          <w:rFonts w:hint="eastAsia" w:ascii="Times New Roman" w:hAnsi="Times New Roman" w:cs="宋体"/>
          <w:b/>
          <w:bCs/>
          <w:color w:val="auto"/>
          <w:sz w:val="24"/>
          <w:szCs w:val="24"/>
          <w:highlight w:val="none"/>
        </w:rPr>
        <w:t>企业2022年以来年在建或完成过类似工程业绩一览表</w:t>
      </w:r>
    </w:p>
    <w:tbl>
      <w:tblPr>
        <w:tblStyle w:val="44"/>
        <w:tblW w:w="9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417"/>
        <w:gridCol w:w="851"/>
        <w:gridCol w:w="992"/>
        <w:gridCol w:w="1134"/>
        <w:gridCol w:w="790"/>
        <w:gridCol w:w="957"/>
        <w:gridCol w:w="957"/>
      </w:tblGrid>
      <w:tr w14:paraId="408F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Align w:val="center"/>
          </w:tcPr>
          <w:p w14:paraId="026BA4B8">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序号</w:t>
            </w:r>
          </w:p>
        </w:tc>
        <w:tc>
          <w:tcPr>
            <w:tcW w:w="1701" w:type="dxa"/>
            <w:vAlign w:val="center"/>
          </w:tcPr>
          <w:p w14:paraId="2E63E7DD">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发包人名称</w:t>
            </w:r>
          </w:p>
        </w:tc>
        <w:tc>
          <w:tcPr>
            <w:tcW w:w="1417" w:type="dxa"/>
            <w:vAlign w:val="center"/>
          </w:tcPr>
          <w:p w14:paraId="388E0D1A">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工程名称</w:t>
            </w:r>
          </w:p>
          <w:p w14:paraId="010E46C4">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及建设地点</w:t>
            </w:r>
          </w:p>
        </w:tc>
        <w:tc>
          <w:tcPr>
            <w:tcW w:w="851" w:type="dxa"/>
            <w:vAlign w:val="center"/>
          </w:tcPr>
          <w:p w14:paraId="68A1FB97">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结构</w:t>
            </w:r>
          </w:p>
          <w:p w14:paraId="2E145B7E">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类型</w:t>
            </w:r>
          </w:p>
        </w:tc>
        <w:tc>
          <w:tcPr>
            <w:tcW w:w="992" w:type="dxa"/>
            <w:vAlign w:val="center"/>
          </w:tcPr>
          <w:p w14:paraId="37DD0B0C">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建设</w:t>
            </w:r>
          </w:p>
          <w:p w14:paraId="5599CD05">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规模</w:t>
            </w:r>
          </w:p>
        </w:tc>
        <w:tc>
          <w:tcPr>
            <w:tcW w:w="1134" w:type="dxa"/>
            <w:vAlign w:val="center"/>
          </w:tcPr>
          <w:p w14:paraId="35C873E3">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合同金额</w:t>
            </w:r>
          </w:p>
          <w:p w14:paraId="0A8B7FB6">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（万元）</w:t>
            </w:r>
          </w:p>
        </w:tc>
        <w:tc>
          <w:tcPr>
            <w:tcW w:w="790" w:type="dxa"/>
            <w:vAlign w:val="center"/>
          </w:tcPr>
          <w:p w14:paraId="68B7D1CF">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质量标准</w:t>
            </w:r>
          </w:p>
        </w:tc>
        <w:tc>
          <w:tcPr>
            <w:tcW w:w="957" w:type="dxa"/>
            <w:vAlign w:val="center"/>
          </w:tcPr>
          <w:p w14:paraId="5751EFD0">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开工</w:t>
            </w:r>
          </w:p>
          <w:p w14:paraId="7C7C015E">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w:t>
            </w:r>
          </w:p>
        </w:tc>
        <w:tc>
          <w:tcPr>
            <w:tcW w:w="957" w:type="dxa"/>
            <w:vAlign w:val="center"/>
          </w:tcPr>
          <w:p w14:paraId="3761E3DB">
            <w:pPr>
              <w:pStyle w:val="174"/>
              <w:jc w:val="center"/>
              <w:rPr>
                <w:rFonts w:ascii="Times New Roman" w:hAnsi="Times New Roman"/>
                <w:color w:val="auto"/>
                <w:szCs w:val="21"/>
                <w:highlight w:val="none"/>
              </w:rPr>
            </w:pPr>
            <w:r>
              <w:rPr>
                <w:rFonts w:hint="eastAsia" w:ascii="Times New Roman" w:hAnsi="Times New Roman" w:cs="宋体"/>
                <w:color w:val="auto"/>
                <w:szCs w:val="21"/>
                <w:highlight w:val="none"/>
              </w:rPr>
              <w:t>竣工</w:t>
            </w:r>
          </w:p>
          <w:p w14:paraId="23397B93">
            <w:pPr>
              <w:pStyle w:val="174"/>
              <w:jc w:val="center"/>
              <w:rPr>
                <w:rFonts w:ascii="Times New Roman" w:hAnsi="Times New Roman" w:cs="宋体"/>
                <w:color w:val="auto"/>
                <w:szCs w:val="21"/>
                <w:highlight w:val="none"/>
              </w:rPr>
            </w:pPr>
            <w:r>
              <w:rPr>
                <w:rFonts w:hint="eastAsia" w:ascii="Times New Roman" w:hAnsi="Times New Roman" w:cs="宋体"/>
                <w:color w:val="auto"/>
                <w:szCs w:val="21"/>
                <w:highlight w:val="none"/>
              </w:rPr>
              <w:t>日</w:t>
            </w:r>
            <w:r>
              <w:rPr>
                <w:rFonts w:ascii="Times New Roman" w:hAnsi="Times New Roman"/>
                <w:color w:val="auto"/>
                <w:szCs w:val="21"/>
                <w:highlight w:val="none"/>
              </w:rPr>
              <w:t xml:space="preserve">  </w:t>
            </w:r>
            <w:r>
              <w:rPr>
                <w:rFonts w:hint="eastAsia" w:ascii="Times New Roman" w:hAnsi="Times New Roman" w:cs="宋体"/>
                <w:color w:val="auto"/>
                <w:szCs w:val="21"/>
                <w:highlight w:val="none"/>
              </w:rPr>
              <w:t>期（如有）</w:t>
            </w:r>
          </w:p>
        </w:tc>
      </w:tr>
      <w:tr w14:paraId="31DA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851" w:type="dxa"/>
            <w:vAlign w:val="center"/>
          </w:tcPr>
          <w:p w14:paraId="299926A3">
            <w:pPr>
              <w:pStyle w:val="174"/>
              <w:jc w:val="center"/>
              <w:rPr>
                <w:rFonts w:ascii="Times New Roman" w:hAnsi="Times New Roman"/>
                <w:color w:val="auto"/>
                <w:szCs w:val="21"/>
                <w:highlight w:val="none"/>
              </w:rPr>
            </w:pPr>
          </w:p>
        </w:tc>
        <w:tc>
          <w:tcPr>
            <w:tcW w:w="1701" w:type="dxa"/>
            <w:vAlign w:val="center"/>
          </w:tcPr>
          <w:p w14:paraId="38F1B5BA">
            <w:pPr>
              <w:pStyle w:val="174"/>
              <w:jc w:val="center"/>
              <w:rPr>
                <w:rFonts w:ascii="Times New Roman" w:hAnsi="Times New Roman"/>
                <w:color w:val="auto"/>
                <w:szCs w:val="21"/>
                <w:highlight w:val="none"/>
              </w:rPr>
            </w:pPr>
          </w:p>
        </w:tc>
        <w:tc>
          <w:tcPr>
            <w:tcW w:w="1417" w:type="dxa"/>
            <w:vAlign w:val="center"/>
          </w:tcPr>
          <w:p w14:paraId="7238AA53">
            <w:pPr>
              <w:pStyle w:val="174"/>
              <w:jc w:val="center"/>
              <w:rPr>
                <w:rFonts w:ascii="Times New Roman" w:hAnsi="Times New Roman"/>
                <w:color w:val="auto"/>
                <w:szCs w:val="21"/>
                <w:highlight w:val="none"/>
              </w:rPr>
            </w:pPr>
          </w:p>
        </w:tc>
        <w:tc>
          <w:tcPr>
            <w:tcW w:w="851" w:type="dxa"/>
            <w:vAlign w:val="center"/>
          </w:tcPr>
          <w:p w14:paraId="1E4E75EA">
            <w:pPr>
              <w:pStyle w:val="174"/>
              <w:jc w:val="center"/>
              <w:rPr>
                <w:rFonts w:ascii="Times New Roman" w:hAnsi="Times New Roman"/>
                <w:color w:val="auto"/>
                <w:szCs w:val="21"/>
                <w:highlight w:val="none"/>
              </w:rPr>
            </w:pPr>
          </w:p>
        </w:tc>
        <w:tc>
          <w:tcPr>
            <w:tcW w:w="992" w:type="dxa"/>
            <w:vAlign w:val="center"/>
          </w:tcPr>
          <w:p w14:paraId="6BE42530">
            <w:pPr>
              <w:pStyle w:val="174"/>
              <w:jc w:val="center"/>
              <w:rPr>
                <w:rFonts w:ascii="Times New Roman" w:hAnsi="Times New Roman"/>
                <w:color w:val="auto"/>
                <w:szCs w:val="21"/>
                <w:highlight w:val="none"/>
              </w:rPr>
            </w:pPr>
          </w:p>
        </w:tc>
        <w:tc>
          <w:tcPr>
            <w:tcW w:w="1134" w:type="dxa"/>
            <w:vAlign w:val="center"/>
          </w:tcPr>
          <w:p w14:paraId="0A245ADB">
            <w:pPr>
              <w:pStyle w:val="174"/>
              <w:jc w:val="center"/>
              <w:rPr>
                <w:rFonts w:ascii="Times New Roman" w:hAnsi="Times New Roman"/>
                <w:color w:val="auto"/>
                <w:szCs w:val="21"/>
                <w:highlight w:val="none"/>
              </w:rPr>
            </w:pPr>
          </w:p>
        </w:tc>
        <w:tc>
          <w:tcPr>
            <w:tcW w:w="790" w:type="dxa"/>
            <w:vAlign w:val="center"/>
          </w:tcPr>
          <w:p w14:paraId="320D5D11">
            <w:pPr>
              <w:pStyle w:val="174"/>
              <w:jc w:val="center"/>
              <w:rPr>
                <w:rFonts w:ascii="Times New Roman" w:hAnsi="Times New Roman"/>
                <w:color w:val="auto"/>
                <w:szCs w:val="21"/>
                <w:highlight w:val="none"/>
              </w:rPr>
            </w:pPr>
          </w:p>
        </w:tc>
        <w:tc>
          <w:tcPr>
            <w:tcW w:w="957" w:type="dxa"/>
            <w:vAlign w:val="center"/>
          </w:tcPr>
          <w:p w14:paraId="48295EEE">
            <w:pPr>
              <w:pStyle w:val="174"/>
              <w:jc w:val="center"/>
              <w:rPr>
                <w:rFonts w:ascii="Times New Roman" w:hAnsi="Times New Roman"/>
                <w:color w:val="auto"/>
                <w:szCs w:val="21"/>
                <w:highlight w:val="none"/>
              </w:rPr>
            </w:pPr>
          </w:p>
        </w:tc>
        <w:tc>
          <w:tcPr>
            <w:tcW w:w="957" w:type="dxa"/>
            <w:vAlign w:val="center"/>
          </w:tcPr>
          <w:p w14:paraId="58B4B2B8">
            <w:pPr>
              <w:pStyle w:val="174"/>
              <w:jc w:val="center"/>
              <w:rPr>
                <w:rFonts w:ascii="Times New Roman" w:hAnsi="Times New Roman"/>
                <w:color w:val="auto"/>
                <w:szCs w:val="21"/>
                <w:highlight w:val="none"/>
              </w:rPr>
            </w:pPr>
          </w:p>
        </w:tc>
      </w:tr>
      <w:tr w14:paraId="47EB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51" w:type="dxa"/>
            <w:vAlign w:val="center"/>
          </w:tcPr>
          <w:p w14:paraId="02D2B72D">
            <w:pPr>
              <w:pStyle w:val="174"/>
              <w:jc w:val="center"/>
              <w:rPr>
                <w:rFonts w:ascii="Times New Roman" w:hAnsi="Times New Roman"/>
                <w:color w:val="auto"/>
                <w:szCs w:val="21"/>
                <w:highlight w:val="none"/>
              </w:rPr>
            </w:pPr>
          </w:p>
        </w:tc>
        <w:tc>
          <w:tcPr>
            <w:tcW w:w="1701" w:type="dxa"/>
            <w:vAlign w:val="center"/>
          </w:tcPr>
          <w:p w14:paraId="2CA44E80">
            <w:pPr>
              <w:pStyle w:val="174"/>
              <w:jc w:val="center"/>
              <w:rPr>
                <w:rFonts w:ascii="Times New Roman" w:hAnsi="Times New Roman"/>
                <w:color w:val="auto"/>
                <w:szCs w:val="21"/>
                <w:highlight w:val="none"/>
              </w:rPr>
            </w:pPr>
          </w:p>
        </w:tc>
        <w:tc>
          <w:tcPr>
            <w:tcW w:w="1417" w:type="dxa"/>
            <w:vAlign w:val="center"/>
          </w:tcPr>
          <w:p w14:paraId="166FFEB6">
            <w:pPr>
              <w:pStyle w:val="174"/>
              <w:jc w:val="center"/>
              <w:rPr>
                <w:rFonts w:ascii="Times New Roman" w:hAnsi="Times New Roman"/>
                <w:color w:val="auto"/>
                <w:szCs w:val="21"/>
                <w:highlight w:val="none"/>
              </w:rPr>
            </w:pPr>
          </w:p>
        </w:tc>
        <w:tc>
          <w:tcPr>
            <w:tcW w:w="851" w:type="dxa"/>
            <w:vAlign w:val="center"/>
          </w:tcPr>
          <w:p w14:paraId="29FE55C4">
            <w:pPr>
              <w:pStyle w:val="174"/>
              <w:jc w:val="center"/>
              <w:rPr>
                <w:rFonts w:ascii="Times New Roman" w:hAnsi="Times New Roman"/>
                <w:color w:val="auto"/>
                <w:szCs w:val="21"/>
                <w:highlight w:val="none"/>
              </w:rPr>
            </w:pPr>
          </w:p>
        </w:tc>
        <w:tc>
          <w:tcPr>
            <w:tcW w:w="992" w:type="dxa"/>
            <w:vAlign w:val="center"/>
          </w:tcPr>
          <w:p w14:paraId="200E4A5C">
            <w:pPr>
              <w:pStyle w:val="174"/>
              <w:jc w:val="center"/>
              <w:rPr>
                <w:rFonts w:ascii="Times New Roman" w:hAnsi="Times New Roman"/>
                <w:color w:val="auto"/>
                <w:szCs w:val="21"/>
                <w:highlight w:val="none"/>
              </w:rPr>
            </w:pPr>
          </w:p>
        </w:tc>
        <w:tc>
          <w:tcPr>
            <w:tcW w:w="1134" w:type="dxa"/>
            <w:vAlign w:val="center"/>
          </w:tcPr>
          <w:p w14:paraId="0B2A764D">
            <w:pPr>
              <w:pStyle w:val="174"/>
              <w:jc w:val="center"/>
              <w:rPr>
                <w:rFonts w:ascii="Times New Roman" w:hAnsi="Times New Roman"/>
                <w:color w:val="auto"/>
                <w:szCs w:val="21"/>
                <w:highlight w:val="none"/>
              </w:rPr>
            </w:pPr>
          </w:p>
        </w:tc>
        <w:tc>
          <w:tcPr>
            <w:tcW w:w="790" w:type="dxa"/>
            <w:vAlign w:val="center"/>
          </w:tcPr>
          <w:p w14:paraId="0243D3DB">
            <w:pPr>
              <w:pStyle w:val="174"/>
              <w:jc w:val="center"/>
              <w:rPr>
                <w:rFonts w:ascii="Times New Roman" w:hAnsi="Times New Roman"/>
                <w:color w:val="auto"/>
                <w:szCs w:val="21"/>
                <w:highlight w:val="none"/>
              </w:rPr>
            </w:pPr>
          </w:p>
        </w:tc>
        <w:tc>
          <w:tcPr>
            <w:tcW w:w="957" w:type="dxa"/>
            <w:vAlign w:val="center"/>
          </w:tcPr>
          <w:p w14:paraId="226B6686">
            <w:pPr>
              <w:pStyle w:val="174"/>
              <w:jc w:val="center"/>
              <w:rPr>
                <w:rFonts w:ascii="Times New Roman" w:hAnsi="Times New Roman"/>
                <w:color w:val="auto"/>
                <w:szCs w:val="21"/>
                <w:highlight w:val="none"/>
              </w:rPr>
            </w:pPr>
          </w:p>
        </w:tc>
        <w:tc>
          <w:tcPr>
            <w:tcW w:w="957" w:type="dxa"/>
            <w:vAlign w:val="center"/>
          </w:tcPr>
          <w:p w14:paraId="32AB790D">
            <w:pPr>
              <w:pStyle w:val="174"/>
              <w:jc w:val="center"/>
              <w:rPr>
                <w:rFonts w:ascii="Times New Roman" w:hAnsi="Times New Roman"/>
                <w:color w:val="auto"/>
                <w:szCs w:val="21"/>
                <w:highlight w:val="none"/>
              </w:rPr>
            </w:pPr>
          </w:p>
        </w:tc>
      </w:tr>
      <w:tr w14:paraId="204B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7732DE8C">
            <w:pPr>
              <w:pStyle w:val="174"/>
              <w:jc w:val="center"/>
              <w:rPr>
                <w:rFonts w:ascii="Times New Roman" w:hAnsi="Times New Roman"/>
                <w:color w:val="auto"/>
                <w:szCs w:val="21"/>
                <w:highlight w:val="none"/>
              </w:rPr>
            </w:pPr>
          </w:p>
        </w:tc>
        <w:tc>
          <w:tcPr>
            <w:tcW w:w="1701" w:type="dxa"/>
            <w:vAlign w:val="center"/>
          </w:tcPr>
          <w:p w14:paraId="18170EB2">
            <w:pPr>
              <w:pStyle w:val="174"/>
              <w:jc w:val="center"/>
              <w:rPr>
                <w:rFonts w:ascii="Times New Roman" w:hAnsi="Times New Roman"/>
                <w:color w:val="auto"/>
                <w:szCs w:val="21"/>
                <w:highlight w:val="none"/>
              </w:rPr>
            </w:pPr>
          </w:p>
        </w:tc>
        <w:tc>
          <w:tcPr>
            <w:tcW w:w="1417" w:type="dxa"/>
            <w:vAlign w:val="center"/>
          </w:tcPr>
          <w:p w14:paraId="4D14DD00">
            <w:pPr>
              <w:pStyle w:val="174"/>
              <w:jc w:val="center"/>
              <w:rPr>
                <w:rFonts w:ascii="Times New Roman" w:hAnsi="Times New Roman"/>
                <w:color w:val="auto"/>
                <w:szCs w:val="21"/>
                <w:highlight w:val="none"/>
              </w:rPr>
            </w:pPr>
          </w:p>
        </w:tc>
        <w:tc>
          <w:tcPr>
            <w:tcW w:w="851" w:type="dxa"/>
            <w:vAlign w:val="center"/>
          </w:tcPr>
          <w:p w14:paraId="68C6CB60">
            <w:pPr>
              <w:pStyle w:val="174"/>
              <w:jc w:val="center"/>
              <w:rPr>
                <w:rFonts w:ascii="Times New Roman" w:hAnsi="Times New Roman"/>
                <w:color w:val="auto"/>
                <w:szCs w:val="21"/>
                <w:highlight w:val="none"/>
              </w:rPr>
            </w:pPr>
          </w:p>
        </w:tc>
        <w:tc>
          <w:tcPr>
            <w:tcW w:w="992" w:type="dxa"/>
            <w:vAlign w:val="center"/>
          </w:tcPr>
          <w:p w14:paraId="531A99C8">
            <w:pPr>
              <w:pStyle w:val="174"/>
              <w:jc w:val="center"/>
              <w:rPr>
                <w:rFonts w:ascii="Times New Roman" w:hAnsi="Times New Roman"/>
                <w:color w:val="auto"/>
                <w:szCs w:val="21"/>
                <w:highlight w:val="none"/>
              </w:rPr>
            </w:pPr>
          </w:p>
        </w:tc>
        <w:tc>
          <w:tcPr>
            <w:tcW w:w="1134" w:type="dxa"/>
            <w:vAlign w:val="center"/>
          </w:tcPr>
          <w:p w14:paraId="7E5B8636">
            <w:pPr>
              <w:pStyle w:val="174"/>
              <w:jc w:val="center"/>
              <w:rPr>
                <w:rFonts w:ascii="Times New Roman" w:hAnsi="Times New Roman"/>
                <w:color w:val="auto"/>
                <w:szCs w:val="21"/>
                <w:highlight w:val="none"/>
              </w:rPr>
            </w:pPr>
          </w:p>
        </w:tc>
        <w:tc>
          <w:tcPr>
            <w:tcW w:w="790" w:type="dxa"/>
            <w:vAlign w:val="center"/>
          </w:tcPr>
          <w:p w14:paraId="00608EFD">
            <w:pPr>
              <w:pStyle w:val="174"/>
              <w:jc w:val="center"/>
              <w:rPr>
                <w:rFonts w:ascii="Times New Roman" w:hAnsi="Times New Roman"/>
                <w:color w:val="auto"/>
                <w:szCs w:val="21"/>
                <w:highlight w:val="none"/>
              </w:rPr>
            </w:pPr>
          </w:p>
        </w:tc>
        <w:tc>
          <w:tcPr>
            <w:tcW w:w="957" w:type="dxa"/>
            <w:vAlign w:val="center"/>
          </w:tcPr>
          <w:p w14:paraId="2DF25453">
            <w:pPr>
              <w:pStyle w:val="174"/>
              <w:jc w:val="center"/>
              <w:rPr>
                <w:rFonts w:ascii="Times New Roman" w:hAnsi="Times New Roman"/>
                <w:color w:val="auto"/>
                <w:szCs w:val="21"/>
                <w:highlight w:val="none"/>
              </w:rPr>
            </w:pPr>
          </w:p>
        </w:tc>
        <w:tc>
          <w:tcPr>
            <w:tcW w:w="957" w:type="dxa"/>
            <w:vAlign w:val="center"/>
          </w:tcPr>
          <w:p w14:paraId="55288AC5">
            <w:pPr>
              <w:pStyle w:val="174"/>
              <w:jc w:val="center"/>
              <w:rPr>
                <w:rFonts w:ascii="Times New Roman" w:hAnsi="Times New Roman"/>
                <w:color w:val="auto"/>
                <w:szCs w:val="21"/>
                <w:highlight w:val="none"/>
              </w:rPr>
            </w:pPr>
          </w:p>
        </w:tc>
      </w:tr>
      <w:tr w14:paraId="1E57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741D86B7">
            <w:pPr>
              <w:pStyle w:val="174"/>
              <w:jc w:val="center"/>
              <w:rPr>
                <w:rFonts w:ascii="Times New Roman" w:hAnsi="Times New Roman"/>
                <w:color w:val="auto"/>
                <w:szCs w:val="21"/>
                <w:highlight w:val="none"/>
              </w:rPr>
            </w:pPr>
          </w:p>
        </w:tc>
        <w:tc>
          <w:tcPr>
            <w:tcW w:w="1701" w:type="dxa"/>
            <w:vAlign w:val="center"/>
          </w:tcPr>
          <w:p w14:paraId="6F82558E">
            <w:pPr>
              <w:pStyle w:val="174"/>
              <w:jc w:val="center"/>
              <w:rPr>
                <w:rFonts w:ascii="Times New Roman" w:hAnsi="Times New Roman"/>
                <w:color w:val="auto"/>
                <w:szCs w:val="21"/>
                <w:highlight w:val="none"/>
              </w:rPr>
            </w:pPr>
          </w:p>
        </w:tc>
        <w:tc>
          <w:tcPr>
            <w:tcW w:w="1417" w:type="dxa"/>
            <w:vAlign w:val="center"/>
          </w:tcPr>
          <w:p w14:paraId="34CC3769">
            <w:pPr>
              <w:pStyle w:val="174"/>
              <w:jc w:val="center"/>
              <w:rPr>
                <w:rFonts w:ascii="Times New Roman" w:hAnsi="Times New Roman"/>
                <w:color w:val="auto"/>
                <w:szCs w:val="21"/>
                <w:highlight w:val="none"/>
              </w:rPr>
            </w:pPr>
          </w:p>
        </w:tc>
        <w:tc>
          <w:tcPr>
            <w:tcW w:w="851" w:type="dxa"/>
            <w:vAlign w:val="center"/>
          </w:tcPr>
          <w:p w14:paraId="36B68133">
            <w:pPr>
              <w:pStyle w:val="174"/>
              <w:jc w:val="center"/>
              <w:rPr>
                <w:rFonts w:ascii="Times New Roman" w:hAnsi="Times New Roman"/>
                <w:color w:val="auto"/>
                <w:szCs w:val="21"/>
                <w:highlight w:val="none"/>
              </w:rPr>
            </w:pPr>
          </w:p>
        </w:tc>
        <w:tc>
          <w:tcPr>
            <w:tcW w:w="992" w:type="dxa"/>
            <w:vAlign w:val="center"/>
          </w:tcPr>
          <w:p w14:paraId="5BA7BD25">
            <w:pPr>
              <w:pStyle w:val="174"/>
              <w:jc w:val="center"/>
              <w:rPr>
                <w:rFonts w:ascii="Times New Roman" w:hAnsi="Times New Roman"/>
                <w:color w:val="auto"/>
                <w:szCs w:val="21"/>
                <w:highlight w:val="none"/>
              </w:rPr>
            </w:pPr>
          </w:p>
        </w:tc>
        <w:tc>
          <w:tcPr>
            <w:tcW w:w="1134" w:type="dxa"/>
            <w:vAlign w:val="center"/>
          </w:tcPr>
          <w:p w14:paraId="57C1F428">
            <w:pPr>
              <w:pStyle w:val="174"/>
              <w:jc w:val="center"/>
              <w:rPr>
                <w:rFonts w:ascii="Times New Roman" w:hAnsi="Times New Roman"/>
                <w:color w:val="auto"/>
                <w:szCs w:val="21"/>
                <w:highlight w:val="none"/>
              </w:rPr>
            </w:pPr>
          </w:p>
        </w:tc>
        <w:tc>
          <w:tcPr>
            <w:tcW w:w="790" w:type="dxa"/>
            <w:vAlign w:val="center"/>
          </w:tcPr>
          <w:p w14:paraId="69D5F2C2">
            <w:pPr>
              <w:pStyle w:val="174"/>
              <w:jc w:val="center"/>
              <w:rPr>
                <w:rFonts w:ascii="Times New Roman" w:hAnsi="Times New Roman"/>
                <w:color w:val="auto"/>
                <w:szCs w:val="21"/>
                <w:highlight w:val="none"/>
              </w:rPr>
            </w:pPr>
          </w:p>
        </w:tc>
        <w:tc>
          <w:tcPr>
            <w:tcW w:w="957" w:type="dxa"/>
            <w:vAlign w:val="center"/>
          </w:tcPr>
          <w:p w14:paraId="6B9E3A0A">
            <w:pPr>
              <w:pStyle w:val="174"/>
              <w:jc w:val="center"/>
              <w:rPr>
                <w:rFonts w:ascii="Times New Roman" w:hAnsi="Times New Roman"/>
                <w:color w:val="auto"/>
                <w:szCs w:val="21"/>
                <w:highlight w:val="none"/>
              </w:rPr>
            </w:pPr>
          </w:p>
        </w:tc>
        <w:tc>
          <w:tcPr>
            <w:tcW w:w="957" w:type="dxa"/>
            <w:vAlign w:val="center"/>
          </w:tcPr>
          <w:p w14:paraId="7B58BD18">
            <w:pPr>
              <w:pStyle w:val="174"/>
              <w:jc w:val="center"/>
              <w:rPr>
                <w:rFonts w:ascii="Times New Roman" w:hAnsi="Times New Roman"/>
                <w:color w:val="auto"/>
                <w:szCs w:val="21"/>
                <w:highlight w:val="none"/>
              </w:rPr>
            </w:pPr>
          </w:p>
        </w:tc>
      </w:tr>
      <w:tr w14:paraId="6C2C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1" w:type="dxa"/>
            <w:vAlign w:val="center"/>
          </w:tcPr>
          <w:p w14:paraId="61D68113">
            <w:pPr>
              <w:pStyle w:val="174"/>
              <w:jc w:val="center"/>
              <w:rPr>
                <w:rFonts w:ascii="Times New Roman" w:hAnsi="Times New Roman"/>
                <w:color w:val="auto"/>
                <w:szCs w:val="21"/>
                <w:highlight w:val="none"/>
              </w:rPr>
            </w:pPr>
          </w:p>
        </w:tc>
        <w:tc>
          <w:tcPr>
            <w:tcW w:w="1701" w:type="dxa"/>
            <w:vAlign w:val="center"/>
          </w:tcPr>
          <w:p w14:paraId="77EE0DB4">
            <w:pPr>
              <w:pStyle w:val="174"/>
              <w:jc w:val="center"/>
              <w:rPr>
                <w:rFonts w:ascii="Times New Roman" w:hAnsi="Times New Roman"/>
                <w:color w:val="auto"/>
                <w:szCs w:val="21"/>
                <w:highlight w:val="none"/>
              </w:rPr>
            </w:pPr>
          </w:p>
        </w:tc>
        <w:tc>
          <w:tcPr>
            <w:tcW w:w="1417" w:type="dxa"/>
            <w:vAlign w:val="center"/>
          </w:tcPr>
          <w:p w14:paraId="3888844B">
            <w:pPr>
              <w:pStyle w:val="174"/>
              <w:jc w:val="center"/>
              <w:rPr>
                <w:rFonts w:ascii="Times New Roman" w:hAnsi="Times New Roman"/>
                <w:color w:val="auto"/>
                <w:szCs w:val="21"/>
                <w:highlight w:val="none"/>
              </w:rPr>
            </w:pPr>
          </w:p>
        </w:tc>
        <w:tc>
          <w:tcPr>
            <w:tcW w:w="851" w:type="dxa"/>
            <w:vAlign w:val="center"/>
          </w:tcPr>
          <w:p w14:paraId="4FCEEAC2">
            <w:pPr>
              <w:pStyle w:val="174"/>
              <w:jc w:val="center"/>
              <w:rPr>
                <w:rFonts w:ascii="Times New Roman" w:hAnsi="Times New Roman"/>
                <w:color w:val="auto"/>
                <w:szCs w:val="21"/>
                <w:highlight w:val="none"/>
              </w:rPr>
            </w:pPr>
          </w:p>
        </w:tc>
        <w:tc>
          <w:tcPr>
            <w:tcW w:w="992" w:type="dxa"/>
            <w:vAlign w:val="center"/>
          </w:tcPr>
          <w:p w14:paraId="43580BD1">
            <w:pPr>
              <w:pStyle w:val="174"/>
              <w:jc w:val="center"/>
              <w:rPr>
                <w:rFonts w:ascii="Times New Roman" w:hAnsi="Times New Roman"/>
                <w:color w:val="auto"/>
                <w:szCs w:val="21"/>
                <w:highlight w:val="none"/>
              </w:rPr>
            </w:pPr>
          </w:p>
        </w:tc>
        <w:tc>
          <w:tcPr>
            <w:tcW w:w="1134" w:type="dxa"/>
            <w:vAlign w:val="center"/>
          </w:tcPr>
          <w:p w14:paraId="2549B4A3">
            <w:pPr>
              <w:pStyle w:val="174"/>
              <w:jc w:val="center"/>
              <w:rPr>
                <w:rFonts w:ascii="Times New Roman" w:hAnsi="Times New Roman"/>
                <w:color w:val="auto"/>
                <w:szCs w:val="21"/>
                <w:highlight w:val="none"/>
              </w:rPr>
            </w:pPr>
          </w:p>
        </w:tc>
        <w:tc>
          <w:tcPr>
            <w:tcW w:w="790" w:type="dxa"/>
            <w:vAlign w:val="center"/>
          </w:tcPr>
          <w:p w14:paraId="0BE1853A">
            <w:pPr>
              <w:pStyle w:val="174"/>
              <w:jc w:val="center"/>
              <w:rPr>
                <w:rFonts w:ascii="Times New Roman" w:hAnsi="Times New Roman"/>
                <w:color w:val="auto"/>
                <w:szCs w:val="21"/>
                <w:highlight w:val="none"/>
              </w:rPr>
            </w:pPr>
          </w:p>
        </w:tc>
        <w:tc>
          <w:tcPr>
            <w:tcW w:w="957" w:type="dxa"/>
            <w:vAlign w:val="center"/>
          </w:tcPr>
          <w:p w14:paraId="0A9CE2EF">
            <w:pPr>
              <w:pStyle w:val="174"/>
              <w:jc w:val="center"/>
              <w:rPr>
                <w:rFonts w:ascii="Times New Roman" w:hAnsi="Times New Roman"/>
                <w:color w:val="auto"/>
                <w:szCs w:val="21"/>
                <w:highlight w:val="none"/>
              </w:rPr>
            </w:pPr>
          </w:p>
        </w:tc>
        <w:tc>
          <w:tcPr>
            <w:tcW w:w="957" w:type="dxa"/>
            <w:vAlign w:val="center"/>
          </w:tcPr>
          <w:p w14:paraId="5A46D48F">
            <w:pPr>
              <w:pStyle w:val="174"/>
              <w:jc w:val="center"/>
              <w:rPr>
                <w:rFonts w:ascii="Times New Roman" w:hAnsi="Times New Roman"/>
                <w:color w:val="auto"/>
                <w:szCs w:val="21"/>
                <w:highlight w:val="none"/>
              </w:rPr>
            </w:pPr>
          </w:p>
        </w:tc>
      </w:tr>
    </w:tbl>
    <w:p w14:paraId="111963B7">
      <w:pPr>
        <w:pStyle w:val="174"/>
        <w:rPr>
          <w:rFonts w:ascii="Times New Roman" w:hAnsi="Times New Roman"/>
          <w:color w:val="auto"/>
          <w:szCs w:val="21"/>
          <w:highlight w:val="none"/>
        </w:rPr>
      </w:pPr>
    </w:p>
    <w:p w14:paraId="70728722">
      <w:pPr>
        <w:pStyle w:val="174"/>
        <w:spacing w:line="360" w:lineRule="auto"/>
        <w:rPr>
          <w:rFonts w:hint="eastAsia" w:ascii="宋体" w:hAnsi="宋体" w:cs="Arial"/>
          <w:color w:val="auto"/>
          <w:kern w:val="0"/>
          <w:szCs w:val="21"/>
          <w:highlight w:val="none"/>
        </w:rPr>
      </w:pPr>
      <w:r>
        <w:rPr>
          <w:rFonts w:hint="eastAsia" w:asciiTheme="minorEastAsia" w:hAnsiTheme="minorEastAsia" w:eastAsiaTheme="minorEastAsia" w:cstheme="minorEastAsia"/>
          <w:color w:val="auto"/>
          <w:szCs w:val="21"/>
          <w:highlight w:val="none"/>
        </w:rPr>
        <w:t>备注：1.</w:t>
      </w:r>
      <w:r>
        <w:rPr>
          <w:rFonts w:hint="eastAsia" w:ascii="宋体" w:hAnsi="宋体" w:cs="Arial"/>
          <w:color w:val="auto"/>
          <w:kern w:val="0"/>
          <w:szCs w:val="21"/>
          <w:highlight w:val="none"/>
        </w:rPr>
        <w:t>2022年以来在建或完成过类似工程业绩；</w:t>
      </w:r>
    </w:p>
    <w:p w14:paraId="24CB2A36">
      <w:pPr>
        <w:pStyle w:val="174"/>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2.已完成的类似工程应附中标通知书（如有）、合同协议书有关页面、工程竣工验收证明材料的</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03B27268">
      <w:pPr>
        <w:pStyle w:val="174"/>
        <w:spacing w:line="360" w:lineRule="auto"/>
        <w:ind w:firstLine="630" w:firstLineChars="300"/>
        <w:rPr>
          <w:rFonts w:hint="eastAsia" w:ascii="宋体" w:hAnsi="宋体" w:cs="Arial"/>
          <w:color w:val="auto"/>
          <w:kern w:val="0"/>
          <w:szCs w:val="21"/>
          <w:highlight w:val="none"/>
        </w:rPr>
      </w:pPr>
      <w:r>
        <w:rPr>
          <w:rFonts w:hint="eastAsia" w:ascii="宋体" w:hAnsi="宋体" w:cs="Arial"/>
          <w:color w:val="auto"/>
          <w:kern w:val="0"/>
          <w:szCs w:val="21"/>
          <w:highlight w:val="none"/>
        </w:rPr>
        <w:t>3.在建类似工程应附中标通知书（如有）、合同协议书有关页面</w:t>
      </w:r>
      <w:r>
        <w:rPr>
          <w:rFonts w:hint="eastAsia" w:asciiTheme="minorEastAsia" w:hAnsiTheme="minorEastAsia" w:eastAsiaTheme="minorEastAsia" w:cstheme="minorEastAsia"/>
          <w:color w:val="auto"/>
          <w:highlight w:val="none"/>
        </w:rPr>
        <w:t>复印件</w:t>
      </w:r>
      <w:r>
        <w:rPr>
          <w:rFonts w:hint="eastAsia" w:ascii="宋体" w:hAnsi="宋体" w:cs="Arial"/>
          <w:color w:val="auto"/>
          <w:kern w:val="0"/>
          <w:szCs w:val="21"/>
          <w:highlight w:val="none"/>
        </w:rPr>
        <w:t>，并加盖单位电子公章。</w:t>
      </w:r>
    </w:p>
    <w:p w14:paraId="6BF21907">
      <w:pPr>
        <w:pStyle w:val="174"/>
        <w:rPr>
          <w:rFonts w:hint="eastAsia" w:asciiTheme="minorEastAsia" w:hAnsiTheme="minorEastAsia" w:eastAsiaTheme="minorEastAsia" w:cstheme="minorEastAsia"/>
          <w:color w:val="auto"/>
          <w:szCs w:val="21"/>
          <w:highlight w:val="none"/>
        </w:rPr>
      </w:pPr>
    </w:p>
    <w:p w14:paraId="0D2F20AB">
      <w:pPr>
        <w:pStyle w:val="174"/>
        <w:rPr>
          <w:rFonts w:hint="eastAsia" w:asciiTheme="minorEastAsia" w:hAnsiTheme="minorEastAsia" w:eastAsiaTheme="minorEastAsia" w:cstheme="minorEastAsia"/>
          <w:color w:val="auto"/>
          <w:szCs w:val="21"/>
          <w:highlight w:val="none"/>
        </w:rPr>
      </w:pPr>
    </w:p>
    <w:p w14:paraId="496E75E1">
      <w:pPr>
        <w:pStyle w:val="174"/>
        <w:rPr>
          <w:rFonts w:hint="eastAsia" w:asciiTheme="minorEastAsia" w:hAnsiTheme="minorEastAsia" w:eastAsiaTheme="minorEastAsia" w:cstheme="minorEastAsia"/>
          <w:color w:val="auto"/>
          <w:szCs w:val="21"/>
          <w:highlight w:val="none"/>
        </w:rPr>
      </w:pPr>
    </w:p>
    <w:p w14:paraId="3D58792F">
      <w:pPr>
        <w:pStyle w:val="174"/>
        <w:rPr>
          <w:rFonts w:hint="eastAsia" w:asciiTheme="minorEastAsia" w:hAnsiTheme="minorEastAsia" w:eastAsiaTheme="minorEastAsia" w:cstheme="minorEastAsia"/>
          <w:color w:val="auto"/>
          <w:szCs w:val="21"/>
          <w:highlight w:val="none"/>
        </w:rPr>
      </w:pPr>
    </w:p>
    <w:p w14:paraId="7135E059">
      <w:pPr>
        <w:pStyle w:val="174"/>
        <w:rPr>
          <w:rFonts w:hint="eastAsia" w:asciiTheme="minorEastAsia" w:hAnsiTheme="minorEastAsia" w:eastAsiaTheme="minorEastAsia" w:cstheme="minorEastAsia"/>
          <w:color w:val="auto"/>
          <w:szCs w:val="21"/>
          <w:highlight w:val="none"/>
        </w:rPr>
      </w:pPr>
    </w:p>
    <w:p w14:paraId="547B8E13">
      <w:pPr>
        <w:pStyle w:val="174"/>
        <w:rPr>
          <w:rFonts w:hint="eastAsia" w:asciiTheme="minorEastAsia" w:hAnsiTheme="minorEastAsia" w:eastAsiaTheme="minorEastAsia" w:cstheme="minorEastAsia"/>
          <w:color w:val="auto"/>
          <w:szCs w:val="21"/>
          <w:highlight w:val="none"/>
        </w:rPr>
      </w:pPr>
    </w:p>
    <w:p w14:paraId="4DE0A48A">
      <w:pPr>
        <w:pStyle w:val="174"/>
        <w:rPr>
          <w:rFonts w:hint="eastAsia" w:asciiTheme="minorEastAsia" w:hAnsiTheme="minorEastAsia" w:eastAsiaTheme="minorEastAsia" w:cstheme="minorEastAsia"/>
          <w:color w:val="auto"/>
          <w:szCs w:val="21"/>
          <w:highlight w:val="none"/>
        </w:rPr>
      </w:pPr>
    </w:p>
    <w:p w14:paraId="7AC162EA">
      <w:pPr>
        <w:pStyle w:val="174"/>
        <w:rPr>
          <w:rFonts w:hint="eastAsia" w:asciiTheme="minorEastAsia" w:hAnsiTheme="minorEastAsia" w:eastAsiaTheme="minorEastAsia" w:cstheme="minorEastAsia"/>
          <w:color w:val="auto"/>
          <w:szCs w:val="21"/>
          <w:highlight w:val="none"/>
        </w:rPr>
      </w:pPr>
    </w:p>
    <w:p w14:paraId="4B344354">
      <w:pPr>
        <w:pStyle w:val="174"/>
        <w:rPr>
          <w:rFonts w:hint="eastAsia" w:asciiTheme="minorEastAsia" w:hAnsiTheme="minorEastAsia" w:eastAsiaTheme="minorEastAsia" w:cstheme="minorEastAsia"/>
          <w:color w:val="auto"/>
          <w:szCs w:val="21"/>
          <w:highlight w:val="none"/>
        </w:rPr>
      </w:pPr>
    </w:p>
    <w:p w14:paraId="2A10F602">
      <w:pPr>
        <w:pStyle w:val="174"/>
        <w:rPr>
          <w:rFonts w:hint="eastAsia" w:asciiTheme="minorEastAsia" w:hAnsiTheme="minorEastAsia" w:eastAsiaTheme="minorEastAsia" w:cstheme="minorEastAsia"/>
          <w:color w:val="auto"/>
          <w:szCs w:val="21"/>
          <w:highlight w:val="none"/>
        </w:rPr>
      </w:pPr>
    </w:p>
    <w:p w14:paraId="36CB6870">
      <w:pPr>
        <w:pStyle w:val="174"/>
        <w:rPr>
          <w:rFonts w:hint="eastAsia" w:asciiTheme="minorEastAsia" w:hAnsiTheme="minorEastAsia" w:eastAsiaTheme="minorEastAsia" w:cstheme="minorEastAsia"/>
          <w:color w:val="auto"/>
          <w:szCs w:val="21"/>
          <w:highlight w:val="none"/>
        </w:rPr>
      </w:pPr>
    </w:p>
    <w:p w14:paraId="53E3BA47">
      <w:pPr>
        <w:pStyle w:val="174"/>
        <w:rPr>
          <w:rFonts w:hint="eastAsia" w:asciiTheme="minorEastAsia" w:hAnsiTheme="minorEastAsia" w:eastAsiaTheme="minorEastAsia" w:cstheme="minorEastAsia"/>
          <w:color w:val="auto"/>
          <w:szCs w:val="21"/>
          <w:highlight w:val="none"/>
        </w:rPr>
      </w:pPr>
    </w:p>
    <w:p w14:paraId="24C116D4">
      <w:pPr>
        <w:pStyle w:val="174"/>
        <w:rPr>
          <w:rFonts w:hint="eastAsia" w:asciiTheme="minorEastAsia" w:hAnsiTheme="minorEastAsia" w:eastAsiaTheme="minorEastAsia" w:cstheme="minorEastAsia"/>
          <w:color w:val="auto"/>
          <w:szCs w:val="21"/>
          <w:highlight w:val="none"/>
        </w:rPr>
      </w:pPr>
    </w:p>
    <w:p w14:paraId="453F4FDB">
      <w:pPr>
        <w:pStyle w:val="174"/>
        <w:rPr>
          <w:rFonts w:hint="eastAsia" w:asciiTheme="minorEastAsia" w:hAnsiTheme="minorEastAsia" w:eastAsiaTheme="minorEastAsia" w:cstheme="minorEastAsia"/>
          <w:color w:val="auto"/>
          <w:szCs w:val="21"/>
          <w:highlight w:val="none"/>
        </w:rPr>
      </w:pPr>
    </w:p>
    <w:p w14:paraId="2321B964">
      <w:pPr>
        <w:pStyle w:val="174"/>
        <w:rPr>
          <w:rFonts w:hint="eastAsia" w:asciiTheme="minorEastAsia" w:hAnsiTheme="minorEastAsia" w:eastAsiaTheme="minorEastAsia" w:cstheme="minorEastAsia"/>
          <w:color w:val="auto"/>
          <w:szCs w:val="21"/>
          <w:highlight w:val="none"/>
        </w:rPr>
      </w:pPr>
    </w:p>
    <w:p w14:paraId="6A267DBB">
      <w:pPr>
        <w:pStyle w:val="174"/>
        <w:rPr>
          <w:rFonts w:hint="eastAsia" w:asciiTheme="minorEastAsia" w:hAnsiTheme="minorEastAsia" w:eastAsiaTheme="minorEastAsia" w:cstheme="minorEastAsia"/>
          <w:color w:val="auto"/>
          <w:szCs w:val="21"/>
          <w:highlight w:val="none"/>
        </w:rPr>
      </w:pPr>
    </w:p>
    <w:p w14:paraId="08F337AA">
      <w:pPr>
        <w:pStyle w:val="174"/>
        <w:rPr>
          <w:rFonts w:hint="eastAsia" w:asciiTheme="minorEastAsia" w:hAnsiTheme="minorEastAsia" w:eastAsiaTheme="minorEastAsia" w:cstheme="minorEastAsia"/>
          <w:color w:val="auto"/>
          <w:szCs w:val="21"/>
          <w:highlight w:val="none"/>
        </w:rPr>
      </w:pPr>
    </w:p>
    <w:p w14:paraId="50B9EA20">
      <w:pPr>
        <w:pStyle w:val="174"/>
        <w:rPr>
          <w:rFonts w:hint="eastAsia" w:asciiTheme="minorEastAsia" w:hAnsiTheme="minorEastAsia" w:eastAsiaTheme="minorEastAsia" w:cstheme="minorEastAsia"/>
          <w:color w:val="auto"/>
          <w:szCs w:val="21"/>
          <w:highlight w:val="none"/>
        </w:rPr>
      </w:pPr>
    </w:p>
    <w:p w14:paraId="17F6B1AE">
      <w:pPr>
        <w:pStyle w:val="174"/>
        <w:rPr>
          <w:rFonts w:hint="eastAsia" w:asciiTheme="minorEastAsia" w:hAnsiTheme="minorEastAsia" w:eastAsiaTheme="minorEastAsia" w:cstheme="minorEastAsia"/>
          <w:color w:val="auto"/>
          <w:szCs w:val="21"/>
          <w:highlight w:val="none"/>
        </w:rPr>
      </w:pPr>
    </w:p>
    <w:p w14:paraId="2D35F181">
      <w:pPr>
        <w:pStyle w:val="3"/>
        <w:jc w:val="center"/>
        <w:rPr>
          <w:rFonts w:hint="eastAsia" w:ascii="宋体" w:hAnsi="宋体"/>
          <w:color w:val="auto"/>
          <w:highlight w:val="none"/>
        </w:rPr>
      </w:pPr>
      <w:r>
        <w:rPr>
          <w:rFonts w:hint="eastAsia" w:ascii="宋体" w:hAnsi="宋体"/>
          <w:color w:val="auto"/>
          <w:highlight w:val="none"/>
        </w:rPr>
        <w:t>第四节 报价文件格式</w:t>
      </w:r>
    </w:p>
    <w:p w14:paraId="6F1B0209">
      <w:pPr>
        <w:snapToGrid w:val="0"/>
        <w:spacing w:before="156"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7E31F8D1">
      <w:pPr>
        <w:snapToGrid w:val="0"/>
        <w:spacing w:before="156" w:beforeLines="50" w:after="50"/>
        <w:rPr>
          <w:rFonts w:hint="eastAsia" w:ascii="宋体" w:hAnsi="宋体"/>
          <w:color w:val="auto"/>
          <w:sz w:val="24"/>
          <w:szCs w:val="20"/>
          <w:highlight w:val="none"/>
        </w:rPr>
      </w:pPr>
    </w:p>
    <w:p w14:paraId="3AE610A7">
      <w:pPr>
        <w:snapToGrid w:val="0"/>
        <w:spacing w:before="156" w:beforeLines="50" w:after="50"/>
        <w:rPr>
          <w:rFonts w:hint="eastAsia" w:ascii="宋体" w:hAnsi="宋体"/>
          <w:color w:val="auto"/>
          <w:sz w:val="24"/>
          <w:szCs w:val="20"/>
          <w:highlight w:val="none"/>
        </w:rPr>
      </w:pPr>
    </w:p>
    <w:p w14:paraId="4C408C54">
      <w:pPr>
        <w:snapToGrid w:val="0"/>
        <w:spacing w:before="156" w:beforeLines="50" w:after="50"/>
        <w:rPr>
          <w:rFonts w:hint="eastAsia" w:ascii="宋体" w:hAnsi="宋体"/>
          <w:color w:val="auto"/>
          <w:sz w:val="24"/>
          <w:szCs w:val="20"/>
          <w:highlight w:val="none"/>
        </w:rPr>
      </w:pPr>
    </w:p>
    <w:p w14:paraId="6A07A227">
      <w:pPr>
        <w:snapToGrid w:val="0"/>
        <w:spacing w:before="156"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件（封面）</w:t>
      </w:r>
    </w:p>
    <w:p w14:paraId="0C8597D2">
      <w:pPr>
        <w:snapToGrid w:val="0"/>
        <w:spacing w:before="156" w:beforeLines="50" w:after="50"/>
        <w:rPr>
          <w:rFonts w:hint="eastAsia" w:ascii="宋体" w:hAnsi="宋体"/>
          <w:bCs/>
          <w:color w:val="auto"/>
          <w:sz w:val="24"/>
          <w:szCs w:val="20"/>
          <w:highlight w:val="none"/>
        </w:rPr>
      </w:pPr>
    </w:p>
    <w:p w14:paraId="0128D15D">
      <w:pPr>
        <w:snapToGrid w:val="0"/>
        <w:spacing w:before="156" w:beforeLines="50" w:after="50"/>
        <w:rPr>
          <w:rFonts w:hint="eastAsia" w:ascii="宋体" w:hAnsi="宋体"/>
          <w:bCs/>
          <w:color w:val="auto"/>
          <w:sz w:val="24"/>
          <w:szCs w:val="20"/>
          <w:highlight w:val="none"/>
        </w:rPr>
      </w:pPr>
    </w:p>
    <w:p w14:paraId="1A8F7F04">
      <w:pPr>
        <w:snapToGrid w:val="0"/>
        <w:spacing w:before="156" w:beforeLines="50" w:after="50"/>
        <w:rPr>
          <w:rFonts w:hint="eastAsia" w:ascii="宋体" w:hAnsi="宋体"/>
          <w:bCs/>
          <w:color w:val="auto"/>
          <w:sz w:val="24"/>
          <w:szCs w:val="20"/>
          <w:highlight w:val="none"/>
        </w:rPr>
      </w:pPr>
    </w:p>
    <w:p w14:paraId="686C0F34">
      <w:pPr>
        <w:snapToGrid w:val="0"/>
        <w:spacing w:before="156" w:beforeLines="50" w:after="50"/>
        <w:rPr>
          <w:rFonts w:hint="eastAsia" w:ascii="宋体" w:hAnsi="宋体"/>
          <w:bCs/>
          <w:color w:val="auto"/>
          <w:sz w:val="24"/>
          <w:szCs w:val="20"/>
          <w:highlight w:val="none"/>
        </w:rPr>
      </w:pPr>
    </w:p>
    <w:p w14:paraId="39AADD3D">
      <w:pPr>
        <w:snapToGrid w:val="0"/>
        <w:spacing w:before="156" w:beforeLines="50" w:after="50"/>
        <w:rPr>
          <w:rFonts w:hint="eastAsia" w:ascii="宋体" w:hAnsi="宋体"/>
          <w:bCs/>
          <w:color w:val="auto"/>
          <w:sz w:val="24"/>
          <w:szCs w:val="20"/>
          <w:highlight w:val="none"/>
        </w:rPr>
      </w:pPr>
    </w:p>
    <w:p w14:paraId="3E902ADD">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0541A87E">
      <w:pPr>
        <w:snapToGrid w:val="0"/>
        <w:spacing w:before="156" w:beforeLines="50" w:after="50"/>
        <w:ind w:firstLine="720" w:firstLineChars="225"/>
        <w:rPr>
          <w:rFonts w:hint="eastAsia" w:ascii="宋体" w:hAnsi="宋体" w:cs="仿宋_GB2312"/>
          <w:bCs/>
          <w:color w:val="auto"/>
          <w:sz w:val="32"/>
          <w:szCs w:val="32"/>
          <w:highlight w:val="none"/>
        </w:rPr>
      </w:pPr>
    </w:p>
    <w:p w14:paraId="07CEF159">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659D24C">
      <w:pPr>
        <w:snapToGrid w:val="0"/>
        <w:spacing w:before="156" w:beforeLines="50" w:after="50"/>
        <w:ind w:firstLine="720" w:firstLineChars="225"/>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64D4266F">
      <w:pPr>
        <w:snapToGrid w:val="0"/>
        <w:spacing w:before="156" w:beforeLines="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2E7A1415">
      <w:pPr>
        <w:snapToGrid w:val="0"/>
        <w:spacing w:before="156" w:beforeLines="50" w:after="50"/>
        <w:ind w:firstLine="720" w:firstLineChars="225"/>
        <w:rPr>
          <w:rFonts w:hint="eastAsia" w:ascii="宋体" w:hAnsi="宋体" w:cs="仿宋_GB2312"/>
          <w:bCs/>
          <w:color w:val="auto"/>
          <w:sz w:val="32"/>
          <w:szCs w:val="32"/>
          <w:highlight w:val="none"/>
        </w:rPr>
      </w:pPr>
    </w:p>
    <w:p w14:paraId="2F58D5AB">
      <w:pPr>
        <w:pStyle w:val="7"/>
        <w:snapToGrid w:val="0"/>
        <w:spacing w:before="50" w:after="50"/>
        <w:ind w:firstLine="640" w:firstLineChars="20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36A25DA5">
      <w:pPr>
        <w:pStyle w:val="7"/>
        <w:snapToGrid w:val="0"/>
        <w:spacing w:before="50" w:after="50"/>
        <w:ind w:firstLine="720" w:firstLineChars="225"/>
        <w:rPr>
          <w:rFonts w:hint="eastAsia" w:ascii="宋体" w:hAnsi="宋体" w:cs="仿宋_GB2312"/>
          <w:bCs/>
          <w:color w:val="auto"/>
          <w:sz w:val="32"/>
          <w:szCs w:val="32"/>
          <w:highlight w:val="none"/>
        </w:rPr>
      </w:pPr>
    </w:p>
    <w:p w14:paraId="42029316">
      <w:pPr>
        <w:pStyle w:val="7"/>
        <w:snapToGrid w:val="0"/>
        <w:spacing w:before="50" w:after="50"/>
        <w:ind w:firstLine="720" w:firstLineChars="225"/>
        <w:rPr>
          <w:rFonts w:hint="eastAsia" w:ascii="宋体" w:hAnsi="宋体" w:cs="仿宋_GB2312"/>
          <w:bCs/>
          <w:color w:val="auto"/>
          <w:sz w:val="32"/>
          <w:szCs w:val="32"/>
          <w:highlight w:val="none"/>
        </w:rPr>
      </w:pPr>
    </w:p>
    <w:p w14:paraId="4AD3844A">
      <w:pPr>
        <w:pStyle w:val="7"/>
        <w:snapToGrid w:val="0"/>
        <w:spacing w:before="50" w:after="50"/>
        <w:ind w:firstLine="1280" w:firstLineChars="400"/>
        <w:rPr>
          <w:rFonts w:hint="eastAsia" w:ascii="宋体" w:hAnsi="宋体" w:cs="仿宋_GB2312"/>
          <w:bCs/>
          <w:color w:val="auto"/>
          <w:sz w:val="32"/>
          <w:szCs w:val="32"/>
          <w:highlight w:val="none"/>
        </w:rPr>
      </w:pPr>
    </w:p>
    <w:p w14:paraId="622E91B5">
      <w:pPr>
        <w:snapToGrid w:val="0"/>
        <w:spacing w:before="156" w:beforeLines="50" w:after="50"/>
        <w:jc w:val="center"/>
        <w:rPr>
          <w:rFonts w:hint="eastAsia"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6FE6457A">
      <w:pPr>
        <w:snapToGrid w:val="0"/>
        <w:spacing w:before="156" w:beforeLines="50" w:after="50" w:line="400" w:lineRule="exact"/>
        <w:jc w:val="center"/>
        <w:rPr>
          <w:rFonts w:hint="eastAsia" w:ascii="宋体" w:hAnsi="宋体"/>
          <w:color w:val="auto"/>
          <w:sz w:val="24"/>
          <w:highlight w:val="none"/>
        </w:rPr>
      </w:pPr>
      <w:r>
        <w:rPr>
          <w:rFonts w:ascii="宋体" w:hAnsi="宋体"/>
          <w:color w:val="auto"/>
          <w:sz w:val="24"/>
          <w:highlight w:val="none"/>
        </w:rPr>
        <w:br w:type="page"/>
      </w:r>
    </w:p>
    <w:p w14:paraId="642913B5">
      <w:pPr>
        <w:snapToGrid w:val="0"/>
        <w:spacing w:before="156" w:beforeLines="50" w:after="50" w:line="400" w:lineRule="exact"/>
        <w:jc w:val="center"/>
        <w:rPr>
          <w:rFonts w:hint="eastAsia" w:ascii="宋体" w:hAnsi="宋体"/>
          <w:color w:val="auto"/>
          <w:sz w:val="24"/>
          <w:highlight w:val="none"/>
        </w:rPr>
      </w:pPr>
    </w:p>
    <w:p w14:paraId="68A80ECF">
      <w:pPr>
        <w:snapToGrid w:val="0"/>
        <w:spacing w:before="156"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报价文件目录</w:t>
      </w:r>
    </w:p>
    <w:p w14:paraId="74FBA181">
      <w:pPr>
        <w:rPr>
          <w:rFonts w:hint="eastAsia" w:ascii="宋体" w:hAnsi="宋体" w:cs="宋体"/>
          <w:color w:val="auto"/>
          <w:sz w:val="24"/>
          <w:szCs w:val="24"/>
          <w:highlight w:val="none"/>
        </w:rPr>
      </w:pPr>
    </w:p>
    <w:p w14:paraId="67348739">
      <w:pPr>
        <w:pStyle w:val="16"/>
        <w:spacing w:line="360" w:lineRule="auto"/>
        <w:rPr>
          <w:color w:val="auto"/>
          <w:highlight w:val="none"/>
        </w:rPr>
      </w:pPr>
    </w:p>
    <w:p w14:paraId="3928C4CD">
      <w:pPr>
        <w:spacing w:line="360" w:lineRule="auto"/>
        <w:jc w:val="distribute"/>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spacing w:val="2"/>
          <w:sz w:val="24"/>
          <w:szCs w:val="24"/>
          <w:highlight w:val="none"/>
        </w:rPr>
        <w:t>一、磋商函</w:t>
      </w:r>
      <w:r>
        <w:rPr>
          <w:rFonts w:hint="eastAsia" w:asciiTheme="minorEastAsia" w:hAnsiTheme="minorEastAsia" w:eastAsiaTheme="minorEastAsia" w:cstheme="minorEastAsia"/>
          <w:color w:val="auto"/>
          <w:kern w:val="0"/>
          <w:sz w:val="24"/>
          <w:szCs w:val="24"/>
          <w:highlight w:val="none"/>
        </w:rPr>
        <w:t>………………………………………………………………………（页码）</w:t>
      </w:r>
    </w:p>
    <w:p w14:paraId="00CA0238">
      <w:pPr>
        <w:pStyle w:val="18"/>
        <w:spacing w:line="360" w:lineRule="auto"/>
        <w:jc w:val="distribute"/>
        <w:rPr>
          <w:color w:val="auto"/>
          <w:highlight w:val="none"/>
        </w:rPr>
      </w:pPr>
      <w:r>
        <w:rPr>
          <w:rFonts w:hint="eastAsia" w:asciiTheme="minorEastAsia" w:hAnsiTheme="minorEastAsia" w:eastAsiaTheme="minorEastAsia" w:cstheme="minorEastAsia"/>
          <w:b w:val="0"/>
          <w:bCs w:val="0"/>
          <w:color w:val="auto"/>
          <w:spacing w:val="2"/>
          <w:sz w:val="24"/>
          <w:szCs w:val="24"/>
          <w:highlight w:val="none"/>
        </w:rPr>
        <w:t>二、磋商函附表………………………………………………………………（页码）</w:t>
      </w:r>
    </w:p>
    <w:p w14:paraId="0334B0F9">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三、磋商报价表………………………………………………………………（页码）</w:t>
      </w:r>
    </w:p>
    <w:p w14:paraId="4CD23975">
      <w:pPr>
        <w:spacing w:line="360" w:lineRule="auto"/>
        <w:jc w:val="distribute"/>
        <w:rPr>
          <w:rFonts w:hint="eastAsia" w:asciiTheme="minorEastAsia" w:hAnsiTheme="minorEastAsia" w:eastAsiaTheme="minorEastAsia" w:cstheme="minorEastAsia"/>
          <w:color w:val="auto"/>
          <w:spacing w:val="2"/>
          <w:sz w:val="24"/>
          <w:szCs w:val="24"/>
          <w:highlight w:val="none"/>
        </w:rPr>
      </w:pPr>
      <w:r>
        <w:rPr>
          <w:rFonts w:hint="eastAsia" w:asciiTheme="minorEastAsia" w:hAnsiTheme="minorEastAsia" w:eastAsiaTheme="minorEastAsia" w:cstheme="minorEastAsia"/>
          <w:color w:val="auto"/>
          <w:spacing w:val="2"/>
          <w:sz w:val="24"/>
          <w:szCs w:val="24"/>
          <w:highlight w:val="none"/>
        </w:rPr>
        <w:t>四、已标价的工程量清单报价有关材料……………………………………（页码）</w:t>
      </w:r>
    </w:p>
    <w:p w14:paraId="1AE28B05">
      <w:pPr>
        <w:pStyle w:val="5"/>
        <w:rPr>
          <w:color w:val="auto"/>
          <w:highlight w:val="none"/>
        </w:rPr>
      </w:pPr>
    </w:p>
    <w:p w14:paraId="6270B6E2">
      <w:pPr>
        <w:pStyle w:val="22"/>
        <w:ind w:firstLine="482"/>
        <w:rPr>
          <w:color w:val="auto"/>
          <w:highlight w:val="none"/>
        </w:rPr>
      </w:pPr>
    </w:p>
    <w:p w14:paraId="59DBE357">
      <w:pPr>
        <w:pStyle w:val="22"/>
        <w:ind w:firstLine="482"/>
        <w:rPr>
          <w:color w:val="auto"/>
          <w:highlight w:val="none"/>
        </w:rPr>
      </w:pPr>
    </w:p>
    <w:p w14:paraId="61AC7F47">
      <w:pPr>
        <w:pStyle w:val="22"/>
        <w:ind w:firstLine="482"/>
        <w:rPr>
          <w:color w:val="auto"/>
          <w:highlight w:val="none"/>
        </w:rPr>
      </w:pPr>
    </w:p>
    <w:p w14:paraId="6988D76A">
      <w:pPr>
        <w:pStyle w:val="22"/>
        <w:ind w:firstLine="482"/>
        <w:rPr>
          <w:color w:val="auto"/>
          <w:highlight w:val="none"/>
        </w:rPr>
      </w:pPr>
    </w:p>
    <w:p w14:paraId="16E6494A">
      <w:pPr>
        <w:pStyle w:val="22"/>
        <w:ind w:firstLine="482"/>
        <w:rPr>
          <w:color w:val="auto"/>
          <w:highlight w:val="none"/>
        </w:rPr>
      </w:pPr>
    </w:p>
    <w:p w14:paraId="239A2798">
      <w:pPr>
        <w:pStyle w:val="22"/>
        <w:ind w:firstLine="482"/>
        <w:rPr>
          <w:color w:val="auto"/>
          <w:highlight w:val="none"/>
        </w:rPr>
      </w:pPr>
    </w:p>
    <w:p w14:paraId="3707D60F">
      <w:pPr>
        <w:pStyle w:val="22"/>
        <w:ind w:firstLine="482"/>
        <w:rPr>
          <w:color w:val="auto"/>
          <w:highlight w:val="none"/>
        </w:rPr>
      </w:pPr>
    </w:p>
    <w:p w14:paraId="2AD602B2">
      <w:pPr>
        <w:pStyle w:val="22"/>
        <w:ind w:firstLine="482"/>
        <w:rPr>
          <w:color w:val="auto"/>
          <w:highlight w:val="none"/>
        </w:rPr>
      </w:pPr>
    </w:p>
    <w:p w14:paraId="2AC8B42F">
      <w:pPr>
        <w:pStyle w:val="22"/>
        <w:ind w:firstLine="482"/>
        <w:rPr>
          <w:color w:val="auto"/>
          <w:highlight w:val="none"/>
        </w:rPr>
      </w:pPr>
    </w:p>
    <w:p w14:paraId="28E15212">
      <w:pPr>
        <w:pStyle w:val="22"/>
        <w:ind w:firstLine="482"/>
        <w:rPr>
          <w:color w:val="auto"/>
          <w:highlight w:val="none"/>
        </w:rPr>
      </w:pPr>
    </w:p>
    <w:p w14:paraId="2251A9E8">
      <w:pPr>
        <w:pStyle w:val="22"/>
        <w:ind w:firstLine="482"/>
        <w:rPr>
          <w:color w:val="auto"/>
          <w:highlight w:val="none"/>
        </w:rPr>
      </w:pPr>
    </w:p>
    <w:p w14:paraId="4553DC94">
      <w:pPr>
        <w:pStyle w:val="22"/>
        <w:ind w:firstLine="482"/>
        <w:rPr>
          <w:color w:val="auto"/>
          <w:highlight w:val="none"/>
        </w:rPr>
      </w:pPr>
    </w:p>
    <w:p w14:paraId="61FD9114">
      <w:pPr>
        <w:pStyle w:val="22"/>
        <w:ind w:firstLine="482"/>
        <w:rPr>
          <w:color w:val="auto"/>
          <w:highlight w:val="none"/>
        </w:rPr>
      </w:pPr>
    </w:p>
    <w:p w14:paraId="6C25B60D">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w:t>
      </w:r>
    </w:p>
    <w:p w14:paraId="188B90AB">
      <w:pPr>
        <w:spacing w:line="380" w:lineRule="exact"/>
        <w:rPr>
          <w:rFonts w:hint="eastAsia" w:asciiTheme="minorEastAsia" w:hAnsiTheme="minorEastAsia" w:eastAsiaTheme="minorEastAsia" w:cstheme="minorEastAsia"/>
          <w:color w:val="auto"/>
          <w:highlight w:val="none"/>
        </w:rPr>
      </w:pPr>
    </w:p>
    <w:p w14:paraId="1D4C2C1F">
      <w:pPr>
        <w:spacing w:line="380" w:lineRule="exact"/>
        <w:rPr>
          <w:rFonts w:hint="eastAsia" w:asciiTheme="minorEastAsia" w:hAnsiTheme="minorEastAsia" w:eastAsiaTheme="minorEastAsia" w:cstheme="minorEastAsia"/>
          <w:color w:val="auto"/>
          <w:highlight w:val="none"/>
        </w:rPr>
      </w:pPr>
    </w:p>
    <w:p w14:paraId="1898FAE9">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（采购单位名称）：</w:t>
      </w:r>
    </w:p>
    <w:p w14:paraId="4D15AEBC">
      <w:pPr>
        <w:spacing w:line="380" w:lineRule="exact"/>
        <w:ind w:firstLine="63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 我公司根据收到并研究了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工程（项目编号：</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）的竞争性磋商采购文件，愿意按竞争性磋商采购文件规定的内容承担该工程的施工任务，严格执行磋商供应商所承诺的责任和义务。</w:t>
      </w:r>
    </w:p>
    <w:p w14:paraId="4185F723">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spacing w:val="8"/>
          <w:highlight w:val="none"/>
        </w:rPr>
        <w:t>我单位经考察现场和研究上述工程竞争性磋商采购文件的磋商须知前附表及磋商须知、合同条件、工程建设标准及其他有关文件后，我方</w:t>
      </w:r>
      <w:r>
        <w:rPr>
          <w:rFonts w:hint="eastAsia" w:asciiTheme="minorEastAsia" w:hAnsiTheme="minorEastAsia" w:eastAsiaTheme="minorEastAsia" w:cstheme="minorEastAsia"/>
          <w:bCs/>
          <w:color w:val="auto"/>
          <w:highlight w:val="none"/>
        </w:rPr>
        <w:t>愿以：人民币</w:t>
      </w:r>
      <w:r>
        <w:rPr>
          <w:rFonts w:hint="eastAsia" w:asciiTheme="minorEastAsia" w:hAnsiTheme="minorEastAsia" w:eastAsiaTheme="minorEastAsia" w:cstheme="minorEastAsia"/>
          <w:bCs/>
          <w:color w:val="auto"/>
          <w:highlight w:val="none"/>
          <w:u w:val="single"/>
        </w:rPr>
        <w:t xml:space="preserve">（大写）                  （小写）            </w:t>
      </w:r>
      <w:r>
        <w:rPr>
          <w:rFonts w:hint="eastAsia" w:asciiTheme="minorEastAsia" w:hAnsiTheme="minorEastAsia" w:eastAsiaTheme="minorEastAsia" w:cstheme="minorEastAsia"/>
          <w:bCs/>
          <w:color w:val="auto"/>
          <w:highlight w:val="none"/>
        </w:rPr>
        <w:t>的磋商报价</w:t>
      </w:r>
      <w:r>
        <w:rPr>
          <w:rFonts w:hint="eastAsia" w:asciiTheme="minorEastAsia" w:hAnsiTheme="minorEastAsia" w:eastAsiaTheme="minorEastAsia" w:cstheme="minorEastAsia"/>
          <w:bCs/>
          <w:color w:val="auto"/>
          <w:spacing w:val="8"/>
          <w:highlight w:val="none"/>
        </w:rPr>
        <w:t>，安全文明施工费为：</w:t>
      </w:r>
      <w:r>
        <w:rPr>
          <w:rFonts w:hint="eastAsia" w:asciiTheme="minorEastAsia" w:hAnsiTheme="minorEastAsia" w:eastAsiaTheme="minorEastAsia" w:cstheme="minorEastAsia"/>
          <w:bCs/>
          <w:color w:val="auto"/>
          <w:highlight w:val="none"/>
        </w:rPr>
        <w:t>人民币</w:t>
      </w:r>
      <w:r>
        <w:rPr>
          <w:rFonts w:hint="eastAsia" w:asciiTheme="minorEastAsia" w:hAnsiTheme="minorEastAsia" w:eastAsiaTheme="minorEastAsia" w:cstheme="minorEastAsia"/>
          <w:bCs/>
          <w:color w:val="auto"/>
          <w:highlight w:val="none"/>
          <w:u w:val="single"/>
        </w:rPr>
        <w:t>（大写）                  （小写）            ，</w:t>
      </w:r>
      <w:r>
        <w:rPr>
          <w:rFonts w:hint="eastAsia" w:asciiTheme="minorEastAsia" w:hAnsiTheme="minorEastAsia" w:eastAsiaTheme="minorEastAsia" w:cstheme="minorEastAsia"/>
          <w:bCs/>
          <w:color w:val="auto"/>
          <w:highlight w:val="none"/>
        </w:rPr>
        <w:t>并按上述工程量清单、合</w:t>
      </w:r>
      <w:r>
        <w:rPr>
          <w:rFonts w:hint="eastAsia" w:asciiTheme="minorEastAsia" w:hAnsiTheme="minorEastAsia" w:eastAsiaTheme="minorEastAsia" w:cstheme="minorEastAsia"/>
          <w:color w:val="auto"/>
          <w:highlight w:val="none"/>
        </w:rPr>
        <w:t>同条款、工程建设标准的条件要求承包工程的施工、竣工，并承担任何质量缺陷保修责任。</w:t>
      </w:r>
    </w:p>
    <w:p w14:paraId="5F6A0F1F">
      <w:pPr>
        <w:pStyle w:val="26"/>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 xml:space="preserve">     3、一旦我方成交，我方保证：在签订合同后</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天内开工，</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天（日历天）内竣工并移交整个工程，并保证工程质量达到</w:t>
      </w:r>
      <w:r>
        <w:rPr>
          <w:rFonts w:hint="eastAsia" w:asciiTheme="minorEastAsia" w:hAnsiTheme="minorEastAsia" w:eastAsiaTheme="minorEastAsia" w:cstheme="minorEastAsia"/>
          <w:color w:val="auto"/>
          <w:sz w:val="21"/>
          <w:szCs w:val="21"/>
          <w:highlight w:val="none"/>
          <w:u w:val="single"/>
        </w:rPr>
        <w:t xml:space="preserve">      </w:t>
      </w:r>
      <w:r>
        <w:rPr>
          <w:rFonts w:hint="eastAsia" w:asciiTheme="minorEastAsia" w:hAnsiTheme="minorEastAsia" w:eastAsiaTheme="minorEastAsia" w:cstheme="minorEastAsia"/>
          <w:color w:val="auto"/>
          <w:sz w:val="21"/>
          <w:szCs w:val="21"/>
          <w:highlight w:val="none"/>
        </w:rPr>
        <w:t>等级；</w:t>
      </w:r>
    </w:p>
    <w:p w14:paraId="42268A3E">
      <w:pPr>
        <w:spacing w:line="380" w:lineRule="exact"/>
        <w:ind w:firstLine="525" w:firstLineChars="25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4、我方同意所递交的响应文件在“磋商须知前附表及磋商须知”第13条规定的竞标有效期内有效，在此期间内我方的竞标有可能成交，我方将受此约束。</w:t>
      </w:r>
    </w:p>
    <w:p w14:paraId="41181305">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5、一旦成交，我公司保证按照竞争性磋商采购文件的要求和与采购人签订的工程施工合同，成立本工程的项目部，按响应文件拟订的项目经理和专业技术人员进驻施工现场实施施工合同。</w:t>
      </w:r>
    </w:p>
    <w:p w14:paraId="211AA6EC">
      <w:pPr>
        <w:spacing w:line="380" w:lineRule="exact"/>
        <w:ind w:firstLine="52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 我公司同意从竞标之日起至施工合同终止之日止，遵守本响应文件，在此期间，本响应文件一直对我公司具有约束力。同时，在制定和执行正式合同之前，除非另外达成协议并生效，本响应文件连同</w:t>
      </w:r>
      <w:r>
        <w:rPr>
          <w:rFonts w:hint="eastAsia" w:asciiTheme="minorEastAsia" w:hAnsiTheme="minorEastAsia" w:eastAsiaTheme="minorEastAsia" w:cstheme="minorEastAsia"/>
          <w:color w:val="auto"/>
          <w:spacing w:val="2"/>
          <w:highlight w:val="none"/>
        </w:rPr>
        <w:t>采购代理机构</w:t>
      </w:r>
      <w:r>
        <w:rPr>
          <w:rFonts w:hint="eastAsia" w:asciiTheme="minorEastAsia" w:hAnsiTheme="minorEastAsia" w:eastAsiaTheme="minorEastAsia" w:cstheme="minorEastAsia"/>
          <w:color w:val="auto"/>
          <w:highlight w:val="none"/>
        </w:rPr>
        <w:t>发出的成交通知书，应构成我们之间有约束力的合同。</w:t>
      </w:r>
    </w:p>
    <w:p w14:paraId="504F0F91">
      <w:pPr>
        <w:spacing w:line="380" w:lineRule="exact"/>
        <w:rPr>
          <w:rFonts w:hint="eastAsia" w:asciiTheme="minorEastAsia" w:hAnsiTheme="minorEastAsia" w:eastAsiaTheme="minorEastAsia" w:cstheme="minorEastAsia"/>
          <w:color w:val="auto"/>
          <w:highlight w:val="none"/>
        </w:rPr>
      </w:pPr>
    </w:p>
    <w:p w14:paraId="5D1A6CAE">
      <w:pPr>
        <w:spacing w:line="380" w:lineRule="exact"/>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磋商供应商（盖章）：</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法定代表人（签字、盖章）：</w:t>
      </w:r>
      <w:r>
        <w:rPr>
          <w:rFonts w:hint="eastAsia" w:asciiTheme="minorEastAsia" w:hAnsiTheme="minorEastAsia" w:eastAsiaTheme="minorEastAsia" w:cstheme="minorEastAsia"/>
          <w:color w:val="auto"/>
          <w:highlight w:val="none"/>
          <w:u w:val="single"/>
        </w:rPr>
        <w:t xml:space="preserve">                </w:t>
      </w:r>
    </w:p>
    <w:p w14:paraId="3B763D59">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地址：                                 邮政编码：</w:t>
      </w:r>
    </w:p>
    <w:p w14:paraId="14193BD7">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电话：</w:t>
      </w:r>
    </w:p>
    <w:p w14:paraId="0A0144F0">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开户银行名称：                     </w:t>
      </w:r>
    </w:p>
    <w:p w14:paraId="6A5997EA">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银行</w:t>
      </w:r>
      <w:r>
        <w:rPr>
          <w:rFonts w:hint="eastAsia" w:asciiTheme="minorEastAsia" w:hAnsiTheme="minorEastAsia" w:eastAsiaTheme="minorEastAsia" w:cstheme="minorEastAsia"/>
          <w:color w:val="auto"/>
          <w:highlight w:val="none"/>
          <w:lang w:val="en-US" w:eastAsia="zh-CN"/>
        </w:rPr>
        <w:t>账</w:t>
      </w:r>
      <w:r>
        <w:rPr>
          <w:rFonts w:hint="eastAsia" w:asciiTheme="minorEastAsia" w:hAnsiTheme="minorEastAsia" w:eastAsiaTheme="minorEastAsia" w:cstheme="minorEastAsia"/>
          <w:color w:val="auto"/>
          <w:highlight w:val="none"/>
        </w:rPr>
        <w:t>号：</w:t>
      </w:r>
    </w:p>
    <w:p w14:paraId="492230DA">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开户行地址：     </w:t>
      </w:r>
    </w:p>
    <w:p w14:paraId="36767829">
      <w:pPr>
        <w:spacing w:line="380" w:lineRule="exac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日期：      年    月    日 </w:t>
      </w:r>
    </w:p>
    <w:p w14:paraId="73A6F9D4">
      <w:pPr>
        <w:pStyle w:val="5"/>
        <w:rPr>
          <w:color w:val="auto"/>
          <w:highlight w:val="none"/>
        </w:rPr>
      </w:pPr>
      <w:r>
        <w:rPr>
          <w:rFonts w:hint="eastAsia" w:asciiTheme="minorEastAsia" w:hAnsiTheme="minorEastAsia" w:eastAsiaTheme="minorEastAsia" w:cstheme="minorEastAsia"/>
          <w:color w:val="auto"/>
          <w:highlight w:val="none"/>
        </w:rPr>
        <w:br w:type="page"/>
      </w:r>
    </w:p>
    <w:p w14:paraId="4BA4D35E">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磋商函附表</w:t>
      </w:r>
    </w:p>
    <w:p w14:paraId="287DAFC5">
      <w:pPr>
        <w:pStyle w:val="18"/>
        <w:rPr>
          <w:color w:val="auto"/>
          <w:highlight w:val="none"/>
        </w:rPr>
      </w:pPr>
    </w:p>
    <w:tbl>
      <w:tblPr>
        <w:tblStyle w:val="44"/>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2381"/>
        <w:gridCol w:w="3496"/>
        <w:gridCol w:w="2665"/>
      </w:tblGrid>
      <w:tr w14:paraId="7B7DE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6C3B63E">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序 号</w:t>
            </w:r>
          </w:p>
        </w:tc>
        <w:tc>
          <w:tcPr>
            <w:tcW w:w="2381" w:type="dxa"/>
            <w:tcBorders>
              <w:top w:val="single" w:color="auto" w:sz="4" w:space="0"/>
              <w:left w:val="single" w:color="auto" w:sz="4" w:space="0"/>
              <w:bottom w:val="single" w:color="auto" w:sz="4" w:space="0"/>
              <w:right w:val="single" w:color="auto" w:sz="4" w:space="0"/>
            </w:tcBorders>
            <w:vAlign w:val="center"/>
          </w:tcPr>
          <w:p w14:paraId="2C7D7FC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条款内容</w:t>
            </w:r>
          </w:p>
        </w:tc>
        <w:tc>
          <w:tcPr>
            <w:tcW w:w="3496" w:type="dxa"/>
            <w:tcBorders>
              <w:top w:val="single" w:color="auto" w:sz="4" w:space="0"/>
              <w:left w:val="single" w:color="auto" w:sz="4" w:space="0"/>
              <w:bottom w:val="single" w:color="auto" w:sz="4" w:space="0"/>
              <w:right w:val="single" w:color="auto" w:sz="4" w:space="0"/>
            </w:tcBorders>
            <w:vAlign w:val="center"/>
          </w:tcPr>
          <w:p w14:paraId="743DFC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约定内容</w:t>
            </w:r>
          </w:p>
        </w:tc>
        <w:tc>
          <w:tcPr>
            <w:tcW w:w="2665" w:type="dxa"/>
            <w:tcBorders>
              <w:top w:val="single" w:color="auto" w:sz="4" w:space="0"/>
              <w:left w:val="single" w:color="auto" w:sz="4" w:space="0"/>
              <w:bottom w:val="single" w:color="auto" w:sz="4" w:space="0"/>
              <w:right w:val="single" w:color="auto" w:sz="4" w:space="0"/>
            </w:tcBorders>
            <w:vAlign w:val="center"/>
          </w:tcPr>
          <w:p w14:paraId="63E32A96">
            <w:pPr>
              <w:jc w:val="center"/>
              <w:rPr>
                <w:rFonts w:hint="eastAsia" w:asciiTheme="minorEastAsia" w:hAnsiTheme="minorEastAsia" w:eastAsiaTheme="minorEastAsia" w:cstheme="minorEastAsia"/>
                <w:color w:val="auto"/>
                <w:highlight w:val="none"/>
              </w:rPr>
            </w:pPr>
            <w:r>
              <w:rPr>
                <w:rFonts w:hint="eastAsia" w:cs="宋体"/>
                <w:color w:val="auto"/>
                <w:highlight w:val="none"/>
              </w:rPr>
              <w:t>供应商响应情况</w:t>
            </w:r>
          </w:p>
        </w:tc>
      </w:tr>
      <w:tr w14:paraId="06CD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0C23A0D7">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2381" w:type="dxa"/>
            <w:tcBorders>
              <w:top w:val="single" w:color="auto" w:sz="4" w:space="0"/>
              <w:left w:val="single" w:color="auto" w:sz="4" w:space="0"/>
              <w:bottom w:val="single" w:color="auto" w:sz="4" w:space="0"/>
              <w:right w:val="single" w:color="auto" w:sz="4" w:space="0"/>
            </w:tcBorders>
            <w:vAlign w:val="center"/>
          </w:tcPr>
          <w:p w14:paraId="0C685774">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项目经理</w:t>
            </w:r>
          </w:p>
        </w:tc>
        <w:tc>
          <w:tcPr>
            <w:tcW w:w="3496" w:type="dxa"/>
            <w:tcBorders>
              <w:top w:val="single" w:color="auto" w:sz="4" w:space="0"/>
              <w:left w:val="single" w:color="auto" w:sz="4" w:space="0"/>
              <w:bottom w:val="single" w:color="auto" w:sz="4" w:space="0"/>
              <w:right w:val="single" w:color="auto" w:sz="4" w:space="0"/>
            </w:tcBorders>
            <w:vAlign w:val="center"/>
          </w:tcPr>
          <w:p w14:paraId="598F4943">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姓名：</w:t>
            </w:r>
            <w:r>
              <w:rPr>
                <w:rFonts w:hint="eastAsia" w:asciiTheme="minorEastAsia" w:hAnsiTheme="minorEastAsia" w:eastAsiaTheme="minorEastAsia" w:cstheme="minorEastAsia"/>
                <w:color w:val="auto"/>
                <w:highlight w:val="none"/>
                <w:u w:val="single"/>
              </w:rPr>
              <w:t xml:space="preserve">          </w:t>
            </w:r>
          </w:p>
        </w:tc>
        <w:tc>
          <w:tcPr>
            <w:tcW w:w="2665" w:type="dxa"/>
            <w:tcBorders>
              <w:top w:val="single" w:color="auto" w:sz="4" w:space="0"/>
              <w:left w:val="single" w:color="auto" w:sz="4" w:space="0"/>
              <w:bottom w:val="single" w:color="auto" w:sz="4" w:space="0"/>
              <w:right w:val="single" w:color="auto" w:sz="4" w:space="0"/>
            </w:tcBorders>
            <w:vAlign w:val="center"/>
          </w:tcPr>
          <w:p w14:paraId="31897C88">
            <w:pPr>
              <w:jc w:val="center"/>
              <w:rPr>
                <w:rFonts w:hint="eastAsia" w:asciiTheme="minorEastAsia" w:hAnsiTheme="minorEastAsia" w:eastAsiaTheme="minorEastAsia" w:cstheme="minorEastAsia"/>
                <w:color w:val="auto"/>
                <w:highlight w:val="none"/>
              </w:rPr>
            </w:pPr>
          </w:p>
        </w:tc>
      </w:tr>
      <w:tr w14:paraId="6A1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92689B4">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2381" w:type="dxa"/>
            <w:tcBorders>
              <w:top w:val="single" w:color="auto" w:sz="4" w:space="0"/>
              <w:left w:val="single" w:color="auto" w:sz="4" w:space="0"/>
              <w:bottom w:val="single" w:color="auto" w:sz="4" w:space="0"/>
              <w:right w:val="single" w:color="auto" w:sz="4" w:space="0"/>
            </w:tcBorders>
            <w:vAlign w:val="center"/>
          </w:tcPr>
          <w:p w14:paraId="2D08B3A8">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竞标有效期</w:t>
            </w:r>
          </w:p>
        </w:tc>
        <w:tc>
          <w:tcPr>
            <w:tcW w:w="3496" w:type="dxa"/>
            <w:tcBorders>
              <w:top w:val="single" w:color="auto" w:sz="4" w:space="0"/>
              <w:left w:val="single" w:color="auto" w:sz="4" w:space="0"/>
              <w:bottom w:val="single" w:color="auto" w:sz="4" w:space="0"/>
              <w:right w:val="single" w:color="auto" w:sz="4" w:space="0"/>
            </w:tcBorders>
            <w:vAlign w:val="center"/>
          </w:tcPr>
          <w:p w14:paraId="4909E8D9">
            <w:pPr>
              <w:jc w:val="center"/>
              <w:rPr>
                <w:rFonts w:hint="eastAsia" w:ascii="宋体" w:hAnsi="宋体" w:cs="宋体"/>
                <w:color w:val="auto"/>
                <w:highlight w:val="none"/>
                <w:u w:val="single"/>
              </w:rPr>
            </w:pPr>
            <w:r>
              <w:rPr>
                <w:rFonts w:hint="eastAsia" w:ascii="宋体" w:hAnsi="宋体" w:cs="宋体"/>
                <w:color w:val="auto"/>
                <w:highlight w:val="none"/>
                <w:u w:val="single"/>
              </w:rPr>
              <w:t xml:space="preserve">90 </w:t>
            </w:r>
            <w:r>
              <w:rPr>
                <w:rFonts w:hint="eastAsia" w:ascii="宋体" w:hAnsi="宋体" w:cs="宋体"/>
                <w:color w:val="auto"/>
                <w:highlight w:val="none"/>
              </w:rPr>
              <w:t>日历天</w:t>
            </w:r>
          </w:p>
        </w:tc>
        <w:tc>
          <w:tcPr>
            <w:tcW w:w="2665" w:type="dxa"/>
            <w:tcBorders>
              <w:top w:val="single" w:color="auto" w:sz="4" w:space="0"/>
              <w:left w:val="single" w:color="auto" w:sz="4" w:space="0"/>
              <w:bottom w:val="single" w:color="auto" w:sz="4" w:space="0"/>
              <w:right w:val="single" w:color="auto" w:sz="4" w:space="0"/>
            </w:tcBorders>
            <w:vAlign w:val="center"/>
          </w:tcPr>
          <w:p w14:paraId="4351F22D">
            <w:pPr>
              <w:jc w:val="center"/>
              <w:rPr>
                <w:rFonts w:hint="eastAsia" w:asciiTheme="minorEastAsia" w:hAnsiTheme="minorEastAsia" w:eastAsiaTheme="minorEastAsia" w:cstheme="minorEastAsia"/>
                <w:color w:val="auto"/>
                <w:highlight w:val="none"/>
              </w:rPr>
            </w:pPr>
          </w:p>
        </w:tc>
      </w:tr>
      <w:tr w14:paraId="0F6A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57FAE76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2381" w:type="dxa"/>
            <w:tcBorders>
              <w:top w:val="single" w:color="auto" w:sz="4" w:space="0"/>
              <w:left w:val="single" w:color="auto" w:sz="4" w:space="0"/>
              <w:bottom w:val="single" w:color="auto" w:sz="4" w:space="0"/>
              <w:right w:val="single" w:color="auto" w:sz="4" w:space="0"/>
            </w:tcBorders>
            <w:vAlign w:val="center"/>
          </w:tcPr>
          <w:p w14:paraId="5A029E77">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工期</w:t>
            </w:r>
          </w:p>
        </w:tc>
        <w:tc>
          <w:tcPr>
            <w:tcW w:w="3496" w:type="dxa"/>
            <w:tcBorders>
              <w:top w:val="single" w:color="auto" w:sz="4" w:space="0"/>
              <w:left w:val="single" w:color="auto" w:sz="4" w:space="0"/>
              <w:bottom w:val="single" w:color="auto" w:sz="4" w:space="0"/>
              <w:right w:val="single" w:color="auto" w:sz="4" w:space="0"/>
            </w:tcBorders>
            <w:vAlign w:val="center"/>
          </w:tcPr>
          <w:p w14:paraId="0233B8FA">
            <w:pPr>
              <w:jc w:val="center"/>
              <w:rPr>
                <w:rFonts w:hint="eastAsia" w:ascii="宋体" w:hAnsi="宋体" w:cs="宋体"/>
                <w:color w:val="auto"/>
                <w:highlight w:val="none"/>
              </w:rPr>
            </w:pPr>
            <w:r>
              <w:rPr>
                <w:rFonts w:hint="eastAsia" w:ascii="宋体" w:hAnsi="宋体" w:cs="宋体"/>
                <w:color w:val="auto"/>
                <w:highlight w:val="none"/>
                <w:u w:val="single"/>
                <w:lang w:val="en-US" w:eastAsia="zh-CN"/>
              </w:rPr>
              <w:t>150</w:t>
            </w:r>
            <w:r>
              <w:rPr>
                <w:rFonts w:hint="eastAsia" w:ascii="宋体" w:hAnsi="宋体" w:cs="宋体"/>
                <w:color w:val="auto"/>
                <w:highlight w:val="none"/>
              </w:rPr>
              <w:t>日历天</w:t>
            </w:r>
          </w:p>
        </w:tc>
        <w:tc>
          <w:tcPr>
            <w:tcW w:w="2665" w:type="dxa"/>
            <w:tcBorders>
              <w:top w:val="single" w:color="auto" w:sz="4" w:space="0"/>
              <w:left w:val="single" w:color="auto" w:sz="4" w:space="0"/>
              <w:bottom w:val="single" w:color="auto" w:sz="4" w:space="0"/>
              <w:right w:val="single" w:color="auto" w:sz="4" w:space="0"/>
            </w:tcBorders>
            <w:vAlign w:val="center"/>
          </w:tcPr>
          <w:p w14:paraId="4947B2E1">
            <w:pPr>
              <w:jc w:val="center"/>
              <w:rPr>
                <w:rFonts w:hint="eastAsia" w:asciiTheme="minorEastAsia" w:hAnsiTheme="minorEastAsia" w:eastAsiaTheme="minorEastAsia" w:cstheme="minorEastAsia"/>
                <w:color w:val="auto"/>
                <w:highlight w:val="none"/>
              </w:rPr>
            </w:pPr>
          </w:p>
        </w:tc>
      </w:tr>
      <w:tr w14:paraId="1AFF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62208AFF">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2381" w:type="dxa"/>
            <w:tcBorders>
              <w:top w:val="single" w:color="auto" w:sz="4" w:space="0"/>
              <w:left w:val="single" w:color="auto" w:sz="4" w:space="0"/>
              <w:bottom w:val="single" w:color="auto" w:sz="4" w:space="0"/>
              <w:right w:val="single" w:color="auto" w:sz="4" w:space="0"/>
            </w:tcBorders>
            <w:vAlign w:val="center"/>
          </w:tcPr>
          <w:p w14:paraId="0D07A21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缺陷责任期</w:t>
            </w:r>
          </w:p>
        </w:tc>
        <w:tc>
          <w:tcPr>
            <w:tcW w:w="3496" w:type="dxa"/>
            <w:tcBorders>
              <w:top w:val="single" w:color="auto" w:sz="4" w:space="0"/>
              <w:left w:val="single" w:color="auto" w:sz="4" w:space="0"/>
              <w:bottom w:val="single" w:color="auto" w:sz="4" w:space="0"/>
              <w:right w:val="single" w:color="auto" w:sz="4" w:space="0"/>
            </w:tcBorders>
            <w:vAlign w:val="center"/>
          </w:tcPr>
          <w:p w14:paraId="46A3EE9D">
            <w:pPr>
              <w:jc w:val="left"/>
              <w:rPr>
                <w:rFonts w:hint="eastAsia" w:asciiTheme="minorEastAsia" w:hAnsiTheme="minorEastAsia" w:cstheme="minorEastAsia"/>
                <w:color w:val="auto"/>
                <w:highlight w:val="none"/>
              </w:rPr>
            </w:pPr>
            <w:r>
              <w:rPr>
                <w:rFonts w:hint="eastAsia" w:asciiTheme="minorEastAsia" w:hAnsiTheme="minorEastAsia" w:eastAsiaTheme="minorEastAsia" w:cstheme="minorEastAsia"/>
                <w:color w:val="auto"/>
                <w:highlight w:val="none"/>
              </w:rPr>
              <w:t>本工程缺陷责任期为24个月，</w:t>
            </w:r>
            <w:r>
              <w:rPr>
                <w:rFonts w:hint="eastAsia" w:hAnsi="宋体" w:cs="宋体"/>
                <w:color w:val="auto"/>
                <w:highlight w:val="none"/>
              </w:rPr>
              <w:t>缺陷责任期自工程竣工验收合格之日起计算。单位工程先于全部工程进行验收，单位工程缺陷责任期自单位工程验收合格之日起算。</w:t>
            </w:r>
          </w:p>
        </w:tc>
        <w:tc>
          <w:tcPr>
            <w:tcW w:w="2665" w:type="dxa"/>
            <w:tcBorders>
              <w:top w:val="single" w:color="auto" w:sz="4" w:space="0"/>
              <w:left w:val="single" w:color="auto" w:sz="4" w:space="0"/>
              <w:bottom w:val="single" w:color="auto" w:sz="4" w:space="0"/>
              <w:right w:val="single" w:color="auto" w:sz="4" w:space="0"/>
            </w:tcBorders>
            <w:vAlign w:val="center"/>
          </w:tcPr>
          <w:p w14:paraId="6943E315">
            <w:pPr>
              <w:jc w:val="center"/>
              <w:rPr>
                <w:rFonts w:hint="eastAsia" w:asciiTheme="minorEastAsia" w:hAnsiTheme="minorEastAsia" w:eastAsiaTheme="minorEastAsia" w:cstheme="minorEastAsia"/>
                <w:color w:val="auto"/>
                <w:highlight w:val="none"/>
              </w:rPr>
            </w:pPr>
          </w:p>
        </w:tc>
      </w:tr>
      <w:tr w14:paraId="606C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3E614A3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2381" w:type="dxa"/>
            <w:tcBorders>
              <w:top w:val="single" w:color="auto" w:sz="4" w:space="0"/>
              <w:left w:val="single" w:color="auto" w:sz="4" w:space="0"/>
              <w:bottom w:val="single" w:color="auto" w:sz="4" w:space="0"/>
              <w:right w:val="single" w:color="auto" w:sz="4" w:space="0"/>
            </w:tcBorders>
            <w:vAlign w:val="center"/>
          </w:tcPr>
          <w:p w14:paraId="0CAF2586">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发包人支付担保</w:t>
            </w:r>
          </w:p>
        </w:tc>
        <w:tc>
          <w:tcPr>
            <w:tcW w:w="3496" w:type="dxa"/>
            <w:tcBorders>
              <w:top w:val="single" w:color="auto" w:sz="4" w:space="0"/>
              <w:left w:val="single" w:color="auto" w:sz="4" w:space="0"/>
              <w:bottom w:val="single" w:color="auto" w:sz="4" w:space="0"/>
              <w:right w:val="single" w:color="auto" w:sz="4" w:space="0"/>
            </w:tcBorders>
            <w:vAlign w:val="center"/>
          </w:tcPr>
          <w:p w14:paraId="12539838">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665" w:type="dxa"/>
            <w:tcBorders>
              <w:top w:val="single" w:color="auto" w:sz="4" w:space="0"/>
              <w:left w:val="single" w:color="auto" w:sz="4" w:space="0"/>
              <w:bottom w:val="single" w:color="auto" w:sz="4" w:space="0"/>
              <w:right w:val="single" w:color="auto" w:sz="4" w:space="0"/>
            </w:tcBorders>
            <w:vAlign w:val="center"/>
          </w:tcPr>
          <w:p w14:paraId="41C7B6BD">
            <w:pPr>
              <w:jc w:val="center"/>
              <w:rPr>
                <w:rFonts w:hint="eastAsia" w:asciiTheme="minorEastAsia" w:hAnsiTheme="minorEastAsia" w:eastAsiaTheme="minorEastAsia" w:cstheme="minorEastAsia"/>
                <w:color w:val="auto"/>
                <w:highlight w:val="none"/>
              </w:rPr>
            </w:pPr>
          </w:p>
        </w:tc>
      </w:tr>
      <w:tr w14:paraId="00ED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4AA45376">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2381" w:type="dxa"/>
            <w:tcBorders>
              <w:top w:val="single" w:color="auto" w:sz="4" w:space="0"/>
              <w:left w:val="single" w:color="auto" w:sz="4" w:space="0"/>
              <w:bottom w:val="single" w:color="auto" w:sz="4" w:space="0"/>
              <w:right w:val="single" w:color="auto" w:sz="4" w:space="0"/>
            </w:tcBorders>
            <w:vAlign w:val="center"/>
          </w:tcPr>
          <w:p w14:paraId="74E220C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承包人履约担保金额</w:t>
            </w:r>
          </w:p>
        </w:tc>
        <w:tc>
          <w:tcPr>
            <w:tcW w:w="3496" w:type="dxa"/>
            <w:tcBorders>
              <w:top w:val="single" w:color="auto" w:sz="4" w:space="0"/>
              <w:left w:val="single" w:color="auto" w:sz="4" w:space="0"/>
              <w:bottom w:val="single" w:color="auto" w:sz="4" w:space="0"/>
              <w:right w:val="single" w:color="auto" w:sz="4" w:space="0"/>
            </w:tcBorders>
            <w:vAlign w:val="center"/>
          </w:tcPr>
          <w:p w14:paraId="68CFD58A">
            <w:pPr>
              <w:jc w:val="center"/>
              <w:rPr>
                <w:rFonts w:hint="eastAsia" w:asciiTheme="minorEastAsia" w:hAnsiTheme="minorEastAsia" w:eastAsiaTheme="minorEastAsia" w:cstheme="minorEastAsia"/>
                <w:color w:val="auto"/>
                <w:highlight w:val="none"/>
              </w:rPr>
            </w:pPr>
            <w:r>
              <w:rPr>
                <w:rFonts w:hint="eastAsia"/>
                <w:color w:val="auto"/>
                <w:highlight w:val="none"/>
              </w:rPr>
              <w:t>无</w:t>
            </w:r>
          </w:p>
        </w:tc>
        <w:tc>
          <w:tcPr>
            <w:tcW w:w="2665" w:type="dxa"/>
            <w:tcBorders>
              <w:top w:val="single" w:color="auto" w:sz="4" w:space="0"/>
              <w:left w:val="single" w:color="auto" w:sz="4" w:space="0"/>
              <w:bottom w:val="single" w:color="auto" w:sz="4" w:space="0"/>
              <w:right w:val="single" w:color="auto" w:sz="4" w:space="0"/>
            </w:tcBorders>
            <w:vAlign w:val="center"/>
          </w:tcPr>
          <w:p w14:paraId="7A113675">
            <w:pPr>
              <w:jc w:val="center"/>
              <w:rPr>
                <w:rFonts w:hint="eastAsia" w:asciiTheme="minorEastAsia" w:hAnsiTheme="minorEastAsia" w:eastAsiaTheme="minorEastAsia" w:cstheme="minorEastAsia"/>
                <w:color w:val="auto"/>
                <w:highlight w:val="none"/>
              </w:rPr>
            </w:pPr>
          </w:p>
        </w:tc>
      </w:tr>
      <w:tr w14:paraId="1FC1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4F40575B">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2381" w:type="dxa"/>
            <w:tcBorders>
              <w:top w:val="single" w:color="auto" w:sz="4" w:space="0"/>
              <w:left w:val="single" w:color="auto" w:sz="4" w:space="0"/>
              <w:bottom w:val="single" w:color="auto" w:sz="4" w:space="0"/>
              <w:right w:val="single" w:color="auto" w:sz="4" w:space="0"/>
            </w:tcBorders>
            <w:vAlign w:val="center"/>
          </w:tcPr>
          <w:p w14:paraId="6800A48A">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分包</w:t>
            </w:r>
          </w:p>
        </w:tc>
        <w:tc>
          <w:tcPr>
            <w:tcW w:w="3496" w:type="dxa"/>
            <w:tcBorders>
              <w:top w:val="single" w:color="auto" w:sz="4" w:space="0"/>
              <w:left w:val="single" w:color="auto" w:sz="4" w:space="0"/>
              <w:bottom w:val="single" w:color="auto" w:sz="4" w:space="0"/>
              <w:right w:val="single" w:color="auto" w:sz="4" w:space="0"/>
            </w:tcBorders>
            <w:vAlign w:val="center"/>
          </w:tcPr>
          <w:p w14:paraId="247E02A0">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见分包项目情况表</w:t>
            </w:r>
          </w:p>
        </w:tc>
        <w:tc>
          <w:tcPr>
            <w:tcW w:w="2665" w:type="dxa"/>
            <w:tcBorders>
              <w:top w:val="single" w:color="auto" w:sz="4" w:space="0"/>
              <w:left w:val="single" w:color="auto" w:sz="4" w:space="0"/>
              <w:bottom w:val="single" w:color="auto" w:sz="4" w:space="0"/>
              <w:right w:val="single" w:color="auto" w:sz="4" w:space="0"/>
            </w:tcBorders>
            <w:vAlign w:val="center"/>
          </w:tcPr>
          <w:p w14:paraId="7A0E2992">
            <w:pPr>
              <w:jc w:val="center"/>
              <w:rPr>
                <w:rFonts w:hint="eastAsia" w:asciiTheme="minorEastAsia" w:hAnsiTheme="minorEastAsia" w:eastAsiaTheme="minorEastAsia" w:cstheme="minorEastAsia"/>
                <w:color w:val="auto"/>
                <w:highlight w:val="none"/>
              </w:rPr>
            </w:pPr>
          </w:p>
        </w:tc>
      </w:tr>
      <w:tr w14:paraId="4D3B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7678029">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8</w:t>
            </w:r>
          </w:p>
        </w:tc>
        <w:tc>
          <w:tcPr>
            <w:tcW w:w="2381" w:type="dxa"/>
            <w:tcBorders>
              <w:top w:val="single" w:color="auto" w:sz="4" w:space="0"/>
              <w:left w:val="single" w:color="auto" w:sz="4" w:space="0"/>
              <w:bottom w:val="single" w:color="auto" w:sz="4" w:space="0"/>
              <w:right w:val="single" w:color="auto" w:sz="4" w:space="0"/>
            </w:tcBorders>
            <w:vAlign w:val="center"/>
          </w:tcPr>
          <w:p w14:paraId="0BB76E4E">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逾期竣工违约金最高限额</w:t>
            </w:r>
          </w:p>
        </w:tc>
        <w:tc>
          <w:tcPr>
            <w:tcW w:w="3496" w:type="dxa"/>
            <w:tcBorders>
              <w:top w:val="single" w:color="auto" w:sz="4" w:space="0"/>
              <w:left w:val="single" w:color="auto" w:sz="4" w:space="0"/>
              <w:bottom w:val="single" w:color="auto" w:sz="4" w:space="0"/>
              <w:right w:val="single" w:color="auto" w:sz="4" w:space="0"/>
            </w:tcBorders>
            <w:vAlign w:val="center"/>
          </w:tcPr>
          <w:p w14:paraId="6C0CF8B3">
            <w:pPr>
              <w:jc w:val="left"/>
              <w:rPr>
                <w:rFonts w:hint="eastAsia" w:asciiTheme="minorEastAsia" w:hAnsiTheme="minorEastAsia" w:eastAsiaTheme="minorEastAsia" w:cstheme="minorEastAsia"/>
                <w:color w:val="auto"/>
                <w:highlight w:val="none"/>
              </w:rPr>
            </w:pPr>
            <w:r>
              <w:rPr>
                <w:rFonts w:hint="eastAsia"/>
                <w:color w:val="auto"/>
                <w:highlight w:val="none"/>
              </w:rPr>
              <w:t>逾期竣工的单项工程结算造价的</w:t>
            </w:r>
            <w:r>
              <w:rPr>
                <w:rFonts w:hint="eastAsia"/>
                <w:color w:val="auto"/>
                <w:highlight w:val="none"/>
                <w:u w:val="single"/>
              </w:rPr>
              <w:t>2%</w:t>
            </w:r>
          </w:p>
        </w:tc>
        <w:tc>
          <w:tcPr>
            <w:tcW w:w="2665" w:type="dxa"/>
            <w:tcBorders>
              <w:top w:val="single" w:color="auto" w:sz="4" w:space="0"/>
              <w:left w:val="single" w:color="auto" w:sz="4" w:space="0"/>
              <w:bottom w:val="single" w:color="auto" w:sz="4" w:space="0"/>
              <w:right w:val="single" w:color="auto" w:sz="4" w:space="0"/>
            </w:tcBorders>
            <w:vAlign w:val="center"/>
          </w:tcPr>
          <w:p w14:paraId="574513C5">
            <w:pPr>
              <w:jc w:val="center"/>
              <w:rPr>
                <w:rFonts w:hint="eastAsia" w:asciiTheme="minorEastAsia" w:hAnsiTheme="minorEastAsia" w:eastAsiaTheme="minorEastAsia" w:cstheme="minorEastAsia"/>
                <w:color w:val="auto"/>
                <w:highlight w:val="none"/>
              </w:rPr>
            </w:pPr>
          </w:p>
        </w:tc>
      </w:tr>
      <w:tr w14:paraId="2B66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6598BF19">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val="en-US" w:eastAsia="zh-CN"/>
              </w:rPr>
              <w:t>9</w:t>
            </w:r>
          </w:p>
        </w:tc>
        <w:tc>
          <w:tcPr>
            <w:tcW w:w="2381" w:type="dxa"/>
            <w:tcBorders>
              <w:top w:val="single" w:color="auto" w:sz="4" w:space="0"/>
              <w:left w:val="single" w:color="auto" w:sz="4" w:space="0"/>
              <w:bottom w:val="single" w:color="auto" w:sz="4" w:space="0"/>
              <w:right w:val="single" w:color="auto" w:sz="4" w:space="0"/>
            </w:tcBorders>
            <w:vAlign w:val="center"/>
          </w:tcPr>
          <w:p w14:paraId="1BF9B702">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质量标准</w:t>
            </w:r>
          </w:p>
        </w:tc>
        <w:tc>
          <w:tcPr>
            <w:tcW w:w="3496" w:type="dxa"/>
            <w:tcBorders>
              <w:top w:val="single" w:color="auto" w:sz="4" w:space="0"/>
              <w:left w:val="single" w:color="auto" w:sz="4" w:space="0"/>
              <w:bottom w:val="single" w:color="auto" w:sz="4" w:space="0"/>
              <w:right w:val="single" w:color="auto" w:sz="4" w:space="0"/>
            </w:tcBorders>
            <w:vAlign w:val="center"/>
          </w:tcPr>
          <w:p w14:paraId="09077535">
            <w:pPr>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达到国家工程施工验收规范合格标准</w:t>
            </w:r>
          </w:p>
        </w:tc>
        <w:tc>
          <w:tcPr>
            <w:tcW w:w="2665" w:type="dxa"/>
            <w:tcBorders>
              <w:top w:val="single" w:color="auto" w:sz="4" w:space="0"/>
              <w:left w:val="single" w:color="auto" w:sz="4" w:space="0"/>
              <w:bottom w:val="single" w:color="auto" w:sz="4" w:space="0"/>
              <w:right w:val="single" w:color="auto" w:sz="4" w:space="0"/>
            </w:tcBorders>
            <w:vAlign w:val="center"/>
          </w:tcPr>
          <w:p w14:paraId="4D66EBE2">
            <w:pPr>
              <w:jc w:val="center"/>
              <w:rPr>
                <w:rFonts w:hint="eastAsia" w:asciiTheme="minorEastAsia" w:hAnsiTheme="minorEastAsia" w:eastAsiaTheme="minorEastAsia" w:cstheme="minorEastAsia"/>
                <w:color w:val="auto"/>
                <w:highlight w:val="none"/>
              </w:rPr>
            </w:pPr>
          </w:p>
        </w:tc>
      </w:tr>
      <w:tr w14:paraId="1D87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1189B6FB">
            <w:pPr>
              <w:jc w:val="center"/>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highlight w:val="none"/>
                <w:lang w:val="en-US" w:eastAsia="zh-CN"/>
              </w:rPr>
              <w:t>0</w:t>
            </w:r>
          </w:p>
        </w:tc>
        <w:tc>
          <w:tcPr>
            <w:tcW w:w="2381" w:type="dxa"/>
            <w:tcBorders>
              <w:top w:val="single" w:color="auto" w:sz="4" w:space="0"/>
              <w:left w:val="single" w:color="auto" w:sz="4" w:space="0"/>
              <w:bottom w:val="single" w:color="auto" w:sz="4" w:space="0"/>
              <w:right w:val="single" w:color="auto" w:sz="4" w:space="0"/>
            </w:tcBorders>
            <w:vAlign w:val="center"/>
          </w:tcPr>
          <w:p w14:paraId="60FB5BA0">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工程</w:t>
            </w:r>
            <w:r>
              <w:rPr>
                <w:rFonts w:hint="eastAsia" w:asciiTheme="minorEastAsia" w:hAnsiTheme="minorEastAsia" w:eastAsiaTheme="minorEastAsia" w:cstheme="minorEastAsia"/>
                <w:color w:val="auto"/>
                <w:highlight w:val="none"/>
              </w:rPr>
              <w:t>质量保证金额度</w:t>
            </w:r>
          </w:p>
        </w:tc>
        <w:tc>
          <w:tcPr>
            <w:tcW w:w="3496" w:type="dxa"/>
            <w:tcBorders>
              <w:top w:val="single" w:color="auto" w:sz="4" w:space="0"/>
              <w:left w:val="single" w:color="auto" w:sz="4" w:space="0"/>
              <w:bottom w:val="single" w:color="auto" w:sz="4" w:space="0"/>
              <w:right w:val="single" w:color="auto" w:sz="4" w:space="0"/>
            </w:tcBorders>
            <w:vAlign w:val="center"/>
          </w:tcPr>
          <w:p w14:paraId="43710D83">
            <w:pPr>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成交金额的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u w:val="single"/>
                <w:lang w:val="en-US" w:eastAsia="zh-CN"/>
              </w:rPr>
              <w:t>3</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w:t>
            </w:r>
          </w:p>
        </w:tc>
        <w:tc>
          <w:tcPr>
            <w:tcW w:w="2665" w:type="dxa"/>
            <w:tcBorders>
              <w:top w:val="single" w:color="auto" w:sz="4" w:space="0"/>
              <w:left w:val="single" w:color="auto" w:sz="4" w:space="0"/>
              <w:bottom w:val="single" w:color="auto" w:sz="4" w:space="0"/>
              <w:right w:val="single" w:color="auto" w:sz="4" w:space="0"/>
            </w:tcBorders>
            <w:vAlign w:val="center"/>
          </w:tcPr>
          <w:p w14:paraId="7A35A525">
            <w:pPr>
              <w:jc w:val="center"/>
              <w:rPr>
                <w:rFonts w:hint="eastAsia" w:asciiTheme="minorEastAsia" w:hAnsiTheme="minorEastAsia" w:eastAsiaTheme="minorEastAsia" w:cstheme="minorEastAsia"/>
                <w:color w:val="auto"/>
                <w:highlight w:val="none"/>
              </w:rPr>
            </w:pPr>
          </w:p>
        </w:tc>
      </w:tr>
      <w:tr w14:paraId="4B893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596" w:type="dxa"/>
            <w:tcBorders>
              <w:top w:val="single" w:color="auto" w:sz="4" w:space="0"/>
              <w:left w:val="single" w:color="auto" w:sz="4" w:space="0"/>
              <w:bottom w:val="single" w:color="auto" w:sz="4" w:space="0"/>
              <w:right w:val="single" w:color="auto" w:sz="4" w:space="0"/>
            </w:tcBorders>
            <w:vAlign w:val="center"/>
          </w:tcPr>
          <w:p w14:paraId="20244D10">
            <w:pPr>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11</w:t>
            </w:r>
          </w:p>
        </w:tc>
        <w:tc>
          <w:tcPr>
            <w:tcW w:w="2381" w:type="dxa"/>
            <w:tcBorders>
              <w:top w:val="single" w:color="auto" w:sz="4" w:space="0"/>
              <w:left w:val="single" w:color="auto" w:sz="4" w:space="0"/>
              <w:bottom w:val="single" w:color="auto" w:sz="4" w:space="0"/>
              <w:right w:val="single" w:color="auto" w:sz="4" w:space="0"/>
            </w:tcBorders>
            <w:vAlign w:val="center"/>
          </w:tcPr>
          <w:p w14:paraId="68986C45">
            <w:pP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技术规范</w:t>
            </w:r>
          </w:p>
        </w:tc>
        <w:tc>
          <w:tcPr>
            <w:tcW w:w="3496" w:type="dxa"/>
            <w:tcBorders>
              <w:top w:val="single" w:color="auto" w:sz="4" w:space="0"/>
              <w:left w:val="single" w:color="auto" w:sz="4" w:space="0"/>
              <w:bottom w:val="single" w:color="auto" w:sz="4" w:space="0"/>
              <w:right w:val="single" w:color="auto" w:sz="4" w:space="0"/>
            </w:tcBorders>
            <w:vAlign w:val="center"/>
          </w:tcPr>
          <w:p w14:paraId="32A33BF7">
            <w:pPr>
              <w:jc w:val="center"/>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按磋商文件第三章 技术规范要求</w:t>
            </w:r>
          </w:p>
        </w:tc>
        <w:tc>
          <w:tcPr>
            <w:tcW w:w="2665" w:type="dxa"/>
            <w:tcBorders>
              <w:top w:val="single" w:color="auto" w:sz="4" w:space="0"/>
              <w:left w:val="single" w:color="auto" w:sz="4" w:space="0"/>
              <w:bottom w:val="single" w:color="auto" w:sz="4" w:space="0"/>
              <w:right w:val="single" w:color="auto" w:sz="4" w:space="0"/>
            </w:tcBorders>
            <w:vAlign w:val="center"/>
          </w:tcPr>
          <w:p w14:paraId="4B5FD69E">
            <w:pPr>
              <w:jc w:val="center"/>
              <w:rPr>
                <w:rFonts w:hint="eastAsia" w:asciiTheme="minorEastAsia" w:hAnsiTheme="minorEastAsia" w:eastAsiaTheme="minorEastAsia" w:cstheme="minorEastAsia"/>
                <w:color w:val="auto"/>
                <w:highlight w:val="none"/>
              </w:rPr>
            </w:pPr>
          </w:p>
        </w:tc>
      </w:tr>
    </w:tbl>
    <w:p w14:paraId="59809D41">
      <w:pPr>
        <w:pStyle w:val="26"/>
        <w:spacing w:line="500" w:lineRule="exact"/>
        <w:ind w:firstLine="420"/>
        <w:rPr>
          <w:rFonts w:hint="eastAsia" w:asciiTheme="minorEastAsia" w:hAnsiTheme="minorEastAsia" w:eastAsiaTheme="minorEastAsia" w:cstheme="minorEastAsia"/>
          <w:color w:val="auto"/>
          <w:sz w:val="21"/>
          <w:szCs w:val="21"/>
          <w:highlight w:val="none"/>
        </w:rPr>
      </w:pPr>
    </w:p>
    <w:p w14:paraId="1D59720F">
      <w:pPr>
        <w:pStyle w:val="26"/>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磋商供应商：(盖章)</w:t>
      </w:r>
    </w:p>
    <w:p w14:paraId="79AE3177">
      <w:pPr>
        <w:pStyle w:val="26"/>
        <w:spacing w:line="5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法定代表人：(签字或盖章)</w:t>
      </w:r>
    </w:p>
    <w:p w14:paraId="7549E571">
      <w:pPr>
        <w:pStyle w:val="26"/>
        <w:spacing w:line="440" w:lineRule="exact"/>
        <w:ind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日期：         年        月        日</w:t>
      </w:r>
    </w:p>
    <w:p w14:paraId="6430BC6F">
      <w:pPr>
        <w:rPr>
          <w:color w:val="auto"/>
          <w:highlight w:val="none"/>
        </w:rPr>
      </w:pPr>
    </w:p>
    <w:p w14:paraId="738E1391">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4D6B11D1">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磋商报价表</w:t>
      </w:r>
    </w:p>
    <w:p w14:paraId="014CD86B">
      <w:pPr>
        <w:ind w:left="-178" w:leftChars="-85" w:right="-512" w:rightChars="-244" w:firstLine="630" w:firstLineChars="300"/>
        <w:jc w:val="left"/>
        <w:rPr>
          <w:rFonts w:hint="eastAsia" w:asciiTheme="minorEastAsia" w:hAnsiTheme="minorEastAsia" w:eastAsiaTheme="minorEastAsia" w:cstheme="minorEastAsia"/>
          <w:color w:val="auto"/>
          <w:highlight w:val="none"/>
        </w:rPr>
      </w:pPr>
    </w:p>
    <w:p w14:paraId="711299C2">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3551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599346B7">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0818D606">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5B74D3E1">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51AA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3BDF0F38">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176B2678">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0540883D">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2C7BD311">
            <w:pPr>
              <w:jc w:val="center"/>
              <w:rPr>
                <w:rFonts w:hint="eastAsia" w:ascii="宋体" w:hAnsi="宋体" w:cs="宋体"/>
                <w:color w:val="auto"/>
                <w:highlight w:val="none"/>
              </w:rPr>
            </w:pPr>
          </w:p>
        </w:tc>
      </w:tr>
      <w:tr w14:paraId="6A689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046EF3AD">
            <w:pPr>
              <w:widowControl/>
              <w:jc w:val="center"/>
              <w:rPr>
                <w:rFonts w:hint="eastAsia" w:ascii="宋体" w:hAnsi="宋体" w:cs="宋体"/>
                <w:color w:val="auto"/>
                <w:highlight w:val="none"/>
              </w:rPr>
            </w:pPr>
          </w:p>
        </w:tc>
        <w:tc>
          <w:tcPr>
            <w:tcW w:w="3116" w:type="dxa"/>
            <w:vAlign w:val="center"/>
          </w:tcPr>
          <w:p w14:paraId="7023AE69">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4812AFE9">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C0BFC40">
            <w:pPr>
              <w:widowControl/>
              <w:ind w:right="480"/>
              <w:rPr>
                <w:rFonts w:hint="eastAsia" w:ascii="宋体" w:hAnsi="宋体" w:cs="宋体"/>
                <w:color w:val="auto"/>
                <w:highlight w:val="none"/>
              </w:rPr>
            </w:pPr>
          </w:p>
        </w:tc>
      </w:tr>
      <w:tr w14:paraId="1DA4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5E783E20">
            <w:pPr>
              <w:widowControl/>
              <w:jc w:val="center"/>
              <w:rPr>
                <w:rFonts w:hint="eastAsia" w:ascii="宋体" w:hAnsi="宋体" w:cs="宋体"/>
                <w:color w:val="auto"/>
                <w:highlight w:val="none"/>
              </w:rPr>
            </w:pPr>
          </w:p>
        </w:tc>
        <w:tc>
          <w:tcPr>
            <w:tcW w:w="3116" w:type="dxa"/>
            <w:vAlign w:val="center"/>
          </w:tcPr>
          <w:p w14:paraId="78351D86">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4C24F305">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1E158F37">
            <w:pPr>
              <w:widowControl/>
              <w:ind w:right="480"/>
              <w:rPr>
                <w:rFonts w:hint="eastAsia" w:ascii="宋体" w:hAnsi="宋体" w:cs="宋体"/>
                <w:color w:val="auto"/>
                <w:highlight w:val="none"/>
              </w:rPr>
            </w:pPr>
          </w:p>
        </w:tc>
      </w:tr>
      <w:tr w14:paraId="58C9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457AAD35">
            <w:pPr>
              <w:widowControl/>
              <w:jc w:val="center"/>
              <w:rPr>
                <w:rFonts w:hint="eastAsia" w:ascii="宋体" w:hAnsi="宋体" w:cs="宋体"/>
                <w:color w:val="auto"/>
                <w:highlight w:val="none"/>
              </w:rPr>
            </w:pPr>
          </w:p>
        </w:tc>
        <w:tc>
          <w:tcPr>
            <w:tcW w:w="3116" w:type="dxa"/>
            <w:vAlign w:val="center"/>
          </w:tcPr>
          <w:p w14:paraId="3F17B609">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12CAF1C2">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5E779A40">
            <w:pPr>
              <w:widowControl/>
              <w:ind w:right="480"/>
              <w:rPr>
                <w:rFonts w:hint="eastAsia" w:ascii="宋体" w:hAnsi="宋体" w:cs="宋体"/>
                <w:color w:val="auto"/>
                <w:highlight w:val="none"/>
              </w:rPr>
            </w:pPr>
          </w:p>
        </w:tc>
      </w:tr>
      <w:tr w14:paraId="235E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16E40D2A">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2DE67734">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3CB648EF">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3BF67070">
            <w:pPr>
              <w:widowControl/>
              <w:jc w:val="right"/>
              <w:rPr>
                <w:rFonts w:hint="eastAsia" w:ascii="宋体" w:hAnsi="宋体" w:cs="宋体"/>
                <w:color w:val="auto"/>
                <w:highlight w:val="none"/>
              </w:rPr>
            </w:pPr>
          </w:p>
        </w:tc>
      </w:tr>
      <w:tr w14:paraId="0E18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78F9DBAC">
            <w:pPr>
              <w:widowControl/>
              <w:jc w:val="center"/>
              <w:rPr>
                <w:rFonts w:hint="eastAsia" w:ascii="宋体" w:hAnsi="宋体" w:cs="宋体"/>
                <w:color w:val="auto"/>
                <w:highlight w:val="none"/>
              </w:rPr>
            </w:pPr>
          </w:p>
        </w:tc>
        <w:tc>
          <w:tcPr>
            <w:tcW w:w="3116" w:type="dxa"/>
            <w:vAlign w:val="center"/>
          </w:tcPr>
          <w:p w14:paraId="6538D6AE">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1B9DE611">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20E0F912">
            <w:pPr>
              <w:widowControl/>
              <w:jc w:val="right"/>
              <w:rPr>
                <w:rFonts w:hint="eastAsia" w:ascii="宋体" w:hAnsi="宋体" w:cs="宋体"/>
                <w:color w:val="auto"/>
                <w:highlight w:val="none"/>
              </w:rPr>
            </w:pPr>
          </w:p>
        </w:tc>
      </w:tr>
      <w:tr w14:paraId="63F7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7573E2F1">
            <w:pPr>
              <w:widowControl/>
              <w:jc w:val="center"/>
              <w:rPr>
                <w:rFonts w:hint="eastAsia" w:ascii="宋体" w:hAnsi="宋体" w:cs="宋体"/>
                <w:color w:val="auto"/>
                <w:highlight w:val="none"/>
              </w:rPr>
            </w:pPr>
          </w:p>
        </w:tc>
        <w:tc>
          <w:tcPr>
            <w:tcW w:w="3116" w:type="dxa"/>
            <w:vAlign w:val="center"/>
          </w:tcPr>
          <w:p w14:paraId="57740CD8">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199D203B">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5D944F0A">
            <w:pPr>
              <w:widowControl/>
              <w:jc w:val="right"/>
              <w:rPr>
                <w:rFonts w:hint="eastAsia" w:ascii="宋体" w:hAnsi="宋体" w:cs="宋体"/>
                <w:color w:val="auto"/>
                <w:highlight w:val="none"/>
              </w:rPr>
            </w:pPr>
          </w:p>
        </w:tc>
      </w:tr>
      <w:tr w14:paraId="313B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4C9BF899">
            <w:pPr>
              <w:pStyle w:val="175"/>
              <w:spacing w:line="360" w:lineRule="auto"/>
              <w:jc w:val="left"/>
              <w:rPr>
                <w:rStyle w:val="170"/>
                <w:rFonts w:hint="eastAsia" w:ascii="宋体" w:hAnsi="宋体"/>
                <w:color w:val="auto"/>
                <w:highlight w:val="none"/>
                <w:u w:val="single"/>
              </w:rPr>
            </w:pPr>
            <w:r>
              <w:rPr>
                <w:rStyle w:val="170"/>
                <w:rFonts w:ascii="宋体" w:hAnsi="宋体"/>
                <w:color w:val="auto"/>
                <w:highlight w:val="none"/>
              </w:rPr>
              <w:t>统一社会信用代码：</w:t>
            </w:r>
            <w:r>
              <w:rPr>
                <w:rStyle w:val="170"/>
                <w:rFonts w:hint="eastAsia" w:ascii="宋体" w:hAnsi="宋体"/>
                <w:color w:val="auto"/>
                <w:highlight w:val="none"/>
                <w:u w:val="single"/>
              </w:rPr>
              <w:t xml:space="preserve">                                   </w:t>
            </w:r>
          </w:p>
          <w:p w14:paraId="1C91A613">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法定代表人身份证号：</w:t>
            </w:r>
            <w:r>
              <w:rPr>
                <w:rStyle w:val="170"/>
                <w:rFonts w:hint="eastAsia" w:ascii="宋体" w:hAnsi="宋体"/>
                <w:color w:val="auto"/>
                <w:highlight w:val="none"/>
                <w:u w:val="single"/>
              </w:rPr>
              <w:t xml:space="preserve">                                 </w:t>
            </w:r>
          </w:p>
          <w:p w14:paraId="734EE68C">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主要人员信息：</w:t>
            </w:r>
          </w:p>
          <w:p w14:paraId="41E0DE6A">
            <w:pPr>
              <w:pStyle w:val="175"/>
              <w:spacing w:line="360" w:lineRule="auto"/>
              <w:rPr>
                <w:rStyle w:val="170"/>
                <w:rFonts w:hint="eastAsia" w:ascii="宋体" w:hAnsi="宋体"/>
                <w:color w:val="auto"/>
                <w:highlight w:val="none"/>
              </w:rPr>
            </w:pPr>
            <w:r>
              <w:rPr>
                <w:rStyle w:val="170"/>
                <w:rFonts w:ascii="宋体" w:hAnsi="宋体"/>
                <w:color w:val="auto"/>
                <w:highlight w:val="none"/>
              </w:rPr>
              <w:t>项目经理：</w:t>
            </w:r>
            <w:r>
              <w:rPr>
                <w:rStyle w:val="170"/>
                <w:rFonts w:ascii="宋体" w:hAnsi="宋体"/>
                <w:color w:val="auto"/>
                <w:highlight w:val="none"/>
                <w:u w:val="single"/>
              </w:rPr>
              <w:t>姓名</w:t>
            </w:r>
            <w:r>
              <w:rPr>
                <w:rStyle w:val="170"/>
                <w:rFonts w:ascii="宋体" w:hAnsi="宋体"/>
                <w:color w:val="auto"/>
                <w:highlight w:val="none"/>
              </w:rPr>
              <w:t>（注册编号：</w:t>
            </w:r>
            <w:r>
              <w:rPr>
                <w:rStyle w:val="170"/>
                <w:rFonts w:hint="eastAsia" w:ascii="宋体" w:hAnsi="宋体"/>
                <w:color w:val="auto"/>
                <w:highlight w:val="none"/>
                <w:u w:val="single"/>
              </w:rPr>
              <w:t xml:space="preserve">               </w:t>
            </w:r>
            <w:r>
              <w:rPr>
                <w:rStyle w:val="170"/>
                <w:rFonts w:ascii="宋体" w:hAnsi="宋体"/>
                <w:color w:val="auto"/>
                <w:highlight w:val="none"/>
              </w:rPr>
              <w:t>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418E342">
            <w:pPr>
              <w:pStyle w:val="175"/>
              <w:spacing w:line="360" w:lineRule="auto"/>
              <w:rPr>
                <w:rStyle w:val="170"/>
                <w:rFonts w:hint="eastAsia" w:ascii="宋体" w:hAnsi="宋体"/>
                <w:color w:val="auto"/>
                <w:highlight w:val="none"/>
              </w:rPr>
            </w:pPr>
            <w:r>
              <w:rPr>
                <w:rStyle w:val="170"/>
                <w:rFonts w:ascii="宋体" w:hAnsi="宋体"/>
                <w:color w:val="auto"/>
                <w:highlight w:val="none"/>
              </w:rPr>
              <w:t>技术负责人：</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B13E720">
            <w:pPr>
              <w:pStyle w:val="175"/>
              <w:spacing w:line="360" w:lineRule="auto"/>
              <w:rPr>
                <w:rStyle w:val="170"/>
                <w:rFonts w:hint="eastAsia" w:ascii="宋体" w:hAnsi="宋体"/>
                <w:color w:val="auto"/>
                <w:highlight w:val="none"/>
              </w:rPr>
            </w:pPr>
            <w:r>
              <w:rPr>
                <w:rStyle w:val="170"/>
                <w:rFonts w:ascii="宋体" w:hAnsi="宋体"/>
                <w:color w:val="auto"/>
                <w:highlight w:val="none"/>
              </w:rPr>
              <w:t>安全员：</w:t>
            </w:r>
            <w:r>
              <w:rPr>
                <w:rStyle w:val="170"/>
                <w:rFonts w:ascii="宋体" w:hAnsi="宋体"/>
                <w:color w:val="auto"/>
                <w:highlight w:val="none"/>
                <w:u w:val="single"/>
              </w:rPr>
              <w:t>姓名</w:t>
            </w:r>
            <w:r>
              <w:rPr>
                <w:rStyle w:val="170"/>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70"/>
                <w:rFonts w:ascii="宋体" w:hAnsi="宋体"/>
                <w:color w:val="auto"/>
                <w:highlight w:val="none"/>
              </w:rPr>
              <w:t>：</w:t>
            </w:r>
            <w:r>
              <w:rPr>
                <w:rStyle w:val="170"/>
                <w:rFonts w:hint="eastAsia" w:ascii="宋体" w:hAnsi="宋体"/>
                <w:color w:val="auto"/>
                <w:highlight w:val="none"/>
                <w:u w:val="single"/>
              </w:rPr>
              <w:t xml:space="preserve">          </w:t>
            </w:r>
            <w:r>
              <w:rPr>
                <w:rStyle w:val="170"/>
                <w:rFonts w:ascii="宋体" w:hAnsi="宋体"/>
                <w:color w:val="auto"/>
                <w:highlight w:val="none"/>
              </w:rPr>
              <w:t xml:space="preserve"> 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B69F5E8">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材料</w:t>
            </w:r>
            <w:r>
              <w:rPr>
                <w:rStyle w:val="170"/>
                <w:rFonts w:ascii="宋体" w:hAnsi="宋体"/>
                <w:color w:val="auto"/>
                <w:highlight w:val="none"/>
              </w:rPr>
              <w:t>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42459A6">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质量员</w:t>
            </w:r>
            <w:r>
              <w:rPr>
                <w:rStyle w:val="170"/>
                <w:rFonts w:ascii="宋体" w:hAnsi="宋体"/>
                <w:color w:val="auto"/>
                <w:highlight w:val="none"/>
              </w:rPr>
              <w:t>：</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6A8EB7A0">
            <w:pPr>
              <w:pStyle w:val="175"/>
              <w:spacing w:line="360" w:lineRule="auto"/>
              <w:rPr>
                <w:rStyle w:val="170"/>
                <w:rFonts w:hint="eastAsia" w:ascii="宋体" w:hAnsi="宋体"/>
                <w:color w:val="auto"/>
                <w:highlight w:val="none"/>
              </w:rPr>
            </w:pPr>
            <w:r>
              <w:rPr>
                <w:rStyle w:val="170"/>
                <w:rFonts w:ascii="宋体" w:hAnsi="宋体"/>
                <w:color w:val="auto"/>
                <w:highlight w:val="none"/>
              </w:rPr>
              <w:t>施工员：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6D2E4984">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质检员</w:t>
            </w:r>
            <w:r>
              <w:rPr>
                <w:rStyle w:val="170"/>
                <w:rFonts w:ascii="宋体" w:hAnsi="宋体"/>
                <w:color w:val="auto"/>
                <w:highlight w:val="none"/>
              </w:rPr>
              <w:t>（如有）：</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2BFF63B0">
            <w:pPr>
              <w:pStyle w:val="175"/>
              <w:spacing w:line="360" w:lineRule="auto"/>
              <w:rPr>
                <w:rStyle w:val="170"/>
                <w:rFonts w:hint="eastAsia" w:ascii="宋体" w:hAnsi="宋体"/>
                <w:color w:val="auto"/>
                <w:highlight w:val="none"/>
              </w:rPr>
            </w:pPr>
            <w:r>
              <w:rPr>
                <w:rStyle w:val="170"/>
                <w:rFonts w:ascii="宋体" w:hAnsi="宋体"/>
                <w:color w:val="auto"/>
                <w:szCs w:val="21"/>
                <w:highlight w:val="none"/>
              </w:rPr>
              <w:t>投标所用企业业绩</w:t>
            </w:r>
            <w:r>
              <w:rPr>
                <w:rStyle w:val="170"/>
                <w:rFonts w:ascii="宋体" w:hAnsi="宋体"/>
                <w:color w:val="auto"/>
                <w:highlight w:val="none"/>
              </w:rPr>
              <w:t>（如有）</w:t>
            </w:r>
            <w:r>
              <w:rPr>
                <w:rStyle w:val="170"/>
                <w:rFonts w:ascii="宋体" w:hAnsi="宋体"/>
                <w:color w:val="auto"/>
                <w:szCs w:val="21"/>
                <w:highlight w:val="none"/>
              </w:rPr>
              <w:t>:</w:t>
            </w:r>
          </w:p>
          <w:p w14:paraId="3C3ADDCD">
            <w:pPr>
              <w:pStyle w:val="175"/>
              <w:spacing w:line="360" w:lineRule="auto"/>
              <w:rPr>
                <w:rStyle w:val="170"/>
                <w:rFonts w:hint="eastAsia" w:ascii="宋体" w:hAnsi="宋体"/>
                <w:color w:val="auto"/>
                <w:highlight w:val="none"/>
                <w:u w:val="single"/>
              </w:rPr>
            </w:pPr>
            <w:r>
              <w:rPr>
                <w:rStyle w:val="170"/>
                <w:rFonts w:ascii="宋体" w:hAnsi="宋体"/>
                <w:color w:val="auto"/>
                <w:highlight w:val="none"/>
              </w:rPr>
              <w:t>承诺工期：</w:t>
            </w:r>
            <w:r>
              <w:rPr>
                <w:rStyle w:val="170"/>
                <w:rFonts w:ascii="宋体" w:hAnsi="宋体"/>
                <w:color w:val="auto"/>
                <w:highlight w:val="none"/>
                <w:u w:val="single"/>
              </w:rPr>
              <w:t xml:space="preserve">    </w:t>
            </w:r>
            <w:r>
              <w:rPr>
                <w:rStyle w:val="170"/>
                <w:rFonts w:ascii="宋体" w:hAnsi="宋体"/>
                <w:color w:val="auto"/>
                <w:highlight w:val="none"/>
              </w:rPr>
              <w:t>日历天               承诺质量标准：</w:t>
            </w:r>
            <w:r>
              <w:rPr>
                <w:rStyle w:val="170"/>
                <w:rFonts w:ascii="宋体" w:hAnsi="宋体"/>
                <w:color w:val="auto"/>
                <w:highlight w:val="none"/>
                <w:u w:val="single"/>
              </w:rPr>
              <w:t xml:space="preserve"> </w:t>
            </w:r>
            <w:r>
              <w:rPr>
                <w:rStyle w:val="170"/>
                <w:rFonts w:hint="eastAsia" w:ascii="宋体" w:hAnsi="宋体"/>
                <w:color w:val="auto"/>
                <w:highlight w:val="none"/>
                <w:u w:val="single"/>
              </w:rPr>
              <w:t xml:space="preserve">                     </w:t>
            </w:r>
          </w:p>
          <w:p w14:paraId="099C7235">
            <w:pPr>
              <w:widowControl/>
              <w:rPr>
                <w:rFonts w:hint="eastAsia" w:ascii="宋体" w:hAnsi="宋体" w:cs="宋体"/>
                <w:color w:val="auto"/>
                <w:highlight w:val="none"/>
              </w:rPr>
            </w:pPr>
            <w:r>
              <w:rPr>
                <w:rStyle w:val="170"/>
                <w:rFonts w:hint="eastAsia" w:ascii="宋体" w:hAnsi="宋体"/>
                <w:color w:val="auto"/>
                <w:szCs w:val="24"/>
                <w:highlight w:val="none"/>
                <w:lang w:eastAsia="zh-CN"/>
              </w:rPr>
              <w:t>供应商</w:t>
            </w:r>
            <w:r>
              <w:rPr>
                <w:rStyle w:val="170"/>
                <w:rFonts w:ascii="宋体" w:hAnsi="宋体"/>
                <w:color w:val="auto"/>
                <w:szCs w:val="24"/>
                <w:highlight w:val="none"/>
              </w:rPr>
              <w:t>地址：</w:t>
            </w:r>
            <w:r>
              <w:rPr>
                <w:rStyle w:val="170"/>
                <w:rFonts w:ascii="宋体" w:hAnsi="宋体"/>
                <w:color w:val="auto"/>
                <w:szCs w:val="24"/>
                <w:highlight w:val="none"/>
                <w:u w:val="single"/>
              </w:rPr>
              <w:t xml:space="preserve"> </w:t>
            </w:r>
            <w:r>
              <w:rPr>
                <w:rStyle w:val="170"/>
                <w:rFonts w:hint="eastAsia" w:ascii="宋体" w:hAnsi="宋体"/>
                <w:color w:val="auto"/>
                <w:szCs w:val="24"/>
                <w:highlight w:val="none"/>
                <w:u w:val="single"/>
              </w:rPr>
              <w:t xml:space="preserve">                   </w:t>
            </w:r>
          </w:p>
        </w:tc>
      </w:tr>
    </w:tbl>
    <w:p w14:paraId="1763003E">
      <w:pPr>
        <w:spacing w:line="480" w:lineRule="auto"/>
        <w:ind w:firstLine="210" w:firstLineChars="100"/>
        <w:rPr>
          <w:rFonts w:hint="eastAsia" w:asciiTheme="minorEastAsia" w:hAnsiTheme="minorEastAsia" w:eastAsiaTheme="minorEastAsia" w:cstheme="minorEastAsia"/>
          <w:color w:val="auto"/>
          <w:highlight w:val="none"/>
        </w:rPr>
      </w:pPr>
    </w:p>
    <w:p w14:paraId="34FB6435">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磋商供应商（盖单位章）：</w:t>
      </w:r>
      <w:r>
        <w:rPr>
          <w:rFonts w:hint="eastAsia" w:asciiTheme="minorEastAsia" w:hAnsiTheme="minorEastAsia" w:eastAsiaTheme="minorEastAsia" w:cstheme="minorEastAsia"/>
          <w:color w:val="auto"/>
          <w:highlight w:val="none"/>
          <w:u w:val="single"/>
        </w:rPr>
        <w:t xml:space="preserve">                                 </w:t>
      </w:r>
    </w:p>
    <w:p w14:paraId="51AA7E6D">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26EC93B3">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30C63519">
      <w:pPr>
        <w:pStyle w:val="62"/>
        <w:rPr>
          <w:rFonts w:hint="eastAsia" w:asciiTheme="minorEastAsia" w:hAnsiTheme="minorEastAsia" w:eastAsiaTheme="minorEastAsia" w:cstheme="minorEastAsia"/>
          <w:color w:val="auto"/>
          <w:highlight w:val="none"/>
        </w:rPr>
      </w:pPr>
    </w:p>
    <w:p w14:paraId="63B55415">
      <w:pPr>
        <w:pStyle w:val="16"/>
        <w:rPr>
          <w:rFonts w:hint="eastAsia" w:asciiTheme="minorEastAsia" w:hAnsiTheme="minorEastAsia" w:eastAsiaTheme="minorEastAsia" w:cstheme="minorEastAsia"/>
          <w:color w:val="auto"/>
          <w:highlight w:val="none"/>
        </w:rPr>
      </w:pPr>
    </w:p>
    <w:p w14:paraId="3B9BED7B">
      <w:pP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br w:type="page"/>
      </w:r>
    </w:p>
    <w:p w14:paraId="0C7F18A4">
      <w:pPr>
        <w:numPr>
          <w:ilvl w:val="0"/>
          <w:numId w:val="14"/>
        </w:num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已标价的工程量清单报价有关材料</w:t>
      </w:r>
    </w:p>
    <w:p w14:paraId="3A561169">
      <w:pPr>
        <w:pStyle w:val="5"/>
        <w:rPr>
          <w:rFonts w:hint="eastAsia" w:asciiTheme="minorEastAsia" w:hAnsiTheme="minorEastAsia" w:eastAsiaTheme="minorEastAsia" w:cstheme="minorEastAsia"/>
          <w:color w:val="auto"/>
          <w:highlight w:val="none"/>
        </w:rPr>
      </w:pPr>
    </w:p>
    <w:p w14:paraId="4A766AD4">
      <w:pPr>
        <w:spacing w:line="360" w:lineRule="auto"/>
        <w:ind w:firstLine="420" w:firstLineChars="200"/>
        <w:rPr>
          <w:color w:val="auto"/>
          <w:highlight w:val="none"/>
        </w:rPr>
      </w:pPr>
      <w:r>
        <w:rPr>
          <w:rFonts w:hint="eastAsia"/>
          <w:color w:val="auto"/>
          <w:highlight w:val="none"/>
        </w:rPr>
        <w:t>1.</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16566CB8">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538AF8E3">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1E92E415">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0B3E80E6">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57A02AC2">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4B6B6109">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505FC34E">
      <w:pPr>
        <w:pStyle w:val="168"/>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33D6E39D">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613453DB">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5DD8A7EC">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3D7E8CC6">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1CE64B37">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0ADB4B5F">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0BA869B7">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68F094D7">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09A6A7F6">
      <w:pPr>
        <w:spacing w:line="360" w:lineRule="auto"/>
        <w:ind w:firstLine="420" w:firstLineChars="200"/>
        <w:rPr>
          <w:rFonts w:cs="宋体"/>
          <w:color w:val="auto"/>
          <w:highlight w:val="none"/>
        </w:rPr>
        <w:sectPr>
          <w:footerReference r:id="rId8" w:type="first"/>
          <w:headerReference r:id="rId5" w:type="default"/>
          <w:footerReference r:id="rId6" w:type="default"/>
          <w:footerReference r:id="rId7" w:type="even"/>
          <w:pgSz w:w="11906" w:h="16838"/>
          <w:pgMar w:top="840" w:right="1006" w:bottom="1440" w:left="1020" w:header="851" w:footer="992" w:gutter="0"/>
          <w:cols w:space="720" w:num="1"/>
          <w:titlePg/>
          <w:docGrid w:type="lines" w:linePitch="312" w:charSpace="0"/>
        </w:sectPr>
      </w:pPr>
      <w:r>
        <w:rPr>
          <w:rFonts w:hint="eastAsia" w:cs="宋体"/>
          <w:color w:val="auto"/>
          <w:highlight w:val="none"/>
        </w:rPr>
        <w:t>未尽事宜详见本工程招标工程量清单、招标控制价编制说明以及现行《计价规范》等有关规定执行。</w:t>
      </w:r>
    </w:p>
    <w:p w14:paraId="42FFEAEB">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五、供应商如为中小微企业或监狱企业或残疾人福利性单位</w:t>
      </w:r>
    </w:p>
    <w:p w14:paraId="4916CD8C">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2389CE70">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1F14D56D">
      <w:pPr>
        <w:spacing w:line="400" w:lineRule="exact"/>
        <w:jc w:val="center"/>
        <w:rPr>
          <w:rFonts w:hint="eastAsia" w:asciiTheme="minorEastAsia" w:hAnsiTheme="minorEastAsia" w:eastAsiaTheme="minorEastAsia" w:cstheme="minorEastAsia"/>
          <w:b/>
          <w:bCs/>
          <w:color w:val="auto"/>
          <w:kern w:val="0"/>
          <w:sz w:val="30"/>
          <w:szCs w:val="30"/>
          <w:highlight w:val="none"/>
        </w:rPr>
      </w:pPr>
    </w:p>
    <w:p w14:paraId="25E9C8D0">
      <w:pPr>
        <w:spacing w:line="400" w:lineRule="exact"/>
        <w:jc w:val="center"/>
        <w:rPr>
          <w:rFonts w:hint="eastAsia" w:asciiTheme="minorEastAsia" w:hAnsiTheme="minorEastAsia" w:eastAsiaTheme="minorEastAsia" w:cstheme="minorEastAsia"/>
          <w:b/>
          <w:bCs/>
          <w:color w:val="auto"/>
          <w:kern w:val="0"/>
          <w:sz w:val="30"/>
          <w:szCs w:val="30"/>
          <w:highlight w:val="none"/>
        </w:rPr>
      </w:pPr>
      <w:r>
        <w:rPr>
          <w:rFonts w:hint="eastAsia" w:asciiTheme="minorEastAsia" w:hAnsiTheme="minorEastAsia" w:eastAsiaTheme="minorEastAsia" w:cstheme="minorEastAsia"/>
          <w:b/>
          <w:bCs/>
          <w:color w:val="auto"/>
          <w:kern w:val="0"/>
          <w:sz w:val="30"/>
          <w:szCs w:val="30"/>
          <w:highlight w:val="none"/>
        </w:rPr>
        <w:t>1、中小企业声明函</w:t>
      </w:r>
    </w:p>
    <w:p w14:paraId="2E414395">
      <w:pPr>
        <w:spacing w:line="588" w:lineRule="exact"/>
        <w:jc w:val="center"/>
        <w:rPr>
          <w:rFonts w:hint="eastAsia" w:asciiTheme="minorEastAsia" w:hAnsiTheme="minorEastAsia" w:eastAsiaTheme="minorEastAsia" w:cstheme="minorEastAsia"/>
          <w:b/>
          <w:color w:val="auto"/>
          <w:spacing w:val="6"/>
          <w:sz w:val="32"/>
          <w:szCs w:val="32"/>
          <w:highlight w:val="none"/>
        </w:rPr>
      </w:pPr>
    </w:p>
    <w:p w14:paraId="628FA2CA">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本公司郑重声明，根据《政府采购促进中小企业发展暂行办法》（财库[2020]46号）的规定，本公司参加</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（采购人名称）的</w:t>
      </w:r>
      <w:r>
        <w:rPr>
          <w:rFonts w:hint="eastAsia" w:asciiTheme="minorEastAsia" w:hAnsiTheme="minorEastAsia" w:eastAsiaTheme="minorEastAsia" w:cstheme="minorEastAsia"/>
          <w:color w:val="auto"/>
          <w:spacing w:val="6"/>
          <w:sz w:val="24"/>
          <w:highlight w:val="none"/>
          <w:u w:val="single"/>
        </w:rPr>
        <w:t xml:space="preserve">         </w:t>
      </w:r>
      <w:r>
        <w:rPr>
          <w:rFonts w:hint="eastAsia" w:asciiTheme="minorEastAsia" w:hAnsiTheme="minorEastAsia" w:eastAsiaTheme="minorEastAsia" w:cstheme="minorEastAsia"/>
          <w:color w:val="auto"/>
          <w:spacing w:val="6"/>
          <w:sz w:val="24"/>
          <w:highlight w:val="none"/>
        </w:rPr>
        <w:t>（项目名称）采购活动，工程的施工单位全部为符合政策要求的中小企业（或者服务全部由符合政策要求的中小企业承接）。相关企业（</w:t>
      </w:r>
      <w:r>
        <w:rPr>
          <w:rFonts w:ascii="宋体" w:hAnsi="宋体" w:cs="宋体"/>
          <w:color w:val="auto"/>
          <w:sz w:val="24"/>
          <w:szCs w:val="24"/>
          <w:highlight w:val="none"/>
        </w:rPr>
        <w:t>含联合体中的中小企业、签订分包意向协议的中小企业</w:t>
      </w:r>
      <w:r>
        <w:rPr>
          <w:rFonts w:hint="eastAsia" w:asciiTheme="minorEastAsia" w:hAnsiTheme="minorEastAsia" w:eastAsiaTheme="minorEastAsia" w:cstheme="minorEastAsia"/>
          <w:color w:val="auto"/>
          <w:spacing w:val="6"/>
          <w:sz w:val="24"/>
          <w:highlight w:val="none"/>
        </w:rPr>
        <w:t>）</w:t>
      </w:r>
      <w:r>
        <w:rPr>
          <w:rFonts w:ascii="宋体" w:hAnsi="宋体" w:cs="宋体"/>
          <w:color w:val="auto"/>
          <w:sz w:val="24"/>
          <w:szCs w:val="24"/>
          <w:highlight w:val="none"/>
        </w:rPr>
        <w:t>的具体情况如下：</w:t>
      </w:r>
    </w:p>
    <w:p w14:paraId="610228F6">
      <w:pPr>
        <w:spacing w:line="588" w:lineRule="exact"/>
        <w:ind w:firstLine="480" w:firstLineChars="200"/>
        <w:jc w:val="left"/>
        <w:rPr>
          <w:rFonts w:hint="eastAsia" w:ascii="宋体" w:hAnsi="宋体" w:cs="宋体"/>
          <w:color w:val="auto"/>
          <w:sz w:val="24"/>
          <w:szCs w:val="24"/>
          <w:highlight w:val="none"/>
        </w:rPr>
      </w:pPr>
      <w:r>
        <w:rPr>
          <w:rFonts w:ascii="宋体" w:hAnsi="宋体" w:cs="宋体"/>
          <w:color w:val="auto"/>
          <w:sz w:val="24"/>
          <w:szCs w:val="24"/>
          <w:highlight w:val="none"/>
          <w:u w:val="single"/>
        </w:rPr>
        <w:t xml:space="preserve">（标的名称） </w:t>
      </w:r>
      <w:r>
        <w:rPr>
          <w:rFonts w:ascii="宋体" w:hAnsi="宋体" w:cs="宋体"/>
          <w:color w:val="auto"/>
          <w:sz w:val="24"/>
          <w:szCs w:val="24"/>
          <w:highlight w:val="none"/>
        </w:rPr>
        <w:t>，属于</w:t>
      </w: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u w:val="single"/>
        </w:rPr>
        <w:t xml:space="preserve">建筑业 </w:t>
      </w:r>
      <w:r>
        <w:rPr>
          <w:rFonts w:ascii="宋体" w:hAnsi="宋体" w:cs="宋体"/>
          <w:color w:val="auto"/>
          <w:sz w:val="24"/>
          <w:szCs w:val="24"/>
          <w:highlight w:val="none"/>
        </w:rPr>
        <w:t>； 承建（承接）企业为</w:t>
      </w:r>
      <w:r>
        <w:rPr>
          <w:rFonts w:ascii="宋体" w:hAnsi="宋体" w:cs="宋体"/>
          <w:color w:val="auto"/>
          <w:sz w:val="24"/>
          <w:szCs w:val="24"/>
          <w:highlight w:val="none"/>
          <w:u w:val="single"/>
        </w:rPr>
        <w:t>（企业名称）</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，从业人员</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人，营业收入为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万元，资产总额为</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rPr>
        <w:t>万元，属于</w:t>
      </w:r>
      <w:r>
        <w:rPr>
          <w:rFonts w:hint="eastAsia" w:ascii="宋体" w:hAnsi="宋体" w:cs="宋体"/>
          <w:color w:val="auto"/>
          <w:sz w:val="24"/>
          <w:szCs w:val="24"/>
          <w:highlight w:val="none"/>
          <w:u w:val="single"/>
        </w:rPr>
        <w:t xml:space="preserve">            </w:t>
      </w:r>
      <w:r>
        <w:rPr>
          <w:rFonts w:ascii="宋体" w:hAnsi="宋体" w:cs="宋体"/>
          <w:color w:val="auto"/>
          <w:sz w:val="24"/>
          <w:szCs w:val="24"/>
          <w:highlight w:val="none"/>
          <w:u w:val="single"/>
        </w:rPr>
        <w:t>（中型企业、小型企业、微型企业）</w:t>
      </w:r>
      <w:r>
        <w:rPr>
          <w:rFonts w:ascii="宋体" w:hAnsi="宋体" w:cs="宋体"/>
          <w:color w:val="auto"/>
          <w:sz w:val="24"/>
          <w:szCs w:val="24"/>
          <w:highlight w:val="none"/>
        </w:rPr>
        <w:t>；</w:t>
      </w:r>
    </w:p>
    <w:p w14:paraId="55321827">
      <w:pPr>
        <w:spacing w:line="588" w:lineRule="exact"/>
        <w:ind w:firstLine="504" w:firstLineChars="200"/>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本公司对上述声明的真实性负责。如有虚假，将依法承担相应责任。</w:t>
      </w:r>
    </w:p>
    <w:p w14:paraId="48E4FAA1">
      <w:pPr>
        <w:spacing w:line="588" w:lineRule="exact"/>
        <w:ind w:firstLine="504" w:firstLineChars="200"/>
        <w:rPr>
          <w:rFonts w:hint="eastAsia" w:asciiTheme="minorEastAsia" w:hAnsiTheme="minorEastAsia" w:eastAsiaTheme="minorEastAsia" w:cstheme="minorEastAsia"/>
          <w:color w:val="auto"/>
          <w:spacing w:val="6"/>
          <w:sz w:val="24"/>
          <w:highlight w:val="none"/>
        </w:rPr>
      </w:pPr>
    </w:p>
    <w:p w14:paraId="29AD53B4">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w:t>
      </w:r>
    </w:p>
    <w:p w14:paraId="42A665D1">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p>
    <w:p w14:paraId="0CB26AD4">
      <w:pPr>
        <w:tabs>
          <w:tab w:val="left" w:pos="4860"/>
        </w:tabs>
        <w:spacing w:line="588" w:lineRule="exact"/>
        <w:ind w:right="1560" w:firstLine="504" w:firstLineChars="200"/>
        <w:jc w:val="center"/>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企业名称（盖章）： </w:t>
      </w:r>
    </w:p>
    <w:p w14:paraId="29DB4001">
      <w:pPr>
        <w:snapToGrid w:val="0"/>
        <w:spacing w:before="165" w:beforeLines="50" w:line="500" w:lineRule="exact"/>
        <w:ind w:left="1480" w:leftChars="650" w:hanging="115" w:hangingChars="46"/>
        <w:jc w:val="left"/>
        <w:rPr>
          <w:rFonts w:hint="eastAsia" w:asciiTheme="minorEastAsia" w:hAnsiTheme="minorEastAsia" w:eastAsiaTheme="minorEastAsia" w:cstheme="minorEastAsia"/>
          <w:color w:val="auto"/>
          <w:spacing w:val="6"/>
          <w:sz w:val="24"/>
          <w:highlight w:val="none"/>
        </w:rPr>
      </w:pPr>
      <w:r>
        <w:rPr>
          <w:rFonts w:hint="eastAsia" w:asciiTheme="minorEastAsia" w:hAnsiTheme="minorEastAsia" w:eastAsiaTheme="minorEastAsia" w:cstheme="minorEastAsia"/>
          <w:color w:val="auto"/>
          <w:spacing w:val="6"/>
          <w:sz w:val="24"/>
          <w:highlight w:val="none"/>
        </w:rPr>
        <w:t xml:space="preserve">                                 日  期：</w:t>
      </w:r>
    </w:p>
    <w:p w14:paraId="6EF946D9">
      <w:pPr>
        <w:pStyle w:val="16"/>
        <w:rPr>
          <w:color w:val="auto"/>
          <w:highlight w:val="none"/>
        </w:rPr>
      </w:pPr>
    </w:p>
    <w:p w14:paraId="49FCE0C0">
      <w:pPr>
        <w:pStyle w:val="62"/>
        <w:rPr>
          <w:color w:val="auto"/>
          <w:highlight w:val="none"/>
        </w:rPr>
      </w:pPr>
    </w:p>
    <w:p w14:paraId="18F357B7">
      <w:pPr>
        <w:spacing w:line="360" w:lineRule="auto"/>
        <w:contextualSpacing/>
        <w:jc w:val="left"/>
        <w:rPr>
          <w:rFonts w:hint="eastAsia" w:ascii="宋体" w:hAnsi="宋体" w:cs="宋体"/>
          <w:b/>
          <w:color w:val="auto"/>
          <w:sz w:val="24"/>
          <w:szCs w:val="24"/>
          <w:highlight w:val="none"/>
        </w:rPr>
      </w:pPr>
      <w:r>
        <w:rPr>
          <w:rFonts w:hint="eastAsia" w:ascii="宋体" w:hAnsi="宋体" w:cs="宋体"/>
          <w:color w:val="auto"/>
          <w:sz w:val="24"/>
          <w:szCs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61EE504F">
      <w:pPr>
        <w:jc w:val="left"/>
        <w:rPr>
          <w:rFonts w:hint="eastAsia" w:ascii="宋体" w:hAnsi="宋体" w:cs="宋体"/>
          <w:color w:val="auto"/>
          <w:kern w:val="0"/>
          <w:sz w:val="32"/>
          <w:szCs w:val="32"/>
          <w:highlight w:val="none"/>
        </w:rPr>
      </w:pPr>
    </w:p>
    <w:p w14:paraId="4ACE8496">
      <w:pPr>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br w:type="page"/>
      </w:r>
    </w:p>
    <w:p w14:paraId="43D7FE3A">
      <w:pPr>
        <w:jc w:val="left"/>
        <w:rPr>
          <w:rFonts w:hint="eastAsia" w:ascii="宋体" w:hAnsi="宋体" w:cs="宋体"/>
          <w:b/>
          <w:bCs/>
          <w:color w:val="auto"/>
          <w:kern w:val="0"/>
          <w:sz w:val="32"/>
          <w:szCs w:val="32"/>
          <w:highlight w:val="none"/>
        </w:rPr>
      </w:pPr>
      <w:r>
        <w:rPr>
          <w:rFonts w:hint="eastAsia" w:ascii="宋体" w:hAnsi="宋体" w:cs="宋体"/>
          <w:b/>
          <w:bCs/>
          <w:color w:val="auto"/>
          <w:kern w:val="0"/>
          <w:sz w:val="32"/>
          <w:szCs w:val="32"/>
          <w:highlight w:val="none"/>
        </w:rPr>
        <w:t>附：</w:t>
      </w:r>
    </w:p>
    <w:p w14:paraId="5404BF38">
      <w:pPr>
        <w:spacing w:line="528" w:lineRule="exact"/>
        <w:jc w:val="center"/>
        <w:rPr>
          <w:rFonts w:hint="eastAsia" w:ascii="宋体" w:hAnsi="宋体" w:cs="宋体"/>
          <w:color w:val="auto"/>
          <w:sz w:val="32"/>
          <w:szCs w:val="32"/>
          <w:highlight w:val="none"/>
        </w:rPr>
      </w:pPr>
      <w:r>
        <w:rPr>
          <w:rFonts w:hint="eastAsia" w:ascii="宋体" w:hAnsi="宋体" w:cs="宋体"/>
          <w:color w:val="auto"/>
          <w:sz w:val="32"/>
          <w:szCs w:val="32"/>
          <w:highlight w:val="none"/>
        </w:rPr>
        <w:t>中小微企业划型标准</w:t>
      </w:r>
    </w:p>
    <w:tbl>
      <w:tblPr>
        <w:tblStyle w:val="44"/>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2431FE27">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vAlign w:val="center"/>
          </w:tcPr>
          <w:p w14:paraId="44DBB836">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vAlign w:val="center"/>
          </w:tcPr>
          <w:p w14:paraId="6C4E9865">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vAlign w:val="center"/>
          </w:tcPr>
          <w:p w14:paraId="7A76BDF6">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vAlign w:val="center"/>
          </w:tcPr>
          <w:p w14:paraId="6A2EA410">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vAlign w:val="center"/>
          </w:tcPr>
          <w:p w14:paraId="1663D8B9">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vAlign w:val="center"/>
          </w:tcPr>
          <w:p w14:paraId="54F61B02">
            <w:pPr>
              <w:widowControl/>
              <w:jc w:val="center"/>
              <w:rPr>
                <w:rFonts w:hint="eastAsia"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1E3C3D3A">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43B72195">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农、林、牧、渔</w:t>
            </w:r>
          </w:p>
        </w:tc>
        <w:tc>
          <w:tcPr>
            <w:tcW w:w="1384" w:type="dxa"/>
            <w:tcBorders>
              <w:top w:val="nil"/>
              <w:left w:val="nil"/>
              <w:bottom w:val="single" w:color="auto" w:sz="4" w:space="0"/>
              <w:right w:val="single" w:color="auto" w:sz="4" w:space="0"/>
            </w:tcBorders>
            <w:vAlign w:val="center"/>
          </w:tcPr>
          <w:p w14:paraId="72E5EBB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E6589D3">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E09642F">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1D292C72">
            <w:pPr>
              <w:widowControl/>
              <w:jc w:val="left"/>
              <w:rPr>
                <w:rFonts w:hint="eastAsia" w:ascii="宋体" w:hAnsi="宋体" w:cs="宋体"/>
                <w:color w:val="auto"/>
                <w:kern w:val="0"/>
                <w:highlight w:val="none"/>
              </w:rPr>
            </w:pPr>
            <w:r>
              <w:rPr>
                <w:rFonts w:hint="eastAsia" w:ascii="宋体" w:hAnsi="宋体" w:cs="宋体"/>
                <w:color w:val="auto"/>
                <w:kern w:val="0"/>
                <w:highlight w:val="none"/>
              </w:rPr>
              <w:t>50≤Y＜500</w:t>
            </w:r>
          </w:p>
        </w:tc>
        <w:tc>
          <w:tcPr>
            <w:tcW w:w="1142" w:type="dxa"/>
            <w:tcBorders>
              <w:top w:val="nil"/>
              <w:left w:val="nil"/>
              <w:bottom w:val="single" w:color="auto" w:sz="4" w:space="0"/>
              <w:right w:val="single" w:color="auto" w:sz="4" w:space="0"/>
            </w:tcBorders>
            <w:vAlign w:val="center"/>
          </w:tcPr>
          <w:p w14:paraId="70F696EC">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3E0BB80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3473F4E">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工业</w:t>
            </w:r>
          </w:p>
        </w:tc>
        <w:tc>
          <w:tcPr>
            <w:tcW w:w="1384" w:type="dxa"/>
            <w:tcBorders>
              <w:top w:val="nil"/>
              <w:left w:val="nil"/>
              <w:bottom w:val="single" w:color="auto" w:sz="4" w:space="0"/>
              <w:right w:val="single" w:color="auto" w:sz="4" w:space="0"/>
            </w:tcBorders>
            <w:vAlign w:val="center"/>
          </w:tcPr>
          <w:p w14:paraId="2AC8F948">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6A2F9BD">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1C4F1E4">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5694204D">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580BC9E6">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57CF145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2B0C93D8">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521651C3">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593D345E">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67DD8567">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2000≤Y＜40000</w:t>
            </w:r>
          </w:p>
        </w:tc>
        <w:tc>
          <w:tcPr>
            <w:tcW w:w="1743" w:type="dxa"/>
            <w:tcBorders>
              <w:top w:val="nil"/>
              <w:left w:val="nil"/>
              <w:bottom w:val="single" w:color="auto" w:sz="4" w:space="0"/>
              <w:right w:val="single" w:color="auto" w:sz="4" w:space="0"/>
            </w:tcBorders>
            <w:vAlign w:val="center"/>
          </w:tcPr>
          <w:p w14:paraId="59F6E283">
            <w:pPr>
              <w:widowControl/>
              <w:jc w:val="left"/>
              <w:rPr>
                <w:rFonts w:hint="eastAsia" w:ascii="宋体" w:hAnsi="宋体" w:cs="宋体"/>
                <w:color w:val="auto"/>
                <w:kern w:val="0"/>
                <w:highlight w:val="none"/>
              </w:rPr>
            </w:pPr>
            <w:r>
              <w:rPr>
                <w:rFonts w:hint="eastAsia" w:ascii="宋体" w:hAnsi="宋体" w:cs="宋体"/>
                <w:color w:val="auto"/>
                <w:kern w:val="0"/>
                <w:highlight w:val="none"/>
              </w:rPr>
              <w:t>300≤Y＜2000</w:t>
            </w:r>
          </w:p>
        </w:tc>
        <w:tc>
          <w:tcPr>
            <w:tcW w:w="1142" w:type="dxa"/>
            <w:tcBorders>
              <w:top w:val="nil"/>
              <w:left w:val="nil"/>
              <w:bottom w:val="single" w:color="auto" w:sz="4" w:space="0"/>
              <w:right w:val="single" w:color="auto" w:sz="4" w:space="0"/>
            </w:tcBorders>
            <w:vAlign w:val="center"/>
          </w:tcPr>
          <w:p w14:paraId="25E62344">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325D43C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6BED4E73">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建筑业</w:t>
            </w:r>
          </w:p>
        </w:tc>
        <w:tc>
          <w:tcPr>
            <w:tcW w:w="1384" w:type="dxa"/>
            <w:tcBorders>
              <w:top w:val="nil"/>
              <w:left w:val="nil"/>
              <w:bottom w:val="single" w:color="auto" w:sz="4" w:space="0"/>
              <w:right w:val="single" w:color="auto" w:sz="4" w:space="0"/>
            </w:tcBorders>
            <w:vAlign w:val="center"/>
          </w:tcPr>
          <w:p w14:paraId="082F8F8B">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A384451">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6C8B139C">
            <w:pPr>
              <w:widowControl/>
              <w:jc w:val="left"/>
              <w:rPr>
                <w:rFonts w:hint="eastAsia" w:ascii="宋体" w:hAnsi="宋体" w:cs="宋体"/>
                <w:color w:val="auto"/>
                <w:kern w:val="0"/>
                <w:highlight w:val="none"/>
              </w:rPr>
            </w:pPr>
            <w:r>
              <w:rPr>
                <w:rFonts w:hint="eastAsia" w:ascii="宋体" w:hAnsi="宋体" w:cs="宋体"/>
                <w:color w:val="auto"/>
                <w:kern w:val="0"/>
                <w:highlight w:val="none"/>
              </w:rPr>
              <w:t>6000≤Y＜80000</w:t>
            </w:r>
          </w:p>
        </w:tc>
        <w:tc>
          <w:tcPr>
            <w:tcW w:w="1743" w:type="dxa"/>
            <w:tcBorders>
              <w:top w:val="nil"/>
              <w:left w:val="nil"/>
              <w:bottom w:val="single" w:color="auto" w:sz="4" w:space="0"/>
              <w:right w:val="single" w:color="auto" w:sz="4" w:space="0"/>
            </w:tcBorders>
            <w:vAlign w:val="center"/>
          </w:tcPr>
          <w:p w14:paraId="0983565D">
            <w:pPr>
              <w:widowControl/>
              <w:jc w:val="left"/>
              <w:rPr>
                <w:rFonts w:hint="eastAsia" w:ascii="宋体" w:hAnsi="宋体" w:cs="宋体"/>
                <w:color w:val="auto"/>
                <w:kern w:val="0"/>
                <w:highlight w:val="none"/>
              </w:rPr>
            </w:pPr>
            <w:r>
              <w:rPr>
                <w:rFonts w:hint="eastAsia" w:ascii="宋体" w:hAnsi="宋体" w:cs="宋体"/>
                <w:color w:val="auto"/>
                <w:kern w:val="0"/>
                <w:highlight w:val="none"/>
              </w:rPr>
              <w:t>300≤Y＜6000</w:t>
            </w:r>
          </w:p>
        </w:tc>
        <w:tc>
          <w:tcPr>
            <w:tcW w:w="1142" w:type="dxa"/>
            <w:tcBorders>
              <w:top w:val="nil"/>
              <w:left w:val="nil"/>
              <w:bottom w:val="single" w:color="auto" w:sz="4" w:space="0"/>
              <w:right w:val="single" w:color="auto" w:sz="4" w:space="0"/>
            </w:tcBorders>
            <w:vAlign w:val="center"/>
          </w:tcPr>
          <w:p w14:paraId="51308ED0">
            <w:pPr>
              <w:widowControl/>
              <w:jc w:val="left"/>
              <w:rPr>
                <w:rFonts w:hint="eastAsia" w:ascii="宋体" w:hAnsi="宋体" w:cs="宋体"/>
                <w:color w:val="auto"/>
                <w:kern w:val="0"/>
                <w:highlight w:val="none"/>
              </w:rPr>
            </w:pPr>
            <w:r>
              <w:rPr>
                <w:rFonts w:hint="eastAsia" w:ascii="宋体" w:hAnsi="宋体" w:cs="宋体"/>
                <w:color w:val="auto"/>
                <w:kern w:val="0"/>
                <w:highlight w:val="none"/>
              </w:rPr>
              <w:t>Y＜300</w:t>
            </w:r>
          </w:p>
        </w:tc>
      </w:tr>
      <w:tr w14:paraId="60C7985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A6CC06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5BC52AE0">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7B67B8D5">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C7B1F06">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5000≤Z＜80000</w:t>
            </w:r>
          </w:p>
        </w:tc>
        <w:tc>
          <w:tcPr>
            <w:tcW w:w="1743" w:type="dxa"/>
            <w:tcBorders>
              <w:top w:val="nil"/>
              <w:left w:val="nil"/>
              <w:bottom w:val="single" w:color="auto" w:sz="4" w:space="0"/>
              <w:right w:val="single" w:color="auto" w:sz="4" w:space="0"/>
            </w:tcBorders>
            <w:vAlign w:val="center"/>
          </w:tcPr>
          <w:p w14:paraId="29811875">
            <w:pPr>
              <w:widowControl/>
              <w:jc w:val="left"/>
              <w:rPr>
                <w:rFonts w:hint="eastAsia" w:ascii="宋体" w:hAnsi="宋体" w:cs="宋体"/>
                <w:color w:val="auto"/>
                <w:kern w:val="0"/>
                <w:highlight w:val="none"/>
              </w:rPr>
            </w:pPr>
            <w:r>
              <w:rPr>
                <w:rFonts w:hint="eastAsia" w:ascii="宋体" w:hAnsi="宋体" w:cs="宋体"/>
                <w:color w:val="auto"/>
                <w:kern w:val="0"/>
                <w:highlight w:val="none"/>
              </w:rPr>
              <w:t>300≤Z＜5000</w:t>
            </w:r>
          </w:p>
        </w:tc>
        <w:tc>
          <w:tcPr>
            <w:tcW w:w="1142" w:type="dxa"/>
            <w:tcBorders>
              <w:top w:val="nil"/>
              <w:left w:val="nil"/>
              <w:bottom w:val="single" w:color="auto" w:sz="4" w:space="0"/>
              <w:right w:val="single" w:color="auto" w:sz="4" w:space="0"/>
            </w:tcBorders>
            <w:vAlign w:val="center"/>
          </w:tcPr>
          <w:p w14:paraId="7257947E">
            <w:pPr>
              <w:widowControl/>
              <w:jc w:val="left"/>
              <w:rPr>
                <w:rFonts w:hint="eastAsia" w:ascii="宋体" w:hAnsi="宋体" w:cs="宋体"/>
                <w:color w:val="auto"/>
                <w:kern w:val="0"/>
                <w:highlight w:val="none"/>
              </w:rPr>
            </w:pPr>
            <w:r>
              <w:rPr>
                <w:rFonts w:hint="eastAsia" w:ascii="宋体" w:hAnsi="宋体" w:cs="宋体"/>
                <w:color w:val="auto"/>
                <w:kern w:val="0"/>
                <w:highlight w:val="none"/>
              </w:rPr>
              <w:t>Z＜300</w:t>
            </w:r>
          </w:p>
        </w:tc>
      </w:tr>
      <w:tr w14:paraId="4B54097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281E1816">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批发业</w:t>
            </w:r>
          </w:p>
        </w:tc>
        <w:tc>
          <w:tcPr>
            <w:tcW w:w="1384" w:type="dxa"/>
            <w:tcBorders>
              <w:top w:val="nil"/>
              <w:left w:val="nil"/>
              <w:bottom w:val="single" w:color="auto" w:sz="4" w:space="0"/>
              <w:right w:val="single" w:color="auto" w:sz="4" w:space="0"/>
            </w:tcBorders>
            <w:vAlign w:val="center"/>
          </w:tcPr>
          <w:p w14:paraId="702CFBB8">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19179300">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D0CCD94">
            <w:pPr>
              <w:widowControl/>
              <w:jc w:val="left"/>
              <w:rPr>
                <w:rFonts w:hint="eastAsia" w:ascii="宋体" w:hAnsi="宋体" w:cs="宋体"/>
                <w:color w:val="auto"/>
                <w:kern w:val="0"/>
                <w:highlight w:val="none"/>
              </w:rPr>
            </w:pPr>
            <w:r>
              <w:rPr>
                <w:rFonts w:hint="eastAsia" w:ascii="宋体" w:hAnsi="宋体" w:cs="宋体"/>
                <w:color w:val="auto"/>
                <w:kern w:val="0"/>
                <w:highlight w:val="none"/>
              </w:rPr>
              <w:t>20≤X＜200</w:t>
            </w:r>
          </w:p>
        </w:tc>
        <w:tc>
          <w:tcPr>
            <w:tcW w:w="1743" w:type="dxa"/>
            <w:tcBorders>
              <w:top w:val="nil"/>
              <w:left w:val="nil"/>
              <w:bottom w:val="single" w:color="auto" w:sz="4" w:space="0"/>
              <w:right w:val="single" w:color="auto" w:sz="4" w:space="0"/>
            </w:tcBorders>
            <w:vAlign w:val="center"/>
          </w:tcPr>
          <w:p w14:paraId="204E9660">
            <w:pPr>
              <w:widowControl/>
              <w:jc w:val="left"/>
              <w:rPr>
                <w:rFonts w:hint="eastAsia" w:ascii="宋体" w:hAnsi="宋体" w:cs="宋体"/>
                <w:color w:val="auto"/>
                <w:kern w:val="0"/>
                <w:highlight w:val="none"/>
              </w:rPr>
            </w:pPr>
            <w:r>
              <w:rPr>
                <w:rFonts w:hint="eastAsia" w:ascii="宋体" w:hAnsi="宋体" w:cs="宋体"/>
                <w:color w:val="auto"/>
                <w:kern w:val="0"/>
                <w:highlight w:val="none"/>
              </w:rPr>
              <w:t>5≤X＜20</w:t>
            </w:r>
          </w:p>
        </w:tc>
        <w:tc>
          <w:tcPr>
            <w:tcW w:w="1142" w:type="dxa"/>
            <w:tcBorders>
              <w:top w:val="nil"/>
              <w:left w:val="nil"/>
              <w:bottom w:val="single" w:color="auto" w:sz="4" w:space="0"/>
              <w:right w:val="single" w:color="auto" w:sz="4" w:space="0"/>
            </w:tcBorders>
            <w:vAlign w:val="center"/>
          </w:tcPr>
          <w:p w14:paraId="7EE1EE8F">
            <w:pPr>
              <w:widowControl/>
              <w:jc w:val="left"/>
              <w:rPr>
                <w:rFonts w:hint="eastAsia" w:ascii="宋体" w:hAnsi="宋体" w:cs="宋体"/>
                <w:color w:val="auto"/>
                <w:kern w:val="0"/>
                <w:highlight w:val="none"/>
              </w:rPr>
            </w:pPr>
            <w:r>
              <w:rPr>
                <w:rFonts w:hint="eastAsia" w:ascii="宋体" w:hAnsi="宋体" w:cs="宋体"/>
                <w:color w:val="auto"/>
                <w:kern w:val="0"/>
                <w:highlight w:val="none"/>
              </w:rPr>
              <w:t>X＜5</w:t>
            </w:r>
          </w:p>
        </w:tc>
      </w:tr>
      <w:tr w14:paraId="25C0005B">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B2DE37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55CC9C43">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6C6C18C">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1F35A816">
            <w:pPr>
              <w:widowControl/>
              <w:jc w:val="left"/>
              <w:rPr>
                <w:rFonts w:hint="eastAsia" w:ascii="宋体" w:hAnsi="宋体" w:cs="宋体"/>
                <w:color w:val="auto"/>
                <w:kern w:val="0"/>
                <w:highlight w:val="none"/>
              </w:rPr>
            </w:pPr>
            <w:r>
              <w:rPr>
                <w:rFonts w:hint="eastAsia" w:ascii="宋体" w:hAnsi="宋体" w:cs="宋体"/>
                <w:color w:val="auto"/>
                <w:kern w:val="0"/>
                <w:highlight w:val="none"/>
              </w:rPr>
              <w:t>5000≤Y＜40000</w:t>
            </w:r>
          </w:p>
        </w:tc>
        <w:tc>
          <w:tcPr>
            <w:tcW w:w="1743" w:type="dxa"/>
            <w:tcBorders>
              <w:top w:val="nil"/>
              <w:left w:val="nil"/>
              <w:bottom w:val="single" w:color="auto" w:sz="4" w:space="0"/>
              <w:right w:val="single" w:color="auto" w:sz="4" w:space="0"/>
            </w:tcBorders>
            <w:vAlign w:val="center"/>
          </w:tcPr>
          <w:p w14:paraId="6648A5D6">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142" w:type="dxa"/>
            <w:tcBorders>
              <w:top w:val="nil"/>
              <w:left w:val="nil"/>
              <w:bottom w:val="single" w:color="auto" w:sz="4" w:space="0"/>
              <w:right w:val="single" w:color="auto" w:sz="4" w:space="0"/>
            </w:tcBorders>
            <w:vAlign w:val="center"/>
          </w:tcPr>
          <w:p w14:paraId="1692176B">
            <w:pPr>
              <w:widowControl/>
              <w:jc w:val="left"/>
              <w:rPr>
                <w:rFonts w:hint="eastAsia" w:ascii="宋体" w:hAnsi="宋体" w:cs="宋体"/>
                <w:color w:val="auto"/>
                <w:kern w:val="0"/>
                <w:highlight w:val="none"/>
              </w:rPr>
            </w:pPr>
            <w:r>
              <w:rPr>
                <w:rFonts w:hint="eastAsia" w:ascii="宋体" w:hAnsi="宋体" w:cs="宋体"/>
                <w:color w:val="auto"/>
                <w:kern w:val="0"/>
                <w:highlight w:val="none"/>
              </w:rPr>
              <w:t>Y＜1000</w:t>
            </w:r>
          </w:p>
        </w:tc>
      </w:tr>
      <w:tr w14:paraId="20F3E913">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1EAD0F8">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零售业</w:t>
            </w:r>
          </w:p>
        </w:tc>
        <w:tc>
          <w:tcPr>
            <w:tcW w:w="1384" w:type="dxa"/>
            <w:tcBorders>
              <w:top w:val="nil"/>
              <w:left w:val="nil"/>
              <w:bottom w:val="single" w:color="auto" w:sz="4" w:space="0"/>
              <w:right w:val="single" w:color="auto" w:sz="4" w:space="0"/>
            </w:tcBorders>
            <w:vAlign w:val="center"/>
          </w:tcPr>
          <w:p w14:paraId="0FDFE72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EDAB27C">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568E689">
            <w:pPr>
              <w:widowControl/>
              <w:jc w:val="left"/>
              <w:rPr>
                <w:rFonts w:hint="eastAsia" w:ascii="宋体" w:hAnsi="宋体" w:cs="宋体"/>
                <w:color w:val="auto"/>
                <w:kern w:val="0"/>
                <w:highlight w:val="none"/>
              </w:rPr>
            </w:pPr>
            <w:r>
              <w:rPr>
                <w:rFonts w:hint="eastAsia" w:ascii="宋体" w:hAnsi="宋体" w:cs="宋体"/>
                <w:color w:val="auto"/>
                <w:kern w:val="0"/>
                <w:highlight w:val="none"/>
              </w:rPr>
              <w:t>50≤X＜300</w:t>
            </w:r>
          </w:p>
        </w:tc>
        <w:tc>
          <w:tcPr>
            <w:tcW w:w="1743" w:type="dxa"/>
            <w:tcBorders>
              <w:top w:val="nil"/>
              <w:left w:val="nil"/>
              <w:bottom w:val="single" w:color="auto" w:sz="4" w:space="0"/>
              <w:right w:val="single" w:color="auto" w:sz="4" w:space="0"/>
            </w:tcBorders>
            <w:vAlign w:val="center"/>
          </w:tcPr>
          <w:p w14:paraId="30C8F1BF">
            <w:pPr>
              <w:widowControl/>
              <w:jc w:val="left"/>
              <w:rPr>
                <w:rFonts w:hint="eastAsia" w:ascii="宋体" w:hAnsi="宋体" w:cs="宋体"/>
                <w:color w:val="auto"/>
                <w:kern w:val="0"/>
                <w:highlight w:val="none"/>
              </w:rPr>
            </w:pPr>
            <w:r>
              <w:rPr>
                <w:rFonts w:hint="eastAsia" w:ascii="宋体" w:hAnsi="宋体" w:cs="宋体"/>
                <w:color w:val="auto"/>
                <w:kern w:val="0"/>
                <w:highlight w:val="none"/>
              </w:rPr>
              <w:t>10≤X＜50</w:t>
            </w:r>
          </w:p>
        </w:tc>
        <w:tc>
          <w:tcPr>
            <w:tcW w:w="1142" w:type="dxa"/>
            <w:tcBorders>
              <w:top w:val="nil"/>
              <w:left w:val="nil"/>
              <w:bottom w:val="single" w:color="auto" w:sz="4" w:space="0"/>
              <w:right w:val="single" w:color="auto" w:sz="4" w:space="0"/>
            </w:tcBorders>
            <w:vAlign w:val="center"/>
          </w:tcPr>
          <w:p w14:paraId="1BC6DF6E">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256CA0B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333B2C5">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BC32692">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4A1ACEF">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B54E187">
            <w:pPr>
              <w:widowControl/>
              <w:jc w:val="left"/>
              <w:rPr>
                <w:rFonts w:hint="eastAsia" w:ascii="宋体" w:hAnsi="宋体" w:cs="宋体"/>
                <w:color w:val="auto"/>
                <w:kern w:val="0"/>
                <w:highlight w:val="none"/>
              </w:rPr>
            </w:pPr>
            <w:r>
              <w:rPr>
                <w:rFonts w:hint="eastAsia" w:ascii="宋体" w:hAnsi="宋体" w:cs="宋体"/>
                <w:color w:val="auto"/>
                <w:kern w:val="0"/>
                <w:highlight w:val="none"/>
              </w:rPr>
              <w:t>500≤Y＜20000</w:t>
            </w:r>
          </w:p>
        </w:tc>
        <w:tc>
          <w:tcPr>
            <w:tcW w:w="1743" w:type="dxa"/>
            <w:tcBorders>
              <w:top w:val="nil"/>
              <w:left w:val="nil"/>
              <w:bottom w:val="single" w:color="auto" w:sz="4" w:space="0"/>
              <w:right w:val="single" w:color="auto" w:sz="4" w:space="0"/>
            </w:tcBorders>
            <w:vAlign w:val="center"/>
          </w:tcPr>
          <w:p w14:paraId="1F0104A8">
            <w:pPr>
              <w:widowControl/>
              <w:jc w:val="left"/>
              <w:rPr>
                <w:rFonts w:hint="eastAsia" w:ascii="宋体" w:hAnsi="宋体" w:cs="宋体"/>
                <w:color w:val="auto"/>
                <w:kern w:val="0"/>
                <w:highlight w:val="none"/>
              </w:rPr>
            </w:pPr>
            <w:r>
              <w:rPr>
                <w:rFonts w:hint="eastAsia" w:ascii="宋体" w:hAnsi="宋体" w:cs="宋体"/>
                <w:color w:val="auto"/>
                <w:kern w:val="0"/>
                <w:highlight w:val="none"/>
              </w:rPr>
              <w:t>100≤Y＜500</w:t>
            </w:r>
          </w:p>
        </w:tc>
        <w:tc>
          <w:tcPr>
            <w:tcW w:w="1142" w:type="dxa"/>
            <w:tcBorders>
              <w:top w:val="nil"/>
              <w:left w:val="nil"/>
              <w:bottom w:val="single" w:color="auto" w:sz="4" w:space="0"/>
              <w:right w:val="single" w:color="auto" w:sz="4" w:space="0"/>
            </w:tcBorders>
            <w:vAlign w:val="center"/>
          </w:tcPr>
          <w:p w14:paraId="5D6E941B">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22C2458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C82091E">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交通运输业</w:t>
            </w:r>
          </w:p>
        </w:tc>
        <w:tc>
          <w:tcPr>
            <w:tcW w:w="1384" w:type="dxa"/>
            <w:tcBorders>
              <w:top w:val="nil"/>
              <w:left w:val="nil"/>
              <w:bottom w:val="single" w:color="auto" w:sz="4" w:space="0"/>
              <w:right w:val="single" w:color="auto" w:sz="4" w:space="0"/>
            </w:tcBorders>
            <w:vAlign w:val="center"/>
          </w:tcPr>
          <w:p w14:paraId="00C7D926">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3C9BEBEB">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0A45ACE4">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60165F61">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6EC80633">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65AC600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62BC88C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487B7B1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FF7F92E">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2FE75BCE">
            <w:pPr>
              <w:widowControl/>
              <w:jc w:val="left"/>
              <w:rPr>
                <w:rFonts w:hint="eastAsia" w:ascii="宋体" w:hAnsi="宋体" w:cs="宋体"/>
                <w:color w:val="auto"/>
                <w:kern w:val="0"/>
                <w:highlight w:val="none"/>
              </w:rPr>
            </w:pPr>
            <w:r>
              <w:rPr>
                <w:rFonts w:hint="eastAsia" w:ascii="宋体" w:hAnsi="宋体" w:cs="宋体"/>
                <w:color w:val="auto"/>
                <w:kern w:val="0"/>
                <w:highlight w:val="none"/>
              </w:rPr>
              <w:t>3000≤Y＜30000</w:t>
            </w:r>
          </w:p>
        </w:tc>
        <w:tc>
          <w:tcPr>
            <w:tcW w:w="1743" w:type="dxa"/>
            <w:tcBorders>
              <w:top w:val="nil"/>
              <w:left w:val="nil"/>
              <w:bottom w:val="single" w:color="auto" w:sz="4" w:space="0"/>
              <w:right w:val="single" w:color="auto" w:sz="4" w:space="0"/>
            </w:tcBorders>
            <w:vAlign w:val="center"/>
          </w:tcPr>
          <w:p w14:paraId="2FC855DA">
            <w:pPr>
              <w:widowControl/>
              <w:jc w:val="left"/>
              <w:rPr>
                <w:rFonts w:hint="eastAsia" w:ascii="宋体" w:hAnsi="宋体" w:cs="宋体"/>
                <w:color w:val="auto"/>
                <w:kern w:val="0"/>
                <w:highlight w:val="none"/>
              </w:rPr>
            </w:pPr>
            <w:r>
              <w:rPr>
                <w:rFonts w:hint="eastAsia" w:ascii="宋体" w:hAnsi="宋体" w:cs="宋体"/>
                <w:color w:val="auto"/>
                <w:kern w:val="0"/>
                <w:highlight w:val="none"/>
              </w:rPr>
              <w:t>200≤Y＜3000</w:t>
            </w:r>
          </w:p>
        </w:tc>
        <w:tc>
          <w:tcPr>
            <w:tcW w:w="1142" w:type="dxa"/>
            <w:tcBorders>
              <w:top w:val="nil"/>
              <w:left w:val="nil"/>
              <w:bottom w:val="single" w:color="auto" w:sz="4" w:space="0"/>
              <w:right w:val="single" w:color="auto" w:sz="4" w:space="0"/>
            </w:tcBorders>
            <w:vAlign w:val="center"/>
          </w:tcPr>
          <w:p w14:paraId="18A2E95D">
            <w:pPr>
              <w:widowControl/>
              <w:jc w:val="left"/>
              <w:rPr>
                <w:rFonts w:hint="eastAsia" w:ascii="宋体" w:hAnsi="宋体" w:cs="宋体"/>
                <w:color w:val="auto"/>
                <w:kern w:val="0"/>
                <w:highlight w:val="none"/>
              </w:rPr>
            </w:pPr>
            <w:r>
              <w:rPr>
                <w:rFonts w:hint="eastAsia" w:ascii="宋体" w:hAnsi="宋体" w:cs="宋体"/>
                <w:color w:val="auto"/>
                <w:kern w:val="0"/>
                <w:highlight w:val="none"/>
              </w:rPr>
              <w:t>Y＜200</w:t>
            </w:r>
          </w:p>
        </w:tc>
      </w:tr>
      <w:tr w14:paraId="011F624E">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086735A">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仓储业</w:t>
            </w:r>
          </w:p>
        </w:tc>
        <w:tc>
          <w:tcPr>
            <w:tcW w:w="1384" w:type="dxa"/>
            <w:tcBorders>
              <w:top w:val="nil"/>
              <w:left w:val="nil"/>
              <w:bottom w:val="single" w:color="auto" w:sz="4" w:space="0"/>
              <w:right w:val="single" w:color="auto" w:sz="4" w:space="0"/>
            </w:tcBorders>
            <w:vAlign w:val="center"/>
          </w:tcPr>
          <w:p w14:paraId="73E00D2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6E5FD46B">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1E6C0A1D">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w:t>
            </w:r>
          </w:p>
        </w:tc>
        <w:tc>
          <w:tcPr>
            <w:tcW w:w="1743" w:type="dxa"/>
            <w:tcBorders>
              <w:top w:val="nil"/>
              <w:left w:val="nil"/>
              <w:bottom w:val="single" w:color="auto" w:sz="4" w:space="0"/>
              <w:right w:val="single" w:color="auto" w:sz="4" w:space="0"/>
            </w:tcBorders>
            <w:vAlign w:val="center"/>
          </w:tcPr>
          <w:p w14:paraId="12E781C5">
            <w:pPr>
              <w:widowControl/>
              <w:jc w:val="left"/>
              <w:rPr>
                <w:rFonts w:hint="eastAsia" w:ascii="宋体" w:hAnsi="宋体" w:cs="宋体"/>
                <w:color w:val="auto"/>
                <w:kern w:val="0"/>
                <w:highlight w:val="none"/>
              </w:rPr>
            </w:pPr>
            <w:r>
              <w:rPr>
                <w:rFonts w:hint="eastAsia" w:ascii="宋体" w:hAnsi="宋体" w:cs="宋体"/>
                <w:color w:val="auto"/>
                <w:kern w:val="0"/>
                <w:highlight w:val="none"/>
              </w:rPr>
              <w:t>20≤X＜100</w:t>
            </w:r>
          </w:p>
        </w:tc>
        <w:tc>
          <w:tcPr>
            <w:tcW w:w="1142" w:type="dxa"/>
            <w:tcBorders>
              <w:top w:val="nil"/>
              <w:left w:val="nil"/>
              <w:bottom w:val="single" w:color="auto" w:sz="4" w:space="0"/>
              <w:right w:val="single" w:color="auto" w:sz="4" w:space="0"/>
            </w:tcBorders>
            <w:vAlign w:val="center"/>
          </w:tcPr>
          <w:p w14:paraId="0C745630">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6966B63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8DE1F81">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426B8B8">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7E31AB6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5280E20">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1000≤Y＜30000</w:t>
            </w:r>
          </w:p>
        </w:tc>
        <w:tc>
          <w:tcPr>
            <w:tcW w:w="1743" w:type="dxa"/>
            <w:tcBorders>
              <w:top w:val="nil"/>
              <w:left w:val="nil"/>
              <w:bottom w:val="single" w:color="auto" w:sz="4" w:space="0"/>
              <w:right w:val="single" w:color="auto" w:sz="4" w:space="0"/>
            </w:tcBorders>
            <w:vAlign w:val="center"/>
          </w:tcPr>
          <w:p w14:paraId="5E2A2100">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5896F1DA">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C26CE18">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0683FB2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邮政业</w:t>
            </w:r>
          </w:p>
        </w:tc>
        <w:tc>
          <w:tcPr>
            <w:tcW w:w="1384" w:type="dxa"/>
            <w:tcBorders>
              <w:top w:val="nil"/>
              <w:left w:val="nil"/>
              <w:bottom w:val="single" w:color="auto" w:sz="4" w:space="0"/>
              <w:right w:val="single" w:color="auto" w:sz="4" w:space="0"/>
            </w:tcBorders>
            <w:vAlign w:val="center"/>
          </w:tcPr>
          <w:p w14:paraId="6ED7E927">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C91EC52">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961C6B2">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1F7390D8">
            <w:pPr>
              <w:widowControl/>
              <w:jc w:val="left"/>
              <w:rPr>
                <w:rFonts w:hint="eastAsia" w:ascii="宋体" w:hAnsi="宋体" w:cs="宋体"/>
                <w:color w:val="auto"/>
                <w:kern w:val="0"/>
                <w:highlight w:val="none"/>
              </w:rPr>
            </w:pPr>
            <w:r>
              <w:rPr>
                <w:rFonts w:hint="eastAsia" w:ascii="宋体" w:hAnsi="宋体" w:cs="宋体"/>
                <w:color w:val="auto"/>
                <w:kern w:val="0"/>
                <w:highlight w:val="none"/>
              </w:rPr>
              <w:t>20≤X＜300</w:t>
            </w:r>
          </w:p>
        </w:tc>
        <w:tc>
          <w:tcPr>
            <w:tcW w:w="1142" w:type="dxa"/>
            <w:tcBorders>
              <w:top w:val="nil"/>
              <w:left w:val="nil"/>
              <w:bottom w:val="single" w:color="auto" w:sz="4" w:space="0"/>
              <w:right w:val="single" w:color="auto" w:sz="4" w:space="0"/>
            </w:tcBorders>
            <w:vAlign w:val="center"/>
          </w:tcPr>
          <w:p w14:paraId="47F8BBA6">
            <w:pPr>
              <w:widowControl/>
              <w:jc w:val="left"/>
              <w:rPr>
                <w:rFonts w:hint="eastAsia" w:ascii="宋体" w:hAnsi="宋体" w:cs="宋体"/>
                <w:color w:val="auto"/>
                <w:kern w:val="0"/>
                <w:highlight w:val="none"/>
              </w:rPr>
            </w:pPr>
            <w:r>
              <w:rPr>
                <w:rFonts w:hint="eastAsia" w:ascii="宋体" w:hAnsi="宋体" w:cs="宋体"/>
                <w:color w:val="auto"/>
                <w:kern w:val="0"/>
                <w:highlight w:val="none"/>
              </w:rPr>
              <w:t>X＜20</w:t>
            </w:r>
          </w:p>
        </w:tc>
      </w:tr>
      <w:tr w14:paraId="575C93A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6E722D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EE0BFB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30F5ACA2">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81B63D6">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2000≤Y＜30000</w:t>
            </w:r>
          </w:p>
        </w:tc>
        <w:tc>
          <w:tcPr>
            <w:tcW w:w="1743" w:type="dxa"/>
            <w:tcBorders>
              <w:top w:val="nil"/>
              <w:left w:val="nil"/>
              <w:bottom w:val="single" w:color="auto" w:sz="4" w:space="0"/>
              <w:right w:val="single" w:color="auto" w:sz="4" w:space="0"/>
            </w:tcBorders>
            <w:vAlign w:val="center"/>
          </w:tcPr>
          <w:p w14:paraId="6E3AA8E3">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6DBD59E7">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4EFB5D4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6DCCE17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住宿业</w:t>
            </w:r>
          </w:p>
        </w:tc>
        <w:tc>
          <w:tcPr>
            <w:tcW w:w="1384" w:type="dxa"/>
            <w:tcBorders>
              <w:top w:val="nil"/>
              <w:left w:val="nil"/>
              <w:bottom w:val="single" w:color="auto" w:sz="4" w:space="0"/>
              <w:right w:val="single" w:color="auto" w:sz="4" w:space="0"/>
            </w:tcBorders>
            <w:vAlign w:val="center"/>
          </w:tcPr>
          <w:p w14:paraId="087788FA">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04E0EE3">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22CF4D76">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05CA2E09">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7CA97A9B">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1ABED940">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053D482D">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17A9428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633D0E56">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33D3CF0">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5F8DCAEE">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7B2F452E">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2AD2C3C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C44FE5B">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餐饮业</w:t>
            </w:r>
          </w:p>
        </w:tc>
        <w:tc>
          <w:tcPr>
            <w:tcW w:w="1384" w:type="dxa"/>
            <w:tcBorders>
              <w:top w:val="nil"/>
              <w:left w:val="nil"/>
              <w:bottom w:val="single" w:color="auto" w:sz="4" w:space="0"/>
              <w:right w:val="single" w:color="auto" w:sz="4" w:space="0"/>
            </w:tcBorders>
            <w:vAlign w:val="center"/>
          </w:tcPr>
          <w:p w14:paraId="3B5F793D">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471D224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467ED115">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7F3E1ED4">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F83EE7B">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713D857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2C4B09F7">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0A6378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3F8EA2F">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51EC010E">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2000≤Y＜10000</w:t>
            </w:r>
          </w:p>
        </w:tc>
        <w:tc>
          <w:tcPr>
            <w:tcW w:w="1743" w:type="dxa"/>
            <w:tcBorders>
              <w:top w:val="nil"/>
              <w:left w:val="nil"/>
              <w:bottom w:val="single" w:color="auto" w:sz="4" w:space="0"/>
              <w:right w:val="single" w:color="auto" w:sz="4" w:space="0"/>
            </w:tcBorders>
            <w:vAlign w:val="center"/>
          </w:tcPr>
          <w:p w14:paraId="7277377F">
            <w:pPr>
              <w:widowControl/>
              <w:jc w:val="left"/>
              <w:rPr>
                <w:rFonts w:hint="eastAsia" w:ascii="宋体" w:hAnsi="宋体" w:cs="宋体"/>
                <w:color w:val="auto"/>
                <w:kern w:val="0"/>
                <w:highlight w:val="none"/>
              </w:rPr>
            </w:pPr>
            <w:r>
              <w:rPr>
                <w:rFonts w:hint="eastAsia" w:ascii="宋体" w:hAnsi="宋体" w:cs="宋体"/>
                <w:color w:val="auto"/>
                <w:kern w:val="0"/>
                <w:highlight w:val="none"/>
              </w:rPr>
              <w:t>100≤Y＜2000</w:t>
            </w:r>
          </w:p>
        </w:tc>
        <w:tc>
          <w:tcPr>
            <w:tcW w:w="1142" w:type="dxa"/>
            <w:tcBorders>
              <w:top w:val="nil"/>
              <w:left w:val="nil"/>
              <w:bottom w:val="single" w:color="auto" w:sz="4" w:space="0"/>
              <w:right w:val="single" w:color="auto" w:sz="4" w:space="0"/>
            </w:tcBorders>
            <w:vAlign w:val="center"/>
          </w:tcPr>
          <w:p w14:paraId="47A43360">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9E03B1E">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EE6514D">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信息传输业</w:t>
            </w:r>
          </w:p>
        </w:tc>
        <w:tc>
          <w:tcPr>
            <w:tcW w:w="1384" w:type="dxa"/>
            <w:tcBorders>
              <w:top w:val="nil"/>
              <w:left w:val="nil"/>
              <w:bottom w:val="single" w:color="auto" w:sz="4" w:space="0"/>
              <w:right w:val="single" w:color="auto" w:sz="4" w:space="0"/>
            </w:tcBorders>
            <w:vAlign w:val="center"/>
          </w:tcPr>
          <w:p w14:paraId="7115391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E4E89AF">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46AD753">
            <w:pPr>
              <w:widowControl/>
              <w:jc w:val="left"/>
              <w:rPr>
                <w:rFonts w:hint="eastAsia" w:ascii="宋体" w:hAnsi="宋体" w:cs="宋体"/>
                <w:color w:val="auto"/>
                <w:kern w:val="0"/>
                <w:highlight w:val="none"/>
              </w:rPr>
            </w:pPr>
            <w:r>
              <w:rPr>
                <w:rFonts w:hint="eastAsia" w:ascii="宋体" w:hAnsi="宋体" w:cs="宋体"/>
                <w:color w:val="auto"/>
                <w:kern w:val="0"/>
                <w:highlight w:val="none"/>
              </w:rPr>
              <w:t>100≤X＜2000</w:t>
            </w:r>
          </w:p>
        </w:tc>
        <w:tc>
          <w:tcPr>
            <w:tcW w:w="1743" w:type="dxa"/>
            <w:tcBorders>
              <w:top w:val="nil"/>
              <w:left w:val="nil"/>
              <w:bottom w:val="single" w:color="auto" w:sz="4" w:space="0"/>
              <w:right w:val="single" w:color="auto" w:sz="4" w:space="0"/>
            </w:tcBorders>
            <w:vAlign w:val="center"/>
          </w:tcPr>
          <w:p w14:paraId="45A221A5">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22D85E50">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2C8101B8">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D5232D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494C4E6C">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15FDE8B0">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25DBA571">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1000≤Y＜100000</w:t>
            </w:r>
          </w:p>
        </w:tc>
        <w:tc>
          <w:tcPr>
            <w:tcW w:w="1743" w:type="dxa"/>
            <w:tcBorders>
              <w:top w:val="nil"/>
              <w:left w:val="nil"/>
              <w:bottom w:val="single" w:color="auto" w:sz="4" w:space="0"/>
              <w:right w:val="single" w:color="auto" w:sz="4" w:space="0"/>
            </w:tcBorders>
            <w:vAlign w:val="center"/>
          </w:tcPr>
          <w:p w14:paraId="2DFF764B">
            <w:pPr>
              <w:widowControl/>
              <w:jc w:val="left"/>
              <w:rPr>
                <w:rFonts w:hint="eastAsia" w:ascii="宋体" w:hAnsi="宋体" w:cs="宋体"/>
                <w:color w:val="auto"/>
                <w:kern w:val="0"/>
                <w:highlight w:val="none"/>
              </w:rPr>
            </w:pPr>
            <w:r>
              <w:rPr>
                <w:rFonts w:hint="eastAsia" w:ascii="宋体" w:hAnsi="宋体" w:cs="宋体"/>
                <w:color w:val="auto"/>
                <w:kern w:val="0"/>
                <w:highlight w:val="none"/>
              </w:rPr>
              <w:t>100≤Y＜1000</w:t>
            </w:r>
          </w:p>
        </w:tc>
        <w:tc>
          <w:tcPr>
            <w:tcW w:w="1142" w:type="dxa"/>
            <w:tcBorders>
              <w:top w:val="nil"/>
              <w:left w:val="nil"/>
              <w:bottom w:val="single" w:color="auto" w:sz="4" w:space="0"/>
              <w:right w:val="single" w:color="auto" w:sz="4" w:space="0"/>
            </w:tcBorders>
            <w:vAlign w:val="center"/>
          </w:tcPr>
          <w:p w14:paraId="2B1A4575">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71A803E4">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4E7D7EEA">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软件和信息技术服务业</w:t>
            </w:r>
          </w:p>
        </w:tc>
        <w:tc>
          <w:tcPr>
            <w:tcW w:w="1384" w:type="dxa"/>
            <w:tcBorders>
              <w:top w:val="nil"/>
              <w:left w:val="nil"/>
              <w:bottom w:val="single" w:color="auto" w:sz="4" w:space="0"/>
              <w:right w:val="single" w:color="auto" w:sz="4" w:space="0"/>
            </w:tcBorders>
            <w:vAlign w:val="center"/>
          </w:tcPr>
          <w:p w14:paraId="7D7C6B4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2D5BEBE8">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5E16113F">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4ACE494E">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1E8C3E00">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13E3477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39F5348B">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3B6DE95A">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D5BC3FA">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681FEB42">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1000≤Y＜10000</w:t>
            </w:r>
          </w:p>
        </w:tc>
        <w:tc>
          <w:tcPr>
            <w:tcW w:w="1743" w:type="dxa"/>
            <w:tcBorders>
              <w:top w:val="nil"/>
              <w:left w:val="nil"/>
              <w:bottom w:val="single" w:color="auto" w:sz="4" w:space="0"/>
              <w:right w:val="single" w:color="auto" w:sz="4" w:space="0"/>
            </w:tcBorders>
            <w:vAlign w:val="center"/>
          </w:tcPr>
          <w:p w14:paraId="04EF3366">
            <w:pPr>
              <w:widowControl/>
              <w:jc w:val="left"/>
              <w:rPr>
                <w:rFonts w:hint="eastAsia" w:ascii="宋体" w:hAnsi="宋体" w:cs="宋体"/>
                <w:color w:val="auto"/>
                <w:kern w:val="0"/>
                <w:highlight w:val="none"/>
              </w:rPr>
            </w:pPr>
            <w:r>
              <w:rPr>
                <w:rFonts w:hint="eastAsia" w:ascii="宋体" w:hAnsi="宋体" w:cs="宋体"/>
                <w:color w:val="auto"/>
                <w:kern w:val="0"/>
                <w:highlight w:val="none"/>
              </w:rPr>
              <w:t>50≤Y＜1000</w:t>
            </w:r>
          </w:p>
        </w:tc>
        <w:tc>
          <w:tcPr>
            <w:tcW w:w="1142" w:type="dxa"/>
            <w:tcBorders>
              <w:top w:val="nil"/>
              <w:left w:val="nil"/>
              <w:bottom w:val="single" w:color="auto" w:sz="4" w:space="0"/>
              <w:right w:val="single" w:color="auto" w:sz="4" w:space="0"/>
            </w:tcBorders>
            <w:vAlign w:val="center"/>
          </w:tcPr>
          <w:p w14:paraId="4438B123">
            <w:pPr>
              <w:widowControl/>
              <w:jc w:val="left"/>
              <w:rPr>
                <w:rFonts w:hint="eastAsia" w:ascii="宋体" w:hAnsi="宋体" w:cs="宋体"/>
                <w:color w:val="auto"/>
                <w:kern w:val="0"/>
                <w:highlight w:val="none"/>
              </w:rPr>
            </w:pPr>
            <w:r>
              <w:rPr>
                <w:rFonts w:hint="eastAsia" w:ascii="宋体" w:hAnsi="宋体" w:cs="宋体"/>
                <w:color w:val="auto"/>
                <w:kern w:val="0"/>
                <w:highlight w:val="none"/>
              </w:rPr>
              <w:t>Y＜50</w:t>
            </w:r>
          </w:p>
        </w:tc>
      </w:tr>
      <w:tr w14:paraId="39BA4A1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DD82C53">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房地产开发经营</w:t>
            </w:r>
          </w:p>
        </w:tc>
        <w:tc>
          <w:tcPr>
            <w:tcW w:w="1384" w:type="dxa"/>
            <w:tcBorders>
              <w:top w:val="nil"/>
              <w:left w:val="nil"/>
              <w:bottom w:val="single" w:color="auto" w:sz="4" w:space="0"/>
              <w:right w:val="single" w:color="auto" w:sz="4" w:space="0"/>
            </w:tcBorders>
            <w:vAlign w:val="center"/>
          </w:tcPr>
          <w:p w14:paraId="5D84C626">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883F923">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3A1C17E7">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1000≤Y＜200000</w:t>
            </w:r>
          </w:p>
        </w:tc>
        <w:tc>
          <w:tcPr>
            <w:tcW w:w="1743" w:type="dxa"/>
            <w:tcBorders>
              <w:top w:val="nil"/>
              <w:left w:val="nil"/>
              <w:bottom w:val="single" w:color="auto" w:sz="4" w:space="0"/>
              <w:right w:val="single" w:color="auto" w:sz="4" w:space="0"/>
            </w:tcBorders>
            <w:vAlign w:val="center"/>
          </w:tcPr>
          <w:p w14:paraId="4CD2BE4E">
            <w:pPr>
              <w:widowControl/>
              <w:jc w:val="left"/>
              <w:rPr>
                <w:rFonts w:hint="eastAsia" w:ascii="宋体" w:hAnsi="宋体" w:cs="宋体"/>
                <w:color w:val="auto"/>
                <w:kern w:val="0"/>
                <w:highlight w:val="none"/>
              </w:rPr>
            </w:pPr>
            <w:r>
              <w:rPr>
                <w:rFonts w:hint="eastAsia" w:ascii="宋体" w:hAnsi="宋体" w:cs="宋体"/>
                <w:color w:val="auto"/>
                <w:kern w:val="0"/>
                <w:highlight w:val="none"/>
              </w:rPr>
              <w:t>100≤X＜1000</w:t>
            </w:r>
          </w:p>
        </w:tc>
        <w:tc>
          <w:tcPr>
            <w:tcW w:w="1142" w:type="dxa"/>
            <w:tcBorders>
              <w:top w:val="nil"/>
              <w:left w:val="nil"/>
              <w:bottom w:val="single" w:color="auto" w:sz="4" w:space="0"/>
              <w:right w:val="single" w:color="auto" w:sz="4" w:space="0"/>
            </w:tcBorders>
            <w:vAlign w:val="center"/>
          </w:tcPr>
          <w:p w14:paraId="51FB7767">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0405B47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51C4115">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78C1DC99">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5ED522F1">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0C019EA1">
            <w:pPr>
              <w:widowControl/>
              <w:jc w:val="left"/>
              <w:rPr>
                <w:rFonts w:hint="eastAsia" w:ascii="宋体" w:hAnsi="宋体" w:cs="宋体"/>
                <w:color w:val="auto"/>
                <w:kern w:val="0"/>
                <w:highlight w:val="none"/>
              </w:rPr>
            </w:pPr>
            <w:r>
              <w:rPr>
                <w:rFonts w:hint="eastAsia" w:ascii="宋体" w:hAnsi="宋体" w:cs="宋体"/>
                <w:color w:val="auto"/>
                <w:kern w:val="0"/>
                <w:highlight w:val="none"/>
              </w:rPr>
              <w:t>5000≤Z＜10000</w:t>
            </w:r>
          </w:p>
        </w:tc>
        <w:tc>
          <w:tcPr>
            <w:tcW w:w="1743" w:type="dxa"/>
            <w:tcBorders>
              <w:top w:val="nil"/>
              <w:left w:val="nil"/>
              <w:bottom w:val="single" w:color="auto" w:sz="4" w:space="0"/>
              <w:right w:val="single" w:color="auto" w:sz="4" w:space="0"/>
            </w:tcBorders>
            <w:vAlign w:val="center"/>
          </w:tcPr>
          <w:p w14:paraId="6E4937A4">
            <w:pPr>
              <w:widowControl/>
              <w:jc w:val="left"/>
              <w:rPr>
                <w:rFonts w:hint="eastAsia" w:ascii="宋体" w:hAnsi="宋体" w:cs="宋体"/>
                <w:color w:val="auto"/>
                <w:kern w:val="0"/>
                <w:highlight w:val="none"/>
              </w:rPr>
            </w:pPr>
            <w:r>
              <w:rPr>
                <w:rFonts w:hint="eastAsia" w:ascii="宋体" w:hAnsi="宋体" w:cs="宋体"/>
                <w:color w:val="auto"/>
                <w:kern w:val="0"/>
                <w:highlight w:val="none"/>
              </w:rPr>
              <w:t>2000≤Y＜5000</w:t>
            </w:r>
          </w:p>
        </w:tc>
        <w:tc>
          <w:tcPr>
            <w:tcW w:w="1142" w:type="dxa"/>
            <w:tcBorders>
              <w:top w:val="nil"/>
              <w:left w:val="nil"/>
              <w:bottom w:val="single" w:color="auto" w:sz="4" w:space="0"/>
              <w:right w:val="single" w:color="auto" w:sz="4" w:space="0"/>
            </w:tcBorders>
            <w:vAlign w:val="center"/>
          </w:tcPr>
          <w:p w14:paraId="6D6B180E">
            <w:pPr>
              <w:widowControl/>
              <w:jc w:val="left"/>
              <w:rPr>
                <w:rFonts w:hint="eastAsia" w:ascii="宋体" w:hAnsi="宋体" w:cs="宋体"/>
                <w:color w:val="auto"/>
                <w:kern w:val="0"/>
                <w:highlight w:val="none"/>
              </w:rPr>
            </w:pPr>
            <w:r>
              <w:rPr>
                <w:rFonts w:hint="eastAsia" w:ascii="宋体" w:hAnsi="宋体" w:cs="宋体"/>
                <w:color w:val="auto"/>
                <w:kern w:val="0"/>
                <w:highlight w:val="none"/>
              </w:rPr>
              <w:t>Y＜2000</w:t>
            </w:r>
          </w:p>
        </w:tc>
      </w:tr>
      <w:tr w14:paraId="3A65987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321C5F03">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物业管理</w:t>
            </w:r>
          </w:p>
        </w:tc>
        <w:tc>
          <w:tcPr>
            <w:tcW w:w="1384" w:type="dxa"/>
            <w:tcBorders>
              <w:top w:val="nil"/>
              <w:left w:val="nil"/>
              <w:bottom w:val="single" w:color="auto" w:sz="4" w:space="0"/>
              <w:right w:val="single" w:color="auto" w:sz="4" w:space="0"/>
            </w:tcBorders>
            <w:vAlign w:val="center"/>
          </w:tcPr>
          <w:p w14:paraId="18F20D93">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01E794FC">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F2D1B68">
            <w:pPr>
              <w:widowControl/>
              <w:jc w:val="left"/>
              <w:rPr>
                <w:rFonts w:hint="eastAsia" w:ascii="宋体" w:hAnsi="宋体" w:cs="宋体"/>
                <w:color w:val="auto"/>
                <w:kern w:val="0"/>
                <w:highlight w:val="none"/>
              </w:rPr>
            </w:pPr>
            <w:r>
              <w:rPr>
                <w:rFonts w:hint="eastAsia" w:ascii="宋体" w:hAnsi="宋体" w:cs="宋体"/>
                <w:color w:val="auto"/>
                <w:kern w:val="0"/>
                <w:highlight w:val="none"/>
              </w:rPr>
              <w:t>300≤X＜1000</w:t>
            </w:r>
          </w:p>
        </w:tc>
        <w:tc>
          <w:tcPr>
            <w:tcW w:w="1743" w:type="dxa"/>
            <w:tcBorders>
              <w:top w:val="nil"/>
              <w:left w:val="nil"/>
              <w:bottom w:val="single" w:color="auto" w:sz="4" w:space="0"/>
              <w:right w:val="single" w:color="auto" w:sz="4" w:space="0"/>
            </w:tcBorders>
            <w:vAlign w:val="center"/>
          </w:tcPr>
          <w:p w14:paraId="7664DB91">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142" w:type="dxa"/>
            <w:tcBorders>
              <w:top w:val="nil"/>
              <w:left w:val="nil"/>
              <w:bottom w:val="single" w:color="auto" w:sz="4" w:space="0"/>
              <w:right w:val="single" w:color="auto" w:sz="4" w:space="0"/>
            </w:tcBorders>
            <w:vAlign w:val="center"/>
          </w:tcPr>
          <w:p w14:paraId="1CFDC9F0">
            <w:pPr>
              <w:widowControl/>
              <w:jc w:val="left"/>
              <w:rPr>
                <w:rFonts w:hint="eastAsia" w:ascii="宋体" w:hAnsi="宋体" w:cs="宋体"/>
                <w:color w:val="auto"/>
                <w:kern w:val="0"/>
                <w:highlight w:val="none"/>
              </w:rPr>
            </w:pPr>
            <w:r>
              <w:rPr>
                <w:rFonts w:hint="eastAsia" w:ascii="宋体" w:hAnsi="宋体" w:cs="宋体"/>
                <w:color w:val="auto"/>
                <w:kern w:val="0"/>
                <w:highlight w:val="none"/>
              </w:rPr>
              <w:t>X＜100</w:t>
            </w:r>
          </w:p>
        </w:tc>
      </w:tr>
      <w:tr w14:paraId="244DC023">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7EAF1C20">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A46E3F8">
            <w:pPr>
              <w:widowControl/>
              <w:jc w:val="left"/>
              <w:rPr>
                <w:rFonts w:hint="eastAsia" w:ascii="宋体" w:hAnsi="宋体" w:cs="宋体"/>
                <w:color w:val="auto"/>
                <w:kern w:val="0"/>
                <w:highlight w:val="none"/>
              </w:rPr>
            </w:pPr>
            <w:r>
              <w:rPr>
                <w:rFonts w:hint="eastAsia" w:ascii="宋体" w:hAnsi="宋体" w:cs="宋体"/>
                <w:color w:val="auto"/>
                <w:kern w:val="0"/>
                <w:highlight w:val="none"/>
              </w:rPr>
              <w:t>营业收入（Y）</w:t>
            </w:r>
          </w:p>
        </w:tc>
        <w:tc>
          <w:tcPr>
            <w:tcW w:w="913" w:type="dxa"/>
            <w:tcBorders>
              <w:top w:val="nil"/>
              <w:left w:val="nil"/>
              <w:bottom w:val="single" w:color="auto" w:sz="4" w:space="0"/>
              <w:right w:val="single" w:color="auto" w:sz="4" w:space="0"/>
            </w:tcBorders>
            <w:vAlign w:val="center"/>
          </w:tcPr>
          <w:p w14:paraId="4E9B8E53">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495B635D">
            <w:pPr>
              <w:widowControl/>
              <w:jc w:val="left"/>
              <w:rPr>
                <w:rFonts w:hint="eastAsia" w:ascii="宋体" w:hAnsi="宋体" w:cs="宋体"/>
                <w:color w:val="auto"/>
                <w:kern w:val="0"/>
                <w:highlight w:val="none"/>
              </w:rPr>
            </w:pPr>
            <w:r>
              <w:rPr>
                <w:rFonts w:hint="eastAsia" w:ascii="宋体" w:hAnsi="宋体" w:cs="宋体"/>
                <w:color w:val="auto"/>
                <w:kern w:val="0"/>
                <w:highlight w:val="none"/>
              </w:rPr>
              <w:t>1000≤Y＜5000</w:t>
            </w:r>
          </w:p>
        </w:tc>
        <w:tc>
          <w:tcPr>
            <w:tcW w:w="1743" w:type="dxa"/>
            <w:tcBorders>
              <w:top w:val="nil"/>
              <w:left w:val="nil"/>
              <w:bottom w:val="single" w:color="auto" w:sz="4" w:space="0"/>
              <w:right w:val="single" w:color="auto" w:sz="4" w:space="0"/>
            </w:tcBorders>
            <w:vAlign w:val="center"/>
          </w:tcPr>
          <w:p w14:paraId="3EC5D23A">
            <w:pPr>
              <w:widowControl/>
              <w:jc w:val="left"/>
              <w:rPr>
                <w:rFonts w:hint="eastAsia" w:ascii="宋体" w:hAnsi="宋体" w:cs="宋体"/>
                <w:color w:val="auto"/>
                <w:kern w:val="0"/>
                <w:highlight w:val="none"/>
              </w:rPr>
            </w:pPr>
            <w:r>
              <w:rPr>
                <w:rFonts w:hint="eastAsia" w:ascii="宋体" w:hAnsi="宋体" w:cs="宋体"/>
                <w:color w:val="auto"/>
                <w:kern w:val="0"/>
                <w:highlight w:val="none"/>
              </w:rPr>
              <w:t>500≤Y＜1000</w:t>
            </w:r>
          </w:p>
        </w:tc>
        <w:tc>
          <w:tcPr>
            <w:tcW w:w="1142" w:type="dxa"/>
            <w:tcBorders>
              <w:top w:val="nil"/>
              <w:left w:val="nil"/>
              <w:bottom w:val="single" w:color="auto" w:sz="4" w:space="0"/>
              <w:right w:val="single" w:color="auto" w:sz="4" w:space="0"/>
            </w:tcBorders>
            <w:vAlign w:val="center"/>
          </w:tcPr>
          <w:p w14:paraId="1AAD3A20">
            <w:pPr>
              <w:widowControl/>
              <w:jc w:val="left"/>
              <w:rPr>
                <w:rFonts w:hint="eastAsia" w:ascii="宋体" w:hAnsi="宋体" w:cs="宋体"/>
                <w:color w:val="auto"/>
                <w:kern w:val="0"/>
                <w:highlight w:val="none"/>
              </w:rPr>
            </w:pPr>
            <w:r>
              <w:rPr>
                <w:rFonts w:hint="eastAsia" w:ascii="宋体" w:hAnsi="宋体" w:cs="宋体"/>
                <w:color w:val="auto"/>
                <w:kern w:val="0"/>
                <w:highlight w:val="none"/>
              </w:rPr>
              <w:t>Y＜500</w:t>
            </w:r>
          </w:p>
        </w:tc>
      </w:tr>
      <w:tr w14:paraId="200FA966">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vAlign w:val="center"/>
          </w:tcPr>
          <w:p w14:paraId="5EEF8C48">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租赁和商务服务业</w:t>
            </w:r>
          </w:p>
        </w:tc>
        <w:tc>
          <w:tcPr>
            <w:tcW w:w="1384" w:type="dxa"/>
            <w:tcBorders>
              <w:top w:val="nil"/>
              <w:left w:val="nil"/>
              <w:bottom w:val="single" w:color="auto" w:sz="4" w:space="0"/>
              <w:right w:val="single" w:color="auto" w:sz="4" w:space="0"/>
            </w:tcBorders>
            <w:vAlign w:val="center"/>
          </w:tcPr>
          <w:p w14:paraId="00E350F2">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5E7AC636">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6896E900">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65B617BB">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7E9AF8F1">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r w14:paraId="0B4B0E4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vAlign w:val="center"/>
          </w:tcPr>
          <w:p w14:paraId="11FAD144">
            <w:pPr>
              <w:widowControl/>
              <w:jc w:val="left"/>
              <w:rPr>
                <w:rFonts w:hint="eastAsia" w:ascii="宋体" w:hAnsi="宋体" w:cs="宋体"/>
                <w:b/>
                <w:bCs/>
                <w:color w:val="auto"/>
                <w:kern w:val="0"/>
                <w:highlight w:val="none"/>
              </w:rPr>
            </w:pPr>
          </w:p>
        </w:tc>
        <w:tc>
          <w:tcPr>
            <w:tcW w:w="1384" w:type="dxa"/>
            <w:tcBorders>
              <w:top w:val="nil"/>
              <w:left w:val="nil"/>
              <w:bottom w:val="single" w:color="auto" w:sz="4" w:space="0"/>
              <w:right w:val="single" w:color="auto" w:sz="4" w:space="0"/>
            </w:tcBorders>
            <w:vAlign w:val="center"/>
          </w:tcPr>
          <w:p w14:paraId="019C860A">
            <w:pPr>
              <w:widowControl/>
              <w:jc w:val="left"/>
              <w:rPr>
                <w:rFonts w:hint="eastAsia" w:ascii="宋体" w:hAnsi="宋体" w:cs="宋体"/>
                <w:color w:val="auto"/>
                <w:kern w:val="0"/>
                <w:highlight w:val="none"/>
              </w:rPr>
            </w:pPr>
            <w:r>
              <w:rPr>
                <w:rFonts w:hint="eastAsia" w:ascii="宋体" w:hAnsi="宋体" w:cs="宋体"/>
                <w:color w:val="auto"/>
                <w:kern w:val="0"/>
                <w:highlight w:val="none"/>
              </w:rPr>
              <w:t>资产总额（Z）</w:t>
            </w:r>
          </w:p>
        </w:tc>
        <w:tc>
          <w:tcPr>
            <w:tcW w:w="913" w:type="dxa"/>
            <w:tcBorders>
              <w:top w:val="nil"/>
              <w:left w:val="nil"/>
              <w:bottom w:val="single" w:color="auto" w:sz="4" w:space="0"/>
              <w:right w:val="single" w:color="auto" w:sz="4" w:space="0"/>
            </w:tcBorders>
            <w:vAlign w:val="center"/>
          </w:tcPr>
          <w:p w14:paraId="0475F8E5">
            <w:pPr>
              <w:widowControl/>
              <w:jc w:val="center"/>
              <w:rPr>
                <w:rFonts w:hint="eastAsia" w:ascii="宋体" w:hAnsi="宋体" w:cs="宋体"/>
                <w:color w:val="auto"/>
                <w:kern w:val="0"/>
                <w:highlight w:val="none"/>
              </w:rPr>
            </w:pPr>
            <w:r>
              <w:rPr>
                <w:rFonts w:hint="eastAsia" w:ascii="宋体" w:hAnsi="宋体" w:cs="宋体"/>
                <w:color w:val="auto"/>
                <w:kern w:val="0"/>
                <w:highlight w:val="none"/>
              </w:rPr>
              <w:t>万元</w:t>
            </w:r>
          </w:p>
        </w:tc>
        <w:tc>
          <w:tcPr>
            <w:tcW w:w="1966" w:type="dxa"/>
            <w:tcBorders>
              <w:top w:val="nil"/>
              <w:left w:val="nil"/>
              <w:bottom w:val="single" w:color="auto" w:sz="4" w:space="0"/>
              <w:right w:val="single" w:color="auto" w:sz="4" w:space="0"/>
            </w:tcBorders>
            <w:vAlign w:val="center"/>
          </w:tcPr>
          <w:p w14:paraId="70718F8C">
            <w:pPr>
              <w:widowControl/>
              <w:jc w:val="left"/>
              <w:rPr>
                <w:rFonts w:hint="eastAsia" w:ascii="宋体" w:hAnsi="宋体" w:cs="宋体"/>
                <w:color w:val="auto"/>
                <w:kern w:val="0"/>
                <w:highlight w:val="none"/>
              </w:rPr>
            </w:pPr>
            <w:r>
              <w:rPr>
                <w:rFonts w:hint="eastAsia" w:ascii="宋体" w:hAnsi="宋体" w:cs="宋体"/>
                <w:color w:val="auto"/>
                <w:kern w:val="0"/>
                <w:highlight w:val="none"/>
              </w:rPr>
              <w:t>8000≤Z＜120000</w:t>
            </w:r>
          </w:p>
        </w:tc>
        <w:tc>
          <w:tcPr>
            <w:tcW w:w="1743" w:type="dxa"/>
            <w:tcBorders>
              <w:top w:val="nil"/>
              <w:left w:val="nil"/>
              <w:bottom w:val="single" w:color="auto" w:sz="4" w:space="0"/>
              <w:right w:val="single" w:color="auto" w:sz="4" w:space="0"/>
            </w:tcBorders>
            <w:vAlign w:val="center"/>
          </w:tcPr>
          <w:p w14:paraId="2930242C">
            <w:pPr>
              <w:widowControl/>
              <w:jc w:val="left"/>
              <w:rPr>
                <w:rFonts w:hint="eastAsia" w:ascii="宋体" w:hAnsi="宋体" w:cs="宋体"/>
                <w:color w:val="auto"/>
                <w:kern w:val="0"/>
                <w:highlight w:val="none"/>
              </w:rPr>
            </w:pPr>
            <w:r>
              <w:rPr>
                <w:rFonts w:hint="eastAsia" w:ascii="宋体" w:hAnsi="宋体" w:cs="宋体"/>
                <w:color w:val="auto"/>
                <w:kern w:val="0"/>
                <w:highlight w:val="none"/>
              </w:rPr>
              <w:t>100≤Z＜8000</w:t>
            </w:r>
          </w:p>
        </w:tc>
        <w:tc>
          <w:tcPr>
            <w:tcW w:w="1142" w:type="dxa"/>
            <w:tcBorders>
              <w:top w:val="nil"/>
              <w:left w:val="nil"/>
              <w:bottom w:val="single" w:color="auto" w:sz="4" w:space="0"/>
              <w:right w:val="single" w:color="auto" w:sz="4" w:space="0"/>
            </w:tcBorders>
            <w:vAlign w:val="center"/>
          </w:tcPr>
          <w:p w14:paraId="69767B68">
            <w:pPr>
              <w:widowControl/>
              <w:jc w:val="left"/>
              <w:rPr>
                <w:rFonts w:hint="eastAsia" w:ascii="宋体" w:hAnsi="宋体" w:cs="宋体"/>
                <w:color w:val="auto"/>
                <w:kern w:val="0"/>
                <w:highlight w:val="none"/>
              </w:rPr>
            </w:pPr>
            <w:r>
              <w:rPr>
                <w:rFonts w:hint="eastAsia" w:ascii="宋体" w:hAnsi="宋体" w:cs="宋体"/>
                <w:color w:val="auto"/>
                <w:kern w:val="0"/>
                <w:highlight w:val="none"/>
              </w:rPr>
              <w:t>Y＜100</w:t>
            </w:r>
          </w:p>
        </w:tc>
      </w:tr>
      <w:tr w14:paraId="5F127B2D">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vAlign w:val="center"/>
          </w:tcPr>
          <w:p w14:paraId="3A42A7BF">
            <w:pPr>
              <w:widowControl/>
              <w:jc w:val="center"/>
              <w:rPr>
                <w:rFonts w:hint="eastAsia" w:ascii="宋体" w:hAnsi="宋体" w:cs="宋体"/>
                <w:b/>
                <w:bCs/>
                <w:color w:val="auto"/>
                <w:kern w:val="0"/>
                <w:highlight w:val="none"/>
              </w:rPr>
            </w:pPr>
            <w:r>
              <w:rPr>
                <w:rFonts w:hint="eastAsia" w:ascii="宋体" w:hAnsi="宋体" w:cs="宋体"/>
                <w:b/>
                <w:bCs/>
                <w:color w:val="auto"/>
                <w:kern w:val="0"/>
                <w:highlight w:val="none"/>
              </w:rPr>
              <w:t>其他未列明行业</w:t>
            </w:r>
          </w:p>
        </w:tc>
        <w:tc>
          <w:tcPr>
            <w:tcW w:w="1384" w:type="dxa"/>
            <w:tcBorders>
              <w:top w:val="nil"/>
              <w:left w:val="nil"/>
              <w:bottom w:val="single" w:color="auto" w:sz="4" w:space="0"/>
              <w:right w:val="single" w:color="auto" w:sz="4" w:space="0"/>
            </w:tcBorders>
            <w:vAlign w:val="center"/>
          </w:tcPr>
          <w:p w14:paraId="0CA3CEF6">
            <w:pPr>
              <w:widowControl/>
              <w:jc w:val="left"/>
              <w:rPr>
                <w:rFonts w:hint="eastAsia" w:ascii="宋体" w:hAnsi="宋体" w:cs="宋体"/>
                <w:color w:val="auto"/>
                <w:kern w:val="0"/>
                <w:highlight w:val="none"/>
              </w:rPr>
            </w:pPr>
            <w:r>
              <w:rPr>
                <w:rFonts w:hint="eastAsia" w:ascii="宋体" w:hAnsi="宋体" w:cs="宋体"/>
                <w:color w:val="auto"/>
                <w:kern w:val="0"/>
                <w:highlight w:val="none"/>
              </w:rPr>
              <w:t>从业人员（X）</w:t>
            </w:r>
          </w:p>
        </w:tc>
        <w:tc>
          <w:tcPr>
            <w:tcW w:w="913" w:type="dxa"/>
            <w:tcBorders>
              <w:top w:val="nil"/>
              <w:left w:val="nil"/>
              <w:bottom w:val="single" w:color="auto" w:sz="4" w:space="0"/>
              <w:right w:val="single" w:color="auto" w:sz="4" w:space="0"/>
            </w:tcBorders>
            <w:vAlign w:val="center"/>
          </w:tcPr>
          <w:p w14:paraId="6AA5842D">
            <w:pPr>
              <w:widowControl/>
              <w:jc w:val="center"/>
              <w:rPr>
                <w:rFonts w:hint="eastAsia" w:ascii="宋体" w:hAnsi="宋体" w:cs="宋体"/>
                <w:color w:val="auto"/>
                <w:kern w:val="0"/>
                <w:highlight w:val="none"/>
              </w:rPr>
            </w:pPr>
            <w:r>
              <w:rPr>
                <w:rFonts w:hint="eastAsia" w:ascii="宋体" w:hAnsi="宋体" w:cs="宋体"/>
                <w:color w:val="auto"/>
                <w:kern w:val="0"/>
                <w:highlight w:val="none"/>
              </w:rPr>
              <w:t>人</w:t>
            </w:r>
          </w:p>
        </w:tc>
        <w:tc>
          <w:tcPr>
            <w:tcW w:w="1966" w:type="dxa"/>
            <w:tcBorders>
              <w:top w:val="nil"/>
              <w:left w:val="nil"/>
              <w:bottom w:val="single" w:color="auto" w:sz="4" w:space="0"/>
              <w:right w:val="single" w:color="auto" w:sz="4" w:space="0"/>
            </w:tcBorders>
            <w:vAlign w:val="center"/>
          </w:tcPr>
          <w:p w14:paraId="7ACDE242">
            <w:pPr>
              <w:widowControl/>
              <w:jc w:val="left"/>
              <w:rPr>
                <w:rFonts w:hint="eastAsia" w:ascii="宋体" w:hAnsi="宋体" w:cs="宋体"/>
                <w:color w:val="auto"/>
                <w:kern w:val="0"/>
                <w:highlight w:val="none"/>
              </w:rPr>
            </w:pPr>
            <w:r>
              <w:rPr>
                <w:rFonts w:hint="eastAsia" w:ascii="宋体" w:hAnsi="宋体" w:cs="宋体"/>
                <w:color w:val="auto"/>
                <w:kern w:val="0"/>
                <w:highlight w:val="none"/>
              </w:rPr>
              <w:t>100≤X＜300</w:t>
            </w:r>
          </w:p>
        </w:tc>
        <w:tc>
          <w:tcPr>
            <w:tcW w:w="1743" w:type="dxa"/>
            <w:tcBorders>
              <w:top w:val="nil"/>
              <w:left w:val="nil"/>
              <w:bottom w:val="single" w:color="auto" w:sz="4" w:space="0"/>
              <w:right w:val="single" w:color="auto" w:sz="4" w:space="0"/>
            </w:tcBorders>
            <w:vAlign w:val="center"/>
          </w:tcPr>
          <w:p w14:paraId="22F76E42">
            <w:pPr>
              <w:widowControl/>
              <w:jc w:val="left"/>
              <w:rPr>
                <w:rFonts w:hint="eastAsia" w:ascii="宋体" w:hAnsi="宋体" w:cs="宋体"/>
                <w:color w:val="auto"/>
                <w:kern w:val="0"/>
                <w:highlight w:val="none"/>
              </w:rPr>
            </w:pPr>
            <w:r>
              <w:rPr>
                <w:rFonts w:hint="eastAsia" w:ascii="宋体" w:hAnsi="宋体" w:cs="宋体"/>
                <w:color w:val="auto"/>
                <w:kern w:val="0"/>
                <w:highlight w:val="none"/>
              </w:rPr>
              <w:t>10≤X＜100</w:t>
            </w:r>
          </w:p>
        </w:tc>
        <w:tc>
          <w:tcPr>
            <w:tcW w:w="1142" w:type="dxa"/>
            <w:tcBorders>
              <w:top w:val="nil"/>
              <w:left w:val="nil"/>
              <w:bottom w:val="single" w:color="auto" w:sz="4" w:space="0"/>
              <w:right w:val="single" w:color="auto" w:sz="4" w:space="0"/>
            </w:tcBorders>
            <w:vAlign w:val="center"/>
          </w:tcPr>
          <w:p w14:paraId="5CE3D3B4">
            <w:pPr>
              <w:widowControl/>
              <w:jc w:val="left"/>
              <w:rPr>
                <w:rFonts w:hint="eastAsia" w:ascii="宋体" w:hAnsi="宋体" w:cs="宋体"/>
                <w:color w:val="auto"/>
                <w:kern w:val="0"/>
                <w:highlight w:val="none"/>
              </w:rPr>
            </w:pPr>
            <w:r>
              <w:rPr>
                <w:rFonts w:hint="eastAsia" w:ascii="宋体" w:hAnsi="宋体" w:cs="宋体"/>
                <w:color w:val="auto"/>
                <w:kern w:val="0"/>
                <w:highlight w:val="none"/>
              </w:rPr>
              <w:t>X＜10</w:t>
            </w:r>
          </w:p>
        </w:tc>
      </w:tr>
    </w:tbl>
    <w:p w14:paraId="58282A47">
      <w:pPr>
        <w:spacing w:line="360" w:lineRule="auto"/>
        <w:ind w:firstLine="525" w:firstLineChars="250"/>
        <w:rPr>
          <w:rFonts w:hint="eastAsia" w:ascii="宋体" w:hAnsi="宋体" w:cs="宋体"/>
          <w:color w:val="auto"/>
          <w:highlight w:val="none"/>
        </w:rPr>
      </w:pPr>
      <w:r>
        <w:rPr>
          <w:rFonts w:hint="eastAsia" w:ascii="宋体" w:hAnsi="宋体" w:cs="宋体"/>
          <w:color w:val="auto"/>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BC3A886">
      <w:pPr>
        <w:spacing w:line="560" w:lineRule="exact"/>
        <w:ind w:firstLine="500" w:firstLineChars="250"/>
        <w:rPr>
          <w:rFonts w:hint="eastAsia" w:ascii="宋体" w:hAnsi="宋体" w:cs="宋体"/>
          <w:color w:val="auto"/>
          <w:kern w:val="0"/>
          <w:sz w:val="20"/>
          <w:highlight w:val="none"/>
        </w:rPr>
        <w:sectPr>
          <w:pgSz w:w="11906" w:h="16838"/>
          <w:pgMar w:top="1134" w:right="1134" w:bottom="1134" w:left="1134" w:header="720" w:footer="720" w:gutter="0"/>
          <w:cols w:space="720" w:num="1"/>
          <w:docGrid w:type="lines" w:linePitch="331" w:charSpace="0"/>
        </w:sectPr>
      </w:pPr>
    </w:p>
    <w:p w14:paraId="1FB799AB">
      <w:pPr>
        <w:pStyle w:val="26"/>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2、监狱企业证明文件</w:t>
      </w:r>
    </w:p>
    <w:p w14:paraId="1E7688A2">
      <w:pPr>
        <w:pStyle w:val="28"/>
        <w:ind w:left="5250" w:firstLine="480"/>
        <w:rPr>
          <w:rFonts w:ascii="Times New Roman" w:hAnsi="Times New Roman"/>
          <w:color w:val="auto"/>
          <w:kern w:val="0"/>
          <w:highlight w:val="none"/>
        </w:rPr>
      </w:pPr>
    </w:p>
    <w:p w14:paraId="34853BD2">
      <w:pPr>
        <w:pStyle w:val="26"/>
        <w:spacing w:line="460" w:lineRule="exact"/>
        <w:ind w:firstLine="882" w:firstLineChars="350"/>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632B2BBE">
      <w:pPr>
        <w:spacing w:line="360" w:lineRule="auto"/>
        <w:ind w:firstLine="2400" w:firstLineChars="1000"/>
        <w:contextualSpacing/>
        <w:rPr>
          <w:rFonts w:hint="eastAsia" w:ascii="宋体" w:hAnsi="宋体" w:cs="宋体"/>
          <w:color w:val="auto"/>
          <w:sz w:val="24"/>
          <w:highlight w:val="none"/>
        </w:rPr>
      </w:pPr>
    </w:p>
    <w:p w14:paraId="7BE4CAAB">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595C59DA">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27D43959">
      <w:pPr>
        <w:pStyle w:val="26"/>
        <w:spacing w:line="460" w:lineRule="exact"/>
        <w:ind w:firstLine="420"/>
        <w:jc w:val="left"/>
        <w:rPr>
          <w:rFonts w:hint="eastAsia" w:hAnsi="宋体" w:cs="Times New Roman"/>
          <w:color w:val="auto"/>
          <w:spacing w:val="6"/>
          <w:kern w:val="2"/>
          <w:sz w:val="24"/>
          <w:szCs w:val="24"/>
          <w:highlight w:val="none"/>
        </w:rPr>
      </w:pPr>
    </w:p>
    <w:p w14:paraId="7D2E8EB6">
      <w:pPr>
        <w:pStyle w:val="26"/>
        <w:spacing w:line="460" w:lineRule="exact"/>
        <w:jc w:val="left"/>
        <w:rPr>
          <w:rFonts w:hint="eastAsia" w:hAnsi="宋体" w:cs="Times New Roman"/>
          <w:color w:val="auto"/>
          <w:spacing w:val="6"/>
          <w:kern w:val="2"/>
          <w:sz w:val="24"/>
          <w:szCs w:val="24"/>
          <w:highlight w:val="none"/>
        </w:rPr>
      </w:pPr>
      <w:r>
        <w:rPr>
          <w:rFonts w:hint="eastAsia" w:hAnsi="宋体" w:cs="Times New Roman"/>
          <w:color w:val="auto"/>
          <w:spacing w:val="6"/>
          <w:kern w:val="2"/>
          <w:sz w:val="24"/>
          <w:szCs w:val="24"/>
          <w:highlight w:val="none"/>
        </w:rPr>
        <w:t>说明：</w:t>
      </w:r>
      <w:r>
        <w:rPr>
          <w:rFonts w:hint="eastAsia" w:hAnsi="宋体" w:cs="Times New Roman"/>
          <w:color w:val="auto"/>
          <w:spacing w:val="-4"/>
          <w:kern w:val="2"/>
          <w:sz w:val="24"/>
          <w:szCs w:val="24"/>
          <w:highlight w:val="none"/>
        </w:rPr>
        <w:t>采购人或者采购代理机构在公告成交结果时，</w:t>
      </w:r>
      <w:r>
        <w:rPr>
          <w:rFonts w:hint="eastAsia" w:hAnsi="宋体" w:cs="Times New Roman"/>
          <w:color w:val="auto"/>
          <w:spacing w:val="6"/>
          <w:kern w:val="2"/>
          <w:sz w:val="24"/>
          <w:szCs w:val="24"/>
          <w:highlight w:val="none"/>
        </w:rPr>
        <w:t xml:space="preserve">同时公告其监狱企业证明文件。 </w:t>
      </w:r>
    </w:p>
    <w:p w14:paraId="355E7FE8">
      <w:pPr>
        <w:spacing w:line="520" w:lineRule="exact"/>
        <w:jc w:val="center"/>
        <w:rPr>
          <w:rFonts w:hint="eastAsia" w:ascii="宋体" w:hAnsi="宋体" w:cs="宋体"/>
          <w:color w:val="auto"/>
          <w:sz w:val="44"/>
          <w:szCs w:val="44"/>
          <w:highlight w:val="none"/>
        </w:rPr>
      </w:pPr>
    </w:p>
    <w:p w14:paraId="6A1BB6FE">
      <w:pPr>
        <w:pStyle w:val="62"/>
        <w:rPr>
          <w:rFonts w:hint="eastAsia" w:hAnsi="宋体"/>
          <w:color w:val="auto"/>
          <w:sz w:val="44"/>
          <w:szCs w:val="44"/>
          <w:highlight w:val="none"/>
        </w:rPr>
      </w:pPr>
    </w:p>
    <w:p w14:paraId="26E68ED0">
      <w:pPr>
        <w:pStyle w:val="26"/>
        <w:ind w:firstLine="482"/>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3、残疾人福利性单位声明函</w:t>
      </w:r>
    </w:p>
    <w:p w14:paraId="2DF99EAA">
      <w:pPr>
        <w:spacing w:line="520" w:lineRule="exact"/>
        <w:rPr>
          <w:rFonts w:hint="eastAsia" w:ascii="宋体" w:hAnsi="宋体" w:cs="宋体"/>
          <w:color w:val="auto"/>
          <w:sz w:val="32"/>
          <w:szCs w:val="32"/>
          <w:highlight w:val="none"/>
        </w:rPr>
      </w:pPr>
    </w:p>
    <w:p w14:paraId="7983F1D5">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540588A">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7ABE547">
      <w:pPr>
        <w:spacing w:line="360" w:lineRule="auto"/>
        <w:contextualSpacing/>
        <w:rPr>
          <w:rFonts w:hint="eastAsia" w:ascii="宋体" w:hAnsi="宋体" w:cs="宋体"/>
          <w:color w:val="auto"/>
          <w:sz w:val="24"/>
          <w:highlight w:val="none"/>
        </w:rPr>
      </w:pPr>
    </w:p>
    <w:p w14:paraId="22D90D02">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p>
    <w:p w14:paraId="192AF05A">
      <w:pPr>
        <w:autoSpaceDE w:val="0"/>
        <w:autoSpaceDN w:val="0"/>
        <w:spacing w:line="360" w:lineRule="auto"/>
        <w:ind w:left="4335" w:leftChars="1950" w:hanging="240" w:hangingChars="100"/>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供应商名称（电子签章）：</w:t>
      </w:r>
    </w:p>
    <w:p w14:paraId="0086AB59">
      <w:pPr>
        <w:autoSpaceDE w:val="0"/>
        <w:autoSpaceDN w:val="0"/>
        <w:spacing w:line="360" w:lineRule="auto"/>
        <w:ind w:firstLine="6480" w:firstLineChars="2700"/>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日期：  年  月   日</w:t>
      </w:r>
    </w:p>
    <w:p w14:paraId="2B0B0B80">
      <w:pPr>
        <w:spacing w:line="360" w:lineRule="auto"/>
        <w:contextualSpacing/>
        <w:rPr>
          <w:rFonts w:hint="eastAsia" w:ascii="宋体" w:hAnsi="宋体" w:cs="宋体"/>
          <w:color w:val="auto"/>
          <w:sz w:val="24"/>
          <w:highlight w:val="none"/>
        </w:rPr>
      </w:pPr>
    </w:p>
    <w:p w14:paraId="6FCDCD14">
      <w:pPr>
        <w:spacing w:line="360" w:lineRule="auto"/>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注：请根据自己的真实情况出具《残疾人福利性单位声明函》。依法享受中小企业优惠政策的，采购人或者采购代理机构在公告</w:t>
      </w:r>
      <w:r>
        <w:rPr>
          <w:rFonts w:hint="eastAsia" w:ascii="宋体" w:hAnsi="宋体"/>
          <w:color w:val="auto"/>
          <w:spacing w:val="-4"/>
          <w:sz w:val="24"/>
          <w:szCs w:val="24"/>
          <w:highlight w:val="none"/>
        </w:rPr>
        <w:t>成交</w:t>
      </w:r>
      <w:r>
        <w:rPr>
          <w:rFonts w:hint="eastAsia" w:ascii="宋体" w:hAnsi="宋体" w:cs="宋体"/>
          <w:color w:val="auto"/>
          <w:sz w:val="24"/>
          <w:highlight w:val="none"/>
        </w:rPr>
        <w:t>结果时，同时公告其《残疾人福利性单位声明函》，接受社会监督。</w:t>
      </w:r>
    </w:p>
    <w:p w14:paraId="19A9CB50">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p>
    <w:p w14:paraId="7213DE44">
      <w:pPr>
        <w:jc w:val="center"/>
        <w:outlineLvl w:val="0"/>
        <w:rPr>
          <w:rFonts w:hint="eastAsia" w:asciiTheme="minorEastAsia" w:hAnsiTheme="minorEastAsia" w:eastAsiaTheme="minorEastAsia" w:cstheme="minorEastAsia"/>
          <w:b/>
          <w:bCs/>
          <w:color w:val="auto"/>
          <w:kern w:val="0"/>
          <w:sz w:val="44"/>
          <w:szCs w:val="44"/>
          <w:highlight w:val="none"/>
        </w:rPr>
      </w:pPr>
      <w:bookmarkStart w:id="43" w:name="_Toc26854"/>
      <w:r>
        <w:rPr>
          <w:rFonts w:hint="eastAsia" w:asciiTheme="minorEastAsia" w:hAnsiTheme="minorEastAsia" w:eastAsiaTheme="minorEastAsia" w:cstheme="minorEastAsia"/>
          <w:b/>
          <w:bCs/>
          <w:color w:val="auto"/>
          <w:kern w:val="0"/>
          <w:sz w:val="44"/>
          <w:szCs w:val="44"/>
          <w:highlight w:val="none"/>
        </w:rPr>
        <w:t>第七章  二次报价格式</w:t>
      </w:r>
      <w:bookmarkEnd w:id="43"/>
    </w:p>
    <w:p w14:paraId="633A6FE7">
      <w:pPr>
        <w:jc w:val="center"/>
        <w:rPr>
          <w:rFonts w:ascii="宋体" w:hAnsi="Courier New"/>
          <w:b/>
          <w:color w:val="auto"/>
          <w:sz w:val="32"/>
          <w:szCs w:val="20"/>
          <w:highlight w:val="none"/>
        </w:rPr>
      </w:pPr>
      <w:r>
        <w:rPr>
          <w:rFonts w:hint="eastAsia" w:ascii="宋体" w:hAnsi="Courier New"/>
          <w:b/>
          <w:color w:val="auto"/>
          <w:sz w:val="32"/>
          <w:szCs w:val="20"/>
          <w:highlight w:val="none"/>
        </w:rPr>
        <w:t>（1）二次磋商报价表</w:t>
      </w:r>
    </w:p>
    <w:p w14:paraId="571A2822">
      <w:pPr>
        <w:ind w:left="-178" w:leftChars="-85" w:right="-512" w:rightChars="-244" w:firstLine="630" w:firstLineChars="3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项目名称：  </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 xml:space="preserve">                  币种：人民币</w:t>
      </w:r>
    </w:p>
    <w:tbl>
      <w:tblPr>
        <w:tblStyle w:val="4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3116"/>
        <w:gridCol w:w="1987"/>
        <w:gridCol w:w="1702"/>
      </w:tblGrid>
      <w:tr w14:paraId="4C35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5100" w:type="dxa"/>
            <w:gridSpan w:val="2"/>
            <w:vAlign w:val="center"/>
          </w:tcPr>
          <w:p w14:paraId="36A4F98B">
            <w:pPr>
              <w:widowControl/>
              <w:jc w:val="center"/>
              <w:rPr>
                <w:rFonts w:hint="eastAsia" w:ascii="宋体" w:hAnsi="宋体" w:cs="宋体"/>
                <w:color w:val="auto"/>
                <w:highlight w:val="none"/>
              </w:rPr>
            </w:pPr>
            <w:r>
              <w:rPr>
                <w:rFonts w:hint="eastAsia" w:ascii="宋体" w:hAnsi="宋体" w:cs="宋体"/>
                <w:color w:val="auto"/>
                <w:highlight w:val="none"/>
              </w:rPr>
              <w:t>投标总价</w:t>
            </w:r>
          </w:p>
        </w:tc>
        <w:tc>
          <w:tcPr>
            <w:tcW w:w="1987" w:type="dxa"/>
            <w:vAlign w:val="center"/>
          </w:tcPr>
          <w:p w14:paraId="377B3CA9">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101D4E54">
            <w:pPr>
              <w:widowControl/>
              <w:jc w:val="center"/>
              <w:rPr>
                <w:rFonts w:hint="eastAsia" w:ascii="宋体" w:hAnsi="宋体" w:cs="宋体"/>
                <w:color w:val="auto"/>
                <w:highlight w:val="none"/>
              </w:rPr>
            </w:pPr>
            <w:r>
              <w:rPr>
                <w:rFonts w:hint="eastAsia" w:ascii="宋体" w:hAnsi="宋体" w:cs="宋体"/>
                <w:color w:val="auto"/>
                <w:highlight w:val="none"/>
              </w:rPr>
              <w:t>备注</w:t>
            </w:r>
          </w:p>
        </w:tc>
      </w:tr>
      <w:tr w14:paraId="41C8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984" w:type="dxa"/>
            <w:vMerge w:val="restart"/>
            <w:vAlign w:val="center"/>
          </w:tcPr>
          <w:p w14:paraId="3C173245">
            <w:pPr>
              <w:jc w:val="center"/>
              <w:rPr>
                <w:rFonts w:hint="eastAsia" w:ascii="宋体" w:hAnsi="宋体" w:cs="宋体"/>
                <w:color w:val="auto"/>
                <w:highlight w:val="none"/>
              </w:rPr>
            </w:pPr>
            <w:r>
              <w:rPr>
                <w:rFonts w:hint="eastAsia" w:ascii="宋体" w:hAnsi="宋体" w:cs="宋体"/>
                <w:color w:val="auto"/>
                <w:highlight w:val="none"/>
              </w:rPr>
              <w:t>其中</w:t>
            </w:r>
          </w:p>
        </w:tc>
        <w:tc>
          <w:tcPr>
            <w:tcW w:w="3116" w:type="dxa"/>
            <w:vAlign w:val="center"/>
          </w:tcPr>
          <w:p w14:paraId="0810CE22">
            <w:pPr>
              <w:jc w:val="center"/>
              <w:rPr>
                <w:rFonts w:hint="eastAsia" w:ascii="宋体" w:hAnsi="宋体" w:cs="宋体"/>
                <w:color w:val="auto"/>
                <w:highlight w:val="none"/>
              </w:rPr>
            </w:pPr>
            <w:r>
              <w:rPr>
                <w:rFonts w:hint="eastAsia" w:ascii="宋体" w:hAnsi="宋体" w:cs="宋体"/>
                <w:color w:val="auto"/>
                <w:highlight w:val="none"/>
              </w:rPr>
              <w:t>安全文明施工费</w:t>
            </w:r>
          </w:p>
        </w:tc>
        <w:tc>
          <w:tcPr>
            <w:tcW w:w="1987" w:type="dxa"/>
            <w:vAlign w:val="center"/>
          </w:tcPr>
          <w:p w14:paraId="22A97CCB">
            <w:pPr>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vAlign w:val="center"/>
          </w:tcPr>
          <w:p w14:paraId="48C8E196">
            <w:pPr>
              <w:jc w:val="center"/>
              <w:rPr>
                <w:rFonts w:hint="eastAsia" w:ascii="宋体" w:hAnsi="宋体" w:cs="宋体"/>
                <w:color w:val="auto"/>
                <w:highlight w:val="none"/>
              </w:rPr>
            </w:pPr>
          </w:p>
        </w:tc>
      </w:tr>
      <w:tr w14:paraId="24F3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984" w:type="dxa"/>
            <w:vMerge w:val="continue"/>
            <w:vAlign w:val="center"/>
          </w:tcPr>
          <w:p w14:paraId="65ACF9C6">
            <w:pPr>
              <w:widowControl/>
              <w:jc w:val="center"/>
              <w:rPr>
                <w:rFonts w:hint="eastAsia" w:ascii="宋体" w:hAnsi="宋体" w:cs="宋体"/>
                <w:color w:val="auto"/>
                <w:highlight w:val="none"/>
              </w:rPr>
            </w:pPr>
          </w:p>
        </w:tc>
        <w:tc>
          <w:tcPr>
            <w:tcW w:w="3116" w:type="dxa"/>
            <w:vAlign w:val="center"/>
          </w:tcPr>
          <w:p w14:paraId="4D5E63E1">
            <w:pPr>
              <w:jc w:val="center"/>
              <w:rPr>
                <w:rFonts w:hint="eastAsia" w:ascii="宋体" w:hAnsi="宋体" w:cs="宋体"/>
                <w:color w:val="auto"/>
                <w:highlight w:val="none"/>
              </w:rPr>
            </w:pPr>
            <w:r>
              <w:rPr>
                <w:rFonts w:hint="eastAsia" w:ascii="宋体" w:hAnsi="宋体" w:cs="宋体"/>
                <w:color w:val="auto"/>
                <w:highlight w:val="none"/>
              </w:rPr>
              <w:t>发包人提供材料（设备）暂估价（如有）</w:t>
            </w:r>
          </w:p>
        </w:tc>
        <w:tc>
          <w:tcPr>
            <w:tcW w:w="1987" w:type="dxa"/>
            <w:vAlign w:val="center"/>
          </w:tcPr>
          <w:p w14:paraId="0110CC9C">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75F1F5CA">
            <w:pPr>
              <w:widowControl/>
              <w:ind w:right="480"/>
              <w:rPr>
                <w:rFonts w:hint="eastAsia" w:ascii="宋体" w:hAnsi="宋体" w:cs="宋体"/>
                <w:color w:val="auto"/>
                <w:highlight w:val="none"/>
              </w:rPr>
            </w:pPr>
          </w:p>
        </w:tc>
      </w:tr>
      <w:tr w14:paraId="7219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984" w:type="dxa"/>
            <w:vMerge w:val="continue"/>
            <w:vAlign w:val="center"/>
          </w:tcPr>
          <w:p w14:paraId="445B88D5">
            <w:pPr>
              <w:widowControl/>
              <w:jc w:val="center"/>
              <w:rPr>
                <w:rFonts w:hint="eastAsia" w:ascii="宋体" w:hAnsi="宋体" w:cs="宋体"/>
                <w:color w:val="auto"/>
                <w:highlight w:val="none"/>
              </w:rPr>
            </w:pPr>
          </w:p>
        </w:tc>
        <w:tc>
          <w:tcPr>
            <w:tcW w:w="3116" w:type="dxa"/>
            <w:vAlign w:val="center"/>
          </w:tcPr>
          <w:p w14:paraId="0F7FD487">
            <w:pPr>
              <w:widowControl/>
              <w:rPr>
                <w:rFonts w:hint="eastAsia" w:ascii="宋体" w:hAnsi="宋体" w:cs="宋体"/>
                <w:color w:val="auto"/>
                <w:highlight w:val="none"/>
              </w:rPr>
            </w:pPr>
            <w:r>
              <w:rPr>
                <w:rFonts w:hint="eastAsia" w:ascii="宋体" w:hAnsi="宋体" w:cs="宋体"/>
                <w:color w:val="auto"/>
                <w:highlight w:val="none"/>
              </w:rPr>
              <w:t>专业工程暂估价（如有）</w:t>
            </w:r>
          </w:p>
        </w:tc>
        <w:tc>
          <w:tcPr>
            <w:tcW w:w="1987" w:type="dxa"/>
            <w:vAlign w:val="center"/>
          </w:tcPr>
          <w:p w14:paraId="1A157D9A">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4193253E">
            <w:pPr>
              <w:widowControl/>
              <w:ind w:right="480"/>
              <w:rPr>
                <w:rFonts w:hint="eastAsia" w:ascii="宋体" w:hAnsi="宋体" w:cs="宋体"/>
                <w:color w:val="auto"/>
                <w:highlight w:val="none"/>
              </w:rPr>
            </w:pPr>
          </w:p>
        </w:tc>
      </w:tr>
      <w:tr w14:paraId="449A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984" w:type="dxa"/>
            <w:vMerge w:val="continue"/>
            <w:vAlign w:val="center"/>
          </w:tcPr>
          <w:p w14:paraId="523FBB0D">
            <w:pPr>
              <w:widowControl/>
              <w:jc w:val="center"/>
              <w:rPr>
                <w:rFonts w:hint="eastAsia" w:ascii="宋体" w:hAnsi="宋体" w:cs="宋体"/>
                <w:color w:val="auto"/>
                <w:highlight w:val="none"/>
              </w:rPr>
            </w:pPr>
          </w:p>
        </w:tc>
        <w:tc>
          <w:tcPr>
            <w:tcW w:w="3116" w:type="dxa"/>
            <w:vAlign w:val="center"/>
          </w:tcPr>
          <w:p w14:paraId="64497CF7">
            <w:pPr>
              <w:widowControl/>
              <w:ind w:firstLine="945" w:firstLineChars="450"/>
              <w:rPr>
                <w:rFonts w:hint="eastAsia" w:ascii="宋体" w:hAnsi="宋体" w:cs="宋体"/>
                <w:color w:val="auto"/>
                <w:highlight w:val="none"/>
              </w:rPr>
            </w:pPr>
            <w:r>
              <w:rPr>
                <w:rFonts w:hint="eastAsia" w:ascii="宋体" w:hAnsi="宋体" w:cs="宋体"/>
                <w:color w:val="auto"/>
                <w:highlight w:val="none"/>
              </w:rPr>
              <w:t>暂列金额（如有）</w:t>
            </w:r>
          </w:p>
        </w:tc>
        <w:tc>
          <w:tcPr>
            <w:tcW w:w="1987" w:type="dxa"/>
            <w:vAlign w:val="center"/>
          </w:tcPr>
          <w:p w14:paraId="044762E4">
            <w:pPr>
              <w:widowControl/>
              <w:jc w:val="right"/>
              <w:rPr>
                <w:rFonts w:hint="eastAsia" w:ascii="宋体" w:hAnsi="宋体" w:cs="宋体"/>
                <w:color w:val="auto"/>
                <w:highlight w:val="none"/>
              </w:rPr>
            </w:pPr>
            <w:r>
              <w:rPr>
                <w:rFonts w:hint="eastAsia" w:ascii="宋体" w:hAnsi="宋体" w:cs="宋体"/>
                <w:color w:val="auto"/>
                <w:highlight w:val="none"/>
              </w:rPr>
              <w:t>万元</w:t>
            </w:r>
          </w:p>
        </w:tc>
        <w:tc>
          <w:tcPr>
            <w:tcW w:w="1702" w:type="dxa"/>
          </w:tcPr>
          <w:p w14:paraId="351941B4">
            <w:pPr>
              <w:widowControl/>
              <w:ind w:right="480"/>
              <w:rPr>
                <w:rFonts w:hint="eastAsia" w:ascii="宋体" w:hAnsi="宋体" w:cs="宋体"/>
                <w:color w:val="auto"/>
                <w:highlight w:val="none"/>
              </w:rPr>
            </w:pPr>
          </w:p>
        </w:tc>
      </w:tr>
      <w:tr w14:paraId="523E3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984" w:type="dxa"/>
            <w:vMerge w:val="restart"/>
            <w:vAlign w:val="center"/>
          </w:tcPr>
          <w:p w14:paraId="11209CD9">
            <w:pPr>
              <w:widowControl/>
              <w:jc w:val="center"/>
              <w:rPr>
                <w:rFonts w:hint="eastAsia" w:ascii="宋体" w:hAnsi="宋体" w:cs="宋体"/>
                <w:color w:val="auto"/>
                <w:highlight w:val="none"/>
              </w:rPr>
            </w:pPr>
            <w:r>
              <w:rPr>
                <w:rFonts w:hint="eastAsia" w:ascii="宋体" w:hAnsi="宋体" w:cs="宋体"/>
                <w:color w:val="auto"/>
                <w:highlight w:val="none"/>
              </w:rPr>
              <w:t>主要材料</w:t>
            </w:r>
          </w:p>
        </w:tc>
        <w:tc>
          <w:tcPr>
            <w:tcW w:w="3116" w:type="dxa"/>
            <w:vAlign w:val="center"/>
          </w:tcPr>
          <w:p w14:paraId="1D7342DD">
            <w:pPr>
              <w:widowControl/>
              <w:jc w:val="center"/>
              <w:rPr>
                <w:rFonts w:hint="eastAsia" w:ascii="宋体" w:hAnsi="宋体" w:cs="宋体"/>
                <w:color w:val="auto"/>
                <w:highlight w:val="none"/>
              </w:rPr>
            </w:pPr>
            <w:r>
              <w:rPr>
                <w:rFonts w:hint="eastAsia" w:ascii="宋体" w:hAnsi="宋体" w:cs="宋体"/>
                <w:color w:val="auto"/>
                <w:highlight w:val="none"/>
              </w:rPr>
              <w:t>钢筋</w:t>
            </w:r>
          </w:p>
        </w:tc>
        <w:tc>
          <w:tcPr>
            <w:tcW w:w="1987" w:type="dxa"/>
            <w:vAlign w:val="center"/>
          </w:tcPr>
          <w:p w14:paraId="584E8925">
            <w:pPr>
              <w:widowControl/>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76C1CAC2">
            <w:pPr>
              <w:widowControl/>
              <w:jc w:val="right"/>
              <w:rPr>
                <w:rFonts w:hint="eastAsia" w:ascii="宋体" w:hAnsi="宋体" w:cs="宋体"/>
                <w:color w:val="auto"/>
                <w:highlight w:val="none"/>
              </w:rPr>
            </w:pPr>
          </w:p>
        </w:tc>
      </w:tr>
      <w:tr w14:paraId="73C74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84" w:type="dxa"/>
            <w:vMerge w:val="continue"/>
            <w:vAlign w:val="center"/>
          </w:tcPr>
          <w:p w14:paraId="43BA820E">
            <w:pPr>
              <w:widowControl/>
              <w:jc w:val="center"/>
              <w:rPr>
                <w:rFonts w:hint="eastAsia" w:ascii="宋体" w:hAnsi="宋体" w:cs="宋体"/>
                <w:color w:val="auto"/>
                <w:highlight w:val="none"/>
              </w:rPr>
            </w:pPr>
          </w:p>
        </w:tc>
        <w:tc>
          <w:tcPr>
            <w:tcW w:w="3116" w:type="dxa"/>
            <w:vAlign w:val="center"/>
          </w:tcPr>
          <w:p w14:paraId="2138DEDC">
            <w:pPr>
              <w:widowControl/>
              <w:jc w:val="center"/>
              <w:rPr>
                <w:rFonts w:hint="eastAsia" w:ascii="宋体" w:hAnsi="宋体" w:cs="宋体"/>
                <w:color w:val="auto"/>
                <w:highlight w:val="none"/>
              </w:rPr>
            </w:pPr>
            <w:r>
              <w:rPr>
                <w:rFonts w:hint="eastAsia" w:ascii="宋体" w:hAnsi="宋体" w:cs="宋体"/>
                <w:color w:val="auto"/>
                <w:highlight w:val="none"/>
              </w:rPr>
              <w:t>水泥（不含商品混凝土用量）</w:t>
            </w:r>
          </w:p>
        </w:tc>
        <w:tc>
          <w:tcPr>
            <w:tcW w:w="1987" w:type="dxa"/>
            <w:vAlign w:val="center"/>
          </w:tcPr>
          <w:p w14:paraId="4D63439F">
            <w:pPr>
              <w:widowControl/>
              <w:tabs>
                <w:tab w:val="left" w:pos="2398"/>
              </w:tabs>
              <w:ind w:right="18"/>
              <w:jc w:val="right"/>
              <w:rPr>
                <w:rFonts w:hint="eastAsia" w:ascii="宋体" w:hAnsi="宋体" w:cs="宋体"/>
                <w:color w:val="auto"/>
                <w:highlight w:val="none"/>
              </w:rPr>
            </w:pPr>
            <w:r>
              <w:rPr>
                <w:rFonts w:hint="eastAsia" w:ascii="宋体" w:hAnsi="宋体" w:cs="宋体"/>
                <w:color w:val="auto"/>
                <w:highlight w:val="none"/>
              </w:rPr>
              <w:t>吨</w:t>
            </w:r>
          </w:p>
        </w:tc>
        <w:tc>
          <w:tcPr>
            <w:tcW w:w="1702" w:type="dxa"/>
          </w:tcPr>
          <w:p w14:paraId="50C4E09A">
            <w:pPr>
              <w:widowControl/>
              <w:jc w:val="right"/>
              <w:rPr>
                <w:rFonts w:hint="eastAsia" w:ascii="宋体" w:hAnsi="宋体" w:cs="宋体"/>
                <w:color w:val="auto"/>
                <w:highlight w:val="none"/>
              </w:rPr>
            </w:pPr>
          </w:p>
        </w:tc>
      </w:tr>
      <w:tr w14:paraId="0BDCE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984" w:type="dxa"/>
            <w:vMerge w:val="continue"/>
            <w:vAlign w:val="center"/>
          </w:tcPr>
          <w:p w14:paraId="260C1A8F">
            <w:pPr>
              <w:widowControl/>
              <w:jc w:val="center"/>
              <w:rPr>
                <w:rFonts w:hint="eastAsia" w:ascii="宋体" w:hAnsi="宋体" w:cs="宋体"/>
                <w:color w:val="auto"/>
                <w:highlight w:val="none"/>
              </w:rPr>
            </w:pPr>
          </w:p>
        </w:tc>
        <w:tc>
          <w:tcPr>
            <w:tcW w:w="3116" w:type="dxa"/>
            <w:vAlign w:val="center"/>
          </w:tcPr>
          <w:p w14:paraId="4A1C99BA">
            <w:pPr>
              <w:widowControl/>
              <w:jc w:val="center"/>
              <w:rPr>
                <w:rFonts w:hint="eastAsia" w:ascii="宋体" w:hAnsi="宋体" w:cs="宋体"/>
                <w:color w:val="auto"/>
                <w:highlight w:val="none"/>
              </w:rPr>
            </w:pPr>
            <w:r>
              <w:rPr>
                <w:rFonts w:hint="eastAsia" w:ascii="宋体" w:hAnsi="宋体" w:cs="宋体"/>
                <w:color w:val="auto"/>
                <w:highlight w:val="none"/>
              </w:rPr>
              <w:t>商品混凝土</w:t>
            </w:r>
          </w:p>
        </w:tc>
        <w:tc>
          <w:tcPr>
            <w:tcW w:w="1987" w:type="dxa"/>
            <w:vAlign w:val="center"/>
          </w:tcPr>
          <w:p w14:paraId="65048EA8">
            <w:pPr>
              <w:widowControl/>
              <w:jc w:val="right"/>
              <w:rPr>
                <w:rFonts w:hint="eastAsia" w:ascii="宋体" w:hAnsi="宋体" w:cs="宋体"/>
                <w:color w:val="auto"/>
                <w:highlight w:val="none"/>
              </w:rPr>
            </w:pPr>
            <w:r>
              <w:rPr>
                <w:rFonts w:hint="eastAsia" w:ascii="宋体" w:hAnsi="宋体" w:cs="宋体"/>
                <w:color w:val="auto"/>
                <w:highlight w:val="none"/>
              </w:rPr>
              <w:t>m</w:t>
            </w:r>
            <w:r>
              <w:rPr>
                <w:rFonts w:hint="eastAsia" w:ascii="宋体" w:hAnsi="宋体" w:cs="宋体"/>
                <w:color w:val="auto"/>
                <w:highlight w:val="none"/>
                <w:vertAlign w:val="superscript"/>
              </w:rPr>
              <w:t>3</w:t>
            </w:r>
          </w:p>
        </w:tc>
        <w:tc>
          <w:tcPr>
            <w:tcW w:w="1702" w:type="dxa"/>
          </w:tcPr>
          <w:p w14:paraId="26B765D1">
            <w:pPr>
              <w:widowControl/>
              <w:jc w:val="right"/>
              <w:rPr>
                <w:rFonts w:hint="eastAsia" w:ascii="宋体" w:hAnsi="宋体" w:cs="宋体"/>
                <w:color w:val="auto"/>
                <w:highlight w:val="none"/>
              </w:rPr>
            </w:pPr>
          </w:p>
        </w:tc>
      </w:tr>
      <w:tr w14:paraId="71D9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789" w:type="dxa"/>
            <w:gridSpan w:val="4"/>
            <w:vAlign w:val="center"/>
          </w:tcPr>
          <w:p w14:paraId="0A5ED2BA">
            <w:pPr>
              <w:pStyle w:val="175"/>
              <w:spacing w:line="360" w:lineRule="auto"/>
              <w:jc w:val="left"/>
              <w:rPr>
                <w:rStyle w:val="170"/>
                <w:rFonts w:hint="eastAsia" w:ascii="宋体" w:hAnsi="宋体"/>
                <w:color w:val="auto"/>
                <w:highlight w:val="none"/>
                <w:u w:val="single"/>
              </w:rPr>
            </w:pPr>
            <w:r>
              <w:rPr>
                <w:rStyle w:val="170"/>
                <w:rFonts w:ascii="宋体" w:hAnsi="宋体"/>
                <w:color w:val="auto"/>
                <w:highlight w:val="none"/>
              </w:rPr>
              <w:t>统一社会信用代码：</w:t>
            </w:r>
            <w:r>
              <w:rPr>
                <w:rStyle w:val="170"/>
                <w:rFonts w:hint="eastAsia" w:ascii="宋体" w:hAnsi="宋体"/>
                <w:color w:val="auto"/>
                <w:highlight w:val="none"/>
                <w:u w:val="single"/>
              </w:rPr>
              <w:t xml:space="preserve">                                   </w:t>
            </w:r>
          </w:p>
          <w:p w14:paraId="331AE00D">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法定代表人身份证号：</w:t>
            </w:r>
            <w:r>
              <w:rPr>
                <w:rStyle w:val="170"/>
                <w:rFonts w:hint="eastAsia" w:ascii="宋体" w:hAnsi="宋体"/>
                <w:color w:val="auto"/>
                <w:highlight w:val="none"/>
                <w:u w:val="single"/>
              </w:rPr>
              <w:t xml:space="preserve">                                 </w:t>
            </w:r>
          </w:p>
          <w:p w14:paraId="2392F918">
            <w:pPr>
              <w:pStyle w:val="175"/>
              <w:spacing w:line="360" w:lineRule="auto"/>
              <w:jc w:val="left"/>
              <w:rPr>
                <w:rStyle w:val="170"/>
                <w:rFonts w:hint="eastAsia" w:ascii="宋体" w:hAnsi="宋体"/>
                <w:color w:val="auto"/>
                <w:highlight w:val="none"/>
              </w:rPr>
            </w:pPr>
            <w:r>
              <w:rPr>
                <w:rStyle w:val="170"/>
                <w:rFonts w:ascii="宋体" w:hAnsi="宋体"/>
                <w:color w:val="auto"/>
                <w:highlight w:val="none"/>
              </w:rPr>
              <w:t>主要人员信息：</w:t>
            </w:r>
          </w:p>
          <w:p w14:paraId="726DCFD2">
            <w:pPr>
              <w:pStyle w:val="175"/>
              <w:spacing w:line="360" w:lineRule="auto"/>
              <w:rPr>
                <w:rStyle w:val="170"/>
                <w:rFonts w:hint="eastAsia" w:ascii="宋体" w:hAnsi="宋体"/>
                <w:color w:val="auto"/>
                <w:highlight w:val="none"/>
              </w:rPr>
            </w:pPr>
            <w:r>
              <w:rPr>
                <w:rStyle w:val="170"/>
                <w:rFonts w:ascii="宋体" w:hAnsi="宋体"/>
                <w:color w:val="auto"/>
                <w:highlight w:val="none"/>
              </w:rPr>
              <w:t>项目经理：</w:t>
            </w:r>
            <w:r>
              <w:rPr>
                <w:rStyle w:val="170"/>
                <w:rFonts w:ascii="宋体" w:hAnsi="宋体"/>
                <w:color w:val="auto"/>
                <w:highlight w:val="none"/>
                <w:u w:val="single"/>
              </w:rPr>
              <w:t>姓名</w:t>
            </w:r>
            <w:r>
              <w:rPr>
                <w:rStyle w:val="170"/>
                <w:rFonts w:ascii="宋体" w:hAnsi="宋体"/>
                <w:color w:val="auto"/>
                <w:highlight w:val="none"/>
              </w:rPr>
              <w:t>（注册编号：</w:t>
            </w:r>
            <w:r>
              <w:rPr>
                <w:rStyle w:val="170"/>
                <w:rFonts w:hint="eastAsia" w:ascii="宋体" w:hAnsi="宋体"/>
                <w:color w:val="auto"/>
                <w:highlight w:val="none"/>
                <w:u w:val="single"/>
              </w:rPr>
              <w:t xml:space="preserve">               </w:t>
            </w:r>
            <w:r>
              <w:rPr>
                <w:rStyle w:val="170"/>
                <w:rFonts w:ascii="宋体" w:hAnsi="宋体"/>
                <w:color w:val="auto"/>
                <w:highlight w:val="none"/>
              </w:rPr>
              <w:t>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59203DC6">
            <w:pPr>
              <w:pStyle w:val="175"/>
              <w:spacing w:line="360" w:lineRule="auto"/>
              <w:rPr>
                <w:rStyle w:val="170"/>
                <w:rFonts w:hint="eastAsia" w:ascii="宋体" w:hAnsi="宋体"/>
                <w:color w:val="auto"/>
                <w:highlight w:val="none"/>
              </w:rPr>
            </w:pPr>
            <w:r>
              <w:rPr>
                <w:rStyle w:val="170"/>
                <w:rFonts w:ascii="宋体" w:hAnsi="宋体"/>
                <w:color w:val="auto"/>
                <w:highlight w:val="none"/>
              </w:rPr>
              <w:t>技术负责人：</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540AB11C">
            <w:pPr>
              <w:pStyle w:val="175"/>
              <w:spacing w:line="360" w:lineRule="auto"/>
              <w:rPr>
                <w:rStyle w:val="170"/>
                <w:rFonts w:hint="eastAsia" w:ascii="宋体" w:hAnsi="宋体"/>
                <w:color w:val="auto"/>
                <w:highlight w:val="none"/>
              </w:rPr>
            </w:pPr>
            <w:r>
              <w:rPr>
                <w:rStyle w:val="170"/>
                <w:rFonts w:ascii="宋体" w:hAnsi="宋体"/>
                <w:color w:val="auto"/>
                <w:highlight w:val="none"/>
              </w:rPr>
              <w:t>安全员：</w:t>
            </w:r>
            <w:r>
              <w:rPr>
                <w:rStyle w:val="170"/>
                <w:rFonts w:ascii="宋体" w:hAnsi="宋体"/>
                <w:color w:val="auto"/>
                <w:highlight w:val="none"/>
                <w:u w:val="single"/>
              </w:rPr>
              <w:t>姓名</w:t>
            </w:r>
            <w:r>
              <w:rPr>
                <w:rStyle w:val="170"/>
                <w:rFonts w:ascii="宋体" w:hAnsi="宋体"/>
                <w:color w:val="auto"/>
                <w:highlight w:val="none"/>
              </w:rPr>
              <w:t>（</w:t>
            </w:r>
            <w:r>
              <w:rPr>
                <w:rFonts w:hint="eastAsia" w:ascii="宋体" w:hAnsi="宋体" w:cs="宋体"/>
                <w:color w:val="auto"/>
                <w:szCs w:val="21"/>
                <w:highlight w:val="none"/>
                <w:lang w:val="zh-CN"/>
              </w:rPr>
              <w:t>安全生产考核合格证书编号</w:t>
            </w:r>
            <w:r>
              <w:rPr>
                <w:rStyle w:val="170"/>
                <w:rFonts w:ascii="宋体" w:hAnsi="宋体"/>
                <w:color w:val="auto"/>
                <w:highlight w:val="none"/>
              </w:rPr>
              <w:t>：</w:t>
            </w:r>
            <w:r>
              <w:rPr>
                <w:rStyle w:val="170"/>
                <w:rFonts w:hint="eastAsia" w:ascii="宋体" w:hAnsi="宋体"/>
                <w:color w:val="auto"/>
                <w:highlight w:val="none"/>
                <w:u w:val="single"/>
              </w:rPr>
              <w:t xml:space="preserve">          </w:t>
            </w:r>
            <w:r>
              <w:rPr>
                <w:rStyle w:val="170"/>
                <w:rFonts w:ascii="宋体" w:hAnsi="宋体"/>
                <w:color w:val="auto"/>
                <w:highlight w:val="none"/>
              </w:rPr>
              <w:t xml:space="preserve"> 身份证号：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73302AB7">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材料</w:t>
            </w:r>
            <w:r>
              <w:rPr>
                <w:rStyle w:val="170"/>
                <w:rFonts w:ascii="宋体" w:hAnsi="宋体"/>
                <w:color w:val="auto"/>
                <w:highlight w:val="none"/>
              </w:rPr>
              <w:t>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3335A8C3">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质量员</w:t>
            </w:r>
            <w:r>
              <w:rPr>
                <w:rStyle w:val="170"/>
                <w:rFonts w:ascii="宋体" w:hAnsi="宋体"/>
                <w:color w:val="auto"/>
                <w:highlight w:val="none"/>
              </w:rPr>
              <w:t>：</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0E1B6066">
            <w:pPr>
              <w:pStyle w:val="175"/>
              <w:spacing w:line="360" w:lineRule="auto"/>
              <w:rPr>
                <w:rStyle w:val="170"/>
                <w:rFonts w:hint="eastAsia" w:ascii="宋体" w:hAnsi="宋体"/>
                <w:color w:val="auto"/>
                <w:highlight w:val="none"/>
              </w:rPr>
            </w:pPr>
            <w:r>
              <w:rPr>
                <w:rStyle w:val="170"/>
                <w:rFonts w:ascii="宋体" w:hAnsi="宋体"/>
                <w:color w:val="auto"/>
                <w:highlight w:val="none"/>
              </w:rPr>
              <w:t>施工员：</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10958ECD">
            <w:pPr>
              <w:pStyle w:val="175"/>
              <w:spacing w:line="360" w:lineRule="auto"/>
              <w:rPr>
                <w:rStyle w:val="170"/>
                <w:rFonts w:hint="eastAsia" w:ascii="宋体" w:hAnsi="宋体"/>
                <w:color w:val="auto"/>
                <w:highlight w:val="none"/>
              </w:rPr>
            </w:pPr>
            <w:r>
              <w:rPr>
                <w:rStyle w:val="170"/>
                <w:rFonts w:hint="eastAsia" w:ascii="宋体" w:hAnsi="宋体"/>
                <w:color w:val="auto"/>
                <w:highlight w:val="none"/>
              </w:rPr>
              <w:t>质检员</w:t>
            </w:r>
            <w:r>
              <w:rPr>
                <w:rStyle w:val="170"/>
                <w:rFonts w:ascii="宋体" w:hAnsi="宋体"/>
                <w:color w:val="auto"/>
                <w:highlight w:val="none"/>
              </w:rPr>
              <w:t>（如有）：</w:t>
            </w:r>
            <w:r>
              <w:rPr>
                <w:rStyle w:val="170"/>
                <w:rFonts w:ascii="宋体" w:hAnsi="宋体"/>
                <w:color w:val="auto"/>
                <w:highlight w:val="none"/>
                <w:u w:val="single"/>
              </w:rPr>
              <w:t>姓名</w:t>
            </w:r>
            <w:r>
              <w:rPr>
                <w:rStyle w:val="170"/>
                <w:rFonts w:ascii="宋体" w:hAnsi="宋体"/>
                <w:color w:val="auto"/>
                <w:highlight w:val="none"/>
              </w:rPr>
              <w:t>（证书号：</w:t>
            </w:r>
            <w:r>
              <w:rPr>
                <w:rStyle w:val="170"/>
                <w:rFonts w:hint="eastAsia" w:ascii="宋体" w:hAnsi="宋体"/>
                <w:color w:val="auto"/>
                <w:highlight w:val="none"/>
                <w:u w:val="single"/>
              </w:rPr>
              <w:t xml:space="preserve">            </w:t>
            </w:r>
            <w:r>
              <w:rPr>
                <w:rStyle w:val="170"/>
                <w:rFonts w:ascii="宋体" w:hAnsi="宋体"/>
                <w:color w:val="auto"/>
                <w:highlight w:val="none"/>
              </w:rPr>
              <w:t>）</w:t>
            </w:r>
          </w:p>
          <w:p w14:paraId="45FF7CEE">
            <w:pPr>
              <w:pStyle w:val="175"/>
              <w:spacing w:line="360" w:lineRule="auto"/>
              <w:rPr>
                <w:rStyle w:val="170"/>
                <w:rFonts w:hint="eastAsia" w:ascii="宋体" w:hAnsi="宋体"/>
                <w:color w:val="auto"/>
                <w:highlight w:val="none"/>
              </w:rPr>
            </w:pPr>
            <w:r>
              <w:rPr>
                <w:rStyle w:val="170"/>
                <w:rFonts w:ascii="宋体" w:hAnsi="宋体"/>
                <w:color w:val="auto"/>
                <w:szCs w:val="21"/>
                <w:highlight w:val="none"/>
              </w:rPr>
              <w:t>投标所用企业业绩</w:t>
            </w:r>
            <w:r>
              <w:rPr>
                <w:rStyle w:val="170"/>
                <w:rFonts w:ascii="宋体" w:hAnsi="宋体"/>
                <w:color w:val="auto"/>
                <w:highlight w:val="none"/>
              </w:rPr>
              <w:t>（如有）</w:t>
            </w:r>
            <w:r>
              <w:rPr>
                <w:rStyle w:val="170"/>
                <w:rFonts w:ascii="宋体" w:hAnsi="宋体"/>
                <w:color w:val="auto"/>
                <w:szCs w:val="21"/>
                <w:highlight w:val="none"/>
              </w:rPr>
              <w:t>:</w:t>
            </w:r>
          </w:p>
          <w:p w14:paraId="15E92D9D">
            <w:pPr>
              <w:pStyle w:val="175"/>
              <w:spacing w:line="360" w:lineRule="auto"/>
              <w:rPr>
                <w:rStyle w:val="170"/>
                <w:rFonts w:hint="eastAsia" w:ascii="宋体" w:hAnsi="宋体"/>
                <w:color w:val="auto"/>
                <w:highlight w:val="none"/>
                <w:u w:val="single"/>
              </w:rPr>
            </w:pPr>
            <w:r>
              <w:rPr>
                <w:rStyle w:val="170"/>
                <w:rFonts w:ascii="宋体" w:hAnsi="宋体"/>
                <w:color w:val="auto"/>
                <w:highlight w:val="none"/>
              </w:rPr>
              <w:t>承诺工期：</w:t>
            </w:r>
            <w:r>
              <w:rPr>
                <w:rStyle w:val="170"/>
                <w:rFonts w:ascii="宋体" w:hAnsi="宋体"/>
                <w:color w:val="auto"/>
                <w:highlight w:val="none"/>
                <w:u w:val="single"/>
              </w:rPr>
              <w:t xml:space="preserve">    </w:t>
            </w:r>
            <w:r>
              <w:rPr>
                <w:rStyle w:val="170"/>
                <w:rFonts w:ascii="宋体" w:hAnsi="宋体"/>
                <w:color w:val="auto"/>
                <w:highlight w:val="none"/>
              </w:rPr>
              <w:t>日历天               承诺质量标准：</w:t>
            </w:r>
            <w:r>
              <w:rPr>
                <w:rStyle w:val="170"/>
                <w:rFonts w:ascii="宋体" w:hAnsi="宋体"/>
                <w:color w:val="auto"/>
                <w:highlight w:val="none"/>
                <w:u w:val="single"/>
              </w:rPr>
              <w:t xml:space="preserve"> </w:t>
            </w:r>
            <w:r>
              <w:rPr>
                <w:rStyle w:val="170"/>
                <w:rFonts w:hint="eastAsia" w:ascii="宋体" w:hAnsi="宋体"/>
                <w:color w:val="auto"/>
                <w:highlight w:val="none"/>
                <w:u w:val="single"/>
              </w:rPr>
              <w:t xml:space="preserve">                     </w:t>
            </w:r>
          </w:p>
          <w:p w14:paraId="29679B39">
            <w:pPr>
              <w:widowControl/>
              <w:rPr>
                <w:rFonts w:hint="eastAsia" w:ascii="宋体" w:hAnsi="宋体" w:cs="宋体"/>
                <w:color w:val="auto"/>
                <w:highlight w:val="none"/>
              </w:rPr>
            </w:pPr>
            <w:r>
              <w:rPr>
                <w:rStyle w:val="170"/>
                <w:rFonts w:hint="eastAsia" w:ascii="宋体" w:hAnsi="宋体"/>
                <w:color w:val="auto"/>
                <w:szCs w:val="24"/>
                <w:highlight w:val="none"/>
                <w:lang w:eastAsia="zh-CN"/>
              </w:rPr>
              <w:t>供应商</w:t>
            </w:r>
            <w:r>
              <w:rPr>
                <w:rStyle w:val="170"/>
                <w:rFonts w:ascii="宋体" w:hAnsi="宋体"/>
                <w:color w:val="auto"/>
                <w:szCs w:val="24"/>
                <w:highlight w:val="none"/>
              </w:rPr>
              <w:t>地址：</w:t>
            </w:r>
            <w:r>
              <w:rPr>
                <w:rStyle w:val="170"/>
                <w:rFonts w:ascii="宋体" w:hAnsi="宋体"/>
                <w:color w:val="auto"/>
                <w:szCs w:val="24"/>
                <w:highlight w:val="none"/>
                <w:u w:val="single"/>
              </w:rPr>
              <w:t xml:space="preserve"> </w:t>
            </w:r>
            <w:r>
              <w:rPr>
                <w:rStyle w:val="170"/>
                <w:rFonts w:hint="eastAsia" w:ascii="宋体" w:hAnsi="宋体"/>
                <w:color w:val="auto"/>
                <w:szCs w:val="24"/>
                <w:highlight w:val="none"/>
                <w:u w:val="single"/>
              </w:rPr>
              <w:t xml:space="preserve">                   </w:t>
            </w:r>
          </w:p>
        </w:tc>
      </w:tr>
    </w:tbl>
    <w:p w14:paraId="74D570AC">
      <w:pPr>
        <w:spacing w:line="480" w:lineRule="auto"/>
        <w:ind w:firstLine="210" w:firstLineChars="100"/>
        <w:rPr>
          <w:rFonts w:hint="eastAsia" w:asciiTheme="minorEastAsia" w:hAnsiTheme="minorEastAsia" w:eastAsiaTheme="minorEastAsia" w:cstheme="minorEastAsia"/>
          <w:color w:val="auto"/>
          <w:highlight w:val="none"/>
        </w:rPr>
      </w:pPr>
    </w:p>
    <w:p w14:paraId="4CD9B6C1">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eastAsia="zh-CN"/>
        </w:rPr>
        <w:t>供应商</w:t>
      </w:r>
      <w:r>
        <w:rPr>
          <w:rFonts w:hint="eastAsia" w:asciiTheme="minorEastAsia" w:hAnsiTheme="minorEastAsia" w:eastAsiaTheme="minorEastAsia" w:cstheme="minorEastAsia"/>
          <w:color w:val="auto"/>
          <w:highlight w:val="none"/>
        </w:rPr>
        <w:t>（盖单位章）：</w:t>
      </w:r>
      <w:r>
        <w:rPr>
          <w:rFonts w:hint="eastAsia" w:asciiTheme="minorEastAsia" w:hAnsiTheme="minorEastAsia" w:eastAsiaTheme="minorEastAsia" w:cstheme="minorEastAsia"/>
          <w:color w:val="auto"/>
          <w:highlight w:val="none"/>
          <w:u w:val="single"/>
        </w:rPr>
        <w:t xml:space="preserve">                                 </w:t>
      </w:r>
    </w:p>
    <w:p w14:paraId="682ADE73">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法定代表人或其委托代理人（签字或盖章）：</w:t>
      </w:r>
      <w:r>
        <w:rPr>
          <w:rFonts w:hint="eastAsia" w:asciiTheme="minorEastAsia" w:hAnsiTheme="minorEastAsia" w:eastAsiaTheme="minorEastAsia" w:cstheme="minorEastAsia"/>
          <w:color w:val="auto"/>
          <w:highlight w:val="none"/>
          <w:u w:val="single"/>
        </w:rPr>
        <w:t xml:space="preserve">              </w:t>
      </w:r>
    </w:p>
    <w:p w14:paraId="71F33F68">
      <w:pPr>
        <w:spacing w:line="480" w:lineRule="auto"/>
        <w:ind w:firstLine="21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月</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日</w:t>
      </w:r>
    </w:p>
    <w:p w14:paraId="00D1BF81">
      <w:pPr>
        <w:rPr>
          <w:rFonts w:ascii="宋体" w:cs="宋体"/>
          <w:color w:val="auto"/>
          <w:kern w:val="0"/>
          <w:sz w:val="31"/>
          <w:szCs w:val="31"/>
          <w:highlight w:val="none"/>
        </w:rPr>
      </w:pPr>
      <w:r>
        <w:rPr>
          <w:rFonts w:hint="eastAsia" w:ascii="宋体" w:cs="宋体"/>
          <w:color w:val="auto"/>
          <w:kern w:val="0"/>
          <w:sz w:val="31"/>
          <w:szCs w:val="31"/>
          <w:highlight w:val="none"/>
        </w:rPr>
        <w:br w:type="page"/>
      </w:r>
    </w:p>
    <w:p w14:paraId="74470EC2">
      <w:pPr>
        <w:autoSpaceDE w:val="0"/>
        <w:autoSpaceDN w:val="0"/>
        <w:adjustRightInd w:val="0"/>
        <w:ind w:firstLine="2325" w:firstLineChars="750"/>
        <w:jc w:val="left"/>
        <w:rPr>
          <w:rFonts w:ascii="宋体" w:cs="宋体"/>
          <w:color w:val="auto"/>
          <w:kern w:val="0"/>
          <w:sz w:val="31"/>
          <w:szCs w:val="31"/>
          <w:highlight w:val="none"/>
        </w:rPr>
      </w:pPr>
      <w:r>
        <w:rPr>
          <w:rFonts w:hint="eastAsia" w:ascii="宋体" w:cs="宋体"/>
          <w:color w:val="auto"/>
          <w:kern w:val="0"/>
          <w:sz w:val="31"/>
          <w:szCs w:val="31"/>
          <w:highlight w:val="none"/>
        </w:rPr>
        <w:t>（2）二次报价已标价工程量清单</w:t>
      </w:r>
    </w:p>
    <w:p w14:paraId="67FA932A">
      <w:pPr>
        <w:pStyle w:val="22"/>
        <w:ind w:firstLine="482"/>
        <w:rPr>
          <w:color w:val="auto"/>
          <w:highlight w:val="none"/>
        </w:rPr>
      </w:pPr>
    </w:p>
    <w:p w14:paraId="3644E8FB">
      <w:pPr>
        <w:spacing w:line="360" w:lineRule="auto"/>
        <w:ind w:firstLine="420" w:firstLineChars="200"/>
        <w:rPr>
          <w:color w:val="auto"/>
          <w:highlight w:val="none"/>
        </w:rPr>
      </w:pPr>
      <w:r>
        <w:rPr>
          <w:rFonts w:hint="eastAsia"/>
          <w:color w:val="auto"/>
          <w:highlight w:val="none"/>
        </w:rPr>
        <w:t>1.</w:t>
      </w:r>
      <w:r>
        <w:rPr>
          <w:color w:val="auto"/>
          <w:highlight w:val="none"/>
        </w:rPr>
        <w:t xml:space="preserve"> </w:t>
      </w:r>
      <w:r>
        <w:rPr>
          <w:rFonts w:hint="eastAsia" w:cs="宋体"/>
          <w:color w:val="auto"/>
          <w:highlight w:val="none"/>
        </w:rPr>
        <w:t>供应商应依据竞争性磋商文件、招标工程量清单、</w:t>
      </w:r>
      <w:r>
        <w:rPr>
          <w:rFonts w:hint="eastAsia" w:asciiTheme="minorEastAsia" w:hAnsiTheme="minorEastAsia" w:eastAsiaTheme="minorEastAsia" w:cstheme="minorEastAsia"/>
          <w:color w:val="auto"/>
          <w:highlight w:val="none"/>
        </w:rPr>
        <w:t>《(GB50500-2013)建设工程工程量清单计价规范》广西壮族自治区实施细则”</w:t>
      </w:r>
      <w:r>
        <w:rPr>
          <w:rFonts w:hint="eastAsia" w:cs="宋体"/>
          <w:color w:val="auto"/>
          <w:highlight w:val="none"/>
        </w:rPr>
        <w:t>、《计算规范》自主报价，自主报价</w:t>
      </w:r>
      <w:r>
        <w:rPr>
          <w:rFonts w:hint="eastAsia" w:hAnsi="宋体" w:cs="宋体"/>
          <w:color w:val="auto"/>
          <w:highlight w:val="none"/>
        </w:rPr>
        <w:t>不得违反计价规范强制性条文规定。</w:t>
      </w:r>
      <w:r>
        <w:rPr>
          <w:rFonts w:hint="eastAsia" w:cs="宋体"/>
          <w:color w:val="auto"/>
          <w:highlight w:val="none"/>
        </w:rPr>
        <w:t>供应商不得采用总价让利或以百分比让利等形式进行报价，任何优惠（或降价、让利）均应反映在相应清单项目的综合单价中。同时，不得出现任意一项单价重大让利，</w:t>
      </w:r>
      <w:r>
        <w:rPr>
          <w:rFonts w:hint="eastAsia" w:hAnsi="宋体" w:cs="宋体"/>
          <w:color w:val="auto"/>
          <w:highlight w:val="none"/>
        </w:rPr>
        <w:t>不得以自有机械闲置、自有材料等不计成本为由</w:t>
      </w:r>
      <w:r>
        <w:rPr>
          <w:rFonts w:hint="eastAsia" w:cs="宋体"/>
          <w:color w:val="auto"/>
          <w:highlight w:val="none"/>
        </w:rPr>
        <w:t>低于工程成本报价。</w:t>
      </w:r>
    </w:p>
    <w:p w14:paraId="24008E8C">
      <w:pPr>
        <w:spacing w:line="360" w:lineRule="auto"/>
        <w:ind w:firstLine="420" w:firstLineChars="200"/>
        <w:rPr>
          <w:rFonts w:hint="eastAsia" w:hAnsi="宋体"/>
          <w:color w:val="auto"/>
          <w:highlight w:val="none"/>
        </w:rPr>
      </w:pPr>
      <w:r>
        <w:rPr>
          <w:rFonts w:hint="eastAsia"/>
          <w:color w:val="auto"/>
          <w:highlight w:val="none"/>
        </w:rPr>
        <w:t>2.</w:t>
      </w:r>
      <w:r>
        <w:rPr>
          <w:rFonts w:hint="eastAsia" w:cs="宋体"/>
          <w:color w:val="auto"/>
          <w:highlight w:val="none"/>
        </w:rPr>
        <w:t>供应商应按招标工程量清单填报价格。项目编码、项目名称、项目特征、计量单位、工程量必须与招标工程量清单一致，供应商</w:t>
      </w:r>
      <w:r>
        <w:rPr>
          <w:rFonts w:hint="eastAsia" w:hAnsi="宋体" w:cs="宋体"/>
          <w:color w:val="auto"/>
          <w:highlight w:val="none"/>
        </w:rPr>
        <w:t>不得对招标工程量清单项目进行增减调整。</w:t>
      </w:r>
    </w:p>
    <w:p w14:paraId="47335281">
      <w:pPr>
        <w:spacing w:line="360" w:lineRule="auto"/>
        <w:ind w:firstLine="420" w:firstLineChars="200"/>
        <w:rPr>
          <w:color w:val="auto"/>
          <w:highlight w:val="none"/>
        </w:rPr>
      </w:pPr>
      <w:r>
        <w:rPr>
          <w:rFonts w:hint="eastAsia"/>
          <w:color w:val="auto"/>
          <w:highlight w:val="none"/>
        </w:rPr>
        <w:t>3.</w:t>
      </w:r>
      <w:r>
        <w:rPr>
          <w:rFonts w:hint="eastAsia" w:cs="宋体"/>
          <w:color w:val="auto"/>
          <w:highlight w:val="none"/>
        </w:rPr>
        <w:t>综合单价中应包含竞争性磋商文件中划分的应由供应商承担的风险范围及其费用。</w:t>
      </w:r>
    </w:p>
    <w:p w14:paraId="5014704E">
      <w:pPr>
        <w:spacing w:line="360" w:lineRule="auto"/>
        <w:ind w:firstLine="420" w:firstLineChars="200"/>
        <w:rPr>
          <w:rFonts w:hint="eastAsia" w:hAnsi="宋体"/>
          <w:color w:val="auto"/>
          <w:highlight w:val="none"/>
        </w:rPr>
      </w:pPr>
      <w:r>
        <w:rPr>
          <w:rFonts w:hint="eastAsia"/>
          <w:color w:val="auto"/>
          <w:highlight w:val="none"/>
        </w:rPr>
        <w:t>4.</w:t>
      </w:r>
      <w:r>
        <w:rPr>
          <w:rFonts w:hint="eastAsia" w:hAnsi="宋体" w:cs="宋体"/>
          <w:color w:val="auto"/>
          <w:highlight w:val="none"/>
        </w:rPr>
        <w:t>分部分项工程项目和单价措施项目，应根据</w:t>
      </w:r>
      <w:r>
        <w:rPr>
          <w:rFonts w:hint="eastAsia" w:cs="宋体"/>
          <w:color w:val="auto"/>
          <w:highlight w:val="none"/>
        </w:rPr>
        <w:t>竞争性磋商文件</w:t>
      </w:r>
      <w:r>
        <w:rPr>
          <w:rFonts w:hint="eastAsia" w:hAnsi="宋体" w:cs="宋体"/>
          <w:color w:val="auto"/>
          <w:highlight w:val="none"/>
        </w:rPr>
        <w:t>和招标工程量清单项目中的特征描述确定综合单价计算。如出现招标工程量清单特征描述与设计图纸不符时，供应商应以招标工程量清单的项目特征描述为准，确定投标报价的综合单价。</w:t>
      </w:r>
    </w:p>
    <w:p w14:paraId="487F8F5B">
      <w:pPr>
        <w:spacing w:line="360" w:lineRule="auto"/>
        <w:ind w:firstLine="420" w:firstLineChars="200"/>
        <w:rPr>
          <w:color w:val="auto"/>
          <w:highlight w:val="none"/>
        </w:rPr>
      </w:pPr>
      <w:r>
        <w:rPr>
          <w:rFonts w:hint="eastAsia"/>
          <w:color w:val="auto"/>
          <w:highlight w:val="none"/>
        </w:rPr>
        <w:t>5.</w:t>
      </w:r>
      <w:r>
        <w:rPr>
          <w:rFonts w:hint="eastAsia" w:hAnsi="宋体" w:cs="宋体"/>
          <w:color w:val="auto"/>
          <w:highlight w:val="none"/>
        </w:rPr>
        <w:t>总价措施项目的金额应根据</w:t>
      </w:r>
      <w:r>
        <w:rPr>
          <w:rFonts w:hint="eastAsia" w:cs="宋体"/>
          <w:color w:val="auto"/>
          <w:highlight w:val="none"/>
        </w:rPr>
        <w:t>竞争性磋商文件</w:t>
      </w:r>
      <w:r>
        <w:rPr>
          <w:rFonts w:hint="eastAsia" w:hAnsi="宋体" w:cs="宋体"/>
          <w:color w:val="auto"/>
          <w:highlight w:val="none"/>
        </w:rPr>
        <w:t>及投标时拟定的施工组织设计或施工方案，按计价规范的规定自主确定。但</w:t>
      </w:r>
      <w:r>
        <w:rPr>
          <w:rFonts w:hint="eastAsia" w:cs="宋体"/>
          <w:color w:val="auto"/>
          <w:highlight w:val="none"/>
        </w:rPr>
        <w:t>安全文明施工费按国家、省级或行业建设主管部门的有关规定执行，作为不竞争费用单列。</w:t>
      </w:r>
    </w:p>
    <w:p w14:paraId="15D91A6B">
      <w:pPr>
        <w:spacing w:line="360" w:lineRule="auto"/>
        <w:ind w:firstLine="420" w:firstLineChars="200"/>
        <w:rPr>
          <w:color w:val="auto"/>
          <w:highlight w:val="none"/>
        </w:rPr>
      </w:pPr>
      <w:r>
        <w:rPr>
          <w:rFonts w:hint="eastAsia"/>
          <w:color w:val="auto"/>
          <w:highlight w:val="none"/>
        </w:rPr>
        <w:t>6.</w:t>
      </w:r>
      <w:r>
        <w:rPr>
          <w:rFonts w:hint="eastAsia" w:cs="宋体"/>
          <w:color w:val="auto"/>
          <w:highlight w:val="none"/>
        </w:rPr>
        <w:t>其他项目费应按下列规定报价：</w:t>
      </w:r>
    </w:p>
    <w:p w14:paraId="3BB9A8F6">
      <w:pPr>
        <w:spacing w:line="360" w:lineRule="auto"/>
        <w:ind w:firstLine="420" w:firstLineChars="200"/>
        <w:rPr>
          <w:color w:val="auto"/>
          <w:highlight w:val="none"/>
        </w:rPr>
      </w:pPr>
      <w:r>
        <w:rPr>
          <w:rFonts w:hint="eastAsia" w:cs="宋体"/>
          <w:color w:val="auto"/>
          <w:highlight w:val="none"/>
        </w:rPr>
        <w:t>（</w:t>
      </w:r>
      <w:r>
        <w:rPr>
          <w:color w:val="auto"/>
          <w:highlight w:val="none"/>
        </w:rPr>
        <w:t>1</w:t>
      </w:r>
      <w:r>
        <w:rPr>
          <w:rFonts w:hint="eastAsia" w:cs="宋体"/>
          <w:color w:val="auto"/>
          <w:highlight w:val="none"/>
        </w:rPr>
        <w:t>）暂列金额应按招标工程量清单中列出的金额填写；</w:t>
      </w:r>
    </w:p>
    <w:p w14:paraId="696E1D51">
      <w:pPr>
        <w:pStyle w:val="168"/>
        <w:spacing w:line="360" w:lineRule="auto"/>
        <w:ind w:firstLine="420" w:firstLineChars="200"/>
        <w:rPr>
          <w:color w:val="auto"/>
          <w:highlight w:val="none"/>
        </w:rPr>
      </w:pPr>
      <w:r>
        <w:rPr>
          <w:rFonts w:hint="eastAsia" w:cs="宋体"/>
          <w:color w:val="auto"/>
          <w:highlight w:val="none"/>
        </w:rPr>
        <w:t>（</w:t>
      </w:r>
      <w:r>
        <w:rPr>
          <w:color w:val="auto"/>
          <w:highlight w:val="none"/>
        </w:rPr>
        <w:t>2</w:t>
      </w:r>
      <w:r>
        <w:rPr>
          <w:rFonts w:hint="eastAsia" w:cs="宋体"/>
          <w:color w:val="auto"/>
          <w:highlight w:val="none"/>
        </w:rPr>
        <w:t>）材料、工程设备暂估价应按招标工程量清单中列出的单价计入综合单价；</w:t>
      </w:r>
    </w:p>
    <w:p w14:paraId="5E8273BC">
      <w:pPr>
        <w:spacing w:line="360" w:lineRule="auto"/>
        <w:ind w:firstLine="420" w:firstLineChars="200"/>
        <w:rPr>
          <w:color w:val="auto"/>
          <w:highlight w:val="none"/>
        </w:rPr>
      </w:pPr>
      <w:r>
        <w:rPr>
          <w:rFonts w:hint="eastAsia" w:cs="宋体"/>
          <w:color w:val="auto"/>
          <w:highlight w:val="none"/>
        </w:rPr>
        <w:t>（</w:t>
      </w:r>
      <w:r>
        <w:rPr>
          <w:color w:val="auto"/>
          <w:highlight w:val="none"/>
        </w:rPr>
        <w:t>3</w:t>
      </w:r>
      <w:r>
        <w:rPr>
          <w:rFonts w:hint="eastAsia" w:cs="宋体"/>
          <w:color w:val="auto"/>
          <w:highlight w:val="none"/>
        </w:rPr>
        <w:t>）专业工程暂估价应按招标工程量清单中列出的金额填写；</w:t>
      </w:r>
    </w:p>
    <w:p w14:paraId="248709F0">
      <w:pPr>
        <w:spacing w:line="360" w:lineRule="auto"/>
        <w:ind w:firstLine="420" w:firstLineChars="200"/>
        <w:rPr>
          <w:color w:val="auto"/>
          <w:highlight w:val="none"/>
        </w:rPr>
      </w:pPr>
      <w:r>
        <w:rPr>
          <w:rFonts w:hint="eastAsia" w:cs="宋体"/>
          <w:color w:val="auto"/>
          <w:highlight w:val="none"/>
        </w:rPr>
        <w:t>（</w:t>
      </w:r>
      <w:r>
        <w:rPr>
          <w:color w:val="auto"/>
          <w:highlight w:val="none"/>
        </w:rPr>
        <w:t>4</w:t>
      </w:r>
      <w:r>
        <w:rPr>
          <w:rFonts w:hint="eastAsia" w:cs="宋体"/>
          <w:color w:val="auto"/>
          <w:highlight w:val="none"/>
        </w:rPr>
        <w:t>）计日工应按招标工程量清单中列出的项目和估算数量，自主确定综合单价并计算计日工总额；计日工单价均不含规费和税金；</w:t>
      </w:r>
    </w:p>
    <w:p w14:paraId="55BD3F29">
      <w:pPr>
        <w:spacing w:line="360" w:lineRule="auto"/>
        <w:ind w:firstLine="420" w:firstLineChars="200"/>
        <w:rPr>
          <w:color w:val="auto"/>
          <w:highlight w:val="none"/>
        </w:rPr>
      </w:pPr>
      <w:r>
        <w:rPr>
          <w:rFonts w:hint="eastAsia" w:cs="宋体"/>
          <w:color w:val="auto"/>
          <w:highlight w:val="none"/>
        </w:rPr>
        <w:t>（</w:t>
      </w:r>
      <w:r>
        <w:rPr>
          <w:color w:val="auto"/>
          <w:highlight w:val="none"/>
        </w:rPr>
        <w:t>5</w:t>
      </w:r>
      <w:r>
        <w:rPr>
          <w:rFonts w:hint="eastAsia" w:cs="宋体"/>
          <w:color w:val="auto"/>
          <w:highlight w:val="none"/>
        </w:rPr>
        <w:t>）总承包服务费应根据招标工程量清单中列出的内容</w:t>
      </w:r>
      <w:r>
        <w:rPr>
          <w:rFonts w:hint="eastAsia" w:hAnsi="宋体" w:cs="宋体"/>
          <w:color w:val="auto"/>
          <w:highlight w:val="none"/>
        </w:rPr>
        <w:t>和供应材料、设备情况，按照招标人提出的协调、配合与服务要求和施工现场管理需要</w:t>
      </w:r>
      <w:r>
        <w:rPr>
          <w:rFonts w:hint="eastAsia" w:cs="宋体"/>
          <w:color w:val="auto"/>
          <w:highlight w:val="none"/>
        </w:rPr>
        <w:t>自主确定。</w:t>
      </w:r>
    </w:p>
    <w:p w14:paraId="54101726">
      <w:pPr>
        <w:spacing w:line="360" w:lineRule="auto"/>
        <w:ind w:firstLine="420" w:firstLineChars="200"/>
        <w:rPr>
          <w:color w:val="auto"/>
          <w:highlight w:val="none"/>
        </w:rPr>
      </w:pPr>
      <w:r>
        <w:rPr>
          <w:rFonts w:hint="eastAsia"/>
          <w:color w:val="auto"/>
          <w:highlight w:val="none"/>
        </w:rPr>
        <w:t>7.</w:t>
      </w:r>
      <w:r>
        <w:rPr>
          <w:rFonts w:hint="eastAsia" w:cs="宋体"/>
          <w:color w:val="auto"/>
          <w:highlight w:val="none"/>
        </w:rPr>
        <w:t>规费和增值税应按规定确定，作为不可竞争费用。</w:t>
      </w:r>
    </w:p>
    <w:p w14:paraId="210F2B14">
      <w:pPr>
        <w:spacing w:line="360" w:lineRule="auto"/>
        <w:ind w:firstLine="420" w:firstLineChars="200"/>
        <w:rPr>
          <w:color w:val="auto"/>
          <w:highlight w:val="none"/>
        </w:rPr>
      </w:pPr>
      <w:r>
        <w:rPr>
          <w:rFonts w:hint="eastAsia"/>
          <w:color w:val="auto"/>
          <w:highlight w:val="none"/>
        </w:rPr>
        <w:t>8.</w:t>
      </w:r>
      <w:r>
        <w:rPr>
          <w:rFonts w:hint="eastAsia" w:cs="宋体"/>
          <w:color w:val="auto"/>
          <w:highlight w:val="none"/>
        </w:rPr>
        <w:t>招标工程量清单与计价表中列明的所有需要填写的单价和合价的项目，供应商均应填写且只允许有一个报价。未填写单价和合价的项目，视为此项费用已包含在已标价工程量清单中其他项目的单价和合价之中。竣工结算时，此项目不得重新组价予以调整。</w:t>
      </w:r>
    </w:p>
    <w:p w14:paraId="40677D0F">
      <w:pPr>
        <w:spacing w:line="360" w:lineRule="auto"/>
        <w:ind w:firstLine="420" w:firstLineChars="200"/>
        <w:rPr>
          <w:color w:val="auto"/>
          <w:highlight w:val="none"/>
        </w:rPr>
      </w:pPr>
      <w:r>
        <w:rPr>
          <w:rFonts w:hint="eastAsia"/>
          <w:color w:val="auto"/>
          <w:highlight w:val="none"/>
        </w:rPr>
        <w:t>9.</w:t>
      </w:r>
      <w:r>
        <w:rPr>
          <w:rFonts w:hint="eastAsia" w:cs="宋体"/>
          <w:color w:val="auto"/>
          <w:highlight w:val="none"/>
        </w:rPr>
        <w:t>竞标总价应当与分部分项工程费、措施项目费、其他项目费和规费、增值税的合计金额一致。</w:t>
      </w:r>
    </w:p>
    <w:p w14:paraId="6E9C08B7">
      <w:pPr>
        <w:spacing w:line="360" w:lineRule="auto"/>
        <w:ind w:firstLine="420" w:firstLineChars="200"/>
        <w:rPr>
          <w:color w:val="auto"/>
          <w:highlight w:val="none"/>
        </w:rPr>
      </w:pPr>
      <w:r>
        <w:rPr>
          <w:rFonts w:hint="eastAsia"/>
          <w:color w:val="auto"/>
          <w:highlight w:val="none"/>
        </w:rPr>
        <w:t>10.</w:t>
      </w:r>
      <w:r>
        <w:rPr>
          <w:rFonts w:hint="eastAsia" w:cs="宋体"/>
          <w:color w:val="auto"/>
          <w:highlight w:val="none"/>
        </w:rPr>
        <w:t>供应商应按《承包人提供的主要材料和设备一览表》的内容填报，不得擅自调整材料和设备名称型号规格、单位、风险系数、基准单价。</w:t>
      </w:r>
    </w:p>
    <w:p w14:paraId="68046B90">
      <w:pPr>
        <w:spacing w:line="360" w:lineRule="auto"/>
        <w:ind w:firstLine="420" w:firstLineChars="200"/>
        <w:rPr>
          <w:rFonts w:hint="eastAsia" w:hAnsi="宋体"/>
          <w:color w:val="auto"/>
          <w:highlight w:val="none"/>
        </w:rPr>
      </w:pPr>
      <w:r>
        <w:rPr>
          <w:rFonts w:hint="eastAsia"/>
          <w:color w:val="auto"/>
          <w:highlight w:val="none"/>
        </w:rPr>
        <w:t>11.</w:t>
      </w:r>
      <w:r>
        <w:rPr>
          <w:rFonts w:hint="eastAsia" w:hAnsi="宋体" w:cs="宋体"/>
          <w:color w:val="auto"/>
          <w:highlight w:val="none"/>
        </w:rPr>
        <w:t>竞标报价</w:t>
      </w:r>
      <w:r>
        <w:rPr>
          <w:rFonts w:hint="eastAsia" w:cs="宋体"/>
          <w:color w:val="auto"/>
          <w:highlight w:val="none"/>
        </w:rPr>
        <w:t>表格按本工程工程量清单表格要求填写，并</w:t>
      </w:r>
      <w:r>
        <w:rPr>
          <w:rFonts w:hint="eastAsia" w:hAnsi="宋体" w:cs="宋体"/>
          <w:color w:val="auto"/>
          <w:highlight w:val="none"/>
        </w:rPr>
        <w:t>应按</w:t>
      </w:r>
      <w:r>
        <w:rPr>
          <w:rFonts w:hint="eastAsia" w:cs="宋体"/>
          <w:color w:val="auto"/>
          <w:highlight w:val="none"/>
        </w:rPr>
        <w:t>竞争性磋商文件</w:t>
      </w:r>
      <w:r>
        <w:rPr>
          <w:rFonts w:hint="eastAsia" w:hAnsi="宋体" w:cs="宋体"/>
          <w:color w:val="auto"/>
          <w:highlight w:val="none"/>
        </w:rPr>
        <w:t>要求，附上《工程量清单综合单价分析表》（表</w:t>
      </w:r>
      <w:r>
        <w:rPr>
          <w:color w:val="auto"/>
          <w:highlight w:val="none"/>
        </w:rPr>
        <w:t>-09</w:t>
      </w:r>
      <w:r>
        <w:rPr>
          <w:rFonts w:hint="eastAsia" w:hAnsi="宋体" w:cs="宋体"/>
          <w:color w:val="auto"/>
          <w:highlight w:val="none"/>
        </w:rPr>
        <w:t>）和《主要清单项目工料机分析表》（表</w:t>
      </w:r>
      <w:r>
        <w:rPr>
          <w:color w:val="auto"/>
          <w:highlight w:val="none"/>
        </w:rPr>
        <w:t>-10</w:t>
      </w:r>
      <w:r>
        <w:rPr>
          <w:rFonts w:hint="eastAsia" w:hAnsi="宋体" w:cs="宋体"/>
          <w:color w:val="auto"/>
          <w:highlight w:val="none"/>
        </w:rPr>
        <w:t>）。</w:t>
      </w:r>
    </w:p>
    <w:p w14:paraId="2A3987B0">
      <w:pPr>
        <w:pStyle w:val="26"/>
        <w:spacing w:line="360" w:lineRule="auto"/>
        <w:ind w:firstLine="400" w:firstLineChars="200"/>
        <w:jc w:val="left"/>
        <w:rPr>
          <w:rStyle w:val="63"/>
          <w:rFonts w:hint="eastAsia" w:asciiTheme="minorEastAsia" w:hAnsiTheme="minorEastAsia" w:eastAsiaTheme="minorEastAsia" w:cstheme="minorEastAsia"/>
          <w:color w:val="auto"/>
          <w:sz w:val="36"/>
          <w:szCs w:val="36"/>
          <w:highlight w:val="none"/>
        </w:rPr>
      </w:pPr>
      <w:r>
        <w:rPr>
          <w:rFonts w:hint="eastAsia"/>
          <w:color w:val="auto"/>
          <w:highlight w:val="none"/>
        </w:rPr>
        <w:t>未尽事宜详见本工程招标工程量清单、招标控制价编制说明以及现行《计价规范》等有关规定执行。</w:t>
      </w:r>
    </w:p>
    <w:p w14:paraId="72957535">
      <w:pPr>
        <w:rPr>
          <w:rStyle w:val="63"/>
          <w:rFonts w:hint="eastAsia" w:asciiTheme="minorEastAsia" w:hAnsiTheme="minorEastAsia" w:eastAsiaTheme="minorEastAsia" w:cstheme="minorEastAsia"/>
          <w:color w:val="auto"/>
          <w:sz w:val="36"/>
          <w:szCs w:val="36"/>
          <w:highlight w:val="none"/>
        </w:rPr>
      </w:pPr>
    </w:p>
    <w:p w14:paraId="7B13E4A4">
      <w:pPr>
        <w:pStyle w:val="18"/>
        <w:rPr>
          <w:rStyle w:val="63"/>
          <w:rFonts w:hint="eastAsia" w:asciiTheme="minorEastAsia" w:hAnsiTheme="minorEastAsia" w:eastAsiaTheme="minorEastAsia" w:cstheme="minorEastAsia"/>
          <w:b/>
          <w:bCs/>
          <w:color w:val="auto"/>
          <w:sz w:val="36"/>
          <w:szCs w:val="36"/>
          <w:highlight w:val="none"/>
        </w:rPr>
      </w:pPr>
    </w:p>
    <w:p w14:paraId="63D4360A">
      <w:pPr>
        <w:pStyle w:val="22"/>
        <w:ind w:firstLine="361"/>
        <w:rPr>
          <w:rStyle w:val="63"/>
          <w:rFonts w:hint="eastAsia" w:asciiTheme="minorEastAsia" w:hAnsiTheme="minorEastAsia" w:eastAsiaTheme="minorEastAsia" w:cstheme="minorEastAsia"/>
          <w:b/>
          <w:bCs/>
          <w:color w:val="auto"/>
          <w:sz w:val="36"/>
          <w:szCs w:val="36"/>
          <w:highlight w:val="none"/>
        </w:rPr>
      </w:pPr>
    </w:p>
    <w:p w14:paraId="08F89A2B">
      <w:pPr>
        <w:rPr>
          <w:rFonts w:hint="eastAsia" w:asciiTheme="minorEastAsia" w:hAnsiTheme="minorEastAsia" w:eastAsiaTheme="minorEastAsia" w:cstheme="minorEastAsia"/>
          <w:b/>
          <w:bCs/>
          <w:color w:val="auto"/>
          <w:kern w:val="0"/>
          <w:sz w:val="44"/>
          <w:szCs w:val="44"/>
          <w:highlight w:val="none"/>
        </w:rPr>
      </w:pPr>
      <w:r>
        <w:rPr>
          <w:rFonts w:hint="eastAsia" w:asciiTheme="minorEastAsia" w:hAnsiTheme="minorEastAsia" w:eastAsiaTheme="minorEastAsia" w:cstheme="minorEastAsia"/>
          <w:b/>
          <w:bCs/>
          <w:color w:val="auto"/>
          <w:kern w:val="0"/>
          <w:sz w:val="44"/>
          <w:szCs w:val="44"/>
          <w:highlight w:val="none"/>
        </w:rPr>
        <w:br w:type="page"/>
      </w:r>
    </w:p>
    <w:p w14:paraId="66523138">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sectPr>
          <w:pgSz w:w="11906" w:h="16838"/>
          <w:pgMar w:top="840" w:right="1006" w:bottom="1440" w:left="1020" w:header="851" w:footer="992" w:gutter="0"/>
          <w:cols w:space="720" w:num="1"/>
          <w:titlePg/>
          <w:docGrid w:type="lines" w:linePitch="312" w:charSpace="0"/>
        </w:sectPr>
      </w:pPr>
      <w:bookmarkStart w:id="44" w:name="_Toc22111"/>
    </w:p>
    <w:p w14:paraId="75B02668">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第八章   合同书格式</w:t>
      </w:r>
      <w:bookmarkEnd w:id="44"/>
    </w:p>
    <w:p w14:paraId="28933347">
      <w:pPr>
        <w:autoSpaceDE w:val="0"/>
        <w:autoSpaceDN w:val="0"/>
        <w:adjustRightInd w:val="0"/>
        <w:snapToGrid w:val="0"/>
        <w:spacing w:line="300" w:lineRule="auto"/>
        <w:jc w:val="center"/>
        <w:rPr>
          <w:rFonts w:hint="eastAsia" w:ascii="仿宋_GB2312" w:hAnsi="宋体" w:eastAsia="仿宋_GB2312"/>
          <w:b/>
          <w:color w:val="auto"/>
          <w:kern w:val="0"/>
          <w:sz w:val="44"/>
          <w:szCs w:val="44"/>
          <w:highlight w:val="none"/>
        </w:rPr>
      </w:pPr>
    </w:p>
    <w:p w14:paraId="4E03DAB1">
      <w:pPr>
        <w:jc w:val="left"/>
        <w:rPr>
          <w:rFonts w:hint="eastAsia" w:ascii="宋体" w:hAnsi="宋体"/>
          <w:b/>
          <w:color w:val="auto"/>
          <w:sz w:val="52"/>
          <w:szCs w:val="52"/>
          <w:highlight w:val="none"/>
        </w:rPr>
      </w:pPr>
      <w:r>
        <w:rPr>
          <w:rFonts w:ascii="宋体" w:hAnsi="宋体"/>
          <w:bCs/>
          <w:color w:val="auto"/>
          <w:sz w:val="32"/>
          <w:szCs w:val="32"/>
          <w:highlight w:val="none"/>
        </w:rPr>
        <w:t>（GF—201</w:t>
      </w:r>
      <w:r>
        <w:rPr>
          <w:rFonts w:hint="eastAsia" w:ascii="宋体" w:hAnsi="宋体"/>
          <w:bCs/>
          <w:color w:val="auto"/>
          <w:sz w:val="32"/>
          <w:szCs w:val="32"/>
          <w:highlight w:val="none"/>
        </w:rPr>
        <w:t>7</w:t>
      </w:r>
      <w:r>
        <w:rPr>
          <w:rFonts w:ascii="宋体" w:hAnsi="宋体"/>
          <w:bCs/>
          <w:color w:val="auto"/>
          <w:sz w:val="32"/>
          <w:szCs w:val="32"/>
          <w:highlight w:val="none"/>
        </w:rPr>
        <w:t>—</w:t>
      </w:r>
      <w:r>
        <w:rPr>
          <w:rFonts w:hint="eastAsia" w:ascii="宋体" w:hAnsi="宋体"/>
          <w:bCs/>
          <w:color w:val="auto"/>
          <w:sz w:val="32"/>
          <w:szCs w:val="32"/>
          <w:highlight w:val="none"/>
        </w:rPr>
        <w:t>0201）</w:t>
      </w:r>
    </w:p>
    <w:p w14:paraId="6CEE58EE">
      <w:pPr>
        <w:jc w:val="center"/>
        <w:rPr>
          <w:rFonts w:hint="eastAsia" w:ascii="宋体" w:hAnsi="宋体"/>
          <w:b/>
          <w:color w:val="auto"/>
          <w:sz w:val="52"/>
          <w:szCs w:val="52"/>
          <w:highlight w:val="none"/>
        </w:rPr>
      </w:pPr>
    </w:p>
    <w:p w14:paraId="3FE1B614">
      <w:pPr>
        <w:jc w:val="center"/>
        <w:rPr>
          <w:rFonts w:hint="eastAsia" w:ascii="宋体" w:hAnsi="宋体"/>
          <w:b/>
          <w:color w:val="auto"/>
          <w:sz w:val="72"/>
          <w:szCs w:val="52"/>
          <w:highlight w:val="none"/>
        </w:rPr>
      </w:pPr>
      <w:r>
        <w:rPr>
          <w:rFonts w:ascii="宋体" w:hAnsi="宋体"/>
          <w:b/>
          <w:color w:val="auto"/>
          <w:sz w:val="72"/>
          <w:szCs w:val="52"/>
          <w:highlight w:val="none"/>
        </w:rPr>
        <w:t>建设工程施工合同</w:t>
      </w:r>
    </w:p>
    <w:p w14:paraId="65597877">
      <w:pPr>
        <w:jc w:val="center"/>
        <w:rPr>
          <w:rFonts w:ascii="Calibri" w:hAnsi="Calibri"/>
          <w:b/>
          <w:color w:val="auto"/>
          <w:sz w:val="32"/>
          <w:szCs w:val="32"/>
          <w:highlight w:val="none"/>
        </w:rPr>
      </w:pPr>
      <w:r>
        <w:rPr>
          <w:rFonts w:hint="eastAsia" w:ascii="Calibri" w:hAnsi="Calibri"/>
          <w:b/>
          <w:color w:val="auto"/>
          <w:sz w:val="32"/>
          <w:szCs w:val="32"/>
          <w:highlight w:val="none"/>
        </w:rPr>
        <w:t xml:space="preserve">                    </w:t>
      </w:r>
    </w:p>
    <w:p w14:paraId="20332B7A">
      <w:pPr>
        <w:spacing w:line="360" w:lineRule="auto"/>
        <w:ind w:firstLine="420" w:firstLineChars="200"/>
        <w:rPr>
          <w:rFonts w:hint="eastAsia" w:hAnsi="宋体"/>
          <w:color w:val="auto"/>
          <w:highlight w:val="none"/>
        </w:rPr>
      </w:pPr>
      <w:bookmarkStart w:id="45" w:name="_Toc69641855"/>
      <w:bookmarkStart w:id="46" w:name="_Toc55373958"/>
      <w:bookmarkStart w:id="47" w:name="_Toc296503025"/>
      <w:bookmarkStart w:id="48" w:name="_Toc351203480"/>
      <w:bookmarkStart w:id="49" w:name="_Toc407135191"/>
      <w:bookmarkStart w:id="50" w:name="_Toc389065255"/>
      <w:bookmarkStart w:id="51" w:name="_Toc373227552"/>
      <w:bookmarkStart w:id="52" w:name="_Toc296890982"/>
      <w:bookmarkStart w:id="53" w:name="_Toc373478199"/>
    </w:p>
    <w:p w14:paraId="4ABA7EDB">
      <w:pPr>
        <w:pStyle w:val="18"/>
        <w:ind w:left="63" w:right="63"/>
        <w:rPr>
          <w:rFonts w:hint="eastAsia" w:ascii="金山简黑体" w:hAnsi="宋体" w:eastAsia="金山简黑体"/>
          <w:b w:val="0"/>
          <w:color w:val="auto"/>
          <w:spacing w:val="-8"/>
          <w:kern w:val="2"/>
          <w:sz w:val="44"/>
          <w:szCs w:val="44"/>
          <w:highlight w:val="none"/>
          <w:u w:val="single"/>
          <w:lang w:eastAsia="zh-CN"/>
        </w:rPr>
      </w:pPr>
      <w:r>
        <w:rPr>
          <w:rFonts w:hint="eastAsia" w:ascii="金山简黑体" w:hAnsi="宋体" w:eastAsia="金山简黑体"/>
          <w:color w:val="auto"/>
          <w:spacing w:val="-8"/>
          <w:kern w:val="2"/>
          <w:sz w:val="44"/>
          <w:szCs w:val="44"/>
          <w:highlight w:val="none"/>
          <w:u w:val="single"/>
          <w:lang w:eastAsia="zh-CN"/>
        </w:rPr>
        <w:t>坛洛镇那坛村增朗坡蔬菜基地建设项目</w:t>
      </w:r>
    </w:p>
    <w:p w14:paraId="66CEAA60">
      <w:pPr>
        <w:pStyle w:val="18"/>
        <w:ind w:left="63" w:right="63"/>
        <w:rPr>
          <w:rFonts w:hint="eastAsia" w:ascii="金山简黑体" w:hAnsi="宋体" w:eastAsia="金山简黑体"/>
          <w:b w:val="0"/>
          <w:color w:val="auto"/>
          <w:spacing w:val="-8"/>
          <w:kern w:val="2"/>
          <w:sz w:val="44"/>
          <w:szCs w:val="44"/>
          <w:highlight w:val="none"/>
          <w:u w:val="single"/>
        </w:rPr>
      </w:pPr>
    </w:p>
    <w:p w14:paraId="3E735F90">
      <w:pPr>
        <w:pStyle w:val="18"/>
        <w:ind w:left="63" w:right="63"/>
        <w:rPr>
          <w:rFonts w:hint="eastAsia" w:ascii="宋体" w:hAnsi="宋体"/>
          <w:color w:val="auto"/>
          <w:spacing w:val="60"/>
          <w:szCs w:val="44"/>
          <w:highlight w:val="none"/>
        </w:rPr>
      </w:pPr>
    </w:p>
    <w:p w14:paraId="4D416D96">
      <w:pPr>
        <w:pStyle w:val="18"/>
        <w:adjustRightInd/>
        <w:spacing w:line="240" w:lineRule="auto"/>
        <w:ind w:left="63" w:right="63" w:firstLine="660"/>
        <w:textAlignment w:val="auto"/>
        <w:rPr>
          <w:rFonts w:hint="eastAsia" w:ascii="宋体" w:hAnsi="宋体"/>
          <w:b w:val="0"/>
          <w:color w:val="auto"/>
          <w:spacing w:val="60"/>
          <w:kern w:val="2"/>
          <w:sz w:val="44"/>
          <w:szCs w:val="44"/>
          <w:highlight w:val="none"/>
        </w:rPr>
      </w:pPr>
      <w:r>
        <w:rPr>
          <w:rFonts w:ascii="宋体" w:hAnsi="宋体"/>
          <w:color w:val="auto"/>
          <w:spacing w:val="60"/>
          <w:kern w:val="2"/>
          <w:sz w:val="44"/>
          <w:szCs w:val="44"/>
          <w:highlight w:val="none"/>
        </w:rPr>
        <w:t>施工合同</w:t>
      </w:r>
    </w:p>
    <w:p w14:paraId="7B0665AF">
      <w:pPr>
        <w:jc w:val="center"/>
        <w:rPr>
          <w:rFonts w:hint="eastAsia" w:hAnsi="宋体"/>
          <w:b/>
          <w:color w:val="auto"/>
          <w:sz w:val="32"/>
          <w:highlight w:val="none"/>
        </w:rPr>
      </w:pPr>
    </w:p>
    <w:p w14:paraId="0B441F9B">
      <w:pPr>
        <w:jc w:val="center"/>
        <w:rPr>
          <w:rFonts w:hint="eastAsia" w:hAnsi="宋体"/>
          <w:color w:val="auto"/>
          <w:sz w:val="28"/>
          <w:highlight w:val="none"/>
        </w:rPr>
      </w:pPr>
    </w:p>
    <w:p w14:paraId="521524B7">
      <w:pPr>
        <w:ind w:firstLine="1212" w:firstLineChars="379"/>
        <w:rPr>
          <w:rFonts w:hint="eastAsia" w:hAnsi="宋体"/>
          <w:color w:val="auto"/>
          <w:sz w:val="32"/>
          <w:highlight w:val="none"/>
        </w:rPr>
      </w:pPr>
      <w:r>
        <w:rPr>
          <w:rFonts w:hint="eastAsia" w:hAnsi="宋体"/>
          <w:color w:val="auto"/>
          <w:sz w:val="32"/>
          <w:highlight w:val="none"/>
        </w:rPr>
        <w:t xml:space="preserve"> </w:t>
      </w:r>
    </w:p>
    <w:p w14:paraId="6B7954C8">
      <w:pPr>
        <w:ind w:firstLine="1852" w:firstLineChars="579"/>
        <w:rPr>
          <w:rFonts w:hint="eastAsia" w:hAnsi="宋体"/>
          <w:color w:val="auto"/>
          <w:sz w:val="32"/>
          <w:highlight w:val="none"/>
        </w:rPr>
      </w:pPr>
      <w:r>
        <w:rPr>
          <w:rFonts w:hint="eastAsia" w:hAnsi="宋体"/>
          <w:color w:val="auto"/>
          <w:sz w:val="32"/>
          <w:highlight w:val="none"/>
        </w:rPr>
        <w:t>合同</w:t>
      </w:r>
      <w:r>
        <w:rPr>
          <w:rFonts w:hint="eastAsia" w:hAnsi="宋体"/>
          <w:color w:val="auto"/>
          <w:spacing w:val="6"/>
          <w:sz w:val="32"/>
          <w:highlight w:val="none"/>
        </w:rPr>
        <w:t>编号</w:t>
      </w:r>
      <w:r>
        <w:rPr>
          <w:rFonts w:hint="eastAsia" w:hAnsi="宋体"/>
          <w:color w:val="auto"/>
          <w:sz w:val="32"/>
          <w:highlight w:val="none"/>
        </w:rPr>
        <w:t>：</w:t>
      </w:r>
      <w:r>
        <w:rPr>
          <w:rFonts w:hint="eastAsia" w:hAnsi="宋体"/>
          <w:color w:val="auto"/>
          <w:sz w:val="32"/>
          <w:highlight w:val="none"/>
          <w:u w:val="single"/>
        </w:rPr>
        <w:t xml:space="preserve">             </w:t>
      </w:r>
    </w:p>
    <w:p w14:paraId="1DF0BD00">
      <w:pPr>
        <w:ind w:firstLine="1760" w:firstLineChars="550"/>
        <w:rPr>
          <w:rFonts w:hint="eastAsia" w:hAnsi="宋体"/>
          <w:color w:val="auto"/>
          <w:sz w:val="32"/>
          <w:highlight w:val="none"/>
        </w:rPr>
      </w:pPr>
    </w:p>
    <w:p w14:paraId="450B4094">
      <w:pPr>
        <w:ind w:firstLine="1760" w:firstLineChars="550"/>
        <w:rPr>
          <w:rFonts w:hint="eastAsia" w:hAnsi="宋体"/>
          <w:color w:val="auto"/>
          <w:sz w:val="32"/>
          <w:highlight w:val="none"/>
        </w:rPr>
      </w:pPr>
    </w:p>
    <w:p w14:paraId="52CC5651">
      <w:pPr>
        <w:ind w:firstLine="1760" w:firstLineChars="550"/>
        <w:rPr>
          <w:rFonts w:hint="eastAsia" w:hAnsi="宋体"/>
          <w:color w:val="auto"/>
          <w:sz w:val="32"/>
          <w:highlight w:val="none"/>
        </w:rPr>
      </w:pPr>
    </w:p>
    <w:p w14:paraId="682BAC10">
      <w:pPr>
        <w:ind w:firstLine="1760" w:firstLineChars="550"/>
        <w:rPr>
          <w:rFonts w:hint="eastAsia" w:hAnsi="宋体"/>
          <w:color w:val="auto"/>
          <w:sz w:val="32"/>
          <w:highlight w:val="none"/>
        </w:rPr>
      </w:pPr>
    </w:p>
    <w:p w14:paraId="5A3A2E6E">
      <w:pPr>
        <w:ind w:firstLine="1760" w:firstLineChars="550"/>
        <w:rPr>
          <w:rFonts w:hint="eastAsia" w:hAnsi="宋体"/>
          <w:color w:val="auto"/>
          <w:sz w:val="32"/>
          <w:highlight w:val="none"/>
        </w:rPr>
      </w:pPr>
      <w:r>
        <w:rPr>
          <w:rFonts w:hint="eastAsia" w:hAnsi="宋体"/>
          <w:color w:val="auto"/>
          <w:sz w:val="32"/>
          <w:highlight w:val="none"/>
        </w:rPr>
        <w:t>签订合同地点：</w:t>
      </w:r>
      <w:r>
        <w:rPr>
          <w:rFonts w:hint="eastAsia" w:hAnsi="宋体"/>
          <w:color w:val="auto"/>
          <w:sz w:val="32"/>
          <w:highlight w:val="none"/>
          <w:u w:val="single"/>
        </w:rPr>
        <w:t xml:space="preserve">     </w:t>
      </w:r>
      <w:r>
        <w:rPr>
          <w:rFonts w:hint="eastAsia" w:hAnsi="宋体"/>
          <w:color w:val="auto"/>
          <w:sz w:val="32"/>
          <w:highlight w:val="none"/>
          <w:u w:val="single"/>
          <w:lang w:val="en-US" w:eastAsia="zh-CN"/>
        </w:rPr>
        <w:t>南宁</w:t>
      </w:r>
      <w:r>
        <w:rPr>
          <w:rFonts w:hint="eastAsia" w:hAnsi="宋体"/>
          <w:color w:val="auto"/>
          <w:sz w:val="32"/>
          <w:highlight w:val="none"/>
          <w:u w:val="single"/>
        </w:rPr>
        <w:t xml:space="preserve">市       </w:t>
      </w:r>
    </w:p>
    <w:p w14:paraId="123AB920">
      <w:pPr>
        <w:pStyle w:val="26"/>
        <w:ind w:firstLine="1760" w:firstLineChars="550"/>
        <w:rPr>
          <w:rFonts w:hint="eastAsia" w:hAnsi="宋体"/>
          <w:color w:val="auto"/>
          <w:sz w:val="32"/>
          <w:highlight w:val="none"/>
        </w:rPr>
        <w:sectPr>
          <w:footerReference r:id="rId9" w:type="default"/>
          <w:pgSz w:w="11906" w:h="16838"/>
          <w:pgMar w:top="840" w:right="1006" w:bottom="1440" w:left="1020" w:header="851" w:footer="992" w:gutter="0"/>
          <w:cols w:space="720" w:num="1"/>
          <w:docGrid w:type="lines" w:linePitch="312" w:charSpace="0"/>
        </w:sectPr>
      </w:pPr>
      <w:r>
        <w:rPr>
          <w:rFonts w:hint="eastAsia" w:hAnsi="宋体"/>
          <w:color w:val="auto"/>
          <w:sz w:val="32"/>
          <w:highlight w:val="none"/>
        </w:rPr>
        <w:t>签订合同时间：</w:t>
      </w:r>
      <w:r>
        <w:rPr>
          <w:rFonts w:hint="eastAsia" w:hAnsi="宋体"/>
          <w:color w:val="auto"/>
          <w:sz w:val="32"/>
          <w:highlight w:val="none"/>
          <w:u w:val="single"/>
        </w:rPr>
        <w:t xml:space="preserve"> </w:t>
      </w:r>
      <w:r>
        <w:rPr>
          <w:rFonts w:hint="eastAsia" w:hAnsi="宋体"/>
          <w:color w:val="auto"/>
          <w:sz w:val="32"/>
          <w:highlight w:val="none"/>
          <w:u w:val="single"/>
          <w:lang w:eastAsia="zh-CN"/>
        </w:rPr>
        <w:t>2026年</w:t>
      </w:r>
      <w:r>
        <w:rPr>
          <w:rFonts w:hint="eastAsia" w:hAnsi="宋体"/>
          <w:color w:val="auto"/>
          <w:sz w:val="32"/>
          <w:highlight w:val="none"/>
          <w:u w:val="single"/>
        </w:rPr>
        <w:t xml:space="preserve">  </w:t>
      </w:r>
      <w:r>
        <w:rPr>
          <w:rFonts w:hint="eastAsia" w:hAnsi="宋体"/>
          <w:color w:val="auto"/>
          <w:sz w:val="32"/>
          <w:highlight w:val="none"/>
        </w:rPr>
        <w:t>月</w:t>
      </w:r>
      <w:r>
        <w:rPr>
          <w:rFonts w:hint="eastAsia" w:hAnsi="宋体"/>
          <w:color w:val="auto"/>
          <w:sz w:val="32"/>
          <w:highlight w:val="none"/>
          <w:u w:val="single"/>
        </w:rPr>
        <w:t xml:space="preserve">  </w:t>
      </w:r>
      <w:r>
        <w:rPr>
          <w:rFonts w:hint="eastAsia" w:hAnsi="宋体"/>
          <w:color w:val="auto"/>
          <w:sz w:val="32"/>
          <w:highlight w:val="none"/>
        </w:rPr>
        <w:t xml:space="preserve">日 </w:t>
      </w:r>
    </w:p>
    <w:p w14:paraId="0DCE58B5">
      <w:pPr>
        <w:pStyle w:val="3"/>
        <w:jc w:val="center"/>
        <w:rPr>
          <w:color w:val="auto"/>
          <w:highlight w:val="none"/>
        </w:rPr>
      </w:pPr>
      <w:r>
        <w:rPr>
          <w:rFonts w:hint="eastAsia"/>
          <w:color w:val="auto"/>
          <w:highlight w:val="none"/>
        </w:rPr>
        <w:t>第一部分 合同协议书</w:t>
      </w:r>
      <w:bookmarkEnd w:id="45"/>
      <w:bookmarkEnd w:id="46"/>
      <w:bookmarkEnd w:id="47"/>
      <w:bookmarkEnd w:id="48"/>
      <w:bookmarkEnd w:id="49"/>
      <w:bookmarkEnd w:id="50"/>
      <w:bookmarkEnd w:id="51"/>
      <w:bookmarkEnd w:id="52"/>
      <w:bookmarkEnd w:id="53"/>
    </w:p>
    <w:p w14:paraId="1A60F353">
      <w:pPr>
        <w:spacing w:line="360" w:lineRule="auto"/>
        <w:rPr>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发包人（全称）：</w:t>
      </w:r>
      <w:r>
        <w:rPr>
          <w:rFonts w:hint="eastAsia" w:hAnsi="宋体"/>
          <w:color w:val="000000" w:themeColor="text1"/>
          <w:highlight w:val="none"/>
          <w:u w:val="single"/>
          <w14:textFill>
            <w14:solidFill>
              <w14:schemeClr w14:val="tx1"/>
            </w14:solidFill>
          </w14:textFill>
        </w:rPr>
        <w:t xml:space="preserve"> </w:t>
      </w:r>
      <w:r>
        <w:rPr>
          <w:rFonts w:hAnsi="宋体"/>
          <w:color w:val="000000" w:themeColor="text1"/>
          <w:highlight w:val="none"/>
          <w:u w:val="single"/>
          <w14:textFill>
            <w14:solidFill>
              <w14:schemeClr w14:val="tx1"/>
            </w14:solidFill>
          </w14:textFill>
        </w:rPr>
        <w:t xml:space="preserve">          </w:t>
      </w:r>
    </w:p>
    <w:p w14:paraId="6E8332A1">
      <w:pPr>
        <w:spacing w:line="360" w:lineRule="auto"/>
        <w:rPr>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承包人（全称）：</w:t>
      </w:r>
    </w:p>
    <w:p w14:paraId="6635C3C2">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根据《中华人民共和国民法典》、《中华人民共和国建筑法》及有关法律规定，遵循平等、自愿、公平和诚实信用的原则，双方就工程施工及有关事项协商一致，共同达成如下协议：</w:t>
      </w:r>
      <w:bookmarkStart w:id="54" w:name="_Toc351203481"/>
    </w:p>
    <w:p w14:paraId="33B94E63">
      <w:pPr>
        <w:spacing w:line="360" w:lineRule="auto"/>
        <w:ind w:firstLine="422" w:firstLineChars="200"/>
        <w:outlineLvl w:val="0"/>
        <w:rPr>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一、工程概况</w:t>
      </w:r>
      <w:bookmarkEnd w:id="54"/>
    </w:p>
    <w:p w14:paraId="1B1CB9B4">
      <w:pPr>
        <w:spacing w:line="360" w:lineRule="auto"/>
        <w:ind w:firstLine="411" w:firstLineChars="196"/>
        <w:rPr>
          <w:color w:val="000000" w:themeColor="text1"/>
          <w:highlight w:val="none"/>
          <w:u w:val="singl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hAnsi="宋体" w:cs="宋体"/>
          <w:color w:val="000000" w:themeColor="text1"/>
          <w:highlight w:val="none"/>
          <w14:textFill>
            <w14:solidFill>
              <w14:schemeClr w14:val="tx1"/>
            </w14:solidFill>
          </w14:textFill>
        </w:rPr>
        <w:t>工程名称：。</w:t>
      </w:r>
    </w:p>
    <w:p w14:paraId="124D8A14">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 </w:t>
      </w:r>
      <w:r>
        <w:rPr>
          <w:rFonts w:hint="eastAsia" w:hAnsi="宋体" w:cs="宋体"/>
          <w:color w:val="000000" w:themeColor="text1"/>
          <w:highlight w:val="none"/>
          <w14:textFill>
            <w14:solidFill>
              <w14:schemeClr w14:val="tx1"/>
            </w14:solidFill>
          </w14:textFill>
        </w:rPr>
        <w:t>工程地点：。</w:t>
      </w:r>
    </w:p>
    <w:p w14:paraId="335E6DC8">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 </w:t>
      </w:r>
      <w:r>
        <w:rPr>
          <w:rFonts w:hint="eastAsia" w:hAnsi="宋体" w:cs="宋体"/>
          <w:color w:val="000000" w:themeColor="text1"/>
          <w:highlight w:val="none"/>
          <w14:textFill>
            <w14:solidFill>
              <w14:schemeClr w14:val="tx1"/>
            </w14:solidFill>
          </w14:textFill>
        </w:rPr>
        <w:t>工程立项批准文号：。</w:t>
      </w:r>
    </w:p>
    <w:p w14:paraId="57F54AC3">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4. </w:t>
      </w:r>
      <w:r>
        <w:rPr>
          <w:rFonts w:hint="eastAsia" w:hAnsi="宋体" w:cs="宋体"/>
          <w:color w:val="000000" w:themeColor="text1"/>
          <w:highlight w:val="none"/>
          <w14:textFill>
            <w14:solidFill>
              <w14:schemeClr w14:val="tx1"/>
            </w14:solidFill>
          </w14:textFill>
        </w:rPr>
        <w:t>资金来源：</w:t>
      </w:r>
      <w:r>
        <w:rPr>
          <w:rFonts w:hint="eastAsia"/>
          <w:color w:val="000000" w:themeColor="text1"/>
          <w:highlight w:val="none"/>
          <w:u w:val="single"/>
          <w14:textFill>
            <w14:solidFill>
              <w14:schemeClr w14:val="tx1"/>
            </w14:solidFill>
          </w14:textFill>
        </w:rPr>
        <w:t xml:space="preserve">       财政性资金                   </w:t>
      </w:r>
      <w:r>
        <w:rPr>
          <w:rFonts w:hint="eastAsia" w:hAnsi="宋体" w:cs="宋体"/>
          <w:color w:val="000000" w:themeColor="text1"/>
          <w:highlight w:val="none"/>
          <w14:textFill>
            <w14:solidFill>
              <w14:schemeClr w14:val="tx1"/>
            </w14:solidFill>
          </w14:textFill>
        </w:rPr>
        <w:t>。</w:t>
      </w:r>
    </w:p>
    <w:p w14:paraId="210965E2">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5. </w:t>
      </w:r>
      <w:r>
        <w:rPr>
          <w:rFonts w:hint="eastAsia" w:hAnsi="宋体" w:cs="宋体"/>
          <w:color w:val="000000" w:themeColor="text1"/>
          <w:highlight w:val="none"/>
          <w14:textFill>
            <w14:solidFill>
              <w14:schemeClr w14:val="tx1"/>
            </w14:solidFill>
          </w14:textFill>
        </w:rPr>
        <w:t>工程内容：。</w:t>
      </w:r>
    </w:p>
    <w:p w14:paraId="520A9810">
      <w:pPr>
        <w:spacing w:line="360" w:lineRule="auto"/>
        <w:ind w:firstLine="411" w:firstLineChars="19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6. </w:t>
      </w:r>
      <w:r>
        <w:rPr>
          <w:rFonts w:hint="eastAsia" w:hAnsi="宋体" w:cs="宋体"/>
          <w:color w:val="000000" w:themeColor="text1"/>
          <w:highlight w:val="none"/>
          <w14:textFill>
            <w14:solidFill>
              <w14:schemeClr w14:val="tx1"/>
            </w14:solidFill>
          </w14:textFill>
        </w:rPr>
        <w:t>工程承包范围：</w:t>
      </w:r>
    </w:p>
    <w:p w14:paraId="06FE95F0">
      <w:pPr>
        <w:spacing w:line="360" w:lineRule="auto"/>
        <w:ind w:firstLine="407" w:firstLineChars="193"/>
        <w:outlineLvl w:val="0"/>
        <w:rPr>
          <w:b/>
          <w:bCs/>
          <w:color w:val="000000" w:themeColor="text1"/>
          <w:highlight w:val="none"/>
          <w14:textFill>
            <w14:solidFill>
              <w14:schemeClr w14:val="tx1"/>
            </w14:solidFill>
          </w14:textFill>
        </w:rPr>
      </w:pPr>
      <w:bookmarkStart w:id="55" w:name="_Toc351203482"/>
      <w:r>
        <w:rPr>
          <w:rFonts w:hint="eastAsia" w:hAnsi="宋体" w:cs="宋体"/>
          <w:b/>
          <w:bCs/>
          <w:color w:val="000000" w:themeColor="text1"/>
          <w:highlight w:val="none"/>
          <w14:textFill>
            <w14:solidFill>
              <w14:schemeClr w14:val="tx1"/>
            </w14:solidFill>
          </w14:textFill>
        </w:rPr>
        <w:t>二、合同工期</w:t>
      </w:r>
      <w:bookmarkEnd w:id="55"/>
    </w:p>
    <w:p w14:paraId="64CBCB7B">
      <w:pPr>
        <w:spacing w:line="360" w:lineRule="auto"/>
        <w:ind w:firstLine="459"/>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计划开工日期：</w:t>
      </w:r>
      <w:r>
        <w:rPr>
          <w:rFonts w:hint="eastAsia" w:hAnsi="宋体"/>
          <w:color w:val="000000" w:themeColor="text1"/>
          <w:highlight w:val="none"/>
          <w14:textFill>
            <w14:solidFill>
              <w14:schemeClr w14:val="tx1"/>
            </w14:solidFill>
          </w14:textFill>
        </w:rPr>
        <w:t>×年×月×日</w:t>
      </w:r>
      <w:r>
        <w:rPr>
          <w:rFonts w:hAnsi="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（具体以发包人书面通知为准）</w:t>
      </w:r>
    </w:p>
    <w:p w14:paraId="3234319E">
      <w:pPr>
        <w:spacing w:line="360" w:lineRule="auto"/>
        <w:ind w:firstLine="459"/>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计划竣工日期：</w:t>
      </w:r>
      <w:r>
        <w:rPr>
          <w:rFonts w:hint="eastAsia" w:hAnsi="宋体"/>
          <w:color w:val="000000" w:themeColor="text1"/>
          <w:highlight w:val="none"/>
          <w14:textFill>
            <w14:solidFill>
              <w14:schemeClr w14:val="tx1"/>
            </w14:solidFill>
          </w14:textFill>
        </w:rPr>
        <w:t>×年×月×日</w:t>
      </w:r>
      <w:r>
        <w:rPr>
          <w:rFonts w:hint="eastAsia" w:hAnsi="宋体" w:cs="宋体"/>
          <w:color w:val="000000" w:themeColor="text1"/>
          <w:highlight w:val="none"/>
          <w14:textFill>
            <w14:solidFill>
              <w14:schemeClr w14:val="tx1"/>
            </w14:solidFill>
          </w14:textFill>
        </w:rPr>
        <w:t>。</w:t>
      </w:r>
    </w:p>
    <w:p w14:paraId="614DCD84">
      <w:pPr>
        <w:spacing w:line="360" w:lineRule="auto"/>
        <w:ind w:firstLine="459"/>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工期总日历天数：天。工期总日历天数与根据前述计划开竣工日期计算的工期天数不一致的，以工期总日历天数为准。</w:t>
      </w:r>
    </w:p>
    <w:p w14:paraId="43391DDA">
      <w:pPr>
        <w:spacing w:line="360" w:lineRule="auto"/>
        <w:ind w:firstLine="459"/>
        <w:outlineLvl w:val="0"/>
        <w:rPr>
          <w:b/>
          <w:bCs/>
          <w:color w:val="000000" w:themeColor="text1"/>
          <w:highlight w:val="none"/>
          <w14:textFill>
            <w14:solidFill>
              <w14:schemeClr w14:val="tx1"/>
            </w14:solidFill>
          </w14:textFill>
        </w:rPr>
      </w:pPr>
      <w:bookmarkStart w:id="56" w:name="_Toc351203483"/>
      <w:r>
        <w:rPr>
          <w:rFonts w:hint="eastAsia" w:hAnsi="宋体" w:cs="宋体"/>
          <w:b/>
          <w:bCs/>
          <w:color w:val="000000" w:themeColor="text1"/>
          <w:highlight w:val="none"/>
          <w14:textFill>
            <w14:solidFill>
              <w14:schemeClr w14:val="tx1"/>
            </w14:solidFill>
          </w14:textFill>
        </w:rPr>
        <w:t>三、质量标准</w:t>
      </w:r>
      <w:bookmarkEnd w:id="56"/>
    </w:p>
    <w:p w14:paraId="3862F2F3">
      <w:pPr>
        <w:spacing w:line="360" w:lineRule="auto"/>
        <w:ind w:firstLine="459"/>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工程质量符合</w:t>
      </w:r>
      <w:r>
        <w:rPr>
          <w:rFonts w:hint="eastAsia" w:eastAsia="仿宋_GB2312"/>
          <w:color w:val="000000" w:themeColor="text1"/>
          <w:highlight w:val="none"/>
          <w:u w:val="single"/>
          <w14:textFill>
            <w14:solidFill>
              <w14:schemeClr w14:val="tx1"/>
            </w14:solidFill>
          </w14:textFill>
        </w:rPr>
        <w:t xml:space="preserve">合格    </w:t>
      </w:r>
      <w:r>
        <w:rPr>
          <w:rFonts w:hint="eastAsia" w:hAnsi="宋体" w:cs="宋体"/>
          <w:color w:val="000000" w:themeColor="text1"/>
          <w:highlight w:val="none"/>
          <w14:textFill>
            <w14:solidFill>
              <w14:schemeClr w14:val="tx1"/>
            </w14:solidFill>
          </w14:textFill>
        </w:rPr>
        <w:t>标准。</w:t>
      </w:r>
    </w:p>
    <w:p w14:paraId="7F8F89F8">
      <w:pPr>
        <w:spacing w:line="360" w:lineRule="auto"/>
        <w:ind w:firstLine="459"/>
        <w:outlineLvl w:val="0"/>
        <w:rPr>
          <w:rFonts w:hAnsi="宋体"/>
          <w:b/>
          <w:bCs/>
          <w:color w:val="000000" w:themeColor="text1"/>
          <w:highlight w:val="none"/>
          <w14:textFill>
            <w14:solidFill>
              <w14:schemeClr w14:val="tx1"/>
            </w14:solidFill>
          </w14:textFill>
        </w:rPr>
      </w:pPr>
      <w:bookmarkStart w:id="57" w:name="_Toc351203484"/>
      <w:r>
        <w:rPr>
          <w:rFonts w:hint="eastAsia" w:hAnsi="宋体" w:cs="宋体"/>
          <w:b/>
          <w:bCs/>
          <w:color w:val="000000" w:themeColor="text1"/>
          <w:highlight w:val="none"/>
          <w14:textFill>
            <w14:solidFill>
              <w14:schemeClr w14:val="tx1"/>
            </w14:solidFill>
          </w14:textFill>
        </w:rPr>
        <w:t>四、签约合同价与合同价格形式</w:t>
      </w:r>
      <w:bookmarkEnd w:id="57"/>
    </w:p>
    <w:p w14:paraId="0B4C7B7F">
      <w:pPr>
        <w:spacing w:line="360" w:lineRule="auto"/>
        <w:ind w:firstLine="459"/>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hAnsi="宋体" w:cs="宋体"/>
          <w:color w:val="000000" w:themeColor="text1"/>
          <w:highlight w:val="none"/>
          <w14:textFill>
            <w14:solidFill>
              <w14:schemeClr w14:val="tx1"/>
            </w14:solidFill>
          </w14:textFill>
        </w:rPr>
        <w:t>签约合同价为：</w:t>
      </w:r>
    </w:p>
    <w:p w14:paraId="45AF40A5">
      <w:pPr>
        <w:spacing w:line="360" w:lineRule="auto"/>
        <w:ind w:firstLine="525" w:firstLineChars="2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76E97535">
      <w:pPr>
        <w:spacing w:line="360" w:lineRule="auto"/>
        <w:ind w:firstLine="525" w:firstLineChars="2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其中：</w:t>
      </w:r>
    </w:p>
    <w:p w14:paraId="28333173">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）安全文明施工费：</w:t>
      </w:r>
    </w:p>
    <w:p w14:paraId="57FB679C">
      <w:pPr>
        <w:spacing w:line="360" w:lineRule="auto"/>
        <w:ind w:left="420" w:leftChars="200" w:firstLine="525" w:firstLineChars="2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280636BE">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）材料和工程设备暂估价金额：</w:t>
      </w:r>
    </w:p>
    <w:p w14:paraId="6E685414">
      <w:pPr>
        <w:spacing w:line="360" w:lineRule="auto"/>
        <w:ind w:firstLine="945" w:firstLineChars="45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7A002664">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hAnsi="宋体" w:cs="宋体"/>
          <w:color w:val="000000" w:themeColor="text1"/>
          <w:highlight w:val="none"/>
          <w14:textFill>
            <w14:solidFill>
              <w14:schemeClr w14:val="tx1"/>
            </w14:solidFill>
          </w14:textFill>
        </w:rPr>
        <w:t>）专业工程暂估价金额：</w:t>
      </w:r>
    </w:p>
    <w:p w14:paraId="5BB32E78">
      <w:pPr>
        <w:spacing w:line="360" w:lineRule="auto"/>
        <w:ind w:firstLine="945" w:firstLineChars="45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4FE43C6A">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hAnsi="宋体" w:cs="宋体"/>
          <w:color w:val="000000" w:themeColor="text1"/>
          <w:highlight w:val="none"/>
          <w14:textFill>
            <w14:solidFill>
              <w14:schemeClr w14:val="tx1"/>
            </w14:solidFill>
          </w14:textFill>
        </w:rPr>
        <w:t>）暂列金额：</w:t>
      </w:r>
    </w:p>
    <w:p w14:paraId="4BB13AD2">
      <w:pPr>
        <w:spacing w:line="360" w:lineRule="auto"/>
        <w:ind w:firstLine="945" w:firstLineChars="45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人民币（大写）</w:t>
      </w:r>
      <w:r>
        <w:rPr>
          <w:rFonts w:hint="eastAsia" w:cs="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元</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w:t>
      </w:r>
    </w:p>
    <w:p w14:paraId="71D2F6AE">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 </w:t>
      </w:r>
      <w:r>
        <w:rPr>
          <w:rFonts w:hint="eastAsia" w:hAnsi="宋体" w:cs="宋体"/>
          <w:color w:val="000000" w:themeColor="text1"/>
          <w:highlight w:val="none"/>
          <w14:textFill>
            <w14:solidFill>
              <w14:schemeClr w14:val="tx1"/>
            </w14:solidFill>
          </w14:textFill>
        </w:rPr>
        <w:t>合同价格形式：。</w:t>
      </w:r>
    </w:p>
    <w:p w14:paraId="3E8D0E3B">
      <w:pPr>
        <w:spacing w:line="360" w:lineRule="auto"/>
        <w:ind w:firstLine="422" w:firstLineChars="200"/>
        <w:outlineLvl w:val="0"/>
        <w:rPr>
          <w:b/>
          <w:bCs/>
          <w:color w:val="000000" w:themeColor="text1"/>
          <w:highlight w:val="none"/>
          <w14:textFill>
            <w14:solidFill>
              <w14:schemeClr w14:val="tx1"/>
            </w14:solidFill>
          </w14:textFill>
        </w:rPr>
      </w:pPr>
      <w:bookmarkStart w:id="58" w:name="_Toc351203485"/>
      <w:r>
        <w:rPr>
          <w:rFonts w:hint="eastAsia" w:hAnsi="宋体" w:cs="宋体"/>
          <w:b/>
          <w:bCs/>
          <w:color w:val="000000" w:themeColor="text1"/>
          <w:highlight w:val="none"/>
          <w14:textFill>
            <w14:solidFill>
              <w14:schemeClr w14:val="tx1"/>
            </w14:solidFill>
          </w14:textFill>
        </w:rPr>
        <w:t>五、</w:t>
      </w:r>
      <w:bookmarkEnd w:id="58"/>
      <w:r>
        <w:rPr>
          <w:rFonts w:hint="eastAsia" w:hAnsi="宋体" w:cs="宋体"/>
          <w:b/>
          <w:bCs/>
          <w:color w:val="000000" w:themeColor="text1"/>
          <w:highlight w:val="none"/>
          <w14:textFill>
            <w14:solidFill>
              <w14:schemeClr w14:val="tx1"/>
            </w14:solidFill>
          </w14:textFill>
        </w:rPr>
        <w:t>项目经理</w:t>
      </w:r>
    </w:p>
    <w:p w14:paraId="00D1971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承包人项目经理：。</w:t>
      </w:r>
    </w:p>
    <w:p w14:paraId="44345CA1">
      <w:pPr>
        <w:spacing w:line="360" w:lineRule="auto"/>
        <w:ind w:firstLine="422" w:firstLineChars="200"/>
        <w:outlineLvl w:val="0"/>
        <w:rPr>
          <w:b/>
          <w:bCs/>
          <w:color w:val="000000" w:themeColor="text1"/>
          <w:highlight w:val="none"/>
          <w14:textFill>
            <w14:solidFill>
              <w14:schemeClr w14:val="tx1"/>
            </w14:solidFill>
          </w14:textFill>
        </w:rPr>
      </w:pPr>
      <w:bookmarkStart w:id="59" w:name="_Toc351203486"/>
      <w:r>
        <w:rPr>
          <w:rFonts w:hint="eastAsia" w:hAnsi="宋体" w:cs="宋体"/>
          <w:b/>
          <w:bCs/>
          <w:color w:val="000000" w:themeColor="text1"/>
          <w:highlight w:val="none"/>
          <w14:textFill>
            <w14:solidFill>
              <w14:schemeClr w14:val="tx1"/>
            </w14:solidFill>
          </w14:textFill>
        </w:rPr>
        <w:t>六、合同文件构成</w:t>
      </w:r>
      <w:bookmarkEnd w:id="59"/>
    </w:p>
    <w:p w14:paraId="2C47DB81">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本协议书与下列文件一起构成合同文件：</w:t>
      </w:r>
    </w:p>
    <w:p w14:paraId="33EFDF1B">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（1）合同协议书；</w:t>
      </w:r>
    </w:p>
    <w:p w14:paraId="1FB2CE58">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（2）成交通知书；</w:t>
      </w:r>
    </w:p>
    <w:p w14:paraId="4AA046AD">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w:t>
      </w:r>
      <w:r>
        <w:rPr>
          <w:rFonts w:hint="eastAsia" w:hAnsi="宋体" w:cs="宋体"/>
          <w:highlight w:val="none"/>
        </w:rPr>
        <w:t>响应文件</w:t>
      </w:r>
      <w:r>
        <w:rPr>
          <w:rFonts w:hint="eastAsia" w:hAnsi="宋体" w:cs="宋体"/>
          <w:color w:val="000000" w:themeColor="text1"/>
          <w:highlight w:val="none"/>
          <w14:textFill>
            <w14:solidFill>
              <w14:schemeClr w14:val="tx1"/>
            </w14:solidFill>
          </w14:textFill>
        </w:rPr>
        <w:t>、竞标函及竞标函附录；</w:t>
      </w:r>
    </w:p>
    <w:p w14:paraId="44E957B4">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（4）专用合同条款及其附件；</w:t>
      </w:r>
    </w:p>
    <w:p w14:paraId="31C0AC67">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（5）通用合同条款；</w:t>
      </w:r>
    </w:p>
    <w:p w14:paraId="5EAACA5D">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（6）技术标准和要求；</w:t>
      </w:r>
    </w:p>
    <w:p w14:paraId="05F10F38">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（7）图纸；</w:t>
      </w:r>
    </w:p>
    <w:p w14:paraId="6A93CFC9">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（8）已标价工程量清单或预算书；</w:t>
      </w:r>
    </w:p>
    <w:p w14:paraId="2A66C589">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（9）磋商文件（含补充通知和答疑）；</w:t>
      </w:r>
    </w:p>
    <w:p w14:paraId="29B49E20">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w:t>
      </w:r>
      <w:r>
        <w:rPr>
          <w:rFonts w:hint="eastAsia" w:hAnsi="宋体" w:cs="宋体"/>
          <w:color w:val="000000" w:themeColor="text1"/>
          <w:highlight w:val="none"/>
          <w:lang w:val="en-US" w:eastAsia="zh-CN"/>
          <w14:textFill>
            <w14:solidFill>
              <w14:schemeClr w14:val="tx1"/>
            </w14:solidFill>
          </w14:textFill>
        </w:rPr>
        <w:t>0</w:t>
      </w:r>
      <w:r>
        <w:rPr>
          <w:rFonts w:hint="eastAsia" w:hAnsi="宋体" w:cs="宋体"/>
          <w:color w:val="000000" w:themeColor="text1"/>
          <w:highlight w:val="none"/>
          <w14:textFill>
            <w14:solidFill>
              <w14:schemeClr w14:val="tx1"/>
            </w14:solidFill>
          </w14:textFill>
        </w:rPr>
        <w:t>）其他合同文件（</w:t>
      </w:r>
      <w:r>
        <w:rPr>
          <w:rFonts w:hint="eastAsia" w:ascii="宋体" w:hAnsi="宋体"/>
          <w:color w:val="000000" w:themeColor="text1"/>
          <w:highlight w:val="none"/>
          <w14:textFill>
            <w14:solidFill>
              <w14:schemeClr w14:val="tx1"/>
            </w14:solidFill>
          </w14:textFill>
        </w:rPr>
        <w:t xml:space="preserve"> 在合同订立及履行过程中形成的与合同有关的文件均构成合同文件组成部分。</w:t>
      </w:r>
      <w:r>
        <w:rPr>
          <w:rFonts w:hint="eastAsia" w:hAnsi="宋体" w:cs="宋体"/>
          <w:color w:val="000000" w:themeColor="text1"/>
          <w:highlight w:val="none"/>
          <w14:textFill>
            <w14:solidFill>
              <w14:schemeClr w14:val="tx1"/>
            </w14:solidFill>
          </w14:textFill>
        </w:rPr>
        <w:t>）。</w:t>
      </w:r>
    </w:p>
    <w:p w14:paraId="69693C01">
      <w:pPr>
        <w:autoSpaceDE w:val="0"/>
        <w:autoSpaceDN w:val="0"/>
        <w:adjustRightInd w:val="0"/>
        <w:spacing w:line="360" w:lineRule="auto"/>
        <w:ind w:firstLine="420" w:firstLineChars="200"/>
        <w:jc w:val="left"/>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上述各项合同文件包括合同当事人就该项合同文件所作出的补充和修改，属于同一类内容的文件，应以最新签署的为准（违反磋商文件</w:t>
      </w:r>
      <w:r>
        <w:rPr>
          <w:rFonts w:hAnsi="宋体" w:cs="宋体"/>
          <w:color w:val="000000" w:themeColor="text1"/>
          <w:highlight w:val="none"/>
          <w14:textFill>
            <w14:solidFill>
              <w14:schemeClr w14:val="tx1"/>
            </w14:solidFill>
          </w14:textFill>
        </w:rPr>
        <w:t>实质性内容的约定除外</w:t>
      </w:r>
      <w:r>
        <w:rPr>
          <w:rFonts w:hint="eastAsia" w:hAnsi="宋体" w:cs="宋体"/>
          <w:color w:val="000000" w:themeColor="text1"/>
          <w:highlight w:val="none"/>
          <w14:textFill>
            <w14:solidFill>
              <w14:schemeClr w14:val="tx1"/>
            </w14:solidFill>
          </w14:textFill>
        </w:rPr>
        <w:t>）。专用合同条款及其附件须经合同当事人签字或盖章。</w:t>
      </w:r>
    </w:p>
    <w:p w14:paraId="1A513D56">
      <w:pPr>
        <w:autoSpaceDE w:val="0"/>
        <w:autoSpaceDN w:val="0"/>
        <w:adjustRightInd w:val="0"/>
        <w:spacing w:line="360" w:lineRule="auto"/>
        <w:ind w:firstLine="422" w:firstLineChars="200"/>
        <w:jc w:val="left"/>
        <w:outlineLvl w:val="0"/>
        <w:rPr>
          <w:b/>
          <w:bCs/>
          <w:color w:val="000000" w:themeColor="text1"/>
          <w:highlight w:val="none"/>
          <w14:textFill>
            <w14:solidFill>
              <w14:schemeClr w14:val="tx1"/>
            </w14:solidFill>
          </w14:textFill>
        </w:rPr>
      </w:pPr>
      <w:bookmarkStart w:id="60" w:name="_Toc351203487"/>
      <w:r>
        <w:rPr>
          <w:rFonts w:hint="eastAsia" w:hAnsi="宋体" w:cs="宋体"/>
          <w:b/>
          <w:bCs/>
          <w:color w:val="000000" w:themeColor="text1"/>
          <w:highlight w:val="none"/>
          <w14:textFill>
            <w14:solidFill>
              <w14:schemeClr w14:val="tx1"/>
            </w14:solidFill>
          </w14:textFill>
        </w:rPr>
        <w:t>七、承诺</w:t>
      </w:r>
      <w:bookmarkEnd w:id="60"/>
    </w:p>
    <w:p w14:paraId="5D8AD7E0">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1. </w:t>
      </w:r>
      <w:r>
        <w:rPr>
          <w:rFonts w:hint="eastAsia" w:hAnsi="宋体" w:cs="宋体"/>
          <w:color w:val="000000" w:themeColor="text1"/>
          <w:highlight w:val="none"/>
          <w14:textFill>
            <w14:solidFill>
              <w14:schemeClr w14:val="tx1"/>
            </w14:solidFill>
          </w14:textFill>
        </w:rPr>
        <w:t>发包人承诺按照法律规定履行项目审批手续、筹集工程建设资金并按照合同约定的期限和方式支付合同价款。</w:t>
      </w:r>
    </w:p>
    <w:p w14:paraId="5B75FBB2">
      <w:pPr>
        <w:spacing w:line="360" w:lineRule="auto"/>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2. </w:t>
      </w:r>
      <w:r>
        <w:rPr>
          <w:rFonts w:hint="eastAsia" w:hAnsi="宋体" w:cs="宋体"/>
          <w:color w:val="000000" w:themeColor="text1"/>
          <w:highlight w:val="none"/>
          <w14:textFill>
            <w14:solidFill>
              <w14:schemeClr w14:val="tx1"/>
            </w14:solidFill>
          </w14:textFill>
        </w:rPr>
        <w:t>承包人承诺按照法律规定及合同约定组织完成工程施工，确保工程质量和安全，不进行转包及违法分包，并在缺陷责任期及保修期内承担相应的工程维修责任。</w:t>
      </w:r>
    </w:p>
    <w:p w14:paraId="36896E8E">
      <w:pPr>
        <w:spacing w:line="360" w:lineRule="auto"/>
        <w:ind w:firstLine="420" w:firstLineChars="200"/>
        <w:rPr>
          <w:rFonts w:hAnsi="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3. </w:t>
      </w:r>
      <w:r>
        <w:rPr>
          <w:rFonts w:hint="eastAsia" w:hAnsi="宋体" w:cs="宋体"/>
          <w:color w:val="000000" w:themeColor="text1"/>
          <w:highlight w:val="none"/>
          <w14:textFill>
            <w14:solidFill>
              <w14:schemeClr w14:val="tx1"/>
            </w14:solidFill>
          </w14:textFill>
        </w:rPr>
        <w:t>发包人和承包人通过招投标形式签订合同的，双方理解并承诺不再就同一工程另行签订与合同实质性内容相背离的协议。</w:t>
      </w:r>
      <w:bookmarkStart w:id="61" w:name="_Toc351203488"/>
    </w:p>
    <w:p w14:paraId="234A7213">
      <w:pPr>
        <w:spacing w:line="360" w:lineRule="auto"/>
        <w:ind w:firstLine="422" w:firstLineChars="200"/>
        <w:outlineLvl w:val="0"/>
        <w:rPr>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八、词语含义</w:t>
      </w:r>
      <w:bookmarkEnd w:id="61"/>
    </w:p>
    <w:p w14:paraId="6A0FB116">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本协议书中词语含义与第二部分通用合同条款中赋予的含义相同。</w:t>
      </w:r>
    </w:p>
    <w:p w14:paraId="3F661DCC">
      <w:pPr>
        <w:spacing w:line="360" w:lineRule="auto"/>
        <w:ind w:firstLine="422" w:firstLineChars="200"/>
        <w:outlineLvl w:val="0"/>
        <w:rPr>
          <w:b/>
          <w:bCs/>
          <w:color w:val="000000" w:themeColor="text1"/>
          <w:highlight w:val="none"/>
          <w14:textFill>
            <w14:solidFill>
              <w14:schemeClr w14:val="tx1"/>
            </w14:solidFill>
          </w14:textFill>
        </w:rPr>
      </w:pPr>
      <w:bookmarkStart w:id="62" w:name="_Toc351203489"/>
      <w:r>
        <w:rPr>
          <w:rFonts w:hint="eastAsia" w:hAnsi="宋体" w:cs="宋体"/>
          <w:b/>
          <w:bCs/>
          <w:color w:val="000000" w:themeColor="text1"/>
          <w:highlight w:val="none"/>
          <w14:textFill>
            <w14:solidFill>
              <w14:schemeClr w14:val="tx1"/>
            </w14:solidFill>
          </w14:textFill>
        </w:rPr>
        <w:t>九、签订时间</w:t>
      </w:r>
      <w:bookmarkEnd w:id="62"/>
    </w:p>
    <w:p w14:paraId="44BC91CC">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本合同于×年×月×日签订。</w:t>
      </w:r>
    </w:p>
    <w:p w14:paraId="5AEE9EC8">
      <w:pPr>
        <w:spacing w:line="360" w:lineRule="auto"/>
        <w:ind w:firstLine="422" w:firstLineChars="200"/>
        <w:outlineLvl w:val="0"/>
        <w:rPr>
          <w:b/>
          <w:bCs/>
          <w:color w:val="000000" w:themeColor="text1"/>
          <w:highlight w:val="none"/>
          <w14:textFill>
            <w14:solidFill>
              <w14:schemeClr w14:val="tx1"/>
            </w14:solidFill>
          </w14:textFill>
        </w:rPr>
      </w:pPr>
      <w:bookmarkStart w:id="63" w:name="_Toc351203490"/>
      <w:r>
        <w:rPr>
          <w:rFonts w:hint="eastAsia" w:hAnsi="宋体" w:cs="宋体"/>
          <w:b/>
          <w:bCs/>
          <w:color w:val="000000" w:themeColor="text1"/>
          <w:highlight w:val="none"/>
          <w14:textFill>
            <w14:solidFill>
              <w14:schemeClr w14:val="tx1"/>
            </w14:solidFill>
          </w14:textFill>
        </w:rPr>
        <w:t>十、签订地点</w:t>
      </w:r>
      <w:bookmarkEnd w:id="63"/>
    </w:p>
    <w:p w14:paraId="17B95071">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本合同在</w:t>
      </w:r>
      <w:r>
        <w:rPr>
          <w:rFonts w:hint="eastAsia" w:hAnsi="宋体" w:cs="宋体"/>
          <w:color w:val="000000" w:themeColor="text1"/>
          <w:highlight w:val="none"/>
          <w:u w:val="single"/>
          <w:lang w:val="en-US" w:eastAsia="zh-CN"/>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签订。</w:t>
      </w:r>
    </w:p>
    <w:p w14:paraId="5DB731D2">
      <w:pPr>
        <w:spacing w:line="360" w:lineRule="auto"/>
        <w:ind w:firstLine="422" w:firstLineChars="200"/>
        <w:outlineLvl w:val="0"/>
        <w:rPr>
          <w:b/>
          <w:bCs/>
          <w:color w:val="000000" w:themeColor="text1"/>
          <w:highlight w:val="none"/>
          <w14:textFill>
            <w14:solidFill>
              <w14:schemeClr w14:val="tx1"/>
            </w14:solidFill>
          </w14:textFill>
        </w:rPr>
      </w:pPr>
      <w:bookmarkStart w:id="64" w:name="_Toc351203491"/>
      <w:r>
        <w:rPr>
          <w:rFonts w:hint="eastAsia" w:hAnsi="宋体" w:cs="宋体"/>
          <w:b/>
          <w:bCs/>
          <w:color w:val="000000" w:themeColor="text1"/>
          <w:highlight w:val="none"/>
          <w14:textFill>
            <w14:solidFill>
              <w14:schemeClr w14:val="tx1"/>
            </w14:solidFill>
          </w14:textFill>
        </w:rPr>
        <w:t>十一、补充协议</w:t>
      </w:r>
      <w:bookmarkEnd w:id="64"/>
    </w:p>
    <w:p w14:paraId="5B34625E">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合同未尽事宜，合同当事人另行签订补充协议，补充协议是合同的组成部分。</w:t>
      </w:r>
    </w:p>
    <w:p w14:paraId="00F9E90F">
      <w:pPr>
        <w:spacing w:line="360" w:lineRule="auto"/>
        <w:ind w:firstLine="422" w:firstLineChars="200"/>
        <w:outlineLvl w:val="0"/>
        <w:rPr>
          <w:b/>
          <w:bCs/>
          <w:color w:val="000000" w:themeColor="text1"/>
          <w:highlight w:val="none"/>
          <w14:textFill>
            <w14:solidFill>
              <w14:schemeClr w14:val="tx1"/>
            </w14:solidFill>
          </w14:textFill>
        </w:rPr>
      </w:pPr>
      <w:bookmarkStart w:id="65" w:name="_Toc351203492"/>
      <w:r>
        <w:rPr>
          <w:rFonts w:hint="eastAsia" w:hAnsi="宋体" w:cs="宋体"/>
          <w:b/>
          <w:bCs/>
          <w:color w:val="000000" w:themeColor="text1"/>
          <w:highlight w:val="none"/>
          <w14:textFill>
            <w14:solidFill>
              <w14:schemeClr w14:val="tx1"/>
            </w14:solidFill>
          </w14:textFill>
        </w:rPr>
        <w:t>十二、合同生效</w:t>
      </w:r>
      <w:bookmarkEnd w:id="65"/>
    </w:p>
    <w:p w14:paraId="3567D615">
      <w:pPr>
        <w:spacing w:line="360" w:lineRule="auto"/>
        <w:ind w:firstLine="420" w:firstLineChars="200"/>
        <w:rPr>
          <w:rFonts w:hAnsi="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本合同自生效。</w:t>
      </w:r>
    </w:p>
    <w:p w14:paraId="752DEE9A">
      <w:pPr>
        <w:spacing w:line="360" w:lineRule="auto"/>
        <w:ind w:firstLine="422" w:firstLineChars="200"/>
        <w:outlineLvl w:val="0"/>
        <w:rPr>
          <w:b/>
          <w:bCs/>
          <w:color w:val="000000" w:themeColor="text1"/>
          <w:highlight w:val="none"/>
          <w14:textFill>
            <w14:solidFill>
              <w14:schemeClr w14:val="tx1"/>
            </w14:solidFill>
          </w14:textFill>
        </w:rPr>
      </w:pPr>
      <w:bookmarkStart w:id="66" w:name="_Toc351203493"/>
      <w:r>
        <w:rPr>
          <w:rFonts w:hint="eastAsia" w:hAnsi="宋体" w:cs="宋体"/>
          <w:b/>
          <w:bCs/>
          <w:color w:val="000000" w:themeColor="text1"/>
          <w:highlight w:val="none"/>
          <w14:textFill>
            <w14:solidFill>
              <w14:schemeClr w14:val="tx1"/>
            </w14:solidFill>
          </w14:textFill>
        </w:rPr>
        <w:t>十三、合同份数</w:t>
      </w:r>
      <w:bookmarkEnd w:id="66"/>
    </w:p>
    <w:p w14:paraId="709E7DDC">
      <w:pPr>
        <w:spacing w:line="360" w:lineRule="auto"/>
        <w:ind w:firstLine="420" w:firstLineChars="200"/>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本合同一式</w:t>
      </w:r>
      <w:r>
        <w:rPr>
          <w:rFonts w:hint="eastAsia"/>
          <w:color w:val="000000" w:themeColor="text1"/>
          <w:highlight w:val="none"/>
          <w:u w:val="single"/>
          <w14:textFill>
            <w14:solidFill>
              <w14:schemeClr w14:val="tx1"/>
            </w14:solidFill>
          </w14:textFill>
        </w:rPr>
        <w:t xml:space="preserve">玖 </w:t>
      </w:r>
      <w:r>
        <w:rPr>
          <w:rFonts w:hint="eastAsia" w:hAnsi="宋体" w:cs="宋体"/>
          <w:color w:val="000000" w:themeColor="text1"/>
          <w:highlight w:val="none"/>
          <w14:textFill>
            <w14:solidFill>
              <w14:schemeClr w14:val="tx1"/>
            </w14:solidFill>
          </w14:textFill>
        </w:rPr>
        <w:t>份，均具有同等法律效力，发包人执</w:t>
      </w:r>
      <w:r>
        <w:rPr>
          <w:rFonts w:hint="eastAsia"/>
          <w:color w:val="000000" w:themeColor="text1"/>
          <w:highlight w:val="none"/>
          <w:u w:val="single"/>
          <w14:textFill>
            <w14:solidFill>
              <w14:schemeClr w14:val="tx1"/>
            </w14:solidFill>
          </w14:textFill>
        </w:rPr>
        <w:t xml:space="preserve">陆 </w:t>
      </w:r>
      <w:r>
        <w:rPr>
          <w:rFonts w:hint="eastAsia" w:hAnsi="宋体" w:cs="宋体"/>
          <w:color w:val="000000" w:themeColor="text1"/>
          <w:highlight w:val="none"/>
          <w14:textFill>
            <w14:solidFill>
              <w14:schemeClr w14:val="tx1"/>
            </w14:solidFill>
          </w14:textFill>
        </w:rPr>
        <w:t>份，承包人执</w:t>
      </w:r>
      <w:r>
        <w:rPr>
          <w:rFonts w:hint="eastAsia" w:hAnsi="宋体" w:cs="宋体"/>
          <w:color w:val="000000" w:themeColor="text1"/>
          <w:highlight w:val="none"/>
          <w:u w:val="single"/>
          <w14:textFill>
            <w14:solidFill>
              <w14:schemeClr w14:val="tx1"/>
            </w14:solidFill>
          </w14:textFill>
        </w:rPr>
        <w:t>贰</w:t>
      </w:r>
      <w:r>
        <w:rPr>
          <w:rFonts w:hint="eastAsia"/>
          <w:color w:val="000000" w:themeColor="text1"/>
          <w:highlight w:val="none"/>
          <w:u w:val="singl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份，代理机构执壹份。</w:t>
      </w:r>
    </w:p>
    <w:p w14:paraId="09B94F0A">
      <w:pPr>
        <w:spacing w:line="360" w:lineRule="auto"/>
        <w:rPr>
          <w:color w:val="000000" w:themeColor="text1"/>
          <w:highlight w:val="none"/>
          <w14:textFill>
            <w14:solidFill>
              <w14:schemeClr w14:val="tx1"/>
            </w14:solidFill>
          </w14:textFill>
        </w:rPr>
      </w:pPr>
    </w:p>
    <w:p w14:paraId="3B7AA9DD">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发包人：</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公章</w:t>
      </w:r>
      <w:r>
        <w:rPr>
          <w:rFonts w:hint="eastAsia"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承包人：</w:t>
      </w:r>
      <w:r>
        <w:rPr>
          <w:rFonts w:hint="eastAsia" w:cs="宋体"/>
          <w:color w:val="000000" w:themeColor="text1"/>
          <w:highlight w:val="none"/>
          <w14:textFill>
            <w14:solidFill>
              <w14:schemeClr w14:val="tx1"/>
            </w14:solidFill>
          </w14:textFill>
        </w:rPr>
        <w:t>（</w:t>
      </w:r>
      <w:r>
        <w:rPr>
          <w:rFonts w:hint="eastAsia" w:hAnsi="宋体" w:cs="宋体"/>
          <w:color w:val="000000" w:themeColor="text1"/>
          <w:highlight w:val="none"/>
          <w14:textFill>
            <w14:solidFill>
              <w14:schemeClr w14:val="tx1"/>
            </w14:solidFill>
          </w14:textFill>
        </w:rPr>
        <w:t>公章</w:t>
      </w:r>
      <w:r>
        <w:rPr>
          <w:rFonts w:hint="eastAsia" w:cs="宋体"/>
          <w:color w:val="000000" w:themeColor="text1"/>
          <w:highlight w:val="none"/>
          <w14:textFill>
            <w14:solidFill>
              <w14:schemeClr w14:val="tx1"/>
            </w14:solidFill>
          </w14:textFill>
        </w:rPr>
        <w:t>）</w:t>
      </w:r>
    </w:p>
    <w:p w14:paraId="08A9F19C">
      <w:pPr>
        <w:spacing w:line="360" w:lineRule="auto"/>
        <w:rPr>
          <w:color w:val="000000" w:themeColor="text1"/>
          <w:highlight w:val="none"/>
          <w:u w:val="single"/>
          <w14:textFill>
            <w14:solidFill>
              <w14:schemeClr w14:val="tx1"/>
            </w14:solidFill>
          </w14:textFill>
        </w:rPr>
      </w:pPr>
    </w:p>
    <w:p w14:paraId="29FE8603">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法定代表人或其委托代理人：               法定代表人或其委托代理人：</w:t>
      </w:r>
    </w:p>
    <w:p w14:paraId="2AC99BBC">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（签字）                                （签字）</w:t>
      </w:r>
    </w:p>
    <w:p w14:paraId="713AD04C">
      <w:pPr>
        <w:spacing w:line="360" w:lineRule="auto"/>
        <w:rPr>
          <w:color w:val="000000" w:themeColor="text1"/>
          <w:highlight w:val="none"/>
          <w:u w:val="single"/>
          <w14:textFill>
            <w14:solidFill>
              <w14:schemeClr w14:val="tx1"/>
            </w14:solidFill>
          </w14:textFill>
        </w:rPr>
      </w:pPr>
    </w:p>
    <w:p w14:paraId="1523FCA0">
      <w:pPr>
        <w:tabs>
          <w:tab w:val="left" w:pos="4410"/>
        </w:tabs>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统一社会信用代码： </w:t>
      </w:r>
      <w:r>
        <w:rPr>
          <w:rFonts w:hAnsi="宋体" w:cs="宋体"/>
          <w:color w:val="000000" w:themeColor="text1"/>
          <w:highlight w:val="none"/>
          <w14:textFill>
            <w14:solidFill>
              <w14:schemeClr w14:val="tx1"/>
            </w14:solidFill>
          </w14:textFill>
        </w:rPr>
        <w:t xml:space="preserve">                      </w:t>
      </w:r>
      <w:r>
        <w:rPr>
          <w:rFonts w:hint="eastAsia" w:cs="宋体"/>
          <w:color w:val="000000" w:themeColor="text1"/>
          <w:highlight w:val="none"/>
          <w14:textFill>
            <w14:solidFill>
              <w14:schemeClr w14:val="tx1"/>
            </w14:solidFill>
          </w14:textFill>
        </w:rPr>
        <w:t>统一</w:t>
      </w:r>
      <w:r>
        <w:rPr>
          <w:rFonts w:hint="eastAsia" w:hAnsi="宋体" w:cs="宋体"/>
          <w:color w:val="000000" w:themeColor="text1"/>
          <w:highlight w:val="none"/>
          <w14:textFill>
            <w14:solidFill>
              <w14:schemeClr w14:val="tx1"/>
            </w14:solidFill>
          </w14:textFill>
        </w:rPr>
        <w:t>社会信用代码：</w:t>
      </w:r>
    </w:p>
    <w:p w14:paraId="333262E2">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地址：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地址：</w:t>
      </w:r>
    </w:p>
    <w:p w14:paraId="4A8C4B80">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邮政编码：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邮政编码：</w:t>
      </w:r>
    </w:p>
    <w:p w14:paraId="650F6F18">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法定代表人：                             法定代表人：</w:t>
      </w:r>
    </w:p>
    <w:p w14:paraId="5412A8E2">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委托代理人：                             委托代理人：</w:t>
      </w:r>
    </w:p>
    <w:p w14:paraId="5AE699EF">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电话：电话：</w:t>
      </w:r>
    </w:p>
    <w:p w14:paraId="551D2F2A">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传真：传真：</w:t>
      </w:r>
    </w:p>
    <w:p w14:paraId="592C1124">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电子信箱：                                电子信箱：</w:t>
      </w:r>
    </w:p>
    <w:p w14:paraId="776D1A6C">
      <w:pPr>
        <w:spacing w:line="360" w:lineRule="auto"/>
        <w:rPr>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开户银行：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开户银行：</w:t>
      </w:r>
    </w:p>
    <w:p w14:paraId="5B90EC0E">
      <w:pPr>
        <w:rPr>
          <w:color w:val="000000" w:themeColor="text1"/>
          <w:highlight w:val="none"/>
          <w:u w:val="single"/>
          <w14:textFill>
            <w14:solidFill>
              <w14:schemeClr w14:val="tx1"/>
            </w14:solidFill>
          </w14:textFill>
        </w:rPr>
      </w:pPr>
      <w:r>
        <w:rPr>
          <w:rFonts w:hint="eastAsia" w:hAnsi="宋体" w:cs="宋体"/>
          <w:color w:val="000000" w:themeColor="text1"/>
          <w:highlight w:val="none"/>
          <w14:textFill>
            <w14:solidFill>
              <w14:schemeClr w14:val="tx1"/>
            </w14:solidFill>
          </w14:textFill>
        </w:rPr>
        <w:t xml:space="preserve">账号： </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账号：</w:t>
      </w:r>
    </w:p>
    <w:p w14:paraId="6370470C">
      <w:pPr>
        <w:widowControl/>
        <w:jc w:val="left"/>
        <w:rPr>
          <w:rFonts w:hint="eastAsia" w:ascii="宋体" w:hAnsi="宋体" w:cs="宋体"/>
          <w:color w:val="auto"/>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highlight w:val="none"/>
        </w:rPr>
        <w:br w:type="page"/>
      </w:r>
    </w:p>
    <w:p w14:paraId="3B461D47">
      <w:pPr>
        <w:pStyle w:val="3"/>
        <w:jc w:val="center"/>
        <w:rPr>
          <w:color w:val="auto"/>
          <w:highlight w:val="none"/>
        </w:rPr>
      </w:pPr>
      <w:bookmarkStart w:id="67" w:name="_Toc69641856"/>
      <w:bookmarkStart w:id="68" w:name="_Toc389065256"/>
      <w:bookmarkStart w:id="69" w:name="_Toc55373959"/>
      <w:bookmarkStart w:id="70" w:name="_Toc407135192"/>
      <w:bookmarkStart w:id="71" w:name="_Toc373478338"/>
      <w:bookmarkStart w:id="72" w:name="_Toc373227691"/>
      <w:bookmarkStart w:id="73" w:name="_Toc351203632"/>
      <w:r>
        <w:rPr>
          <w:rFonts w:hint="eastAsia"/>
          <w:color w:val="auto"/>
          <w:highlight w:val="none"/>
        </w:rPr>
        <w:t>第二部分 通用合同条款</w:t>
      </w:r>
      <w:bookmarkEnd w:id="67"/>
      <w:bookmarkEnd w:id="68"/>
      <w:bookmarkEnd w:id="69"/>
      <w:bookmarkEnd w:id="70"/>
    </w:p>
    <w:p w14:paraId="70502664">
      <w:pPr>
        <w:spacing w:line="360" w:lineRule="auto"/>
        <w:ind w:firstLine="420" w:firstLineChars="200"/>
        <w:rPr>
          <w:rFonts w:hint="eastAsia" w:ascii="宋体" w:hAnsi="宋体" w:cs="宋体"/>
          <w:color w:val="auto"/>
          <w:kern w:val="0"/>
          <w:highlight w:val="none"/>
        </w:rPr>
      </w:pPr>
    </w:p>
    <w:p w14:paraId="23BC9F1B">
      <w:pPr>
        <w:spacing w:line="360" w:lineRule="auto"/>
        <w:ind w:firstLine="422" w:firstLineChars="200"/>
        <w:rPr>
          <w:rFonts w:hint="eastAsia" w:ascii="宋体" w:hAnsi="宋体" w:cs="宋体"/>
          <w:b/>
          <w:bCs/>
          <w:color w:val="auto"/>
          <w:kern w:val="0"/>
          <w:highlight w:val="none"/>
        </w:rPr>
      </w:pPr>
      <w:r>
        <w:rPr>
          <w:rFonts w:hint="eastAsia" w:ascii="宋体" w:hAnsi="宋体" w:cs="宋体"/>
          <w:b/>
          <w:bCs/>
          <w:color w:val="auto"/>
          <w:kern w:val="0"/>
          <w:highlight w:val="none"/>
        </w:rPr>
        <w:t>采用《建设工程施工合同（示范文本）》（GF—2017—0201）。</w:t>
      </w:r>
    </w:p>
    <w:p w14:paraId="6D8F3994">
      <w:pPr>
        <w:pStyle w:val="168"/>
        <w:rPr>
          <w:color w:val="auto"/>
          <w:highlight w:val="none"/>
        </w:rPr>
      </w:pPr>
    </w:p>
    <w:bookmarkEnd w:id="71"/>
    <w:bookmarkEnd w:id="72"/>
    <w:bookmarkEnd w:id="73"/>
    <w:p w14:paraId="61A0992E">
      <w:pPr>
        <w:pStyle w:val="2"/>
        <w:keepNext w:val="0"/>
        <w:keepLines w:val="0"/>
        <w:numPr>
          <w:ilvl w:val="0"/>
          <w:numId w:val="0"/>
        </w:numPr>
        <w:jc w:val="center"/>
        <w:rPr>
          <w:rFonts w:hAnsi="宋体"/>
          <w:color w:val="000000" w:themeColor="text1"/>
          <w:sz w:val="30"/>
          <w:szCs w:val="30"/>
          <w:highlight w:val="none"/>
          <w14:textFill>
            <w14:solidFill>
              <w14:schemeClr w14:val="tx1"/>
            </w14:solidFill>
          </w14:textFill>
        </w:rPr>
      </w:pPr>
      <w:bookmarkStart w:id="74" w:name="_Toc389065257"/>
      <w:bookmarkStart w:id="75" w:name="_Toc1204138598"/>
      <w:bookmarkStart w:id="76" w:name="_Toc704444909"/>
      <w:bookmarkStart w:id="77" w:name="_Toc407135193"/>
      <w:bookmarkStart w:id="78" w:name="_Toc78449779"/>
      <w:bookmarkStart w:id="79" w:name="_Toc27024"/>
      <w:r>
        <w:rPr>
          <w:rFonts w:hint="eastAsia" w:hAnsi="宋体" w:cs="黑体"/>
          <w:color w:val="000000" w:themeColor="text1"/>
          <w:sz w:val="30"/>
          <w:szCs w:val="30"/>
          <w:highlight w:val="none"/>
          <w14:textFill>
            <w14:solidFill>
              <w14:schemeClr w14:val="tx1"/>
            </w14:solidFill>
          </w14:textFill>
        </w:rPr>
        <w:t>第三部分专用合同条款</w:t>
      </w:r>
      <w:bookmarkEnd w:id="74"/>
      <w:bookmarkEnd w:id="75"/>
      <w:bookmarkEnd w:id="76"/>
      <w:bookmarkEnd w:id="77"/>
      <w:bookmarkEnd w:id="78"/>
    </w:p>
    <w:p w14:paraId="41618948">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80" w:name="_Toc389065258"/>
      <w:bookmarkStart w:id="81" w:name="_Toc407135194"/>
      <w:bookmarkStart w:id="82" w:name="_Toc373478339"/>
      <w:bookmarkStart w:id="83" w:name="_Toc114058831"/>
      <w:bookmarkStart w:id="84" w:name="_Toc351203633"/>
      <w:bookmarkStart w:id="85" w:name="_Toc373227692"/>
      <w:bookmarkStart w:id="86" w:name="_Toc78449780"/>
      <w:r>
        <w:rPr>
          <w:rFonts w:ascii="Arial" w:hAnsi="Arial" w:eastAsia="黑体"/>
          <w:b/>
          <w:bCs/>
          <w:color w:val="000000" w:themeColor="text1"/>
          <w:sz w:val="32"/>
          <w:szCs w:val="32"/>
          <w:highlight w:val="none"/>
          <w:lang w:val="zh-CN"/>
          <w14:textFill>
            <w14:solidFill>
              <w14:schemeClr w14:val="tx1"/>
            </w14:solidFill>
          </w14:textFill>
        </w:rPr>
        <w:t>1</w:t>
      </w:r>
      <w:bookmarkStart w:id="87" w:name="_Toc296890984"/>
      <w:bookmarkStart w:id="88" w:name="_Toc296346657"/>
      <w:bookmarkStart w:id="89" w:name="_Toc296944495"/>
      <w:bookmarkStart w:id="90" w:name="_Toc297120456"/>
      <w:bookmarkStart w:id="91" w:name="_Toc292559361"/>
      <w:bookmarkStart w:id="92" w:name="_Toc296503156"/>
      <w:bookmarkStart w:id="93" w:name="_Toc292559866"/>
      <w:bookmarkStart w:id="94" w:name="_Toc296347155"/>
      <w:bookmarkStart w:id="95" w:name="_Toc296891196"/>
      <w:bookmarkStart w:id="96" w:name="_Toc297048342"/>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一般约定</w:t>
      </w:r>
      <w:bookmarkEnd w:id="80"/>
      <w:bookmarkEnd w:id="81"/>
      <w:bookmarkEnd w:id="82"/>
      <w:bookmarkEnd w:id="83"/>
      <w:bookmarkEnd w:id="84"/>
      <w:bookmarkEnd w:id="85"/>
      <w:bookmarkEnd w:id="86"/>
    </w:p>
    <w:bookmarkEnd w:id="87"/>
    <w:bookmarkEnd w:id="88"/>
    <w:bookmarkEnd w:id="89"/>
    <w:bookmarkEnd w:id="90"/>
    <w:bookmarkEnd w:id="91"/>
    <w:bookmarkEnd w:id="92"/>
    <w:bookmarkEnd w:id="93"/>
    <w:bookmarkEnd w:id="94"/>
    <w:bookmarkEnd w:id="95"/>
    <w:bookmarkEnd w:id="96"/>
    <w:p w14:paraId="52C20949">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7" w:name="_Toc114058832"/>
      <w:bookmarkStart w:id="98" w:name="_Toc78449781"/>
      <w:bookmarkStart w:id="99" w:name="_Toc373227693"/>
      <w:bookmarkStart w:id="100" w:name="_Toc407135195"/>
      <w:bookmarkStart w:id="101" w:name="_Toc373478340"/>
      <w:bookmarkStart w:id="102" w:name="_Toc389065259"/>
      <w:r>
        <w:rPr>
          <w:rFonts w:eastAsia="黑体"/>
          <w:b/>
          <w:bCs/>
          <w:color w:val="000000" w:themeColor="text1"/>
          <w:sz w:val="32"/>
          <w:szCs w:val="32"/>
          <w:highlight w:val="none"/>
          <w:lang w:val="zh-CN"/>
          <w14:textFill>
            <w14:solidFill>
              <w14:schemeClr w14:val="tx1"/>
            </w14:solidFill>
          </w14:textFill>
        </w:rPr>
        <w:t xml:space="preserve">1.1 </w:t>
      </w:r>
      <w:r>
        <w:rPr>
          <w:rFonts w:hint="eastAsia" w:hAnsi="宋体" w:eastAsia="黑体" w:cs="黑体"/>
          <w:b/>
          <w:bCs/>
          <w:color w:val="000000" w:themeColor="text1"/>
          <w:sz w:val="32"/>
          <w:szCs w:val="32"/>
          <w:highlight w:val="none"/>
          <w:lang w:val="zh-CN"/>
          <w14:textFill>
            <w14:solidFill>
              <w14:schemeClr w14:val="tx1"/>
            </w14:solidFill>
          </w14:textFill>
        </w:rPr>
        <w:t>词语定义</w:t>
      </w:r>
      <w:bookmarkEnd w:id="97"/>
      <w:bookmarkEnd w:id="98"/>
      <w:bookmarkEnd w:id="99"/>
      <w:bookmarkEnd w:id="100"/>
      <w:bookmarkEnd w:id="101"/>
      <w:bookmarkEnd w:id="102"/>
    </w:p>
    <w:p w14:paraId="68A07CEC">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1.1.1 </w:t>
      </w:r>
      <w:r>
        <w:rPr>
          <w:rFonts w:hint="eastAsia" w:hAnsi="宋体" w:cs="宋体"/>
          <w:color w:val="000000" w:themeColor="text1"/>
          <w:kern w:val="0"/>
          <w:szCs w:val="21"/>
          <w:highlight w:val="none"/>
          <w14:textFill>
            <w14:solidFill>
              <w14:schemeClr w14:val="tx1"/>
            </w14:solidFill>
          </w14:textFill>
        </w:rPr>
        <w:t>合同</w:t>
      </w:r>
    </w:p>
    <w:p w14:paraId="644E38F4">
      <w:pPr>
        <w:spacing w:line="360" w:lineRule="auto"/>
        <w:rPr>
          <w:rFonts w:hAnsi="宋体"/>
          <w:color w:val="000000" w:themeColor="text1"/>
          <w:szCs w:val="21"/>
          <w:highlight w:val="none"/>
          <w:u w:val="single"/>
          <w14:textFill>
            <w14:solidFill>
              <w14:schemeClr w14:val="tx1"/>
            </w14:solidFill>
          </w14:textFill>
        </w:rPr>
      </w:pPr>
      <w:r>
        <w:rPr>
          <w:color w:val="000000" w:themeColor="text1"/>
          <w:kern w:val="0"/>
          <w:szCs w:val="21"/>
          <w:highlight w:val="none"/>
          <w14:textFill>
            <w14:solidFill>
              <w14:schemeClr w14:val="tx1"/>
            </w14:solidFill>
          </w14:textFill>
        </w:rPr>
        <w:t xml:space="preserve">1.1.1.10 </w:t>
      </w:r>
      <w:r>
        <w:rPr>
          <w:rFonts w:hint="eastAsia" w:hAnsi="宋体" w:cs="宋体"/>
          <w:color w:val="000000" w:themeColor="text1"/>
          <w:kern w:val="0"/>
          <w:szCs w:val="21"/>
          <w:highlight w:val="none"/>
          <w14:textFill>
            <w14:solidFill>
              <w14:schemeClr w14:val="tx1"/>
            </w14:solidFill>
          </w14:textFill>
        </w:rPr>
        <w:t>其他合同文件包括：</w:t>
      </w:r>
      <w:r>
        <w:rPr>
          <w:rFonts w:hint="eastAsia" w:hAnsi="宋体"/>
          <w:color w:val="000000" w:themeColor="text1"/>
          <w:szCs w:val="21"/>
          <w:highlight w:val="none"/>
          <w:u w:val="single"/>
          <w14:textFill>
            <w14:solidFill>
              <w14:schemeClr w14:val="tx1"/>
            </w14:solidFill>
          </w14:textFill>
        </w:rPr>
        <w:t>①发包人、承包人双方确认工程报价单或预算书；②发包人、承包人、监理单位会签的工程签证单；③发包人、承包人双方就本工程及有关合同文件进行协商、洽谈、变更、解除等所形成的补充协议等书面资料</w:t>
      </w:r>
      <w:r>
        <w:rPr>
          <w:rFonts w:hAnsi="宋体"/>
          <w:color w:val="000000" w:themeColor="text1"/>
          <w:szCs w:val="21"/>
          <w:highlight w:val="none"/>
          <w:u w:val="singl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采购文件及附件（含所有补充通知）；招标控制价。</w:t>
      </w:r>
    </w:p>
    <w:p w14:paraId="65F0DFA7">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1.1.2 </w:t>
      </w:r>
      <w:r>
        <w:rPr>
          <w:rFonts w:hint="eastAsia" w:hAnsi="宋体" w:cs="宋体"/>
          <w:color w:val="000000" w:themeColor="text1"/>
          <w:szCs w:val="21"/>
          <w:highlight w:val="none"/>
          <w14:textFill>
            <w14:solidFill>
              <w14:schemeClr w14:val="tx1"/>
            </w14:solidFill>
          </w14:textFill>
        </w:rPr>
        <w:t>合同当事人及其他相关方</w:t>
      </w:r>
    </w:p>
    <w:p w14:paraId="0288F5DD">
      <w:pPr>
        <w:spacing w:line="360" w:lineRule="auto"/>
        <w:ind w:firstLine="420" w:firstLineChars="200"/>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1.1.2.4 </w:t>
      </w:r>
      <w:r>
        <w:rPr>
          <w:rFonts w:hint="eastAsia" w:hAnsi="宋体" w:cs="宋体"/>
          <w:color w:val="000000" w:themeColor="text1"/>
          <w:szCs w:val="21"/>
          <w:highlight w:val="none"/>
          <w14:textFill>
            <w14:solidFill>
              <w14:schemeClr w14:val="tx1"/>
            </w14:solidFill>
          </w14:textFill>
        </w:rPr>
        <w:t>监理人：</w:t>
      </w:r>
    </w:p>
    <w:p w14:paraId="00F6465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名称：；</w:t>
      </w:r>
    </w:p>
    <w:p w14:paraId="3C5B386F">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资质类别和等级：；</w:t>
      </w:r>
    </w:p>
    <w:p w14:paraId="3B42C14F">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联系电话：；</w:t>
      </w:r>
    </w:p>
    <w:p w14:paraId="604D2276">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电子信箱：；</w:t>
      </w:r>
    </w:p>
    <w:p w14:paraId="5E197CFB">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通信地址：。</w:t>
      </w:r>
    </w:p>
    <w:p w14:paraId="52CD0D4B">
      <w:pPr>
        <w:spacing w:line="360" w:lineRule="auto"/>
        <w:ind w:firstLine="420" w:firstLineChars="200"/>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1.1.2.5 </w:t>
      </w:r>
      <w:r>
        <w:rPr>
          <w:rFonts w:hint="eastAsia" w:hAnsi="宋体" w:cs="宋体"/>
          <w:color w:val="000000" w:themeColor="text1"/>
          <w:szCs w:val="21"/>
          <w:highlight w:val="none"/>
          <w14:textFill>
            <w14:solidFill>
              <w14:schemeClr w14:val="tx1"/>
            </w14:solidFill>
          </w14:textFill>
        </w:rPr>
        <w:t>设计人：</w:t>
      </w:r>
    </w:p>
    <w:p w14:paraId="29C64DB5">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名称：；</w:t>
      </w:r>
    </w:p>
    <w:p w14:paraId="2D03D7D8">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资质类别和等级：；</w:t>
      </w:r>
    </w:p>
    <w:p w14:paraId="259C0B3C">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联系电话：；</w:t>
      </w:r>
    </w:p>
    <w:p w14:paraId="57DC3899">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电子信箱：；</w:t>
      </w:r>
    </w:p>
    <w:p w14:paraId="481AFCD2">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通信地址：。</w:t>
      </w:r>
    </w:p>
    <w:p w14:paraId="0453821E">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1.1.3 </w:t>
      </w:r>
      <w:r>
        <w:rPr>
          <w:rFonts w:hint="eastAsia" w:hAnsi="宋体" w:cs="宋体"/>
          <w:color w:val="000000" w:themeColor="text1"/>
          <w:szCs w:val="21"/>
          <w:highlight w:val="none"/>
          <w14:textFill>
            <w14:solidFill>
              <w14:schemeClr w14:val="tx1"/>
            </w14:solidFill>
          </w14:textFill>
        </w:rPr>
        <w:t>工程和设备</w:t>
      </w:r>
    </w:p>
    <w:p w14:paraId="5A9C4E87">
      <w:pPr>
        <w:spacing w:line="360" w:lineRule="auto"/>
        <w:ind w:firstLine="420" w:firstLineChars="200"/>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1.1.3.7 </w:t>
      </w:r>
      <w:r>
        <w:rPr>
          <w:rFonts w:hAnsi="宋体"/>
          <w:color w:val="000000" w:themeColor="text1"/>
          <w:szCs w:val="21"/>
          <w:highlight w:val="none"/>
          <w14:textFill>
            <w14:solidFill>
              <w14:schemeClr w14:val="tx1"/>
            </w14:solidFill>
          </w14:textFill>
        </w:rPr>
        <w:t>作为施工现场组成部分的其他场所包括：</w:t>
      </w:r>
      <w:r>
        <w:rPr>
          <w:rFonts w:hint="eastAsia"/>
          <w:color w:val="000000" w:themeColor="text1"/>
          <w:szCs w:val="21"/>
          <w:highlight w:val="none"/>
          <w:u w:val="single"/>
          <w14:textFill>
            <w14:solidFill>
              <w14:schemeClr w14:val="tx1"/>
            </w14:solidFill>
          </w14:textFill>
        </w:rPr>
        <w:t>按通用条款</w:t>
      </w:r>
      <w:r>
        <w:rPr>
          <w:rFonts w:hAnsi="宋体"/>
          <w:color w:val="000000" w:themeColor="text1"/>
          <w:szCs w:val="21"/>
          <w:highlight w:val="none"/>
          <w14:textFill>
            <w14:solidFill>
              <w14:schemeClr w14:val="tx1"/>
            </w14:solidFill>
          </w14:textFill>
        </w:rPr>
        <w:t>。</w:t>
      </w:r>
    </w:p>
    <w:p w14:paraId="2EBDB7F3">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1.1.3.9 </w:t>
      </w:r>
      <w:r>
        <w:rPr>
          <w:rFonts w:hAnsi="宋体"/>
          <w:color w:val="000000" w:themeColor="text1"/>
          <w:kern w:val="0"/>
          <w:szCs w:val="21"/>
          <w:highlight w:val="none"/>
          <w14:textFill>
            <w14:solidFill>
              <w14:schemeClr w14:val="tx1"/>
            </w14:solidFill>
          </w14:textFill>
        </w:rPr>
        <w:t>永久占地包括：</w:t>
      </w:r>
      <w:r>
        <w:rPr>
          <w:rFonts w:hint="eastAsia"/>
          <w:color w:val="000000" w:themeColor="text1"/>
          <w:szCs w:val="21"/>
          <w:highlight w:val="none"/>
          <w:u w:val="single"/>
          <w14:textFill>
            <w14:solidFill>
              <w14:schemeClr w14:val="tx1"/>
            </w14:solidFill>
          </w14:textFill>
        </w:rPr>
        <w:t>依据设计图纸确定</w:t>
      </w:r>
      <w:r>
        <w:rPr>
          <w:rFonts w:hAnsi="宋体"/>
          <w:color w:val="000000" w:themeColor="text1"/>
          <w:kern w:val="0"/>
          <w:szCs w:val="21"/>
          <w:highlight w:val="none"/>
          <w14:textFill>
            <w14:solidFill>
              <w14:schemeClr w14:val="tx1"/>
            </w14:solidFill>
          </w14:textFill>
        </w:rPr>
        <w:t>。</w:t>
      </w:r>
    </w:p>
    <w:p w14:paraId="5DD447F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1.1.3.10 </w:t>
      </w:r>
      <w:r>
        <w:rPr>
          <w:rFonts w:hAnsi="宋体"/>
          <w:color w:val="000000" w:themeColor="text1"/>
          <w:kern w:val="0"/>
          <w:szCs w:val="21"/>
          <w:highlight w:val="none"/>
          <w14:textFill>
            <w14:solidFill>
              <w14:schemeClr w14:val="tx1"/>
            </w14:solidFill>
          </w14:textFill>
        </w:rPr>
        <w:t>临时占地包括：</w:t>
      </w:r>
      <w:r>
        <w:rPr>
          <w:rFonts w:hint="eastAsia"/>
          <w:color w:val="000000" w:themeColor="text1"/>
          <w:szCs w:val="21"/>
          <w:highlight w:val="none"/>
          <w:u w:val="single"/>
          <w14:textFill>
            <w14:solidFill>
              <w14:schemeClr w14:val="tx1"/>
            </w14:solidFill>
          </w14:textFill>
        </w:rPr>
        <w:t>双方在合同履行过程中确定</w:t>
      </w:r>
      <w:r>
        <w:rPr>
          <w:rFonts w:hint="eastAsia" w:hAnsi="宋体" w:cs="宋体"/>
          <w:color w:val="000000" w:themeColor="text1"/>
          <w:kern w:val="0"/>
          <w:szCs w:val="21"/>
          <w:highlight w:val="none"/>
          <w14:textFill>
            <w14:solidFill>
              <w14:schemeClr w14:val="tx1"/>
            </w14:solidFill>
          </w14:textFill>
        </w:rPr>
        <w:t>。</w:t>
      </w:r>
    </w:p>
    <w:p w14:paraId="10E111B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3" w:name="_Toc407135196"/>
      <w:bookmarkStart w:id="104" w:name="_Toc373227694"/>
      <w:bookmarkStart w:id="105" w:name="_Toc373478341"/>
      <w:bookmarkStart w:id="106" w:name="_Toc78449782"/>
      <w:bookmarkStart w:id="107" w:name="_Toc114058833"/>
      <w:bookmarkStart w:id="108" w:name="_Toc389065260"/>
      <w:r>
        <w:rPr>
          <w:rFonts w:eastAsia="黑体"/>
          <w:b/>
          <w:bCs/>
          <w:color w:val="000000" w:themeColor="text1"/>
          <w:sz w:val="32"/>
          <w:szCs w:val="32"/>
          <w:highlight w:val="none"/>
          <w:lang w:val="zh-CN"/>
          <w14:textFill>
            <w14:solidFill>
              <w14:schemeClr w14:val="tx1"/>
            </w14:solidFill>
          </w14:textFill>
        </w:rPr>
        <w:t xml:space="preserve">1.3 </w:t>
      </w:r>
      <w:r>
        <w:rPr>
          <w:rFonts w:hint="eastAsia" w:hAnsi="宋体" w:eastAsia="黑体" w:cs="黑体"/>
          <w:b/>
          <w:bCs/>
          <w:color w:val="000000" w:themeColor="text1"/>
          <w:sz w:val="32"/>
          <w:szCs w:val="32"/>
          <w:highlight w:val="none"/>
          <w:lang w:val="zh-CN"/>
          <w14:textFill>
            <w14:solidFill>
              <w14:schemeClr w14:val="tx1"/>
            </w14:solidFill>
          </w14:textFill>
        </w:rPr>
        <w:t>法律</w:t>
      </w:r>
      <w:bookmarkEnd w:id="103"/>
      <w:bookmarkEnd w:id="104"/>
      <w:bookmarkEnd w:id="105"/>
      <w:bookmarkEnd w:id="106"/>
      <w:bookmarkEnd w:id="107"/>
      <w:bookmarkEnd w:id="108"/>
    </w:p>
    <w:p w14:paraId="5E62A278">
      <w:pPr>
        <w:autoSpaceDE w:val="0"/>
        <w:autoSpaceDN w:val="0"/>
        <w:adjustRightInd w:val="0"/>
        <w:spacing w:line="360" w:lineRule="auto"/>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适用于合同的其他规范性文件：</w:t>
      </w:r>
      <w:r>
        <w:rPr>
          <w:rFonts w:hint="eastAsia" w:hAnsi="宋体"/>
          <w:color w:val="000000" w:themeColor="text1"/>
          <w:szCs w:val="21"/>
          <w:highlight w:val="none"/>
          <w:u w:val="single"/>
          <w14:textFill>
            <w14:solidFill>
              <w14:schemeClr w14:val="tx1"/>
            </w14:solidFill>
          </w14:textFill>
        </w:rPr>
        <w:t>国家、地方、行政主管部门对建设工程项目的有关规范性文件</w:t>
      </w:r>
      <w:r>
        <w:rPr>
          <w:rFonts w:hint="eastAsia" w:hAnsi="宋体" w:cs="宋体"/>
          <w:color w:val="000000" w:themeColor="text1"/>
          <w:szCs w:val="21"/>
          <w:highlight w:val="none"/>
          <w14:textFill>
            <w14:solidFill>
              <w14:schemeClr w14:val="tx1"/>
            </w14:solidFill>
          </w14:textFill>
        </w:rPr>
        <w:t>。</w:t>
      </w:r>
    </w:p>
    <w:p w14:paraId="14133B0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9" w:name="_Toc78449783"/>
      <w:bookmarkStart w:id="110" w:name="_Toc389065261"/>
      <w:bookmarkStart w:id="111" w:name="_Toc373478342"/>
      <w:bookmarkStart w:id="112" w:name="_Toc114058834"/>
      <w:bookmarkStart w:id="113" w:name="_Toc407135197"/>
      <w:bookmarkStart w:id="114" w:name="_Toc373227695"/>
      <w:r>
        <w:rPr>
          <w:rFonts w:eastAsia="黑体"/>
          <w:b/>
          <w:bCs/>
          <w:color w:val="000000" w:themeColor="text1"/>
          <w:sz w:val="32"/>
          <w:szCs w:val="32"/>
          <w:highlight w:val="none"/>
          <w:lang w:val="zh-CN"/>
          <w14:textFill>
            <w14:solidFill>
              <w14:schemeClr w14:val="tx1"/>
            </w14:solidFill>
          </w14:textFill>
        </w:rPr>
        <w:t xml:space="preserve">1.4 </w:t>
      </w:r>
      <w:r>
        <w:rPr>
          <w:rFonts w:hint="eastAsia" w:hAnsi="宋体" w:eastAsia="黑体" w:cs="黑体"/>
          <w:b/>
          <w:bCs/>
          <w:color w:val="000000" w:themeColor="text1"/>
          <w:sz w:val="32"/>
          <w:szCs w:val="32"/>
          <w:highlight w:val="none"/>
          <w:lang w:val="zh-CN"/>
          <w14:textFill>
            <w14:solidFill>
              <w14:schemeClr w14:val="tx1"/>
            </w14:solidFill>
          </w14:textFill>
        </w:rPr>
        <w:t>标准和规范</w:t>
      </w:r>
      <w:bookmarkEnd w:id="109"/>
      <w:bookmarkEnd w:id="110"/>
      <w:bookmarkEnd w:id="111"/>
      <w:bookmarkEnd w:id="112"/>
      <w:bookmarkEnd w:id="113"/>
      <w:bookmarkEnd w:id="114"/>
    </w:p>
    <w:p w14:paraId="4C9C59C2">
      <w:pPr>
        <w:spacing w:line="360" w:lineRule="auto"/>
        <w:ind w:firstLine="420" w:firstLineChars="20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1.4.1</w:t>
      </w:r>
      <w:r>
        <w:rPr>
          <w:rFonts w:hAnsi="宋体"/>
          <w:color w:val="000000" w:themeColor="text1"/>
          <w:szCs w:val="21"/>
          <w:highlight w:val="none"/>
          <w14:textFill>
            <w14:solidFill>
              <w14:schemeClr w14:val="tx1"/>
            </w14:solidFill>
          </w14:textFill>
        </w:rPr>
        <w:t>适用于工程的标准规范包括：</w:t>
      </w:r>
      <w:r>
        <w:rPr>
          <w:rFonts w:hint="eastAsia" w:hAnsi="宋体"/>
          <w:color w:val="000000" w:themeColor="text1"/>
          <w:szCs w:val="21"/>
          <w:highlight w:val="none"/>
          <w:u w:val="single"/>
          <w14:textFill>
            <w14:solidFill>
              <w14:schemeClr w14:val="tx1"/>
            </w14:solidFill>
          </w14:textFill>
        </w:rPr>
        <w:t>经审查的设计施工图规定的各类</w:t>
      </w:r>
      <w:r>
        <w:rPr>
          <w:rFonts w:hint="eastAsia" w:hAnsi="宋体"/>
          <w:color w:val="000000" w:themeColor="text1"/>
          <w:szCs w:val="21"/>
          <w:highlight w:val="none"/>
          <w:u w:val="single"/>
          <w:lang w:eastAsia="zh-CN"/>
          <w14:textFill>
            <w14:solidFill>
              <w14:schemeClr w14:val="tx1"/>
            </w14:solidFill>
          </w14:textFill>
        </w:rPr>
        <w:t>国家</w:t>
      </w:r>
      <w:r>
        <w:rPr>
          <w:rFonts w:hint="eastAsia" w:hAnsi="宋体"/>
          <w:color w:val="000000" w:themeColor="text1"/>
          <w:szCs w:val="21"/>
          <w:highlight w:val="none"/>
          <w:u w:val="single"/>
          <w14:textFill>
            <w14:solidFill>
              <w14:schemeClr w14:val="tx1"/>
            </w14:solidFill>
          </w14:textFill>
        </w:rPr>
        <w:t>标准和规范，且不仅限于此</w:t>
      </w:r>
      <w:r>
        <w:rPr>
          <w:rFonts w:hAnsi="宋体"/>
          <w:color w:val="000000" w:themeColor="text1"/>
          <w:szCs w:val="21"/>
          <w:highlight w:val="none"/>
          <w14:textFill>
            <w14:solidFill>
              <w14:schemeClr w14:val="tx1"/>
            </w14:solidFill>
          </w14:textFill>
        </w:rPr>
        <w:t>。</w:t>
      </w:r>
    </w:p>
    <w:p w14:paraId="19B12CE0">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1.4.2 </w:t>
      </w:r>
      <w:r>
        <w:rPr>
          <w:rFonts w:hAnsi="宋体"/>
          <w:color w:val="000000" w:themeColor="text1"/>
          <w:kern w:val="0"/>
          <w:szCs w:val="21"/>
          <w:highlight w:val="none"/>
          <w14:textFill>
            <w14:solidFill>
              <w14:schemeClr w14:val="tx1"/>
            </w14:solidFill>
          </w14:textFill>
        </w:rPr>
        <w:t>发包人提供国外标准、规范的名称：</w:t>
      </w:r>
      <w:r>
        <w:rPr>
          <w:rFonts w:hint="eastAsia" w:hAnsi="宋体"/>
          <w:color w:val="000000" w:themeColor="text1"/>
          <w:szCs w:val="21"/>
          <w:highlight w:val="none"/>
          <w:u w:val="single"/>
          <w14:textFill>
            <w14:solidFill>
              <w14:schemeClr w14:val="tx1"/>
            </w14:solidFill>
          </w14:textFill>
        </w:rPr>
        <w:t>无</w:t>
      </w:r>
      <w:r>
        <w:rPr>
          <w:rFonts w:hint="eastAsia" w:hAnsi="宋体"/>
          <w:color w:val="000000" w:themeColor="text1"/>
          <w:szCs w:val="21"/>
          <w:highlight w:val="none"/>
          <w14:textFill>
            <w14:solidFill>
              <w14:schemeClr w14:val="tx1"/>
            </w14:solidFill>
          </w14:textFill>
        </w:rPr>
        <w:t>；</w:t>
      </w:r>
    </w:p>
    <w:p w14:paraId="0D0DA215">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发包人提供国外标准、规范的份数：</w:t>
      </w:r>
      <w:r>
        <w:rPr>
          <w:rFonts w:hint="eastAsia"/>
          <w:color w:val="000000" w:themeColor="text1"/>
          <w:kern w:val="0"/>
          <w:szCs w:val="21"/>
          <w:highlight w:val="none"/>
          <w:u w:val="single"/>
          <w14:textFill>
            <w14:solidFill>
              <w14:schemeClr w14:val="tx1"/>
            </w14:solidFill>
          </w14:textFill>
        </w:rPr>
        <w:t>无</w:t>
      </w:r>
      <w:r>
        <w:rPr>
          <w:rFonts w:hAnsi="宋体"/>
          <w:color w:val="000000" w:themeColor="text1"/>
          <w:kern w:val="0"/>
          <w:szCs w:val="21"/>
          <w:highlight w:val="none"/>
          <w14:textFill>
            <w14:solidFill>
              <w14:schemeClr w14:val="tx1"/>
            </w14:solidFill>
          </w14:textFill>
        </w:rPr>
        <w:t>；</w:t>
      </w:r>
    </w:p>
    <w:p w14:paraId="4BFE66E1">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发包人提供国外标准、规范的名称：</w:t>
      </w:r>
      <w:r>
        <w:rPr>
          <w:rFonts w:hint="eastAsia"/>
          <w:color w:val="000000" w:themeColor="text1"/>
          <w:kern w:val="0"/>
          <w:szCs w:val="21"/>
          <w:highlight w:val="none"/>
          <w:u w:val="single"/>
          <w14:textFill>
            <w14:solidFill>
              <w14:schemeClr w14:val="tx1"/>
            </w14:solidFill>
          </w14:textFill>
        </w:rPr>
        <w:t>无</w:t>
      </w:r>
      <w:r>
        <w:rPr>
          <w:rFonts w:hAnsi="宋体"/>
          <w:color w:val="000000" w:themeColor="text1"/>
          <w:kern w:val="0"/>
          <w:szCs w:val="21"/>
          <w:highlight w:val="none"/>
          <w14:textFill>
            <w14:solidFill>
              <w14:schemeClr w14:val="tx1"/>
            </w14:solidFill>
          </w14:textFill>
        </w:rPr>
        <w:t>。</w:t>
      </w:r>
    </w:p>
    <w:p w14:paraId="0076B63D">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1.4.3</w:t>
      </w:r>
      <w:r>
        <w:rPr>
          <w:rFonts w:hAnsi="宋体"/>
          <w:color w:val="000000" w:themeColor="text1"/>
          <w:szCs w:val="21"/>
          <w:highlight w:val="none"/>
          <w14:textFill>
            <w14:solidFill>
              <w14:schemeClr w14:val="tx1"/>
            </w14:solidFill>
          </w14:textFill>
        </w:rPr>
        <w:t>发包人对工程的技术标准和功能要求的特殊要求：</w:t>
      </w:r>
      <w:r>
        <w:rPr>
          <w:rFonts w:hint="eastAsia" w:hAnsi="宋体"/>
          <w:color w:val="000000" w:themeColor="text1"/>
          <w:szCs w:val="21"/>
          <w:highlight w:val="none"/>
          <w:u w:val="single"/>
          <w14:textFill>
            <w14:solidFill>
              <w14:schemeClr w14:val="tx1"/>
            </w14:solidFill>
          </w14:textFill>
        </w:rPr>
        <w:t xml:space="preserve">  无</w:t>
      </w:r>
      <w:r>
        <w:rPr>
          <w:rFonts w:hint="eastAsia" w:hAnsi="宋体" w:cs="宋体"/>
          <w:color w:val="000000" w:themeColor="text1"/>
          <w:szCs w:val="21"/>
          <w:highlight w:val="none"/>
          <w14:textFill>
            <w14:solidFill>
              <w14:schemeClr w14:val="tx1"/>
            </w14:solidFill>
          </w14:textFill>
        </w:rPr>
        <w:t>。</w:t>
      </w:r>
    </w:p>
    <w:p w14:paraId="7AC8DA6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5" w:name="_Toc407135198"/>
      <w:bookmarkStart w:id="116" w:name="_Toc373227696"/>
      <w:bookmarkStart w:id="117" w:name="_Toc373478343"/>
      <w:bookmarkStart w:id="118" w:name="_Toc78449784"/>
      <w:bookmarkStart w:id="119" w:name="_Toc389065262"/>
      <w:bookmarkStart w:id="120" w:name="_Toc114058835"/>
      <w:r>
        <w:rPr>
          <w:rFonts w:eastAsia="黑体"/>
          <w:b/>
          <w:bCs/>
          <w:color w:val="000000" w:themeColor="text1"/>
          <w:sz w:val="32"/>
          <w:szCs w:val="32"/>
          <w:highlight w:val="none"/>
          <w:lang w:val="zh-CN"/>
          <w14:textFill>
            <w14:solidFill>
              <w14:schemeClr w14:val="tx1"/>
            </w14:solidFill>
          </w14:textFill>
        </w:rPr>
        <w:t xml:space="preserve">1.5 </w:t>
      </w:r>
      <w:r>
        <w:rPr>
          <w:rFonts w:hint="eastAsia" w:eastAsia="黑体" w:cs="黑体"/>
          <w:b/>
          <w:bCs/>
          <w:color w:val="000000" w:themeColor="text1"/>
          <w:sz w:val="32"/>
          <w:szCs w:val="32"/>
          <w:highlight w:val="none"/>
          <w:lang w:val="zh-CN"/>
          <w14:textFill>
            <w14:solidFill>
              <w14:schemeClr w14:val="tx1"/>
            </w14:solidFill>
          </w14:textFill>
        </w:rPr>
        <w:t>合同文件的优先顺序</w:t>
      </w:r>
      <w:bookmarkEnd w:id="115"/>
      <w:bookmarkEnd w:id="116"/>
      <w:bookmarkEnd w:id="117"/>
      <w:bookmarkEnd w:id="118"/>
      <w:bookmarkEnd w:id="119"/>
      <w:bookmarkEnd w:id="120"/>
    </w:p>
    <w:p w14:paraId="6AA84A72">
      <w:pPr>
        <w:spacing w:line="360" w:lineRule="auto"/>
        <w:ind w:firstLine="420" w:firstLineChars="200"/>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合同文件组成及优先顺序为：</w:t>
      </w:r>
    </w:p>
    <w:p w14:paraId="44991FAC">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（1）合同协议书；</w:t>
      </w:r>
    </w:p>
    <w:p w14:paraId="11ADC41C">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（2）成交通知书；</w:t>
      </w:r>
    </w:p>
    <w:p w14:paraId="7B156E07">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w:t>
      </w:r>
      <w:r>
        <w:rPr>
          <w:rFonts w:hint="eastAsia" w:hAnsi="宋体" w:cs="宋体"/>
          <w:highlight w:val="none"/>
        </w:rPr>
        <w:t>响应文件、</w:t>
      </w:r>
      <w:r>
        <w:rPr>
          <w:rFonts w:hint="eastAsia" w:hAnsi="宋体" w:cs="宋体"/>
          <w:color w:val="000000" w:themeColor="text1"/>
          <w:highlight w:val="none"/>
          <w14:textFill>
            <w14:solidFill>
              <w14:schemeClr w14:val="tx1"/>
            </w14:solidFill>
          </w14:textFill>
        </w:rPr>
        <w:t>竞标函及竞标函附录；</w:t>
      </w:r>
    </w:p>
    <w:p w14:paraId="102002FF">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（4）专用合同条款及其附件；</w:t>
      </w:r>
    </w:p>
    <w:p w14:paraId="0AB468F5">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（5）通用合同条款；</w:t>
      </w:r>
    </w:p>
    <w:p w14:paraId="61CC7636">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（6）技术标准和要求；</w:t>
      </w:r>
    </w:p>
    <w:p w14:paraId="7504CBF6">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（7）图纸；</w:t>
      </w:r>
    </w:p>
    <w:p w14:paraId="00F4340A">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（8）已标价工程量清单或预算书；</w:t>
      </w:r>
    </w:p>
    <w:p w14:paraId="034B38E2">
      <w:pPr>
        <w:autoSpaceDE w:val="0"/>
        <w:autoSpaceDN w:val="0"/>
        <w:adjustRightInd w:val="0"/>
        <w:spacing w:line="360" w:lineRule="auto"/>
        <w:ind w:firstLine="420" w:firstLineChars="200"/>
        <w:jc w:val="left"/>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（9）磋商文件（含补充通知和答疑）；</w:t>
      </w:r>
    </w:p>
    <w:p w14:paraId="60791C42">
      <w:pPr>
        <w:spacing w:line="360" w:lineRule="auto"/>
        <w:ind w:firstLine="420" w:firstLineChars="200"/>
        <w:rPr>
          <w:rFonts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w:t>
      </w:r>
      <w:r>
        <w:rPr>
          <w:rFonts w:hint="eastAsia" w:hAnsi="宋体" w:cs="宋体"/>
          <w:color w:val="000000" w:themeColor="text1"/>
          <w:highlight w:val="none"/>
          <w:lang w:val="en-US" w:eastAsia="zh-CN"/>
          <w14:textFill>
            <w14:solidFill>
              <w14:schemeClr w14:val="tx1"/>
            </w14:solidFill>
          </w14:textFill>
        </w:rPr>
        <w:t>0</w:t>
      </w:r>
      <w:r>
        <w:rPr>
          <w:rFonts w:hint="eastAsia" w:hAnsi="宋体" w:cs="宋体"/>
          <w:color w:val="000000" w:themeColor="text1"/>
          <w:highlight w:val="none"/>
          <w14:textFill>
            <w14:solidFill>
              <w14:schemeClr w14:val="tx1"/>
            </w14:solidFill>
          </w14:textFill>
        </w:rPr>
        <w:t>）其他合同文件（</w:t>
      </w:r>
      <w:r>
        <w:rPr>
          <w:rFonts w:hint="eastAsia" w:ascii="宋体" w:hAnsi="宋体"/>
          <w:color w:val="000000" w:themeColor="text1"/>
          <w:highlight w:val="none"/>
          <w14:textFill>
            <w14:solidFill>
              <w14:schemeClr w14:val="tx1"/>
            </w14:solidFill>
          </w14:textFill>
        </w:rPr>
        <w:t xml:space="preserve"> 在合同订立及履行过程中形成的与合同有关的文件均构成合同文件组成部分。</w:t>
      </w:r>
      <w:r>
        <w:rPr>
          <w:rFonts w:hint="eastAsia" w:hAnsi="宋体" w:cs="宋体"/>
          <w:color w:val="000000" w:themeColor="text1"/>
          <w:highlight w:val="none"/>
          <w14:textFill>
            <w14:solidFill>
              <w14:schemeClr w14:val="tx1"/>
            </w14:solidFill>
          </w14:textFill>
        </w:rPr>
        <w:t>）</w:t>
      </w:r>
    </w:p>
    <w:p w14:paraId="41DC431F">
      <w:pPr>
        <w:spacing w:line="360" w:lineRule="auto"/>
        <w:ind w:left="539" w:leftChars="200" w:hanging="119" w:hangingChars="57"/>
        <w:rPr>
          <w:rFonts w:ascii="宋体" w:hAnsi="宋体"/>
          <w:color w:val="000000" w:themeColor="text1"/>
          <w:highlight w:val="none"/>
          <w:u w:val="single"/>
          <w14:textFill>
            <w14:solidFill>
              <w14:schemeClr w14:val="tx1"/>
            </w14:solidFill>
          </w14:textFill>
        </w:rPr>
      </w:pPr>
      <w:r>
        <w:rPr>
          <w:rFonts w:ascii="宋体" w:hAnsi="宋体"/>
          <w:color w:val="000000" w:themeColor="text1"/>
          <w:highlight w:val="none"/>
          <w14:textFill>
            <w14:solidFill>
              <w14:schemeClr w14:val="tx1"/>
            </w14:solidFill>
          </w14:textFill>
        </w:rPr>
        <w:t>设计变更文件一律采取书面形式。包括：</w:t>
      </w:r>
      <w:r>
        <w:rPr>
          <w:rFonts w:ascii="宋体" w:hAnsi="宋体"/>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①</w:t>
      </w:r>
      <w:r>
        <w:rPr>
          <w:rFonts w:ascii="宋体" w:hAnsi="宋体"/>
          <w:color w:val="000000" w:themeColor="text1"/>
          <w:highlight w:val="none"/>
          <w14:textFill>
            <w14:solidFill>
              <w14:schemeClr w14:val="tx1"/>
            </w14:solidFill>
          </w14:textFill>
        </w:rPr>
        <w:t>设计单位作出的设计变更通知单；</w:t>
      </w:r>
      <w:r>
        <w:rPr>
          <w:rFonts w:ascii="宋体" w:hAnsi="宋体"/>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②</w:t>
      </w:r>
      <w:r>
        <w:rPr>
          <w:rFonts w:ascii="宋体" w:hAnsi="宋体"/>
          <w:color w:val="000000" w:themeColor="text1"/>
          <w:highlight w:val="none"/>
          <w14:textFill>
            <w14:solidFill>
              <w14:schemeClr w14:val="tx1"/>
            </w14:solidFill>
          </w14:textFill>
        </w:rPr>
        <w:t>根据洽商结果写成的洽商记录；</w:t>
      </w:r>
      <w:r>
        <w:rPr>
          <w:rFonts w:ascii="宋体" w:hAnsi="宋体"/>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③</w:t>
      </w:r>
      <w:r>
        <w:rPr>
          <w:rFonts w:ascii="宋体" w:hAnsi="宋体"/>
          <w:color w:val="000000" w:themeColor="text1"/>
          <w:highlight w:val="none"/>
          <w14:textFill>
            <w14:solidFill>
              <w14:schemeClr w14:val="tx1"/>
            </w14:solidFill>
          </w14:textFill>
        </w:rPr>
        <w:t>比较重要的设计变更和洽商记录所附的变更后的施工图。</w:t>
      </w:r>
      <w:r>
        <w:rPr>
          <w:rFonts w:ascii="宋体" w:hAnsi="宋体"/>
          <w:color w:val="000000" w:themeColor="text1"/>
          <w:highlight w:val="none"/>
          <w14:textFill>
            <w14:solidFill>
              <w14:schemeClr w14:val="tx1"/>
            </w14:solidFill>
          </w14:textFill>
        </w:rPr>
        <w:br w:type="textWrapping"/>
      </w:r>
      <w:r>
        <w:rPr>
          <w:rFonts w:ascii="宋体" w:hAnsi="宋体"/>
          <w:color w:val="000000" w:themeColor="text1"/>
          <w:highlight w:val="none"/>
          <w14:textFill>
            <w14:solidFill>
              <w14:schemeClr w14:val="tx1"/>
            </w14:solidFill>
          </w14:textFill>
        </w:rPr>
        <w:t>设计变更文件经过三方或双方签证认可后生效，并作为施工和编审增减工程预算的依据。</w:t>
      </w:r>
    </w:p>
    <w:p w14:paraId="307B03DB">
      <w:pPr>
        <w:spacing w:line="360" w:lineRule="auto"/>
        <w:ind w:firstLine="420" w:firstLineChars="200"/>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上述各项合同文件包括合同当事人就该项合同文件所作出的补充和修改，属于同一类内容的文件，应以最新签署的为准（违反采购文件</w:t>
      </w:r>
      <w:r>
        <w:rPr>
          <w:rFonts w:hAnsi="宋体" w:cs="宋体"/>
          <w:color w:val="000000" w:themeColor="text1"/>
          <w:kern w:val="0"/>
          <w:szCs w:val="21"/>
          <w:highlight w:val="none"/>
          <w14:textFill>
            <w14:solidFill>
              <w14:schemeClr w14:val="tx1"/>
            </w14:solidFill>
          </w14:textFill>
        </w:rPr>
        <w:t>实质性内容的约定除外</w:t>
      </w:r>
      <w:r>
        <w:rPr>
          <w:rFonts w:hint="eastAsia" w:hAnsi="宋体" w:cs="宋体"/>
          <w:color w:val="000000" w:themeColor="text1"/>
          <w:kern w:val="0"/>
          <w:szCs w:val="21"/>
          <w:highlight w:val="none"/>
          <w14:textFill>
            <w14:solidFill>
              <w14:schemeClr w14:val="tx1"/>
            </w14:solidFill>
          </w14:textFill>
        </w:rPr>
        <w:t>）。专用合同条款及其附件须经合同当事人签字或盖章。</w:t>
      </w:r>
    </w:p>
    <w:p w14:paraId="6FF3FB6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21" w:name="_Toc373227697"/>
      <w:bookmarkStart w:id="122" w:name="_Toc407135199"/>
      <w:bookmarkStart w:id="123" w:name="_Toc389065263"/>
      <w:bookmarkStart w:id="124" w:name="_Toc78449785"/>
      <w:bookmarkStart w:id="125" w:name="_Toc373478344"/>
      <w:bookmarkStart w:id="126" w:name="_Toc114058836"/>
      <w:r>
        <w:rPr>
          <w:rFonts w:eastAsia="黑体"/>
          <w:b/>
          <w:bCs/>
          <w:color w:val="000000" w:themeColor="text1"/>
          <w:sz w:val="32"/>
          <w:szCs w:val="32"/>
          <w:highlight w:val="none"/>
          <w:lang w:val="zh-CN"/>
          <w14:textFill>
            <w14:solidFill>
              <w14:schemeClr w14:val="tx1"/>
            </w14:solidFill>
          </w14:textFill>
        </w:rPr>
        <w:t xml:space="preserve">1.6 </w:t>
      </w:r>
      <w:r>
        <w:rPr>
          <w:rFonts w:hint="eastAsia" w:eastAsia="黑体" w:cs="黑体"/>
          <w:b/>
          <w:bCs/>
          <w:color w:val="000000" w:themeColor="text1"/>
          <w:sz w:val="32"/>
          <w:szCs w:val="32"/>
          <w:highlight w:val="none"/>
          <w:lang w:val="zh-CN"/>
          <w14:textFill>
            <w14:solidFill>
              <w14:schemeClr w14:val="tx1"/>
            </w14:solidFill>
          </w14:textFill>
        </w:rPr>
        <w:t>图纸和承包人文件</w:t>
      </w:r>
      <w:bookmarkEnd w:id="121"/>
      <w:bookmarkEnd w:id="122"/>
      <w:bookmarkEnd w:id="123"/>
      <w:bookmarkEnd w:id="124"/>
      <w:bookmarkEnd w:id="125"/>
      <w:bookmarkEnd w:id="126"/>
      <w:r>
        <w:rPr>
          <w:rFonts w:eastAsia="黑体"/>
          <w:b/>
          <w:bCs/>
          <w:color w:val="000000" w:themeColor="text1"/>
          <w:sz w:val="32"/>
          <w:szCs w:val="32"/>
          <w:highlight w:val="none"/>
          <w:lang w:val="zh-CN"/>
          <w14:textFill>
            <w14:solidFill>
              <w14:schemeClr w14:val="tx1"/>
            </w14:solidFill>
          </w14:textFill>
        </w:rPr>
        <w:tab/>
      </w:r>
    </w:p>
    <w:p w14:paraId="086EA25D">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1.6.1 </w:t>
      </w:r>
      <w:r>
        <w:rPr>
          <w:rFonts w:hint="eastAsia" w:hAnsi="宋体" w:cs="宋体"/>
          <w:color w:val="000000" w:themeColor="text1"/>
          <w:szCs w:val="21"/>
          <w:highlight w:val="none"/>
          <w14:textFill>
            <w14:solidFill>
              <w14:schemeClr w14:val="tx1"/>
            </w14:solidFill>
          </w14:textFill>
        </w:rPr>
        <w:t>图纸的提供</w:t>
      </w:r>
    </w:p>
    <w:p w14:paraId="4C25459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发包人向承包人提供图纸的期限：</w:t>
      </w:r>
      <w:r>
        <w:rPr>
          <w:rFonts w:hint="eastAsia" w:hAnsi="宋体"/>
          <w:color w:val="000000" w:themeColor="text1"/>
          <w:szCs w:val="21"/>
          <w:highlight w:val="none"/>
          <w:u w:val="single"/>
          <w14:textFill>
            <w14:solidFill>
              <w14:schemeClr w14:val="tx1"/>
            </w14:solidFill>
          </w14:textFill>
        </w:rPr>
        <w:t>合同签订之日起7个工作日内</w:t>
      </w:r>
      <w:r>
        <w:rPr>
          <w:rFonts w:hint="eastAsia" w:hAnsi="宋体" w:cs="宋体"/>
          <w:color w:val="000000" w:themeColor="text1"/>
          <w:szCs w:val="21"/>
          <w:highlight w:val="none"/>
          <w14:textFill>
            <w14:solidFill>
              <w14:schemeClr w14:val="tx1"/>
            </w14:solidFill>
          </w14:textFill>
        </w:rPr>
        <w:t>；</w:t>
      </w:r>
    </w:p>
    <w:p w14:paraId="58F44F59">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发包人向承包人提供图纸的数量：</w:t>
      </w:r>
      <w:r>
        <w:rPr>
          <w:rFonts w:hint="eastAsia" w:hAnsi="宋体"/>
          <w:color w:val="000000" w:themeColor="text1"/>
          <w:szCs w:val="21"/>
          <w:highlight w:val="none"/>
          <w:u w:val="single"/>
          <w14:textFill>
            <w14:solidFill>
              <w14:schemeClr w14:val="tx1"/>
            </w14:solidFill>
          </w14:textFill>
        </w:rPr>
        <w:t>贰</w:t>
      </w:r>
      <w:r>
        <w:rPr>
          <w:rFonts w:hint="eastAsia" w:hAnsi="宋体" w:cs="宋体"/>
          <w:color w:val="000000" w:themeColor="text1"/>
          <w:szCs w:val="21"/>
          <w:highlight w:val="none"/>
          <w14:textFill>
            <w14:solidFill>
              <w14:schemeClr w14:val="tx1"/>
            </w14:solidFill>
          </w14:textFill>
        </w:rPr>
        <w:t>套（承包人需要增加图纸套数的，发包人应代为复制，复制费用由承包人承担）；</w:t>
      </w:r>
    </w:p>
    <w:p w14:paraId="2318AF6F">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发包人向承包人提供图纸的内容：</w:t>
      </w:r>
      <w:r>
        <w:rPr>
          <w:rFonts w:hint="eastAsia" w:hAnsi="宋体"/>
          <w:color w:val="000000" w:themeColor="text1"/>
          <w:szCs w:val="21"/>
          <w:highlight w:val="none"/>
          <w:u w:val="single"/>
          <w14:textFill>
            <w14:solidFill>
              <w14:schemeClr w14:val="tx1"/>
            </w14:solidFill>
          </w14:textFill>
        </w:rPr>
        <w:t>本合同发包内容中的全部图纸（含设计变更）</w:t>
      </w:r>
      <w:r>
        <w:rPr>
          <w:rFonts w:hint="eastAsia" w:hAnsi="宋体" w:cs="宋体"/>
          <w:color w:val="000000" w:themeColor="text1"/>
          <w:szCs w:val="21"/>
          <w:highlight w:val="none"/>
          <w14:textFill>
            <w14:solidFill>
              <w14:schemeClr w14:val="tx1"/>
            </w14:solidFill>
          </w14:textFill>
        </w:rPr>
        <w:t>。</w:t>
      </w:r>
    </w:p>
    <w:p w14:paraId="7B840880">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1.6.2 </w:t>
      </w:r>
      <w:r>
        <w:rPr>
          <w:rFonts w:hint="eastAsia" w:hAnsi="宋体" w:cs="宋体"/>
          <w:color w:val="000000" w:themeColor="text1"/>
          <w:szCs w:val="21"/>
          <w:highlight w:val="none"/>
          <w14:textFill>
            <w14:solidFill>
              <w14:schemeClr w14:val="tx1"/>
            </w14:solidFill>
          </w14:textFill>
        </w:rPr>
        <w:t>承包人文件</w:t>
      </w:r>
    </w:p>
    <w:p w14:paraId="10920BCB">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需要由承包人提供的文件，包括：</w:t>
      </w:r>
      <w:r>
        <w:rPr>
          <w:rFonts w:hint="eastAsia" w:ascii="宋体" w:hAnsi="宋体" w:cs="宋体"/>
          <w:bCs/>
          <w:color w:val="000000" w:themeColor="text1"/>
          <w:szCs w:val="21"/>
          <w:highlight w:val="none"/>
          <w:u w:val="single"/>
          <w14:textFill>
            <w14:solidFill>
              <w14:schemeClr w14:val="tx1"/>
            </w14:solidFill>
          </w14:textFill>
        </w:rPr>
        <w:t>实施性施工组织设计及方案 ；建设项目竣工验收前，承包人应根据合同工作内容要求，分别整理竣工验收资料（含竣工图），汇总为完整的建设项目竣工资料报发包人（费用由承包人负责）</w:t>
      </w:r>
      <w:r>
        <w:rPr>
          <w:rFonts w:hAnsi="宋体"/>
          <w:color w:val="000000" w:themeColor="text1"/>
          <w:szCs w:val="21"/>
          <w:highlight w:val="none"/>
          <w14:textFill>
            <w14:solidFill>
              <w14:schemeClr w14:val="tx1"/>
            </w14:solidFill>
          </w14:textFill>
        </w:rPr>
        <w:t>；</w:t>
      </w:r>
    </w:p>
    <w:p w14:paraId="3A8ADEF4">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承包人提供的文件的期限为：</w:t>
      </w:r>
      <w:r>
        <w:rPr>
          <w:rFonts w:hint="eastAsia" w:ascii="宋体" w:hAnsi="宋体"/>
          <w:color w:val="000000" w:themeColor="text1"/>
          <w:szCs w:val="21"/>
          <w:highlight w:val="none"/>
          <w:u w:val="single"/>
          <w14:textFill>
            <w14:solidFill>
              <w14:schemeClr w14:val="tx1"/>
            </w14:solidFill>
          </w14:textFill>
        </w:rPr>
        <w:t>开工前及</w:t>
      </w:r>
      <w:r>
        <w:rPr>
          <w:rFonts w:ascii="宋体" w:hAnsi="宋体" w:cs="宋体"/>
          <w:bCs/>
          <w:color w:val="000000" w:themeColor="text1"/>
          <w:szCs w:val="21"/>
          <w:highlight w:val="none"/>
          <w:u w:val="single"/>
          <w14:textFill>
            <w14:solidFill>
              <w14:schemeClr w14:val="tx1"/>
            </w14:solidFill>
          </w14:textFill>
        </w:rPr>
        <w:t>竣工验收正式通过后15</w:t>
      </w:r>
      <w:r>
        <w:rPr>
          <w:rFonts w:hint="eastAsia" w:ascii="宋体" w:hAnsi="宋体" w:cs="宋体"/>
          <w:bCs/>
          <w:color w:val="000000" w:themeColor="text1"/>
          <w:szCs w:val="21"/>
          <w:highlight w:val="none"/>
          <w:u w:val="single"/>
          <w14:textFill>
            <w14:solidFill>
              <w14:schemeClr w14:val="tx1"/>
            </w14:solidFill>
          </w14:textFill>
        </w:rPr>
        <w:t>天</w:t>
      </w:r>
      <w:r>
        <w:rPr>
          <w:rFonts w:hAnsi="宋体"/>
          <w:color w:val="000000" w:themeColor="text1"/>
          <w:szCs w:val="21"/>
          <w:highlight w:val="none"/>
          <w14:textFill>
            <w14:solidFill>
              <w14:schemeClr w14:val="tx1"/>
            </w14:solidFill>
          </w14:textFill>
        </w:rPr>
        <w:t>；</w:t>
      </w:r>
    </w:p>
    <w:p w14:paraId="0730F932">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承包人提供的文件的数量为：</w:t>
      </w:r>
      <w:r>
        <w:rPr>
          <w:rFonts w:hint="eastAsia" w:hAnsi="宋体"/>
          <w:color w:val="000000" w:themeColor="text1"/>
          <w:szCs w:val="21"/>
          <w:highlight w:val="none"/>
          <w:u w:val="single"/>
          <w14:textFill>
            <w14:solidFill>
              <w14:schemeClr w14:val="tx1"/>
            </w14:solidFill>
          </w14:textFill>
        </w:rPr>
        <w:t>提供6套</w:t>
      </w:r>
      <w:r>
        <w:rPr>
          <w:rFonts w:hAnsi="宋体"/>
          <w:color w:val="000000" w:themeColor="text1"/>
          <w:szCs w:val="21"/>
          <w:highlight w:val="none"/>
          <w14:textFill>
            <w14:solidFill>
              <w14:schemeClr w14:val="tx1"/>
            </w14:solidFill>
          </w14:textFill>
        </w:rPr>
        <w:t>；</w:t>
      </w:r>
    </w:p>
    <w:p w14:paraId="570A810C">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承包人提供的文件的形式为：</w:t>
      </w:r>
      <w:r>
        <w:rPr>
          <w:rFonts w:hint="eastAsia" w:hAnsi="宋体"/>
          <w:color w:val="000000" w:themeColor="text1"/>
          <w:szCs w:val="21"/>
          <w:highlight w:val="none"/>
          <w:u w:val="single"/>
          <w14:textFill>
            <w14:solidFill>
              <w14:schemeClr w14:val="tx1"/>
            </w14:solidFill>
          </w14:textFill>
        </w:rPr>
        <w:t>书面形式和电子版</w:t>
      </w:r>
      <w:r>
        <w:rPr>
          <w:rFonts w:hAnsi="宋体"/>
          <w:color w:val="000000" w:themeColor="text1"/>
          <w:szCs w:val="21"/>
          <w:highlight w:val="none"/>
          <w14:textFill>
            <w14:solidFill>
              <w14:schemeClr w14:val="tx1"/>
            </w14:solidFill>
          </w14:textFill>
        </w:rPr>
        <w:t>；</w:t>
      </w:r>
    </w:p>
    <w:p w14:paraId="770068C0">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发包人审批承包人文件的期限：</w:t>
      </w:r>
      <w:r>
        <w:rPr>
          <w:rFonts w:hint="eastAsia" w:hAnsi="宋体"/>
          <w:color w:val="000000" w:themeColor="text1"/>
          <w:szCs w:val="21"/>
          <w:highlight w:val="none"/>
          <w:u w:val="single"/>
          <w14:textFill>
            <w14:solidFill>
              <w14:schemeClr w14:val="tx1"/>
            </w14:solidFill>
          </w14:textFill>
        </w:rPr>
        <w:t>提交文件后14个工作日内</w:t>
      </w:r>
      <w:r>
        <w:rPr>
          <w:rFonts w:hint="eastAsia" w:hAnsi="宋体" w:cs="宋体"/>
          <w:color w:val="000000" w:themeColor="text1"/>
          <w:szCs w:val="21"/>
          <w:highlight w:val="none"/>
          <w14:textFill>
            <w14:solidFill>
              <w14:schemeClr w14:val="tx1"/>
            </w14:solidFill>
          </w14:textFill>
        </w:rPr>
        <w:t>。</w:t>
      </w:r>
    </w:p>
    <w:p w14:paraId="73FC89B7">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1.6.3 </w:t>
      </w:r>
      <w:r>
        <w:rPr>
          <w:rFonts w:hint="eastAsia" w:hAnsi="宋体" w:cs="宋体"/>
          <w:color w:val="000000" w:themeColor="text1"/>
          <w:szCs w:val="21"/>
          <w:highlight w:val="none"/>
          <w14:textFill>
            <w14:solidFill>
              <w14:schemeClr w14:val="tx1"/>
            </w14:solidFill>
          </w14:textFill>
        </w:rPr>
        <w:t>现场图纸准备</w:t>
      </w:r>
    </w:p>
    <w:p w14:paraId="41673BD4">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关于现场图纸准备的约定：</w:t>
      </w:r>
      <w:r>
        <w:rPr>
          <w:rFonts w:hint="eastAsia" w:hAnsi="宋体"/>
          <w:color w:val="000000" w:themeColor="text1"/>
          <w:szCs w:val="21"/>
          <w:highlight w:val="none"/>
          <w:u w:val="single"/>
          <w14:textFill>
            <w14:solidFill>
              <w14:schemeClr w14:val="tx1"/>
            </w14:solidFill>
          </w14:textFill>
        </w:rPr>
        <w:t>承包人在施工现场保留一套完整图纸和承包人文件，供发包人、监理人及有关人员进行工程检查时使用</w:t>
      </w:r>
      <w:r>
        <w:rPr>
          <w:rFonts w:hint="eastAsia" w:hAnsi="宋体" w:cs="宋体"/>
          <w:color w:val="000000" w:themeColor="text1"/>
          <w:szCs w:val="21"/>
          <w:highlight w:val="none"/>
          <w14:textFill>
            <w14:solidFill>
              <w14:schemeClr w14:val="tx1"/>
            </w14:solidFill>
          </w14:textFill>
        </w:rPr>
        <w:t>。</w:t>
      </w:r>
    </w:p>
    <w:p w14:paraId="76246B7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27" w:name="_Toc373227698"/>
      <w:bookmarkStart w:id="128" w:name="_Toc78449786"/>
      <w:bookmarkStart w:id="129" w:name="_Toc373478345"/>
      <w:bookmarkStart w:id="130" w:name="_Toc389065264"/>
      <w:bookmarkStart w:id="131" w:name="_Toc407135200"/>
      <w:bookmarkStart w:id="132" w:name="_Toc114058837"/>
      <w:r>
        <w:rPr>
          <w:rFonts w:eastAsia="黑体"/>
          <w:b/>
          <w:bCs/>
          <w:color w:val="000000" w:themeColor="text1"/>
          <w:sz w:val="32"/>
          <w:szCs w:val="32"/>
          <w:highlight w:val="none"/>
          <w:lang w:val="zh-CN"/>
          <w14:textFill>
            <w14:solidFill>
              <w14:schemeClr w14:val="tx1"/>
            </w14:solidFill>
          </w14:textFill>
        </w:rPr>
        <w:t xml:space="preserve">1.7 </w:t>
      </w:r>
      <w:r>
        <w:rPr>
          <w:rFonts w:hint="eastAsia" w:hAnsi="宋体" w:eastAsia="黑体" w:cs="黑体"/>
          <w:b/>
          <w:bCs/>
          <w:color w:val="000000" w:themeColor="text1"/>
          <w:sz w:val="32"/>
          <w:szCs w:val="32"/>
          <w:highlight w:val="none"/>
          <w:lang w:val="zh-CN"/>
          <w14:textFill>
            <w14:solidFill>
              <w14:schemeClr w14:val="tx1"/>
            </w14:solidFill>
          </w14:textFill>
        </w:rPr>
        <w:t>联络</w:t>
      </w:r>
      <w:bookmarkEnd w:id="127"/>
      <w:bookmarkEnd w:id="128"/>
      <w:bookmarkEnd w:id="129"/>
      <w:bookmarkEnd w:id="130"/>
      <w:bookmarkEnd w:id="131"/>
      <w:bookmarkEnd w:id="132"/>
    </w:p>
    <w:p w14:paraId="70C29C87">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1.7.1</w:t>
      </w:r>
      <w:r>
        <w:rPr>
          <w:rFonts w:hint="eastAsia" w:hAnsi="宋体" w:cs="宋体"/>
          <w:color w:val="000000" w:themeColor="text1"/>
          <w:kern w:val="0"/>
          <w:szCs w:val="21"/>
          <w:highlight w:val="none"/>
          <w14:textFill>
            <w14:solidFill>
              <w14:schemeClr w14:val="tx1"/>
            </w14:solidFill>
          </w14:textFill>
        </w:rPr>
        <w:t>发包人和承包人应当在</w:t>
      </w:r>
      <w:r>
        <w:rPr>
          <w:rFonts w:hint="eastAsia"/>
          <w:color w:val="000000" w:themeColor="text1"/>
          <w:szCs w:val="21"/>
          <w:highlight w:val="none"/>
          <w:u w:val="single"/>
          <w14:textFill>
            <w14:solidFill>
              <w14:schemeClr w14:val="tx1"/>
            </w14:solidFill>
          </w14:textFill>
        </w:rPr>
        <w:t>7日历</w:t>
      </w:r>
      <w:r>
        <w:rPr>
          <w:rFonts w:hint="eastAsia" w:hAnsi="宋体" w:cs="宋体"/>
          <w:color w:val="000000" w:themeColor="text1"/>
          <w:kern w:val="0"/>
          <w:szCs w:val="21"/>
          <w:highlight w:val="none"/>
          <w14:textFill>
            <w14:solidFill>
              <w14:schemeClr w14:val="tx1"/>
            </w14:solidFill>
          </w14:textFill>
        </w:rPr>
        <w:t>天内将与合同有关的通知、批准、证明、证书、指示、指令、要求、请求、同意、意见、确定和决定等书面函件送达对方当事人。</w:t>
      </w:r>
    </w:p>
    <w:p w14:paraId="43E7C790">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1.7.2 </w:t>
      </w:r>
      <w:r>
        <w:rPr>
          <w:rFonts w:hAnsi="宋体"/>
          <w:color w:val="000000" w:themeColor="text1"/>
          <w:kern w:val="0"/>
          <w:szCs w:val="21"/>
          <w:highlight w:val="none"/>
          <w14:textFill>
            <w14:solidFill>
              <w14:schemeClr w14:val="tx1"/>
            </w14:solidFill>
          </w14:textFill>
        </w:rPr>
        <w:t>发包人接收文件的地点：</w:t>
      </w:r>
      <w:r>
        <w:rPr>
          <w:rFonts w:hint="eastAsia" w:hAnsi="宋体"/>
          <w:color w:val="000000" w:themeColor="text1"/>
          <w:szCs w:val="21"/>
          <w:highlight w:val="none"/>
          <w:u w:val="single"/>
          <w14:textFill>
            <w14:solidFill>
              <w14:schemeClr w14:val="tx1"/>
            </w14:solidFill>
          </w14:textFill>
        </w:rPr>
        <w:t>施工现场发包人办公室</w:t>
      </w:r>
      <w:r>
        <w:rPr>
          <w:rFonts w:hAnsi="宋体"/>
          <w:color w:val="000000" w:themeColor="text1"/>
          <w:kern w:val="0"/>
          <w:szCs w:val="21"/>
          <w:highlight w:val="none"/>
          <w14:textFill>
            <w14:solidFill>
              <w14:schemeClr w14:val="tx1"/>
            </w14:solidFill>
          </w14:textFill>
        </w:rPr>
        <w:t>；</w:t>
      </w:r>
    </w:p>
    <w:p w14:paraId="26C94CC0">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发包人指定的接收人为：</w:t>
      </w:r>
      <w:r>
        <w:rPr>
          <w:rFonts w:hint="eastAsia" w:hAnsi="宋体"/>
          <w:color w:val="000000" w:themeColor="text1"/>
          <w:szCs w:val="21"/>
          <w:highlight w:val="none"/>
          <w:u w:val="single"/>
          <w14:textFill>
            <w14:solidFill>
              <w14:schemeClr w14:val="tx1"/>
            </w14:solidFill>
          </w14:textFill>
        </w:rPr>
        <w:t>业主代表（现场）</w:t>
      </w:r>
      <w:r>
        <w:rPr>
          <w:rFonts w:hAnsi="宋体"/>
          <w:color w:val="000000" w:themeColor="text1"/>
          <w:kern w:val="0"/>
          <w:szCs w:val="21"/>
          <w:highlight w:val="none"/>
          <w14:textFill>
            <w14:solidFill>
              <w14:schemeClr w14:val="tx1"/>
            </w14:solidFill>
          </w14:textFill>
        </w:rPr>
        <w:t>。</w:t>
      </w:r>
    </w:p>
    <w:p w14:paraId="031E0CC3">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承包人接收文件的地点：</w:t>
      </w:r>
      <w:r>
        <w:rPr>
          <w:rFonts w:hint="eastAsia" w:hAnsi="宋体"/>
          <w:color w:val="000000" w:themeColor="text1"/>
          <w:szCs w:val="21"/>
          <w:highlight w:val="none"/>
          <w:u w:val="single"/>
          <w14:textFill>
            <w14:solidFill>
              <w14:schemeClr w14:val="tx1"/>
            </w14:solidFill>
          </w14:textFill>
        </w:rPr>
        <w:t>施工现场承包人办公室</w:t>
      </w:r>
      <w:r>
        <w:rPr>
          <w:rFonts w:hAnsi="宋体"/>
          <w:color w:val="000000" w:themeColor="text1"/>
          <w:kern w:val="0"/>
          <w:szCs w:val="21"/>
          <w:highlight w:val="none"/>
          <w14:textFill>
            <w14:solidFill>
              <w14:schemeClr w14:val="tx1"/>
            </w14:solidFill>
          </w14:textFill>
        </w:rPr>
        <w:t>；</w:t>
      </w:r>
    </w:p>
    <w:p w14:paraId="3EB5F756">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承包人指定的接收人为：</w:t>
      </w:r>
      <w:r>
        <w:rPr>
          <w:rFonts w:hint="eastAsia" w:hAnsi="宋体"/>
          <w:color w:val="000000" w:themeColor="text1"/>
          <w:szCs w:val="21"/>
          <w:highlight w:val="none"/>
          <w:u w:val="single"/>
          <w14:textFill>
            <w14:solidFill>
              <w14:schemeClr w14:val="tx1"/>
            </w14:solidFill>
          </w14:textFill>
        </w:rPr>
        <w:t>承包人项目经理</w:t>
      </w:r>
      <w:r>
        <w:rPr>
          <w:rFonts w:hAnsi="宋体"/>
          <w:color w:val="000000" w:themeColor="text1"/>
          <w:kern w:val="0"/>
          <w:szCs w:val="21"/>
          <w:highlight w:val="none"/>
          <w14:textFill>
            <w14:solidFill>
              <w14:schemeClr w14:val="tx1"/>
            </w14:solidFill>
          </w14:textFill>
        </w:rPr>
        <w:t>。</w:t>
      </w:r>
    </w:p>
    <w:p w14:paraId="23A4B635">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监理人接收文件的地点：</w:t>
      </w:r>
      <w:r>
        <w:rPr>
          <w:rFonts w:hint="eastAsia" w:hAnsi="宋体"/>
          <w:color w:val="000000" w:themeColor="text1"/>
          <w:szCs w:val="21"/>
          <w:highlight w:val="none"/>
          <w:u w:val="single"/>
          <w14:textFill>
            <w14:solidFill>
              <w14:schemeClr w14:val="tx1"/>
            </w14:solidFill>
          </w14:textFill>
        </w:rPr>
        <w:t>施工现场监理人办公室</w:t>
      </w:r>
      <w:r>
        <w:rPr>
          <w:rFonts w:hAnsi="宋体"/>
          <w:color w:val="000000" w:themeColor="text1"/>
          <w:kern w:val="0"/>
          <w:szCs w:val="21"/>
          <w:highlight w:val="none"/>
          <w14:textFill>
            <w14:solidFill>
              <w14:schemeClr w14:val="tx1"/>
            </w14:solidFill>
          </w14:textFill>
        </w:rPr>
        <w:t>；</w:t>
      </w:r>
    </w:p>
    <w:p w14:paraId="257BA617">
      <w:pPr>
        <w:spacing w:line="360" w:lineRule="auto"/>
        <w:ind w:firstLine="420" w:firstLineChars="200"/>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监理人指定的接收人为：</w:t>
      </w:r>
      <w:r>
        <w:rPr>
          <w:rFonts w:hint="eastAsia" w:hAnsi="宋体"/>
          <w:color w:val="000000" w:themeColor="text1"/>
          <w:szCs w:val="21"/>
          <w:highlight w:val="none"/>
          <w:u w:val="single"/>
          <w14:textFill>
            <w14:solidFill>
              <w14:schemeClr w14:val="tx1"/>
            </w14:solidFill>
          </w14:textFill>
        </w:rPr>
        <w:t>总监理工程师或总监代表</w:t>
      </w:r>
      <w:r>
        <w:rPr>
          <w:rFonts w:hint="eastAsia" w:hAnsi="宋体" w:cs="宋体"/>
          <w:color w:val="000000" w:themeColor="text1"/>
          <w:kern w:val="0"/>
          <w:szCs w:val="21"/>
          <w:highlight w:val="none"/>
          <w14:textFill>
            <w14:solidFill>
              <w14:schemeClr w14:val="tx1"/>
            </w14:solidFill>
          </w14:textFill>
        </w:rPr>
        <w:t>。</w:t>
      </w:r>
    </w:p>
    <w:p w14:paraId="0F38F6E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33" w:name="_Toc373478346"/>
      <w:bookmarkStart w:id="134" w:name="_Toc389065265"/>
      <w:bookmarkStart w:id="135" w:name="_Toc407135201"/>
      <w:bookmarkStart w:id="136" w:name="_Toc78449787"/>
      <w:bookmarkStart w:id="137" w:name="_Toc373227699"/>
      <w:bookmarkStart w:id="138" w:name="_Toc114058838"/>
      <w:r>
        <w:rPr>
          <w:rFonts w:eastAsia="黑体"/>
          <w:b/>
          <w:bCs/>
          <w:color w:val="000000" w:themeColor="text1"/>
          <w:sz w:val="32"/>
          <w:szCs w:val="32"/>
          <w:highlight w:val="none"/>
          <w:lang w:val="zh-CN"/>
          <w14:textFill>
            <w14:solidFill>
              <w14:schemeClr w14:val="tx1"/>
            </w14:solidFill>
          </w14:textFill>
        </w:rPr>
        <w:t xml:space="preserve">1.10 </w:t>
      </w:r>
      <w:r>
        <w:rPr>
          <w:rFonts w:hint="eastAsia" w:hAnsi="宋体" w:eastAsia="黑体" w:cs="黑体"/>
          <w:b/>
          <w:bCs/>
          <w:color w:val="000000" w:themeColor="text1"/>
          <w:sz w:val="32"/>
          <w:szCs w:val="32"/>
          <w:highlight w:val="none"/>
          <w:lang w:val="zh-CN"/>
          <w14:textFill>
            <w14:solidFill>
              <w14:schemeClr w14:val="tx1"/>
            </w14:solidFill>
          </w14:textFill>
        </w:rPr>
        <w:t>交通运输</w:t>
      </w:r>
      <w:bookmarkEnd w:id="133"/>
      <w:bookmarkEnd w:id="134"/>
      <w:bookmarkEnd w:id="135"/>
      <w:bookmarkEnd w:id="136"/>
      <w:bookmarkEnd w:id="137"/>
      <w:bookmarkEnd w:id="138"/>
    </w:p>
    <w:p w14:paraId="7BF4DEAB">
      <w:pPr>
        <w:spacing w:line="360" w:lineRule="auto"/>
        <w:ind w:firstLine="420" w:firstLineChars="200"/>
        <w:rPr>
          <w:color w:val="000000" w:themeColor="text1"/>
          <w:szCs w:val="21"/>
          <w:highlight w:val="none"/>
          <w14:textFill>
            <w14:solidFill>
              <w14:schemeClr w14:val="tx1"/>
            </w14:solidFill>
          </w14:textFill>
        </w:rPr>
      </w:pPr>
      <w:bookmarkStart w:id="139" w:name="_Toc318581157"/>
      <w:r>
        <w:rPr>
          <w:color w:val="000000" w:themeColor="text1"/>
          <w:szCs w:val="21"/>
          <w:highlight w:val="none"/>
          <w14:textFill>
            <w14:solidFill>
              <w14:schemeClr w14:val="tx1"/>
            </w14:solidFill>
          </w14:textFill>
        </w:rPr>
        <w:t>1</w:t>
      </w:r>
      <w:bookmarkStart w:id="140" w:name="_Toc304295521"/>
      <w:bookmarkStart w:id="141" w:name="_Toc318581155"/>
      <w:bookmarkStart w:id="142" w:name="_Toc312677986"/>
      <w:bookmarkStart w:id="143" w:name="_Toc303539100"/>
      <w:bookmarkStart w:id="144" w:name="_Toc300934943"/>
      <w:r>
        <w:rPr>
          <w:color w:val="000000" w:themeColor="text1"/>
          <w:szCs w:val="21"/>
          <w:highlight w:val="none"/>
          <w14:textFill>
            <w14:solidFill>
              <w14:schemeClr w14:val="tx1"/>
            </w14:solidFill>
          </w14:textFill>
        </w:rPr>
        <w:t xml:space="preserve">.10.1 </w:t>
      </w:r>
      <w:r>
        <w:rPr>
          <w:rFonts w:hAnsi="宋体"/>
          <w:color w:val="000000" w:themeColor="text1"/>
          <w:szCs w:val="21"/>
          <w:highlight w:val="none"/>
          <w14:textFill>
            <w14:solidFill>
              <w14:schemeClr w14:val="tx1"/>
            </w14:solidFill>
          </w14:textFill>
        </w:rPr>
        <w:t>出入现场的权利</w:t>
      </w:r>
    </w:p>
    <w:p w14:paraId="45B9B40F">
      <w:pPr>
        <w:spacing w:line="360" w:lineRule="auto"/>
        <w:ind w:firstLine="420" w:firstLineChars="200"/>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关于出入现场的权利的约定：</w:t>
      </w:r>
      <w:r>
        <w:rPr>
          <w:rFonts w:hint="eastAsia" w:hAnsi="宋体"/>
          <w:color w:val="000000" w:themeColor="text1"/>
          <w:szCs w:val="21"/>
          <w:highlight w:val="none"/>
          <w:u w:val="single"/>
          <w14:textFill>
            <w14:solidFill>
              <w14:schemeClr w14:val="tx1"/>
            </w14:solidFill>
          </w14:textFill>
        </w:rPr>
        <w:t>承包人根据工程建设需要，负责施工场地范围内的照明、砖砌围墙设施、临时给排水敷设、施工道路硬化、施工场地硬化施工，并承担因此而发生的费用，同时负责安全保卫工作。发包人和监理人有权无偿使用承包人修建的临时道路和交通设施，不需要缴纳任何费用</w:t>
      </w:r>
      <w:r>
        <w:rPr>
          <w:rFonts w:hAnsi="宋体"/>
          <w:color w:val="000000" w:themeColor="text1"/>
          <w:szCs w:val="21"/>
          <w:highlight w:val="none"/>
          <w14:textFill>
            <w14:solidFill>
              <w14:schemeClr w14:val="tx1"/>
            </w14:solidFill>
          </w14:textFill>
        </w:rPr>
        <w:t>。</w:t>
      </w:r>
    </w:p>
    <w:bookmarkEnd w:id="140"/>
    <w:bookmarkEnd w:id="141"/>
    <w:bookmarkEnd w:id="142"/>
    <w:bookmarkEnd w:id="143"/>
    <w:bookmarkEnd w:id="144"/>
    <w:p w14:paraId="4A1A3352">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bookmarkStart w:id="145" w:name="_Toc300934944"/>
      <w:bookmarkStart w:id="146" w:name="_Toc303539101"/>
      <w:bookmarkStart w:id="147" w:name="_Toc304295522"/>
      <w:bookmarkStart w:id="148" w:name="_Toc318581156"/>
      <w:bookmarkStart w:id="149" w:name="_Toc312677987"/>
      <w:r>
        <w:rPr>
          <w:color w:val="000000" w:themeColor="text1"/>
          <w:szCs w:val="21"/>
          <w:highlight w:val="none"/>
          <w14:textFill>
            <w14:solidFill>
              <w14:schemeClr w14:val="tx1"/>
            </w14:solidFill>
          </w14:textFill>
        </w:rPr>
        <w:t xml:space="preserve">.10.3 </w:t>
      </w:r>
      <w:r>
        <w:rPr>
          <w:rFonts w:hAnsi="宋体"/>
          <w:color w:val="000000" w:themeColor="text1"/>
          <w:szCs w:val="21"/>
          <w:highlight w:val="none"/>
          <w14:textFill>
            <w14:solidFill>
              <w14:schemeClr w14:val="tx1"/>
            </w14:solidFill>
          </w14:textFill>
        </w:rPr>
        <w:t>场内交通</w:t>
      </w:r>
    </w:p>
    <w:p w14:paraId="4FEE699D">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关于场外交通和场内交通的边界的约定：</w:t>
      </w:r>
      <w:r>
        <w:rPr>
          <w:rFonts w:hint="eastAsia" w:ascii="宋体" w:hAnsi="宋体" w:cs="宋体"/>
          <w:bCs/>
          <w:color w:val="000000" w:themeColor="text1"/>
          <w:szCs w:val="21"/>
          <w:highlight w:val="none"/>
          <w:u w:val="single"/>
          <w14:textFill>
            <w14:solidFill>
              <w14:schemeClr w14:val="tx1"/>
            </w14:solidFill>
          </w14:textFill>
        </w:rPr>
        <w:t>以工程用地红线界定</w:t>
      </w:r>
      <w:r>
        <w:rPr>
          <w:rFonts w:hAnsi="宋体"/>
          <w:color w:val="000000" w:themeColor="text1"/>
          <w:szCs w:val="21"/>
          <w:highlight w:val="none"/>
          <w14:textFill>
            <w14:solidFill>
              <w14:schemeClr w14:val="tx1"/>
            </w14:solidFill>
          </w14:textFill>
        </w:rPr>
        <w:t>。</w:t>
      </w:r>
    </w:p>
    <w:p w14:paraId="51DBD68E">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关于发包人向承包人免费提供满足工程施工需要的场内道路和交通设施的约定：</w:t>
      </w:r>
      <w:r>
        <w:rPr>
          <w:rFonts w:hint="eastAsia"/>
          <w:color w:val="000000" w:themeColor="text1"/>
          <w:highlight w:val="none"/>
          <w:u w:val="single"/>
          <w14:textFill>
            <w14:solidFill>
              <w14:schemeClr w14:val="tx1"/>
            </w14:solidFill>
          </w14:textFill>
        </w:rPr>
        <w:t>施工现场内临时道路由承包人负责建设及拆除并承担相关费用</w:t>
      </w:r>
      <w:r>
        <w:rPr>
          <w:rFonts w:hAnsi="宋体"/>
          <w:color w:val="000000" w:themeColor="text1"/>
          <w:szCs w:val="21"/>
          <w:highlight w:val="none"/>
          <w14:textFill>
            <w14:solidFill>
              <w14:schemeClr w14:val="tx1"/>
            </w14:solidFill>
          </w14:textFill>
        </w:rPr>
        <w:t>。</w:t>
      </w:r>
      <w:bookmarkEnd w:id="145"/>
      <w:bookmarkEnd w:id="146"/>
      <w:bookmarkEnd w:id="147"/>
      <w:bookmarkEnd w:id="148"/>
      <w:bookmarkEnd w:id="149"/>
    </w:p>
    <w:p w14:paraId="0D5C58A0">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1.10.4</w:t>
      </w:r>
      <w:r>
        <w:rPr>
          <w:rFonts w:hAnsi="宋体"/>
          <w:color w:val="000000" w:themeColor="text1"/>
          <w:szCs w:val="21"/>
          <w:highlight w:val="none"/>
          <w14:textFill>
            <w14:solidFill>
              <w14:schemeClr w14:val="tx1"/>
            </w14:solidFill>
          </w14:textFill>
        </w:rPr>
        <w:t>超大件和超重件的运输</w:t>
      </w:r>
    </w:p>
    <w:p w14:paraId="7DD92CFC">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运输超大件或超重件所需的道路和桥梁临时加固改造费用和其他有关费用由</w:t>
      </w:r>
      <w:r>
        <w:rPr>
          <w:rFonts w:hint="eastAsia"/>
          <w:color w:val="000000" w:themeColor="text1"/>
          <w:szCs w:val="21"/>
          <w:highlight w:val="none"/>
          <w:u w:val="single"/>
          <w14:textFill>
            <w14:solidFill>
              <w14:schemeClr w14:val="tx1"/>
            </w14:solidFill>
          </w14:textFill>
        </w:rPr>
        <w:t>承包人</w:t>
      </w:r>
      <w:r>
        <w:rPr>
          <w:rFonts w:hAnsi="宋体"/>
          <w:color w:val="000000" w:themeColor="text1"/>
          <w:szCs w:val="21"/>
          <w:highlight w:val="none"/>
          <w14:textFill>
            <w14:solidFill>
              <w14:schemeClr w14:val="tx1"/>
            </w14:solidFill>
          </w14:textFill>
        </w:rPr>
        <w:t>承担</w:t>
      </w:r>
      <w:r>
        <w:rPr>
          <w:rFonts w:hint="eastAsia" w:hAnsi="宋体" w:cs="宋体"/>
          <w:color w:val="000000" w:themeColor="text1"/>
          <w:szCs w:val="21"/>
          <w:highlight w:val="none"/>
          <w14:textFill>
            <w14:solidFill>
              <w14:schemeClr w14:val="tx1"/>
            </w14:solidFill>
          </w14:textFill>
        </w:rPr>
        <w:t>。</w:t>
      </w:r>
    </w:p>
    <w:bookmarkEnd w:id="139"/>
    <w:p w14:paraId="24DC47AB">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50" w:name="_Toc373478347"/>
      <w:bookmarkStart w:id="151" w:name="_Toc407135202"/>
      <w:bookmarkStart w:id="152" w:name="_Toc114058839"/>
      <w:bookmarkStart w:id="153" w:name="_Toc78449788"/>
      <w:bookmarkStart w:id="154" w:name="_Toc389065266"/>
      <w:bookmarkStart w:id="155" w:name="_Toc373227700"/>
      <w:r>
        <w:rPr>
          <w:rFonts w:eastAsia="黑体"/>
          <w:b/>
          <w:bCs/>
          <w:color w:val="000000" w:themeColor="text1"/>
          <w:sz w:val="32"/>
          <w:szCs w:val="32"/>
          <w:highlight w:val="none"/>
          <w:lang w:val="zh-CN"/>
          <w14:textFill>
            <w14:solidFill>
              <w14:schemeClr w14:val="tx1"/>
            </w14:solidFill>
          </w14:textFill>
        </w:rPr>
        <w:t xml:space="preserve">1.11 </w:t>
      </w:r>
      <w:r>
        <w:rPr>
          <w:rFonts w:hint="eastAsia" w:hAnsi="宋体" w:eastAsia="黑体" w:cs="黑体"/>
          <w:b/>
          <w:bCs/>
          <w:color w:val="000000" w:themeColor="text1"/>
          <w:sz w:val="32"/>
          <w:szCs w:val="32"/>
          <w:highlight w:val="none"/>
          <w:lang w:val="zh-CN"/>
          <w14:textFill>
            <w14:solidFill>
              <w14:schemeClr w14:val="tx1"/>
            </w14:solidFill>
          </w14:textFill>
        </w:rPr>
        <w:t>知识产权</w:t>
      </w:r>
      <w:bookmarkEnd w:id="150"/>
      <w:bookmarkEnd w:id="151"/>
      <w:bookmarkEnd w:id="152"/>
      <w:bookmarkEnd w:id="153"/>
      <w:bookmarkEnd w:id="154"/>
      <w:bookmarkEnd w:id="155"/>
    </w:p>
    <w:p w14:paraId="591559B1">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1.11.1 </w:t>
      </w:r>
      <w:r>
        <w:rPr>
          <w:rFonts w:hint="eastAsia" w:hAnsi="宋体" w:cs="宋体"/>
          <w:color w:val="000000" w:themeColor="text1"/>
          <w:szCs w:val="21"/>
          <w:highlight w:val="none"/>
          <w14:textFill>
            <w14:solidFill>
              <w14:schemeClr w14:val="tx1"/>
            </w14:solidFill>
          </w14:textFill>
        </w:rPr>
        <w:t>关于发包人提供给承包人的图纸、发包人为实施工程自行编制或委托编制的技术规范以及反映发包人关于合同要求或其他类似性质的文件的著作权的归属：</w:t>
      </w:r>
      <w:r>
        <w:rPr>
          <w:rFonts w:hint="eastAsia" w:hAnsi="宋体"/>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2A997CCC">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关于发包人提供的上述文件的使用限制的要求：</w:t>
      </w:r>
      <w:r>
        <w:rPr>
          <w:rFonts w:hint="eastAsia"/>
          <w:color w:val="000000" w:themeColor="text1"/>
          <w:szCs w:val="21"/>
          <w:highlight w:val="none"/>
          <w:u w:val="single"/>
          <w14:textFill>
            <w14:solidFill>
              <w14:schemeClr w14:val="tx1"/>
            </w14:solidFill>
          </w14:textFill>
        </w:rPr>
        <w:t>仅限该项工程</w:t>
      </w:r>
      <w:r>
        <w:rPr>
          <w:rFonts w:hint="eastAsia" w:hAnsi="宋体" w:cs="宋体"/>
          <w:color w:val="000000" w:themeColor="text1"/>
          <w:szCs w:val="21"/>
          <w:highlight w:val="none"/>
          <w14:textFill>
            <w14:solidFill>
              <w14:schemeClr w14:val="tx1"/>
            </w14:solidFill>
          </w14:textFill>
        </w:rPr>
        <w:t>。</w:t>
      </w:r>
    </w:p>
    <w:p w14:paraId="5E66F3BE">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1.11.2 </w:t>
      </w:r>
      <w:r>
        <w:rPr>
          <w:rFonts w:hint="eastAsia" w:hAnsi="宋体" w:cs="宋体"/>
          <w:color w:val="000000" w:themeColor="text1"/>
          <w:szCs w:val="21"/>
          <w:highlight w:val="none"/>
          <w14:textFill>
            <w14:solidFill>
              <w14:schemeClr w14:val="tx1"/>
            </w14:solidFill>
          </w14:textFill>
        </w:rPr>
        <w:t>关于承包人为实施工程所编制文件的著作权的归属：</w:t>
      </w:r>
      <w:r>
        <w:rPr>
          <w:rFonts w:hint="eastAsia" w:hAnsi="宋体"/>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44FF335C">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关于承包人提供的上述文件的使用限制的要求：</w:t>
      </w:r>
      <w:r>
        <w:rPr>
          <w:rFonts w:hint="eastAsia" w:hAnsi="宋体"/>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65B06B27">
      <w:pPr>
        <w:spacing w:line="360" w:lineRule="auto"/>
        <w:ind w:firstLine="420" w:firstLineChars="200"/>
        <w:rPr>
          <w:rFonts w:hAnsi="宋体"/>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 xml:space="preserve">1.11.4 </w:t>
      </w:r>
      <w:r>
        <w:rPr>
          <w:rFonts w:hint="eastAsia" w:hAnsi="宋体" w:cs="宋体"/>
          <w:color w:val="000000" w:themeColor="text1"/>
          <w:szCs w:val="21"/>
          <w:highlight w:val="none"/>
          <w14:textFill>
            <w14:solidFill>
              <w14:schemeClr w14:val="tx1"/>
            </w14:solidFill>
          </w14:textFill>
        </w:rPr>
        <w:t>承包人在施工过程中所采用的专利、专有技术、技术秘密的使用费的承担方式：</w:t>
      </w:r>
    </w:p>
    <w:p w14:paraId="1E40E59C">
      <w:pPr>
        <w:spacing w:line="360" w:lineRule="auto"/>
        <w:rPr>
          <w:color w:val="000000" w:themeColor="text1"/>
          <w:kern w:val="0"/>
          <w:szCs w:val="21"/>
          <w:highlight w:val="non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由承包人负责</w:t>
      </w:r>
      <w:r>
        <w:rPr>
          <w:rFonts w:hint="eastAsia" w:hAnsi="宋体" w:cs="宋体"/>
          <w:color w:val="000000" w:themeColor="text1"/>
          <w:kern w:val="0"/>
          <w:szCs w:val="21"/>
          <w:highlight w:val="none"/>
          <w14:textFill>
            <w14:solidFill>
              <w14:schemeClr w14:val="tx1"/>
            </w14:solidFill>
          </w14:textFill>
        </w:rPr>
        <w:t>。</w:t>
      </w:r>
    </w:p>
    <w:p w14:paraId="22AF97A9">
      <w:pPr>
        <w:keepNext/>
        <w:keepLines/>
        <w:spacing w:line="360" w:lineRule="auto"/>
        <w:outlineLvl w:val="2"/>
        <w:rPr>
          <w:rFonts w:eastAsia="黑体" w:cs="黑体"/>
          <w:b/>
          <w:bCs/>
          <w:color w:val="000000" w:themeColor="text1"/>
          <w:sz w:val="32"/>
          <w:szCs w:val="32"/>
          <w:highlight w:val="none"/>
          <w:lang w:val="zh-CN"/>
          <w14:textFill>
            <w14:solidFill>
              <w14:schemeClr w14:val="tx1"/>
            </w14:solidFill>
          </w14:textFill>
        </w:rPr>
      </w:pPr>
      <w:bookmarkStart w:id="156" w:name="_Toc373227701"/>
      <w:bookmarkStart w:id="157" w:name="_Toc114058840"/>
      <w:bookmarkStart w:id="158" w:name="_Toc373478348"/>
      <w:bookmarkStart w:id="159" w:name="_Toc389065267"/>
      <w:bookmarkStart w:id="160" w:name="_Toc407135203"/>
      <w:bookmarkStart w:id="161" w:name="_Toc78449789"/>
      <w:r>
        <w:rPr>
          <w:rFonts w:eastAsia="黑体"/>
          <w:b/>
          <w:bCs/>
          <w:color w:val="000000" w:themeColor="text1"/>
          <w:sz w:val="32"/>
          <w:szCs w:val="32"/>
          <w:highlight w:val="none"/>
          <w:lang w:val="zh-CN"/>
          <w14:textFill>
            <w14:solidFill>
              <w14:schemeClr w14:val="tx1"/>
            </w14:solidFill>
          </w14:textFill>
        </w:rPr>
        <w:t>1.13</w:t>
      </w:r>
      <w:r>
        <w:rPr>
          <w:rFonts w:hint="eastAsia" w:eastAsia="黑体" w:cs="黑体"/>
          <w:b/>
          <w:bCs/>
          <w:color w:val="000000" w:themeColor="text1"/>
          <w:sz w:val="32"/>
          <w:szCs w:val="32"/>
          <w:highlight w:val="none"/>
          <w:lang w:val="zh-CN"/>
          <w14:textFill>
            <w14:solidFill>
              <w14:schemeClr w14:val="tx1"/>
            </w14:solidFill>
          </w14:textFill>
        </w:rPr>
        <w:t>工程量清单错误的修正</w:t>
      </w:r>
      <w:bookmarkEnd w:id="156"/>
      <w:bookmarkEnd w:id="157"/>
      <w:bookmarkEnd w:id="158"/>
      <w:bookmarkEnd w:id="159"/>
      <w:bookmarkEnd w:id="160"/>
      <w:bookmarkEnd w:id="161"/>
    </w:p>
    <w:p w14:paraId="032150BD">
      <w:pPr>
        <w:spacing w:line="360" w:lineRule="auto"/>
        <w:ind w:firstLine="420" w:firstLineChars="200"/>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出现工程量清单错误时，是否调整</w:t>
      </w:r>
      <w:r>
        <w:rPr>
          <w:rFonts w:hint="eastAsia"/>
          <w:color w:val="000000" w:themeColor="text1"/>
          <w:szCs w:val="21"/>
          <w:highlight w:val="none"/>
          <w14:textFill>
            <w14:solidFill>
              <w14:schemeClr w14:val="tx1"/>
            </w14:solidFill>
          </w14:textFill>
        </w:rPr>
        <w:t>清单综合单价</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合同履行期间，由于招标工程量清单缺项、漏项，新增分部分项工程清单项目的，按照以下规定确定单价，并调整</w:t>
      </w:r>
      <w:r>
        <w:rPr>
          <w:rFonts w:hint="eastAsia"/>
          <w:color w:val="000000" w:themeColor="text1"/>
          <w:szCs w:val="21"/>
          <w:highlight w:val="none"/>
          <w:u w:val="single"/>
          <w14:textFill>
            <w14:solidFill>
              <w14:schemeClr w14:val="tx1"/>
            </w14:solidFill>
          </w14:textFill>
        </w:rPr>
        <w:t>清单综合单价</w:t>
      </w:r>
      <w:r>
        <w:rPr>
          <w:rFonts w:hint="eastAsia" w:ascii="宋体" w:hAnsi="宋体"/>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）合同中已有相同子目的，按合同该子目价格进行计算；（</w:t>
      </w:r>
      <w:r>
        <w:rPr>
          <w:rFonts w:hAnsi="宋体"/>
          <w:color w:val="000000" w:themeColor="text1"/>
          <w:szCs w:val="21"/>
          <w:highlight w:val="none"/>
          <w:u w:val="single"/>
          <w14:textFill>
            <w14:solidFill>
              <w14:schemeClr w14:val="tx1"/>
            </w14:solidFill>
          </w14:textFill>
        </w:rPr>
        <w:t>2</w:t>
      </w:r>
      <w:r>
        <w:rPr>
          <w:rFonts w:hint="eastAsia" w:ascii="宋体" w:hAnsi="宋体"/>
          <w:color w:val="000000" w:themeColor="text1"/>
          <w:szCs w:val="21"/>
          <w:highlight w:val="none"/>
          <w:u w:val="single"/>
          <w14:textFill>
            <w14:solidFill>
              <w14:schemeClr w14:val="tx1"/>
            </w14:solidFill>
          </w14:textFill>
        </w:rPr>
        <w:t>）合同中只有类似子目的，参照该类似子目价格进行计算；（</w:t>
      </w:r>
      <w:r>
        <w:rPr>
          <w:rFonts w:hAnsi="宋体"/>
          <w:color w:val="000000" w:themeColor="text1"/>
          <w:szCs w:val="21"/>
          <w:highlight w:val="none"/>
          <w:u w:val="single"/>
          <w14:textFill>
            <w14:solidFill>
              <w14:schemeClr w14:val="tx1"/>
            </w14:solidFill>
          </w14:textFill>
        </w:rPr>
        <w:t>3</w:t>
      </w:r>
      <w:r>
        <w:rPr>
          <w:rFonts w:hint="eastAsia" w:ascii="宋体" w:hAnsi="宋体"/>
          <w:color w:val="000000" w:themeColor="text1"/>
          <w:szCs w:val="21"/>
          <w:highlight w:val="none"/>
          <w:u w:val="single"/>
          <w14:textFill>
            <w14:solidFill>
              <w14:schemeClr w14:val="tx1"/>
            </w14:solidFill>
          </w14:textFill>
        </w:rPr>
        <w:t>）合同中没有适用或类似子目的价格计算方法：有定额的套定额（含石方工程），并乘以下浮系数（</w:t>
      </w:r>
      <w:r>
        <w:rPr>
          <w:rFonts w:hint="eastAsia" w:ascii="宋体" w:hAnsi="宋体"/>
          <w:szCs w:val="21"/>
          <w:highlight w:val="none"/>
          <w:u w:val="single"/>
        </w:rPr>
        <w:t>成交</w:t>
      </w:r>
      <w:r>
        <w:rPr>
          <w:rFonts w:hint="eastAsia" w:ascii="宋体" w:hAnsi="宋体"/>
          <w:color w:val="000000" w:themeColor="text1"/>
          <w:szCs w:val="21"/>
          <w:highlight w:val="none"/>
          <w:u w:val="single"/>
          <w14:textFill>
            <w14:solidFill>
              <w14:schemeClr w14:val="tx1"/>
            </w14:solidFill>
          </w14:textFill>
        </w:rPr>
        <w:t>价</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经招标人审定的工程招标控制价）计算，其中材料价格按施工期间的《南宁建设工程造价信息》相应价格信息计算；《南宁建设工程造价信息》没有相应价格信息的按市场价计算；无定额可套的，根据市场价格协商确定综合价格；新增项目的单价必须事前经招标人审定。除以上情况之外出现工程量清单错误的，不调整</w:t>
      </w:r>
      <w:r>
        <w:rPr>
          <w:rFonts w:hint="eastAsia"/>
          <w:color w:val="000000" w:themeColor="text1"/>
          <w:szCs w:val="21"/>
          <w:highlight w:val="none"/>
          <w:u w:val="single"/>
          <w14:textFill>
            <w14:solidFill>
              <w14:schemeClr w14:val="tx1"/>
            </w14:solidFill>
          </w14:textFill>
        </w:rPr>
        <w:t>清单综合单价</w:t>
      </w:r>
    </w:p>
    <w:p w14:paraId="5027C60B">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出现工程量清单工程量偏差时，是否调整合同价格：</w:t>
      </w:r>
      <w:bookmarkStart w:id="162" w:name="EB1f93129355be46c6996b1c2295eb9b9b"/>
      <w:r>
        <w:rPr>
          <w:rFonts w:hint="eastAsia" w:ascii="MS Mincho" w:hAnsi="MS Mincho" w:eastAsia="MS Mincho" w:cs="MS Mincho"/>
          <w:color w:val="000000" w:themeColor="text1"/>
          <w:szCs w:val="21"/>
          <w:highlight w:val="none"/>
          <w14:textFill>
            <w14:solidFill>
              <w14:schemeClr w14:val="tx1"/>
            </w14:solidFill>
          </w14:textFill>
        </w:rPr>
        <w:t>☑</w:t>
      </w:r>
      <w:bookmarkEnd w:id="162"/>
      <w:r>
        <w:rPr>
          <w:rFonts w:hint="eastAsia" w:hAnsi="宋体" w:cs="宋体"/>
          <w:color w:val="000000" w:themeColor="text1"/>
          <w:szCs w:val="21"/>
          <w:highlight w:val="none"/>
          <w:u w:val="single"/>
          <w14:textFill>
            <w14:solidFill>
              <w14:schemeClr w14:val="tx1"/>
            </w14:solidFill>
          </w14:textFill>
        </w:rPr>
        <w:t xml:space="preserve">是  </w:t>
      </w:r>
      <w:r>
        <w:rPr>
          <w:rFonts w:hint="eastAsia" w:ascii="宋体" w:hAnsi="宋体"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否</w:t>
      </w:r>
      <w:r>
        <w:rPr>
          <w:rFonts w:hint="eastAsia" w:hAnsi="宋体" w:cs="宋体"/>
          <w:color w:val="000000" w:themeColor="text1"/>
          <w:kern w:val="0"/>
          <w:szCs w:val="21"/>
          <w:highlight w:val="none"/>
          <w14:textFill>
            <w14:solidFill>
              <w14:schemeClr w14:val="tx1"/>
            </w14:solidFill>
          </w14:textFill>
        </w:rPr>
        <w:t>。</w:t>
      </w:r>
    </w:p>
    <w:p w14:paraId="6EDCAEFB">
      <w:pPr>
        <w:spacing w:line="360" w:lineRule="auto"/>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允许调整合同价格的工程量偏差范围及其调整办法：</w:t>
      </w:r>
    </w:p>
    <w:p w14:paraId="74272466">
      <w:pPr>
        <w:spacing w:line="360" w:lineRule="auto"/>
        <w:ind w:firstLine="420" w:firstLineChars="200"/>
        <w:rPr>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除严重不平衡报价外，无论分部分项工程量清单项目中的工程量变化多少均不调整</w:t>
      </w:r>
      <w:r>
        <w:rPr>
          <w:rFonts w:hint="eastAsia" w:hAnsi="宋体" w:cs="宋体"/>
          <w:color w:val="000000" w:themeColor="text1"/>
          <w:kern w:val="0"/>
          <w:szCs w:val="21"/>
          <w:highlight w:val="none"/>
          <w14:textFill>
            <w14:solidFill>
              <w14:schemeClr w14:val="tx1"/>
            </w14:solidFill>
          </w14:textFill>
        </w:rPr>
        <w:t>。</w:t>
      </w:r>
    </w:p>
    <w:p w14:paraId="0985EB73">
      <w:pPr>
        <w:spacing w:line="360" w:lineRule="auto"/>
        <w:ind w:firstLine="420" w:firstLineChars="200"/>
        <w:rPr>
          <w:rFonts w:hAnsi="宋体" w:cs="宋体"/>
          <w:color w:val="000000" w:themeColor="text1"/>
          <w:szCs w:val="21"/>
          <w:highlight w:val="none"/>
          <w:u w:val="single"/>
          <w14:textFill>
            <w14:solidFill>
              <w14:schemeClr w14:val="tx1"/>
            </w14:solidFill>
          </w14:textFill>
        </w:rPr>
      </w:pPr>
      <w:r>
        <w:rPr>
          <w:rFonts w:hint="eastAsia" w:ascii="MS Mincho" w:hAnsi="MS Mincho" w:eastAsia="MS Mincho" w:cs="MS Mincho"/>
          <w:color w:val="000000" w:themeColor="text1"/>
          <w:szCs w:val="21"/>
          <w:highlight w:val="none"/>
          <w14:textFill>
            <w14:solidFill>
              <w14:schemeClr w14:val="tx1"/>
            </w14:solidFill>
          </w14:textFill>
        </w:rPr>
        <w:t>☑</w:t>
      </w:r>
      <w:r>
        <w:rPr>
          <w:rFonts w:hint="eastAsia" w:hAnsi="宋体" w:cs="宋体"/>
          <w:b/>
          <w:bCs/>
          <w:color w:val="000000" w:themeColor="text1"/>
          <w:szCs w:val="21"/>
          <w:highlight w:val="none"/>
          <w:u w:val="single"/>
          <w14:textFill>
            <w14:solidFill>
              <w14:schemeClr w14:val="tx1"/>
            </w14:solidFill>
          </w14:textFill>
        </w:rPr>
        <w:t>承包人实际完成的某单项清单项目工程量与招标工程量清单工程量偏差超过 15 %且该单项清单造价超过合同总价 1 %以上的，超过后增加部分工程量或减少后剩余部分工程量的综合单价按以下方法调整：</w:t>
      </w:r>
      <w:r>
        <w:rPr>
          <w:rFonts w:hint="eastAsia" w:ascii="宋体" w:hAnsi="宋体"/>
          <w:b/>
          <w:bCs/>
          <w:color w:val="000000" w:themeColor="text1"/>
          <w:szCs w:val="21"/>
          <w:highlight w:val="none"/>
          <w14:textFill>
            <w14:solidFill>
              <w14:schemeClr w14:val="tx1"/>
            </w14:solidFill>
          </w14:textFill>
        </w:rPr>
        <w:t>有定额的套定额计算，执行本采购文件工程计价参考依据，</w:t>
      </w:r>
      <w:r>
        <w:rPr>
          <w:rFonts w:hint="eastAsia" w:hAnsi="宋体" w:cs="宋体"/>
          <w:b/>
          <w:bCs/>
          <w:color w:val="000000" w:themeColor="text1"/>
          <w:szCs w:val="21"/>
          <w:highlight w:val="none"/>
          <w:u w:val="single"/>
          <w14:textFill>
            <w14:solidFill>
              <w14:schemeClr w14:val="tx1"/>
            </w14:solidFill>
          </w14:textFill>
        </w:rPr>
        <w:t>并乘以下浮系数（成交价/经审定的工程招标控制价）结算，</w:t>
      </w:r>
      <w:r>
        <w:rPr>
          <w:rFonts w:hint="eastAsia" w:ascii="宋体" w:hAnsi="宋体"/>
          <w:b/>
          <w:bCs/>
          <w:color w:val="000000" w:themeColor="text1"/>
          <w:szCs w:val="21"/>
          <w:highlight w:val="none"/>
          <w14:textFill>
            <w14:solidFill>
              <w14:schemeClr w14:val="tx1"/>
            </w14:solidFill>
          </w14:textFill>
        </w:rPr>
        <w:t>其中材料价格有信息价的按施工期间信息价的算术平均价计取，无信息价的由发包人、监理单位及承包人根据市场价格协商议定</w:t>
      </w:r>
      <w:r>
        <w:rPr>
          <w:rFonts w:hint="eastAsia" w:ascii="Calibri" w:hAnsi="宋体" w:cs="宋体"/>
          <w:color w:val="000000" w:themeColor="text1"/>
          <w:szCs w:val="21"/>
          <w:highlight w:val="none"/>
          <w14:textFill>
            <w14:solidFill>
              <w14:schemeClr w14:val="tx1"/>
            </w14:solidFill>
          </w14:textFill>
        </w:rPr>
        <w:t>。</w:t>
      </w:r>
    </w:p>
    <w:p w14:paraId="7F7685A3">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63" w:name="_Toc78449790"/>
      <w:bookmarkStart w:id="164" w:name="_Toc373478349"/>
      <w:bookmarkStart w:id="165" w:name="_Toc373227702"/>
      <w:bookmarkStart w:id="166" w:name="_Toc351203634"/>
      <w:bookmarkStart w:id="167" w:name="_Toc389065268"/>
      <w:bookmarkStart w:id="168" w:name="_Toc407135204"/>
      <w:bookmarkStart w:id="169" w:name="_Toc114058841"/>
      <w:r>
        <w:rPr>
          <w:rFonts w:ascii="Arial" w:hAnsi="Arial" w:eastAsia="黑体"/>
          <w:b/>
          <w:bCs/>
          <w:color w:val="000000" w:themeColor="text1"/>
          <w:sz w:val="32"/>
          <w:szCs w:val="32"/>
          <w:highlight w:val="none"/>
          <w:lang w:val="zh-CN"/>
          <w14:textFill>
            <w14:solidFill>
              <w14:schemeClr w14:val="tx1"/>
            </w14:solidFill>
          </w14:textFill>
        </w:rPr>
        <w:t>2</w:t>
      </w:r>
      <w:bookmarkStart w:id="170" w:name="_Toc296890985"/>
      <w:bookmarkStart w:id="171" w:name="_Toc296891197"/>
      <w:bookmarkStart w:id="172" w:name="_Toc292559362"/>
      <w:bookmarkStart w:id="173" w:name="_Toc297120457"/>
      <w:bookmarkStart w:id="174" w:name="_Toc296347156"/>
      <w:bookmarkStart w:id="175" w:name="_Toc296944496"/>
      <w:bookmarkStart w:id="176" w:name="_Toc296346658"/>
      <w:bookmarkStart w:id="177" w:name="_Toc292559867"/>
      <w:bookmarkStart w:id="178" w:name="_Toc296503157"/>
      <w:bookmarkStart w:id="179" w:name="_Toc297048343"/>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发包人</w:t>
      </w:r>
      <w:bookmarkEnd w:id="163"/>
      <w:bookmarkEnd w:id="164"/>
      <w:bookmarkEnd w:id="165"/>
      <w:bookmarkEnd w:id="166"/>
      <w:bookmarkEnd w:id="167"/>
      <w:bookmarkEnd w:id="168"/>
      <w:bookmarkEnd w:id="169"/>
    </w:p>
    <w:bookmarkEnd w:id="170"/>
    <w:bookmarkEnd w:id="171"/>
    <w:bookmarkEnd w:id="172"/>
    <w:bookmarkEnd w:id="173"/>
    <w:bookmarkEnd w:id="174"/>
    <w:bookmarkEnd w:id="175"/>
    <w:bookmarkEnd w:id="176"/>
    <w:bookmarkEnd w:id="177"/>
    <w:bookmarkEnd w:id="178"/>
    <w:bookmarkEnd w:id="179"/>
    <w:p w14:paraId="5A5A8D2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80" w:name="_Toc389065269"/>
      <w:bookmarkStart w:id="181" w:name="_Toc373478350"/>
      <w:bookmarkStart w:id="182" w:name="_Toc407135205"/>
      <w:bookmarkStart w:id="183" w:name="_Toc114058842"/>
      <w:bookmarkStart w:id="184" w:name="_Toc78449791"/>
      <w:bookmarkStart w:id="185" w:name="_Toc373227703"/>
      <w:r>
        <w:rPr>
          <w:rFonts w:eastAsia="黑体"/>
          <w:b/>
          <w:bCs/>
          <w:color w:val="000000" w:themeColor="text1"/>
          <w:sz w:val="32"/>
          <w:szCs w:val="32"/>
          <w:highlight w:val="none"/>
          <w:lang w:val="zh-CN"/>
          <w14:textFill>
            <w14:solidFill>
              <w14:schemeClr w14:val="tx1"/>
            </w14:solidFill>
          </w14:textFill>
        </w:rPr>
        <w:t xml:space="preserve">2.2 </w:t>
      </w:r>
      <w:r>
        <w:rPr>
          <w:rFonts w:hint="eastAsia" w:hAnsi="宋体" w:eastAsia="黑体" w:cs="黑体"/>
          <w:b/>
          <w:bCs/>
          <w:color w:val="000000" w:themeColor="text1"/>
          <w:sz w:val="32"/>
          <w:szCs w:val="32"/>
          <w:highlight w:val="none"/>
          <w:lang w:val="zh-CN"/>
          <w14:textFill>
            <w14:solidFill>
              <w14:schemeClr w14:val="tx1"/>
            </w14:solidFill>
          </w14:textFill>
        </w:rPr>
        <w:t>发包人代表</w:t>
      </w:r>
      <w:bookmarkEnd w:id="180"/>
      <w:bookmarkEnd w:id="181"/>
      <w:bookmarkEnd w:id="182"/>
      <w:bookmarkEnd w:id="183"/>
      <w:bookmarkEnd w:id="184"/>
      <w:bookmarkEnd w:id="185"/>
    </w:p>
    <w:p w14:paraId="23183832">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发包人代表：</w:t>
      </w:r>
    </w:p>
    <w:p w14:paraId="19F0F001">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姓名：；</w:t>
      </w:r>
    </w:p>
    <w:p w14:paraId="13088674">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身份证号：；</w:t>
      </w:r>
    </w:p>
    <w:p w14:paraId="2BD8DC4A">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职务：；</w:t>
      </w:r>
    </w:p>
    <w:p w14:paraId="23323C9A">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联系电话：；</w:t>
      </w:r>
    </w:p>
    <w:p w14:paraId="73D11E92">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电子信箱：；</w:t>
      </w:r>
    </w:p>
    <w:p w14:paraId="0E3D43BA">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通信地址：。</w:t>
      </w:r>
    </w:p>
    <w:p w14:paraId="1300EE9D">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发包人对发包人代表的授权范围如下：</w:t>
      </w:r>
      <w:r>
        <w:rPr>
          <w:rFonts w:hint="eastAsia" w:hAnsi="宋体"/>
          <w:color w:val="000000" w:themeColor="text1"/>
          <w:szCs w:val="21"/>
          <w:highlight w:val="none"/>
          <w:u w:val="single"/>
          <w14:textFill>
            <w14:solidFill>
              <w14:schemeClr w14:val="tx1"/>
            </w14:solidFill>
          </w14:textFill>
        </w:rPr>
        <w:t>代表发包人与监理工程师协调与本工程有关的事宜，并行使合同约定的发包人权利，履行合同约定发包人的职责</w:t>
      </w:r>
      <w:r>
        <w:rPr>
          <w:rFonts w:hAnsi="宋体"/>
          <w:color w:val="000000" w:themeColor="text1"/>
          <w:szCs w:val="21"/>
          <w:highlight w:val="none"/>
          <w:u w:val="singl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督促指导监理工程师行使职权，协调施工现场各方面的关系，协调工程质量，进度和安全文明施工中存在的问题，解决有关设计和技术签证，办理、签认现场经济技术签证，审核工程进度报表</w:t>
      </w:r>
      <w:r>
        <w:rPr>
          <w:rFonts w:hint="eastAsia" w:hAnsi="宋体" w:cs="宋体"/>
          <w:color w:val="000000" w:themeColor="text1"/>
          <w:szCs w:val="21"/>
          <w:highlight w:val="none"/>
          <w14:textFill>
            <w14:solidFill>
              <w14:schemeClr w14:val="tx1"/>
            </w14:solidFill>
          </w14:textFill>
        </w:rPr>
        <w:t>。</w:t>
      </w:r>
    </w:p>
    <w:p w14:paraId="52813026">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86" w:name="_Toc407135206"/>
      <w:bookmarkStart w:id="187" w:name="_Toc373227704"/>
      <w:bookmarkStart w:id="188" w:name="_Toc373478351"/>
      <w:bookmarkStart w:id="189" w:name="_Toc389065270"/>
      <w:bookmarkStart w:id="190" w:name="_Toc78449792"/>
      <w:bookmarkStart w:id="191" w:name="_Toc114058843"/>
      <w:r>
        <w:rPr>
          <w:rFonts w:eastAsia="黑体"/>
          <w:b/>
          <w:bCs/>
          <w:color w:val="000000" w:themeColor="text1"/>
          <w:sz w:val="32"/>
          <w:szCs w:val="32"/>
          <w:highlight w:val="none"/>
          <w:lang w:val="zh-CN"/>
          <w14:textFill>
            <w14:solidFill>
              <w14:schemeClr w14:val="tx1"/>
            </w14:solidFill>
          </w14:textFill>
        </w:rPr>
        <w:t xml:space="preserve">2.4 </w:t>
      </w:r>
      <w:r>
        <w:rPr>
          <w:rFonts w:hint="eastAsia" w:eastAsia="黑体" w:cs="黑体"/>
          <w:b/>
          <w:bCs/>
          <w:color w:val="000000" w:themeColor="text1"/>
          <w:sz w:val="32"/>
          <w:szCs w:val="32"/>
          <w:highlight w:val="none"/>
          <w:lang w:val="zh-CN"/>
          <w14:textFill>
            <w14:solidFill>
              <w14:schemeClr w14:val="tx1"/>
            </w14:solidFill>
          </w14:textFill>
        </w:rPr>
        <w:t>施工现场、施工条件和基础资料的提供</w:t>
      </w:r>
      <w:bookmarkEnd w:id="186"/>
      <w:bookmarkEnd w:id="187"/>
      <w:bookmarkEnd w:id="188"/>
      <w:bookmarkEnd w:id="189"/>
      <w:bookmarkEnd w:id="190"/>
      <w:bookmarkEnd w:id="191"/>
    </w:p>
    <w:p w14:paraId="2834A743">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2.4.1 </w:t>
      </w:r>
      <w:r>
        <w:rPr>
          <w:rFonts w:hAnsi="宋体"/>
          <w:color w:val="000000" w:themeColor="text1"/>
          <w:szCs w:val="21"/>
          <w:highlight w:val="none"/>
          <w14:textFill>
            <w14:solidFill>
              <w14:schemeClr w14:val="tx1"/>
            </w14:solidFill>
          </w14:textFill>
        </w:rPr>
        <w:t>提供施工现场</w:t>
      </w:r>
    </w:p>
    <w:p w14:paraId="6CDAEA71">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关于发包人移交施工现场的期限要求：</w:t>
      </w:r>
      <w:r>
        <w:rPr>
          <w:rFonts w:hint="eastAsia" w:hAnsi="宋体"/>
          <w:color w:val="000000" w:themeColor="text1"/>
          <w:szCs w:val="21"/>
          <w:highlight w:val="none"/>
          <w:u w:val="single"/>
          <w14:textFill>
            <w14:solidFill>
              <w14:schemeClr w14:val="tx1"/>
            </w14:solidFill>
          </w14:textFill>
        </w:rPr>
        <w:t>开工前7天，满足工程进展要求。施工场地内的道路由承包人自行完成，施工场地内的道路及与市政道路接口路段的日常清洁与维护由承包人承担，费用由承包人承担</w:t>
      </w:r>
      <w:r>
        <w:rPr>
          <w:rFonts w:hAnsi="宋体"/>
          <w:color w:val="000000" w:themeColor="text1"/>
          <w:szCs w:val="21"/>
          <w:highlight w:val="none"/>
          <w14:textFill>
            <w14:solidFill>
              <w14:schemeClr w14:val="tx1"/>
            </w14:solidFill>
          </w14:textFill>
        </w:rPr>
        <w:t>。</w:t>
      </w:r>
    </w:p>
    <w:p w14:paraId="1AC0D6B7">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2.4.2 </w:t>
      </w:r>
      <w:r>
        <w:rPr>
          <w:rFonts w:hAnsi="宋体"/>
          <w:color w:val="000000" w:themeColor="text1"/>
          <w:szCs w:val="21"/>
          <w:highlight w:val="none"/>
          <w14:textFill>
            <w14:solidFill>
              <w14:schemeClr w14:val="tx1"/>
            </w14:solidFill>
          </w14:textFill>
        </w:rPr>
        <w:t>提供施工条件</w:t>
      </w:r>
    </w:p>
    <w:p w14:paraId="5C3DD0B1">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关于发包人应负责提供施工所需要的条件，包括：</w:t>
      </w:r>
      <w:r>
        <w:rPr>
          <w:rFonts w:hint="eastAsia" w:ascii="宋体" w:hAnsi="宋体"/>
          <w:color w:val="000000" w:themeColor="text1"/>
          <w:szCs w:val="21"/>
          <w:highlight w:val="none"/>
          <w:u w:val="single"/>
          <w14:textFill>
            <w14:solidFill>
              <w14:schemeClr w14:val="tx1"/>
            </w14:solidFill>
          </w14:textFill>
        </w:rPr>
        <w:t>施工所需电接入点和水接入点由发包人确定，由承包人负责接至施工现场并安装计量表，根据水电收费部门核定的费用、支付时间向发包人支付。红线范围内的管道/管线、计量设备由承包人自行解决，电讯线路的开通由承包人自行解决并承担费用；承包人使用的水、电、通讯费用由承包人负责。若供电部门的原因造成停电，承包人必须自行解决施工用电，费用由承包人负责。发包人在开工前负责办理好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发包人未能在约定期</w:t>
      </w:r>
      <w:r>
        <w:rPr>
          <w:rFonts w:hint="eastAsia" w:ascii="宋体" w:hAnsi="宋体"/>
          <w:color w:val="000000" w:themeColor="text1"/>
          <w:szCs w:val="21"/>
          <w:highlight w:val="none"/>
          <w:u w:val="single"/>
          <w:lang w:eastAsia="zh-CN"/>
          <w14:textFill>
            <w14:solidFill>
              <w14:schemeClr w14:val="tx1"/>
            </w14:solidFill>
          </w14:textFill>
        </w:rPr>
        <w:t>限内</w:t>
      </w:r>
      <w:r>
        <w:rPr>
          <w:rFonts w:hint="eastAsia" w:ascii="宋体" w:hAnsi="宋体"/>
          <w:color w:val="000000" w:themeColor="text1"/>
          <w:szCs w:val="21"/>
          <w:highlight w:val="none"/>
          <w:u w:val="single"/>
          <w14:textFill>
            <w14:solidFill>
              <w14:schemeClr w14:val="tx1"/>
            </w14:solidFill>
          </w14:textFill>
        </w:rPr>
        <w:t>办理施工所需证件要求承包人先行进场施工的，由此导致承包人遭受行政处罚及其他经济损失等不良后果，由发包人承担。开工前7天内由发包人组织承包人、设计、勘察和监理单位进行图纸会审和设计交底</w:t>
      </w:r>
      <w:r>
        <w:rPr>
          <w:rFonts w:hAnsi="宋体"/>
          <w:color w:val="000000" w:themeColor="text1"/>
          <w:szCs w:val="21"/>
          <w:highlight w:val="none"/>
          <w14:textFill>
            <w14:solidFill>
              <w14:schemeClr w14:val="tx1"/>
            </w14:solidFill>
          </w14:textFill>
        </w:rPr>
        <w:t>。</w:t>
      </w:r>
    </w:p>
    <w:p w14:paraId="73692227">
      <w:pPr>
        <w:spacing w:line="360" w:lineRule="auto"/>
        <w:ind w:firstLine="420" w:firstLineChars="200"/>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工程地质和地下管线资料的提供时间：</w:t>
      </w:r>
      <w:r>
        <w:rPr>
          <w:rFonts w:hint="eastAsia"/>
          <w:color w:val="000000" w:themeColor="text1"/>
          <w:szCs w:val="21"/>
          <w:highlight w:val="none"/>
          <w:u w:val="single"/>
          <w14:textFill>
            <w14:solidFill>
              <w14:schemeClr w14:val="tx1"/>
            </w14:solidFill>
          </w14:textFill>
        </w:rPr>
        <w:t>由发包人在开工前7天提供。</w:t>
      </w:r>
    </w:p>
    <w:p w14:paraId="15CCBD08">
      <w:pPr>
        <w:spacing w:line="360" w:lineRule="auto"/>
        <w:ind w:firstLine="420" w:firstLineChars="200"/>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水准点与座标控制点交验要求： </w:t>
      </w:r>
      <w:r>
        <w:rPr>
          <w:rFonts w:hint="eastAsia"/>
          <w:color w:val="000000" w:themeColor="text1"/>
          <w:szCs w:val="21"/>
          <w:highlight w:val="none"/>
          <w:u w:val="single"/>
          <w14:textFill>
            <w14:solidFill>
              <w14:schemeClr w14:val="tx1"/>
            </w14:solidFill>
          </w14:textFill>
        </w:rPr>
        <w:t>于开工前3日内现场交验，双方做好签认工作。</w:t>
      </w:r>
    </w:p>
    <w:p w14:paraId="7137AE5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92" w:name="_Toc114058844"/>
      <w:bookmarkStart w:id="193" w:name="_Toc389065271"/>
      <w:bookmarkStart w:id="194" w:name="_Toc373478352"/>
      <w:bookmarkStart w:id="195" w:name="_Toc407135207"/>
      <w:bookmarkStart w:id="196" w:name="_Toc373227705"/>
      <w:bookmarkStart w:id="197" w:name="_Toc78449793"/>
      <w:r>
        <w:rPr>
          <w:rFonts w:eastAsia="黑体"/>
          <w:b/>
          <w:bCs/>
          <w:color w:val="000000" w:themeColor="text1"/>
          <w:sz w:val="32"/>
          <w:szCs w:val="32"/>
          <w:highlight w:val="none"/>
          <w:lang w:val="zh-CN"/>
          <w14:textFill>
            <w14:solidFill>
              <w14:schemeClr w14:val="tx1"/>
            </w14:solidFill>
          </w14:textFill>
        </w:rPr>
        <w:t xml:space="preserve">2.5 </w:t>
      </w:r>
      <w:r>
        <w:rPr>
          <w:rFonts w:hint="eastAsia" w:eastAsia="黑体" w:cs="黑体"/>
          <w:b/>
          <w:bCs/>
          <w:color w:val="000000" w:themeColor="text1"/>
          <w:sz w:val="32"/>
          <w:szCs w:val="32"/>
          <w:highlight w:val="none"/>
          <w:lang w:val="zh-CN"/>
          <w14:textFill>
            <w14:solidFill>
              <w14:schemeClr w14:val="tx1"/>
            </w14:solidFill>
          </w14:textFill>
        </w:rPr>
        <w:t>资金来源证明及支付担保</w:t>
      </w:r>
      <w:bookmarkEnd w:id="192"/>
      <w:bookmarkEnd w:id="193"/>
      <w:bookmarkEnd w:id="194"/>
      <w:bookmarkEnd w:id="195"/>
      <w:bookmarkEnd w:id="196"/>
      <w:bookmarkEnd w:id="197"/>
    </w:p>
    <w:p w14:paraId="4B7CFE38">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发包人提供资金来源证明的期限要求：</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5174D9F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发包人是否提供支付担保：无 。【发包人要求承包人提供履约担保的，应当同时向承包人提供工程款支付担保。工程款支付担保可以全额担保，也可以分阶段担保。分阶段担保的，除保修金以外的全部款项，完成一个阶段清算后再进入下一阶段，有效期截至工程竣工结算款支付完毕。发包人未按合同约定及时支付工程款的，工程担保保证人需承担担保责任。对政府投资项目，由建设单位提供落实财政资金来源的证明文件。】</w:t>
      </w:r>
    </w:p>
    <w:p w14:paraId="6D343733">
      <w:pPr>
        <w:spacing w:line="360" w:lineRule="auto"/>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发包人提供支付担保的形式：</w:t>
      </w:r>
      <w:r>
        <w:rPr>
          <w:rFonts w:hint="eastAsia"/>
          <w:color w:val="000000" w:themeColor="text1"/>
          <w:szCs w:val="21"/>
          <w:highlight w:val="none"/>
          <w14:textFill>
            <w14:solidFill>
              <w14:schemeClr w14:val="tx1"/>
            </w14:solidFill>
          </w14:textFill>
        </w:rPr>
        <w:t>可以是</w:t>
      </w:r>
      <w:r>
        <w:rPr>
          <w:rFonts w:hint="eastAsia" w:hAnsi="宋体" w:cs="宋体"/>
          <w:color w:val="000000" w:themeColor="text1"/>
          <w:szCs w:val="21"/>
          <w:highlight w:val="none"/>
          <w14:textFill>
            <w14:solidFill>
              <w14:schemeClr w14:val="tx1"/>
            </w14:solidFill>
          </w14:textFill>
        </w:rPr>
        <w:t>银行转账、电汇或网上支付、保函（银行保函、电子</w:t>
      </w:r>
      <w:r>
        <w:rPr>
          <w:rFonts w:hAnsi="宋体" w:cs="宋体"/>
          <w:color w:val="000000" w:themeColor="text1"/>
          <w:szCs w:val="21"/>
          <w:highlight w:val="none"/>
          <w14:textFill>
            <w14:solidFill>
              <w14:schemeClr w14:val="tx1"/>
            </w14:solidFill>
          </w14:textFill>
        </w:rPr>
        <w:t>保函</w:t>
      </w:r>
      <w:r>
        <w:rPr>
          <w:rFonts w:hint="eastAsia" w:hAnsi="宋体" w:cs="宋体"/>
          <w:color w:val="000000" w:themeColor="text1"/>
          <w:szCs w:val="21"/>
          <w:highlight w:val="none"/>
          <w14:textFill>
            <w14:solidFill>
              <w14:schemeClr w14:val="tx1"/>
            </w14:solidFill>
          </w14:textFill>
        </w:rPr>
        <w:t>、保证保险保函、工程担保保函）</w:t>
      </w:r>
      <w:r>
        <w:rPr>
          <w:rFonts w:hint="eastAsia" w:hAnsi="宋体"/>
          <w:color w:val="000000" w:themeColor="text1"/>
          <w:szCs w:val="21"/>
          <w:highlight w:val="none"/>
          <w14:textFill>
            <w14:solidFill>
              <w14:schemeClr w14:val="tx1"/>
            </w14:solidFill>
          </w14:textFill>
        </w:rPr>
        <w:t>等</w:t>
      </w:r>
      <w:r>
        <w:rPr>
          <w:rFonts w:hint="eastAsia" w:hAnsi="宋体" w:cs="宋体"/>
          <w:color w:val="000000" w:themeColor="text1"/>
          <w:szCs w:val="21"/>
          <w:highlight w:val="none"/>
          <w14:textFill>
            <w14:solidFill>
              <w14:schemeClr w14:val="tx1"/>
            </w14:solidFill>
          </w14:textFill>
        </w:rPr>
        <w:t>形</w:t>
      </w:r>
      <w:r>
        <w:rPr>
          <w:rFonts w:hint="eastAsia" w:hAnsi="宋体"/>
          <w:color w:val="000000" w:themeColor="text1"/>
          <w:szCs w:val="21"/>
          <w:highlight w:val="none"/>
          <w14:textFill>
            <w14:solidFill>
              <w14:schemeClr w14:val="tx1"/>
            </w14:solidFill>
          </w14:textFill>
        </w:rPr>
        <w:t>式</w:t>
      </w:r>
      <w:r>
        <w:rPr>
          <w:rFonts w:hint="eastAsia" w:hAnsi="宋体" w:cs="宋体"/>
          <w:color w:val="000000" w:themeColor="text1"/>
          <w:szCs w:val="21"/>
          <w:highlight w:val="none"/>
          <w14:textFill>
            <w14:solidFill>
              <w14:schemeClr w14:val="tx1"/>
            </w14:solidFill>
          </w14:textFill>
        </w:rPr>
        <w:t>。工程担保保证人应将出具的保函相关信息录入“广西建筑市场监管云”平台（http://gxjzsc.caihcloud.com），以实现保函查询及验真功能。</w:t>
      </w:r>
    </w:p>
    <w:p w14:paraId="2B79207F">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发包人提供的支付担保格式见合同附件</w:t>
      </w:r>
      <w:r>
        <w:rPr>
          <w:rFonts w:hint="eastAsia" w:hAnsi="宋体"/>
          <w:color w:val="000000" w:themeColor="text1"/>
          <w:szCs w:val="21"/>
          <w:highlight w:val="none"/>
          <w14:textFill>
            <w14:solidFill>
              <w14:schemeClr w14:val="tx1"/>
            </w14:solidFill>
          </w14:textFill>
        </w:rPr>
        <w:t>9</w:t>
      </w:r>
      <w:r>
        <w:rPr>
          <w:rFonts w:hint="eastAsia" w:hAnsi="宋体" w:cs="宋体"/>
          <w:color w:val="000000" w:themeColor="text1"/>
          <w:szCs w:val="21"/>
          <w:highlight w:val="none"/>
          <w14:textFill>
            <w14:solidFill>
              <w14:schemeClr w14:val="tx1"/>
            </w14:solidFill>
          </w14:textFill>
        </w:rPr>
        <w:t>。</w:t>
      </w:r>
    </w:p>
    <w:p w14:paraId="094C2719">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98" w:name="_Toc78449794"/>
      <w:bookmarkStart w:id="199" w:name="_Toc351203635"/>
      <w:bookmarkStart w:id="200" w:name="_Toc114058845"/>
      <w:bookmarkStart w:id="201" w:name="_Toc407135208"/>
      <w:bookmarkStart w:id="202" w:name="_Toc389065272"/>
      <w:bookmarkStart w:id="203" w:name="_Toc373478353"/>
      <w:bookmarkStart w:id="204" w:name="_Toc373227706"/>
      <w:r>
        <w:rPr>
          <w:rFonts w:ascii="Arial" w:hAnsi="Arial" w:eastAsia="黑体"/>
          <w:b/>
          <w:bCs/>
          <w:color w:val="000000" w:themeColor="text1"/>
          <w:sz w:val="32"/>
          <w:szCs w:val="32"/>
          <w:highlight w:val="none"/>
          <w:lang w:val="zh-CN"/>
          <w14:textFill>
            <w14:solidFill>
              <w14:schemeClr w14:val="tx1"/>
            </w14:solidFill>
          </w14:textFill>
        </w:rPr>
        <w:t>3</w:t>
      </w:r>
      <w:bookmarkStart w:id="205" w:name="_Toc297120458"/>
      <w:bookmarkStart w:id="206" w:name="_Toc296346659"/>
      <w:bookmarkStart w:id="207" w:name="_Toc297048344"/>
      <w:bookmarkStart w:id="208" w:name="_Toc296944497"/>
      <w:bookmarkStart w:id="209" w:name="_Toc296347157"/>
      <w:bookmarkStart w:id="210" w:name="_Toc296891198"/>
      <w:bookmarkStart w:id="211" w:name="_Toc296503158"/>
      <w:bookmarkStart w:id="212" w:name="_Toc292559868"/>
      <w:bookmarkStart w:id="213" w:name="_Toc296890986"/>
      <w:bookmarkStart w:id="214" w:name="_Toc292559363"/>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承包人</w:t>
      </w:r>
      <w:bookmarkEnd w:id="198"/>
      <w:bookmarkEnd w:id="199"/>
      <w:bookmarkEnd w:id="200"/>
      <w:bookmarkEnd w:id="201"/>
      <w:bookmarkEnd w:id="202"/>
      <w:bookmarkEnd w:id="203"/>
      <w:bookmarkEnd w:id="204"/>
    </w:p>
    <w:bookmarkEnd w:id="205"/>
    <w:bookmarkEnd w:id="206"/>
    <w:bookmarkEnd w:id="207"/>
    <w:bookmarkEnd w:id="208"/>
    <w:bookmarkEnd w:id="209"/>
    <w:bookmarkEnd w:id="210"/>
    <w:bookmarkEnd w:id="211"/>
    <w:bookmarkEnd w:id="212"/>
    <w:bookmarkEnd w:id="213"/>
    <w:bookmarkEnd w:id="214"/>
    <w:p w14:paraId="5007EF7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15" w:name="_Toc78449795"/>
      <w:bookmarkStart w:id="216" w:name="_Toc389065273"/>
      <w:bookmarkStart w:id="217" w:name="_Toc407135209"/>
      <w:bookmarkStart w:id="218" w:name="_Toc114058846"/>
      <w:bookmarkStart w:id="219" w:name="_Toc373478354"/>
      <w:bookmarkStart w:id="220" w:name="_Toc373227707"/>
      <w:r>
        <w:rPr>
          <w:rFonts w:eastAsia="黑体"/>
          <w:b/>
          <w:bCs/>
          <w:color w:val="000000" w:themeColor="text1"/>
          <w:sz w:val="32"/>
          <w:szCs w:val="32"/>
          <w:highlight w:val="none"/>
          <w:lang w:val="zh-CN"/>
          <w14:textFill>
            <w14:solidFill>
              <w14:schemeClr w14:val="tx1"/>
            </w14:solidFill>
          </w14:textFill>
        </w:rPr>
        <w:t xml:space="preserve">3.1 </w:t>
      </w:r>
      <w:r>
        <w:rPr>
          <w:rFonts w:hint="eastAsia" w:eastAsia="黑体" w:cs="黑体"/>
          <w:b/>
          <w:bCs/>
          <w:color w:val="000000" w:themeColor="text1"/>
          <w:sz w:val="32"/>
          <w:szCs w:val="32"/>
          <w:highlight w:val="none"/>
          <w:lang w:val="zh-CN"/>
          <w14:textFill>
            <w14:solidFill>
              <w14:schemeClr w14:val="tx1"/>
            </w14:solidFill>
          </w14:textFill>
        </w:rPr>
        <w:t>承包人的一般义务</w:t>
      </w:r>
      <w:bookmarkEnd w:id="215"/>
      <w:bookmarkEnd w:id="216"/>
      <w:bookmarkEnd w:id="217"/>
      <w:bookmarkEnd w:id="218"/>
      <w:bookmarkEnd w:id="219"/>
      <w:bookmarkEnd w:id="220"/>
    </w:p>
    <w:p w14:paraId="24E9013E">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9</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承包人提交的竣工资料的内容：</w:t>
      </w:r>
    </w:p>
    <w:p w14:paraId="06D87A44">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按国家规范工程竣工验收有关规定，向发包人提供完整的（含现场隐蔽工程照片、录像）竣工资料一式陆套及竣工验收报告</w:t>
      </w:r>
      <w:r>
        <w:rPr>
          <w:rFonts w:hAnsi="宋体"/>
          <w:color w:val="000000" w:themeColor="text1"/>
          <w:szCs w:val="21"/>
          <w:highlight w:val="none"/>
          <w14:textFill>
            <w14:solidFill>
              <w14:schemeClr w14:val="tx1"/>
            </w14:solidFill>
          </w14:textFill>
        </w:rPr>
        <w:t>。</w:t>
      </w:r>
    </w:p>
    <w:p w14:paraId="05ADD17F">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承包人需要提交的竣工资料套数：</w:t>
      </w:r>
      <w:r>
        <w:rPr>
          <w:rFonts w:hint="eastAsia" w:hAnsi="宋体"/>
          <w:color w:val="000000" w:themeColor="text1"/>
          <w:szCs w:val="21"/>
          <w:highlight w:val="none"/>
          <w:u w:val="single"/>
          <w14:textFill>
            <w14:solidFill>
              <w14:schemeClr w14:val="tx1"/>
            </w14:solidFill>
          </w14:textFill>
        </w:rPr>
        <w:t>一式陆套</w:t>
      </w:r>
      <w:r>
        <w:rPr>
          <w:rFonts w:hAnsi="宋体"/>
          <w:color w:val="000000" w:themeColor="text1"/>
          <w:szCs w:val="21"/>
          <w:highlight w:val="none"/>
          <w14:textFill>
            <w14:solidFill>
              <w14:schemeClr w14:val="tx1"/>
            </w14:solidFill>
          </w14:textFill>
        </w:rPr>
        <w:t>。</w:t>
      </w:r>
    </w:p>
    <w:p w14:paraId="144D8347">
      <w:pPr>
        <w:spacing w:line="360" w:lineRule="auto"/>
        <w:ind w:left="424" w:leftChars="202"/>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承包人提交的竣工资料的费用承担：</w:t>
      </w:r>
      <w:r>
        <w:rPr>
          <w:rFonts w:hint="eastAsia"/>
          <w:color w:val="000000" w:themeColor="text1"/>
          <w:szCs w:val="21"/>
          <w:highlight w:val="none"/>
          <w:u w:val="single"/>
          <w14:textFill>
            <w14:solidFill>
              <w14:schemeClr w14:val="tx1"/>
            </w14:solidFill>
          </w14:textFill>
        </w:rPr>
        <w:t>费用由承包人承担</w:t>
      </w:r>
      <w:r>
        <w:rPr>
          <w:rFonts w:hAnsi="宋体"/>
          <w:color w:val="000000" w:themeColor="text1"/>
          <w:szCs w:val="21"/>
          <w:highlight w:val="none"/>
          <w14:textFill>
            <w14:solidFill>
              <w14:schemeClr w14:val="tx1"/>
            </w14:solidFill>
          </w14:textFill>
        </w:rPr>
        <w:t>。</w:t>
      </w:r>
    </w:p>
    <w:p w14:paraId="1FD4F097">
      <w:pPr>
        <w:spacing w:line="360" w:lineRule="auto"/>
        <w:ind w:left="424" w:leftChars="202"/>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承包人提交的竣工资料移交时间：</w:t>
      </w:r>
      <w:r>
        <w:rPr>
          <w:rFonts w:hint="eastAsia"/>
          <w:color w:val="000000" w:themeColor="text1"/>
          <w:szCs w:val="21"/>
          <w:highlight w:val="none"/>
          <w:u w:val="single"/>
          <w14:textFill>
            <w14:solidFill>
              <w14:schemeClr w14:val="tx1"/>
            </w14:solidFill>
          </w14:textFill>
        </w:rPr>
        <w:t>竣工验收整改完成后15日内</w:t>
      </w:r>
      <w:r>
        <w:rPr>
          <w:rFonts w:hAnsi="宋体"/>
          <w:color w:val="000000" w:themeColor="text1"/>
          <w:szCs w:val="21"/>
          <w:highlight w:val="none"/>
          <w14:textFill>
            <w14:solidFill>
              <w14:schemeClr w14:val="tx1"/>
            </w14:solidFill>
          </w14:textFill>
        </w:rPr>
        <w:t>。</w:t>
      </w:r>
    </w:p>
    <w:p w14:paraId="67859D46">
      <w:pPr>
        <w:spacing w:line="360" w:lineRule="auto"/>
        <w:ind w:firstLine="420" w:firstLineChars="200"/>
        <w:jc w:val="left"/>
        <w:rPr>
          <w:color w:val="000000" w:themeColor="text1"/>
          <w:szCs w:val="22"/>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承包人提交的竣工资料形式要求：</w:t>
      </w:r>
      <w:r>
        <w:rPr>
          <w:rFonts w:hint="eastAsia"/>
          <w:color w:val="000000" w:themeColor="text1"/>
          <w:szCs w:val="21"/>
          <w:highlight w:val="none"/>
          <w:u w:val="single"/>
          <w14:textFill>
            <w14:solidFill>
              <w14:schemeClr w14:val="tx1"/>
            </w14:solidFill>
          </w14:textFill>
        </w:rPr>
        <w:t>按南宁市建设行政主管部门和城市建设档案管理机构的相关要求，</w:t>
      </w:r>
      <w:r>
        <w:rPr>
          <w:rFonts w:hint="eastAsia" w:ascii="宋体" w:hAnsi="宋体"/>
          <w:color w:val="000000" w:themeColor="text1"/>
          <w:highlight w:val="none"/>
          <w:u w:val="single"/>
          <w14:textFill>
            <w14:solidFill>
              <w14:schemeClr w14:val="tx1"/>
            </w14:solidFill>
          </w14:textFill>
        </w:rPr>
        <w:t>纸质及电子文档并装订成册</w:t>
      </w:r>
      <w:r>
        <w:rPr>
          <w:rFonts w:hint="eastAsia" w:ascii="宋体" w:hAnsi="宋体"/>
          <w:color w:val="000000" w:themeColor="text1"/>
          <w:highlight w:val="none"/>
          <w14:textFill>
            <w14:solidFill>
              <w14:schemeClr w14:val="tx1"/>
            </w14:solidFill>
          </w14:textFill>
        </w:rPr>
        <w:t>。</w:t>
      </w:r>
    </w:p>
    <w:p w14:paraId="211E4CFF">
      <w:pPr>
        <w:numPr>
          <w:ilvl w:val="0"/>
          <w:numId w:val="15"/>
        </w:numPr>
        <w:spacing w:line="360" w:lineRule="auto"/>
        <w:ind w:firstLine="420" w:firstLineChars="200"/>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承包人应履行的其他义务：</w:t>
      </w:r>
    </w:p>
    <w:p w14:paraId="0FEA43F1">
      <w:pPr>
        <w:spacing w:line="360" w:lineRule="auto"/>
        <w:ind w:firstLine="420" w:firstLineChars="200"/>
        <w:rPr>
          <w:color w:val="000000" w:themeColor="text1"/>
          <w:kern w:val="0"/>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u w:val="single"/>
          <w14:textFill>
            <w14:solidFill>
              <w14:schemeClr w14:val="tx1"/>
            </w14:solidFill>
          </w14:textFill>
        </w:rPr>
        <w:t>对开工的项目，须组建项目工会。</w:t>
      </w:r>
    </w:p>
    <w:p w14:paraId="11F8BF30">
      <w:pPr>
        <w:spacing w:line="360" w:lineRule="auto"/>
        <w:ind w:firstLine="422" w:firstLineChars="200"/>
        <w:rPr>
          <w:rFonts w:ascii="宋体" w:hAnsi="宋体"/>
          <w:b/>
          <w:bCs/>
          <w:color w:val="000000" w:themeColor="text1"/>
          <w:kern w:val="0"/>
          <w:szCs w:val="21"/>
          <w:highlight w:val="none"/>
          <w:u w:val="singl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2）施工场地周围地下管线和邻近建筑物、构筑物（含文物保护建筑）、古树名木的保护要求及费用承担：</w:t>
      </w:r>
      <w:r>
        <w:rPr>
          <w:rFonts w:hint="eastAsia" w:ascii="宋体" w:hAnsi="宋体"/>
          <w:b/>
          <w:bCs/>
          <w:color w:val="000000" w:themeColor="text1"/>
          <w:kern w:val="0"/>
          <w:szCs w:val="21"/>
          <w:highlight w:val="none"/>
          <w:u w:val="single"/>
          <w14:textFill>
            <w14:solidFill>
              <w14:schemeClr w14:val="tx1"/>
            </w14:solidFill>
          </w14:textFill>
        </w:rPr>
        <w:t>承包人施工时应探明并负责保护且承包费用，施工时如属承包人自身原因损坏地下管线、邻近建筑物、构筑物，所发生费用由承包人承担。</w:t>
      </w:r>
    </w:p>
    <w:p w14:paraId="46DE0A81">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3）</w:t>
      </w:r>
      <w:r>
        <w:rPr>
          <w:rFonts w:hint="eastAsia" w:ascii="宋体" w:hAnsi="宋体"/>
          <w:b/>
          <w:bCs/>
          <w:color w:val="000000" w:themeColor="text1"/>
          <w:szCs w:val="21"/>
          <w:highlight w:val="none"/>
          <w14:textFill>
            <w14:solidFill>
              <w14:schemeClr w14:val="tx1"/>
            </w14:solidFill>
          </w14:textFill>
        </w:rPr>
        <w:t>取土场及弃土场由承包人自行解决，但不得违反相关管理规定，并承担相关费用。</w:t>
      </w:r>
    </w:p>
    <w:p w14:paraId="2AB2CA29">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4）承包人的临时占地（含项目部驻地等）租用费（含拆迁补偿）、临时用地的环保、恢复及所有临时性占地的青苗补偿及地面附着物发生的费用均由承包人负责。</w:t>
      </w:r>
    </w:p>
    <w:p w14:paraId="265453AE">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5）承包人应按监理人的指示负责拆除、清理已征用土地上的零星拆迁垃圾、杂物以及场地中的树根等并承担相关费用。</w:t>
      </w:r>
    </w:p>
    <w:p w14:paraId="00E1AA94">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6）各合同承包人应允许本工程其他承包人在本合同承包人施工场地上架设施工用电线路，线路走向由监理人会同各有关合同承包人共同协商确定。</w:t>
      </w:r>
    </w:p>
    <w:p w14:paraId="69096BBF">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7）承包人应充分理解有一些设施（如施工道路）将会由一个以上的承包人使用，如果在使用过程中发生干扰时，应立即通知监理人并服从监理人的决定。</w:t>
      </w:r>
    </w:p>
    <w:p w14:paraId="23112CC9">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8）凡属于需要承包人交付给其他承包人的工作面以及与其他承包人交叉作业的工作面，承包人必须服从发包人的决定，按规定的完工日期完成并将清理好的工作面移交给发包人。</w:t>
      </w:r>
    </w:p>
    <w:p w14:paraId="1DC23CC8">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9）承包人应为发包人现场代表对施工现场的检查监督提供必要的配合，并对这种配合对施工的影响应有充分的考虑。</w:t>
      </w:r>
    </w:p>
    <w:p w14:paraId="1CB0A991">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10）配合发包人作好安全文明宣传、领导检查宣传等工作，相关费用由承包人承担。</w:t>
      </w:r>
    </w:p>
    <w:p w14:paraId="0B7E9965">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11）承包人须自行承担本工程水电报装（含变压器、设备、电等）、使用、维护、拆除、恢复等工作，并负责相关费用。</w:t>
      </w:r>
    </w:p>
    <w:p w14:paraId="67918D7E">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12）对上述2）～11）项工作，费用已包括在有关单价和总价中，发包人不再另行支付由此所发生的一切费用。</w:t>
      </w:r>
    </w:p>
    <w:p w14:paraId="2A3565D8">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经过城市道路的施工车辆，必须按交警、城管、环保、环卫等部门规定通行。施工车辆的营运手续办理、清洗等一切费用由承包人承担。由于车辆带泥或洒漏造成的道路、环境等污染，其责任和费用均由承包人承担。</w:t>
      </w:r>
    </w:p>
    <w:p w14:paraId="2A3D9B53">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14）土料场由承包人自行解决。</w:t>
      </w:r>
    </w:p>
    <w:p w14:paraId="4446493E">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15）承包人应负责施工场内交通管制和协调通行工作。连接施工场内外道路出口处须设洗车场，对从施工场地进入市区道路的所有车辆进行清洗，并派专人在出口处负责看守，严禁与工程施工无关的人员及车辆进出施工场地，所发生的费用由承包人承担。如承包人违反以上有关规定，由此所造成的一切后果由承包人负责。</w:t>
      </w:r>
    </w:p>
    <w:p w14:paraId="73D554A6">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16）承包人修建的临时道路和交通设施，应免费提供给发包人、监理人和其他合同段的承包人使用。</w:t>
      </w:r>
    </w:p>
    <w:p w14:paraId="427B6B6C">
      <w:pPr>
        <w:spacing w:line="360" w:lineRule="auto"/>
        <w:ind w:firstLine="441" w:firstLineChars="21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17）承包人在施工期间应协调好与邻近相关单位（含居民、农民）的关系，应避免发生矛盾与冲突，否则，由此造成的一切后果由承包人承担。</w:t>
      </w:r>
    </w:p>
    <w:p w14:paraId="18548F32">
      <w:pPr>
        <w:spacing w:line="360" w:lineRule="auto"/>
        <w:ind w:firstLine="420" w:firstLineChars="200"/>
        <w:jc w:val="left"/>
        <w:rPr>
          <w:rFonts w:ascii="宋体" w:hAnsi="宋体"/>
          <w:b/>
          <w:bCs/>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18）由</w:t>
      </w:r>
      <w:r>
        <w:rPr>
          <w:rFonts w:hint="eastAsia" w:ascii="宋体" w:hAnsi="宋体"/>
          <w:b/>
          <w:bCs/>
          <w:color w:val="000000" w:themeColor="text1"/>
          <w:kern w:val="0"/>
          <w:szCs w:val="21"/>
          <w:highlight w:val="none"/>
          <w14:textFill>
            <w14:solidFill>
              <w14:schemeClr w14:val="tx1"/>
            </w14:solidFill>
          </w14:textFill>
        </w:rPr>
        <w:t>承包人按</w:t>
      </w:r>
      <w:r>
        <w:rPr>
          <w:rFonts w:hint="eastAsia" w:ascii="宋体" w:hAnsi="宋体"/>
          <w:color w:val="000000" w:themeColor="text1"/>
          <w:kern w:val="0"/>
          <w:szCs w:val="21"/>
          <w:highlight w:val="none"/>
          <w14:textFill>
            <w14:solidFill>
              <w14:schemeClr w14:val="tx1"/>
            </w14:solidFill>
          </w14:textFill>
        </w:rPr>
        <w:t>国家和自治区有关征收、管理和使用</w:t>
      </w:r>
      <w:r>
        <w:rPr>
          <w:rFonts w:hint="eastAsia" w:ascii="宋体" w:hAnsi="宋体"/>
          <w:b/>
          <w:bCs/>
          <w:color w:val="000000" w:themeColor="text1"/>
          <w:kern w:val="0"/>
          <w:szCs w:val="21"/>
          <w:highlight w:val="none"/>
          <w14:textFill>
            <w14:solidFill>
              <w14:schemeClr w14:val="tx1"/>
            </w14:solidFill>
          </w14:textFill>
        </w:rPr>
        <w:t>新型墙体材料专项基金、散装水泥专项基金</w:t>
      </w:r>
      <w:r>
        <w:rPr>
          <w:rFonts w:hint="eastAsia" w:ascii="宋体" w:hAnsi="宋体"/>
          <w:color w:val="000000" w:themeColor="text1"/>
          <w:kern w:val="0"/>
          <w:szCs w:val="21"/>
          <w:highlight w:val="none"/>
          <w14:textFill>
            <w14:solidFill>
              <w14:schemeClr w14:val="tx1"/>
            </w14:solidFill>
          </w14:textFill>
        </w:rPr>
        <w:t>的有关规定</w:t>
      </w:r>
      <w:r>
        <w:rPr>
          <w:rFonts w:hint="eastAsia" w:ascii="宋体" w:hAnsi="宋体"/>
          <w:b/>
          <w:bCs/>
          <w:color w:val="000000" w:themeColor="text1"/>
          <w:kern w:val="0"/>
          <w:szCs w:val="21"/>
          <w:highlight w:val="none"/>
          <w14:textFill>
            <w14:solidFill>
              <w14:schemeClr w14:val="tx1"/>
            </w14:solidFill>
          </w14:textFill>
        </w:rPr>
        <w:t>向管理部门缴纳新型墙体材料专项基金、散装水泥专项基金。</w:t>
      </w:r>
    </w:p>
    <w:p w14:paraId="479A3646">
      <w:pPr>
        <w:spacing w:line="360" w:lineRule="auto"/>
        <w:ind w:firstLine="422"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19)</w:t>
      </w:r>
      <w:r>
        <w:rPr>
          <w:rFonts w:hint="eastAsia" w:ascii="宋体" w:hAnsi="宋体" w:cs="Arial"/>
          <w:color w:val="000000" w:themeColor="text1"/>
          <w:szCs w:val="21"/>
          <w:highlight w:val="none"/>
          <w14:textFill>
            <w14:solidFill>
              <w14:schemeClr w14:val="tx1"/>
            </w14:solidFill>
          </w14:textFill>
        </w:rPr>
        <w:t xml:space="preserve"> 积极协助与配合第三方审计机构开展跟踪审计工作，保障审计工作顺利进行。</w:t>
      </w:r>
    </w:p>
    <w:p w14:paraId="30AC5182">
      <w:pPr>
        <w:spacing w:line="360" w:lineRule="auto"/>
        <w:ind w:firstLine="420" w:firstLineChars="200"/>
        <w:jc w:val="left"/>
        <w:rPr>
          <w:color w:val="000000" w:themeColor="text1"/>
          <w:kern w:val="0"/>
          <w:szCs w:val="22"/>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20）按照《中华人民共和国工会法》、《国务院关于进一步做好为农民工服务工作的意见》（国发〔2014〕40号）、《中华全国总工会关于深入贯彻落实&lt;国务院关于进一步做好为农民工服务工作的意见&gt;的实施意见》（总工发〔2015〕14号）有关要求，深入开展“农民工入会集中行动”。</w:t>
      </w:r>
    </w:p>
    <w:p w14:paraId="33173FD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21" w:name="_Toc407135210"/>
      <w:bookmarkStart w:id="222" w:name="_Toc373478355"/>
      <w:bookmarkStart w:id="223" w:name="_Toc373227708"/>
      <w:bookmarkStart w:id="224" w:name="_Toc389065274"/>
      <w:bookmarkStart w:id="225" w:name="_Toc78449796"/>
      <w:bookmarkStart w:id="226" w:name="_Toc114058847"/>
      <w:r>
        <w:rPr>
          <w:rFonts w:eastAsia="黑体"/>
          <w:b/>
          <w:bCs/>
          <w:color w:val="000000" w:themeColor="text1"/>
          <w:sz w:val="32"/>
          <w:szCs w:val="32"/>
          <w:highlight w:val="none"/>
          <w:lang w:val="zh-CN"/>
          <w14:textFill>
            <w14:solidFill>
              <w14:schemeClr w14:val="tx1"/>
            </w14:solidFill>
          </w14:textFill>
        </w:rPr>
        <w:t xml:space="preserve">3.2 </w:t>
      </w:r>
      <w:r>
        <w:rPr>
          <w:rFonts w:hint="eastAsia" w:hAnsi="宋体" w:eastAsia="黑体" w:cs="黑体"/>
          <w:b/>
          <w:bCs/>
          <w:color w:val="000000" w:themeColor="text1"/>
          <w:sz w:val="32"/>
          <w:szCs w:val="32"/>
          <w:highlight w:val="none"/>
          <w:lang w:val="zh-CN"/>
          <w14:textFill>
            <w14:solidFill>
              <w14:schemeClr w14:val="tx1"/>
            </w14:solidFill>
          </w14:textFill>
        </w:rPr>
        <w:t>项目经理</w:t>
      </w:r>
      <w:bookmarkEnd w:id="221"/>
      <w:bookmarkEnd w:id="222"/>
      <w:bookmarkEnd w:id="223"/>
      <w:bookmarkEnd w:id="224"/>
      <w:bookmarkEnd w:id="225"/>
      <w:bookmarkEnd w:id="226"/>
    </w:p>
    <w:p w14:paraId="57B24B46">
      <w:pPr>
        <w:spacing w:line="360" w:lineRule="auto"/>
        <w:ind w:firstLine="420" w:firstLineChars="200"/>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3.2.1 </w:t>
      </w:r>
      <w:r>
        <w:rPr>
          <w:rFonts w:hint="eastAsia" w:hAnsi="宋体" w:cs="宋体"/>
          <w:color w:val="000000" w:themeColor="text1"/>
          <w:szCs w:val="21"/>
          <w:highlight w:val="none"/>
          <w14:textFill>
            <w14:solidFill>
              <w14:schemeClr w14:val="tx1"/>
            </w14:solidFill>
          </w14:textFill>
        </w:rPr>
        <w:t>项目经理：</w:t>
      </w:r>
    </w:p>
    <w:p w14:paraId="1A6C9B5B">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姓名：；</w:t>
      </w:r>
    </w:p>
    <w:p w14:paraId="65F7E76C">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身份证号：；</w:t>
      </w:r>
    </w:p>
    <w:p w14:paraId="35278F2E">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建造师执业资格等级：；</w:t>
      </w:r>
    </w:p>
    <w:p w14:paraId="57A2CD38">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建造师注册证书号：；</w:t>
      </w:r>
    </w:p>
    <w:p w14:paraId="26FD0D1B">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安全生产考核合格证书号：；</w:t>
      </w:r>
    </w:p>
    <w:p w14:paraId="7514B234">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联系电话：；</w:t>
      </w:r>
    </w:p>
    <w:p w14:paraId="47E4040D">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电子信箱：；</w:t>
      </w:r>
    </w:p>
    <w:p w14:paraId="0BA10CF2">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通信地址：；</w:t>
      </w:r>
    </w:p>
    <w:p w14:paraId="7624F4DD">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承包人对项目经理的授权范围如下：</w:t>
      </w:r>
      <w:r>
        <w:rPr>
          <w:color w:val="000000" w:themeColor="text1"/>
          <w:szCs w:val="21"/>
          <w:highlight w:val="none"/>
          <w:u w:val="single"/>
          <w14:textFill>
            <w14:solidFill>
              <w14:schemeClr w14:val="tx1"/>
            </w14:solidFill>
          </w14:textFill>
        </w:rPr>
        <w:t>项目经理仅限于工程的现场施工管理，但未经承包人盖章同意，不得以承包人名义向外采购材料设备、租用建筑周转材料、雇用劳动力、签订分包合同等从事一切为承包人设立义务或责任的行为</w:t>
      </w:r>
      <w:r>
        <w:rPr>
          <w:rFonts w:hint="eastAsia" w:hAnsi="宋体" w:cs="宋体"/>
          <w:color w:val="000000" w:themeColor="text1"/>
          <w:szCs w:val="21"/>
          <w:highlight w:val="none"/>
          <w14:textFill>
            <w14:solidFill>
              <w14:schemeClr w14:val="tx1"/>
            </w14:solidFill>
          </w14:textFill>
        </w:rPr>
        <w:t>。</w:t>
      </w:r>
    </w:p>
    <w:p w14:paraId="56EE5C56">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关于项目经理每月在施工现场的时间要求：</w:t>
      </w:r>
      <w:r>
        <w:rPr>
          <w:rFonts w:hint="eastAsia" w:ascii="宋体" w:hAnsi="宋体"/>
          <w:color w:val="000000" w:themeColor="text1"/>
          <w:kern w:val="0"/>
          <w:szCs w:val="21"/>
          <w:highlight w:val="none"/>
          <w14:textFill>
            <w14:solidFill>
              <w14:schemeClr w14:val="tx1"/>
            </w14:solidFill>
          </w14:textFill>
        </w:rPr>
        <w:t>发</w:t>
      </w:r>
      <w:r>
        <w:rPr>
          <w:rFonts w:hint="eastAsia" w:ascii="宋体" w:hAnsi="宋体"/>
          <w:color w:val="000000" w:themeColor="text1"/>
          <w:szCs w:val="21"/>
          <w:highlight w:val="none"/>
          <w:u w:val="single"/>
          <w14:textFill>
            <w14:solidFill>
              <w14:schemeClr w14:val="tx1"/>
            </w14:solidFill>
          </w14:textFill>
        </w:rPr>
        <w:t>包人对项目经理、项目总工、质量员、安全员等主要管理人员进行考勤，以上人员每月出勤必须</w:t>
      </w:r>
      <w:r>
        <w:rPr>
          <w:rFonts w:hint="eastAsia" w:ascii="宋体" w:hAnsi="宋体"/>
          <w:color w:val="000000" w:themeColor="text1"/>
          <w:szCs w:val="21"/>
          <w:highlight w:val="none"/>
          <w:u w:val="single"/>
          <w:lang w:val="en-US" w:eastAsia="zh-CN"/>
          <w14:textFill>
            <w14:solidFill>
              <w14:schemeClr w14:val="tx1"/>
            </w14:solidFill>
          </w14:textFill>
        </w:rPr>
        <w:t>不少于24天</w:t>
      </w:r>
      <w:r>
        <w:rPr>
          <w:rFonts w:hint="eastAsia" w:ascii="宋体" w:hAnsi="宋体"/>
          <w:color w:val="000000" w:themeColor="text1"/>
          <w:szCs w:val="21"/>
          <w:highlight w:val="none"/>
          <w:u w:val="single"/>
          <w14:textFill>
            <w14:solidFill>
              <w14:schemeClr w14:val="tx1"/>
            </w14:solidFill>
          </w14:textFill>
        </w:rPr>
        <w:t>，每缺勤一日，应向发包人支付违约金</w:t>
      </w:r>
      <w:r>
        <w:rPr>
          <w:rFonts w:hint="eastAsia" w:ascii="宋体" w:hAnsi="宋体"/>
          <w:b/>
          <w:bCs/>
          <w:color w:val="000000" w:themeColor="text1"/>
          <w:szCs w:val="21"/>
          <w:highlight w:val="none"/>
          <w:u w:val="single"/>
          <w14:textFill>
            <w14:solidFill>
              <w14:schemeClr w14:val="tx1"/>
            </w14:solidFill>
          </w14:textFill>
        </w:rPr>
        <w:t>1000元/人(人民币)</w:t>
      </w:r>
      <w:r>
        <w:rPr>
          <w:rFonts w:hint="eastAsia" w:hAnsi="宋体" w:cs="宋体"/>
          <w:color w:val="000000" w:themeColor="text1"/>
          <w:szCs w:val="21"/>
          <w:highlight w:val="none"/>
          <w14:textFill>
            <w14:solidFill>
              <w14:schemeClr w14:val="tx1"/>
            </w14:solidFill>
          </w14:textFill>
        </w:rPr>
        <w:t>。</w:t>
      </w:r>
    </w:p>
    <w:p w14:paraId="00F87CBC">
      <w:pPr>
        <w:spacing w:line="360" w:lineRule="auto"/>
        <w:ind w:firstLine="420" w:firstLineChars="200"/>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承包人未提交劳动合同，以及没有为项目经理缴纳社会保险证明的违约责任：</w:t>
      </w:r>
      <w:r>
        <w:rPr>
          <w:rFonts w:hint="eastAsia" w:hAnsi="宋体"/>
          <w:color w:val="000000" w:themeColor="text1"/>
          <w:szCs w:val="21"/>
          <w:highlight w:val="none"/>
          <w:u w:val="single"/>
          <w14:textFill>
            <w14:solidFill>
              <w14:schemeClr w14:val="tx1"/>
            </w14:solidFill>
          </w14:textFill>
        </w:rPr>
        <w:t>视为承包人未能按照合同要求委派合格的项目经理并承担相应的违约责任</w:t>
      </w:r>
      <w:r>
        <w:rPr>
          <w:rFonts w:hint="eastAsia" w:hAnsi="宋体" w:cs="宋体"/>
          <w:color w:val="000000" w:themeColor="text1"/>
          <w:szCs w:val="21"/>
          <w:highlight w:val="none"/>
          <w14:textFill>
            <w14:solidFill>
              <w14:schemeClr w14:val="tx1"/>
            </w14:solidFill>
          </w14:textFill>
        </w:rPr>
        <w:t>。</w:t>
      </w:r>
    </w:p>
    <w:p w14:paraId="4FFA1A5A">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项目经理未经批准，擅自离开施工现场的违约责任：</w:t>
      </w:r>
      <w:r>
        <w:rPr>
          <w:rFonts w:hint="eastAsia" w:hAnsi="宋体" w:cs="宋体"/>
          <w:color w:val="000000" w:themeColor="text1"/>
          <w:szCs w:val="21"/>
          <w:highlight w:val="none"/>
          <w:u w:val="single"/>
          <w14:textFill>
            <w14:solidFill>
              <w14:schemeClr w14:val="tx1"/>
            </w14:solidFill>
          </w14:textFill>
        </w:rPr>
        <w:t>项目经理每月在岗带班时间不得少于当月施工时间的</w:t>
      </w:r>
      <w:r>
        <w:rPr>
          <w:rFonts w:hAnsi="宋体"/>
          <w:color w:val="000000" w:themeColor="text1"/>
          <w:szCs w:val="21"/>
          <w:highlight w:val="none"/>
          <w:u w:val="single"/>
          <w14:textFill>
            <w14:solidFill>
              <w14:schemeClr w14:val="tx1"/>
            </w14:solidFill>
          </w14:textFill>
        </w:rPr>
        <w:t>80%</w:t>
      </w:r>
      <w:r>
        <w:rPr>
          <w:rFonts w:hint="eastAsia" w:hAnsi="宋体" w:cs="宋体"/>
          <w:color w:val="000000" w:themeColor="text1"/>
          <w:szCs w:val="21"/>
          <w:highlight w:val="none"/>
          <w:u w:val="single"/>
          <w14:textFill>
            <w14:solidFill>
              <w14:schemeClr w14:val="tx1"/>
            </w14:solidFill>
          </w14:textFill>
        </w:rPr>
        <w:t>。未经发包人同意或正当理由，项目经理每月在岗带班时间少于当月施工时间</w:t>
      </w:r>
      <w:r>
        <w:rPr>
          <w:rFonts w:hAnsi="宋体"/>
          <w:color w:val="000000" w:themeColor="text1"/>
          <w:szCs w:val="21"/>
          <w:highlight w:val="none"/>
          <w:u w:val="single"/>
          <w14:textFill>
            <w14:solidFill>
              <w14:schemeClr w14:val="tx1"/>
            </w14:solidFill>
          </w14:textFill>
        </w:rPr>
        <w:t>80%</w:t>
      </w:r>
      <w:r>
        <w:rPr>
          <w:rFonts w:hint="eastAsia" w:hAnsi="宋体" w:cs="宋体"/>
          <w:color w:val="000000" w:themeColor="text1"/>
          <w:szCs w:val="21"/>
          <w:highlight w:val="none"/>
          <w:u w:val="single"/>
          <w14:textFill>
            <w14:solidFill>
              <w14:schemeClr w14:val="tx1"/>
            </w14:solidFill>
          </w14:textFill>
        </w:rPr>
        <w:t>的，少在岗带班一天，发包人有权处违约金</w:t>
      </w:r>
      <w:r>
        <w:rPr>
          <w:rFonts w:hint="eastAsia"/>
          <w:color w:val="000000" w:themeColor="text1"/>
          <w:szCs w:val="21"/>
          <w:highlight w:val="none"/>
          <w:u w:val="single"/>
          <w14:textFill>
            <w14:solidFill>
              <w14:schemeClr w14:val="tx1"/>
            </w14:solidFill>
          </w14:textFill>
        </w:rPr>
        <w:t>10000</w:t>
      </w:r>
      <w:r>
        <w:rPr>
          <w:rFonts w:hint="eastAsia" w:hAnsi="宋体" w:cs="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int="eastAsia" w:cs="宋体"/>
          <w:color w:val="000000" w:themeColor="text1"/>
          <w:szCs w:val="21"/>
          <w:highlight w:val="none"/>
          <w:u w:val="single"/>
          <w14:textFill>
            <w14:solidFill>
              <w14:schemeClr w14:val="tx1"/>
            </w14:solidFill>
          </w14:textFill>
        </w:rPr>
        <w:t>日（</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7CCB7E22">
      <w:pPr>
        <w:adjustRightInd w:val="0"/>
        <w:snapToGrid w:val="0"/>
        <w:spacing w:line="460" w:lineRule="exact"/>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3.2.3 </w:t>
      </w:r>
      <w:r>
        <w:rPr>
          <w:rFonts w:hint="eastAsia" w:hAnsi="宋体" w:cs="宋体"/>
          <w:color w:val="000000" w:themeColor="text1"/>
          <w:szCs w:val="21"/>
          <w:highlight w:val="none"/>
          <w14:textFill>
            <w14:solidFill>
              <w14:schemeClr w14:val="tx1"/>
            </w14:solidFill>
          </w14:textFill>
        </w:rPr>
        <w:t>承包人擅自更换项目经理的违约责任：</w:t>
      </w:r>
      <w:r>
        <w:rPr>
          <w:rFonts w:hint="eastAsia" w:hAnsi="宋体" w:cs="宋体"/>
          <w:color w:val="000000" w:themeColor="text1"/>
          <w:szCs w:val="21"/>
          <w:highlight w:val="none"/>
          <w:u w:val="single"/>
          <w14:textFill>
            <w14:solidFill>
              <w14:schemeClr w14:val="tx1"/>
            </w14:solidFill>
          </w14:textFill>
        </w:rPr>
        <w:t>承包人项目经理必须与承包人竞标时所承诺的人员一致，并在（开工日期）前到</w:t>
      </w:r>
      <w:r>
        <w:rPr>
          <w:color w:val="000000" w:themeColor="text1"/>
          <w:szCs w:val="21"/>
          <w:highlight w:val="none"/>
          <w14:textFill>
            <w14:solidFill>
              <w14:schemeClr w14:val="tx1"/>
            </w14:solidFill>
          </w14:textFill>
        </w:rPr>
        <w:t xml:space="preserve">任。在监理人向承包人颁发 </w:t>
      </w:r>
      <w:r>
        <w:rPr>
          <w:color w:val="000000" w:themeColor="text1"/>
          <w:szCs w:val="21"/>
          <w:highlight w:val="none"/>
          <w:u w:val="single"/>
          <w14:textFill>
            <w14:solidFill>
              <w14:schemeClr w14:val="tx1"/>
            </w14:solidFill>
          </w14:textFill>
        </w:rPr>
        <w:t xml:space="preserve">   （竣工证明材料名称）   </w:t>
      </w:r>
      <w:r>
        <w:rPr>
          <w:color w:val="000000" w:themeColor="text1"/>
          <w:szCs w:val="21"/>
          <w:highlight w:val="none"/>
          <w14:textFill>
            <w14:solidFill>
              <w14:schemeClr w14:val="tx1"/>
            </w14:solidFill>
          </w14:textFill>
        </w:rPr>
        <w:t xml:space="preserve"> 前，项目经理不得同时兼任其他任何项目的项目经理（符合《广西壮族自治区建筑市场诚信卡管理暂行办法》第十六条第一款及桂建管﹝2016﹞70号、桂建管〔2019〕26号和桂建管〔2020〕11号文除外）</w:t>
      </w:r>
      <w:r>
        <w:rPr>
          <w:rFonts w:hint="eastAsia" w:hAnsi="宋体" w:cs="宋体"/>
          <w:color w:val="000000" w:themeColor="text1"/>
          <w:kern w:val="0"/>
          <w:szCs w:val="21"/>
          <w:highlight w:val="none"/>
          <w:u w:val="single"/>
          <w14:textFill>
            <w14:solidFill>
              <w14:schemeClr w14:val="tx1"/>
            </w14:solidFill>
          </w14:textFill>
        </w:rPr>
        <w:t>及</w:t>
      </w:r>
      <w:r>
        <w:rPr>
          <w:rFonts w:hint="eastAsia" w:ascii="宋体" w:hAnsi="宋体"/>
          <w:b/>
          <w:bCs/>
          <w:color w:val="000000" w:themeColor="text1"/>
          <w:szCs w:val="21"/>
          <w:highlight w:val="none"/>
          <w:u w:val="single"/>
          <w14:textFill>
            <w14:solidFill>
              <w14:schemeClr w14:val="tx1"/>
            </w14:solidFill>
          </w14:textFill>
        </w:rPr>
        <w:t>除非是拟派项目经理出现以下情形：①因自身原因导致工程质量出现重大质量、安全事故；②有违法、违纪、被暂定或吊销项目经理资格证的；③发包人同意更换的；④严重疾病需要休养，时间超过工期一半，由区级医院出具病重说明的。否则，承包人不得以项目经理离职、岗位调动等理由更换项目经理，</w:t>
      </w:r>
      <w:r>
        <w:rPr>
          <w:color w:val="000000" w:themeColor="text1"/>
          <w:szCs w:val="21"/>
          <w:highlight w:val="none"/>
          <w14:textFill>
            <w14:solidFill>
              <w14:schemeClr w14:val="tx1"/>
            </w14:solidFill>
          </w14:textFill>
        </w:rPr>
        <w:t>未经发包人书面同意，承包人擅自更换项目经理的视为违约，违约金处</w:t>
      </w:r>
      <w:r>
        <w:rPr>
          <w:rFonts w:hint="eastAsia" w:ascii="宋体" w:hAnsi="宋体"/>
          <w:b/>
          <w:bCs/>
          <w:color w:val="000000" w:themeColor="text1"/>
          <w:szCs w:val="21"/>
          <w:highlight w:val="none"/>
          <w:u w:val="single"/>
          <w14:textFill>
            <w14:solidFill>
              <w14:schemeClr w14:val="tx1"/>
            </w14:solidFill>
          </w14:textFill>
        </w:rPr>
        <w:t>30000</w:t>
      </w:r>
      <w:r>
        <w:rPr>
          <w:color w:val="000000" w:themeColor="text1"/>
          <w:szCs w:val="21"/>
          <w:highlight w:val="none"/>
          <w14:textFill>
            <w14:solidFill>
              <w14:schemeClr w14:val="tx1"/>
            </w14:solidFill>
          </w14:textFill>
        </w:rPr>
        <w:t>元/人•次（人民币）。</w:t>
      </w:r>
    </w:p>
    <w:p w14:paraId="1869D895">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3.2.4 </w:t>
      </w:r>
      <w:r>
        <w:rPr>
          <w:rFonts w:hint="eastAsia" w:hAnsi="宋体" w:cs="宋体"/>
          <w:color w:val="000000" w:themeColor="text1"/>
          <w:szCs w:val="21"/>
          <w:highlight w:val="none"/>
          <w14:textFill>
            <w14:solidFill>
              <w14:schemeClr w14:val="tx1"/>
            </w14:solidFill>
          </w14:textFill>
        </w:rPr>
        <w:t>承包人无正当理由拒绝更换项目经理的违约责任：</w:t>
      </w:r>
      <w:r>
        <w:rPr>
          <w:rFonts w:hint="eastAsia" w:hAnsi="宋体" w:cs="宋体"/>
          <w:color w:val="000000" w:themeColor="text1"/>
          <w:szCs w:val="21"/>
          <w:highlight w:val="none"/>
          <w:u w:val="single"/>
          <w14:textFill>
            <w14:solidFill>
              <w14:schemeClr w14:val="tx1"/>
            </w14:solidFill>
          </w14:textFill>
        </w:rPr>
        <w:t>因承包人项目经理不称职，发包人要求调换而未及时调换的，视为承包人违约，必须向发包人交纳处罚金</w:t>
      </w:r>
      <w:r>
        <w:rPr>
          <w:rFonts w:hint="eastAsia"/>
          <w:color w:val="000000" w:themeColor="text1"/>
          <w:szCs w:val="21"/>
          <w:highlight w:val="none"/>
          <w:u w:val="single"/>
          <w14:textFill>
            <w14:solidFill>
              <w14:schemeClr w14:val="tx1"/>
            </w14:solidFill>
          </w14:textFill>
        </w:rPr>
        <w:t>20000</w:t>
      </w:r>
      <w:r>
        <w:rPr>
          <w:rFonts w:hint="eastAsia" w:hAnsi="宋体" w:cs="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次</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70F02100">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27" w:name="_Toc389065275"/>
      <w:bookmarkStart w:id="228" w:name="_Toc407135211"/>
      <w:bookmarkStart w:id="229" w:name="_Toc373478356"/>
      <w:bookmarkStart w:id="230" w:name="_Toc373227709"/>
      <w:bookmarkStart w:id="231" w:name="_Toc114058848"/>
      <w:bookmarkStart w:id="232" w:name="_Toc78449797"/>
      <w:r>
        <w:rPr>
          <w:rFonts w:eastAsia="黑体"/>
          <w:b/>
          <w:bCs/>
          <w:color w:val="000000" w:themeColor="text1"/>
          <w:sz w:val="32"/>
          <w:szCs w:val="32"/>
          <w:highlight w:val="none"/>
          <w:lang w:val="zh-CN"/>
          <w14:textFill>
            <w14:solidFill>
              <w14:schemeClr w14:val="tx1"/>
            </w14:solidFill>
          </w14:textFill>
        </w:rPr>
        <w:t xml:space="preserve">3.3 </w:t>
      </w:r>
      <w:r>
        <w:rPr>
          <w:rFonts w:hint="eastAsia" w:hAnsi="宋体" w:eastAsia="黑体" w:cs="黑体"/>
          <w:b/>
          <w:bCs/>
          <w:color w:val="000000" w:themeColor="text1"/>
          <w:sz w:val="32"/>
          <w:szCs w:val="32"/>
          <w:highlight w:val="none"/>
          <w:lang w:val="zh-CN"/>
          <w14:textFill>
            <w14:solidFill>
              <w14:schemeClr w14:val="tx1"/>
            </w14:solidFill>
          </w14:textFill>
        </w:rPr>
        <w:t>承包人人员</w:t>
      </w:r>
      <w:bookmarkEnd w:id="227"/>
      <w:bookmarkEnd w:id="228"/>
      <w:bookmarkEnd w:id="229"/>
      <w:bookmarkEnd w:id="230"/>
      <w:bookmarkEnd w:id="231"/>
      <w:bookmarkEnd w:id="232"/>
    </w:p>
    <w:p w14:paraId="3607F327">
      <w:pPr>
        <w:spacing w:line="360" w:lineRule="auto"/>
        <w:ind w:firstLine="420" w:firstLineChars="20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3.3.1 </w:t>
      </w:r>
      <w:r>
        <w:rPr>
          <w:rFonts w:hint="eastAsia" w:hAnsi="宋体" w:cs="宋体"/>
          <w:color w:val="000000" w:themeColor="text1"/>
          <w:szCs w:val="21"/>
          <w:highlight w:val="none"/>
          <w14:textFill>
            <w14:solidFill>
              <w14:schemeClr w14:val="tx1"/>
            </w14:solidFill>
          </w14:textFill>
        </w:rPr>
        <w:t>承包人提交项目管理机构及施工现场管理人员安排报告（格式见合同附件</w:t>
      </w:r>
      <w:r>
        <w:rPr>
          <w:rFonts w:hint="eastAsia" w:hAnsi="宋体"/>
          <w:color w:val="000000" w:themeColor="text1"/>
          <w:szCs w:val="21"/>
          <w:highlight w:val="none"/>
          <w14:textFill>
            <w14:solidFill>
              <w14:schemeClr w14:val="tx1"/>
            </w14:solidFill>
          </w14:textFill>
        </w:rPr>
        <w:t>5</w:t>
      </w:r>
      <w:r>
        <w:rPr>
          <w:rFonts w:hint="eastAsia" w:hAnsi="宋体" w:cs="宋体"/>
          <w:color w:val="000000" w:themeColor="text1"/>
          <w:szCs w:val="21"/>
          <w:highlight w:val="none"/>
          <w14:textFill>
            <w14:solidFill>
              <w14:schemeClr w14:val="tx1"/>
            </w14:solidFill>
          </w14:textFill>
        </w:rPr>
        <w:t>）的期限：</w:t>
      </w:r>
    </w:p>
    <w:p w14:paraId="03776CDC">
      <w:pPr>
        <w:spacing w:line="360" w:lineRule="auto"/>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监理工程师下发开工令且工程开工前7天内</w:t>
      </w:r>
      <w:r>
        <w:rPr>
          <w:rFonts w:hint="eastAsia" w:hAnsi="宋体" w:cs="宋体"/>
          <w:color w:val="000000" w:themeColor="text1"/>
          <w:szCs w:val="21"/>
          <w:highlight w:val="none"/>
          <w14:textFill>
            <w14:solidFill>
              <w14:schemeClr w14:val="tx1"/>
            </w14:solidFill>
          </w14:textFill>
        </w:rPr>
        <w:t>。</w:t>
      </w:r>
    </w:p>
    <w:p w14:paraId="4D09981F">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3.3.3 </w:t>
      </w:r>
      <w:r>
        <w:rPr>
          <w:rFonts w:hint="eastAsia" w:hAnsi="宋体" w:cs="宋体"/>
          <w:color w:val="000000" w:themeColor="text1"/>
          <w:szCs w:val="21"/>
          <w:highlight w:val="none"/>
          <w14:textFill>
            <w14:solidFill>
              <w14:schemeClr w14:val="tx1"/>
            </w14:solidFill>
          </w14:textFill>
        </w:rPr>
        <w:t>承包人无正当理由拒绝撤换主要施工管理人员的违约责任：</w:t>
      </w:r>
      <w:r>
        <w:rPr>
          <w:rFonts w:hAnsi="宋体"/>
          <w:color w:val="000000" w:themeColor="text1"/>
          <w:szCs w:val="21"/>
          <w:highlight w:val="none"/>
          <w:u w:val="single"/>
          <w14:textFill>
            <w14:solidFill>
              <w14:schemeClr w14:val="tx1"/>
            </w14:solidFill>
          </w14:textFill>
        </w:rPr>
        <w:t>因承包人主要施工管理人员不称职，发包人要求调换而无正当理由拒绝撤换或未及时调换的，视为承包人违约，必须向发包人交纳处罚金，处罚标准：技术负责人</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；专业工程师</w:t>
      </w:r>
      <w:r>
        <w:rPr>
          <w:rFonts w:hint="eastAsia" w:hAnsi="宋体"/>
          <w:color w:val="000000" w:themeColor="text1"/>
          <w:szCs w:val="21"/>
          <w:highlight w:val="none"/>
          <w:u w:val="single"/>
          <w14:textFill>
            <w14:solidFill>
              <w14:schemeClr w14:val="tx1"/>
            </w14:solidFill>
          </w14:textFill>
        </w:rPr>
        <w:t>3</w:t>
      </w:r>
      <w:r>
        <w:rPr>
          <w:rFonts w:hint="eastAsia"/>
          <w:color w:val="000000" w:themeColor="text1"/>
          <w:szCs w:val="21"/>
          <w:highlight w:val="none"/>
          <w:u w:val="single"/>
          <w14:textFill>
            <w14:solidFill>
              <w14:schemeClr w14:val="tx1"/>
            </w14:solidFill>
          </w14:textFill>
        </w:rPr>
        <w:t>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46C9859F">
      <w:pPr>
        <w:spacing w:line="360" w:lineRule="auto"/>
        <w:ind w:firstLine="420" w:firstLineChars="200"/>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 xml:space="preserve">3.3.4 </w:t>
      </w:r>
      <w:r>
        <w:rPr>
          <w:rFonts w:hint="eastAsia" w:hAnsi="宋体" w:cs="宋体"/>
          <w:color w:val="000000" w:themeColor="text1"/>
          <w:szCs w:val="21"/>
          <w:highlight w:val="none"/>
          <w14:textFill>
            <w14:solidFill>
              <w14:schemeClr w14:val="tx1"/>
            </w14:solidFill>
          </w14:textFill>
        </w:rPr>
        <w:t>承包人主要施工管理人员离开施工现场的批准要求：</w:t>
      </w:r>
      <w:r>
        <w:rPr>
          <w:rFonts w:hint="eastAsia" w:ascii="宋体" w:hAnsi="宋体"/>
          <w:color w:val="000000" w:themeColor="text1"/>
          <w:szCs w:val="21"/>
          <w:highlight w:val="none"/>
          <w:u w:val="single"/>
          <w14:textFill>
            <w14:solidFill>
              <w14:schemeClr w14:val="tx1"/>
            </w14:solidFill>
          </w14:textFill>
        </w:rPr>
        <w:t>向发包人提出申请，并提供相关证明材料，</w:t>
      </w:r>
      <w:r>
        <w:rPr>
          <w:rFonts w:hint="eastAsia" w:hAnsi="宋体"/>
          <w:color w:val="000000" w:themeColor="text1"/>
          <w:szCs w:val="21"/>
          <w:highlight w:val="none"/>
          <w:u w:val="single"/>
          <w14:textFill>
            <w14:solidFill>
              <w14:schemeClr w14:val="tx1"/>
            </w14:solidFill>
          </w14:textFill>
        </w:rPr>
        <w:t>须经监理单位和现场发包负责人同意后离开</w:t>
      </w:r>
      <w:r>
        <w:rPr>
          <w:rFonts w:hint="eastAsia" w:hAnsi="宋体" w:cs="宋体"/>
          <w:color w:val="000000" w:themeColor="text1"/>
          <w:szCs w:val="21"/>
          <w:highlight w:val="none"/>
          <w14:textFill>
            <w14:solidFill>
              <w14:schemeClr w14:val="tx1"/>
            </w14:solidFill>
          </w14:textFill>
        </w:rPr>
        <w:t>。</w:t>
      </w:r>
    </w:p>
    <w:p w14:paraId="540FB1E0">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3.3.5 </w:t>
      </w:r>
      <w:r>
        <w:rPr>
          <w:rFonts w:hint="eastAsia" w:hAnsi="宋体" w:cs="宋体"/>
          <w:color w:val="000000" w:themeColor="text1"/>
          <w:szCs w:val="21"/>
          <w:highlight w:val="none"/>
          <w14:textFill>
            <w14:solidFill>
              <w14:schemeClr w14:val="tx1"/>
            </w14:solidFill>
          </w14:textFill>
        </w:rPr>
        <w:t>承包人擅自更换主要施工管理人员的违约责任：</w:t>
      </w:r>
      <w:r>
        <w:rPr>
          <w:rFonts w:hint="eastAsia" w:hAnsi="宋体" w:cs="宋体"/>
          <w:color w:val="000000" w:themeColor="text1"/>
          <w:szCs w:val="21"/>
          <w:highlight w:val="none"/>
          <w:u w:val="single"/>
          <w14:textFill>
            <w14:solidFill>
              <w14:schemeClr w14:val="tx1"/>
            </w14:solidFill>
          </w14:textFill>
        </w:rPr>
        <w:t>项</w:t>
      </w:r>
      <w:r>
        <w:rPr>
          <w:rFonts w:hint="eastAsia" w:hAnsi="宋体"/>
          <w:color w:val="000000" w:themeColor="text1"/>
          <w:szCs w:val="21"/>
          <w:highlight w:val="none"/>
          <w:u w:val="single"/>
          <w14:textFill>
            <w14:solidFill>
              <w14:schemeClr w14:val="tx1"/>
            </w14:solidFill>
          </w14:textFill>
        </w:rPr>
        <w:t>目</w:t>
      </w:r>
      <w:r>
        <w:rPr>
          <w:rFonts w:hAnsi="宋体"/>
          <w:color w:val="000000" w:themeColor="text1"/>
          <w:szCs w:val="21"/>
          <w:highlight w:val="none"/>
          <w:u w:val="single"/>
          <w14:textFill>
            <w14:solidFill>
              <w14:schemeClr w14:val="tx1"/>
            </w14:solidFill>
          </w14:textFill>
        </w:rPr>
        <w:t>技术负责人、</w:t>
      </w:r>
      <w:r>
        <w:rPr>
          <w:rFonts w:hint="eastAsia" w:hAnsi="宋体"/>
          <w:color w:val="000000" w:themeColor="text1"/>
          <w:szCs w:val="21"/>
          <w:highlight w:val="none"/>
          <w:u w:val="single"/>
          <w14:textFill>
            <w14:solidFill>
              <w14:schemeClr w14:val="tx1"/>
            </w14:solidFill>
          </w14:textFill>
        </w:rPr>
        <w:t>专职安全员及其承诺的其它在场管理人员</w:t>
      </w:r>
      <w:r>
        <w:rPr>
          <w:rFonts w:hAnsi="宋体"/>
          <w:color w:val="000000" w:themeColor="text1"/>
          <w:szCs w:val="21"/>
          <w:highlight w:val="none"/>
          <w:u w:val="single"/>
          <w14:textFill>
            <w14:solidFill>
              <w14:schemeClr w14:val="tx1"/>
            </w14:solidFill>
          </w14:textFill>
        </w:rPr>
        <w:t>未经发包人书面同意不准擅自更换，擅自更换</w:t>
      </w:r>
      <w:r>
        <w:rPr>
          <w:rFonts w:hint="eastAsia" w:hAnsi="宋体"/>
          <w:color w:val="000000" w:themeColor="text1"/>
          <w:szCs w:val="21"/>
          <w:highlight w:val="none"/>
          <w:u w:val="single"/>
          <w14:textFill>
            <w14:solidFill>
              <w14:schemeClr w14:val="tx1"/>
            </w14:solidFill>
          </w14:textFill>
        </w:rPr>
        <w:t>项目</w:t>
      </w:r>
      <w:r>
        <w:rPr>
          <w:rFonts w:hAnsi="宋体"/>
          <w:color w:val="000000" w:themeColor="text1"/>
          <w:szCs w:val="21"/>
          <w:highlight w:val="none"/>
          <w:u w:val="single"/>
          <w14:textFill>
            <w14:solidFill>
              <w14:schemeClr w14:val="tx1"/>
            </w14:solidFill>
          </w14:textFill>
        </w:rPr>
        <w:t>技术负责人处</w:t>
      </w:r>
      <w:r>
        <w:rPr>
          <w:rFonts w:hint="eastAsia"/>
          <w:color w:val="000000" w:themeColor="text1"/>
          <w:szCs w:val="21"/>
          <w:highlight w:val="none"/>
          <w:u w:val="single"/>
          <w14:textFill>
            <w14:solidFill>
              <w14:schemeClr w14:val="tx1"/>
            </w14:solidFill>
          </w14:textFill>
        </w:rPr>
        <w:t>50000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违约金；擅自更换</w:t>
      </w:r>
      <w:r>
        <w:rPr>
          <w:rFonts w:hint="eastAsia" w:hAnsi="宋体"/>
          <w:color w:val="000000" w:themeColor="text1"/>
          <w:szCs w:val="21"/>
          <w:highlight w:val="none"/>
          <w:u w:val="single"/>
          <w14:textFill>
            <w14:solidFill>
              <w14:schemeClr w14:val="tx1"/>
            </w14:solidFill>
          </w14:textFill>
        </w:rPr>
        <w:t>专职安全员</w:t>
      </w:r>
      <w:r>
        <w:rPr>
          <w:rFonts w:hAnsi="宋体"/>
          <w:color w:val="000000" w:themeColor="text1"/>
          <w:szCs w:val="21"/>
          <w:highlight w:val="none"/>
          <w:u w:val="single"/>
          <w14:textFill>
            <w14:solidFill>
              <w14:schemeClr w14:val="tx1"/>
            </w14:solidFill>
          </w14:textFill>
        </w:rPr>
        <w:t>处</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违约金</w:t>
      </w:r>
      <w:r>
        <w:rPr>
          <w:rFonts w:hint="eastAsia" w:hAnsi="宋体"/>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擅自更换</w:t>
      </w:r>
      <w:r>
        <w:rPr>
          <w:rFonts w:hint="eastAsia" w:hAnsi="宋体"/>
          <w:color w:val="000000" w:themeColor="text1"/>
          <w:szCs w:val="21"/>
          <w:highlight w:val="none"/>
          <w:u w:val="single"/>
          <w14:textFill>
            <w14:solidFill>
              <w14:schemeClr w14:val="tx1"/>
            </w14:solidFill>
          </w14:textFill>
        </w:rPr>
        <w:t>其它在场管理人员</w:t>
      </w:r>
      <w:r>
        <w:rPr>
          <w:rFonts w:hAnsi="宋体"/>
          <w:color w:val="000000" w:themeColor="text1"/>
          <w:szCs w:val="21"/>
          <w:highlight w:val="none"/>
          <w:u w:val="single"/>
          <w14:textFill>
            <w14:solidFill>
              <w14:schemeClr w14:val="tx1"/>
            </w14:solidFill>
          </w14:textFill>
        </w:rPr>
        <w:t>处</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违约金</w:t>
      </w:r>
      <w:r>
        <w:rPr>
          <w:rFonts w:hint="eastAsia" w:hAnsi="宋体" w:cs="宋体"/>
          <w:color w:val="000000" w:themeColor="text1"/>
          <w:szCs w:val="21"/>
          <w:highlight w:val="none"/>
          <w14:textFill>
            <w14:solidFill>
              <w14:schemeClr w14:val="tx1"/>
            </w14:solidFill>
          </w14:textFill>
        </w:rPr>
        <w:t>。</w:t>
      </w:r>
    </w:p>
    <w:p w14:paraId="15B19579">
      <w:pPr>
        <w:spacing w:line="360" w:lineRule="auto"/>
        <w:ind w:firstLine="420" w:firstLineChars="200"/>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承包人主要施工管理人员擅自离开施工现场的违约责任：</w:t>
      </w:r>
      <w:r>
        <w:rPr>
          <w:rFonts w:hAnsi="宋体"/>
          <w:color w:val="000000" w:themeColor="text1"/>
          <w:szCs w:val="21"/>
          <w:highlight w:val="none"/>
          <w:u w:val="single"/>
          <w14:textFill>
            <w14:solidFill>
              <w14:schemeClr w14:val="tx1"/>
            </w14:solidFill>
          </w14:textFill>
        </w:rPr>
        <w:t>未经发包人同意，</w:t>
      </w:r>
      <w:r>
        <w:rPr>
          <w:rFonts w:hint="eastAsia" w:hAnsi="宋体"/>
          <w:color w:val="000000" w:themeColor="text1"/>
          <w:szCs w:val="21"/>
          <w:highlight w:val="none"/>
          <w:u w:val="single"/>
          <w14:textFill>
            <w14:solidFill>
              <w14:schemeClr w14:val="tx1"/>
            </w14:solidFill>
          </w14:textFill>
        </w:rPr>
        <w:t>项目</w:t>
      </w:r>
      <w:r>
        <w:rPr>
          <w:rFonts w:hAnsi="宋体"/>
          <w:color w:val="000000" w:themeColor="text1"/>
          <w:szCs w:val="21"/>
          <w:highlight w:val="none"/>
          <w:u w:val="single"/>
          <w14:textFill>
            <w14:solidFill>
              <w14:schemeClr w14:val="tx1"/>
            </w14:solidFill>
          </w14:textFill>
        </w:rPr>
        <w:t>技术负责人擅自离岗</w:t>
      </w:r>
      <w:r>
        <w:rPr>
          <w:rFonts w:hint="eastAsia" w:ascii="宋体" w:hAnsi="宋体"/>
          <w:b/>
          <w:bCs/>
          <w:color w:val="000000" w:themeColor="text1"/>
          <w:szCs w:val="21"/>
          <w:highlight w:val="none"/>
          <w:u w:val="single"/>
          <w14:textFill>
            <w14:solidFill>
              <w14:schemeClr w14:val="tx1"/>
            </w14:solidFill>
          </w14:textFill>
        </w:rPr>
        <w:t>（每个月连续缺勤7天，累计15天视为擅自离岗）</w:t>
      </w:r>
      <w:r>
        <w:rPr>
          <w:rFonts w:hAnsi="宋体"/>
          <w:color w:val="000000" w:themeColor="text1"/>
          <w:szCs w:val="21"/>
          <w:highlight w:val="none"/>
          <w:u w:val="single"/>
          <w14:textFill>
            <w14:solidFill>
              <w14:schemeClr w14:val="tx1"/>
            </w14:solidFill>
          </w14:textFill>
        </w:rPr>
        <w:t>的，视为承包人违约，发包人有权处违约金</w:t>
      </w:r>
      <w:r>
        <w:rPr>
          <w:rFonts w:hint="eastAsia"/>
          <w:color w:val="000000" w:themeColor="text1"/>
          <w:szCs w:val="21"/>
          <w:highlight w:val="none"/>
          <w:u w:val="single"/>
          <w14:textFill>
            <w14:solidFill>
              <w14:schemeClr w14:val="tx1"/>
            </w14:solidFill>
          </w14:textFill>
        </w:rPr>
        <w:t>5000</w:t>
      </w:r>
      <w:r>
        <w:rPr>
          <w:rFonts w:hAnsi="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次</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人民币</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u w:val="single"/>
          <w14:textFill>
            <w14:solidFill>
              <w14:schemeClr w14:val="tx1"/>
            </w14:solidFill>
          </w14:textFill>
        </w:rPr>
        <w:t>；未经发包人同意，</w:t>
      </w:r>
      <w:r>
        <w:rPr>
          <w:rFonts w:hint="eastAsia" w:hAnsi="宋体"/>
          <w:color w:val="000000" w:themeColor="text1"/>
          <w:szCs w:val="21"/>
          <w:highlight w:val="none"/>
          <w:u w:val="single"/>
          <w14:textFill>
            <w14:solidFill>
              <w14:schemeClr w14:val="tx1"/>
            </w14:solidFill>
          </w14:textFill>
        </w:rPr>
        <w:t>专职安全员</w:t>
      </w:r>
      <w:r>
        <w:rPr>
          <w:rFonts w:hAnsi="宋体"/>
          <w:color w:val="000000" w:themeColor="text1"/>
          <w:szCs w:val="21"/>
          <w:highlight w:val="none"/>
          <w:u w:val="single"/>
          <w14:textFill>
            <w14:solidFill>
              <w14:schemeClr w14:val="tx1"/>
            </w14:solidFill>
          </w14:textFill>
        </w:rPr>
        <w:t>擅自离岗</w:t>
      </w:r>
      <w:r>
        <w:rPr>
          <w:rFonts w:hint="eastAsia" w:ascii="宋体" w:hAnsi="宋体"/>
          <w:b/>
          <w:bCs/>
          <w:color w:val="000000" w:themeColor="text1"/>
          <w:szCs w:val="21"/>
          <w:highlight w:val="none"/>
          <w:u w:val="single"/>
          <w14:textFill>
            <w14:solidFill>
              <w14:schemeClr w14:val="tx1"/>
            </w14:solidFill>
          </w14:textFill>
        </w:rPr>
        <w:t>（每个月连续缺勤7天，累计15天视为擅自离岗）</w:t>
      </w:r>
      <w:r>
        <w:rPr>
          <w:rFonts w:hint="eastAsia" w:hAnsi="宋体" w:cs="宋体"/>
          <w:color w:val="000000" w:themeColor="text1"/>
          <w:szCs w:val="21"/>
          <w:highlight w:val="none"/>
          <w:u w:val="single"/>
          <w14:textFill>
            <w14:solidFill>
              <w14:schemeClr w14:val="tx1"/>
            </w14:solidFill>
          </w14:textFill>
        </w:rPr>
        <w:t>的，视为承包人违约，发包人有权处违约金</w:t>
      </w:r>
      <w:r>
        <w:rPr>
          <w:rFonts w:hint="eastAsia"/>
          <w:color w:val="000000" w:themeColor="text1"/>
          <w:szCs w:val="21"/>
          <w:highlight w:val="none"/>
          <w:u w:val="single"/>
          <w14:textFill>
            <w14:solidFill>
              <w14:schemeClr w14:val="tx1"/>
            </w14:solidFill>
          </w14:textFill>
        </w:rPr>
        <w:t>5000</w:t>
      </w:r>
      <w:r>
        <w:rPr>
          <w:rFonts w:hint="eastAsia" w:hAnsi="宋体" w:cs="宋体"/>
          <w:color w:val="000000" w:themeColor="text1"/>
          <w:szCs w:val="21"/>
          <w:highlight w:val="none"/>
          <w:u w:val="single"/>
          <w14:textFill>
            <w14:solidFill>
              <w14:schemeClr w14:val="tx1"/>
            </w14:solidFill>
          </w14:textFill>
        </w:rPr>
        <w:t>元</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次</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；其它在场管理人员擅自离岗</w:t>
      </w:r>
      <w:r>
        <w:rPr>
          <w:rFonts w:hint="eastAsia" w:ascii="宋体" w:hAnsi="宋体"/>
          <w:b/>
          <w:bCs/>
          <w:color w:val="000000" w:themeColor="text1"/>
          <w:szCs w:val="21"/>
          <w:highlight w:val="none"/>
          <w:u w:val="single"/>
          <w14:textFill>
            <w14:solidFill>
              <w14:schemeClr w14:val="tx1"/>
            </w14:solidFill>
          </w14:textFill>
        </w:rPr>
        <w:t>（每个月连续缺勤7天，累计15天视为擅自离岗）</w:t>
      </w:r>
      <w:r>
        <w:rPr>
          <w:rFonts w:hint="eastAsia" w:hAnsi="宋体" w:cs="宋体"/>
          <w:color w:val="000000" w:themeColor="text1"/>
          <w:szCs w:val="21"/>
          <w:highlight w:val="none"/>
          <w:u w:val="single"/>
          <w14:textFill>
            <w14:solidFill>
              <w14:schemeClr w14:val="tx1"/>
            </w14:solidFill>
          </w14:textFill>
        </w:rPr>
        <w:t>的，视为承包人违约，发包人有权处违约金5000元</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w:t>
      </w:r>
      <w:r>
        <w:rPr>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次</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人民币</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06A57119">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3.3.6工程例会要求：承包人项目经理、项目技术负责人、水电负责人、质量员、安全员必须参加由监理人主持的每周工程例会，因故不能参加的应提前4小时向监理或项目总监提出书面申请并在获得总监批准后方可缺席（最多只能1人缺席），否则承包人须向发包人支付违约金 500元/人•次,迟到的承包人须向发包人支付违约金 200元/人•次。</w:t>
      </w:r>
    </w:p>
    <w:p w14:paraId="3AA49660">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3.3.7对承包人工作人员的要求：对于下列承包人工作人员，发包人有权要求及时更换，承包人在收到书面通知后必须在24小时内将其调离本工程范围，否则承包人支付违约金 1000元/人•次；同时，承包人应在48 小时内用发包人批准的合格的人员代替上述调离的人员。</w:t>
      </w:r>
    </w:p>
    <w:p w14:paraId="041ADFC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（1）分部分项工程经两次验收仍不能满足要求的主要责任者（指施工员、班组长、质量员、工长）；</w:t>
      </w:r>
    </w:p>
    <w:p w14:paraId="05ECC23D">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（2）专业水平达不到岗位要求、工作责任心不强的施工人员；</w:t>
      </w:r>
    </w:p>
    <w:p w14:paraId="4975223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（3）不能积极配合监理和发包人管理的工作人员；</w:t>
      </w:r>
    </w:p>
    <w:p w14:paraId="6AFD12DF">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（4）违反发包人或承包人工地现场管理规定者；</w:t>
      </w:r>
    </w:p>
    <w:p w14:paraId="29C81B6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（5）高空抛弃建筑垃圾者及随地大小便者；</w:t>
      </w:r>
    </w:p>
    <w:p w14:paraId="26AABEA4">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（6）无证上岗者；</w:t>
      </w:r>
    </w:p>
    <w:p w14:paraId="00C4E7E3">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（7）与响应文件及本合同规定名册不符者；</w:t>
      </w:r>
    </w:p>
    <w:p w14:paraId="0D906FC2">
      <w:pPr>
        <w:spacing w:line="360" w:lineRule="auto"/>
        <w:ind w:firstLine="422" w:firstLineChars="200"/>
        <w:rPr>
          <w:rFonts w:hAnsi="宋体" w:cs="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（8）与本工程施工无关及对本工程产生不良影响的其他人员。</w:t>
      </w:r>
    </w:p>
    <w:p w14:paraId="2C3688E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33" w:name="_Toc114058849"/>
      <w:bookmarkStart w:id="234" w:name="_Toc373478357"/>
      <w:bookmarkStart w:id="235" w:name="_Toc389065276"/>
      <w:bookmarkStart w:id="236" w:name="_Toc407135212"/>
      <w:bookmarkStart w:id="237" w:name="_Toc373227710"/>
      <w:bookmarkStart w:id="238" w:name="_Toc78449798"/>
      <w:r>
        <w:rPr>
          <w:rFonts w:eastAsia="黑体"/>
          <w:b/>
          <w:bCs/>
          <w:color w:val="000000" w:themeColor="text1"/>
          <w:sz w:val="32"/>
          <w:szCs w:val="32"/>
          <w:highlight w:val="none"/>
          <w:lang w:val="zh-CN"/>
          <w14:textFill>
            <w14:solidFill>
              <w14:schemeClr w14:val="tx1"/>
            </w14:solidFill>
          </w14:textFill>
        </w:rPr>
        <w:t>3</w:t>
      </w:r>
      <w:bookmarkStart w:id="239" w:name="_Toc296347158"/>
      <w:bookmarkStart w:id="240" w:name="_Toc297120459"/>
      <w:bookmarkStart w:id="241" w:name="_Toc296890987"/>
      <w:bookmarkStart w:id="242" w:name="_Toc297216151"/>
      <w:bookmarkStart w:id="243" w:name="_Toc297048345"/>
      <w:bookmarkStart w:id="244" w:name="_Toc312677988"/>
      <w:bookmarkStart w:id="245" w:name="_Toc292559364"/>
      <w:bookmarkStart w:id="246" w:name="_Toc304295523"/>
      <w:bookmarkStart w:id="247" w:name="_Toc292559869"/>
      <w:bookmarkStart w:id="248" w:name="_Toc296346660"/>
      <w:bookmarkStart w:id="249" w:name="_Toc296503159"/>
      <w:bookmarkStart w:id="250" w:name="_Toc300934945"/>
      <w:bookmarkStart w:id="251" w:name="_Toc296891199"/>
      <w:bookmarkStart w:id="252" w:name="_Toc296944498"/>
      <w:bookmarkStart w:id="253" w:name="_Toc303539102"/>
      <w:bookmarkStart w:id="254" w:name="_Toc297123492"/>
      <w:r>
        <w:rPr>
          <w:rFonts w:eastAsia="黑体"/>
          <w:b/>
          <w:bCs/>
          <w:color w:val="000000" w:themeColor="text1"/>
          <w:sz w:val="32"/>
          <w:szCs w:val="32"/>
          <w:highlight w:val="none"/>
          <w:lang w:val="zh-CN"/>
          <w14:textFill>
            <w14:solidFill>
              <w14:schemeClr w14:val="tx1"/>
            </w14:solidFill>
          </w14:textFill>
        </w:rPr>
        <w:t xml:space="preserve">.5 </w:t>
      </w:r>
      <w:r>
        <w:rPr>
          <w:rFonts w:hint="eastAsia" w:hAnsi="宋体" w:eastAsia="黑体" w:cs="黑体"/>
          <w:b/>
          <w:bCs/>
          <w:color w:val="000000" w:themeColor="text1"/>
          <w:sz w:val="32"/>
          <w:szCs w:val="32"/>
          <w:highlight w:val="none"/>
          <w:lang w:val="zh-CN"/>
          <w14:textFill>
            <w14:solidFill>
              <w14:schemeClr w14:val="tx1"/>
            </w14:solidFill>
          </w14:textFill>
        </w:rPr>
        <w:t>分包</w:t>
      </w:r>
      <w:bookmarkEnd w:id="233"/>
      <w:bookmarkEnd w:id="234"/>
      <w:bookmarkEnd w:id="235"/>
      <w:bookmarkEnd w:id="236"/>
      <w:bookmarkEnd w:id="237"/>
      <w:bookmarkEnd w:id="238"/>
    </w:p>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14:paraId="49244A94">
      <w:pPr>
        <w:spacing w:line="360" w:lineRule="auto"/>
        <w:ind w:firstLine="420" w:firstLineChars="200"/>
        <w:rPr>
          <w:color w:val="000000" w:themeColor="text1"/>
          <w:szCs w:val="21"/>
          <w:highlight w:val="none"/>
          <w14:textFill>
            <w14:solidFill>
              <w14:schemeClr w14:val="tx1"/>
            </w14:solidFill>
          </w14:textFill>
        </w:rPr>
      </w:pPr>
      <w:bookmarkStart w:id="255" w:name="_Toc312677990"/>
      <w:bookmarkStart w:id="256" w:name="_Toc318581159"/>
      <w:r>
        <w:rPr>
          <w:color w:val="000000" w:themeColor="text1"/>
          <w:szCs w:val="21"/>
          <w:highlight w:val="none"/>
          <w14:textFill>
            <w14:solidFill>
              <w14:schemeClr w14:val="tx1"/>
            </w14:solidFill>
          </w14:textFill>
        </w:rPr>
        <w:t>3</w:t>
      </w:r>
      <w:bookmarkStart w:id="257" w:name="_Toc300934946"/>
      <w:bookmarkStart w:id="258" w:name="_Toc297123493"/>
      <w:bookmarkStart w:id="259" w:name="_Toc292559365"/>
      <w:bookmarkStart w:id="260" w:name="_Toc297216152"/>
      <w:bookmarkStart w:id="261" w:name="_Toc296346661"/>
      <w:bookmarkStart w:id="262" w:name="_Toc296944499"/>
      <w:bookmarkStart w:id="263" w:name="_Toc318581158"/>
      <w:bookmarkStart w:id="264" w:name="_Toc304295524"/>
      <w:bookmarkStart w:id="265" w:name="_Toc296890988"/>
      <w:bookmarkStart w:id="266" w:name="_Toc296503160"/>
      <w:bookmarkStart w:id="267" w:name="_Toc297120460"/>
      <w:bookmarkStart w:id="268" w:name="_Toc303539103"/>
      <w:bookmarkStart w:id="269" w:name="_Toc296891200"/>
      <w:bookmarkStart w:id="270" w:name="_Toc292559870"/>
      <w:bookmarkStart w:id="271" w:name="_Toc297048346"/>
      <w:bookmarkStart w:id="272" w:name="_Toc296347159"/>
      <w:bookmarkStart w:id="273" w:name="_Toc312677989"/>
      <w:r>
        <w:rPr>
          <w:color w:val="000000" w:themeColor="text1"/>
          <w:szCs w:val="21"/>
          <w:highlight w:val="none"/>
          <w14:textFill>
            <w14:solidFill>
              <w14:schemeClr w14:val="tx1"/>
            </w14:solidFill>
          </w14:textFill>
        </w:rPr>
        <w:t xml:space="preserve">.5.1 </w:t>
      </w:r>
      <w:r>
        <w:rPr>
          <w:rFonts w:hAnsi="宋体"/>
          <w:color w:val="000000" w:themeColor="text1"/>
          <w:szCs w:val="21"/>
          <w:highlight w:val="none"/>
          <w14:textFill>
            <w14:solidFill>
              <w14:schemeClr w14:val="tx1"/>
            </w14:solidFill>
          </w14:textFill>
        </w:rPr>
        <w:t>分包的一般约定</w:t>
      </w:r>
    </w:p>
    <w:p w14:paraId="218E31BB">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禁止分包的工程包括：</w:t>
      </w:r>
      <w:r>
        <w:rPr>
          <w:rFonts w:hint="eastAsia" w:hAnsi="宋体"/>
          <w:color w:val="000000" w:themeColor="text1"/>
          <w:szCs w:val="21"/>
          <w:highlight w:val="none"/>
          <w:u w:val="single"/>
          <w14:textFill>
            <w14:solidFill>
              <w14:schemeClr w14:val="tx1"/>
            </w14:solidFill>
          </w14:textFill>
        </w:rPr>
        <w:t>按通用条款</w:t>
      </w:r>
      <w:r>
        <w:rPr>
          <w:rFonts w:hAnsi="宋体"/>
          <w:color w:val="000000" w:themeColor="text1"/>
          <w:szCs w:val="21"/>
          <w:highlight w:val="none"/>
          <w14:textFill>
            <w14:solidFill>
              <w14:schemeClr w14:val="tx1"/>
            </w14:solidFill>
          </w14:textFill>
        </w:rPr>
        <w:t>。</w:t>
      </w:r>
    </w:p>
    <w:p w14:paraId="2C442F40">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主体结构、关键性工作的范围：</w:t>
      </w:r>
      <w:r>
        <w:rPr>
          <w:rFonts w:hint="eastAsia" w:hAnsi="宋体"/>
          <w:color w:val="000000" w:themeColor="text1"/>
          <w:szCs w:val="21"/>
          <w:highlight w:val="none"/>
          <w:u w:val="single"/>
          <w14:textFill>
            <w14:solidFill>
              <w14:schemeClr w14:val="tx1"/>
            </w14:solidFill>
          </w14:textFill>
        </w:rPr>
        <w:t>项目招标清单所列范围</w:t>
      </w:r>
      <w:r>
        <w:rPr>
          <w:rFonts w:hAnsi="宋体"/>
          <w:color w:val="000000" w:themeColor="text1"/>
          <w:szCs w:val="21"/>
          <w:highlight w:val="none"/>
          <w14:textFill>
            <w14:solidFill>
              <w14:schemeClr w14:val="tx1"/>
            </w14:solidFill>
          </w14:textFill>
        </w:rPr>
        <w:t>。</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20D8F8F">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3.5.2</w:t>
      </w:r>
      <w:r>
        <w:rPr>
          <w:rFonts w:hAnsi="宋体"/>
          <w:color w:val="000000" w:themeColor="text1"/>
          <w:szCs w:val="21"/>
          <w:highlight w:val="none"/>
          <w14:textFill>
            <w14:solidFill>
              <w14:schemeClr w14:val="tx1"/>
            </w14:solidFill>
          </w14:textFill>
        </w:rPr>
        <w:t>分包的确定</w:t>
      </w:r>
    </w:p>
    <w:p w14:paraId="21DA5FF3">
      <w:pPr>
        <w:spacing w:line="360" w:lineRule="auto"/>
        <w:ind w:firstLine="420" w:firstLineChars="200"/>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允许分包的专业工程包括：</w:t>
      </w:r>
      <w:r>
        <w:rPr>
          <w:rFonts w:hint="eastAsia" w:hAnsi="宋体"/>
          <w:color w:val="000000" w:themeColor="text1"/>
          <w:szCs w:val="21"/>
          <w:highlight w:val="none"/>
          <w:u w:val="single"/>
          <w14:textFill>
            <w14:solidFill>
              <w14:schemeClr w14:val="tx1"/>
            </w14:solidFill>
          </w14:textFill>
        </w:rPr>
        <w:t>无</w:t>
      </w:r>
      <w:r>
        <w:rPr>
          <w:rFonts w:hAnsi="宋体"/>
          <w:color w:val="000000" w:themeColor="text1"/>
          <w:szCs w:val="21"/>
          <w:highlight w:val="none"/>
          <w14:textFill>
            <w14:solidFill>
              <w14:schemeClr w14:val="tx1"/>
            </w14:solidFill>
          </w14:textFill>
        </w:rPr>
        <w:t>。</w:t>
      </w:r>
    </w:p>
    <w:p w14:paraId="5B0CC64B">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其他关于分包的约定：</w:t>
      </w:r>
    </w:p>
    <w:p w14:paraId="0DFBAAAE">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除前款约定的分包内容外，经过发包人和监理人同意，承包人可以将其他非主体、非关键性工作分包给第三人，但分包人应当经过发包人和监理人审批。发包人和监理人有权拒绝承包人的分包请求和承包人选择的分包人。本项目分包人主要施工管理人员名单详见合同附件</w:t>
      </w:r>
      <w:r>
        <w:rPr>
          <w:rFonts w:hint="eastAsia" w:hAnsi="宋体"/>
          <w:color w:val="000000" w:themeColor="text1"/>
          <w:szCs w:val="21"/>
          <w:highlight w:val="none"/>
          <w14:textFill>
            <w14:solidFill>
              <w14:schemeClr w14:val="tx1"/>
            </w14:solidFill>
          </w14:textFill>
        </w:rPr>
        <w:t>6</w:t>
      </w:r>
      <w:r>
        <w:rPr>
          <w:rFonts w:hint="eastAsia" w:hAnsi="宋体" w:cs="宋体"/>
          <w:color w:val="000000" w:themeColor="text1"/>
          <w:szCs w:val="21"/>
          <w:highlight w:val="none"/>
          <w14:textFill>
            <w14:solidFill>
              <w14:schemeClr w14:val="tx1"/>
            </w14:solidFill>
          </w14:textFill>
        </w:rPr>
        <w:t>。</w:t>
      </w:r>
    </w:p>
    <w:p w14:paraId="3CF823D7">
      <w:pPr>
        <w:spacing w:line="360" w:lineRule="auto"/>
        <w:ind w:firstLine="420" w:firstLineChars="200"/>
        <w:rPr>
          <w:color w:val="000000" w:themeColor="text1"/>
          <w:szCs w:val="21"/>
          <w:highlight w:val="none"/>
          <w:u w:val="singl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在相关分包合同签订并报送有关建设行政主管部门备案后</w:t>
      </w:r>
      <w:r>
        <w:rPr>
          <w:color w:val="000000" w:themeColor="text1"/>
          <w:szCs w:val="21"/>
          <w:highlight w:val="none"/>
          <w14:textFill>
            <w14:solidFill>
              <w14:schemeClr w14:val="tx1"/>
            </w14:solidFill>
          </w14:textFill>
        </w:rPr>
        <w:t>7</w:t>
      </w:r>
      <w:r>
        <w:rPr>
          <w:rFonts w:hint="eastAsia" w:hAnsi="宋体" w:cs="宋体"/>
          <w:color w:val="000000" w:themeColor="text1"/>
          <w:szCs w:val="21"/>
          <w:highlight w:val="none"/>
          <w14:textFill>
            <w14:solidFill>
              <w14:schemeClr w14:val="tx1"/>
            </w14:solidFill>
          </w14:textFill>
        </w:rPr>
        <w:t>天内，承包人应当将一份副本提交给监理人，承包人应保障分包工作不得再次分包。</w:t>
      </w:r>
    </w:p>
    <w:p w14:paraId="4D23B1C1">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未经承包人和监理人审批同意的分包工程和分包人，承包人有权拒绝验收分包工程和支付相应款项，由此引起的发包人费用增加和</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或</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延误的工期由发包人承担。</w:t>
      </w:r>
    </w:p>
    <w:p w14:paraId="7805435A">
      <w:pPr>
        <w:spacing w:line="360" w:lineRule="auto"/>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承包人有以下情况之一者，发包人有权解除合同，并视情况</w:t>
      </w:r>
      <w:r>
        <w:rPr>
          <w:rFonts w:hint="eastAsia" w:hAnsi="宋体"/>
          <w:color w:val="000000" w:themeColor="text1"/>
          <w:szCs w:val="21"/>
          <w:highlight w:val="none"/>
          <w:lang w:val="en-US" w:eastAsia="zh-CN"/>
          <w14:textFill>
            <w14:solidFill>
              <w14:schemeClr w14:val="tx1"/>
            </w14:solidFill>
          </w14:textFill>
        </w:rPr>
        <w:t>对其进行处罚</w:t>
      </w:r>
      <w:r>
        <w:rPr>
          <w:rFonts w:hint="eastAsia" w:hAnsi="宋体"/>
          <w:color w:val="000000" w:themeColor="text1"/>
          <w:szCs w:val="21"/>
          <w:highlight w:val="none"/>
          <w14:textFill>
            <w14:solidFill>
              <w14:schemeClr w14:val="tx1"/>
            </w14:solidFill>
          </w14:textFill>
        </w:rPr>
        <w:t>：</w:t>
      </w:r>
    </w:p>
    <w:p w14:paraId="4E0953E0">
      <w:pPr>
        <w:spacing w:line="360" w:lineRule="auto"/>
        <w:ind w:firstLine="441" w:firstLineChars="2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①个人承包工程，包括本人单位及外单位人员承包，发包人不承认其个人拥有任何资质等级及营业许可资格。</w:t>
      </w:r>
    </w:p>
    <w:p w14:paraId="07F409A2">
      <w:pPr>
        <w:spacing w:line="360" w:lineRule="auto"/>
        <w:ind w:firstLine="441" w:firstLineChars="2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②几个人联合承包工程，就地组织暗分包队伍，不具备完成本工程的技术、机械能力，被发包人判定为没有能力履行的承包人。</w:t>
      </w:r>
    </w:p>
    <w:p w14:paraId="7840E040">
      <w:pPr>
        <w:spacing w:line="360" w:lineRule="auto"/>
        <w:ind w:firstLine="441" w:firstLineChars="210"/>
        <w:rPr>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③就地转包全部的工程，以谋取高额转让费、管理费的承包人。</w:t>
      </w:r>
    </w:p>
    <w:p w14:paraId="136DA1A0">
      <w:pPr>
        <w:spacing w:line="360" w:lineRule="auto"/>
        <w:ind w:firstLine="420" w:firstLineChars="200"/>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④承包人有部分分包现象（其中包括冒充承包人下属单位的</w:t>
      </w:r>
      <w:r>
        <w:rPr>
          <w:rFonts w:hint="eastAsia" w:hAnsi="宋体" w:cs="宋体"/>
          <w:color w:val="000000" w:themeColor="text1"/>
          <w:szCs w:val="21"/>
          <w:highlight w:val="none"/>
          <w:lang w:eastAsia="zh-CN"/>
          <w14:textFill>
            <w14:solidFill>
              <w14:schemeClr w14:val="tx1"/>
            </w14:solidFill>
          </w14:textFill>
        </w:rPr>
        <w:t>挂钩</w:t>
      </w:r>
      <w:r>
        <w:rPr>
          <w:rFonts w:hint="eastAsia" w:hAnsi="宋体" w:cs="宋体"/>
          <w:color w:val="000000" w:themeColor="text1"/>
          <w:szCs w:val="21"/>
          <w:highlight w:val="none"/>
          <w14:textFill>
            <w14:solidFill>
              <w14:schemeClr w14:val="tx1"/>
            </w14:solidFill>
          </w14:textFill>
        </w:rPr>
        <w:t>单位，凭口头协议参与施工的分包人及其他暗分包个体户），一经发现核实，发包人将采取驱逐该暗分包人措施。</w:t>
      </w:r>
    </w:p>
    <w:p w14:paraId="735FB066">
      <w:pPr>
        <w:spacing w:line="360" w:lineRule="auto"/>
        <w:ind w:firstLine="420" w:firstLineChars="20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3.5.4 </w:t>
      </w:r>
      <w:r>
        <w:rPr>
          <w:rFonts w:hint="eastAsia" w:hAnsi="宋体" w:cs="宋体"/>
          <w:color w:val="000000" w:themeColor="text1"/>
          <w:szCs w:val="21"/>
          <w:highlight w:val="none"/>
          <w14:textFill>
            <w14:solidFill>
              <w14:schemeClr w14:val="tx1"/>
            </w14:solidFill>
          </w14:textFill>
        </w:rPr>
        <w:t>分包合同价款</w:t>
      </w:r>
    </w:p>
    <w:bookmarkEnd w:id="255"/>
    <w:bookmarkEnd w:id="256"/>
    <w:p w14:paraId="4EF020A4">
      <w:pPr>
        <w:spacing w:line="360" w:lineRule="auto"/>
        <w:ind w:firstLine="420" w:firstLineChars="200"/>
        <w:rPr>
          <w:color w:val="000000" w:themeColor="text1"/>
          <w:szCs w:val="21"/>
          <w:highlight w:val="none"/>
          <w14:textFill>
            <w14:solidFill>
              <w14:schemeClr w14:val="tx1"/>
            </w14:solidFill>
          </w14:textFill>
        </w:rPr>
      </w:pPr>
      <w:bookmarkStart w:id="274" w:name="_Toc389065277"/>
      <w:bookmarkStart w:id="275" w:name="_Toc373227711"/>
      <w:bookmarkStart w:id="276" w:name="_Toc373478358"/>
      <w:r>
        <w:rPr>
          <w:rFonts w:hint="eastAsia" w:hAnsi="宋体" w:cs="宋体"/>
          <w:color w:val="000000" w:themeColor="text1"/>
          <w:szCs w:val="21"/>
          <w:highlight w:val="none"/>
          <w14:textFill>
            <w14:solidFill>
              <w14:schemeClr w14:val="tx1"/>
            </w14:solidFill>
          </w14:textFill>
        </w:rPr>
        <w:t>关于分包合同价款支付的约定：</w:t>
      </w:r>
      <w:r>
        <w:rPr>
          <w:rFonts w:hint="eastAsia" w:hAnsi="宋体" w:cs="宋体"/>
          <w:color w:val="000000" w:themeColor="text1"/>
          <w:szCs w:val="21"/>
          <w:highlight w:val="none"/>
          <w:u w:val="single"/>
          <w14:textFill>
            <w14:solidFill>
              <w14:schemeClr w14:val="tx1"/>
            </w14:solidFill>
          </w14:textFill>
        </w:rPr>
        <w:t>分包工程价款由承包人与分包人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包括专业分包人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结算。发包人未经承包人同意不得以任何形式向分包人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包括专业分包人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支付相关分包合同项下的任何工程款项。因发包人未经承包人同意直接向分包人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包括专业分包人</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支付相关分包合同项下的任何工程款项而影响承包人工作的，所造成的承包人费用增加和</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或</w:t>
      </w:r>
      <w:r>
        <w:rPr>
          <w:rFonts w:hint="eastAsia" w:cs="宋体"/>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u w:val="single"/>
          <w14:textFill>
            <w14:solidFill>
              <w14:schemeClr w14:val="tx1"/>
            </w14:solidFill>
          </w14:textFill>
        </w:rPr>
        <w:t>延误的工期由发包人承担。</w:t>
      </w:r>
    </w:p>
    <w:p w14:paraId="3CD7306A">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77" w:name="_Toc114058850"/>
      <w:bookmarkStart w:id="278" w:name="_Toc407135213"/>
      <w:bookmarkStart w:id="279" w:name="_Toc78449799"/>
      <w:r>
        <w:rPr>
          <w:rFonts w:eastAsia="黑体"/>
          <w:b/>
          <w:bCs/>
          <w:color w:val="000000" w:themeColor="text1"/>
          <w:sz w:val="32"/>
          <w:szCs w:val="32"/>
          <w:highlight w:val="none"/>
          <w:lang w:val="zh-CN"/>
          <w14:textFill>
            <w14:solidFill>
              <w14:schemeClr w14:val="tx1"/>
            </w14:solidFill>
          </w14:textFill>
        </w:rPr>
        <w:t xml:space="preserve">3.6 </w:t>
      </w:r>
      <w:r>
        <w:rPr>
          <w:rFonts w:hint="eastAsia" w:eastAsia="黑体" w:cs="黑体"/>
          <w:b/>
          <w:bCs/>
          <w:color w:val="000000" w:themeColor="text1"/>
          <w:sz w:val="32"/>
          <w:szCs w:val="32"/>
          <w:highlight w:val="none"/>
          <w:lang w:val="zh-CN"/>
          <w14:textFill>
            <w14:solidFill>
              <w14:schemeClr w14:val="tx1"/>
            </w14:solidFill>
          </w14:textFill>
        </w:rPr>
        <w:t>工程照管与成品、半成品保护</w:t>
      </w:r>
      <w:bookmarkEnd w:id="274"/>
      <w:bookmarkEnd w:id="275"/>
      <w:bookmarkEnd w:id="276"/>
      <w:bookmarkEnd w:id="277"/>
      <w:bookmarkEnd w:id="278"/>
      <w:bookmarkEnd w:id="279"/>
    </w:p>
    <w:p w14:paraId="794B62AE">
      <w:pPr>
        <w:spacing w:line="360" w:lineRule="auto"/>
        <w:ind w:firstLine="420" w:firstLineChars="200"/>
        <w:rPr>
          <w:color w:val="000000" w:themeColor="text1"/>
          <w:kern w:val="0"/>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承包人负责照管工程及工程相关的材料、工程设备的起始时间：</w:t>
      </w:r>
      <w:r>
        <w:rPr>
          <w:rFonts w:hAnsi="宋体"/>
          <w:color w:val="000000" w:themeColor="text1"/>
          <w:szCs w:val="21"/>
          <w:highlight w:val="none"/>
          <w:u w:val="single"/>
          <w14:textFill>
            <w14:solidFill>
              <w14:schemeClr w14:val="tx1"/>
            </w14:solidFill>
          </w14:textFill>
        </w:rPr>
        <w:t>工程接收证书颁发前，承包人应负责照管和维护工程。工程接收证书颁发时尚有部分未竣工工程的，承包人还应负责该未竣工工程的照管和维护工作，直到竣工后移交给发包人为止。因发包人原因不能及时办理竣工验收以及移交所引起的照管和保护费用由发包人承担</w:t>
      </w:r>
      <w:r>
        <w:rPr>
          <w:rFonts w:hint="eastAsia" w:hAnsi="宋体" w:cs="宋体"/>
          <w:color w:val="000000" w:themeColor="text1"/>
          <w:kern w:val="0"/>
          <w:szCs w:val="21"/>
          <w:highlight w:val="none"/>
          <w14:textFill>
            <w14:solidFill>
              <w14:schemeClr w14:val="tx1"/>
            </w14:solidFill>
          </w14:textFill>
        </w:rPr>
        <w:t>。</w:t>
      </w:r>
    </w:p>
    <w:p w14:paraId="50542C8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280" w:name="_Toc373478359"/>
      <w:bookmarkStart w:id="281" w:name="_Toc373227712"/>
      <w:bookmarkStart w:id="282" w:name="_Toc389065278"/>
      <w:bookmarkStart w:id="283" w:name="_Toc114058851"/>
      <w:bookmarkStart w:id="284" w:name="_Toc78449800"/>
      <w:bookmarkStart w:id="285" w:name="_Toc407135214"/>
      <w:r>
        <w:rPr>
          <w:rFonts w:eastAsia="黑体"/>
          <w:b/>
          <w:bCs/>
          <w:color w:val="000000" w:themeColor="text1"/>
          <w:sz w:val="32"/>
          <w:szCs w:val="32"/>
          <w:highlight w:val="none"/>
          <w:lang w:val="zh-CN"/>
          <w14:textFill>
            <w14:solidFill>
              <w14:schemeClr w14:val="tx1"/>
            </w14:solidFill>
          </w14:textFill>
        </w:rPr>
        <w:t xml:space="preserve">3.7 </w:t>
      </w:r>
      <w:r>
        <w:rPr>
          <w:rFonts w:hint="eastAsia" w:hAnsi="宋体" w:eastAsia="黑体" w:cs="黑体"/>
          <w:b/>
          <w:bCs/>
          <w:color w:val="000000" w:themeColor="text1"/>
          <w:sz w:val="32"/>
          <w:szCs w:val="32"/>
          <w:highlight w:val="none"/>
          <w:lang w:val="zh-CN"/>
          <w14:textFill>
            <w14:solidFill>
              <w14:schemeClr w14:val="tx1"/>
            </w14:solidFill>
          </w14:textFill>
        </w:rPr>
        <w:t>履约</w:t>
      </w:r>
      <w:bookmarkEnd w:id="280"/>
      <w:bookmarkEnd w:id="281"/>
      <w:bookmarkEnd w:id="282"/>
      <w:r>
        <w:rPr>
          <w:rFonts w:hint="eastAsia" w:hAnsi="宋体" w:eastAsia="黑体" w:cs="黑体"/>
          <w:b/>
          <w:bCs/>
          <w:color w:val="000000" w:themeColor="text1"/>
          <w:sz w:val="32"/>
          <w:szCs w:val="32"/>
          <w:highlight w:val="none"/>
          <w:lang w:val="zh-CN"/>
          <w14:textFill>
            <w14:solidFill>
              <w14:schemeClr w14:val="tx1"/>
            </w14:solidFill>
          </w14:textFill>
        </w:rPr>
        <w:t>保证金</w:t>
      </w:r>
      <w:bookmarkEnd w:id="283"/>
      <w:bookmarkEnd w:id="284"/>
      <w:bookmarkEnd w:id="285"/>
    </w:p>
    <w:p w14:paraId="7D496DD2">
      <w:pPr>
        <w:spacing w:line="360" w:lineRule="auto"/>
        <w:ind w:firstLine="420" w:firstLineChars="200"/>
        <w:rPr>
          <w:rFonts w:hint="eastAsia" w:hAnsi="宋体" w:eastAsia="宋体" w:cs="宋体"/>
          <w:color w:val="000000" w:themeColor="text1"/>
          <w:szCs w:val="21"/>
          <w:highlight w:val="none"/>
          <w:u w:val="single"/>
          <w:lang w:eastAsia="zh-CN"/>
          <w14:textFill>
            <w14:solidFill>
              <w14:schemeClr w14:val="tx1"/>
            </w14:solidFill>
          </w14:textFill>
        </w:rPr>
      </w:pPr>
      <w:bookmarkStart w:id="286" w:name="_Toc389065279"/>
      <w:bookmarkStart w:id="287" w:name="_Toc373478360"/>
      <w:bookmarkStart w:id="288" w:name="_Toc373227713"/>
      <w:bookmarkStart w:id="289" w:name="_Toc351203636"/>
      <w:r>
        <w:rPr>
          <w:rFonts w:hint="eastAsia" w:hAnsi="宋体"/>
          <w:color w:val="000000" w:themeColor="text1"/>
          <w:szCs w:val="21"/>
          <w:highlight w:val="none"/>
          <w:lang w:val="en-US" w:eastAsia="zh-CN"/>
          <w14:textFill>
            <w14:solidFill>
              <w14:schemeClr w14:val="tx1"/>
            </w14:solidFill>
          </w14:textFill>
        </w:rPr>
        <w:t>/</w:t>
      </w:r>
    </w:p>
    <w:p w14:paraId="2B5E9F3C">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290" w:name="_Toc78449801"/>
      <w:bookmarkStart w:id="291" w:name="_Toc407135215"/>
      <w:bookmarkStart w:id="292" w:name="_Toc114058852"/>
      <w:r>
        <w:rPr>
          <w:rFonts w:ascii="Arial" w:hAnsi="Arial" w:eastAsia="黑体"/>
          <w:b/>
          <w:bCs/>
          <w:color w:val="000000" w:themeColor="text1"/>
          <w:sz w:val="32"/>
          <w:szCs w:val="32"/>
          <w:highlight w:val="none"/>
          <w:lang w:val="zh-CN"/>
          <w14:textFill>
            <w14:solidFill>
              <w14:schemeClr w14:val="tx1"/>
            </w14:solidFill>
          </w14:textFill>
        </w:rPr>
        <w:t>4</w:t>
      </w:r>
      <w:bookmarkStart w:id="293" w:name="_Toc267251413"/>
      <w:bookmarkStart w:id="294" w:name="_Toc296944501"/>
      <w:bookmarkStart w:id="295" w:name="_Toc296347161"/>
      <w:bookmarkStart w:id="296" w:name="_Toc296503162"/>
      <w:bookmarkStart w:id="297" w:name="_Toc292559871"/>
      <w:bookmarkStart w:id="298" w:name="_Toc296891202"/>
      <w:bookmarkStart w:id="299" w:name="_Toc296346663"/>
      <w:bookmarkStart w:id="300" w:name="_Toc296890990"/>
      <w:bookmarkStart w:id="301" w:name="_Toc297048348"/>
      <w:bookmarkStart w:id="302" w:name="_Toc292559366"/>
      <w:bookmarkStart w:id="303" w:name="_Toc297120462"/>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监</w:t>
      </w:r>
      <w:bookmarkEnd w:id="293"/>
      <w:bookmarkEnd w:id="294"/>
      <w:bookmarkEnd w:id="295"/>
      <w:bookmarkEnd w:id="296"/>
      <w:bookmarkEnd w:id="297"/>
      <w:bookmarkEnd w:id="298"/>
      <w:bookmarkEnd w:id="299"/>
      <w:bookmarkEnd w:id="300"/>
      <w:bookmarkEnd w:id="301"/>
      <w:bookmarkEnd w:id="302"/>
      <w:bookmarkEnd w:id="303"/>
      <w:r>
        <w:rPr>
          <w:rFonts w:hint="eastAsia" w:ascii="Arial" w:hAnsi="宋体" w:eastAsia="黑体" w:cs="黑体"/>
          <w:b/>
          <w:bCs/>
          <w:color w:val="000000" w:themeColor="text1"/>
          <w:sz w:val="32"/>
          <w:szCs w:val="32"/>
          <w:highlight w:val="none"/>
          <w:lang w:val="zh-CN"/>
          <w14:textFill>
            <w14:solidFill>
              <w14:schemeClr w14:val="tx1"/>
            </w14:solidFill>
          </w14:textFill>
        </w:rPr>
        <w:t>理人</w:t>
      </w:r>
      <w:bookmarkEnd w:id="286"/>
      <w:bookmarkEnd w:id="287"/>
      <w:bookmarkEnd w:id="288"/>
      <w:bookmarkEnd w:id="289"/>
      <w:bookmarkEnd w:id="290"/>
      <w:bookmarkEnd w:id="291"/>
      <w:bookmarkEnd w:id="292"/>
    </w:p>
    <w:p w14:paraId="701081A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04" w:name="_Toc407135216"/>
      <w:bookmarkStart w:id="305" w:name="_Toc373227714"/>
      <w:bookmarkStart w:id="306" w:name="_Toc373478361"/>
      <w:bookmarkStart w:id="307" w:name="_Toc114058853"/>
      <w:bookmarkStart w:id="308" w:name="_Toc78449802"/>
      <w:bookmarkStart w:id="309" w:name="_Toc389065280"/>
      <w:r>
        <w:rPr>
          <w:rFonts w:eastAsia="黑体"/>
          <w:b/>
          <w:bCs/>
          <w:color w:val="000000" w:themeColor="text1"/>
          <w:sz w:val="32"/>
          <w:szCs w:val="32"/>
          <w:highlight w:val="none"/>
          <w:lang w:val="zh-CN"/>
          <w14:textFill>
            <w14:solidFill>
              <w14:schemeClr w14:val="tx1"/>
            </w14:solidFill>
          </w14:textFill>
        </w:rPr>
        <w:t xml:space="preserve">4.1 </w:t>
      </w:r>
      <w:r>
        <w:rPr>
          <w:rFonts w:hint="eastAsia" w:eastAsia="黑体" w:cs="黑体"/>
          <w:b/>
          <w:bCs/>
          <w:color w:val="000000" w:themeColor="text1"/>
          <w:sz w:val="32"/>
          <w:szCs w:val="32"/>
          <w:highlight w:val="none"/>
          <w:lang w:val="zh-CN"/>
          <w14:textFill>
            <w14:solidFill>
              <w14:schemeClr w14:val="tx1"/>
            </w14:solidFill>
          </w14:textFill>
        </w:rPr>
        <w:t>监理人的一般规定</w:t>
      </w:r>
      <w:bookmarkEnd w:id="304"/>
      <w:bookmarkEnd w:id="305"/>
      <w:bookmarkEnd w:id="306"/>
      <w:bookmarkEnd w:id="307"/>
      <w:bookmarkEnd w:id="308"/>
      <w:bookmarkEnd w:id="309"/>
    </w:p>
    <w:p w14:paraId="528C2219">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关于监理人的监理内容：</w:t>
      </w:r>
      <w:r>
        <w:rPr>
          <w:rFonts w:hint="eastAsia" w:ascii="宋体" w:hAnsi="宋体"/>
          <w:color w:val="000000" w:themeColor="text1"/>
          <w:szCs w:val="21"/>
          <w:highlight w:val="none"/>
          <w:u w:val="single"/>
          <w14:textFill>
            <w14:solidFill>
              <w14:schemeClr w14:val="tx1"/>
            </w14:solidFill>
          </w14:textFill>
        </w:rPr>
        <w:t>审查施工承包人提交的施工组织设计，专项施工方案与工程建设强制性标准的符合性；检查施工承包人工程质量、安全、施工进度；审查施工承包人报送的工程材料、构配件、设备质量证明文件的有效性和符合性；签发工程暂停令和复工令；验收隐蔽工程、分部分项工程；参与工程变更的审核签认，协助发包人核签现场发生的签证，最终须经发包人认可后作为结算的依据，审核月进度工作报表并报发包人审批；审核工程款支付申请；参加工程竣工验收。</w:t>
      </w:r>
    </w:p>
    <w:p w14:paraId="2B7CFA2F">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关于监理人的监理权限：</w:t>
      </w:r>
      <w:r>
        <w:rPr>
          <w:rFonts w:hint="eastAsia" w:ascii="宋体" w:hAnsi="宋体"/>
          <w:color w:val="000000" w:themeColor="text1"/>
          <w:szCs w:val="21"/>
          <w:highlight w:val="none"/>
          <w:u w:val="single"/>
          <w14:textFill>
            <w14:solidFill>
              <w14:schemeClr w14:val="tx1"/>
            </w14:solidFill>
          </w14:textFill>
        </w:rPr>
        <w:t xml:space="preserve">工程暂停令和复工令签发、参与设计变更、工程量调整、费用调整、参与工程变更的审核签认、审核月进度工作报表以及审核工程款支付申请和分包申请、承包人的任何索赔申请最终均须经发包人审批确认。  </w:t>
      </w:r>
    </w:p>
    <w:p w14:paraId="6FB50035">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关于监理人在施工现场的办公场所、生活场所的提供和费用承担的约定：</w:t>
      </w:r>
      <w:r>
        <w:rPr>
          <w:rFonts w:hint="eastAsia" w:hAnsi="宋体"/>
          <w:color w:val="000000" w:themeColor="text1"/>
          <w:szCs w:val="21"/>
          <w:highlight w:val="none"/>
          <w:u w:val="single"/>
          <w14:textFill>
            <w14:solidFill>
              <w14:schemeClr w14:val="tx1"/>
            </w14:solidFill>
          </w14:textFill>
        </w:rPr>
        <w:t>由监理人自行承担</w:t>
      </w:r>
      <w:r>
        <w:rPr>
          <w:rFonts w:hint="eastAsia" w:hAnsi="宋体" w:cs="宋体"/>
          <w:color w:val="000000" w:themeColor="text1"/>
          <w:szCs w:val="21"/>
          <w:highlight w:val="none"/>
          <w14:textFill>
            <w14:solidFill>
              <w14:schemeClr w14:val="tx1"/>
            </w14:solidFill>
          </w14:textFill>
        </w:rPr>
        <w:t>。</w:t>
      </w:r>
    </w:p>
    <w:p w14:paraId="0AA6AAA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10" w:name="_Toc373227715"/>
      <w:bookmarkStart w:id="311" w:name="_Toc407135217"/>
      <w:bookmarkStart w:id="312" w:name="_Toc78449803"/>
      <w:bookmarkStart w:id="313" w:name="_Toc373478362"/>
      <w:bookmarkStart w:id="314" w:name="_Toc389065281"/>
      <w:bookmarkStart w:id="315" w:name="_Toc114058854"/>
      <w:r>
        <w:rPr>
          <w:rFonts w:eastAsia="黑体"/>
          <w:b/>
          <w:bCs/>
          <w:color w:val="000000" w:themeColor="text1"/>
          <w:sz w:val="32"/>
          <w:szCs w:val="32"/>
          <w:highlight w:val="none"/>
          <w:lang w:val="zh-CN"/>
          <w14:textFill>
            <w14:solidFill>
              <w14:schemeClr w14:val="tx1"/>
            </w14:solidFill>
          </w14:textFill>
        </w:rPr>
        <w:t xml:space="preserve">4.2 </w:t>
      </w:r>
      <w:r>
        <w:rPr>
          <w:rFonts w:hint="eastAsia" w:hAnsi="宋体" w:eastAsia="黑体" w:cs="黑体"/>
          <w:b/>
          <w:bCs/>
          <w:color w:val="000000" w:themeColor="text1"/>
          <w:sz w:val="32"/>
          <w:szCs w:val="32"/>
          <w:highlight w:val="none"/>
          <w:lang w:val="zh-CN"/>
          <w14:textFill>
            <w14:solidFill>
              <w14:schemeClr w14:val="tx1"/>
            </w14:solidFill>
          </w14:textFill>
        </w:rPr>
        <w:t>监理人员</w:t>
      </w:r>
      <w:bookmarkEnd w:id="310"/>
      <w:bookmarkEnd w:id="311"/>
      <w:bookmarkEnd w:id="312"/>
      <w:bookmarkEnd w:id="313"/>
      <w:bookmarkEnd w:id="314"/>
      <w:bookmarkEnd w:id="315"/>
    </w:p>
    <w:p w14:paraId="7C5F0C13">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总监理工程师：</w:t>
      </w:r>
    </w:p>
    <w:p w14:paraId="3B6ECD3B">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姓名：；</w:t>
      </w:r>
    </w:p>
    <w:p w14:paraId="0F3AE08D">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职务：；</w:t>
      </w:r>
    </w:p>
    <w:p w14:paraId="0FEEF488">
      <w:pPr>
        <w:spacing w:line="360" w:lineRule="auto"/>
        <w:ind w:firstLine="420" w:firstLineChars="200"/>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监理工程师注册证书号：；</w:t>
      </w:r>
    </w:p>
    <w:p w14:paraId="26C00848">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联系电话：；</w:t>
      </w:r>
    </w:p>
    <w:p w14:paraId="6CD1B9B8">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电子信箱：；</w:t>
      </w:r>
    </w:p>
    <w:p w14:paraId="166E2C1E">
      <w:pPr>
        <w:spacing w:line="360" w:lineRule="auto"/>
        <w:ind w:firstLine="420" w:firstLineChars="200"/>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通信地址：；</w:t>
      </w:r>
    </w:p>
    <w:p w14:paraId="1EB44EDD">
      <w:pPr>
        <w:spacing w:line="360" w:lineRule="auto"/>
        <w:ind w:firstLine="315" w:firstLineChars="150"/>
        <w:rPr>
          <w:rFonts w:ascii="宋体" w:hAnsi="宋体"/>
          <w:color w:val="000000" w:themeColor="text1"/>
          <w:szCs w:val="21"/>
          <w:highlight w:val="none"/>
          <w14:textFill>
            <w14:solidFill>
              <w14:schemeClr w14:val="tx1"/>
            </w14:solidFill>
          </w14:textFill>
        </w:rPr>
      </w:pPr>
      <w:r>
        <w:rPr>
          <w:rFonts w:hAnsi="宋体"/>
          <w:color w:val="000000" w:themeColor="text1"/>
          <w:szCs w:val="22"/>
          <w:highlight w:val="none"/>
          <w14:textFill>
            <w14:solidFill>
              <w14:schemeClr w14:val="tx1"/>
            </w14:solidFill>
          </w14:textFill>
        </w:rPr>
        <w:t>关于监理人的其他约定：</w:t>
      </w:r>
      <w:bookmarkStart w:id="316" w:name="_Toc386547068"/>
      <w:r>
        <w:rPr>
          <w:rFonts w:hint="eastAsia" w:ascii="宋体" w:hAnsi="宋体"/>
          <w:color w:val="000000" w:themeColor="text1"/>
          <w:szCs w:val="21"/>
          <w:highlight w:val="none"/>
          <w14:textFill>
            <w14:solidFill>
              <w14:schemeClr w14:val="tx1"/>
            </w14:solidFill>
          </w14:textFill>
        </w:rPr>
        <w:t>工程监理在执行下列职责前应事先得到</w:t>
      </w:r>
      <w:bookmarkEnd w:id="316"/>
      <w:r>
        <w:rPr>
          <w:rFonts w:hint="eastAsia" w:ascii="宋体" w:hAnsi="宋体"/>
          <w:color w:val="000000" w:themeColor="text1"/>
          <w:szCs w:val="21"/>
          <w:highlight w:val="none"/>
          <w14:textFill>
            <w14:solidFill>
              <w14:schemeClr w14:val="tx1"/>
            </w14:solidFill>
          </w14:textFill>
        </w:rPr>
        <w:t>发包人的特别认可：</w:t>
      </w:r>
    </w:p>
    <w:p w14:paraId="3940A9F9">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下达开工、停工指令或通知；</w:t>
      </w:r>
    </w:p>
    <w:p w14:paraId="66D994D6">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认可工程任何部分的分包及确认或同意分包人；</w:t>
      </w:r>
    </w:p>
    <w:p w14:paraId="0DEC0220">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批准任何工期顺延；</w:t>
      </w:r>
    </w:p>
    <w:p w14:paraId="17328DE5">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对工期、工程造价有任何影响的变更指示；</w:t>
      </w:r>
    </w:p>
    <w:p w14:paraId="0784C5D3">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确定变更估价；</w:t>
      </w:r>
    </w:p>
    <w:p w14:paraId="2EF579CC">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决定暂定金额、暂定项目、选择项目的使用或不使用；</w:t>
      </w:r>
    </w:p>
    <w:p w14:paraId="21F834D1">
      <w:pPr>
        <w:numPr>
          <w:ilvl w:val="0"/>
          <w:numId w:val="16"/>
        </w:numPr>
        <w:tabs>
          <w:tab w:val="left" w:pos="1050"/>
        </w:tabs>
        <w:spacing w:line="360"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发出接收证书或通过工程竣工验收；</w:t>
      </w:r>
    </w:p>
    <w:p w14:paraId="19147667">
      <w:pPr>
        <w:numPr>
          <w:ilvl w:val="0"/>
          <w:numId w:val="16"/>
        </w:numPr>
        <w:tabs>
          <w:tab w:val="left" w:pos="1050"/>
        </w:tabs>
        <w:spacing w:line="360" w:lineRule="auto"/>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认可承包人的任何费用索赔。</w:t>
      </w:r>
    </w:p>
    <w:p w14:paraId="7B90AEA1">
      <w:pPr>
        <w:spacing w:line="360" w:lineRule="auto"/>
        <w:rPr>
          <w:rFonts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 xml:space="preserve">    一切有关上述事宜而没有发包人签认的指令或行动将被视作无效。</w:t>
      </w:r>
    </w:p>
    <w:p w14:paraId="18221B3D">
      <w:pPr>
        <w:spacing w:line="360" w:lineRule="auto"/>
        <w:ind w:firstLine="420" w:firstLineChars="200"/>
        <w:rPr>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尽管有如上述需征求特别许可的义务，但如果工程监理认为事故的发生会影响人员生命、工程或附近财产的安全，工程监理可以在不减轻承包人任何合同规定的责任和义务的情况下，指示承包人采取工程监理认为必要有效的措施及办法以排除及减低危险。尽管没有得到发包人的认可,承包人应立即执行该等有关的指令，此类指令承包人必须在发出后24小时内得到发包人的认可。除上述的紧急指令外，承包人因遵守须经发包人特别认可的而又未经发包人认可的指令而引致的索赔都不会获得接受</w:t>
      </w:r>
      <w:r>
        <w:rPr>
          <w:rFonts w:hAnsi="宋体"/>
          <w:color w:val="000000" w:themeColor="text1"/>
          <w:szCs w:val="21"/>
          <w:highlight w:val="none"/>
          <w14:textFill>
            <w14:solidFill>
              <w14:schemeClr w14:val="tx1"/>
            </w14:solidFill>
          </w14:textFill>
        </w:rPr>
        <w:t>。</w:t>
      </w:r>
    </w:p>
    <w:p w14:paraId="7569E1A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17" w:name="_Toc407135218"/>
      <w:bookmarkStart w:id="318" w:name="_Toc373478363"/>
      <w:bookmarkStart w:id="319" w:name="_Toc389065282"/>
      <w:bookmarkStart w:id="320" w:name="_Toc373227716"/>
      <w:bookmarkStart w:id="321" w:name="_Toc114058855"/>
      <w:bookmarkStart w:id="322" w:name="_Toc78449804"/>
      <w:r>
        <w:rPr>
          <w:rFonts w:eastAsia="黑体"/>
          <w:b/>
          <w:bCs/>
          <w:color w:val="000000" w:themeColor="text1"/>
          <w:sz w:val="32"/>
          <w:szCs w:val="32"/>
          <w:highlight w:val="none"/>
          <w:lang w:val="zh-CN"/>
          <w14:textFill>
            <w14:solidFill>
              <w14:schemeClr w14:val="tx1"/>
            </w14:solidFill>
          </w14:textFill>
        </w:rPr>
        <w:t xml:space="preserve">4.4 </w:t>
      </w:r>
      <w:r>
        <w:rPr>
          <w:rFonts w:hint="eastAsia" w:hAnsi="宋体" w:eastAsia="黑体" w:cs="黑体"/>
          <w:b/>
          <w:bCs/>
          <w:color w:val="000000" w:themeColor="text1"/>
          <w:sz w:val="32"/>
          <w:szCs w:val="32"/>
          <w:highlight w:val="none"/>
          <w:lang w:val="zh-CN"/>
          <w14:textFill>
            <w14:solidFill>
              <w14:schemeClr w14:val="tx1"/>
            </w14:solidFill>
          </w14:textFill>
        </w:rPr>
        <w:t>商定或确定</w:t>
      </w:r>
      <w:bookmarkEnd w:id="317"/>
      <w:bookmarkEnd w:id="318"/>
      <w:bookmarkEnd w:id="319"/>
      <w:bookmarkEnd w:id="320"/>
      <w:bookmarkEnd w:id="321"/>
      <w:bookmarkEnd w:id="322"/>
    </w:p>
    <w:p w14:paraId="72AC0188">
      <w:pPr>
        <w:spacing w:line="360" w:lineRule="auto"/>
        <w:ind w:firstLine="420" w:firstLineChars="200"/>
        <w:rPr>
          <w:color w:val="000000" w:themeColor="text1"/>
          <w:szCs w:val="21"/>
          <w:highlight w:val="none"/>
          <w14:textFill>
            <w14:solidFill>
              <w14:schemeClr w14:val="tx1"/>
            </w14:solidFill>
          </w14:textFill>
        </w:rPr>
      </w:pPr>
      <w:bookmarkStart w:id="323" w:name="_Toc267251418"/>
      <w:r>
        <w:rPr>
          <w:rFonts w:hint="eastAsia" w:hAnsi="宋体" w:cs="宋体"/>
          <w:color w:val="000000" w:themeColor="text1"/>
          <w:szCs w:val="21"/>
          <w:highlight w:val="none"/>
          <w14:textFill>
            <w14:solidFill>
              <w14:schemeClr w14:val="tx1"/>
            </w14:solidFill>
          </w14:textFill>
        </w:rPr>
        <w:t>在发包人和承包人不能通过协商达成一致意见时，发包人授权监理人对以下事项进行确定：</w:t>
      </w:r>
    </w:p>
    <w:p w14:paraId="6FBD6DB2">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对隐蔽工程及中间部位的验收工作</w:t>
      </w:r>
      <w:r>
        <w:rPr>
          <w:rFonts w:hint="eastAsia" w:hAnsi="宋体" w:cs="宋体"/>
          <w:color w:val="000000" w:themeColor="text1"/>
          <w:szCs w:val="21"/>
          <w:highlight w:val="none"/>
          <w14:textFill>
            <w14:solidFill>
              <w14:schemeClr w14:val="tx1"/>
            </w14:solidFill>
          </w14:textFill>
        </w:rPr>
        <w:t>；</w:t>
      </w:r>
    </w:p>
    <w:p w14:paraId="2FC0A306">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3394876B">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w:t>
      </w:r>
    </w:p>
    <w:p w14:paraId="07D5DFEA">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324" w:name="_Toc373227717"/>
      <w:bookmarkStart w:id="325" w:name="_Toc389065283"/>
      <w:bookmarkStart w:id="326" w:name="_Toc373478364"/>
      <w:bookmarkStart w:id="327" w:name="_Toc351203637"/>
      <w:bookmarkStart w:id="328" w:name="_Toc78449805"/>
      <w:bookmarkStart w:id="329" w:name="_Toc407135219"/>
      <w:bookmarkStart w:id="330" w:name="_Toc114058856"/>
      <w:r>
        <w:rPr>
          <w:rFonts w:ascii="Arial" w:hAnsi="Arial" w:eastAsia="黑体"/>
          <w:b/>
          <w:bCs/>
          <w:color w:val="000000" w:themeColor="text1"/>
          <w:sz w:val="32"/>
          <w:szCs w:val="32"/>
          <w:highlight w:val="none"/>
          <w:lang w:val="zh-CN"/>
          <w14:textFill>
            <w14:solidFill>
              <w14:schemeClr w14:val="tx1"/>
            </w14:solidFill>
          </w14:textFill>
        </w:rPr>
        <w:t>5</w:t>
      </w:r>
      <w:bookmarkEnd w:id="323"/>
      <w:bookmarkStart w:id="331" w:name="_Toc296944502"/>
      <w:bookmarkStart w:id="332" w:name="_Toc297048349"/>
      <w:bookmarkStart w:id="333" w:name="_Toc296891203"/>
      <w:bookmarkStart w:id="334" w:name="_Toc296890991"/>
      <w:bookmarkStart w:id="335" w:name="_Toc297120463"/>
      <w:bookmarkStart w:id="336" w:name="_Toc296503163"/>
      <w:bookmarkStart w:id="337" w:name="_Toc292559872"/>
      <w:bookmarkStart w:id="338" w:name="_Toc296347162"/>
      <w:bookmarkStart w:id="339" w:name="_Toc296346664"/>
      <w:bookmarkStart w:id="340" w:name="_Toc292559367"/>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宋体" w:eastAsia="黑体" w:cs="黑体"/>
          <w:b/>
          <w:bCs/>
          <w:color w:val="000000" w:themeColor="text1"/>
          <w:sz w:val="32"/>
          <w:szCs w:val="32"/>
          <w:highlight w:val="none"/>
          <w:lang w:val="zh-CN"/>
          <w14:textFill>
            <w14:solidFill>
              <w14:schemeClr w14:val="tx1"/>
            </w14:solidFill>
          </w14:textFill>
        </w:rPr>
        <w:t>工程质量</w:t>
      </w:r>
      <w:bookmarkEnd w:id="324"/>
      <w:bookmarkEnd w:id="325"/>
      <w:bookmarkEnd w:id="326"/>
      <w:bookmarkEnd w:id="327"/>
      <w:bookmarkEnd w:id="328"/>
      <w:bookmarkEnd w:id="329"/>
      <w:bookmarkEnd w:id="330"/>
    </w:p>
    <w:p w14:paraId="6B269E1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41" w:name="_Toc78449806"/>
      <w:bookmarkStart w:id="342" w:name="_Toc373227718"/>
      <w:bookmarkStart w:id="343" w:name="_Toc389065284"/>
      <w:bookmarkStart w:id="344" w:name="_Toc407135220"/>
      <w:bookmarkStart w:id="345" w:name="_Toc373478365"/>
      <w:bookmarkStart w:id="346" w:name="_Toc114058857"/>
      <w:r>
        <w:rPr>
          <w:rFonts w:eastAsia="黑体"/>
          <w:b/>
          <w:bCs/>
          <w:color w:val="000000" w:themeColor="text1"/>
          <w:sz w:val="32"/>
          <w:szCs w:val="32"/>
          <w:highlight w:val="none"/>
          <w:lang w:val="zh-CN"/>
          <w14:textFill>
            <w14:solidFill>
              <w14:schemeClr w14:val="tx1"/>
            </w14:solidFill>
          </w14:textFill>
        </w:rPr>
        <w:t xml:space="preserve">5.1 </w:t>
      </w:r>
      <w:r>
        <w:rPr>
          <w:rFonts w:hint="eastAsia" w:hAnsi="宋体" w:eastAsia="黑体" w:cs="黑体"/>
          <w:b/>
          <w:bCs/>
          <w:color w:val="000000" w:themeColor="text1"/>
          <w:sz w:val="32"/>
          <w:szCs w:val="32"/>
          <w:highlight w:val="none"/>
          <w:lang w:val="zh-CN"/>
          <w14:textFill>
            <w14:solidFill>
              <w14:schemeClr w14:val="tx1"/>
            </w14:solidFill>
          </w14:textFill>
        </w:rPr>
        <w:t>质量要求</w:t>
      </w:r>
      <w:bookmarkEnd w:id="341"/>
      <w:bookmarkEnd w:id="342"/>
      <w:bookmarkEnd w:id="343"/>
      <w:bookmarkEnd w:id="344"/>
      <w:bookmarkEnd w:id="345"/>
      <w:bookmarkEnd w:id="346"/>
    </w:p>
    <w:p w14:paraId="09088625">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5</w:t>
      </w:r>
      <w:bookmarkStart w:id="347" w:name="_Toc312677997"/>
      <w:bookmarkStart w:id="348" w:name="_Toc297123496"/>
      <w:bookmarkStart w:id="349" w:name="_Toc303539106"/>
      <w:bookmarkStart w:id="350" w:name="_Toc300934949"/>
      <w:bookmarkStart w:id="351" w:name="_Toc318581164"/>
      <w:bookmarkStart w:id="352" w:name="_Toc297216155"/>
      <w:bookmarkStart w:id="353" w:name="_Toc304295527"/>
      <w:r>
        <w:rPr>
          <w:color w:val="000000" w:themeColor="text1"/>
          <w:szCs w:val="21"/>
          <w:highlight w:val="none"/>
          <w14:textFill>
            <w14:solidFill>
              <w14:schemeClr w14:val="tx1"/>
            </w14:solidFill>
          </w14:textFill>
        </w:rPr>
        <w:t xml:space="preserve">.1.1 </w:t>
      </w:r>
      <w:r>
        <w:rPr>
          <w:rFonts w:hint="eastAsia" w:hAnsi="宋体" w:cs="宋体"/>
          <w:color w:val="000000" w:themeColor="text1"/>
          <w:szCs w:val="21"/>
          <w:highlight w:val="none"/>
          <w14:textFill>
            <w14:solidFill>
              <w14:schemeClr w14:val="tx1"/>
            </w14:solidFill>
          </w14:textFill>
        </w:rPr>
        <w:t>特殊质量标准和要求：</w:t>
      </w:r>
      <w:r>
        <w:rPr>
          <w:rFonts w:hint="eastAsia"/>
          <w:color w:val="000000" w:themeColor="text1"/>
          <w:szCs w:val="21"/>
          <w:highlight w:val="none"/>
          <w:u w:val="single"/>
          <w14:textFill>
            <w14:solidFill>
              <w14:schemeClr w14:val="tx1"/>
            </w14:solidFill>
          </w14:textFill>
        </w:rPr>
        <w:t>严格执行</w:t>
      </w:r>
      <w:r>
        <w:rPr>
          <w:color w:val="000000" w:themeColor="text1"/>
          <w:szCs w:val="21"/>
          <w:highlight w:val="none"/>
          <w:u w:val="single"/>
          <w14:textFill>
            <w14:solidFill>
              <w14:schemeClr w14:val="tx1"/>
            </w14:solidFill>
          </w14:textFill>
        </w:rPr>
        <w:t>广西壮族自治区住房和城乡建设厅</w:t>
      </w:r>
      <w:r>
        <w:rPr>
          <w:rFonts w:hint="eastAsia"/>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关于严格实行房屋建筑和市政基础设施工程质量终身责任承诺、永久性质量责任标牌、终身责任信息档案等制度的通知</w:t>
      </w:r>
      <w:r>
        <w:rPr>
          <w:rFonts w:hint="eastAsia"/>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(桂建管[2014]96号</w:t>
      </w:r>
      <w:r>
        <w:rPr>
          <w:rFonts w:hint="eastAsia"/>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和南宁市城乡建设委员会</w:t>
      </w:r>
      <w:r>
        <w:rPr>
          <w:rFonts w:hint="eastAsia"/>
          <w:color w:val="000000" w:themeColor="text1"/>
          <w:szCs w:val="21"/>
          <w:highlight w:val="none"/>
          <w:u w:val="single"/>
          <w14:textFill>
            <w14:solidFill>
              <w14:schemeClr w14:val="tx1"/>
            </w14:solidFill>
          </w14:textFill>
        </w:rPr>
        <w:t>《关于落实建设工程质量终身责任，加强工程质量管理的通知》（南建质安[2014]155号）要求，落实建设工程质量终身责任</w:t>
      </w:r>
      <w:r>
        <w:rPr>
          <w:rFonts w:hint="eastAsia" w:hAnsi="宋体" w:cs="宋体"/>
          <w:color w:val="000000" w:themeColor="text1"/>
          <w:szCs w:val="21"/>
          <w:highlight w:val="none"/>
          <w14:textFill>
            <w14:solidFill>
              <w14:schemeClr w14:val="tx1"/>
            </w14:solidFill>
          </w14:textFill>
        </w:rPr>
        <w:t>。</w:t>
      </w:r>
    </w:p>
    <w:p w14:paraId="7EFE246F">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关于工程奖项的约定：</w:t>
      </w:r>
      <w:r>
        <w:rPr>
          <w:rFonts w:hint="eastAsia"/>
          <w:color w:val="000000" w:themeColor="text1"/>
          <w:szCs w:val="21"/>
          <w:highlight w:val="none"/>
          <w14:textFill>
            <w14:solidFill>
              <w14:schemeClr w14:val="tx1"/>
            </w14:solidFill>
          </w14:textFill>
        </w:rPr>
        <w:t xml:space="preserve"> 无</w:t>
      </w:r>
    </w:p>
    <w:p w14:paraId="09222143">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5.3 </w:t>
      </w:r>
      <w:r>
        <w:rPr>
          <w:rFonts w:hint="eastAsia" w:hAnsi="宋体" w:cs="宋体"/>
          <w:color w:val="000000" w:themeColor="text1"/>
          <w:szCs w:val="21"/>
          <w:highlight w:val="none"/>
          <w14:textFill>
            <w14:solidFill>
              <w14:schemeClr w14:val="tx1"/>
            </w14:solidFill>
          </w14:textFill>
        </w:rPr>
        <w:t>隐蔽工程检查</w:t>
      </w:r>
    </w:p>
    <w:p w14:paraId="283A73EB">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5.3.2</w:t>
      </w:r>
      <w:r>
        <w:rPr>
          <w:rFonts w:hint="eastAsia" w:hAnsi="宋体" w:cs="宋体"/>
          <w:color w:val="000000" w:themeColor="text1"/>
          <w:szCs w:val="21"/>
          <w:highlight w:val="none"/>
          <w14:textFill>
            <w14:solidFill>
              <w14:schemeClr w14:val="tx1"/>
            </w14:solidFill>
          </w14:textFill>
        </w:rPr>
        <w:t>承包人提前通知监理人隐蔽工程检查的期限的约定：工程隐蔽或中间验收前</w:t>
      </w:r>
      <w:r>
        <w:rPr>
          <w:color w:val="000000" w:themeColor="text1"/>
          <w:szCs w:val="21"/>
          <w:highlight w:val="none"/>
          <w14:textFill>
            <w14:solidFill>
              <w14:schemeClr w14:val="tx1"/>
            </w14:solidFill>
          </w14:textFill>
        </w:rPr>
        <w:t>12</w:t>
      </w:r>
      <w:r>
        <w:rPr>
          <w:rFonts w:hint="eastAsia" w:hAnsi="宋体" w:cs="宋体"/>
          <w:color w:val="000000" w:themeColor="text1"/>
          <w:szCs w:val="21"/>
          <w:highlight w:val="none"/>
          <w14:textFill>
            <w14:solidFill>
              <w14:schemeClr w14:val="tx1"/>
            </w14:solidFill>
          </w14:textFill>
        </w:rPr>
        <w:t>小时以书面形式通知发包人和监理工程师验收的内容、时间、地点，承包人准备验收记录单（最好是印制的表格）由双方签证。验收合格，承包人可进行隐蔽和继续施工；验收不合格，双方商订时限内修改后按上述</w:t>
      </w:r>
      <w:r>
        <w:rPr>
          <w:rFonts w:hint="eastAsia" w:hAnsi="宋体" w:cs="宋体"/>
          <w:color w:val="000000" w:themeColor="text1"/>
          <w:szCs w:val="21"/>
          <w:highlight w:val="none"/>
          <w:lang w:eastAsia="zh-CN"/>
          <w14:textFill>
            <w14:solidFill>
              <w14:schemeClr w14:val="tx1"/>
            </w14:solidFill>
          </w14:textFill>
        </w:rPr>
        <w:t>顺序</w:t>
      </w:r>
      <w:r>
        <w:rPr>
          <w:rFonts w:hint="eastAsia" w:hAnsi="宋体" w:cs="宋体"/>
          <w:color w:val="000000" w:themeColor="text1"/>
          <w:szCs w:val="21"/>
          <w:highlight w:val="none"/>
          <w14:textFill>
            <w14:solidFill>
              <w14:schemeClr w14:val="tx1"/>
            </w14:solidFill>
          </w14:textFill>
        </w:rPr>
        <w:t>重新验收。</w:t>
      </w:r>
    </w:p>
    <w:p w14:paraId="15356C39">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监理人不能按时进行检查时，应提前</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小时提交书面延期要求。</w:t>
      </w:r>
    </w:p>
    <w:p w14:paraId="3E5CD014">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关于延期最长不得超过：</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小时。</w:t>
      </w:r>
    </w:p>
    <w:p w14:paraId="08A82232">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354" w:name="_Toc373478366"/>
      <w:bookmarkStart w:id="355" w:name="_Toc373227719"/>
      <w:bookmarkStart w:id="356" w:name="_Toc78449807"/>
      <w:bookmarkStart w:id="357" w:name="_Toc407135221"/>
      <w:bookmarkStart w:id="358" w:name="_Toc389065285"/>
      <w:bookmarkStart w:id="359" w:name="_Toc351203638"/>
      <w:bookmarkStart w:id="360" w:name="_Toc114058858"/>
      <w:r>
        <w:rPr>
          <w:rFonts w:ascii="Arial" w:hAnsi="Arial" w:eastAsia="黑体"/>
          <w:b/>
          <w:bCs/>
          <w:color w:val="000000" w:themeColor="text1"/>
          <w:sz w:val="32"/>
          <w:szCs w:val="32"/>
          <w:highlight w:val="none"/>
          <w:lang w:val="zh-CN"/>
          <w14:textFill>
            <w14:solidFill>
              <w14:schemeClr w14:val="tx1"/>
            </w14:solidFill>
          </w14:textFill>
        </w:rPr>
        <w:t xml:space="preserve">6. </w:t>
      </w:r>
      <w:r>
        <w:rPr>
          <w:rFonts w:hint="eastAsia" w:ascii="Arial" w:hAnsi="Arial" w:eastAsia="黑体" w:cs="黑体"/>
          <w:b/>
          <w:bCs/>
          <w:color w:val="000000" w:themeColor="text1"/>
          <w:sz w:val="32"/>
          <w:szCs w:val="32"/>
          <w:highlight w:val="none"/>
          <w:lang w:val="zh-CN"/>
          <w14:textFill>
            <w14:solidFill>
              <w14:schemeClr w14:val="tx1"/>
            </w14:solidFill>
          </w14:textFill>
        </w:rPr>
        <w:t>安全文明施工与环境保护</w:t>
      </w:r>
      <w:bookmarkEnd w:id="354"/>
      <w:bookmarkEnd w:id="355"/>
      <w:bookmarkEnd w:id="356"/>
      <w:bookmarkEnd w:id="357"/>
      <w:bookmarkEnd w:id="358"/>
      <w:bookmarkEnd w:id="359"/>
      <w:bookmarkEnd w:id="360"/>
    </w:p>
    <w:p w14:paraId="05FEFE70">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61" w:name="_Toc389065286"/>
      <w:bookmarkStart w:id="362" w:name="_Toc373478367"/>
      <w:bookmarkStart w:id="363" w:name="_Toc373227720"/>
      <w:bookmarkStart w:id="364" w:name="_Toc114058859"/>
      <w:bookmarkStart w:id="365" w:name="_Toc407135222"/>
      <w:bookmarkStart w:id="366" w:name="_Toc78449808"/>
      <w:r>
        <w:rPr>
          <w:rFonts w:eastAsia="黑体"/>
          <w:b/>
          <w:bCs/>
          <w:color w:val="000000" w:themeColor="text1"/>
          <w:sz w:val="32"/>
          <w:szCs w:val="32"/>
          <w:highlight w:val="none"/>
          <w:lang w:val="zh-CN"/>
          <w14:textFill>
            <w14:solidFill>
              <w14:schemeClr w14:val="tx1"/>
            </w14:solidFill>
          </w14:textFill>
        </w:rPr>
        <w:t xml:space="preserve">6.1 </w:t>
      </w:r>
      <w:r>
        <w:rPr>
          <w:rFonts w:hint="eastAsia" w:eastAsia="黑体" w:cs="黑体"/>
          <w:b/>
          <w:bCs/>
          <w:color w:val="000000" w:themeColor="text1"/>
          <w:sz w:val="32"/>
          <w:szCs w:val="32"/>
          <w:highlight w:val="none"/>
          <w:lang w:val="zh-CN"/>
          <w14:textFill>
            <w14:solidFill>
              <w14:schemeClr w14:val="tx1"/>
            </w14:solidFill>
          </w14:textFill>
        </w:rPr>
        <w:t>安全文明施工</w:t>
      </w:r>
      <w:bookmarkEnd w:id="361"/>
      <w:bookmarkEnd w:id="362"/>
      <w:bookmarkEnd w:id="363"/>
      <w:bookmarkEnd w:id="364"/>
      <w:bookmarkEnd w:id="365"/>
      <w:bookmarkEnd w:id="366"/>
    </w:p>
    <w:p w14:paraId="00F4788F">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6.1.1 </w:t>
      </w:r>
      <w:r>
        <w:rPr>
          <w:rFonts w:hint="eastAsia" w:hAnsi="宋体" w:cs="宋体"/>
          <w:color w:val="000000" w:themeColor="text1"/>
          <w:szCs w:val="21"/>
          <w:highlight w:val="none"/>
          <w14:textFill>
            <w14:solidFill>
              <w14:schemeClr w14:val="tx1"/>
            </w14:solidFill>
          </w14:textFill>
        </w:rPr>
        <w:t>项目安全生产的达标目标及相应事项的约定：</w:t>
      </w:r>
      <w:r>
        <w:rPr>
          <w:rFonts w:hint="eastAsia"/>
          <w:color w:val="000000" w:themeColor="text1"/>
          <w:szCs w:val="21"/>
          <w:highlight w:val="none"/>
          <w:u w:val="single"/>
          <w14:textFill>
            <w14:solidFill>
              <w14:schemeClr w14:val="tx1"/>
            </w14:solidFill>
          </w14:textFill>
        </w:rPr>
        <w:t>承包人负责 ，所发生费用由承包人承担。承包人的施工安全防护和文明施工措施，应执行《中华人民共和国安全生产法》的有关要求，施工中必须遵守国家颁布的《</w:t>
      </w:r>
      <w:r>
        <w:rPr>
          <w:rFonts w:hint="eastAsia"/>
          <w:color w:val="000000" w:themeColor="text1"/>
          <w:szCs w:val="21"/>
          <w:highlight w:val="none"/>
          <w:u w:val="single"/>
          <w:lang w:eastAsia="zh-CN"/>
          <w14:textFill>
            <w14:solidFill>
              <w14:schemeClr w14:val="tx1"/>
            </w14:solidFill>
          </w14:textFill>
        </w:rPr>
        <w:t>建设工程安全生产管理条例</w:t>
      </w:r>
      <w:r>
        <w:rPr>
          <w:rFonts w:hint="eastAsia"/>
          <w:color w:val="000000" w:themeColor="text1"/>
          <w:szCs w:val="21"/>
          <w:highlight w:val="none"/>
          <w:u w:val="single"/>
          <w14:textFill>
            <w14:solidFill>
              <w14:schemeClr w14:val="tx1"/>
            </w14:solidFill>
          </w14:textFill>
        </w:rPr>
        <w:t>》、广西壮族自治区及南宁市关于安全施工的法律法规和有关标准和规范</w:t>
      </w:r>
      <w:r>
        <w:rPr>
          <w:rFonts w:hint="eastAsia"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要求达到《建筑施工安全检查标准》（JGJ59-2011）的标准和符合</w:t>
      </w:r>
      <w:r>
        <w:rPr>
          <w:rFonts w:hint="eastAsia"/>
          <w:color w:val="000000" w:themeColor="text1"/>
          <w:szCs w:val="21"/>
          <w:highlight w:val="none"/>
          <w:u w:val="single"/>
          <w14:textFill>
            <w14:solidFill>
              <w14:schemeClr w14:val="tx1"/>
            </w14:solidFill>
          </w14:textFill>
        </w:rPr>
        <w:t>《广西安全文明施工费使用管理细则》</w:t>
      </w:r>
      <w:r>
        <w:rPr>
          <w:rFonts w:hint="eastAsia" w:ascii="宋体" w:hAnsi="宋体"/>
          <w:color w:val="000000" w:themeColor="text1"/>
          <w:szCs w:val="21"/>
          <w:highlight w:val="none"/>
          <w:u w:val="single"/>
          <w14:textFill>
            <w14:solidFill>
              <w14:schemeClr w14:val="tx1"/>
            </w14:solidFill>
          </w14:textFill>
        </w:rPr>
        <w:t>桂建质[2015]16号文的要求</w:t>
      </w:r>
      <w:r>
        <w:rPr>
          <w:rFonts w:hint="eastAsia" w:hAnsi="宋体" w:cs="宋体"/>
          <w:color w:val="000000" w:themeColor="text1"/>
          <w:szCs w:val="21"/>
          <w:highlight w:val="none"/>
          <w14:textFill>
            <w14:solidFill>
              <w14:schemeClr w14:val="tx1"/>
            </w14:solidFill>
          </w14:textFill>
        </w:rPr>
        <w:t>。</w:t>
      </w:r>
    </w:p>
    <w:p w14:paraId="6D3B3677">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关于安全文明施工奖项的约定：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6A74FB15">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 xml:space="preserve">6.1.4 </w:t>
      </w:r>
      <w:r>
        <w:rPr>
          <w:rFonts w:hint="eastAsia" w:hAnsi="宋体" w:cs="宋体"/>
          <w:color w:val="000000" w:themeColor="text1"/>
          <w:szCs w:val="21"/>
          <w:highlight w:val="none"/>
          <w14:textFill>
            <w14:solidFill>
              <w14:schemeClr w14:val="tx1"/>
            </w14:solidFill>
          </w14:textFill>
        </w:rPr>
        <w:t>关于治安保卫的特别约定：</w:t>
      </w:r>
      <w:r>
        <w:rPr>
          <w:rFonts w:hint="eastAsia" w:hAnsi="宋体" w:cs="宋体"/>
          <w:color w:val="000000" w:themeColor="text1"/>
          <w:szCs w:val="21"/>
          <w:highlight w:val="none"/>
          <w:u w:val="single"/>
          <w14:textFill>
            <w14:solidFill>
              <w14:schemeClr w14:val="tx1"/>
            </w14:solidFill>
          </w14:textFill>
        </w:rPr>
        <w:t>承包人应承担施工安全保卫工作及非夜间施工照明的责任，承包人应采取一切合理的预防措施，防止人员伤亡、财产损失事故，费用由承包人承担。承包人生活设施及施工场应自费配备消防设备，防止火灾发生。</w:t>
      </w:r>
    </w:p>
    <w:p w14:paraId="6EEAD4A9">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关于编制施工场地治安管理计划的约定：</w:t>
      </w:r>
      <w:r>
        <w:rPr>
          <w:rFonts w:hint="eastAsia"/>
          <w:color w:val="000000" w:themeColor="text1"/>
          <w:szCs w:val="21"/>
          <w:highlight w:val="none"/>
          <w:u w:val="single"/>
          <w14:textFill>
            <w14:solidFill>
              <w14:schemeClr w14:val="tx1"/>
            </w14:solidFill>
          </w14:textFill>
        </w:rPr>
        <w:t>承包人负责 ，所发生费用由承包人承担.。</w:t>
      </w:r>
      <w:r>
        <w:rPr>
          <w:rFonts w:hint="eastAsia" w:ascii="宋体" w:hAnsi="宋体"/>
          <w:color w:val="000000" w:themeColor="text1"/>
          <w:szCs w:val="21"/>
          <w:highlight w:val="none"/>
          <w:u w:val="single"/>
          <w14:textFill>
            <w14:solidFill>
              <w14:schemeClr w14:val="tx1"/>
            </w14:solidFill>
          </w14:textFill>
        </w:rPr>
        <w:t>承包人于开工前提供施工场地治安管理计划</w:t>
      </w:r>
      <w:r>
        <w:rPr>
          <w:rFonts w:hint="eastAsia" w:hAnsi="宋体" w:cs="宋体"/>
          <w:color w:val="000000" w:themeColor="text1"/>
          <w:szCs w:val="21"/>
          <w:highlight w:val="none"/>
          <w14:textFill>
            <w14:solidFill>
              <w14:schemeClr w14:val="tx1"/>
            </w14:solidFill>
          </w14:textFill>
        </w:rPr>
        <w:t>。</w:t>
      </w:r>
    </w:p>
    <w:p w14:paraId="77EC0FE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6.1.5 </w:t>
      </w:r>
      <w:r>
        <w:rPr>
          <w:rFonts w:hint="eastAsia" w:hAnsi="宋体" w:cs="宋体"/>
          <w:color w:val="000000" w:themeColor="text1"/>
          <w:szCs w:val="21"/>
          <w:highlight w:val="none"/>
          <w14:textFill>
            <w14:solidFill>
              <w14:schemeClr w14:val="tx1"/>
            </w14:solidFill>
          </w14:textFill>
        </w:rPr>
        <w:t>文明施工</w:t>
      </w:r>
    </w:p>
    <w:p w14:paraId="75A7431A">
      <w:pPr>
        <w:spacing w:line="360" w:lineRule="auto"/>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合同当事人对文明施工的要求：</w:t>
      </w:r>
      <w:r>
        <w:rPr>
          <w:rFonts w:hint="eastAsia" w:hAnsi="宋体"/>
          <w:bCs/>
          <w:color w:val="000000" w:themeColor="text1"/>
          <w:szCs w:val="21"/>
          <w:highlight w:val="none"/>
          <w14:textFill>
            <w14:solidFill>
              <w14:schemeClr w14:val="tx1"/>
            </w14:solidFill>
          </w14:textFill>
        </w:rPr>
        <w:t>严格执行《</w:t>
      </w:r>
      <w:r>
        <w:rPr>
          <w:rFonts w:hint="eastAsia" w:hAnsi="宋体"/>
          <w:bCs/>
          <w:color w:val="000000" w:themeColor="text1"/>
          <w:szCs w:val="21"/>
          <w:highlight w:val="none"/>
          <w:lang w:eastAsia="zh-CN"/>
          <w14:textFill>
            <w14:solidFill>
              <w14:schemeClr w14:val="tx1"/>
            </w14:solidFill>
          </w14:textFill>
        </w:rPr>
        <w:t>中华人民共和国大气污染防治法</w:t>
      </w:r>
      <w:r>
        <w:rPr>
          <w:rFonts w:hint="eastAsia" w:hAnsi="宋体"/>
          <w:bCs/>
          <w:color w:val="000000" w:themeColor="text1"/>
          <w:szCs w:val="21"/>
          <w:highlight w:val="none"/>
          <w14:textFill>
            <w14:solidFill>
              <w14:schemeClr w14:val="tx1"/>
            </w14:solidFill>
          </w14:textFill>
        </w:rPr>
        <w:t>》（主席令第三十一号）、《南宁市建设工程质量和安全生产管理办法》（南宁市人民政府令 第46号）、《南宁市建设工程质量安全标准化图集》、《南宁市建设工程施工现场管理若干规定》（南宁市人民政府令 第8号）的有关规定，与辖区卫生防疫、环卫管理部门或有合法资质资格的企业签订病媒生物消杀协议、生活垃圾清运协议、渣土密闭运输协议、在线远程监控扬尘监测协议，遵守“一口两池三包四协议”的有关规定，施工前办理排水许可证，严格执行排水许可，做好工地泥浆水、临时生活污水的排放管理，现场设置三级沉淀池及化粪池，避免生活污水及施工废水直排市政排水管网及内河。采取道路硬化、裸土必盖（种草、绿网）、洗车出门、保洁路口、在线监测、抑尘喷淋等有效措施，确保建设工程各项安全防护、文明施工措施及其费用在工地一线按标准落实到位</w:t>
      </w:r>
      <w:r>
        <w:rPr>
          <w:rFonts w:hint="eastAsia" w:cs="宋体"/>
          <w:color w:val="000000" w:themeColor="text1"/>
          <w:szCs w:val="21"/>
          <w:highlight w:val="none"/>
          <w14:textFill>
            <w14:solidFill>
              <w14:schemeClr w14:val="tx1"/>
            </w14:solidFill>
          </w14:textFill>
        </w:rPr>
        <w:t>。</w:t>
      </w:r>
    </w:p>
    <w:p w14:paraId="13D9FA09">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6.1.6</w:t>
      </w:r>
      <w:r>
        <w:rPr>
          <w:rFonts w:hAnsi="宋体" w:cs="宋体"/>
          <w:color w:val="000000" w:themeColor="text1"/>
          <w:kern w:val="0"/>
          <w:szCs w:val="21"/>
          <w:highlight w:val="none"/>
          <w14:textFill>
            <w14:solidFill>
              <w14:schemeClr w14:val="tx1"/>
            </w14:solidFill>
          </w14:textFill>
        </w:rPr>
        <w:t>关于安全</w:t>
      </w:r>
      <w:r>
        <w:rPr>
          <w:rFonts w:hint="eastAsia" w:hAnsi="宋体" w:cs="宋体"/>
          <w:color w:val="000000" w:themeColor="text1"/>
          <w:kern w:val="0"/>
          <w:szCs w:val="21"/>
          <w:highlight w:val="none"/>
          <w14:textFill>
            <w14:solidFill>
              <w14:schemeClr w14:val="tx1"/>
            </w14:solidFill>
          </w14:textFill>
        </w:rPr>
        <w:t>生产</w:t>
      </w:r>
      <w:r>
        <w:rPr>
          <w:rFonts w:hAnsi="宋体" w:cs="宋体"/>
          <w:color w:val="000000" w:themeColor="text1"/>
          <w:kern w:val="0"/>
          <w:szCs w:val="21"/>
          <w:highlight w:val="none"/>
          <w14:textFill>
            <w14:solidFill>
              <w14:schemeClr w14:val="tx1"/>
            </w14:solidFill>
          </w14:textFill>
        </w:rPr>
        <w:t>费</w:t>
      </w:r>
      <w:r>
        <w:rPr>
          <w:rFonts w:hint="eastAsia" w:hAnsi="宋体" w:cs="宋体"/>
          <w:color w:val="000000" w:themeColor="text1"/>
          <w:kern w:val="0"/>
          <w:szCs w:val="21"/>
          <w:highlight w:val="none"/>
          <w14:textFill>
            <w14:solidFill>
              <w14:schemeClr w14:val="tx1"/>
            </w14:solidFill>
          </w14:textFill>
        </w:rPr>
        <w:t>总额、</w:t>
      </w:r>
      <w:r>
        <w:rPr>
          <w:rFonts w:hAnsi="宋体" w:cs="宋体"/>
          <w:color w:val="000000" w:themeColor="text1"/>
          <w:kern w:val="0"/>
          <w:szCs w:val="21"/>
          <w:highlight w:val="none"/>
          <w14:textFill>
            <w14:solidFill>
              <w14:schemeClr w14:val="tx1"/>
            </w14:solidFill>
          </w14:textFill>
        </w:rPr>
        <w:t>支付比例</w:t>
      </w:r>
      <w:r>
        <w:rPr>
          <w:rFonts w:hint="eastAsia" w:hAnsi="宋体" w:cs="宋体"/>
          <w:color w:val="000000" w:themeColor="text1"/>
          <w:kern w:val="0"/>
          <w:szCs w:val="21"/>
          <w:highlight w:val="none"/>
          <w14:textFill>
            <w14:solidFill>
              <w14:schemeClr w14:val="tx1"/>
            </w14:solidFill>
          </w14:textFill>
        </w:rPr>
        <w:t>、</w:t>
      </w:r>
      <w:r>
        <w:rPr>
          <w:rFonts w:hAnsi="宋体" w:cs="宋体"/>
          <w:color w:val="000000" w:themeColor="text1"/>
          <w:kern w:val="0"/>
          <w:szCs w:val="21"/>
          <w:highlight w:val="none"/>
          <w14:textFill>
            <w14:solidFill>
              <w14:schemeClr w14:val="tx1"/>
            </w14:solidFill>
          </w14:textFill>
        </w:rPr>
        <w:t>支付期限</w:t>
      </w:r>
      <w:r>
        <w:rPr>
          <w:rFonts w:hint="eastAsia" w:hAnsi="宋体" w:cs="宋体"/>
          <w:color w:val="000000" w:themeColor="text1"/>
          <w:kern w:val="0"/>
          <w:szCs w:val="21"/>
          <w:highlight w:val="none"/>
          <w14:textFill>
            <w14:solidFill>
              <w14:schemeClr w14:val="tx1"/>
            </w14:solidFill>
          </w14:textFill>
        </w:rPr>
        <w:t>、转入和结余收回</w:t>
      </w:r>
      <w:r>
        <w:rPr>
          <w:rFonts w:hAnsi="宋体" w:cs="宋体"/>
          <w:color w:val="000000" w:themeColor="text1"/>
          <w:kern w:val="0"/>
          <w:szCs w:val="21"/>
          <w:highlight w:val="none"/>
          <w14:textFill>
            <w14:solidFill>
              <w14:schemeClr w14:val="tx1"/>
            </w14:solidFill>
          </w14:textFill>
        </w:rPr>
        <w:t>的约定：</w:t>
      </w:r>
    </w:p>
    <w:p w14:paraId="284936D6">
      <w:pPr>
        <w:autoSpaceDE w:val="0"/>
        <w:autoSpaceDN w:val="0"/>
        <w:adjustRightInd w:val="0"/>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）本合同价款已包含安全文明施工费</w:t>
      </w:r>
      <w:r>
        <w:rPr>
          <w:rFonts w:hint="eastAsia" w:hAnsi="宋体" w:cs="宋体"/>
          <w:color w:val="000000" w:themeColor="text1"/>
          <w:kern w:val="0"/>
          <w:szCs w:val="21"/>
          <w:highlight w:val="none"/>
          <w:u w:val="single"/>
          <w:lang w:val="en-US" w:eastAsia="zh-CN"/>
          <w14:textFill>
            <w14:solidFill>
              <w14:schemeClr w14:val="tx1"/>
            </w14:solidFill>
          </w14:textFill>
        </w:rPr>
        <w:t xml:space="preserve">   </w:t>
      </w:r>
      <w:r>
        <w:rPr>
          <w:rFonts w:hint="eastAsia" w:hAnsi="宋体" w:cs="宋体"/>
          <w:color w:val="000000" w:themeColor="text1"/>
          <w:kern w:val="0"/>
          <w:szCs w:val="21"/>
          <w:highlight w:val="none"/>
          <w:lang w:val="en-US" w:eastAsia="zh-CN"/>
          <w14:textFill>
            <w14:solidFill>
              <w14:schemeClr w14:val="tx1"/>
            </w14:solidFill>
          </w14:textFill>
        </w:rPr>
        <w:t>元</w:t>
      </w:r>
      <w:r>
        <w:rPr>
          <w:rFonts w:hint="eastAsia" w:hAnsi="宋体" w:cs="宋体"/>
          <w:color w:val="000000" w:themeColor="text1"/>
          <w:kern w:val="0"/>
          <w:szCs w:val="21"/>
          <w:highlight w:val="none"/>
          <w14:textFill>
            <w14:solidFill>
              <w14:schemeClr w14:val="tx1"/>
            </w14:solidFill>
          </w14:textFill>
        </w:rPr>
        <w:t>。</w:t>
      </w:r>
    </w:p>
    <w:p w14:paraId="605B6F51">
      <w:pPr>
        <w:autoSpaceDE w:val="0"/>
        <w:autoSpaceDN w:val="0"/>
        <w:adjustRightInd w:val="0"/>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）使用要求：专款专用。具体按</w:t>
      </w:r>
      <w:r>
        <w:rPr>
          <w:rFonts w:hint="eastAsia" w:hAnsi="宋体" w:cs="宋体"/>
          <w:color w:val="000000" w:themeColor="text1"/>
          <w:kern w:val="0"/>
          <w:szCs w:val="21"/>
          <w:highlight w:val="none"/>
          <w:u w:val="single"/>
          <w14:textFill>
            <w14:solidFill>
              <w14:schemeClr w14:val="tx1"/>
            </w14:solidFill>
          </w14:textFill>
        </w:rPr>
        <w:t>《广西壮族自治区建设工程安全文明施工费使用管理细则》（桂建质〔</w:t>
      </w:r>
      <w:r>
        <w:rPr>
          <w:rFonts w:hAnsi="宋体"/>
          <w:color w:val="000000" w:themeColor="text1"/>
          <w:kern w:val="0"/>
          <w:szCs w:val="21"/>
          <w:highlight w:val="none"/>
          <w:u w:val="single"/>
          <w14:textFill>
            <w14:solidFill>
              <w14:schemeClr w14:val="tx1"/>
            </w14:solidFill>
          </w14:textFill>
        </w:rPr>
        <w:t>2015</w:t>
      </w:r>
      <w:r>
        <w:rPr>
          <w:rFonts w:hint="eastAsia" w:hAnsi="宋体" w:cs="宋体"/>
          <w:color w:val="000000" w:themeColor="text1"/>
          <w:kern w:val="0"/>
          <w:szCs w:val="21"/>
          <w:highlight w:val="none"/>
          <w:u w:val="single"/>
          <w14:textFill>
            <w14:solidFill>
              <w14:schemeClr w14:val="tx1"/>
            </w14:solidFill>
          </w14:textFill>
        </w:rPr>
        <w:t>〕</w:t>
      </w:r>
      <w:r>
        <w:rPr>
          <w:rFonts w:hAnsi="宋体"/>
          <w:color w:val="000000" w:themeColor="text1"/>
          <w:kern w:val="0"/>
          <w:szCs w:val="21"/>
          <w:highlight w:val="none"/>
          <w:u w:val="single"/>
          <w14:textFill>
            <w14:solidFill>
              <w14:schemeClr w14:val="tx1"/>
            </w14:solidFill>
          </w14:textFill>
        </w:rPr>
        <w:t>16</w:t>
      </w:r>
      <w:r>
        <w:rPr>
          <w:rFonts w:hint="eastAsia" w:hAnsi="宋体" w:cs="宋体"/>
          <w:color w:val="000000" w:themeColor="text1"/>
          <w:kern w:val="0"/>
          <w:szCs w:val="21"/>
          <w:highlight w:val="none"/>
          <w:u w:val="single"/>
          <w14:textFill>
            <w14:solidFill>
              <w14:schemeClr w14:val="tx1"/>
            </w14:solidFill>
          </w14:textFill>
        </w:rPr>
        <w:t>号）</w:t>
      </w:r>
      <w:r>
        <w:rPr>
          <w:rFonts w:hint="eastAsia" w:hAnsi="宋体" w:cs="宋体"/>
          <w:color w:val="000000" w:themeColor="text1"/>
          <w:kern w:val="0"/>
          <w:szCs w:val="21"/>
          <w:highlight w:val="none"/>
          <w14:textFill>
            <w14:solidFill>
              <w14:schemeClr w14:val="tx1"/>
            </w14:solidFill>
          </w14:textFill>
        </w:rPr>
        <w:t>和</w:t>
      </w:r>
      <w:r>
        <w:rPr>
          <w:rFonts w:hint="eastAsia" w:hAnsi="宋体"/>
          <w:color w:val="000000" w:themeColor="text1"/>
          <w:kern w:val="0"/>
          <w:szCs w:val="21"/>
          <w:highlight w:val="none"/>
          <w:u w:val="single"/>
          <w14:textFill>
            <w14:solidFill>
              <w14:schemeClr w14:val="tx1"/>
            </w14:solidFill>
          </w14:textFill>
        </w:rPr>
        <w:t>南宁（《关于印发&lt;南宁市建设工程安全防护、文明施工措施费用管理规定&gt;的通知》(南建质安(2013)22号等）</w:t>
      </w:r>
      <w:r>
        <w:rPr>
          <w:rFonts w:hint="eastAsia" w:hAnsi="宋体" w:cs="宋体"/>
          <w:color w:val="000000" w:themeColor="text1"/>
          <w:kern w:val="0"/>
          <w:szCs w:val="21"/>
          <w:highlight w:val="none"/>
          <w14:textFill>
            <w14:solidFill>
              <w14:schemeClr w14:val="tx1"/>
            </w14:solidFill>
          </w14:textFill>
        </w:rPr>
        <w:t>市相关规定执行。</w:t>
      </w:r>
    </w:p>
    <w:p w14:paraId="6BCB49CA">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）支付约定：</w:t>
      </w:r>
      <w:r>
        <w:rPr>
          <w:rFonts w:hint="eastAsia"/>
          <w:color w:val="000000" w:themeColor="text1"/>
          <w:kern w:val="0"/>
          <w:szCs w:val="21"/>
          <w:highlight w:val="none"/>
          <w14:textFill>
            <w14:solidFill>
              <w14:schemeClr w14:val="tx1"/>
            </w14:solidFill>
          </w14:textFill>
        </w:rPr>
        <w:t>与进度款同期支付</w:t>
      </w:r>
      <w:r>
        <w:rPr>
          <w:rFonts w:hint="eastAsia" w:hAnsi="宋体" w:cs="宋体"/>
          <w:color w:val="000000" w:themeColor="text1"/>
          <w:kern w:val="0"/>
          <w:szCs w:val="21"/>
          <w:highlight w:val="none"/>
          <w14:textFill>
            <w14:solidFill>
              <w14:schemeClr w14:val="tx1"/>
            </w14:solidFill>
          </w14:textFill>
        </w:rPr>
        <w:t>。</w:t>
      </w:r>
    </w:p>
    <w:p w14:paraId="20937E00">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（4）建设单位按规定将安全生产费用转入施工单位设立的安全生产费用专户。</w:t>
      </w:r>
    </w:p>
    <w:p w14:paraId="460E6374">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（5）工程施工完成后安全生产费用尚有结余的，结余部分由建设单位收回。</w:t>
      </w:r>
    </w:p>
    <w:p w14:paraId="234424A1">
      <w:pPr>
        <w:autoSpaceDE w:val="0"/>
        <w:autoSpaceDN w:val="0"/>
        <w:adjustRightInd w:val="0"/>
        <w:spacing w:line="360" w:lineRule="auto"/>
        <w:ind w:firstLine="420" w:firstLineChars="20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（6）施工单位将安全生产费用使用情况定期报告建设单位和监理单位，并提供相应的材料接受建设行政主管部门对此事项监管。</w:t>
      </w:r>
    </w:p>
    <w:p w14:paraId="071E73D3">
      <w:pPr>
        <w:autoSpaceDE w:val="0"/>
        <w:autoSpaceDN w:val="0"/>
        <w:adjustRightInd w:val="0"/>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（7）安全生产费用专户：</w:t>
      </w:r>
      <w:r>
        <w:rPr>
          <w:rFonts w:hAnsi="宋体" w:cs="宋体"/>
          <w:color w:val="000000" w:themeColor="text1"/>
          <w:kern w:val="0"/>
          <w:szCs w:val="21"/>
          <w:highlight w:val="none"/>
          <w14:textFill>
            <w14:solidFill>
              <w14:schemeClr w14:val="tx1"/>
            </w14:solidFill>
          </w14:textFill>
        </w:rPr>
        <w:t>××××</w:t>
      </w:r>
      <w:r>
        <w:rPr>
          <w:rFonts w:hint="eastAsia" w:hAnsi="宋体" w:cs="宋体"/>
          <w:color w:val="000000" w:themeColor="text1"/>
          <w:kern w:val="0"/>
          <w:szCs w:val="21"/>
          <w:highlight w:val="none"/>
          <w14:textFill>
            <w14:solidFill>
              <w14:schemeClr w14:val="tx1"/>
            </w14:solidFill>
          </w14:textFill>
        </w:rPr>
        <w:t>公司安全生产费用专户。账号：                。</w:t>
      </w:r>
    </w:p>
    <w:p w14:paraId="7B9C865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67" w:name="_Toc78449809"/>
      <w:bookmarkStart w:id="368" w:name="_Toc373478368"/>
      <w:bookmarkStart w:id="369" w:name="_Toc407135223"/>
      <w:bookmarkStart w:id="370" w:name="_Toc373227721"/>
      <w:bookmarkStart w:id="371" w:name="_Toc389065287"/>
      <w:bookmarkStart w:id="372" w:name="_Toc114058860"/>
      <w:r>
        <w:rPr>
          <w:rFonts w:eastAsia="黑体"/>
          <w:b/>
          <w:bCs/>
          <w:color w:val="000000" w:themeColor="text1"/>
          <w:sz w:val="32"/>
          <w:szCs w:val="32"/>
          <w:highlight w:val="none"/>
          <w:lang w:val="zh-CN"/>
          <w14:textFill>
            <w14:solidFill>
              <w14:schemeClr w14:val="tx1"/>
            </w14:solidFill>
          </w14:textFill>
        </w:rPr>
        <w:t xml:space="preserve">6.3 </w:t>
      </w:r>
      <w:r>
        <w:rPr>
          <w:rFonts w:hint="eastAsia" w:hAnsi="宋体" w:eastAsia="黑体" w:cs="黑体"/>
          <w:b/>
          <w:bCs/>
          <w:color w:val="000000" w:themeColor="text1"/>
          <w:sz w:val="32"/>
          <w:szCs w:val="32"/>
          <w:highlight w:val="none"/>
          <w:lang w:val="zh-CN"/>
          <w14:textFill>
            <w14:solidFill>
              <w14:schemeClr w14:val="tx1"/>
            </w14:solidFill>
          </w14:textFill>
        </w:rPr>
        <w:t>环境保护</w:t>
      </w:r>
      <w:bookmarkEnd w:id="367"/>
      <w:bookmarkEnd w:id="368"/>
      <w:bookmarkEnd w:id="369"/>
      <w:bookmarkEnd w:id="370"/>
      <w:bookmarkEnd w:id="371"/>
      <w:bookmarkEnd w:id="372"/>
    </w:p>
    <w:p w14:paraId="7333AB43">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u w:val="single"/>
          <w14:textFill>
            <w14:solidFill>
              <w14:schemeClr w14:val="tx1"/>
            </w14:solidFill>
          </w14:textFill>
        </w:rPr>
        <w:t>因施工需要，经发包人批准，由承包人办理有关施工场地交通、环卫和施工噪音管理等手续，费用由承包人负责。</w:t>
      </w:r>
    </w:p>
    <w:p w14:paraId="2D31900D">
      <w:pPr>
        <w:spacing w:line="360" w:lineRule="auto"/>
        <w:ind w:firstLine="420" w:firstLineChars="200"/>
        <w:jc w:val="left"/>
        <w:rPr>
          <w:rFonts w:hAnsi="宋体" w:cs="宋体"/>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u w:val="single"/>
          <w14:textFill>
            <w14:solidFill>
              <w14:schemeClr w14:val="tx1"/>
            </w14:solidFill>
          </w14:textFill>
        </w:rPr>
        <w:t>经过城市道路的施工车辆，必须按交警、城管、运输等部门相关规定执行。由于施工车辆造成的道路、环境等污染，其责任和费用均由承包人承担。</w:t>
      </w:r>
    </w:p>
    <w:p w14:paraId="5804F59E">
      <w:pPr>
        <w:spacing w:line="360" w:lineRule="auto"/>
        <w:ind w:firstLine="420" w:firstLineChars="200"/>
        <w:jc w:val="left"/>
        <w:rPr>
          <w:rFonts w:hAnsi="宋体" w:cs="宋体"/>
          <w:color w:val="000000" w:themeColor="text1"/>
          <w:szCs w:val="22"/>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根据《南宁市挥发性有机物污染防治实施方案（2019-2020年）》（南环委办</w:t>
      </w:r>
      <w:r>
        <w:rPr>
          <w:rFonts w:hint="eastAsia" w:hAnsi="宋体"/>
          <w:color w:val="000000" w:themeColor="text1"/>
          <w:kern w:val="0"/>
          <w:szCs w:val="21"/>
          <w:highlight w:val="none"/>
          <w:u w:val="single"/>
          <w14:textFill>
            <w14:solidFill>
              <w14:schemeClr w14:val="tx1"/>
            </w14:solidFill>
          </w14:textFill>
        </w:rPr>
        <w:t>〔</w:t>
      </w:r>
      <w:r>
        <w:rPr>
          <w:rFonts w:hAnsi="宋体"/>
          <w:color w:val="000000" w:themeColor="text1"/>
          <w:kern w:val="0"/>
          <w:szCs w:val="21"/>
          <w:highlight w:val="none"/>
          <w:u w:val="single"/>
          <w14:textFill>
            <w14:solidFill>
              <w14:schemeClr w14:val="tx1"/>
            </w14:solidFill>
          </w14:textFill>
        </w:rPr>
        <w:t>20</w:t>
      </w:r>
      <w:r>
        <w:rPr>
          <w:rFonts w:hint="eastAsia" w:hAnsi="宋体"/>
          <w:color w:val="000000" w:themeColor="text1"/>
          <w:kern w:val="0"/>
          <w:szCs w:val="21"/>
          <w:highlight w:val="none"/>
          <w:u w:val="single"/>
          <w14:textFill>
            <w14:solidFill>
              <w14:schemeClr w14:val="tx1"/>
            </w14:solidFill>
          </w14:textFill>
        </w:rPr>
        <w:t>19〕166</w:t>
      </w:r>
      <w:r>
        <w:rPr>
          <w:rFonts w:hAnsi="宋体"/>
          <w:color w:val="000000" w:themeColor="text1"/>
          <w:kern w:val="0"/>
          <w:szCs w:val="21"/>
          <w:highlight w:val="none"/>
          <w:u w:val="single"/>
          <w14:textFill>
            <w14:solidFill>
              <w14:schemeClr w14:val="tx1"/>
            </w14:solidFill>
          </w14:textFill>
        </w:rPr>
        <w:t>号</w:t>
      </w:r>
      <w:r>
        <w:rPr>
          <w:rFonts w:hint="eastAsia" w:hAnsi="宋体"/>
          <w:color w:val="000000" w:themeColor="text1"/>
          <w:kern w:val="0"/>
          <w:szCs w:val="21"/>
          <w:highlight w:val="none"/>
          <w:u w:val="single"/>
          <w14:textFill>
            <w14:solidFill>
              <w14:schemeClr w14:val="tx1"/>
            </w14:solidFill>
          </w14:textFill>
        </w:rPr>
        <w:t>）文件精神，宜优先使用低VOCs含量的涂料、油漆和有机溶剂。</w:t>
      </w:r>
    </w:p>
    <w:bookmarkEnd w:id="347"/>
    <w:bookmarkEnd w:id="348"/>
    <w:bookmarkEnd w:id="349"/>
    <w:bookmarkEnd w:id="350"/>
    <w:bookmarkEnd w:id="351"/>
    <w:bookmarkEnd w:id="352"/>
    <w:bookmarkEnd w:id="353"/>
    <w:p w14:paraId="5EE6596F">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373" w:name="_Toc78449810"/>
      <w:bookmarkStart w:id="374" w:name="_Toc114058861"/>
      <w:bookmarkStart w:id="375" w:name="_Toc351203639"/>
      <w:bookmarkStart w:id="376" w:name="_Toc389065288"/>
      <w:bookmarkStart w:id="377" w:name="_Toc373478369"/>
      <w:bookmarkStart w:id="378" w:name="_Toc407135224"/>
      <w:bookmarkStart w:id="379" w:name="_Toc373227722"/>
      <w:r>
        <w:rPr>
          <w:rFonts w:ascii="Arial" w:hAnsi="Arial" w:eastAsia="黑体"/>
          <w:b/>
          <w:bCs/>
          <w:color w:val="000000" w:themeColor="text1"/>
          <w:sz w:val="32"/>
          <w:szCs w:val="32"/>
          <w:highlight w:val="none"/>
          <w:lang w:val="zh-CN"/>
          <w14:textFill>
            <w14:solidFill>
              <w14:schemeClr w14:val="tx1"/>
            </w14:solidFill>
          </w14:textFill>
        </w:rPr>
        <w:t xml:space="preserve">7. </w:t>
      </w:r>
      <w:r>
        <w:rPr>
          <w:rFonts w:hint="eastAsia" w:ascii="Arial" w:hAnsi="Arial" w:eastAsia="黑体" w:cs="黑体"/>
          <w:b/>
          <w:bCs/>
          <w:color w:val="000000" w:themeColor="text1"/>
          <w:sz w:val="32"/>
          <w:szCs w:val="32"/>
          <w:highlight w:val="none"/>
          <w:lang w:val="zh-CN"/>
          <w14:textFill>
            <w14:solidFill>
              <w14:schemeClr w14:val="tx1"/>
            </w14:solidFill>
          </w14:textFill>
        </w:rPr>
        <w:t>工期和进度</w:t>
      </w:r>
      <w:bookmarkEnd w:id="373"/>
      <w:bookmarkEnd w:id="374"/>
      <w:bookmarkEnd w:id="375"/>
      <w:bookmarkEnd w:id="376"/>
      <w:bookmarkEnd w:id="377"/>
      <w:bookmarkEnd w:id="378"/>
      <w:bookmarkEnd w:id="379"/>
    </w:p>
    <w:p w14:paraId="4648AB3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80" w:name="_Toc389065289"/>
      <w:bookmarkStart w:id="381" w:name="_Toc78449811"/>
      <w:bookmarkStart w:id="382" w:name="_Toc373227723"/>
      <w:bookmarkStart w:id="383" w:name="_Toc373478370"/>
      <w:bookmarkStart w:id="384" w:name="_Toc114058862"/>
      <w:bookmarkStart w:id="385" w:name="_Toc407135225"/>
      <w:r>
        <w:rPr>
          <w:rFonts w:eastAsia="黑体"/>
          <w:b/>
          <w:bCs/>
          <w:color w:val="000000" w:themeColor="text1"/>
          <w:sz w:val="32"/>
          <w:szCs w:val="32"/>
          <w:highlight w:val="none"/>
          <w:lang w:val="zh-CN"/>
          <w14:textFill>
            <w14:solidFill>
              <w14:schemeClr w14:val="tx1"/>
            </w14:solidFill>
          </w14:textFill>
        </w:rPr>
        <w:t xml:space="preserve">7.1 </w:t>
      </w:r>
      <w:r>
        <w:rPr>
          <w:rFonts w:hint="eastAsia" w:eastAsia="黑体" w:cs="黑体"/>
          <w:b/>
          <w:bCs/>
          <w:color w:val="000000" w:themeColor="text1"/>
          <w:sz w:val="32"/>
          <w:szCs w:val="32"/>
          <w:highlight w:val="none"/>
          <w:lang w:val="zh-CN"/>
          <w14:textFill>
            <w14:solidFill>
              <w14:schemeClr w14:val="tx1"/>
            </w14:solidFill>
          </w14:textFill>
        </w:rPr>
        <w:t>施工组织设计</w:t>
      </w:r>
      <w:bookmarkEnd w:id="380"/>
      <w:bookmarkEnd w:id="381"/>
      <w:bookmarkEnd w:id="382"/>
      <w:bookmarkEnd w:id="383"/>
      <w:bookmarkEnd w:id="384"/>
      <w:bookmarkEnd w:id="385"/>
    </w:p>
    <w:p w14:paraId="374532E2">
      <w:pPr>
        <w:autoSpaceDE w:val="0"/>
        <w:autoSpaceDN w:val="0"/>
        <w:adjustRightInd w:val="0"/>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7.1.1 </w:t>
      </w:r>
      <w:r>
        <w:rPr>
          <w:rFonts w:hAnsi="宋体"/>
          <w:color w:val="000000" w:themeColor="text1"/>
          <w:szCs w:val="21"/>
          <w:highlight w:val="none"/>
          <w14:textFill>
            <w14:solidFill>
              <w14:schemeClr w14:val="tx1"/>
            </w14:solidFill>
          </w14:textFill>
        </w:rPr>
        <w:t>合</w:t>
      </w:r>
      <w:r>
        <w:rPr>
          <w:rFonts w:hAnsi="宋体"/>
          <w:color w:val="000000" w:themeColor="text1"/>
          <w:kern w:val="0"/>
          <w:szCs w:val="21"/>
          <w:highlight w:val="none"/>
          <w14:textFill>
            <w14:solidFill>
              <w14:schemeClr w14:val="tx1"/>
            </w14:solidFill>
          </w14:textFill>
        </w:rPr>
        <w:t>同当事人约定的施工组织设计应包括的其他内容：</w:t>
      </w:r>
      <w:r>
        <w:rPr>
          <w:rFonts w:hint="eastAsia" w:ascii="宋体" w:hAnsi="宋体"/>
          <w:color w:val="000000" w:themeColor="text1"/>
          <w:szCs w:val="21"/>
          <w:highlight w:val="none"/>
          <w:u w:val="single"/>
          <w14:textFill>
            <w14:solidFill>
              <w14:schemeClr w14:val="tx1"/>
            </w14:solidFill>
          </w14:textFill>
        </w:rPr>
        <w:t>施工进度计划包括总进度计划、分阶段和分项进度计划、设备材料人员进场计划；施工方案说明包括分部、分项工程或工程部位的名称及施工顺序和方法。</w:t>
      </w:r>
    </w:p>
    <w:p w14:paraId="42FD11FC">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7.1.2 </w:t>
      </w:r>
      <w:r>
        <w:rPr>
          <w:rFonts w:hAnsi="宋体"/>
          <w:color w:val="000000" w:themeColor="text1"/>
          <w:kern w:val="0"/>
          <w:szCs w:val="21"/>
          <w:highlight w:val="none"/>
          <w14:textFill>
            <w14:solidFill>
              <w14:schemeClr w14:val="tx1"/>
            </w14:solidFill>
          </w14:textFill>
        </w:rPr>
        <w:t>施工组织设计的提交和修改</w:t>
      </w:r>
    </w:p>
    <w:p w14:paraId="7F05C6DC">
      <w:pPr>
        <w:autoSpaceDE w:val="0"/>
        <w:autoSpaceDN w:val="0"/>
        <w:adjustRightInd w:val="0"/>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承包人提交详细施工组织设计的期限的约定：</w:t>
      </w:r>
      <w:r>
        <w:rPr>
          <w:rFonts w:hint="eastAsia"/>
          <w:color w:val="000000" w:themeColor="text1"/>
          <w:szCs w:val="21"/>
          <w:highlight w:val="none"/>
          <w:u w:val="single"/>
          <w14:textFill>
            <w14:solidFill>
              <w14:schemeClr w14:val="tx1"/>
            </w14:solidFill>
          </w14:textFill>
        </w:rPr>
        <w:t>承包人应在开工前7日内，提交详细的施工组织设计，并报送监理人和发包人</w:t>
      </w:r>
      <w:r>
        <w:rPr>
          <w:rFonts w:hAnsi="宋体"/>
          <w:color w:val="000000" w:themeColor="text1"/>
          <w:szCs w:val="21"/>
          <w:highlight w:val="none"/>
          <w14:textFill>
            <w14:solidFill>
              <w14:schemeClr w14:val="tx1"/>
            </w14:solidFill>
          </w14:textFill>
        </w:rPr>
        <w:t>。</w:t>
      </w:r>
    </w:p>
    <w:p w14:paraId="157FD7CC">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发包人和监理人在收到详细的施工组织设计后确认或提出修改意见的期限：</w:t>
      </w:r>
      <w:r>
        <w:rPr>
          <w:rFonts w:hint="eastAsia"/>
          <w:color w:val="000000" w:themeColor="text1"/>
          <w:szCs w:val="21"/>
          <w:highlight w:val="none"/>
          <w:u w:val="single"/>
          <w14:textFill>
            <w14:solidFill>
              <w14:schemeClr w14:val="tx1"/>
            </w14:solidFill>
          </w14:textFill>
        </w:rPr>
        <w:t>收到详细施工组织设计后14天内确定或提出修改意见。对监理人和发包人提出合理意见和要求，承包人应自行修改完善</w:t>
      </w:r>
      <w:r>
        <w:rPr>
          <w:rFonts w:hint="eastAsia" w:hAnsi="宋体" w:cs="宋体"/>
          <w:color w:val="000000" w:themeColor="text1"/>
          <w:szCs w:val="21"/>
          <w:highlight w:val="none"/>
          <w14:textFill>
            <w14:solidFill>
              <w14:schemeClr w14:val="tx1"/>
            </w14:solidFill>
          </w14:textFill>
        </w:rPr>
        <w:t>。</w:t>
      </w:r>
    </w:p>
    <w:p w14:paraId="1A4E61C9">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86" w:name="_Toc389065290"/>
      <w:bookmarkStart w:id="387" w:name="_Toc373478371"/>
      <w:bookmarkStart w:id="388" w:name="_Toc373227724"/>
      <w:bookmarkStart w:id="389" w:name="_Toc78449812"/>
      <w:bookmarkStart w:id="390" w:name="_Toc114058863"/>
      <w:bookmarkStart w:id="391" w:name="_Toc407135226"/>
      <w:r>
        <w:rPr>
          <w:rFonts w:eastAsia="黑体"/>
          <w:b/>
          <w:bCs/>
          <w:color w:val="000000" w:themeColor="text1"/>
          <w:sz w:val="32"/>
          <w:szCs w:val="32"/>
          <w:highlight w:val="none"/>
          <w:lang w:val="zh-CN"/>
          <w14:textFill>
            <w14:solidFill>
              <w14:schemeClr w14:val="tx1"/>
            </w14:solidFill>
          </w14:textFill>
        </w:rPr>
        <w:t>7</w:t>
      </w:r>
      <w:bookmarkStart w:id="392" w:name="_Toc300934966"/>
      <w:bookmarkStart w:id="393" w:name="_Toc312677479"/>
      <w:bookmarkStart w:id="394" w:name="_Toc304295541"/>
      <w:bookmarkStart w:id="395" w:name="_Toc312678005"/>
      <w:bookmarkStart w:id="396" w:name="_Toc303539123"/>
      <w:bookmarkStart w:id="397" w:name="_Toc297216173"/>
      <w:bookmarkStart w:id="398" w:name="_Toc297123514"/>
      <w:r>
        <w:rPr>
          <w:rFonts w:eastAsia="黑体"/>
          <w:b/>
          <w:bCs/>
          <w:color w:val="000000" w:themeColor="text1"/>
          <w:sz w:val="32"/>
          <w:szCs w:val="32"/>
          <w:highlight w:val="none"/>
          <w:lang w:val="zh-CN"/>
          <w14:textFill>
            <w14:solidFill>
              <w14:schemeClr w14:val="tx1"/>
            </w14:solidFill>
          </w14:textFill>
        </w:rPr>
        <w:t xml:space="preserve">.2 </w:t>
      </w:r>
      <w:r>
        <w:rPr>
          <w:rFonts w:hint="eastAsia" w:eastAsia="黑体" w:cs="黑体"/>
          <w:b/>
          <w:bCs/>
          <w:color w:val="000000" w:themeColor="text1"/>
          <w:sz w:val="32"/>
          <w:szCs w:val="32"/>
          <w:highlight w:val="none"/>
          <w:lang w:val="zh-CN"/>
          <w14:textFill>
            <w14:solidFill>
              <w14:schemeClr w14:val="tx1"/>
            </w14:solidFill>
          </w14:textFill>
        </w:rPr>
        <w:t>施工进度计划</w:t>
      </w:r>
      <w:bookmarkEnd w:id="386"/>
      <w:bookmarkEnd w:id="387"/>
      <w:bookmarkEnd w:id="388"/>
      <w:bookmarkEnd w:id="389"/>
      <w:bookmarkEnd w:id="390"/>
      <w:bookmarkEnd w:id="391"/>
    </w:p>
    <w:p w14:paraId="53E497D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7.2.2 </w:t>
      </w:r>
      <w:r>
        <w:rPr>
          <w:rFonts w:hint="eastAsia" w:hAnsi="宋体" w:cs="宋体"/>
          <w:color w:val="000000" w:themeColor="text1"/>
          <w:szCs w:val="21"/>
          <w:highlight w:val="none"/>
          <w14:textFill>
            <w14:solidFill>
              <w14:schemeClr w14:val="tx1"/>
            </w14:solidFill>
          </w14:textFill>
        </w:rPr>
        <w:t>施工进度计划的修订</w:t>
      </w:r>
    </w:p>
    <w:p w14:paraId="5C8496B2">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发包人和监理人在收到修订的施工进度计划后确认或提出修改意见的期限：</w:t>
      </w:r>
      <w:r>
        <w:rPr>
          <w:rFonts w:hint="eastAsia"/>
          <w:color w:val="000000" w:themeColor="text1"/>
          <w:szCs w:val="21"/>
          <w:highlight w:val="none"/>
          <w:u w:val="single"/>
          <w14:textFill>
            <w14:solidFill>
              <w14:schemeClr w14:val="tx1"/>
            </w14:solidFill>
          </w14:textFill>
        </w:rPr>
        <w:t>承包人应在 开工前7日 编制详细的施工进度计划和施工方案说明报送监理人和发包人，其内容包括： 施工组织设计、专项方案、项目人员配备表等 。监理人和发包人应在14天内批复或提出修改意见，否则该进度计划视为已得到批准。经监理人和发包人批准的施工进度计划称施工进度计划，是控制合同工程进度的依据。承包人还应根据合同进度计划，编制更为详细的分阶段或分项进度计划，报监理人和发包人审批</w:t>
      </w:r>
      <w:r>
        <w:rPr>
          <w:rFonts w:hAnsi="宋体"/>
          <w:color w:val="000000" w:themeColor="text1"/>
          <w:szCs w:val="21"/>
          <w:highlight w:val="none"/>
          <w14:textFill>
            <w14:solidFill>
              <w14:schemeClr w14:val="tx1"/>
            </w14:solidFill>
          </w14:textFill>
        </w:rPr>
        <w:t>。</w:t>
      </w:r>
    </w:p>
    <w:p w14:paraId="127B783F">
      <w:pPr>
        <w:spacing w:line="360" w:lineRule="auto"/>
        <w:ind w:firstLine="422" w:firstLineChars="200"/>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7.2.3承包人所报的施工组织设计应包含详细、完整的施工总进度计划及符合行业相关规定的施工方案。进度计划应包括发包人直接发包的各专业工程进退场时间、预埋时间、竣工时间、各分项工程的开始和完工、验收时间等。此施工总进度计划一经发包人和监理人确认后，承包人应在每月的25日，向发包人和监理人提交最新的、经过修改的、动态的施工总进度计划（无论是否已发生变更），并由其审核确认，但对于发包人明确不得延误的阶段性施工目标不得擅自更改（合同已明确规定需延期或非承包人原因影响的除外）。如工程发生较大调整或发包人和监理人明确要求需要提交时，承包人应在接到通知5日内按发包人和监理人的要求，将最新的施工总进度计划予以提交。</w:t>
      </w:r>
    </w:p>
    <w:p w14:paraId="7652080C">
      <w:pPr>
        <w:spacing w:line="360" w:lineRule="auto"/>
        <w:ind w:firstLine="422" w:firstLineChars="200"/>
        <w:jc w:val="left"/>
        <w:rPr>
          <w:color w:val="000000" w:themeColor="text1"/>
          <w:szCs w:val="22"/>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7.2.4承包人应按照经监理人及发包人批准的施工组织设计中提供的施工进度计划按时完成工程进度。发包人每月考核一次，如承包人在考核期内未能完成当月工程进度，则每逾期一天，应向发包人支付违约金人民币1000元（该罚款与总工期延期罚款不冲突），并在当月进度款中抵扣。</w:t>
      </w:r>
    </w:p>
    <w:p w14:paraId="09D6FC6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399" w:name="_Toc114058864"/>
      <w:bookmarkStart w:id="400" w:name="_Toc78449813"/>
      <w:bookmarkStart w:id="401" w:name="_Toc373227725"/>
      <w:bookmarkStart w:id="402" w:name="_Toc407135227"/>
      <w:bookmarkStart w:id="403" w:name="_Toc389065291"/>
      <w:bookmarkStart w:id="404" w:name="_Toc373478372"/>
      <w:r>
        <w:rPr>
          <w:rFonts w:eastAsia="黑体"/>
          <w:b/>
          <w:bCs/>
          <w:color w:val="000000" w:themeColor="text1"/>
          <w:sz w:val="32"/>
          <w:szCs w:val="32"/>
          <w:highlight w:val="none"/>
          <w:lang w:val="zh-CN"/>
          <w14:textFill>
            <w14:solidFill>
              <w14:schemeClr w14:val="tx1"/>
            </w14:solidFill>
          </w14:textFill>
        </w:rPr>
        <w:t xml:space="preserve">7.3 </w:t>
      </w:r>
      <w:r>
        <w:rPr>
          <w:rFonts w:hint="eastAsia" w:eastAsia="黑体" w:cs="黑体"/>
          <w:b/>
          <w:bCs/>
          <w:color w:val="000000" w:themeColor="text1"/>
          <w:sz w:val="32"/>
          <w:szCs w:val="32"/>
          <w:highlight w:val="none"/>
          <w:lang w:val="zh-CN"/>
          <w14:textFill>
            <w14:solidFill>
              <w14:schemeClr w14:val="tx1"/>
            </w14:solidFill>
          </w14:textFill>
        </w:rPr>
        <w:t>开工</w:t>
      </w:r>
      <w:bookmarkEnd w:id="399"/>
      <w:bookmarkEnd w:id="400"/>
      <w:bookmarkEnd w:id="401"/>
      <w:bookmarkEnd w:id="402"/>
      <w:bookmarkEnd w:id="403"/>
      <w:bookmarkEnd w:id="404"/>
    </w:p>
    <w:p w14:paraId="671F8C32">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7.3.1 </w:t>
      </w:r>
      <w:r>
        <w:rPr>
          <w:rFonts w:hint="eastAsia" w:hAnsi="宋体" w:cs="宋体"/>
          <w:color w:val="000000" w:themeColor="text1"/>
          <w:szCs w:val="21"/>
          <w:highlight w:val="none"/>
          <w14:textFill>
            <w14:solidFill>
              <w14:schemeClr w14:val="tx1"/>
            </w14:solidFill>
          </w14:textFill>
        </w:rPr>
        <w:t>开工准备</w:t>
      </w:r>
    </w:p>
    <w:p w14:paraId="38B173A3">
      <w:pPr>
        <w:spacing w:line="360" w:lineRule="auto"/>
        <w:ind w:firstLine="426"/>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关于承包人提交</w:t>
      </w:r>
      <w:r>
        <w:rPr>
          <w:rFonts w:hAnsi="宋体"/>
          <w:color w:val="000000" w:themeColor="text1"/>
          <w:kern w:val="0"/>
          <w:szCs w:val="21"/>
          <w:highlight w:val="none"/>
          <w14:textFill>
            <w14:solidFill>
              <w14:schemeClr w14:val="tx1"/>
            </w14:solidFill>
          </w14:textFill>
        </w:rPr>
        <w:t>工程开工报审表的期限：</w:t>
      </w:r>
      <w:r>
        <w:rPr>
          <w:rFonts w:hint="eastAsia"/>
          <w:color w:val="000000" w:themeColor="text1"/>
          <w:szCs w:val="21"/>
          <w:highlight w:val="none"/>
          <w:u w:val="single"/>
          <w14:textFill>
            <w14:solidFill>
              <w14:schemeClr w14:val="tx1"/>
            </w14:solidFill>
          </w14:textFill>
        </w:rPr>
        <w:t>按审批的施工组织设计约定的期限</w:t>
      </w:r>
      <w:r>
        <w:rPr>
          <w:rFonts w:hAnsi="宋体"/>
          <w:color w:val="000000" w:themeColor="text1"/>
          <w:szCs w:val="21"/>
          <w:highlight w:val="none"/>
          <w14:textFill>
            <w14:solidFill>
              <w14:schemeClr w14:val="tx1"/>
            </w14:solidFill>
          </w14:textFill>
        </w:rPr>
        <w:t>。</w:t>
      </w:r>
    </w:p>
    <w:p w14:paraId="142766D2">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关于发包人应完成的其他开工准备工作及期限：</w:t>
      </w:r>
      <w:r>
        <w:rPr>
          <w:rFonts w:hint="eastAsia" w:ascii="宋体" w:hAnsi="宋体"/>
          <w:color w:val="000000" w:themeColor="text1"/>
          <w:szCs w:val="21"/>
          <w:highlight w:val="none"/>
          <w:u w:val="single"/>
          <w14:textFill>
            <w14:solidFill>
              <w14:schemeClr w14:val="tx1"/>
            </w14:solidFill>
          </w14:textFill>
        </w:rPr>
        <w:t>①开工前14天完成施工现场 “三通一平 ”工作，并满足施工要求；②开工前7天内发包人确定施工用水、用电接入点； ③按监理核批的施工组织设计，开工前7天内由承包方完成施工临时道路的修建，并承担修建费用；④开工前7天内将工程管线的资料提供给承包人并确保图纸的准确性、有效性及完整性，如因图纸有误造成的损失由发包人承担及由此产生的相关费用；⑤开工前7天内由发包人办理的施工所需证件、批件，因发包人证件资料不齐全，无法办理导致工程无法顺利进行，工期相应顺延；⑥开工前组织承包人和设计单位进行图纸会审，并由设计单位向承包人进行设计交底</w:t>
      </w:r>
      <w:r>
        <w:rPr>
          <w:rFonts w:hint="eastAsia" w:ascii="宋体" w:hAnsi="宋体"/>
          <w:color w:val="000000" w:themeColor="text1"/>
          <w:szCs w:val="21"/>
          <w:highlight w:val="none"/>
          <w14:textFill>
            <w14:solidFill>
              <w14:schemeClr w14:val="tx1"/>
            </w14:solidFill>
          </w14:textFill>
        </w:rPr>
        <w:t>。</w:t>
      </w:r>
    </w:p>
    <w:p w14:paraId="3EFDD4CC">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关于承包人应完成的其他开工准备工作及期限：</w:t>
      </w:r>
      <w:r>
        <w:rPr>
          <w:rFonts w:hint="eastAsia"/>
          <w:color w:val="000000" w:themeColor="text1"/>
          <w:szCs w:val="21"/>
          <w:highlight w:val="none"/>
          <w:u w:val="single"/>
          <w14:textFill>
            <w14:solidFill>
              <w14:schemeClr w14:val="tx1"/>
            </w14:solidFill>
          </w14:textFill>
        </w:rPr>
        <w:t>开工前7天</w:t>
      </w:r>
      <w:r>
        <w:rPr>
          <w:rFonts w:hint="eastAsia" w:hAnsi="宋体" w:cs="宋体"/>
          <w:color w:val="000000" w:themeColor="text1"/>
          <w:szCs w:val="21"/>
          <w:highlight w:val="none"/>
          <w14:textFill>
            <w14:solidFill>
              <w14:schemeClr w14:val="tx1"/>
            </w14:solidFill>
          </w14:textFill>
        </w:rPr>
        <w:t>。</w:t>
      </w:r>
    </w:p>
    <w:p w14:paraId="07EA3C0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7.3.2 </w:t>
      </w:r>
      <w:r>
        <w:rPr>
          <w:rFonts w:hint="eastAsia" w:hAnsi="宋体" w:cs="宋体"/>
          <w:color w:val="000000" w:themeColor="text1"/>
          <w:szCs w:val="21"/>
          <w:highlight w:val="none"/>
          <w14:textFill>
            <w14:solidFill>
              <w14:schemeClr w14:val="tx1"/>
            </w14:solidFill>
          </w14:textFill>
        </w:rPr>
        <w:t>开工通知</w:t>
      </w:r>
    </w:p>
    <w:p w14:paraId="72E193AC">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因发包人原因造成监理人未能在计划开工日期之日起</w:t>
      </w:r>
      <w:r>
        <w:rPr>
          <w:rFonts w:hint="eastAsia"/>
          <w:color w:val="000000" w:themeColor="text1"/>
          <w:szCs w:val="21"/>
          <w:highlight w:val="none"/>
          <w:u w:val="single"/>
          <w14:textFill>
            <w14:solidFill>
              <w14:schemeClr w14:val="tx1"/>
            </w14:solidFill>
          </w14:textFill>
        </w:rPr>
        <w:t>180</w:t>
      </w:r>
      <w:r>
        <w:rPr>
          <w:rFonts w:hAnsi="宋体"/>
          <w:color w:val="000000" w:themeColor="text1"/>
          <w:szCs w:val="21"/>
          <w:highlight w:val="none"/>
          <w14:textFill>
            <w14:solidFill>
              <w14:schemeClr w14:val="tx1"/>
            </w14:solidFill>
          </w14:textFill>
        </w:rPr>
        <w:t>天内发出开工通知的，承包人有权提出价格调整要求，或者解除合同</w:t>
      </w:r>
      <w:r>
        <w:rPr>
          <w:rFonts w:hint="eastAsia" w:hAnsi="宋体" w:cs="宋体"/>
          <w:color w:val="000000" w:themeColor="text1"/>
          <w:szCs w:val="21"/>
          <w:highlight w:val="none"/>
          <w14:textFill>
            <w14:solidFill>
              <w14:schemeClr w14:val="tx1"/>
            </w14:solidFill>
          </w14:textFill>
        </w:rPr>
        <w:t>。</w:t>
      </w:r>
    </w:p>
    <w:bookmarkEnd w:id="392"/>
    <w:bookmarkEnd w:id="393"/>
    <w:bookmarkEnd w:id="394"/>
    <w:bookmarkEnd w:id="395"/>
    <w:bookmarkEnd w:id="396"/>
    <w:bookmarkEnd w:id="397"/>
    <w:bookmarkEnd w:id="398"/>
    <w:p w14:paraId="009BF5C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05" w:name="_Toc373478373"/>
      <w:bookmarkStart w:id="406" w:name="_Toc389065292"/>
      <w:bookmarkStart w:id="407" w:name="_Toc373227726"/>
      <w:bookmarkStart w:id="408" w:name="_Toc78449814"/>
      <w:bookmarkStart w:id="409" w:name="_Toc114058865"/>
      <w:bookmarkStart w:id="410" w:name="_Toc407135228"/>
      <w:r>
        <w:rPr>
          <w:rFonts w:eastAsia="黑体"/>
          <w:b/>
          <w:bCs/>
          <w:color w:val="000000" w:themeColor="text1"/>
          <w:sz w:val="32"/>
          <w:szCs w:val="32"/>
          <w:highlight w:val="none"/>
          <w:lang w:val="zh-CN"/>
          <w14:textFill>
            <w14:solidFill>
              <w14:schemeClr w14:val="tx1"/>
            </w14:solidFill>
          </w14:textFill>
        </w:rPr>
        <w:t xml:space="preserve">7.4 </w:t>
      </w:r>
      <w:r>
        <w:rPr>
          <w:rFonts w:hint="eastAsia" w:hAnsi="宋体" w:eastAsia="黑体" w:cs="黑体"/>
          <w:b/>
          <w:bCs/>
          <w:color w:val="000000" w:themeColor="text1"/>
          <w:sz w:val="32"/>
          <w:szCs w:val="32"/>
          <w:highlight w:val="none"/>
          <w:lang w:val="zh-CN"/>
          <w14:textFill>
            <w14:solidFill>
              <w14:schemeClr w14:val="tx1"/>
            </w14:solidFill>
          </w14:textFill>
        </w:rPr>
        <w:t>测量放线</w:t>
      </w:r>
      <w:bookmarkEnd w:id="405"/>
      <w:bookmarkEnd w:id="406"/>
      <w:bookmarkEnd w:id="407"/>
      <w:bookmarkEnd w:id="408"/>
      <w:bookmarkEnd w:id="409"/>
      <w:bookmarkEnd w:id="410"/>
    </w:p>
    <w:p w14:paraId="0D9ABD8B">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7.4.1</w:t>
      </w:r>
      <w:r>
        <w:rPr>
          <w:rFonts w:hint="eastAsia" w:hAnsi="宋体" w:cs="宋体"/>
          <w:color w:val="000000" w:themeColor="text1"/>
          <w:szCs w:val="21"/>
          <w:highlight w:val="none"/>
          <w14:textFill>
            <w14:solidFill>
              <w14:schemeClr w14:val="tx1"/>
            </w14:solidFill>
          </w14:textFill>
        </w:rPr>
        <w:t>发包人通过监理人向承包人提供测量基准点、基准线和水准点及其书面资料的期限：</w:t>
      </w:r>
    </w:p>
    <w:p w14:paraId="19CD3B4C">
      <w:pPr>
        <w:spacing w:line="360" w:lineRule="auto"/>
        <w:jc w:val="left"/>
        <w:rPr>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开工前7天，发包人用书面形式交给承包人。承包人应根据国家测绘基准、测绘系统和工程测量技术规范，按上述基准点（线）以及合同工程精度要求，测设施工控制网，并在7个工作日期限内，将施工控制网资料报送监理人审批</w:t>
      </w:r>
      <w:r>
        <w:rPr>
          <w:rFonts w:hint="eastAsia" w:hAnsi="宋体" w:cs="宋体"/>
          <w:color w:val="000000" w:themeColor="text1"/>
          <w:szCs w:val="21"/>
          <w:highlight w:val="none"/>
          <w14:textFill>
            <w14:solidFill>
              <w14:schemeClr w14:val="tx1"/>
            </w14:solidFill>
          </w14:textFill>
        </w:rPr>
        <w:t>。</w:t>
      </w:r>
    </w:p>
    <w:p w14:paraId="65258AA0">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11" w:name="_Toc114058866"/>
      <w:bookmarkStart w:id="412" w:name="_Toc407135229"/>
      <w:bookmarkStart w:id="413" w:name="_Toc389065293"/>
      <w:bookmarkStart w:id="414" w:name="_Toc373478374"/>
      <w:bookmarkStart w:id="415" w:name="_Toc373227727"/>
      <w:bookmarkStart w:id="416" w:name="_Toc78449815"/>
      <w:r>
        <w:rPr>
          <w:rFonts w:eastAsia="黑体"/>
          <w:b/>
          <w:bCs/>
          <w:color w:val="000000" w:themeColor="text1"/>
          <w:sz w:val="32"/>
          <w:szCs w:val="32"/>
          <w:highlight w:val="none"/>
          <w:lang w:val="zh-CN"/>
          <w14:textFill>
            <w14:solidFill>
              <w14:schemeClr w14:val="tx1"/>
            </w14:solidFill>
          </w14:textFill>
        </w:rPr>
        <w:t>7</w:t>
      </w:r>
      <w:bookmarkStart w:id="417" w:name="_Toc297123516"/>
      <w:bookmarkStart w:id="418" w:name="_Toc297216175"/>
      <w:bookmarkStart w:id="419" w:name="_Toc304295546"/>
      <w:bookmarkStart w:id="420" w:name="_Toc312677484"/>
      <w:bookmarkStart w:id="421" w:name="_Toc300934968"/>
      <w:bookmarkStart w:id="422" w:name="_Toc312678010"/>
      <w:bookmarkStart w:id="423" w:name="_Toc303539125"/>
      <w:r>
        <w:rPr>
          <w:rFonts w:eastAsia="黑体"/>
          <w:b/>
          <w:bCs/>
          <w:color w:val="000000" w:themeColor="text1"/>
          <w:sz w:val="32"/>
          <w:szCs w:val="32"/>
          <w:highlight w:val="none"/>
          <w:lang w:val="zh-CN"/>
          <w14:textFill>
            <w14:solidFill>
              <w14:schemeClr w14:val="tx1"/>
            </w14:solidFill>
          </w14:textFill>
        </w:rPr>
        <w:t xml:space="preserve">.5 </w:t>
      </w:r>
      <w:r>
        <w:rPr>
          <w:rFonts w:hint="eastAsia" w:hAnsi="宋体" w:eastAsia="黑体" w:cs="黑体"/>
          <w:b/>
          <w:bCs/>
          <w:color w:val="000000" w:themeColor="text1"/>
          <w:sz w:val="32"/>
          <w:szCs w:val="32"/>
          <w:highlight w:val="none"/>
          <w:lang w:val="zh-CN"/>
          <w14:textFill>
            <w14:solidFill>
              <w14:schemeClr w14:val="tx1"/>
            </w14:solidFill>
          </w14:textFill>
        </w:rPr>
        <w:t>工期延误</w:t>
      </w:r>
      <w:bookmarkEnd w:id="411"/>
      <w:bookmarkEnd w:id="412"/>
      <w:bookmarkEnd w:id="413"/>
      <w:bookmarkEnd w:id="414"/>
      <w:bookmarkEnd w:id="415"/>
      <w:bookmarkEnd w:id="416"/>
    </w:p>
    <w:bookmarkEnd w:id="417"/>
    <w:bookmarkEnd w:id="418"/>
    <w:bookmarkEnd w:id="419"/>
    <w:bookmarkEnd w:id="420"/>
    <w:bookmarkEnd w:id="421"/>
    <w:bookmarkEnd w:id="422"/>
    <w:bookmarkEnd w:id="423"/>
    <w:p w14:paraId="3D847BC8">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7.5.1 </w:t>
      </w:r>
      <w:r>
        <w:rPr>
          <w:rFonts w:hint="eastAsia" w:hAnsi="宋体" w:cs="宋体"/>
          <w:color w:val="000000" w:themeColor="text1"/>
          <w:szCs w:val="21"/>
          <w:highlight w:val="none"/>
          <w14:textFill>
            <w14:solidFill>
              <w14:schemeClr w14:val="tx1"/>
            </w14:solidFill>
          </w14:textFill>
        </w:rPr>
        <w:t>因发包人原因导致工期延误</w:t>
      </w:r>
    </w:p>
    <w:p w14:paraId="3123FF47">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7</w:t>
      </w:r>
      <w:r>
        <w:rPr>
          <w:rFonts w:hint="eastAsia" w:hAnsi="宋体" w:cs="宋体"/>
          <w:color w:val="000000" w:themeColor="text1"/>
          <w:szCs w:val="21"/>
          <w:highlight w:val="none"/>
          <w14:textFill>
            <w14:solidFill>
              <w14:schemeClr w14:val="tx1"/>
            </w14:solidFill>
          </w14:textFill>
        </w:rPr>
        <w:t>）因发包人原因导致工期延误的其他情形：</w:t>
      </w:r>
      <w:r>
        <w:rPr>
          <w:rFonts w:hint="eastAsia" w:ascii="宋体" w:hAnsi="宋体"/>
          <w:color w:val="000000" w:themeColor="text1"/>
          <w:szCs w:val="21"/>
          <w:highlight w:val="none"/>
          <w:u w:val="single"/>
          <w14:textFill>
            <w14:solidFill>
              <w14:schemeClr w14:val="tx1"/>
            </w14:solidFill>
          </w14:textFill>
        </w:rPr>
        <w:t>①重大设计变更而影响施工进度，工程变更和工程量增加的；②发包人未能按合同要求配合施工或因发包人原因造成的延误、故障、人为阻止施工导致停工时；③下雨天日降雨量达60mm以上持续4小时及以上的大雨的，且经监理方确认确实影响到施工的情形，可顺延一天，</w:t>
      </w:r>
      <w:r>
        <w:rPr>
          <w:rFonts w:hint="eastAsia" w:ascii="宋体" w:hAnsi="宋体"/>
          <w:color w:val="000000" w:themeColor="text1"/>
          <w:szCs w:val="21"/>
          <w:highlight w:val="none"/>
          <w:u w:val="single"/>
          <w:lang w:eastAsia="zh-CN"/>
          <w14:textFill>
            <w14:solidFill>
              <w14:schemeClr w14:val="tx1"/>
            </w14:solidFill>
          </w14:textFill>
        </w:rPr>
        <w:t>依次类推</w:t>
      </w:r>
      <w:r>
        <w:rPr>
          <w:rFonts w:hint="eastAsia" w:ascii="宋体" w:hAnsi="宋体"/>
          <w:color w:val="000000" w:themeColor="text1"/>
          <w:szCs w:val="21"/>
          <w:highlight w:val="none"/>
          <w:u w:val="single"/>
          <w14:textFill>
            <w14:solidFill>
              <w14:schemeClr w14:val="tx1"/>
            </w14:solidFill>
          </w14:textFill>
        </w:rPr>
        <w:t>；④每日非承包人原因停水停电，累计超过4小时可顺延一日；或一周内，非承包人原因停水、停电累计超过8个小时可顺延一日；⑤非承包人责任而造成的停工和工期延误及工程师同意或承包人有证据证明可顺延工期的其他情形，且经监理方确认确实影响到施工的情形；发生专用条款第7.7项约定的异常恶劣的气候条件的情形并对工程进度产生影响的；⑥其余工期顺延的情况按本合同《通用条款》第7.5.1条第（1）～（6）款的规定执行；⑦按施工条件规定，发包人不能提供“三通一平”影响进场施工；⑧发包人或监理人发出错误的施工指令导致工期延误；⑨政府指令性停工（除高考、中考、东盟、春节休假以外）、或不可抗力因素而延误工期。</w:t>
      </w:r>
    </w:p>
    <w:p w14:paraId="27056CAB">
      <w:pPr>
        <w:spacing w:line="360" w:lineRule="auto"/>
        <w:ind w:firstLine="422" w:firstLineChars="200"/>
        <w:jc w:val="left"/>
        <w:rPr>
          <w:rFonts w:hAnsi="宋体" w:cs="宋体"/>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以上延误工期情况发生后十四日内，承包人应向监理和发包人提出书面申请，监理人及时审核确认无误后书面报告发包人。若承包人不提出或逾期提出，则视为承包人放弃此权利。若发包人14日内未回复，</w:t>
      </w:r>
      <w:r>
        <w:rPr>
          <w:rFonts w:hint="eastAsia" w:ascii="宋体" w:hAnsi="宋体"/>
          <w:b/>
          <w:bCs/>
          <w:color w:val="000000" w:themeColor="text1"/>
          <w:szCs w:val="21"/>
          <w:highlight w:val="none"/>
          <w:lang w:eastAsia="zh-CN"/>
          <w14:textFill>
            <w14:solidFill>
              <w14:schemeClr w14:val="tx1"/>
            </w14:solidFill>
          </w14:textFill>
        </w:rPr>
        <w:t>视为</w:t>
      </w:r>
      <w:r>
        <w:rPr>
          <w:rFonts w:hint="eastAsia" w:ascii="宋体" w:hAnsi="宋体"/>
          <w:b/>
          <w:bCs/>
          <w:color w:val="000000" w:themeColor="text1"/>
          <w:szCs w:val="21"/>
          <w:highlight w:val="none"/>
          <w14:textFill>
            <w14:solidFill>
              <w14:schemeClr w14:val="tx1"/>
            </w14:solidFill>
          </w14:textFill>
        </w:rPr>
        <w:t>默认承包人工期延误。</w:t>
      </w:r>
    </w:p>
    <w:p w14:paraId="4736E981">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bookmarkStart w:id="424" w:name="_Toc304295548"/>
      <w:bookmarkStart w:id="425" w:name="_Toc318581169"/>
      <w:bookmarkStart w:id="426" w:name="_Toc303539127"/>
      <w:bookmarkStart w:id="427" w:name="_Toc297216177"/>
      <w:bookmarkStart w:id="428" w:name="_Toc300934970"/>
      <w:bookmarkStart w:id="429" w:name="_Toc297123518"/>
      <w:bookmarkStart w:id="430" w:name="_Toc312677486"/>
      <w:bookmarkStart w:id="431" w:name="_Toc312678012"/>
      <w:r>
        <w:rPr>
          <w:color w:val="000000" w:themeColor="text1"/>
          <w:szCs w:val="21"/>
          <w:highlight w:val="none"/>
          <w14:textFill>
            <w14:solidFill>
              <w14:schemeClr w14:val="tx1"/>
            </w14:solidFill>
          </w14:textFill>
        </w:rPr>
        <w:t xml:space="preserve">.5.2 </w:t>
      </w:r>
      <w:r>
        <w:rPr>
          <w:rFonts w:hint="eastAsia" w:hAnsi="宋体" w:cs="宋体"/>
          <w:color w:val="000000" w:themeColor="text1"/>
          <w:szCs w:val="21"/>
          <w:highlight w:val="none"/>
          <w14:textFill>
            <w14:solidFill>
              <w14:schemeClr w14:val="tx1"/>
            </w14:solidFill>
          </w14:textFill>
        </w:rPr>
        <w:t>因承包人原因导致工期延误</w:t>
      </w:r>
    </w:p>
    <w:bookmarkEnd w:id="424"/>
    <w:bookmarkEnd w:id="425"/>
    <w:bookmarkEnd w:id="426"/>
    <w:bookmarkEnd w:id="427"/>
    <w:bookmarkEnd w:id="428"/>
    <w:bookmarkEnd w:id="429"/>
    <w:bookmarkEnd w:id="430"/>
    <w:bookmarkEnd w:id="431"/>
    <w:p w14:paraId="7EB184C3">
      <w:pPr>
        <w:spacing w:line="360" w:lineRule="auto"/>
        <w:ind w:firstLine="420" w:firstLineChars="200"/>
        <w:jc w:val="left"/>
        <w:rPr>
          <w:color w:val="000000" w:themeColor="text1"/>
          <w:szCs w:val="21"/>
          <w:highlight w:val="none"/>
          <w14:textFill>
            <w14:solidFill>
              <w14:schemeClr w14:val="tx1"/>
            </w14:solidFill>
          </w14:textFill>
        </w:rPr>
      </w:pPr>
      <w:bookmarkStart w:id="432" w:name="_Toc318581171"/>
      <w:bookmarkStart w:id="433" w:name="_Toc312678014"/>
      <w:r>
        <w:rPr>
          <w:rFonts w:hAnsi="宋体"/>
          <w:color w:val="000000" w:themeColor="text1"/>
          <w:szCs w:val="21"/>
          <w:highlight w:val="none"/>
          <w14:textFill>
            <w14:solidFill>
              <w14:schemeClr w14:val="tx1"/>
            </w14:solidFill>
          </w14:textFill>
        </w:rPr>
        <w:t>双方约定经监理工程师确认，工期相应顺延的情况：</w:t>
      </w:r>
      <w:r>
        <w:rPr>
          <w:rFonts w:hint="eastAsia"/>
          <w:color w:val="000000" w:themeColor="text1"/>
          <w:szCs w:val="21"/>
          <w:highlight w:val="none"/>
          <w:u w:val="single"/>
          <w14:textFill>
            <w14:solidFill>
              <w14:schemeClr w14:val="tx1"/>
            </w14:solidFill>
          </w14:textFill>
        </w:rPr>
        <w:t>不可抗力的原因</w:t>
      </w:r>
      <w:r>
        <w:rPr>
          <w:rFonts w:hAnsi="宋体"/>
          <w:color w:val="000000" w:themeColor="text1"/>
          <w:szCs w:val="21"/>
          <w:highlight w:val="none"/>
          <w14:textFill>
            <w14:solidFill>
              <w14:schemeClr w14:val="tx1"/>
            </w14:solidFill>
          </w14:textFill>
        </w:rPr>
        <w:t>。</w:t>
      </w:r>
    </w:p>
    <w:p w14:paraId="4FB30080">
      <w:pPr>
        <w:spacing w:line="360" w:lineRule="auto"/>
        <w:ind w:firstLine="315" w:firstLineChars="150"/>
        <w:jc w:val="left"/>
        <w:rPr>
          <w:rFonts w:ascii="宋体" w:hAnsi="宋体"/>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因</w:t>
      </w:r>
      <w:bookmarkStart w:id="434" w:name="_Toc312678013"/>
      <w:bookmarkStart w:id="435" w:name="_Toc318581170"/>
      <w:bookmarkStart w:id="436" w:name="_Toc312677487"/>
      <w:r>
        <w:rPr>
          <w:rFonts w:hAnsi="宋体"/>
          <w:color w:val="000000" w:themeColor="text1"/>
          <w:szCs w:val="21"/>
          <w:highlight w:val="none"/>
          <w14:textFill>
            <w14:solidFill>
              <w14:schemeClr w14:val="tx1"/>
            </w14:solidFill>
          </w14:textFill>
        </w:rPr>
        <w:t>承包人原因造成工期延误，逾期竣工违约金的计算方法为：</w:t>
      </w:r>
      <w:bookmarkEnd w:id="434"/>
      <w:bookmarkEnd w:id="435"/>
      <w:bookmarkEnd w:id="436"/>
      <w:r>
        <w:rPr>
          <w:rFonts w:hint="eastAsia" w:ascii="宋体" w:hAnsi="宋体"/>
          <w:color w:val="000000" w:themeColor="text1"/>
          <w:szCs w:val="21"/>
          <w:highlight w:val="none"/>
          <w:u w:val="single"/>
          <w14:textFill>
            <w14:solidFill>
              <w14:schemeClr w14:val="tx1"/>
            </w14:solidFill>
          </w14:textFill>
        </w:rPr>
        <w:t>非上述原因，承包人不能按合同约定的时间竣工，承包人应承担违约责任。应向发包人支付误期赔偿费（每天赔偿金额为合同总价款的万分之四），误期时间从规定竣工日期起直到全部工程或相应部分工程竣工验收各方签章日期之间的天数（扣除发包人批准顺延的工期）。发包人可从应向承包人支付的任何金额中扣除此项</w:t>
      </w:r>
      <w:r>
        <w:rPr>
          <w:rFonts w:hint="eastAsia" w:ascii="宋体" w:hAnsi="宋体"/>
          <w:color w:val="000000" w:themeColor="text1"/>
          <w:szCs w:val="21"/>
          <w:highlight w:val="none"/>
          <w:u w:val="single"/>
          <w:lang w:eastAsia="zh-CN"/>
          <w14:textFill>
            <w14:solidFill>
              <w14:schemeClr w14:val="tx1"/>
            </w14:solidFill>
          </w14:textFill>
        </w:rPr>
        <w:t>赔偿费</w:t>
      </w:r>
      <w:r>
        <w:rPr>
          <w:rFonts w:hint="eastAsia" w:ascii="宋体" w:hAnsi="宋体"/>
          <w:color w:val="000000" w:themeColor="text1"/>
          <w:szCs w:val="21"/>
          <w:highlight w:val="none"/>
          <w:u w:val="single"/>
          <w14:textFill>
            <w14:solidFill>
              <w14:schemeClr w14:val="tx1"/>
            </w14:solidFill>
          </w14:textFill>
        </w:rPr>
        <w:t>或其他方式收回此款，此赔偿款的支付并不能免除承包人应完成工程的责任或合同规定的其他责任。</w:t>
      </w:r>
    </w:p>
    <w:p w14:paraId="7F53EE92">
      <w:pPr>
        <w:spacing w:line="360" w:lineRule="auto"/>
        <w:ind w:firstLine="420" w:firstLineChars="200"/>
        <w:jc w:val="left"/>
        <w:rPr>
          <w:rFonts w:hAnsi="宋体" w:cs="宋体"/>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因承包人原因造成工期延误，逾期竣工违约金的上限：</w:t>
      </w:r>
      <w:r>
        <w:rPr>
          <w:rFonts w:hint="eastAsia" w:hAnsi="宋体" w:cs="宋体"/>
          <w:color w:val="000000" w:themeColor="text1"/>
          <w:szCs w:val="21"/>
          <w:highlight w:val="none"/>
          <w:u w:val="single"/>
          <w14:textFill>
            <w14:solidFill>
              <w14:schemeClr w14:val="tx1"/>
            </w14:solidFill>
          </w14:textFill>
        </w:rPr>
        <w:t>签约合同价扣除发包人材料价款、暂估专业工程、暂列金额后的3% 。</w:t>
      </w:r>
    </w:p>
    <w:bookmarkEnd w:id="432"/>
    <w:bookmarkEnd w:id="433"/>
    <w:p w14:paraId="3907760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37" w:name="_Toc373478375"/>
      <w:bookmarkStart w:id="438" w:name="_Toc373227728"/>
      <w:bookmarkStart w:id="439" w:name="_Toc389065294"/>
      <w:bookmarkStart w:id="440" w:name="_Toc78449816"/>
      <w:bookmarkStart w:id="441" w:name="_Toc407135230"/>
      <w:bookmarkStart w:id="442" w:name="_Toc114058867"/>
      <w:r>
        <w:rPr>
          <w:rFonts w:eastAsia="黑体"/>
          <w:b/>
          <w:bCs/>
          <w:color w:val="000000" w:themeColor="text1"/>
          <w:sz w:val="32"/>
          <w:szCs w:val="32"/>
          <w:highlight w:val="none"/>
          <w:lang w:val="zh-CN"/>
          <w14:textFill>
            <w14:solidFill>
              <w14:schemeClr w14:val="tx1"/>
            </w14:solidFill>
          </w14:textFill>
        </w:rPr>
        <w:t>7</w:t>
      </w:r>
      <w:bookmarkStart w:id="443" w:name="_Toc297216178"/>
      <w:bookmarkStart w:id="444" w:name="_Toc300934971"/>
      <w:bookmarkStart w:id="445" w:name="_Toc297123519"/>
      <w:bookmarkStart w:id="446" w:name="_Toc304295549"/>
      <w:bookmarkStart w:id="447" w:name="_Toc303539128"/>
      <w:bookmarkStart w:id="448" w:name="_Toc312678015"/>
      <w:r>
        <w:rPr>
          <w:rFonts w:eastAsia="黑体"/>
          <w:b/>
          <w:bCs/>
          <w:color w:val="000000" w:themeColor="text1"/>
          <w:sz w:val="32"/>
          <w:szCs w:val="32"/>
          <w:highlight w:val="none"/>
          <w:lang w:val="zh-CN"/>
          <w14:textFill>
            <w14:solidFill>
              <w14:schemeClr w14:val="tx1"/>
            </w14:solidFill>
          </w14:textFill>
        </w:rPr>
        <w:t xml:space="preserve">.6 </w:t>
      </w:r>
      <w:r>
        <w:rPr>
          <w:rFonts w:hint="eastAsia" w:eastAsia="黑体" w:cs="黑体"/>
          <w:b/>
          <w:bCs/>
          <w:color w:val="000000" w:themeColor="text1"/>
          <w:sz w:val="32"/>
          <w:szCs w:val="32"/>
          <w:highlight w:val="none"/>
          <w:lang w:val="zh-CN"/>
          <w14:textFill>
            <w14:solidFill>
              <w14:schemeClr w14:val="tx1"/>
            </w14:solidFill>
          </w14:textFill>
        </w:rPr>
        <w:t>不</w:t>
      </w:r>
      <w:bookmarkEnd w:id="443"/>
      <w:bookmarkEnd w:id="444"/>
      <w:bookmarkEnd w:id="445"/>
      <w:bookmarkEnd w:id="446"/>
      <w:bookmarkEnd w:id="447"/>
      <w:bookmarkEnd w:id="448"/>
      <w:r>
        <w:rPr>
          <w:rFonts w:hint="eastAsia" w:eastAsia="黑体" w:cs="黑体"/>
          <w:b/>
          <w:bCs/>
          <w:color w:val="000000" w:themeColor="text1"/>
          <w:sz w:val="32"/>
          <w:szCs w:val="32"/>
          <w:highlight w:val="none"/>
          <w:lang w:val="zh-CN"/>
          <w14:textFill>
            <w14:solidFill>
              <w14:schemeClr w14:val="tx1"/>
            </w14:solidFill>
          </w14:textFill>
        </w:rPr>
        <w:t>利物质条件</w:t>
      </w:r>
      <w:bookmarkEnd w:id="437"/>
      <w:bookmarkEnd w:id="438"/>
      <w:bookmarkEnd w:id="439"/>
      <w:bookmarkEnd w:id="440"/>
      <w:bookmarkEnd w:id="441"/>
      <w:bookmarkEnd w:id="442"/>
    </w:p>
    <w:p w14:paraId="79CF8007">
      <w:pPr>
        <w:spacing w:line="360" w:lineRule="auto"/>
        <w:ind w:firstLine="420" w:firstLineChars="200"/>
        <w:jc w:val="left"/>
        <w:rPr>
          <w:color w:val="000000" w:themeColor="text1"/>
          <w:szCs w:val="21"/>
          <w:highlight w:val="none"/>
          <w:u w:val="single"/>
          <w14:textFill>
            <w14:solidFill>
              <w14:schemeClr w14:val="tx1"/>
            </w14:solidFill>
          </w14:textFill>
        </w:rPr>
      </w:pPr>
      <w:bookmarkStart w:id="449" w:name="_Toc304295550"/>
      <w:bookmarkStart w:id="450" w:name="_Toc318581172"/>
      <w:bookmarkStart w:id="451" w:name="_Toc297216179"/>
      <w:bookmarkStart w:id="452" w:name="_Toc303539129"/>
      <w:bookmarkStart w:id="453" w:name="_Toc312678016"/>
      <w:bookmarkStart w:id="454" w:name="_Toc300934972"/>
      <w:bookmarkStart w:id="455" w:name="_Toc297123520"/>
      <w:r>
        <w:rPr>
          <w:rFonts w:hint="eastAsia" w:hAnsi="宋体" w:cs="宋体"/>
          <w:color w:val="000000" w:themeColor="text1"/>
          <w:szCs w:val="21"/>
          <w:highlight w:val="none"/>
          <w14:textFill>
            <w14:solidFill>
              <w14:schemeClr w14:val="tx1"/>
            </w14:solidFill>
          </w14:textFill>
        </w:rPr>
        <w:t>不利物质条件的其他情形和有关约定：</w:t>
      </w:r>
      <w:r>
        <w:rPr>
          <w:rFonts w:hint="eastAsia" w:ascii="宋体" w:hAnsi="宋体"/>
          <w:color w:val="000000" w:themeColor="text1"/>
          <w:szCs w:val="21"/>
          <w:highlight w:val="none"/>
          <w:u w:val="single"/>
          <w14:textFill>
            <w14:solidFill>
              <w14:schemeClr w14:val="tx1"/>
            </w14:solidFill>
          </w14:textFill>
        </w:rPr>
        <w:t>因不利物质条件的原因导致承包人暂停施工的，由监理方确认是否给予工期顺延或费用补偿</w:t>
      </w:r>
      <w:r>
        <w:rPr>
          <w:rFonts w:hint="eastAsia" w:hAnsi="宋体" w:cs="宋体"/>
          <w:color w:val="000000" w:themeColor="text1"/>
          <w:szCs w:val="21"/>
          <w:highlight w:val="none"/>
          <w14:textFill>
            <w14:solidFill>
              <w14:schemeClr w14:val="tx1"/>
            </w14:solidFill>
          </w14:textFill>
        </w:rPr>
        <w:t>。</w:t>
      </w:r>
    </w:p>
    <w:bookmarkEnd w:id="449"/>
    <w:bookmarkEnd w:id="450"/>
    <w:bookmarkEnd w:id="451"/>
    <w:bookmarkEnd w:id="452"/>
    <w:bookmarkEnd w:id="453"/>
    <w:bookmarkEnd w:id="454"/>
    <w:bookmarkEnd w:id="455"/>
    <w:p w14:paraId="0B969149">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56" w:name="_Toc78449817"/>
      <w:bookmarkStart w:id="457" w:name="_Toc389065295"/>
      <w:bookmarkStart w:id="458" w:name="_Toc407135231"/>
      <w:bookmarkStart w:id="459" w:name="_Toc373227729"/>
      <w:bookmarkStart w:id="460" w:name="_Toc373478376"/>
      <w:bookmarkStart w:id="461" w:name="_Toc114058868"/>
      <w:r>
        <w:rPr>
          <w:rFonts w:eastAsia="黑体"/>
          <w:b/>
          <w:bCs/>
          <w:color w:val="000000" w:themeColor="text1"/>
          <w:sz w:val="32"/>
          <w:szCs w:val="32"/>
          <w:highlight w:val="none"/>
          <w:lang w:val="zh-CN"/>
          <w14:textFill>
            <w14:solidFill>
              <w14:schemeClr w14:val="tx1"/>
            </w14:solidFill>
          </w14:textFill>
        </w:rPr>
        <w:t>7</w:t>
      </w:r>
      <w:bookmarkStart w:id="462" w:name="_Toc300934973"/>
      <w:bookmarkStart w:id="463" w:name="_Toc303539130"/>
      <w:bookmarkStart w:id="464" w:name="_Toc297216180"/>
      <w:bookmarkStart w:id="465" w:name="_Toc304295551"/>
      <w:bookmarkStart w:id="466" w:name="_Toc297123521"/>
      <w:bookmarkStart w:id="467" w:name="_Toc312678017"/>
      <w:r>
        <w:rPr>
          <w:rFonts w:eastAsia="黑体"/>
          <w:b/>
          <w:bCs/>
          <w:color w:val="000000" w:themeColor="text1"/>
          <w:sz w:val="32"/>
          <w:szCs w:val="32"/>
          <w:highlight w:val="none"/>
          <w:lang w:val="zh-CN"/>
          <w14:textFill>
            <w14:solidFill>
              <w14:schemeClr w14:val="tx1"/>
            </w14:solidFill>
          </w14:textFill>
        </w:rPr>
        <w:t xml:space="preserve">.7 </w:t>
      </w:r>
      <w:r>
        <w:rPr>
          <w:rFonts w:hint="eastAsia" w:eastAsia="黑体" w:cs="黑体"/>
          <w:b/>
          <w:bCs/>
          <w:color w:val="000000" w:themeColor="text1"/>
          <w:sz w:val="32"/>
          <w:szCs w:val="32"/>
          <w:highlight w:val="none"/>
          <w:lang w:val="zh-CN"/>
          <w14:textFill>
            <w14:solidFill>
              <w14:schemeClr w14:val="tx1"/>
            </w14:solidFill>
          </w14:textFill>
        </w:rPr>
        <w:t>异常恶劣的气候条件</w:t>
      </w:r>
      <w:bookmarkEnd w:id="456"/>
      <w:bookmarkEnd w:id="457"/>
      <w:bookmarkEnd w:id="458"/>
      <w:bookmarkEnd w:id="459"/>
      <w:bookmarkEnd w:id="460"/>
      <w:bookmarkEnd w:id="461"/>
    </w:p>
    <w:bookmarkEnd w:id="462"/>
    <w:bookmarkEnd w:id="463"/>
    <w:bookmarkEnd w:id="464"/>
    <w:bookmarkEnd w:id="465"/>
    <w:bookmarkEnd w:id="466"/>
    <w:bookmarkEnd w:id="467"/>
    <w:p w14:paraId="2647DF16">
      <w:pPr>
        <w:spacing w:line="420" w:lineRule="exact"/>
        <w:ind w:right="-328" w:firstLine="315" w:firstLineChars="15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u w:val="single"/>
          <w14:textFill>
            <w14:solidFill>
              <w14:schemeClr w14:val="tx1"/>
            </w14:solidFill>
          </w14:textFill>
        </w:rPr>
        <w:t>5</w:t>
      </w:r>
      <w:r>
        <w:rPr>
          <w:rFonts w:hint="eastAsia" w:ascii="宋体" w:hAnsi="宋体"/>
          <w:b/>
          <w:bCs/>
          <w:color w:val="000000" w:themeColor="text1"/>
          <w:szCs w:val="21"/>
          <w:highlight w:val="none"/>
          <w:u w:val="single"/>
          <w14:textFill>
            <w14:solidFill>
              <w14:schemeClr w14:val="tx1"/>
            </w14:solidFill>
          </w14:textFill>
        </w:rPr>
        <w:t>级</w:t>
      </w:r>
      <w:r>
        <w:rPr>
          <w:rFonts w:hint="eastAsia" w:ascii="宋体" w:hAnsi="宋体"/>
          <w:color w:val="000000" w:themeColor="text1"/>
          <w:szCs w:val="21"/>
          <w:highlight w:val="none"/>
          <w:u w:val="single"/>
          <w14:textFill>
            <w14:solidFill>
              <w14:schemeClr w14:val="tx1"/>
            </w14:solidFill>
          </w14:textFill>
        </w:rPr>
        <w:t>以上的地震；</w:t>
      </w:r>
    </w:p>
    <w:p w14:paraId="4F139CFF">
      <w:pPr>
        <w:spacing w:line="420" w:lineRule="exact"/>
        <w:ind w:right="-328" w:firstLine="1"/>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（2）</w:t>
      </w:r>
      <w:r>
        <w:rPr>
          <w:rFonts w:hint="eastAsia" w:ascii="宋体" w:hAnsi="宋体"/>
          <w:b/>
          <w:bCs/>
          <w:color w:val="000000" w:themeColor="text1"/>
          <w:szCs w:val="21"/>
          <w:highlight w:val="none"/>
          <w:u w:val="single"/>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级以上的大风；</w:t>
      </w:r>
    </w:p>
    <w:p w14:paraId="4B34D3E4">
      <w:pPr>
        <w:spacing w:line="420" w:lineRule="exact"/>
        <w:ind w:right="-328" w:firstLine="1"/>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（3）</w:t>
      </w:r>
      <w:r>
        <w:rPr>
          <w:rFonts w:hint="eastAsia" w:ascii="宋体" w:hAnsi="宋体"/>
          <w:color w:val="000000" w:themeColor="text1"/>
          <w:szCs w:val="21"/>
          <w:highlight w:val="none"/>
          <w:u w:val="single"/>
          <w14:textFill>
            <w14:solidFill>
              <w14:schemeClr w14:val="tx1"/>
            </w14:solidFill>
          </w14:textFill>
        </w:rPr>
        <w:t>60mm以上持续4小时及以上的大雨；</w:t>
      </w:r>
    </w:p>
    <w:p w14:paraId="05D813A1">
      <w:pPr>
        <w:spacing w:line="420" w:lineRule="exact"/>
        <w:ind w:right="-328" w:firstLine="1"/>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（4）</w:t>
      </w:r>
      <w:r>
        <w:rPr>
          <w:rFonts w:hint="eastAsia" w:ascii="宋体" w:hAnsi="宋体"/>
          <w:color w:val="000000" w:themeColor="text1"/>
          <w:szCs w:val="21"/>
          <w:highlight w:val="none"/>
          <w:u w:val="single"/>
          <w14:textFill>
            <w14:solidFill>
              <w14:schemeClr w14:val="tx1"/>
            </w14:solidFill>
          </w14:textFill>
        </w:rPr>
        <w:t>日最高温度40℃以上的高温天气；</w:t>
      </w:r>
    </w:p>
    <w:p w14:paraId="2CCDA16E">
      <w:pPr>
        <w:spacing w:line="420" w:lineRule="exact"/>
        <w:ind w:right="-328" w:firstLine="1"/>
        <w:rPr>
          <w:rFonts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（5）</w:t>
      </w:r>
      <w:r>
        <w:rPr>
          <w:rFonts w:hint="eastAsia" w:ascii="宋体" w:hAnsi="宋体"/>
          <w:color w:val="000000" w:themeColor="text1"/>
          <w:szCs w:val="21"/>
          <w:highlight w:val="none"/>
          <w:u w:val="single"/>
          <w14:textFill>
            <w14:solidFill>
              <w14:schemeClr w14:val="tx1"/>
            </w14:solidFill>
          </w14:textFill>
        </w:rPr>
        <w:t>50年以上未发生过的严寒天气；</w:t>
      </w:r>
    </w:p>
    <w:p w14:paraId="7B498FDA">
      <w:pPr>
        <w:spacing w:line="420" w:lineRule="exact"/>
        <w:ind w:firstLine="315" w:firstLineChars="15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w:t>
      </w:r>
      <w:r>
        <w:rPr>
          <w:rFonts w:hint="eastAsia" w:ascii="宋体" w:hAnsi="宋体"/>
          <w:b/>
          <w:bCs/>
          <w:color w:val="000000" w:themeColor="text1"/>
          <w:szCs w:val="21"/>
          <w:highlight w:val="none"/>
          <w:u w:val="single"/>
          <w14:textFill>
            <w14:solidFill>
              <w14:schemeClr w14:val="tx1"/>
            </w14:solidFill>
          </w14:textFill>
        </w:rPr>
        <w:t>50年</w:t>
      </w:r>
      <w:r>
        <w:rPr>
          <w:rFonts w:hint="eastAsia" w:ascii="宋体" w:hAnsi="宋体"/>
          <w:color w:val="000000" w:themeColor="text1"/>
          <w:szCs w:val="21"/>
          <w:highlight w:val="none"/>
          <w:u w:val="single"/>
          <w14:textFill>
            <w14:solidFill>
              <w14:schemeClr w14:val="tx1"/>
            </w14:solidFill>
          </w14:textFill>
        </w:rPr>
        <w:t>以上未发生过的洪水。</w:t>
      </w:r>
    </w:p>
    <w:p w14:paraId="6B422ECF">
      <w:pPr>
        <w:spacing w:line="360" w:lineRule="auto"/>
        <w:jc w:val="left"/>
        <w:rPr>
          <w:color w:val="000000" w:themeColor="text1"/>
          <w:szCs w:val="21"/>
          <w:highlight w:val="none"/>
          <w14:textFill>
            <w14:solidFill>
              <w14:schemeClr w14:val="tx1"/>
            </w14:solidFill>
          </w14:textFill>
        </w:rPr>
      </w:pPr>
    </w:p>
    <w:p w14:paraId="3470253A">
      <w:pPr>
        <w:keepNext/>
        <w:keepLines/>
        <w:spacing w:line="360" w:lineRule="auto"/>
        <w:outlineLvl w:val="2"/>
        <w:rPr>
          <w:rFonts w:eastAsia="黑体"/>
          <w:b/>
          <w:bCs/>
          <w:color w:val="000000" w:themeColor="text1"/>
          <w:sz w:val="32"/>
          <w:szCs w:val="32"/>
          <w:highlight w:val="none"/>
          <w14:textFill>
            <w14:solidFill>
              <w14:schemeClr w14:val="tx1"/>
            </w14:solidFill>
          </w14:textFill>
        </w:rPr>
      </w:pPr>
      <w:bookmarkStart w:id="468" w:name="_Toc373478377"/>
      <w:bookmarkStart w:id="469" w:name="_Toc114058869"/>
      <w:bookmarkStart w:id="470" w:name="_Toc78449818"/>
      <w:bookmarkStart w:id="471" w:name="_Toc407135232"/>
      <w:bookmarkStart w:id="472" w:name="_Toc389065296"/>
      <w:bookmarkStart w:id="473" w:name="_Toc373227730"/>
      <w:r>
        <w:rPr>
          <w:rFonts w:eastAsia="黑体"/>
          <w:b/>
          <w:bCs/>
          <w:color w:val="000000" w:themeColor="text1"/>
          <w:sz w:val="32"/>
          <w:szCs w:val="32"/>
          <w:highlight w:val="none"/>
          <w14:textFill>
            <w14:solidFill>
              <w14:schemeClr w14:val="tx1"/>
            </w14:solidFill>
          </w14:textFill>
        </w:rPr>
        <w:t xml:space="preserve">7.9 </w:t>
      </w:r>
      <w:r>
        <w:rPr>
          <w:rFonts w:hint="eastAsia" w:hAnsi="宋体" w:eastAsia="黑体" w:cs="黑体"/>
          <w:b/>
          <w:bCs/>
          <w:color w:val="000000" w:themeColor="text1"/>
          <w:sz w:val="32"/>
          <w:szCs w:val="32"/>
          <w:highlight w:val="none"/>
          <w:lang w:val="zh-CN"/>
          <w14:textFill>
            <w14:solidFill>
              <w14:schemeClr w14:val="tx1"/>
            </w14:solidFill>
          </w14:textFill>
        </w:rPr>
        <w:t>提前竣工</w:t>
      </w:r>
      <w:bookmarkEnd w:id="468"/>
      <w:bookmarkEnd w:id="469"/>
      <w:bookmarkEnd w:id="470"/>
      <w:bookmarkEnd w:id="471"/>
      <w:bookmarkEnd w:id="472"/>
      <w:bookmarkEnd w:id="473"/>
    </w:p>
    <w:p w14:paraId="6CA24D49">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7.9.2</w:t>
      </w:r>
      <w:r>
        <w:rPr>
          <w:rFonts w:hint="eastAsia" w:hAnsi="宋体" w:cs="宋体"/>
          <w:color w:val="000000" w:themeColor="text1"/>
          <w:szCs w:val="21"/>
          <w:highlight w:val="none"/>
          <w14:textFill>
            <w14:solidFill>
              <w14:schemeClr w14:val="tx1"/>
            </w14:solidFill>
          </w14:textFill>
        </w:rPr>
        <w:t>提前竣工（赶工）增加费的计算方法：</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067F55FA">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474" w:name="_Toc78449819"/>
      <w:bookmarkStart w:id="475" w:name="_Toc351203640"/>
      <w:bookmarkStart w:id="476" w:name="_Toc114058870"/>
      <w:bookmarkStart w:id="477" w:name="_Toc373227731"/>
      <w:bookmarkStart w:id="478" w:name="_Toc407135233"/>
      <w:bookmarkStart w:id="479" w:name="_Toc373478378"/>
      <w:bookmarkStart w:id="480" w:name="_Toc389065297"/>
      <w:r>
        <w:rPr>
          <w:rFonts w:ascii="Arial" w:hAnsi="Arial" w:eastAsia="黑体"/>
          <w:b/>
          <w:bCs/>
          <w:color w:val="000000" w:themeColor="text1"/>
          <w:sz w:val="32"/>
          <w:szCs w:val="32"/>
          <w:highlight w:val="none"/>
          <w:lang w:val="zh-CN"/>
          <w14:textFill>
            <w14:solidFill>
              <w14:schemeClr w14:val="tx1"/>
            </w14:solidFill>
          </w14:textFill>
        </w:rPr>
        <w:t xml:space="preserve">8. </w:t>
      </w:r>
      <w:r>
        <w:rPr>
          <w:rFonts w:hint="eastAsia" w:ascii="Arial" w:hAnsi="Arial" w:eastAsia="黑体" w:cs="黑体"/>
          <w:b/>
          <w:bCs/>
          <w:color w:val="000000" w:themeColor="text1"/>
          <w:sz w:val="32"/>
          <w:szCs w:val="32"/>
          <w:highlight w:val="none"/>
          <w:lang w:val="zh-CN"/>
          <w14:textFill>
            <w14:solidFill>
              <w14:schemeClr w14:val="tx1"/>
            </w14:solidFill>
          </w14:textFill>
        </w:rPr>
        <w:t>材料与设备</w:t>
      </w:r>
      <w:bookmarkEnd w:id="474"/>
      <w:bookmarkEnd w:id="475"/>
      <w:bookmarkEnd w:id="476"/>
      <w:bookmarkEnd w:id="477"/>
      <w:bookmarkEnd w:id="478"/>
      <w:bookmarkEnd w:id="479"/>
      <w:bookmarkEnd w:id="480"/>
    </w:p>
    <w:bookmarkEnd w:id="331"/>
    <w:bookmarkEnd w:id="332"/>
    <w:bookmarkEnd w:id="333"/>
    <w:bookmarkEnd w:id="334"/>
    <w:bookmarkEnd w:id="335"/>
    <w:bookmarkEnd w:id="336"/>
    <w:bookmarkEnd w:id="337"/>
    <w:bookmarkEnd w:id="338"/>
    <w:bookmarkEnd w:id="339"/>
    <w:bookmarkEnd w:id="340"/>
    <w:p w14:paraId="4F6C219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81" w:name="_Toc373478379"/>
      <w:bookmarkStart w:id="482" w:name="_Toc389065298"/>
      <w:bookmarkStart w:id="483" w:name="_Toc78449820"/>
      <w:bookmarkStart w:id="484" w:name="_Toc114058871"/>
      <w:bookmarkStart w:id="485" w:name="_Toc407135234"/>
      <w:bookmarkStart w:id="486" w:name="_Toc373227732"/>
      <w:r>
        <w:rPr>
          <w:rFonts w:eastAsia="黑体"/>
          <w:b/>
          <w:bCs/>
          <w:color w:val="000000" w:themeColor="text1"/>
          <w:sz w:val="32"/>
          <w:szCs w:val="32"/>
          <w:highlight w:val="none"/>
          <w:lang w:val="zh-CN"/>
          <w14:textFill>
            <w14:solidFill>
              <w14:schemeClr w14:val="tx1"/>
            </w14:solidFill>
          </w14:textFill>
        </w:rPr>
        <w:t xml:space="preserve">8.2 </w:t>
      </w:r>
      <w:r>
        <w:rPr>
          <w:rFonts w:hint="eastAsia" w:eastAsia="黑体" w:cs="黑体"/>
          <w:b/>
          <w:bCs/>
          <w:color w:val="000000" w:themeColor="text1"/>
          <w:sz w:val="32"/>
          <w:szCs w:val="32"/>
          <w:highlight w:val="none"/>
          <w:lang w:val="zh-CN"/>
          <w14:textFill>
            <w14:solidFill>
              <w14:schemeClr w14:val="tx1"/>
            </w14:solidFill>
          </w14:textFill>
        </w:rPr>
        <w:t>承包人采购材料与工程设备</w:t>
      </w:r>
      <w:bookmarkEnd w:id="481"/>
      <w:bookmarkEnd w:id="482"/>
      <w:bookmarkEnd w:id="483"/>
      <w:bookmarkEnd w:id="484"/>
      <w:bookmarkEnd w:id="485"/>
      <w:bookmarkEnd w:id="486"/>
    </w:p>
    <w:p w14:paraId="2E97E104">
      <w:pPr>
        <w:autoSpaceDE w:val="0"/>
        <w:autoSpaceDN w:val="0"/>
        <w:adjustRightInd w:val="0"/>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除已标价工程量清单《发包人提供主要材料和工程设备一览表》（表</w:t>
      </w:r>
      <w:r>
        <w:rPr>
          <w:color w:val="000000" w:themeColor="text1"/>
          <w:kern w:val="0"/>
          <w:szCs w:val="21"/>
          <w:highlight w:val="none"/>
          <w14:textFill>
            <w14:solidFill>
              <w14:schemeClr w14:val="tx1"/>
            </w14:solidFill>
          </w14:textFill>
        </w:rPr>
        <w:t>-21</w:t>
      </w:r>
      <w:r>
        <w:rPr>
          <w:rFonts w:hint="eastAsia" w:cs="宋体"/>
          <w:color w:val="000000" w:themeColor="text1"/>
          <w:kern w:val="0"/>
          <w:szCs w:val="21"/>
          <w:highlight w:val="none"/>
          <w14:textFill>
            <w14:solidFill>
              <w14:schemeClr w14:val="tx1"/>
            </w14:solidFill>
          </w14:textFill>
        </w:rPr>
        <w:t>）中明确的材料、工程设备外，由承包人负责材料和工程设备的采购、运输和保管。</w:t>
      </w:r>
      <w:bookmarkStart w:id="487" w:name="_Toc373478380"/>
      <w:bookmarkStart w:id="488" w:name="_Toc389065299"/>
      <w:bookmarkStart w:id="489" w:name="_Toc373227733"/>
    </w:p>
    <w:p w14:paraId="1A73EFC1">
      <w:pPr>
        <w:autoSpaceDE w:val="0"/>
        <w:autoSpaceDN w:val="0"/>
        <w:adjustRightInd w:val="0"/>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对发包人在招标时有“参照或相当于</w:t>
      </w:r>
      <w:r>
        <w:rPr>
          <w:color w:val="000000" w:themeColor="text1"/>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品牌、级别”约定的材料或设备，承包人采购时必须按类似于或优于所约定品牌、等级进行采购，施工期间该部分材料或设备如未超过招标约定的风险幅度的</w:t>
      </w:r>
      <w:r>
        <w:rPr>
          <w:rFonts w:hint="eastAsia"/>
          <w:color w:val="000000" w:themeColor="text1"/>
          <w:szCs w:val="21"/>
          <w:highlight w:val="none"/>
          <w14:textFill>
            <w14:solidFill>
              <w14:schemeClr w14:val="tx1"/>
            </w14:solidFill>
          </w14:textFill>
        </w:rPr>
        <w:t>或</w:t>
      </w:r>
      <w:r>
        <w:rPr>
          <w:rFonts w:hint="eastAsia" w:ascii="宋体" w:hAnsi="宋体"/>
          <w:b/>
          <w:bCs/>
          <w:color w:val="000000" w:themeColor="text1"/>
          <w:szCs w:val="21"/>
          <w:highlight w:val="none"/>
          <w14:textFill>
            <w14:solidFill>
              <w14:schemeClr w14:val="tx1"/>
            </w14:solidFill>
          </w14:textFill>
        </w:rPr>
        <w:t>当发包人与承包人对采购文件所约定的材料有争议时，发包人有权要求承包人按采购文件有“参照或相当于”标明材料品牌的材料进行采购，</w:t>
      </w:r>
      <w:r>
        <w:rPr>
          <w:rFonts w:hint="eastAsia" w:cs="宋体"/>
          <w:color w:val="000000" w:themeColor="text1"/>
          <w:szCs w:val="21"/>
          <w:highlight w:val="none"/>
          <w14:textFill>
            <w14:solidFill>
              <w14:schemeClr w14:val="tx1"/>
            </w14:solidFill>
          </w14:textFill>
        </w:rPr>
        <w:t>结算时按成交单价支付，不得调整。</w:t>
      </w:r>
    </w:p>
    <w:p w14:paraId="56B0EA49">
      <w:pPr>
        <w:autoSpaceDE w:val="0"/>
        <w:autoSpaceDN w:val="0"/>
        <w:adjustRightInd w:val="0"/>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ascii="仿宋_GB2312" w:hAnsi="宋体" w:eastAsia="仿宋_GB2312"/>
          <w:bCs/>
          <w:color w:val="000000" w:themeColor="text1"/>
          <w:kern w:val="0"/>
          <w:szCs w:val="21"/>
          <w:highlight w:val="none"/>
          <w14:textFill>
            <w14:solidFill>
              <w14:schemeClr w14:val="tx1"/>
            </w14:solidFill>
          </w14:textFill>
        </w:rPr>
        <w:t>对发包人在招标时，没有明确约定参照或相当于**品牌、档次的材料和设备，或双方对材料和设备选择有争议的，发包人有权要求承包人按不低于招标控制价相同细目的材料或设备价格进行采购，</w:t>
      </w:r>
      <w:r>
        <w:rPr>
          <w:rFonts w:hint="eastAsia" w:cs="宋体"/>
          <w:color w:val="000000" w:themeColor="text1"/>
          <w:szCs w:val="21"/>
          <w:highlight w:val="none"/>
          <w14:textFill>
            <w14:solidFill>
              <w14:schemeClr w14:val="tx1"/>
            </w14:solidFill>
          </w14:textFill>
        </w:rPr>
        <w:t>结算时按成交单价支付，不得调整。</w:t>
      </w:r>
    </w:p>
    <w:p w14:paraId="65BD09EA">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禁止使用松木、松木包装材料设备、种子、苗木、花卉及繁殖材料。</w:t>
      </w:r>
    </w:p>
    <w:p w14:paraId="7D610EA9">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满足南宁市城乡建设委员会南宁市工业和信息化委员会关于重新印发《南宁市城乡建设委员会和南宁市工业和信息化委员会关于推广应用高性能混凝土的通知》的通知（南建规【2016】1号）要求的，本工程必须使用高性能混凝土。 </w:t>
      </w:r>
    </w:p>
    <w:p w14:paraId="44D6054F">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满足南宁市人民政府印发的《南宁市人民政府关于推广使用预拌砂浆的实施意见》（南府规〔</w:t>
      </w:r>
      <w:r>
        <w:rPr>
          <w:color w:val="000000" w:themeColor="text1"/>
          <w:szCs w:val="21"/>
          <w:highlight w:val="none"/>
          <w14:textFill>
            <w14:solidFill>
              <w14:schemeClr w14:val="tx1"/>
            </w14:solidFill>
          </w14:textFill>
        </w:rPr>
        <w:t>2016</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 xml:space="preserve">12 </w:t>
      </w:r>
      <w:r>
        <w:rPr>
          <w:rFonts w:hint="eastAsia"/>
          <w:color w:val="000000" w:themeColor="text1"/>
          <w:szCs w:val="21"/>
          <w:highlight w:val="none"/>
          <w14:textFill>
            <w14:solidFill>
              <w14:schemeClr w14:val="tx1"/>
            </w14:solidFill>
          </w14:textFill>
        </w:rPr>
        <w:t>号）要求的，本工程必须使用预拌砂浆。</w:t>
      </w:r>
    </w:p>
    <w:p w14:paraId="715BE6AC">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满足《南宁市松材线虫病防控工作领导小组工作制度》要求，要求涉木产品供货商对应施检疫的产品提供《植物检疫证书》；涉及松木质包装材料的，积极配合林业部门做好检疫工作。</w:t>
      </w:r>
    </w:p>
    <w:p w14:paraId="13415B15">
      <w:pPr>
        <w:widowControl/>
        <w:shd w:val="clear" w:color="auto" w:fill="FFFFFF"/>
        <w:spacing w:line="360" w:lineRule="auto"/>
        <w:ind w:firstLine="420"/>
        <w:jc w:val="left"/>
        <w:rPr>
          <w:rFonts w:ascii="宋体" w:hAnsi="宋体"/>
          <w:b/>
          <w:bCs/>
          <w:color w:val="000000" w:themeColor="text1"/>
          <w:kern w:val="44"/>
          <w:szCs w:val="21"/>
          <w:highlight w:val="none"/>
          <w:shd w:val="clear" w:color="auto" w:fill="FFFFFF"/>
          <w14:textFill>
            <w14:solidFill>
              <w14:schemeClr w14:val="tx1"/>
            </w14:solidFill>
          </w14:textFill>
        </w:rPr>
      </w:pPr>
      <w:r>
        <w:rPr>
          <w:rFonts w:hint="eastAsia" w:ascii="宋体" w:hAnsi="宋体"/>
          <w:b/>
          <w:bCs/>
          <w:color w:val="000000" w:themeColor="text1"/>
          <w:kern w:val="44"/>
          <w:szCs w:val="21"/>
          <w:highlight w:val="none"/>
          <w:shd w:val="clear" w:color="auto" w:fill="FFFFFF"/>
          <w14:textFill>
            <w14:solidFill>
              <w14:schemeClr w14:val="tx1"/>
            </w14:solidFill>
          </w14:textFill>
        </w:rPr>
        <w:t>8.2.1 由承包人采购、供应的材料，承包人需提前三天向监理人及发包人报验并提供详细进货清单，进货清单应含有所进货物的品牌、规格、型号、数量及质量等级等内容，待监理人及发包人书面回复同意后方可进货，若承包人材料进场前未报验、进场材料与报验材料不符及进场材料为假冒伪劣材料的，每发生一例，承包人应向发包人支付违约金30000元。该款项直接从工程进度款中扣除，无需经承包人同意，承包人还应无条件负责将材料退场，并承担由此产生的一切费用及责任，由此延误的工期不予顺延。</w:t>
      </w:r>
    </w:p>
    <w:p w14:paraId="33F79367">
      <w:pPr>
        <w:widowControl/>
        <w:shd w:val="clear" w:color="auto" w:fill="FFFFFF"/>
        <w:spacing w:line="360" w:lineRule="auto"/>
        <w:ind w:firstLine="420"/>
        <w:jc w:val="left"/>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kern w:val="44"/>
          <w:szCs w:val="21"/>
          <w:highlight w:val="none"/>
          <w:shd w:val="clear" w:color="auto" w:fill="FFFFFF"/>
          <w14:textFill>
            <w14:solidFill>
              <w14:schemeClr w14:val="tx1"/>
            </w14:solidFill>
          </w14:textFill>
        </w:rPr>
        <w:t>8.2.2 承包人采购材料进场同时，需提供与报验相同的产品合格证及相关检测报告，若不能提供的，该批材料按不合格产品清退出场，并按8.2.1条处理。</w:t>
      </w:r>
    </w:p>
    <w:p w14:paraId="1A673746">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p>
    <w:p w14:paraId="7DECBAE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490" w:name="_Toc407135235"/>
      <w:bookmarkStart w:id="491" w:name="_Toc78449821"/>
      <w:bookmarkStart w:id="492" w:name="_Toc114058872"/>
      <w:r>
        <w:rPr>
          <w:rFonts w:eastAsia="黑体"/>
          <w:b/>
          <w:bCs/>
          <w:color w:val="000000" w:themeColor="text1"/>
          <w:sz w:val="32"/>
          <w:szCs w:val="32"/>
          <w:highlight w:val="none"/>
          <w:lang w:val="zh-CN"/>
          <w14:textFill>
            <w14:solidFill>
              <w14:schemeClr w14:val="tx1"/>
            </w14:solidFill>
          </w14:textFill>
        </w:rPr>
        <w:t>8</w:t>
      </w:r>
      <w:bookmarkStart w:id="493" w:name="_Toc297123527"/>
      <w:bookmarkStart w:id="494" w:name="_Toc312678019"/>
      <w:bookmarkStart w:id="495" w:name="_Toc296891207"/>
      <w:bookmarkStart w:id="496" w:name="_Toc297048353"/>
      <w:bookmarkStart w:id="497" w:name="_Toc304295556"/>
      <w:bookmarkStart w:id="498" w:name="_Toc296944506"/>
      <w:bookmarkStart w:id="499" w:name="_Toc280868654"/>
      <w:bookmarkStart w:id="500" w:name="_Toc297216186"/>
      <w:bookmarkStart w:id="501" w:name="_Toc292559877"/>
      <w:bookmarkStart w:id="502" w:name="_Toc292559372"/>
      <w:bookmarkStart w:id="503" w:name="_Toc297120467"/>
      <w:bookmarkStart w:id="504" w:name="_Toc312677493"/>
      <w:bookmarkStart w:id="505" w:name="_Toc300934979"/>
      <w:bookmarkStart w:id="506" w:name="_Toc296890995"/>
      <w:bookmarkStart w:id="507" w:name="_Toc303539136"/>
      <w:bookmarkStart w:id="508" w:name="_Toc296347166"/>
      <w:bookmarkStart w:id="509" w:name="_Toc296503167"/>
      <w:bookmarkStart w:id="510" w:name="_Toc296346668"/>
      <w:bookmarkStart w:id="511" w:name="_Toc280868656"/>
      <w:bookmarkStart w:id="512" w:name="_Toc280868655"/>
      <w:bookmarkStart w:id="513" w:name="_Toc267251424"/>
      <w:r>
        <w:rPr>
          <w:rFonts w:eastAsia="黑体"/>
          <w:b/>
          <w:bCs/>
          <w:color w:val="000000" w:themeColor="text1"/>
          <w:sz w:val="32"/>
          <w:szCs w:val="32"/>
          <w:highlight w:val="none"/>
          <w:lang w:val="zh-CN"/>
          <w14:textFill>
            <w14:solidFill>
              <w14:schemeClr w14:val="tx1"/>
            </w14:solidFill>
          </w14:textFill>
        </w:rPr>
        <w:t xml:space="preserve">.4 </w:t>
      </w:r>
      <w:r>
        <w:rPr>
          <w:rFonts w:hint="eastAsia" w:eastAsia="黑体" w:cs="黑体"/>
          <w:b/>
          <w:bCs/>
          <w:color w:val="000000" w:themeColor="text1"/>
          <w:sz w:val="32"/>
          <w:szCs w:val="32"/>
          <w:highlight w:val="none"/>
          <w:lang w:val="zh-CN"/>
          <w14:textFill>
            <w14:solidFill>
              <w14:schemeClr w14:val="tx1"/>
            </w14:solidFill>
          </w14:textFill>
        </w:rPr>
        <w:t>材料与工程设备的保管与使用</w:t>
      </w:r>
      <w:bookmarkEnd w:id="487"/>
      <w:bookmarkEnd w:id="488"/>
      <w:bookmarkEnd w:id="489"/>
      <w:bookmarkEnd w:id="490"/>
      <w:bookmarkEnd w:id="491"/>
      <w:bookmarkEnd w:id="492"/>
    </w:p>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14:paraId="3729DAB6">
      <w:pPr>
        <w:spacing w:line="360" w:lineRule="auto"/>
        <w:ind w:firstLine="420" w:firstLineChars="200"/>
        <w:jc w:val="left"/>
        <w:rPr>
          <w:color w:val="000000" w:themeColor="text1"/>
          <w:szCs w:val="21"/>
          <w:highlight w:val="none"/>
          <w:u w:val="single"/>
          <w14:textFill>
            <w14:solidFill>
              <w14:schemeClr w14:val="tx1"/>
            </w14:solidFill>
          </w14:textFill>
        </w:rPr>
      </w:pPr>
      <w:r>
        <w:rPr>
          <w:color w:val="000000" w:themeColor="text1"/>
          <w:szCs w:val="21"/>
          <w:highlight w:val="none"/>
          <w14:textFill>
            <w14:solidFill>
              <w14:schemeClr w14:val="tx1"/>
            </w14:solidFill>
          </w14:textFill>
        </w:rPr>
        <w:t>8</w:t>
      </w:r>
      <w:bookmarkStart w:id="514" w:name="_Toc292559878"/>
      <w:bookmarkStart w:id="515" w:name="_Toc292559373"/>
      <w:bookmarkStart w:id="516" w:name="_Toc297216187"/>
      <w:bookmarkStart w:id="517" w:name="_Toc296346669"/>
      <w:bookmarkStart w:id="518" w:name="_Toc296890996"/>
      <w:bookmarkStart w:id="519" w:name="_Toc296347167"/>
      <w:bookmarkStart w:id="520" w:name="_Toc312678020"/>
      <w:bookmarkStart w:id="521" w:name="_Toc296503168"/>
      <w:bookmarkStart w:id="522" w:name="_Toc296891208"/>
      <w:bookmarkStart w:id="523" w:name="_Toc318581173"/>
      <w:bookmarkStart w:id="524" w:name="_Toc304295557"/>
      <w:bookmarkStart w:id="525" w:name="_Toc300934980"/>
      <w:bookmarkStart w:id="526" w:name="_Toc296944507"/>
      <w:bookmarkStart w:id="527" w:name="_Toc312677494"/>
      <w:bookmarkStart w:id="528" w:name="_Toc297120468"/>
      <w:bookmarkStart w:id="529" w:name="_Toc297123528"/>
      <w:bookmarkStart w:id="530" w:name="_Toc297048354"/>
      <w:bookmarkStart w:id="531" w:name="_Toc303539137"/>
      <w:r>
        <w:rPr>
          <w:color w:val="000000" w:themeColor="text1"/>
          <w:szCs w:val="21"/>
          <w:highlight w:val="none"/>
          <w14:textFill>
            <w14:solidFill>
              <w14:schemeClr w14:val="tx1"/>
            </w14:solidFill>
          </w14:textFill>
        </w:rPr>
        <w:t>.4.1</w:t>
      </w:r>
      <w:r>
        <w:rPr>
          <w:rFonts w:hint="eastAsia" w:hAnsi="宋体" w:cs="宋体"/>
          <w:color w:val="000000" w:themeColor="text1"/>
          <w:szCs w:val="21"/>
          <w:highlight w:val="none"/>
          <w14:textFill>
            <w14:solidFill>
              <w14:schemeClr w14:val="tx1"/>
            </w14:solidFill>
          </w14:textFill>
        </w:rPr>
        <w:t>发包人供应的材料设备的保管费用的承担：</w:t>
      </w:r>
      <w:r>
        <w:rPr>
          <w:rFonts w:hint="eastAsia"/>
          <w:color w:val="000000" w:themeColor="text1"/>
          <w:szCs w:val="21"/>
          <w:highlight w:val="none"/>
          <w:u w:val="single"/>
          <w14:textFill>
            <w14:solidFill>
              <w14:schemeClr w14:val="tx1"/>
            </w14:solidFill>
          </w14:textFill>
        </w:rPr>
        <w:t>由发包人供应给承包人施工使用的材料、设备，保管费由承包人承担</w:t>
      </w:r>
      <w:r>
        <w:rPr>
          <w:rFonts w:hint="eastAsia" w:hAnsi="宋体" w:cs="宋体"/>
          <w:color w:val="000000" w:themeColor="text1"/>
          <w:szCs w:val="21"/>
          <w:highlight w:val="none"/>
          <w14:textFill>
            <w14:solidFill>
              <w14:schemeClr w14:val="tx1"/>
            </w14:solidFill>
          </w14:textFill>
        </w:rPr>
        <w:t>。</w:t>
      </w:r>
    </w:p>
    <w:bookmarkEnd w:id="514"/>
    <w:bookmarkEnd w:id="515"/>
    <w:p w14:paraId="3EF056B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32" w:name="_Toc389065300"/>
      <w:bookmarkStart w:id="533" w:name="_Toc78449822"/>
      <w:bookmarkStart w:id="534" w:name="_Toc407135236"/>
      <w:bookmarkStart w:id="535" w:name="_Toc373227734"/>
      <w:bookmarkStart w:id="536" w:name="_Toc373478381"/>
      <w:bookmarkStart w:id="537" w:name="_Toc114058873"/>
      <w:r>
        <w:rPr>
          <w:rFonts w:eastAsia="黑体"/>
          <w:b/>
          <w:bCs/>
          <w:color w:val="000000" w:themeColor="text1"/>
          <w:sz w:val="32"/>
          <w:szCs w:val="32"/>
          <w:highlight w:val="none"/>
          <w:lang w:val="zh-CN"/>
          <w14:textFill>
            <w14:solidFill>
              <w14:schemeClr w14:val="tx1"/>
            </w14:solidFill>
          </w14:textFill>
        </w:rPr>
        <w:t xml:space="preserve">8.6 </w:t>
      </w:r>
      <w:r>
        <w:rPr>
          <w:rFonts w:hint="eastAsia" w:hAnsi="宋体" w:eastAsia="黑体" w:cs="黑体"/>
          <w:b/>
          <w:bCs/>
          <w:color w:val="000000" w:themeColor="text1"/>
          <w:sz w:val="32"/>
          <w:szCs w:val="32"/>
          <w:highlight w:val="none"/>
          <w:lang w:val="zh-CN"/>
          <w14:textFill>
            <w14:solidFill>
              <w14:schemeClr w14:val="tx1"/>
            </w14:solidFill>
          </w14:textFill>
        </w:rPr>
        <w:t>样品</w:t>
      </w:r>
      <w:bookmarkEnd w:id="532"/>
      <w:bookmarkEnd w:id="533"/>
      <w:bookmarkEnd w:id="534"/>
      <w:bookmarkEnd w:id="535"/>
      <w:bookmarkEnd w:id="536"/>
      <w:bookmarkEnd w:id="537"/>
    </w:p>
    <w:p w14:paraId="76E37286">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8.6.1 </w:t>
      </w:r>
      <w:r>
        <w:rPr>
          <w:rFonts w:hint="eastAsia" w:hAnsi="宋体" w:cs="宋体"/>
          <w:color w:val="000000" w:themeColor="text1"/>
          <w:kern w:val="0"/>
          <w:szCs w:val="21"/>
          <w:highlight w:val="none"/>
          <w14:textFill>
            <w14:solidFill>
              <w14:schemeClr w14:val="tx1"/>
            </w14:solidFill>
          </w14:textFill>
        </w:rPr>
        <w:t>样品的报送与封存</w:t>
      </w:r>
    </w:p>
    <w:p w14:paraId="1029D4ED">
      <w:pPr>
        <w:widowControl/>
        <w:shd w:val="clear" w:color="auto" w:fill="FFFFFF"/>
        <w:spacing w:line="360" w:lineRule="auto"/>
        <w:ind w:firstLine="420"/>
        <w:jc w:val="left"/>
        <w:rPr>
          <w:rFonts w:ascii="宋体" w:hAnsi="宋体"/>
          <w:color w:val="000000" w:themeColor="text1"/>
          <w:kern w:val="44"/>
          <w:szCs w:val="21"/>
          <w:highlight w:val="none"/>
          <w:shd w:val="clear" w:color="auto" w:fill="FFFFFF"/>
          <w14:textFill>
            <w14:solidFill>
              <w14:schemeClr w14:val="tx1"/>
            </w14:solidFill>
          </w14:textFill>
        </w:rPr>
      </w:pPr>
      <w:r>
        <w:rPr>
          <w:rFonts w:hint="eastAsia" w:ascii="宋体" w:hAnsi="宋体"/>
          <w:b/>
          <w:bCs/>
          <w:color w:val="000000" w:themeColor="text1"/>
          <w:kern w:val="44"/>
          <w:szCs w:val="21"/>
          <w:highlight w:val="none"/>
          <w:shd w:val="clear" w:color="auto" w:fill="FFFFFF"/>
          <w14:textFill>
            <w14:solidFill>
              <w14:schemeClr w14:val="tx1"/>
            </w14:solidFill>
          </w14:textFill>
        </w:rPr>
        <w:t>需要承包人报送样品的材料或工程设备，样品的种类、名称、规格、数量要求：</w:t>
      </w:r>
      <w:r>
        <w:rPr>
          <w:rFonts w:hint="eastAsia" w:ascii="宋体" w:hAnsi="宋体"/>
          <w:color w:val="000000" w:themeColor="text1"/>
          <w:kern w:val="44"/>
          <w:szCs w:val="21"/>
          <w:highlight w:val="none"/>
          <w:shd w:val="clear" w:color="auto" w:fill="FFFFFF"/>
          <w14:textFill>
            <w14:solidFill>
              <w14:schemeClr w14:val="tx1"/>
            </w14:solidFill>
          </w14:textFill>
        </w:rPr>
        <w:t>主要材料涉及品种、款式、颜色等方面内容的，承包人应提交拟选用合格的材料样品送发包人选定。选定的样品应封存于现场，承包人应在现场为保存样品提供适当和固定的场所并保持适当和良好的储存环境条件，特别是主要装饰、安装工程材料样品至少封存到竣工结算审定完成后（根据工程设计实施情况，包括但不限于地面、天面、内外墙面装饰材料，防水材料，门窗，电线电缆，桥架，给排水管等材料）。</w:t>
      </w:r>
    </w:p>
    <w:p w14:paraId="28674F0E">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38" w:name="_Toc78449823"/>
      <w:bookmarkStart w:id="539" w:name="_Toc407135237"/>
      <w:bookmarkStart w:id="540" w:name="_Toc389065301"/>
      <w:bookmarkStart w:id="541" w:name="_Toc373478382"/>
      <w:bookmarkStart w:id="542" w:name="_Toc114058874"/>
      <w:bookmarkStart w:id="543" w:name="_Toc373227735"/>
      <w:r>
        <w:rPr>
          <w:rFonts w:eastAsia="黑体"/>
          <w:b/>
          <w:bCs/>
          <w:color w:val="000000" w:themeColor="text1"/>
          <w:sz w:val="32"/>
          <w:szCs w:val="32"/>
          <w:highlight w:val="none"/>
          <w:lang w:val="zh-CN"/>
          <w14:textFill>
            <w14:solidFill>
              <w14:schemeClr w14:val="tx1"/>
            </w14:solidFill>
          </w14:textFill>
        </w:rPr>
        <w:t xml:space="preserve">8.8 </w:t>
      </w:r>
      <w:r>
        <w:rPr>
          <w:rFonts w:hint="eastAsia" w:eastAsia="黑体" w:cs="黑体"/>
          <w:b/>
          <w:bCs/>
          <w:color w:val="000000" w:themeColor="text1"/>
          <w:sz w:val="32"/>
          <w:szCs w:val="32"/>
          <w:highlight w:val="none"/>
          <w:lang w:val="zh-CN"/>
          <w14:textFill>
            <w14:solidFill>
              <w14:schemeClr w14:val="tx1"/>
            </w14:solidFill>
          </w14:textFill>
        </w:rPr>
        <w:t>施工设备和临时设施</w:t>
      </w:r>
      <w:bookmarkEnd w:id="538"/>
      <w:bookmarkEnd w:id="539"/>
      <w:bookmarkEnd w:id="540"/>
      <w:bookmarkEnd w:id="541"/>
      <w:bookmarkEnd w:id="542"/>
      <w:bookmarkEnd w:id="543"/>
    </w:p>
    <w:p w14:paraId="14FDA0DF">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8.8.1 </w:t>
      </w:r>
      <w:r>
        <w:rPr>
          <w:rFonts w:hint="eastAsia" w:hAnsi="宋体" w:cs="宋体"/>
          <w:color w:val="000000" w:themeColor="text1"/>
          <w:szCs w:val="21"/>
          <w:highlight w:val="none"/>
          <w14:textFill>
            <w14:solidFill>
              <w14:schemeClr w14:val="tx1"/>
            </w14:solidFill>
          </w14:textFill>
        </w:rPr>
        <w:t>承包人提供的施工设备和临时设施</w:t>
      </w:r>
    </w:p>
    <w:p w14:paraId="11A5FE08">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b/>
          <w:bCs/>
          <w:color w:val="000000" w:themeColor="text1"/>
          <w:highlight w:val="none"/>
          <w:u w:val="single"/>
          <w14:textFill>
            <w14:solidFill>
              <w14:schemeClr w14:val="tx1"/>
            </w14:solidFill>
          </w14:textFill>
        </w:rPr>
        <w:t>免费提供给发包人、监理工程师和其他合同段的承包人使用。</w:t>
      </w:r>
      <w:r>
        <w:rPr>
          <w:rFonts w:hint="eastAsia" w:ascii="宋体" w:hAnsi="宋体" w:cs="宋体"/>
          <w:color w:val="000000" w:themeColor="text1"/>
          <w:szCs w:val="21"/>
          <w:highlight w:val="none"/>
          <w14:textFill>
            <w14:solidFill>
              <w14:schemeClr w14:val="tx1"/>
            </w14:solidFill>
          </w14:textFill>
        </w:rPr>
        <w:t>承包人用于本工程的主要机械设备清单见合同附件4。</w:t>
      </w:r>
    </w:p>
    <w:p w14:paraId="15B323FD">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关于修建临时设施费用承担的约定：</w:t>
      </w:r>
    </w:p>
    <w:p w14:paraId="7CE86973">
      <w:pPr>
        <w:numPr>
          <w:ilvl w:val="0"/>
          <w:numId w:val="17"/>
        </w:numPr>
        <w:autoSpaceDE w:val="0"/>
        <w:autoSpaceDN w:val="0"/>
        <w:adjustRightInd w:val="0"/>
        <w:spacing w:line="360" w:lineRule="auto"/>
        <w:ind w:firstLine="420" w:firstLineChars="200"/>
        <w:jc w:val="left"/>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 xml:space="preserve">除专用合同条款另有约定外， </w:t>
      </w:r>
      <w:r>
        <w:rPr>
          <w:rFonts w:hint="eastAsia" w:ascii="宋体" w:hAnsi="宋体" w:cs="宋体"/>
          <w:color w:val="000000" w:themeColor="text1"/>
          <w:szCs w:val="21"/>
          <w:highlight w:val="none"/>
          <w:u w:val="single"/>
          <w14:textFill>
            <w14:solidFill>
              <w14:schemeClr w14:val="tx1"/>
            </w14:solidFill>
          </w14:textFill>
        </w:rPr>
        <w:t>承包人的临时用地（含项目部驻地等）租用费（含拆迁补偿）、临时用地的环保、恢复、临时用地的青苗补偿及地面附着物拆除等费用均由承包人负责</w:t>
      </w:r>
      <w:r>
        <w:rPr>
          <w:rFonts w:hint="eastAsia" w:hAnsi="宋体"/>
          <w:color w:val="000000" w:themeColor="text1"/>
          <w:szCs w:val="21"/>
          <w:highlight w:val="none"/>
          <w:u w:val="single"/>
          <w14:textFill>
            <w14:solidFill>
              <w14:schemeClr w14:val="tx1"/>
            </w14:solidFill>
          </w14:textFill>
        </w:rPr>
        <w:t xml:space="preserve"> ，费用在竞标报价中综合考虑。</w:t>
      </w:r>
    </w:p>
    <w:p w14:paraId="303771C8">
      <w:pPr>
        <w:autoSpaceDE w:val="0"/>
        <w:autoSpaceDN w:val="0"/>
        <w:adjustRightInd w:val="0"/>
        <w:spacing w:line="360" w:lineRule="auto"/>
        <w:ind w:firstLine="420" w:firstLineChars="200"/>
        <w:jc w:val="left"/>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（2）承包人负责合同实施期间其合同段内临时交通道路（含场内外连接公共交通道路）和交通设施的修建、维修、养护和交通管理工作，并承担一切费用。</w:t>
      </w:r>
    </w:p>
    <w:p w14:paraId="2D19CCA5">
      <w:pPr>
        <w:autoSpaceDE w:val="0"/>
        <w:autoSpaceDN w:val="0"/>
        <w:adjustRightInd w:val="0"/>
        <w:spacing w:line="360" w:lineRule="auto"/>
        <w:jc w:val="left"/>
        <w:rPr>
          <w:rFonts w:hAnsi="宋体"/>
          <w:color w:val="000000" w:themeColor="text1"/>
          <w:szCs w:val="21"/>
          <w:highlight w:val="none"/>
          <w:u w:val="single"/>
          <w14:textFill>
            <w14:solidFill>
              <w14:schemeClr w14:val="tx1"/>
            </w14:solidFill>
          </w14:textFill>
        </w:rPr>
      </w:pPr>
      <w:r>
        <w:rPr>
          <w:rFonts w:hint="eastAsia" w:hAnsi="宋体"/>
          <w:color w:val="000000" w:themeColor="text1"/>
          <w:szCs w:val="21"/>
          <w:highlight w:val="none"/>
          <w:u w:val="single"/>
          <w14:textFill>
            <w14:solidFill>
              <w14:schemeClr w14:val="tx1"/>
            </w14:solidFill>
          </w14:textFill>
        </w:rPr>
        <w:t>（3）承包人修建的临时道路和交通设施，应免费提供给发包人、监理人和其他合同段的承包人使用，如共同使用的路基损坏严重，发包人或监理人将负责通知有关承包人共同出资修复，若使用频率相差悬殊，则按比例分摊</w:t>
      </w:r>
      <w:r>
        <w:rPr>
          <w:rFonts w:hint="eastAsia" w:hAnsi="宋体"/>
          <w:color w:val="000000" w:themeColor="text1"/>
          <w:szCs w:val="21"/>
          <w:highlight w:val="none"/>
          <w14:textFill>
            <w14:solidFill>
              <w14:schemeClr w14:val="tx1"/>
            </w14:solidFill>
          </w14:textFill>
        </w:rPr>
        <w:t>。</w:t>
      </w:r>
    </w:p>
    <w:p w14:paraId="1E4EF728">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8.8.2 </w:t>
      </w:r>
      <w:r>
        <w:rPr>
          <w:rFonts w:hint="eastAsia" w:hAnsi="宋体" w:cs="宋体"/>
          <w:color w:val="000000" w:themeColor="text1"/>
          <w:szCs w:val="21"/>
          <w:highlight w:val="none"/>
          <w14:textFill>
            <w14:solidFill>
              <w14:schemeClr w14:val="tx1"/>
            </w14:solidFill>
          </w14:textFill>
        </w:rPr>
        <w:t>发包人提供的施工设备和临时设施</w:t>
      </w:r>
    </w:p>
    <w:p w14:paraId="1CFF8829">
      <w:pPr>
        <w:autoSpaceDE w:val="0"/>
        <w:autoSpaceDN w:val="0"/>
        <w:adjustRightInd w:val="0"/>
        <w:spacing w:line="360" w:lineRule="auto"/>
        <w:ind w:firstLine="420" w:firstLineChars="200"/>
        <w:jc w:val="left"/>
        <w:rPr>
          <w:rFonts w:ascii="宋体" w:hAnsi="宋体" w:cs="宋体"/>
          <w:color w:val="000000" w:themeColor="text1"/>
          <w:szCs w:val="21"/>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发包人提供的施工设备和临时设施：</w:t>
      </w:r>
      <w:r>
        <w:rPr>
          <w:rFonts w:hint="eastAsia" w:ascii="宋体" w:hAnsi="宋体" w:cs="宋体"/>
          <w:b/>
          <w:bCs/>
          <w:color w:val="000000" w:themeColor="text1"/>
          <w:szCs w:val="21"/>
          <w:highlight w:val="none"/>
          <w:u w:val="single"/>
          <w14:textFill>
            <w14:solidFill>
              <w14:schemeClr w14:val="tx1"/>
            </w14:solidFill>
          </w14:textFill>
        </w:rPr>
        <w:t>除专用合同条款另有约定的其他独立承包人和监理人指示的他人提供条件外，承包人运入施工场地的所有施工设备以及在施工场地建设的临时设施仅限于用本合同工程</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b/>
          <w:bCs/>
          <w:color w:val="000000" w:themeColor="text1"/>
          <w:szCs w:val="21"/>
          <w:highlight w:val="none"/>
          <w:u w:val="single"/>
          <w14:textFill>
            <w14:solidFill>
              <w14:schemeClr w14:val="tx1"/>
            </w14:solidFill>
          </w14:textFill>
        </w:rPr>
        <w:t>塔吊和井架免费提供给发包人监理工程师用于本工程项目相关配套工程</w:t>
      </w:r>
      <w:r>
        <w:rPr>
          <w:rFonts w:hint="eastAsia" w:ascii="宋体" w:hAnsi="宋体" w:cs="宋体"/>
          <w:color w:val="000000" w:themeColor="text1"/>
          <w:szCs w:val="21"/>
          <w:highlight w:val="none"/>
          <w14:textFill>
            <w14:solidFill>
              <w14:schemeClr w14:val="tx1"/>
            </w14:solidFill>
          </w14:textFill>
        </w:rPr>
        <w:t>。</w:t>
      </w:r>
    </w:p>
    <w:p w14:paraId="5E3BA0D0">
      <w:pPr>
        <w:autoSpaceDE w:val="0"/>
        <w:autoSpaceDN w:val="0"/>
        <w:adjustRightInd w:val="0"/>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发包人提供的施工设备和临时设施的运行、维护、拆除、清运费用的承担人：</w:t>
      </w:r>
      <w:r>
        <w:rPr>
          <w:rFonts w:hint="eastAsia" w:ascii="宋体" w:hAnsi="宋体"/>
          <w:color w:val="000000" w:themeColor="text1"/>
          <w:szCs w:val="21"/>
          <w:highlight w:val="none"/>
          <w:u w:val="single"/>
          <w14:textFill>
            <w14:solidFill>
              <w14:schemeClr w14:val="tx1"/>
            </w14:solidFill>
          </w14:textFill>
        </w:rPr>
        <w:t>承包人</w:t>
      </w:r>
      <w:r>
        <w:rPr>
          <w:rFonts w:hint="eastAsia" w:hAnsi="宋体" w:cs="宋体"/>
          <w:color w:val="000000" w:themeColor="text1"/>
          <w:szCs w:val="21"/>
          <w:highlight w:val="none"/>
          <w14:textFill>
            <w14:solidFill>
              <w14:schemeClr w14:val="tx1"/>
            </w14:solidFill>
          </w14:textFill>
        </w:rPr>
        <w:t>。</w:t>
      </w:r>
    </w:p>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14:paraId="213F81D2">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544" w:name="_Toc389065302"/>
      <w:bookmarkStart w:id="545" w:name="_Toc78449824"/>
      <w:bookmarkStart w:id="546" w:name="_Toc407135238"/>
      <w:bookmarkStart w:id="547" w:name="_Toc351203641"/>
      <w:bookmarkStart w:id="548" w:name="_Toc373478383"/>
      <w:bookmarkStart w:id="549" w:name="_Toc114058875"/>
      <w:bookmarkStart w:id="550" w:name="_Toc373227736"/>
      <w:r>
        <w:rPr>
          <w:rFonts w:ascii="Arial" w:hAnsi="Arial" w:eastAsia="黑体"/>
          <w:b/>
          <w:bCs/>
          <w:color w:val="000000" w:themeColor="text1"/>
          <w:sz w:val="32"/>
          <w:szCs w:val="32"/>
          <w:highlight w:val="none"/>
          <w:lang w:val="zh-CN"/>
          <w14:textFill>
            <w14:solidFill>
              <w14:schemeClr w14:val="tx1"/>
            </w14:solidFill>
          </w14:textFill>
        </w:rPr>
        <w:t>9</w:t>
      </w:r>
      <w:bookmarkEnd w:id="511"/>
      <w:bookmarkEnd w:id="512"/>
      <w:bookmarkEnd w:id="513"/>
      <w:bookmarkStart w:id="551" w:name="_Toc304295559"/>
      <w:bookmarkStart w:id="552" w:name="_Toc297123533"/>
      <w:bookmarkStart w:id="553" w:name="_Toc312677495"/>
      <w:bookmarkStart w:id="554" w:name="_Toc300934982"/>
      <w:bookmarkStart w:id="555" w:name="_Toc303539139"/>
      <w:bookmarkStart w:id="556" w:name="_Toc312678021"/>
      <w:bookmarkStart w:id="557" w:name="_Toc297216192"/>
      <w:bookmarkStart w:id="558" w:name="_Toc267251428"/>
      <w:bookmarkStart w:id="559" w:name="_Toc292559378"/>
      <w:bookmarkStart w:id="560" w:name="_Toc297120473"/>
      <w:bookmarkStart w:id="561" w:name="_Toc296944512"/>
      <w:bookmarkStart w:id="562" w:name="_Toc297048359"/>
      <w:bookmarkStart w:id="563" w:name="_Toc296503173"/>
      <w:bookmarkStart w:id="564" w:name="_Toc267251427"/>
      <w:bookmarkStart w:id="565" w:name="_Toc296347172"/>
      <w:bookmarkStart w:id="566" w:name="_Toc296346674"/>
      <w:bookmarkStart w:id="567" w:name="_Toc292559883"/>
      <w:bookmarkStart w:id="568" w:name="_Toc296891213"/>
      <w:bookmarkStart w:id="569" w:name="_Toc296891001"/>
      <w:r>
        <w:rPr>
          <w:rFonts w:ascii="Arial" w:hAnsi="Arial" w:eastAsia="黑体"/>
          <w:b/>
          <w:bCs/>
          <w:color w:val="000000" w:themeColor="text1"/>
          <w:sz w:val="32"/>
          <w:szCs w:val="32"/>
          <w:highlight w:val="none"/>
          <w:lang w:val="zh-CN"/>
          <w14:textFill>
            <w14:solidFill>
              <w14:schemeClr w14:val="tx1"/>
            </w14:solidFill>
          </w14:textFill>
        </w:rPr>
        <w:t xml:space="preserve">. </w:t>
      </w:r>
      <w:r>
        <w:rPr>
          <w:rFonts w:hint="eastAsia" w:ascii="Arial" w:hAnsi="Arial" w:eastAsia="黑体" w:cs="黑体"/>
          <w:b/>
          <w:bCs/>
          <w:color w:val="000000" w:themeColor="text1"/>
          <w:sz w:val="32"/>
          <w:szCs w:val="32"/>
          <w:highlight w:val="none"/>
          <w:lang w:val="zh-CN"/>
          <w14:textFill>
            <w14:solidFill>
              <w14:schemeClr w14:val="tx1"/>
            </w14:solidFill>
          </w14:textFill>
        </w:rPr>
        <w:t>试验与检验</w:t>
      </w:r>
      <w:bookmarkEnd w:id="544"/>
      <w:bookmarkEnd w:id="545"/>
      <w:bookmarkEnd w:id="546"/>
      <w:bookmarkEnd w:id="547"/>
      <w:bookmarkEnd w:id="548"/>
      <w:bookmarkEnd w:id="549"/>
      <w:bookmarkEnd w:id="550"/>
    </w:p>
    <w:bookmarkEnd w:id="551"/>
    <w:bookmarkEnd w:id="552"/>
    <w:bookmarkEnd w:id="553"/>
    <w:bookmarkEnd w:id="554"/>
    <w:bookmarkEnd w:id="555"/>
    <w:bookmarkEnd w:id="556"/>
    <w:bookmarkEnd w:id="557"/>
    <w:p w14:paraId="767DDFD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70" w:name="_Toc389065303"/>
      <w:bookmarkStart w:id="571" w:name="_Toc373227737"/>
      <w:bookmarkStart w:id="572" w:name="_Toc373478384"/>
      <w:bookmarkStart w:id="573" w:name="_Toc114058876"/>
      <w:bookmarkStart w:id="574" w:name="_Toc407135239"/>
      <w:bookmarkStart w:id="575" w:name="_Toc78449825"/>
      <w:r>
        <w:rPr>
          <w:rFonts w:eastAsia="黑体"/>
          <w:b/>
          <w:bCs/>
          <w:color w:val="000000" w:themeColor="text1"/>
          <w:sz w:val="32"/>
          <w:szCs w:val="32"/>
          <w:highlight w:val="none"/>
          <w:lang w:val="zh-CN"/>
          <w14:textFill>
            <w14:solidFill>
              <w14:schemeClr w14:val="tx1"/>
            </w14:solidFill>
          </w14:textFill>
        </w:rPr>
        <w:t>9</w:t>
      </w:r>
      <w:bookmarkStart w:id="576" w:name="_Toc312677496"/>
      <w:bookmarkStart w:id="577" w:name="_Toc297123534"/>
      <w:bookmarkStart w:id="578" w:name="_Toc297216193"/>
      <w:bookmarkStart w:id="579" w:name="_Toc300934983"/>
      <w:bookmarkStart w:id="580" w:name="_Toc303539140"/>
      <w:bookmarkStart w:id="581" w:name="_Toc312678022"/>
      <w:bookmarkStart w:id="582" w:name="_Toc304295560"/>
      <w:r>
        <w:rPr>
          <w:rFonts w:eastAsia="黑体"/>
          <w:b/>
          <w:bCs/>
          <w:color w:val="000000" w:themeColor="text1"/>
          <w:sz w:val="32"/>
          <w:szCs w:val="32"/>
          <w:highlight w:val="none"/>
          <w:lang w:val="zh-CN"/>
          <w14:textFill>
            <w14:solidFill>
              <w14:schemeClr w14:val="tx1"/>
            </w14:solidFill>
          </w14:textFill>
        </w:rPr>
        <w:t xml:space="preserve">.1 </w:t>
      </w:r>
      <w:r>
        <w:rPr>
          <w:rFonts w:hint="eastAsia" w:eastAsia="黑体" w:cs="黑体"/>
          <w:b/>
          <w:bCs/>
          <w:color w:val="000000" w:themeColor="text1"/>
          <w:sz w:val="32"/>
          <w:szCs w:val="32"/>
          <w:highlight w:val="none"/>
          <w:lang w:val="zh-CN"/>
          <w14:textFill>
            <w14:solidFill>
              <w14:schemeClr w14:val="tx1"/>
            </w14:solidFill>
          </w14:textFill>
        </w:rPr>
        <w:t>试验设备与试验人员</w:t>
      </w:r>
      <w:bookmarkEnd w:id="570"/>
      <w:bookmarkEnd w:id="571"/>
      <w:bookmarkEnd w:id="572"/>
      <w:bookmarkEnd w:id="573"/>
      <w:bookmarkEnd w:id="574"/>
      <w:bookmarkEnd w:id="575"/>
    </w:p>
    <w:bookmarkEnd w:id="576"/>
    <w:bookmarkEnd w:id="577"/>
    <w:bookmarkEnd w:id="578"/>
    <w:bookmarkEnd w:id="579"/>
    <w:bookmarkEnd w:id="580"/>
    <w:bookmarkEnd w:id="581"/>
    <w:bookmarkEnd w:id="582"/>
    <w:p w14:paraId="319C5E3C">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9</w:t>
      </w:r>
      <w:bookmarkStart w:id="583" w:name="_Toc303539141"/>
      <w:bookmarkStart w:id="584" w:name="_Toc304295561"/>
      <w:bookmarkStart w:id="585" w:name="_Toc312678023"/>
      <w:bookmarkStart w:id="586" w:name="_Toc297123535"/>
      <w:bookmarkStart w:id="587" w:name="_Toc297216194"/>
      <w:bookmarkStart w:id="588" w:name="_Toc300934984"/>
      <w:bookmarkStart w:id="589" w:name="_Toc312677497"/>
      <w:bookmarkStart w:id="590" w:name="_Toc318581174"/>
      <w:r>
        <w:rPr>
          <w:color w:val="000000" w:themeColor="text1"/>
          <w:szCs w:val="21"/>
          <w:highlight w:val="none"/>
          <w14:textFill>
            <w14:solidFill>
              <w14:schemeClr w14:val="tx1"/>
            </w14:solidFill>
          </w14:textFill>
        </w:rPr>
        <w:t xml:space="preserve">.1.2 </w:t>
      </w:r>
      <w:r>
        <w:rPr>
          <w:rFonts w:hint="eastAsia" w:hAnsi="宋体" w:cs="宋体"/>
          <w:color w:val="000000" w:themeColor="text1"/>
          <w:szCs w:val="21"/>
          <w:highlight w:val="none"/>
          <w14:textFill>
            <w14:solidFill>
              <w14:schemeClr w14:val="tx1"/>
            </w14:solidFill>
          </w14:textFill>
        </w:rPr>
        <w:t>试验设备</w:t>
      </w:r>
    </w:p>
    <w:bookmarkEnd w:id="583"/>
    <w:bookmarkEnd w:id="584"/>
    <w:bookmarkEnd w:id="585"/>
    <w:bookmarkEnd w:id="586"/>
    <w:bookmarkEnd w:id="587"/>
    <w:bookmarkEnd w:id="588"/>
    <w:bookmarkEnd w:id="589"/>
    <w:p w14:paraId="66FDECE4">
      <w:pPr>
        <w:spacing w:line="360" w:lineRule="auto"/>
        <w:ind w:firstLine="420" w:firstLineChars="200"/>
        <w:jc w:val="left"/>
        <w:rPr>
          <w:color w:val="000000" w:themeColor="text1"/>
          <w:szCs w:val="21"/>
          <w:highlight w:val="none"/>
          <w:u w:val="single"/>
          <w14:textFill>
            <w14:solidFill>
              <w14:schemeClr w14:val="tx1"/>
            </w14:solidFill>
          </w14:textFill>
        </w:rPr>
      </w:pPr>
      <w:bookmarkStart w:id="591" w:name="_Toc312678024"/>
      <w:bookmarkStart w:id="592" w:name="_Toc303539142"/>
      <w:bookmarkStart w:id="593" w:name="_Toc312677498"/>
      <w:bookmarkStart w:id="594" w:name="_Toc297216195"/>
      <w:bookmarkStart w:id="595" w:name="_Toc297123536"/>
      <w:bookmarkStart w:id="596" w:name="_Toc304295562"/>
      <w:bookmarkStart w:id="597" w:name="_Toc300934985"/>
      <w:r>
        <w:rPr>
          <w:rFonts w:hAnsi="宋体"/>
          <w:color w:val="000000" w:themeColor="text1"/>
          <w:szCs w:val="21"/>
          <w:highlight w:val="none"/>
          <w14:textFill>
            <w14:solidFill>
              <w14:schemeClr w14:val="tx1"/>
            </w14:solidFill>
          </w14:textFill>
        </w:rPr>
        <w:t>施工现场需要配置的试验场所：</w:t>
      </w:r>
      <w:r>
        <w:rPr>
          <w:color w:val="000000" w:themeColor="text1"/>
          <w:szCs w:val="21"/>
          <w:highlight w:val="none"/>
          <w:u w:val="single"/>
          <w14:textFill>
            <w14:solidFill>
              <w14:schemeClr w14:val="tx1"/>
            </w14:solidFill>
          </w14:textFill>
        </w:rPr>
        <w:t xml:space="preserve"> 按有关规定执行，其余均按本合同《通用条款》第 9.1.2款规定执行</w:t>
      </w:r>
      <w:r>
        <w:rPr>
          <w:rFonts w:hAnsi="宋体"/>
          <w:color w:val="000000" w:themeColor="text1"/>
          <w:szCs w:val="21"/>
          <w:highlight w:val="none"/>
          <w14:textFill>
            <w14:solidFill>
              <w14:schemeClr w14:val="tx1"/>
            </w14:solidFill>
          </w14:textFill>
        </w:rPr>
        <w:t>。</w:t>
      </w:r>
    </w:p>
    <w:p w14:paraId="03940EC3">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施工现场需要配备的试验设备：</w:t>
      </w:r>
      <w:r>
        <w:rPr>
          <w:color w:val="000000" w:themeColor="text1"/>
          <w:szCs w:val="21"/>
          <w:highlight w:val="none"/>
          <w:u w:val="single"/>
          <w14:textFill>
            <w14:solidFill>
              <w14:schemeClr w14:val="tx1"/>
            </w14:solidFill>
          </w14:textFill>
        </w:rPr>
        <w:t>按有关规定执行，其余均按本合同《通用条款》第 9.1.2款规定执行</w:t>
      </w:r>
      <w:r>
        <w:rPr>
          <w:rFonts w:hAnsi="宋体"/>
          <w:color w:val="000000" w:themeColor="text1"/>
          <w:szCs w:val="21"/>
          <w:highlight w:val="none"/>
          <w14:textFill>
            <w14:solidFill>
              <w14:schemeClr w14:val="tx1"/>
            </w14:solidFill>
          </w14:textFill>
        </w:rPr>
        <w:t>。</w:t>
      </w:r>
    </w:p>
    <w:p w14:paraId="7594819A">
      <w:pPr>
        <w:spacing w:line="360" w:lineRule="auto"/>
        <w:ind w:firstLine="420" w:firstLineChars="200"/>
        <w:jc w:val="left"/>
        <w:rPr>
          <w:color w:val="000000" w:themeColor="text1"/>
          <w:szCs w:val="22"/>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施工现场需要具备的其他试验条件：</w:t>
      </w:r>
      <w:r>
        <w:rPr>
          <w:color w:val="000000" w:themeColor="text1"/>
          <w:szCs w:val="21"/>
          <w:highlight w:val="none"/>
          <w:u w:val="single"/>
          <w14:textFill>
            <w14:solidFill>
              <w14:schemeClr w14:val="tx1"/>
            </w14:solidFill>
          </w14:textFill>
        </w:rPr>
        <w:t>按有关规定执行，其余均按本合同《通用条款》第 9.1.2款规定执行</w:t>
      </w:r>
      <w:r>
        <w:rPr>
          <w:rFonts w:hAnsi="宋体"/>
          <w:color w:val="000000" w:themeColor="text1"/>
          <w:szCs w:val="21"/>
          <w:highlight w:val="none"/>
          <w14:textFill>
            <w14:solidFill>
              <w14:schemeClr w14:val="tx1"/>
            </w14:solidFill>
          </w14:textFill>
        </w:rPr>
        <w:t>。</w:t>
      </w:r>
    </w:p>
    <w:p w14:paraId="74E2B39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598" w:name="_Toc373478385"/>
      <w:bookmarkStart w:id="599" w:name="_Toc78449826"/>
      <w:bookmarkStart w:id="600" w:name="_Toc389065304"/>
      <w:bookmarkStart w:id="601" w:name="_Toc407135240"/>
      <w:bookmarkStart w:id="602" w:name="_Toc114058877"/>
      <w:bookmarkStart w:id="603" w:name="_Toc373227738"/>
      <w:r>
        <w:rPr>
          <w:rFonts w:eastAsia="黑体"/>
          <w:b/>
          <w:bCs/>
          <w:color w:val="000000" w:themeColor="text1"/>
          <w:sz w:val="32"/>
          <w:szCs w:val="32"/>
          <w:highlight w:val="none"/>
          <w:lang w:val="zh-CN"/>
          <w14:textFill>
            <w14:solidFill>
              <w14:schemeClr w14:val="tx1"/>
            </w14:solidFill>
          </w14:textFill>
        </w:rPr>
        <w:t xml:space="preserve">9.4 </w:t>
      </w:r>
      <w:r>
        <w:rPr>
          <w:rFonts w:hint="eastAsia" w:hAnsi="宋体" w:eastAsia="黑体" w:cs="黑体"/>
          <w:b/>
          <w:bCs/>
          <w:color w:val="000000" w:themeColor="text1"/>
          <w:sz w:val="32"/>
          <w:szCs w:val="32"/>
          <w:highlight w:val="none"/>
          <w:lang w:val="zh-CN"/>
          <w14:textFill>
            <w14:solidFill>
              <w14:schemeClr w14:val="tx1"/>
            </w14:solidFill>
          </w14:textFill>
        </w:rPr>
        <w:t>现场工艺试验</w:t>
      </w:r>
      <w:bookmarkEnd w:id="598"/>
      <w:bookmarkEnd w:id="599"/>
      <w:bookmarkEnd w:id="600"/>
      <w:bookmarkEnd w:id="601"/>
      <w:bookmarkEnd w:id="602"/>
      <w:bookmarkEnd w:id="603"/>
    </w:p>
    <w:p w14:paraId="44CDBA1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现场工艺试验的有关约定：</w:t>
      </w:r>
      <w:r>
        <w:rPr>
          <w:rFonts w:hint="eastAsia"/>
          <w:color w:val="000000" w:themeColor="text1"/>
          <w:szCs w:val="21"/>
          <w:highlight w:val="none"/>
          <w:u w:val="single"/>
          <w14:textFill>
            <w14:solidFill>
              <w14:schemeClr w14:val="tx1"/>
            </w14:solidFill>
          </w14:textFill>
        </w:rPr>
        <w:t>按照通用条款执行</w:t>
      </w:r>
      <w:r>
        <w:rPr>
          <w:rFonts w:hint="eastAsia" w:hAnsi="宋体" w:cs="宋体"/>
          <w:color w:val="000000" w:themeColor="text1"/>
          <w:szCs w:val="21"/>
          <w:highlight w:val="none"/>
          <w14:textFill>
            <w14:solidFill>
              <w14:schemeClr w14:val="tx1"/>
            </w14:solidFill>
          </w14:textFill>
        </w:rPr>
        <w:t>。</w:t>
      </w:r>
    </w:p>
    <w:p w14:paraId="0021B16A">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04" w:name="_Toc407135241"/>
      <w:bookmarkStart w:id="605" w:name="_Toc114058878"/>
      <w:bookmarkStart w:id="606" w:name="_Toc78449827"/>
      <w:bookmarkStart w:id="607" w:name="OLE_LINK1"/>
      <w:r>
        <w:rPr>
          <w:rFonts w:eastAsia="黑体"/>
          <w:b/>
          <w:bCs/>
          <w:color w:val="000000" w:themeColor="text1"/>
          <w:sz w:val="32"/>
          <w:szCs w:val="32"/>
          <w:highlight w:val="none"/>
          <w:lang w:val="zh-CN"/>
          <w14:textFill>
            <w14:solidFill>
              <w14:schemeClr w14:val="tx1"/>
            </w14:solidFill>
          </w14:textFill>
        </w:rPr>
        <w:t xml:space="preserve">9.5 </w:t>
      </w:r>
      <w:r>
        <w:rPr>
          <w:rFonts w:hint="eastAsia" w:hAnsi="宋体" w:eastAsia="黑体" w:cs="黑体"/>
          <w:b/>
          <w:bCs/>
          <w:color w:val="000000" w:themeColor="text1"/>
          <w:sz w:val="32"/>
          <w:szCs w:val="32"/>
          <w:highlight w:val="none"/>
          <w:lang w:val="zh-CN"/>
          <w14:textFill>
            <w14:solidFill>
              <w14:schemeClr w14:val="tx1"/>
            </w14:solidFill>
          </w14:textFill>
        </w:rPr>
        <w:t>检验费用</w:t>
      </w:r>
      <w:bookmarkEnd w:id="604"/>
      <w:bookmarkEnd w:id="605"/>
      <w:bookmarkEnd w:id="606"/>
    </w:p>
    <w:p w14:paraId="263F9F1C">
      <w:pPr>
        <w:spacing w:line="360" w:lineRule="auto"/>
        <w:ind w:firstLine="411" w:firstLineChars="196"/>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根据《建设工程质量检测管理办法》（建设部令第</w:t>
      </w:r>
      <w:r>
        <w:rPr>
          <w:color w:val="000000" w:themeColor="text1"/>
          <w:szCs w:val="21"/>
          <w:highlight w:val="none"/>
          <w14:textFill>
            <w14:solidFill>
              <w14:schemeClr w14:val="tx1"/>
            </w14:solidFill>
          </w14:textFill>
        </w:rPr>
        <w:t>141</w:t>
      </w:r>
      <w:r>
        <w:rPr>
          <w:rFonts w:hint="eastAsia" w:hAnsi="宋体" w:cs="宋体"/>
          <w:color w:val="000000" w:themeColor="text1"/>
          <w:szCs w:val="21"/>
          <w:highlight w:val="none"/>
          <w14:textFill>
            <w14:solidFill>
              <w14:schemeClr w14:val="tx1"/>
            </w14:solidFill>
          </w14:textFill>
        </w:rPr>
        <w:t>号）以及《广西壮族自治区建设工程质量检测管理规定》</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桂建管</w:t>
      </w: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2013</w:t>
      </w: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11</w:t>
      </w:r>
      <w:r>
        <w:rPr>
          <w:rFonts w:hint="eastAsia" w:hAnsi="宋体" w:cs="宋体"/>
          <w:color w:val="000000" w:themeColor="text1"/>
          <w:szCs w:val="21"/>
          <w:highlight w:val="none"/>
          <w14:textFill>
            <w14:solidFill>
              <w14:schemeClr w14:val="tx1"/>
            </w14:solidFill>
          </w14:textFill>
        </w:rPr>
        <w:t>号</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规定，工程质量检测业务由发包人委托有相应资质的检测机构检测。费用从发包人的项目建设经费中支出并直接支付给检测机构，不计入合同价款内。</w:t>
      </w:r>
    </w:p>
    <w:bookmarkEnd w:id="590"/>
    <w:bookmarkEnd w:id="591"/>
    <w:bookmarkEnd w:id="592"/>
    <w:bookmarkEnd w:id="593"/>
    <w:bookmarkEnd w:id="594"/>
    <w:bookmarkEnd w:id="595"/>
    <w:bookmarkEnd w:id="596"/>
    <w:bookmarkEnd w:id="597"/>
    <w:bookmarkEnd w:id="607"/>
    <w:p w14:paraId="311B6852">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608" w:name="_Toc351203642"/>
      <w:bookmarkStart w:id="609" w:name="_Toc407135242"/>
      <w:bookmarkStart w:id="610" w:name="_Toc78449828"/>
      <w:bookmarkStart w:id="611" w:name="_Toc389065305"/>
      <w:bookmarkStart w:id="612" w:name="_Toc373478386"/>
      <w:bookmarkStart w:id="613" w:name="_Toc373227739"/>
      <w:bookmarkStart w:id="614" w:name="_Toc114058879"/>
      <w:r>
        <w:rPr>
          <w:rFonts w:ascii="Arial" w:hAnsi="Arial" w:eastAsia="黑体"/>
          <w:b/>
          <w:bCs/>
          <w:color w:val="000000" w:themeColor="text1"/>
          <w:sz w:val="32"/>
          <w:szCs w:val="32"/>
          <w:highlight w:val="none"/>
          <w:lang w:val="zh-CN"/>
          <w14:textFill>
            <w14:solidFill>
              <w14:schemeClr w14:val="tx1"/>
            </w14:solidFill>
          </w14:textFill>
        </w:rPr>
        <w:t>1</w:t>
      </w:r>
      <w:bookmarkEnd w:id="558"/>
      <w:bookmarkEnd w:id="559"/>
      <w:bookmarkEnd w:id="560"/>
      <w:bookmarkEnd w:id="561"/>
      <w:bookmarkEnd w:id="562"/>
      <w:bookmarkEnd w:id="563"/>
      <w:bookmarkEnd w:id="564"/>
      <w:bookmarkEnd w:id="565"/>
      <w:bookmarkEnd w:id="566"/>
      <w:bookmarkEnd w:id="567"/>
      <w:bookmarkEnd w:id="568"/>
      <w:bookmarkEnd w:id="569"/>
      <w:bookmarkStart w:id="615" w:name="_Toc296346694"/>
      <w:bookmarkStart w:id="616" w:name="_Toc300934989"/>
      <w:bookmarkStart w:id="617" w:name="_Toc292559903"/>
      <w:bookmarkStart w:id="618" w:name="_Toc296944532"/>
      <w:bookmarkStart w:id="619" w:name="_Toc297120493"/>
      <w:bookmarkStart w:id="620" w:name="_Toc297048379"/>
      <w:bookmarkStart w:id="621" w:name="_Toc303539146"/>
      <w:bookmarkStart w:id="622" w:name="_Toc296891021"/>
      <w:bookmarkStart w:id="623" w:name="_Toc296891233"/>
      <w:bookmarkStart w:id="624" w:name="_Toc292559398"/>
      <w:bookmarkStart w:id="625" w:name="_Toc296503193"/>
      <w:bookmarkStart w:id="626" w:name="_Toc297216199"/>
      <w:bookmarkStart w:id="627" w:name="_Toc297123540"/>
      <w:bookmarkStart w:id="628" w:name="_Toc296347192"/>
      <w:bookmarkStart w:id="629" w:name="_Toc304295566"/>
      <w:bookmarkStart w:id="630" w:name="_Toc312677499"/>
      <w:bookmarkStart w:id="631" w:name="_Toc312678025"/>
      <w:bookmarkStart w:id="632" w:name="_Toc267251435"/>
      <w:bookmarkStart w:id="633" w:name="_Toc267251433"/>
      <w:bookmarkStart w:id="634" w:name="_Toc267251441"/>
      <w:bookmarkStart w:id="635" w:name="_Toc267251437"/>
      <w:bookmarkStart w:id="636" w:name="_Toc267251440"/>
      <w:bookmarkStart w:id="637" w:name="_Toc267251439"/>
      <w:bookmarkStart w:id="638" w:name="_Toc267251442"/>
      <w:r>
        <w:rPr>
          <w:rFonts w:ascii="Arial" w:hAnsi="Arial" w:eastAsia="黑体"/>
          <w:b/>
          <w:bCs/>
          <w:color w:val="000000" w:themeColor="text1"/>
          <w:sz w:val="32"/>
          <w:szCs w:val="32"/>
          <w:highlight w:val="none"/>
          <w:lang w:val="zh-CN"/>
          <w14:textFill>
            <w14:solidFill>
              <w14:schemeClr w14:val="tx1"/>
            </w14:solidFill>
          </w14:textFill>
        </w:rPr>
        <w:t xml:space="preserve">0. </w:t>
      </w:r>
      <w:r>
        <w:rPr>
          <w:rFonts w:hint="eastAsia" w:ascii="Arial" w:hAnsi="宋体" w:eastAsia="黑体" w:cs="黑体"/>
          <w:b/>
          <w:bCs/>
          <w:color w:val="000000" w:themeColor="text1"/>
          <w:sz w:val="32"/>
          <w:szCs w:val="32"/>
          <w:highlight w:val="none"/>
          <w:lang w:val="zh-CN"/>
          <w14:textFill>
            <w14:solidFill>
              <w14:schemeClr w14:val="tx1"/>
            </w14:solidFill>
          </w14:textFill>
        </w:rPr>
        <w:t>变更</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bookmarkEnd w:id="630"/>
    <w:bookmarkEnd w:id="631"/>
    <w:p w14:paraId="0873C01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39" w:name="_Toc114058880"/>
      <w:bookmarkStart w:id="640" w:name="_Toc78449829"/>
      <w:bookmarkStart w:id="641" w:name="_Toc407135243"/>
      <w:bookmarkStart w:id="642" w:name="_Toc373227740"/>
      <w:bookmarkStart w:id="643" w:name="_Toc373478387"/>
      <w:bookmarkStart w:id="644" w:name="_Toc389065306"/>
      <w:r>
        <w:rPr>
          <w:rFonts w:eastAsia="黑体"/>
          <w:b/>
          <w:bCs/>
          <w:color w:val="000000" w:themeColor="text1"/>
          <w:sz w:val="32"/>
          <w:szCs w:val="32"/>
          <w:highlight w:val="none"/>
          <w:lang w:val="zh-CN"/>
          <w14:textFill>
            <w14:solidFill>
              <w14:schemeClr w14:val="tx1"/>
            </w14:solidFill>
          </w14:textFill>
        </w:rPr>
        <w:t>1</w:t>
      </w:r>
      <w:bookmarkStart w:id="645" w:name="_Toc303539147"/>
      <w:bookmarkStart w:id="646" w:name="_Toc300934990"/>
      <w:bookmarkStart w:id="647" w:name="_Toc304295567"/>
      <w:bookmarkStart w:id="648" w:name="_Toc297216200"/>
      <w:bookmarkStart w:id="649" w:name="_Toc297123541"/>
      <w:bookmarkStart w:id="650" w:name="_Toc296891234"/>
      <w:bookmarkStart w:id="651" w:name="_Toc296944533"/>
      <w:bookmarkStart w:id="652" w:name="_Toc296891022"/>
      <w:bookmarkStart w:id="653" w:name="_Toc296503194"/>
      <w:bookmarkStart w:id="654" w:name="_Toc312677500"/>
      <w:bookmarkStart w:id="655" w:name="_Toc296347193"/>
      <w:bookmarkStart w:id="656" w:name="_Toc312678026"/>
      <w:bookmarkStart w:id="657" w:name="_Toc292559399"/>
      <w:bookmarkStart w:id="658" w:name="_Toc292559904"/>
      <w:bookmarkStart w:id="659" w:name="_Toc296346695"/>
      <w:bookmarkStart w:id="660" w:name="_Toc297048380"/>
      <w:bookmarkStart w:id="661" w:name="_Toc297120494"/>
      <w:r>
        <w:rPr>
          <w:rFonts w:eastAsia="黑体"/>
          <w:b/>
          <w:bCs/>
          <w:color w:val="000000" w:themeColor="text1"/>
          <w:sz w:val="32"/>
          <w:szCs w:val="32"/>
          <w:highlight w:val="none"/>
          <w:lang w:val="zh-CN"/>
          <w14:textFill>
            <w14:solidFill>
              <w14:schemeClr w14:val="tx1"/>
            </w14:solidFill>
          </w14:textFill>
        </w:rPr>
        <w:t xml:space="preserve">0.1 </w:t>
      </w:r>
      <w:r>
        <w:rPr>
          <w:rFonts w:hint="eastAsia" w:hAnsi="宋体" w:eastAsia="黑体" w:cs="黑体"/>
          <w:b/>
          <w:bCs/>
          <w:color w:val="000000" w:themeColor="text1"/>
          <w:sz w:val="32"/>
          <w:szCs w:val="32"/>
          <w:highlight w:val="none"/>
          <w:lang w:val="zh-CN"/>
          <w14:textFill>
            <w14:solidFill>
              <w14:schemeClr w14:val="tx1"/>
            </w14:solidFill>
          </w14:textFill>
        </w:rPr>
        <w:t>变更的范围</w:t>
      </w:r>
      <w:bookmarkEnd w:id="639"/>
      <w:bookmarkEnd w:id="640"/>
      <w:bookmarkEnd w:id="641"/>
      <w:bookmarkEnd w:id="642"/>
      <w:bookmarkEnd w:id="643"/>
      <w:bookmarkEnd w:id="644"/>
    </w:p>
    <w:p w14:paraId="1551AB0A">
      <w:pPr>
        <w:spacing w:line="360" w:lineRule="auto"/>
        <w:ind w:firstLine="426"/>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关于变更的范围的约定：</w:t>
      </w:r>
      <w:r>
        <w:rPr>
          <w:rFonts w:hint="eastAsia"/>
          <w:color w:val="000000" w:themeColor="text1"/>
          <w:szCs w:val="21"/>
          <w:highlight w:val="none"/>
          <w:u w:val="single"/>
          <w14:textFill>
            <w14:solidFill>
              <w14:schemeClr w14:val="tx1"/>
            </w14:solidFill>
          </w14:textFill>
        </w:rPr>
        <w:t>按照通用条款执行</w:t>
      </w:r>
      <w:r>
        <w:rPr>
          <w:rFonts w:hint="eastAsia" w:hAnsi="宋体" w:cs="宋体"/>
          <w:color w:val="000000" w:themeColor="text1"/>
          <w:szCs w:val="21"/>
          <w:highlight w:val="none"/>
          <w14:textFill>
            <w14:solidFill>
              <w14:schemeClr w14:val="tx1"/>
            </w14:solidFill>
          </w14:textFill>
        </w:rPr>
        <w:t>。</w:t>
      </w:r>
    </w:p>
    <w:p w14:paraId="45B26B9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62" w:name="_Toc389065307"/>
      <w:bookmarkStart w:id="663" w:name="_Toc78449830"/>
      <w:bookmarkStart w:id="664" w:name="_Toc407135244"/>
      <w:bookmarkStart w:id="665" w:name="_Toc114058881"/>
      <w:bookmarkStart w:id="666" w:name="_Toc373227741"/>
      <w:bookmarkStart w:id="667" w:name="_Toc373478388"/>
      <w:r>
        <w:rPr>
          <w:rFonts w:eastAsia="黑体"/>
          <w:b/>
          <w:bCs/>
          <w:color w:val="000000" w:themeColor="text1"/>
          <w:sz w:val="32"/>
          <w:szCs w:val="32"/>
          <w:highlight w:val="none"/>
          <w:lang w:val="zh-CN"/>
          <w14:textFill>
            <w14:solidFill>
              <w14:schemeClr w14:val="tx1"/>
            </w14:solidFill>
          </w14:textFill>
        </w:rPr>
        <w:t xml:space="preserve">10.3 </w:t>
      </w:r>
      <w:r>
        <w:rPr>
          <w:rFonts w:hint="eastAsia" w:hAnsi="宋体" w:eastAsia="黑体" w:cs="黑体"/>
          <w:b/>
          <w:bCs/>
          <w:color w:val="000000" w:themeColor="text1"/>
          <w:sz w:val="32"/>
          <w:szCs w:val="32"/>
          <w:highlight w:val="none"/>
          <w:lang w:val="zh-CN"/>
          <w14:textFill>
            <w14:solidFill>
              <w14:schemeClr w14:val="tx1"/>
            </w14:solidFill>
          </w14:textFill>
        </w:rPr>
        <w:t>变更程序</w:t>
      </w:r>
      <w:bookmarkEnd w:id="662"/>
      <w:bookmarkEnd w:id="663"/>
      <w:bookmarkEnd w:id="664"/>
      <w:bookmarkEnd w:id="665"/>
      <w:bookmarkEnd w:id="666"/>
      <w:bookmarkEnd w:id="667"/>
    </w:p>
    <w:p w14:paraId="019FEEF8">
      <w:pPr>
        <w:spacing w:line="360" w:lineRule="auto"/>
        <w:ind w:firstLine="441" w:firstLineChars="21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10.3.1</w:t>
      </w:r>
      <w:r>
        <w:rPr>
          <w:rFonts w:hint="eastAsia"/>
          <w:color w:val="000000" w:themeColor="text1"/>
          <w:szCs w:val="21"/>
          <w:highlight w:val="none"/>
          <w14:textFill>
            <w14:solidFill>
              <w14:schemeClr w14:val="tx1"/>
            </w14:solidFill>
          </w14:textFill>
        </w:rPr>
        <w:t>国有投资项目：</w:t>
      </w:r>
    </w:p>
    <w:p w14:paraId="74277D7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10.3.1变更的提出</w:t>
      </w:r>
    </w:p>
    <w:p w14:paraId="7451EDFB">
      <w:pPr>
        <w:spacing w:line="360" w:lineRule="auto"/>
        <w:ind w:firstLine="42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(1）在合同履行过程中，可能发生第10.1 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10.3.2 项约定发出变更指示。</w:t>
      </w:r>
    </w:p>
    <w:p w14:paraId="278FCE9C">
      <w:pPr>
        <w:spacing w:line="360" w:lineRule="auto"/>
        <w:ind w:firstLine="420" w:firstLineChars="200"/>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(2）在合同履行过程中，发生第10.1 款约定情形的，监理人应按照第10.3.2  项约定向承包人发出变更指示。</w:t>
      </w:r>
    </w:p>
    <w:p w14:paraId="51CACA5C">
      <w:pPr>
        <w:spacing w:line="360" w:lineRule="auto"/>
        <w:ind w:firstLine="42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(3）承包人收到监理人按合同约定发出的图纸和文件，经检查认为其中存在第10.1 款约定情形的，可向监理人提出书面变更建议。变更建议应阐明要求变更的依据，并附必要的图纸和说明。监理人收到承包人书面建议后，应与发包人共同研究，确认存在变更的，应在收到承包人书面建议后的14 天内作出变更指示。经研究后不同意作为变更的，应由监理人书面答复承包人。</w:t>
      </w:r>
    </w:p>
    <w:p w14:paraId="699735A3">
      <w:pPr>
        <w:spacing w:line="360" w:lineRule="auto"/>
        <w:ind w:firstLine="426"/>
        <w:jc w:val="lef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(4）若承包人收到监理人的变更意向书后认为难以实施此项变更，应立即通知监理人，说明原因并附详细依据。监理人与承包人和发包人协商后确定撤销、改变或不改变原变更意向书。</w:t>
      </w:r>
    </w:p>
    <w:p w14:paraId="5CDB236B">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10.3.2 变更指示</w:t>
      </w:r>
    </w:p>
    <w:p w14:paraId="70D16B23">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(l）变更指示只能由监理人发出。</w:t>
      </w:r>
    </w:p>
    <w:p w14:paraId="2B7FB68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(2）变更指示应说明变更的目的、范围、变更内容以及变更的工程量及其进度和技术要求，并附有关图纸和文件。承包人收到变更指示后，应按变更指示进行变更工作。</w:t>
      </w:r>
    </w:p>
    <w:p w14:paraId="0123F9A6">
      <w:pPr>
        <w:keepNext/>
        <w:keepLines/>
        <w:spacing w:line="360" w:lineRule="auto"/>
        <w:outlineLvl w:val="0"/>
        <w:rPr>
          <w:rFonts w:ascii="宋体" w:hAnsi="宋体" w:eastAsia="黑体"/>
          <w:b/>
          <w:bCs/>
          <w:color w:val="000000" w:themeColor="text1"/>
          <w:kern w:val="44"/>
          <w:szCs w:val="21"/>
          <w:highlight w:val="none"/>
          <w:lang w:val="zh-CN"/>
          <w14:textFill>
            <w14:solidFill>
              <w14:schemeClr w14:val="tx1"/>
            </w14:solidFill>
          </w14:textFill>
        </w:rPr>
      </w:pPr>
      <w:r>
        <w:rPr>
          <w:rFonts w:hint="eastAsia" w:ascii="宋体" w:hAnsi="宋体" w:eastAsia="黑体"/>
          <w:b/>
          <w:bCs/>
          <w:color w:val="000000" w:themeColor="text1"/>
          <w:kern w:val="44"/>
          <w:szCs w:val="21"/>
          <w:highlight w:val="none"/>
          <w:lang w:val="zh-CN"/>
          <w14:textFill>
            <w14:solidFill>
              <w14:schemeClr w14:val="tx1"/>
            </w14:solidFill>
          </w14:textFill>
        </w:rPr>
        <w:t>10.3.3变更执行</w:t>
      </w:r>
    </w:p>
    <w:p w14:paraId="45697ACF">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⑴设计变更和工程签证，按《关于加强南宁市政府投资项目初步设计、施工图设计管理的通知》（南建项目[2004]3号）及《关于改进政府投资项目财政监管的通知》（南财投审[2007]66号）办理。属不可抗力（自然灾害、突发事件等）造成变更的，按特事特办原则予以办理。</w:t>
      </w:r>
    </w:p>
    <w:p w14:paraId="6329E7DE">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⑵ 工程设计变更和签证工程发生后10个工作日内，由承包人将有关变更文件、签证单审批件、工程联系单、预算书等工程资料作为进度款支付、事后抽查和工程结算的主要依据。</w:t>
      </w:r>
    </w:p>
    <w:p w14:paraId="22988D68">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⑶ 建设单位在实施项目过程中，若发生单价变动，由建设单位、监理单位与施工单位共同商定并签字确认。</w:t>
      </w:r>
    </w:p>
    <w:p w14:paraId="3CE2676D">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⑷ 发包人在工程设计变更和工程签证过程中必须认真负责、实事求是，不得弄虚作假，凡因上述问题所造成的损失，相应等额扣除建设单位项目管理费或其他财政拨款。</w:t>
      </w:r>
    </w:p>
    <w:p w14:paraId="2B84A9E6">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（5） 承包人应当在设计变更和工程签证发生后14天内，将调整原因、金额以书面形式向监理人和发包人申报，经监理人和发包人按第（1）（2）（3）（4）（5）条款的要求初步确认调整金额后将其作为追加合同价款，按不高于60%的比例与工程进度款同期支付，调整金额待工程单项结算或结算时，符合必须送财厅审核结算条件的由自治区财政部门最终审定的结算为准。</w:t>
      </w:r>
    </w:p>
    <w:p w14:paraId="55FD246A">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（6）当设计变更和工程签证需要调整合同价款的调整情况发生后，承包人未在上述规定时间内申报的，视为承包人已放弃此项权利。</w:t>
      </w:r>
    </w:p>
    <w:p w14:paraId="29FB537A">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（7）承包人所整理的变更签证资料应含有：工程联系单或变更通知、工程签证单、原始测量记录及现场图片。承包人在原始测量记录上签字的人员应具有承包人的委托，否则原始测量记录无效。</w:t>
      </w:r>
    </w:p>
    <w:p w14:paraId="4295C6F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（8）工程变更的其他规定：</w:t>
      </w:r>
    </w:p>
    <w:p w14:paraId="34C0B432">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1)已办理施工图备案并且正在施工的项目不得擅自提高设计标准和安全储备进行工程变</w:t>
      </w:r>
      <w:r>
        <w:rPr>
          <w:rFonts w:hint="eastAsia" w:ascii="宋体" w:hAnsi="宋体"/>
          <w:b/>
          <w:bCs/>
          <w:color w:val="000000" w:themeColor="text1"/>
          <w:szCs w:val="21"/>
          <w:highlight w:val="none"/>
          <w14:textFill>
            <w14:solidFill>
              <w14:schemeClr w14:val="tx1"/>
            </w14:solidFill>
          </w14:textFill>
        </w:rPr>
        <w:t>更</w:t>
      </w:r>
      <w:r>
        <w:rPr>
          <w:rFonts w:hint="eastAsia" w:ascii="宋体" w:hAnsi="宋体"/>
          <w:color w:val="000000" w:themeColor="text1"/>
          <w:szCs w:val="21"/>
          <w:highlight w:val="none"/>
          <w14:textFill>
            <w14:solidFill>
              <w14:schemeClr w14:val="tx1"/>
            </w14:solidFill>
          </w14:textFill>
        </w:rPr>
        <w:t>；</w:t>
      </w:r>
    </w:p>
    <w:p w14:paraId="08BA219F">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2)因施工组织设计不合理引起的工程变化不得进行工程变更；</w:t>
      </w:r>
    </w:p>
    <w:p w14:paraId="1E26AF5C">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3)由于施工现场排水组织不畅造成的软土处理，积水排放不得进行工程变更；</w:t>
      </w:r>
    </w:p>
    <w:p w14:paraId="4EE19506">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4)涉及到不平衡报价的工程变量，应对合同单价进行调整，确定合理单价后方能进行工程变量；</w:t>
      </w:r>
    </w:p>
    <w:p w14:paraId="64B4ADF9">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5)因征地拆迁原因引起的工程变量，需县（区）、开发区（管委会）提供不能按要求完成征地拆迁任务的书面证明材料，并经市政府或其授权的机构同意才能进行工程变量。</w:t>
      </w:r>
    </w:p>
    <w:p w14:paraId="03BFB5D4">
      <w:pPr>
        <w:spacing w:line="360" w:lineRule="auto"/>
        <w:ind w:firstLine="42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6)工程项目征地红线范围内施工或检测便道由承包人负责修建，费用由承包人在合同价款中考虑，不得以此进行工程变更；</w:t>
      </w:r>
    </w:p>
    <w:p w14:paraId="329D080B">
      <w:pPr>
        <w:spacing w:line="360" w:lineRule="auto"/>
        <w:ind w:firstLine="420"/>
        <w:rPr>
          <w:rFonts w:ascii="宋体" w:hAnsi="宋体" w:cs="宋体"/>
          <w:b/>
          <w:bCs/>
          <w:color w:val="000000" w:themeColor="text1"/>
          <w:kern w:val="0"/>
          <w:szCs w:val="21"/>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7)采购文件工程量清单中有土石方综合报价的，土石成分比例不得进行工程变更</w:t>
      </w:r>
    </w:p>
    <w:p w14:paraId="42E77459">
      <w:pPr>
        <w:spacing w:line="360" w:lineRule="auto"/>
        <w:ind w:firstLine="420"/>
        <w:rPr>
          <w:rFonts w:ascii="宋体" w:hAnsi="Courier New" w:cs="宋体"/>
          <w:color w:val="000000" w:themeColor="text1"/>
          <w:kern w:val="0"/>
          <w:sz w:val="20"/>
          <w:szCs w:val="20"/>
          <w:highlight w:val="none"/>
          <w14:textFill>
            <w14:solidFill>
              <w14:schemeClr w14:val="tx1"/>
            </w14:solidFill>
          </w14:textFill>
        </w:rPr>
      </w:pPr>
      <w:r>
        <w:rPr>
          <w:rFonts w:hint="eastAsia" w:ascii="宋体" w:hAnsi="宋体" w:cs="宋体"/>
          <w:b/>
          <w:bCs/>
          <w:color w:val="000000" w:themeColor="text1"/>
          <w:kern w:val="0"/>
          <w:szCs w:val="21"/>
          <w:highlight w:val="none"/>
          <w14:textFill>
            <w14:solidFill>
              <w14:schemeClr w14:val="tx1"/>
            </w14:solidFill>
          </w14:textFill>
        </w:rPr>
        <w:t>8)成交后，桩基的成孔方式、施工工艺、施工方案等不得进行工程变更；</w:t>
      </w:r>
    </w:p>
    <w:p w14:paraId="21F14433">
      <w:pPr>
        <w:spacing w:line="360" w:lineRule="auto"/>
        <w:ind w:firstLine="420" w:firstLineChars="200"/>
        <w:jc w:val="left"/>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10.3.</w:t>
      </w:r>
      <w:r>
        <w:rPr>
          <w:rFonts w:hint="eastAsia"/>
          <w:bCs/>
          <w:color w:val="000000" w:themeColor="text1"/>
          <w:szCs w:val="21"/>
          <w:highlight w:val="none"/>
          <w14:textFill>
            <w14:solidFill>
              <w14:schemeClr w14:val="tx1"/>
            </w14:solidFill>
          </w14:textFill>
        </w:rPr>
        <w:t xml:space="preserve">4 </w:t>
      </w:r>
      <w:r>
        <w:rPr>
          <w:bCs/>
          <w:color w:val="000000" w:themeColor="text1"/>
          <w:szCs w:val="21"/>
          <w:highlight w:val="none"/>
          <w14:textFill>
            <w14:solidFill>
              <w14:schemeClr w14:val="tx1"/>
            </w14:solidFill>
          </w14:textFill>
        </w:rPr>
        <w:t xml:space="preserve">非国有投资项目： </w:t>
      </w:r>
      <w:r>
        <w:rPr>
          <w:rFonts w:hint="eastAsia"/>
          <w:bCs/>
          <w:color w:val="000000" w:themeColor="text1"/>
          <w:szCs w:val="21"/>
          <w:highlight w:val="none"/>
          <w:u w:val="single"/>
          <w14:textFill>
            <w14:solidFill>
              <w14:schemeClr w14:val="tx1"/>
            </w14:solidFill>
          </w14:textFill>
        </w:rPr>
        <w:t>/</w:t>
      </w:r>
      <w:r>
        <w:rPr>
          <w:rFonts w:hAnsi="宋体"/>
          <w:bCs/>
          <w:color w:val="000000" w:themeColor="text1"/>
          <w:szCs w:val="21"/>
          <w:highlight w:val="none"/>
          <w14:textFill>
            <w14:solidFill>
              <w14:schemeClr w14:val="tx1"/>
            </w14:solidFill>
          </w14:textFill>
        </w:rPr>
        <w:t>。</w:t>
      </w:r>
    </w:p>
    <w:p w14:paraId="7455EC5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68" w:name="_Toc373227742"/>
      <w:bookmarkStart w:id="669" w:name="_Toc114058882"/>
      <w:bookmarkStart w:id="670" w:name="_Toc389065308"/>
      <w:bookmarkStart w:id="671" w:name="_Toc407135245"/>
      <w:bookmarkStart w:id="672" w:name="_Toc373478389"/>
      <w:bookmarkStart w:id="673" w:name="_Toc78449831"/>
      <w:r>
        <w:rPr>
          <w:rFonts w:eastAsia="黑体"/>
          <w:b/>
          <w:bCs/>
          <w:color w:val="000000" w:themeColor="text1"/>
          <w:sz w:val="32"/>
          <w:szCs w:val="32"/>
          <w:highlight w:val="none"/>
          <w:lang w:val="zh-CN"/>
          <w14:textFill>
            <w14:solidFill>
              <w14:schemeClr w14:val="tx1"/>
            </w14:solidFill>
          </w14:textFill>
        </w:rPr>
        <w:t xml:space="preserve">10.4 </w:t>
      </w:r>
      <w:r>
        <w:rPr>
          <w:rFonts w:hint="eastAsia" w:hAnsi="宋体" w:eastAsia="黑体" w:cs="黑体"/>
          <w:b/>
          <w:bCs/>
          <w:color w:val="000000" w:themeColor="text1"/>
          <w:sz w:val="32"/>
          <w:szCs w:val="32"/>
          <w:highlight w:val="none"/>
          <w:lang w:val="zh-CN"/>
          <w14:textFill>
            <w14:solidFill>
              <w14:schemeClr w14:val="tx1"/>
            </w14:solidFill>
          </w14:textFill>
        </w:rPr>
        <w:t>变更估价</w:t>
      </w:r>
      <w:bookmarkEnd w:id="668"/>
      <w:bookmarkEnd w:id="669"/>
      <w:bookmarkEnd w:id="670"/>
      <w:bookmarkEnd w:id="671"/>
      <w:bookmarkEnd w:id="672"/>
      <w:bookmarkEnd w:id="673"/>
    </w:p>
    <w:p w14:paraId="4AB7B861">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10.4.1 </w:t>
      </w:r>
      <w:r>
        <w:rPr>
          <w:rFonts w:hint="eastAsia" w:hAnsi="宋体" w:cs="宋体"/>
          <w:color w:val="000000" w:themeColor="text1"/>
          <w:szCs w:val="21"/>
          <w:highlight w:val="none"/>
          <w14:textFill>
            <w14:solidFill>
              <w14:schemeClr w14:val="tx1"/>
            </w14:solidFill>
          </w14:textFill>
        </w:rPr>
        <w:t>变更估价原则</w:t>
      </w:r>
    </w:p>
    <w:p w14:paraId="0F46C3C9">
      <w:pPr>
        <w:spacing w:line="360" w:lineRule="auto"/>
        <w:ind w:firstLine="420" w:firstLineChars="200"/>
        <w:jc w:val="left"/>
        <w:rPr>
          <w:rFonts w:hAnsi="宋体"/>
          <w:color w:val="000000" w:themeColor="text1"/>
          <w:szCs w:val="22"/>
          <w:highlight w:val="none"/>
          <w14:textFill>
            <w14:solidFill>
              <w14:schemeClr w14:val="tx1"/>
            </w14:solidFill>
          </w14:textFill>
        </w:rPr>
      </w:pPr>
      <w:bookmarkStart w:id="674" w:name="_Toc251051742"/>
      <w:r>
        <w:rPr>
          <w:rFonts w:hint="eastAsia" w:hAnsi="宋体" w:cs="宋体"/>
          <w:color w:val="000000" w:themeColor="text1"/>
          <w:szCs w:val="22"/>
          <w:highlight w:val="none"/>
          <w14:textFill>
            <w14:solidFill>
              <w14:schemeClr w14:val="tx1"/>
            </w14:solidFill>
          </w14:textFill>
        </w:rPr>
        <w:t>关于变更估价的约定</w:t>
      </w:r>
      <w:r>
        <w:rPr>
          <w:color w:val="000000" w:themeColor="text1"/>
          <w:szCs w:val="22"/>
          <w:highlight w:val="none"/>
          <w14:textFill>
            <w14:solidFill>
              <w14:schemeClr w14:val="tx1"/>
            </w14:solidFill>
          </w14:textFill>
        </w:rPr>
        <w:t xml:space="preserve">: </w:t>
      </w:r>
      <w:r>
        <w:rPr>
          <w:rFonts w:hint="eastAsia" w:hAnsi="宋体" w:cs="宋体"/>
          <w:color w:val="000000" w:themeColor="text1"/>
          <w:szCs w:val="22"/>
          <w:highlight w:val="none"/>
          <w:u w:val="single"/>
          <w14:textFill>
            <w14:solidFill>
              <w14:schemeClr w14:val="tx1"/>
            </w14:solidFill>
          </w14:textFill>
        </w:rPr>
        <w:t>工程变更合同价款按下列方法进行：（</w:t>
      </w:r>
      <w:r>
        <w:rPr>
          <w:color w:val="000000" w:themeColor="text1"/>
          <w:szCs w:val="22"/>
          <w:highlight w:val="none"/>
          <w:u w:val="single"/>
          <w14:textFill>
            <w14:solidFill>
              <w14:schemeClr w14:val="tx1"/>
            </w14:solidFill>
          </w14:textFill>
        </w:rPr>
        <w:t>1</w:t>
      </w:r>
      <w:r>
        <w:rPr>
          <w:rFonts w:hint="eastAsia" w:hAnsi="宋体" w:cs="宋体"/>
          <w:color w:val="000000" w:themeColor="text1"/>
          <w:szCs w:val="22"/>
          <w:highlight w:val="none"/>
          <w:u w:val="single"/>
          <w14:textFill>
            <w14:solidFill>
              <w14:schemeClr w14:val="tx1"/>
            </w14:solidFill>
          </w14:textFill>
        </w:rPr>
        <w:t>）合同中已有相同清单项目的，按合同该清单项目价格进行计算；（</w:t>
      </w:r>
      <w:r>
        <w:rPr>
          <w:color w:val="000000" w:themeColor="text1"/>
          <w:szCs w:val="22"/>
          <w:highlight w:val="none"/>
          <w:u w:val="single"/>
          <w14:textFill>
            <w14:solidFill>
              <w14:schemeClr w14:val="tx1"/>
            </w14:solidFill>
          </w14:textFill>
        </w:rPr>
        <w:t>2</w:t>
      </w:r>
      <w:r>
        <w:rPr>
          <w:rFonts w:hint="eastAsia" w:hAnsi="宋体" w:cs="宋体"/>
          <w:color w:val="000000" w:themeColor="text1"/>
          <w:szCs w:val="22"/>
          <w:highlight w:val="none"/>
          <w:u w:val="single"/>
          <w14:textFill>
            <w14:solidFill>
              <w14:schemeClr w14:val="tx1"/>
            </w14:solidFill>
          </w14:textFill>
        </w:rPr>
        <w:t>）合同中只有类似清单项目的，参照该类似清单项目价格进行计算；（</w:t>
      </w:r>
      <w:r>
        <w:rPr>
          <w:color w:val="000000" w:themeColor="text1"/>
          <w:szCs w:val="22"/>
          <w:highlight w:val="none"/>
          <w:u w:val="single"/>
          <w14:textFill>
            <w14:solidFill>
              <w14:schemeClr w14:val="tx1"/>
            </w14:solidFill>
          </w14:textFill>
        </w:rPr>
        <w:t>3</w:t>
      </w:r>
      <w:r>
        <w:rPr>
          <w:rFonts w:hint="eastAsia" w:hAnsi="宋体" w:cs="宋体"/>
          <w:color w:val="000000" w:themeColor="text1"/>
          <w:szCs w:val="22"/>
          <w:highlight w:val="none"/>
          <w:u w:val="single"/>
          <w14:textFill>
            <w14:solidFill>
              <w14:schemeClr w14:val="tx1"/>
            </w14:solidFill>
          </w14:textFill>
        </w:rPr>
        <w:t>）合同中没有适用或类似清单项目的价格计算方法：有定额的套定额，并（</w:t>
      </w:r>
      <w:r>
        <w:rPr>
          <w:rFonts w:hint="eastAsia" w:ascii="MS Mincho" w:hAnsi="MS Mincho" w:eastAsia="MS Mincho" w:cs="MS Mincho"/>
          <w:color w:val="000000" w:themeColor="text1"/>
          <w:szCs w:val="22"/>
          <w:highlight w:val="none"/>
          <w14:textFill>
            <w14:solidFill>
              <w14:schemeClr w14:val="tx1"/>
            </w14:solidFill>
          </w14:textFill>
        </w:rPr>
        <w:t>☑</w:t>
      </w:r>
      <w:r>
        <w:rPr>
          <w:rFonts w:hint="eastAsia" w:hAnsi="宋体" w:cs="宋体"/>
          <w:color w:val="000000" w:themeColor="text1"/>
          <w:szCs w:val="22"/>
          <w:highlight w:val="none"/>
          <w:u w:val="single"/>
          <w14:textFill>
            <w14:solidFill>
              <w14:schemeClr w14:val="tx1"/>
            </w14:solidFill>
          </w14:textFill>
        </w:rPr>
        <w:t>乘以下浮系数</w:t>
      </w:r>
      <w:r>
        <w:rPr>
          <w:rFonts w:hint="eastAsia"/>
          <w:color w:val="000000" w:themeColor="text1"/>
          <w:szCs w:val="21"/>
          <w:highlight w:val="none"/>
          <w:u w:val="single"/>
          <w14:textFill>
            <w14:solidFill>
              <w14:schemeClr w14:val="tx1"/>
            </w14:solidFill>
          </w14:textFill>
        </w:rPr>
        <w:t>=成交价</w:t>
      </w:r>
      <w:r>
        <w:rPr>
          <w:color w:val="000000" w:themeColor="text1"/>
          <w:szCs w:val="21"/>
          <w:highlight w:val="none"/>
          <w:u w:val="singl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经审定的工程招标控制价</w:t>
      </w:r>
      <w:r>
        <w:rPr>
          <w:color w:val="000000" w:themeColor="text1"/>
          <w:szCs w:val="22"/>
          <w:highlight w:val="none"/>
          <w:u w:val="single"/>
          <w14:textFill>
            <w14:solidFill>
              <w14:schemeClr w14:val="tx1"/>
            </w14:solidFill>
          </w14:textFill>
        </w:rPr>
        <w:t>%</w:t>
      </w:r>
      <w:r>
        <w:rPr>
          <w:rFonts w:hint="eastAsia" w:cs="宋体"/>
          <w:color w:val="000000" w:themeColor="text1"/>
          <w:szCs w:val="22"/>
          <w:highlight w:val="none"/>
          <w:u w:val="single"/>
          <w14:textFill>
            <w14:solidFill>
              <w14:schemeClr w14:val="tx1"/>
            </w14:solidFill>
          </w14:textFill>
        </w:rPr>
        <w:t>，</w:t>
      </w:r>
      <w:r>
        <w:rPr>
          <w:rFonts w:hint="eastAsia" w:ascii="宋体" w:hAnsi="MS Mincho" w:cs="MS Mincho"/>
          <w:color w:val="000000" w:themeColor="text1"/>
          <w:szCs w:val="21"/>
          <w:highlight w:val="none"/>
          <w14:textFill>
            <w14:solidFill>
              <w14:schemeClr w14:val="tx1"/>
            </w14:solidFill>
          </w14:textFill>
        </w:rPr>
        <w:t>□</w:t>
      </w:r>
      <w:r>
        <w:rPr>
          <w:rFonts w:hint="eastAsia" w:hAnsi="宋体" w:cs="宋体"/>
          <w:color w:val="000000" w:themeColor="text1"/>
          <w:szCs w:val="22"/>
          <w:highlight w:val="none"/>
          <w:u w:val="single"/>
          <w14:textFill>
            <w14:solidFill>
              <w14:schemeClr w14:val="tx1"/>
            </w14:solidFill>
          </w14:textFill>
        </w:rPr>
        <w:t>不乘下浮系数）计算，其中：材料设备价格按施工期间的《</w:t>
      </w:r>
      <w:r>
        <w:rPr>
          <w:rFonts w:hint="eastAsia"/>
          <w:color w:val="000000" w:themeColor="text1"/>
          <w:szCs w:val="22"/>
          <w:highlight w:val="none"/>
          <w:u w:val="single"/>
          <w14:textFill>
            <w14:solidFill>
              <w14:schemeClr w14:val="tx1"/>
            </w14:solidFill>
          </w14:textFill>
        </w:rPr>
        <w:t>南宁</w:t>
      </w:r>
      <w:r>
        <w:rPr>
          <w:rFonts w:hint="eastAsia" w:hAnsi="宋体" w:cs="宋体"/>
          <w:color w:val="000000" w:themeColor="text1"/>
          <w:szCs w:val="22"/>
          <w:highlight w:val="none"/>
          <w:u w:val="single"/>
          <w14:textFill>
            <w14:solidFill>
              <w14:schemeClr w14:val="tx1"/>
            </w14:solidFill>
          </w14:textFill>
        </w:rPr>
        <w:t>市建设工程造价信息》相应信息价的</w:t>
      </w:r>
      <w:r>
        <w:rPr>
          <w:rFonts w:hint="eastAsia"/>
          <w:color w:val="000000" w:themeColor="text1"/>
          <w:highlight w:val="none"/>
          <w:u w:val="single"/>
          <w14:textFill>
            <w14:solidFill>
              <w14:schemeClr w14:val="tx1"/>
            </w14:solidFill>
          </w14:textFill>
        </w:rPr>
        <w:t>算术</w:t>
      </w:r>
      <w:r>
        <w:rPr>
          <w:rFonts w:hint="eastAsia" w:hAnsi="宋体" w:cs="宋体"/>
          <w:color w:val="000000" w:themeColor="text1"/>
          <w:szCs w:val="22"/>
          <w:highlight w:val="none"/>
          <w:u w:val="single"/>
          <w14:textFill>
            <w14:solidFill>
              <w14:schemeClr w14:val="tx1"/>
            </w14:solidFill>
          </w14:textFill>
        </w:rPr>
        <w:t>平均值计算，《</w:t>
      </w:r>
      <w:r>
        <w:rPr>
          <w:rFonts w:hint="eastAsia"/>
          <w:color w:val="000000" w:themeColor="text1"/>
          <w:szCs w:val="22"/>
          <w:highlight w:val="none"/>
          <w:u w:val="single"/>
          <w14:textFill>
            <w14:solidFill>
              <w14:schemeClr w14:val="tx1"/>
            </w14:solidFill>
          </w14:textFill>
        </w:rPr>
        <w:t>南宁</w:t>
      </w:r>
      <w:r>
        <w:rPr>
          <w:rFonts w:hint="eastAsia" w:hAnsi="宋体" w:cs="宋体"/>
          <w:color w:val="000000" w:themeColor="text1"/>
          <w:szCs w:val="22"/>
          <w:highlight w:val="none"/>
          <w:u w:val="single"/>
          <w14:textFill>
            <w14:solidFill>
              <w14:schemeClr w14:val="tx1"/>
            </w14:solidFill>
          </w14:textFill>
        </w:rPr>
        <w:t>市建设工程造价信息》没有相应信息价的，由建设单位、施工单位、监理单位或造价咨询单位根据市场行情协商确定；无定额可套的，由建设单位、施工单位、监理单位或造价咨询单位根据市场行情协商确定包含除税金以外所有费用的税前综合价格</w:t>
      </w:r>
      <w:r>
        <w:rPr>
          <w:rFonts w:hint="eastAsia" w:hAnsi="宋体" w:cs="宋体"/>
          <w:color w:val="000000" w:themeColor="text1"/>
          <w:szCs w:val="22"/>
          <w:highlight w:val="none"/>
          <w14:textFill>
            <w14:solidFill>
              <w14:schemeClr w14:val="tx1"/>
            </w14:solidFill>
          </w14:textFill>
        </w:rPr>
        <w:t>。以上约定同时适用于招标工程量清单缺项以及工程量清单项目特征与图纸不符时的价款确定。</w:t>
      </w:r>
      <w:r>
        <w:rPr>
          <w:rFonts w:hAnsi="宋体"/>
          <w:bCs/>
          <w:color w:val="000000" w:themeColor="text1"/>
          <w:szCs w:val="21"/>
          <w:highlight w:val="none"/>
          <w:u w:val="single"/>
          <w14:textFill>
            <w14:solidFill>
              <w14:schemeClr w14:val="tx1"/>
            </w14:solidFill>
          </w14:textFill>
        </w:rPr>
        <w:t>对于</w:t>
      </w:r>
      <w:r>
        <w:rPr>
          <w:rFonts w:hint="eastAsia" w:hAnsi="宋体"/>
          <w:bCs/>
          <w:color w:val="000000" w:themeColor="text1"/>
          <w:szCs w:val="21"/>
          <w:highlight w:val="none"/>
          <w:u w:val="single"/>
          <w14:textFill>
            <w14:solidFill>
              <w14:schemeClr w14:val="tx1"/>
            </w14:solidFill>
          </w14:textFill>
        </w:rPr>
        <w:t>政府及</w:t>
      </w:r>
      <w:r>
        <w:rPr>
          <w:rFonts w:hAnsi="宋体"/>
          <w:bCs/>
          <w:color w:val="000000" w:themeColor="text1"/>
          <w:szCs w:val="21"/>
          <w:highlight w:val="none"/>
          <w:u w:val="single"/>
          <w14:textFill>
            <w14:solidFill>
              <w14:schemeClr w14:val="tx1"/>
            </w14:solidFill>
          </w14:textFill>
        </w:rPr>
        <w:t>国有资</w:t>
      </w:r>
      <w:r>
        <w:rPr>
          <w:rFonts w:hint="eastAsia" w:hAnsi="宋体"/>
          <w:bCs/>
          <w:color w:val="000000" w:themeColor="text1"/>
          <w:szCs w:val="21"/>
          <w:highlight w:val="none"/>
          <w:u w:val="single"/>
          <w14:textFill>
            <w14:solidFill>
              <w14:schemeClr w14:val="tx1"/>
            </w14:solidFill>
          </w14:textFill>
        </w:rPr>
        <w:t>金</w:t>
      </w:r>
      <w:r>
        <w:rPr>
          <w:rFonts w:hAnsi="宋体"/>
          <w:bCs/>
          <w:color w:val="000000" w:themeColor="text1"/>
          <w:szCs w:val="21"/>
          <w:highlight w:val="none"/>
          <w:u w:val="single"/>
          <w14:textFill>
            <w14:solidFill>
              <w14:schemeClr w14:val="tx1"/>
            </w14:solidFill>
          </w14:textFill>
        </w:rPr>
        <w:t>投资的项目，新增项目的单价必须经</w:t>
      </w:r>
      <w:r>
        <w:rPr>
          <w:rFonts w:hint="eastAsia" w:hAnsi="宋体"/>
          <w:bCs/>
          <w:color w:val="000000" w:themeColor="text1"/>
          <w:szCs w:val="21"/>
          <w:highlight w:val="none"/>
          <w:u w:val="single"/>
          <w14:textFill>
            <w14:solidFill>
              <w14:schemeClr w14:val="tx1"/>
            </w14:solidFill>
          </w14:textFill>
        </w:rPr>
        <w:t xml:space="preserve">发包人 </w:t>
      </w:r>
      <w:r>
        <w:rPr>
          <w:rFonts w:hAnsi="宋体"/>
          <w:bCs/>
          <w:color w:val="000000" w:themeColor="text1"/>
          <w:szCs w:val="21"/>
          <w:highlight w:val="none"/>
          <w:u w:val="single"/>
          <w14:textFill>
            <w14:solidFill>
              <w14:schemeClr w14:val="tx1"/>
            </w14:solidFill>
          </w14:textFill>
        </w:rPr>
        <w:t>审定</w:t>
      </w:r>
      <w:bookmarkEnd w:id="674"/>
      <w:r>
        <w:rPr>
          <w:rFonts w:hAnsi="宋体"/>
          <w:bCs/>
          <w:color w:val="000000" w:themeColor="text1"/>
          <w:szCs w:val="21"/>
          <w:highlight w:val="none"/>
          <w:u w:val="single"/>
          <w14:textFill>
            <w14:solidFill>
              <w14:schemeClr w14:val="tx1"/>
            </w14:solidFill>
          </w14:textFill>
        </w:rPr>
        <w:t>。</w:t>
      </w:r>
    </w:p>
    <w:p w14:paraId="57EC227F">
      <w:pPr>
        <w:spacing w:line="360" w:lineRule="auto"/>
        <w:ind w:firstLine="420" w:firstLineChars="200"/>
        <w:jc w:val="left"/>
        <w:rPr>
          <w:rFonts w:cs="宋体"/>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工程变更导致实际完成的变更工程量与已标价清单或预算书中列明的该项目工程量有偏差时，其综合单价的确定按专用条款“1.13工程量清单错误的修正”执行。</w:t>
      </w:r>
    </w:p>
    <w:p w14:paraId="34443DE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675" w:name="_Toc407135246"/>
      <w:bookmarkStart w:id="676" w:name="_Toc389065309"/>
      <w:bookmarkStart w:id="677" w:name="_Toc114058883"/>
      <w:bookmarkStart w:id="678" w:name="_Toc373227743"/>
      <w:bookmarkStart w:id="679" w:name="_Toc78449832"/>
      <w:bookmarkStart w:id="680" w:name="_Toc373478390"/>
      <w:r>
        <w:rPr>
          <w:rFonts w:eastAsia="黑体"/>
          <w:b/>
          <w:bCs/>
          <w:color w:val="000000" w:themeColor="text1"/>
          <w:sz w:val="32"/>
          <w:szCs w:val="32"/>
          <w:highlight w:val="none"/>
          <w:lang w:val="zh-CN"/>
          <w14:textFill>
            <w14:solidFill>
              <w14:schemeClr w14:val="tx1"/>
            </w14:solidFill>
          </w14:textFill>
        </w:rPr>
        <w:t>1</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Start w:id="681" w:name="_Toc296503197"/>
      <w:bookmarkStart w:id="682" w:name="_Toc297123544"/>
      <w:bookmarkStart w:id="683" w:name="_Toc296891237"/>
      <w:bookmarkStart w:id="684" w:name="_Toc303539150"/>
      <w:bookmarkStart w:id="685" w:name="_Toc296347196"/>
      <w:bookmarkStart w:id="686" w:name="_Toc296346698"/>
      <w:bookmarkStart w:id="687" w:name="_Toc297048383"/>
      <w:bookmarkStart w:id="688" w:name="_Toc297216203"/>
      <w:bookmarkStart w:id="689" w:name="_Toc292559402"/>
      <w:bookmarkStart w:id="690" w:name="_Toc296891025"/>
      <w:bookmarkStart w:id="691" w:name="_Toc292559907"/>
      <w:bookmarkStart w:id="692" w:name="_Toc300934993"/>
      <w:bookmarkStart w:id="693" w:name="_Toc297120497"/>
      <w:bookmarkStart w:id="694" w:name="_Toc296944536"/>
      <w:bookmarkStart w:id="695" w:name="_Toc312677503"/>
      <w:bookmarkStart w:id="696" w:name="_Toc312678029"/>
      <w:bookmarkStart w:id="697" w:name="_Toc304295570"/>
      <w:r>
        <w:rPr>
          <w:rFonts w:eastAsia="黑体"/>
          <w:b/>
          <w:bCs/>
          <w:color w:val="000000" w:themeColor="text1"/>
          <w:sz w:val="32"/>
          <w:szCs w:val="32"/>
          <w:highlight w:val="none"/>
          <w:lang w:val="zh-CN"/>
          <w14:textFill>
            <w14:solidFill>
              <w14:schemeClr w14:val="tx1"/>
            </w14:solidFill>
          </w14:textFill>
        </w:rPr>
        <w:t xml:space="preserve">0.5 </w:t>
      </w:r>
      <w:r>
        <w:rPr>
          <w:rFonts w:hint="eastAsia" w:eastAsia="黑体" w:cs="黑体"/>
          <w:b/>
          <w:bCs/>
          <w:color w:val="000000" w:themeColor="text1"/>
          <w:sz w:val="32"/>
          <w:szCs w:val="32"/>
          <w:highlight w:val="none"/>
          <w:lang w:val="zh-CN"/>
          <w14:textFill>
            <w14:solidFill>
              <w14:schemeClr w14:val="tx1"/>
            </w14:solidFill>
          </w14:textFill>
        </w:rPr>
        <w:t>承</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Start w:id="698" w:name="_Toc296944542"/>
      <w:bookmarkStart w:id="699" w:name="_Toc300934994"/>
      <w:bookmarkStart w:id="700" w:name="_Toc303539151"/>
      <w:bookmarkStart w:id="701" w:name="_Toc292559408"/>
      <w:bookmarkStart w:id="702" w:name="_Toc297216204"/>
      <w:bookmarkStart w:id="703" w:name="_Toc296347202"/>
      <w:bookmarkStart w:id="704" w:name="_Toc296503203"/>
      <w:bookmarkStart w:id="705" w:name="_Toc297123545"/>
      <w:bookmarkStart w:id="706" w:name="_Toc297120503"/>
      <w:bookmarkStart w:id="707" w:name="_Toc296346704"/>
      <w:bookmarkStart w:id="708" w:name="_Toc297048389"/>
      <w:bookmarkStart w:id="709" w:name="_Toc296891031"/>
      <w:bookmarkStart w:id="710" w:name="_Toc296891243"/>
      <w:bookmarkStart w:id="711" w:name="_Toc292559913"/>
      <w:r>
        <w:rPr>
          <w:rFonts w:hint="eastAsia" w:eastAsia="黑体" w:cs="黑体"/>
          <w:b/>
          <w:bCs/>
          <w:color w:val="000000" w:themeColor="text1"/>
          <w:sz w:val="32"/>
          <w:szCs w:val="32"/>
          <w:highlight w:val="none"/>
          <w:lang w:val="zh-CN"/>
          <w14:textFill>
            <w14:solidFill>
              <w14:schemeClr w14:val="tx1"/>
            </w14:solidFill>
          </w14:textFill>
        </w:rPr>
        <w:t>包人的合理化建议</w:t>
      </w:r>
      <w:bookmarkEnd w:id="675"/>
      <w:bookmarkEnd w:id="676"/>
      <w:bookmarkEnd w:id="677"/>
      <w:bookmarkEnd w:id="678"/>
      <w:bookmarkEnd w:id="679"/>
      <w:bookmarkEnd w:id="680"/>
    </w:p>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14:paraId="13C02D85">
      <w:pPr>
        <w:spacing w:line="360" w:lineRule="auto"/>
        <w:ind w:firstLine="420" w:firstLineChars="200"/>
        <w:jc w:val="left"/>
        <w:rPr>
          <w:color w:val="000000" w:themeColor="text1"/>
          <w:szCs w:val="21"/>
          <w:highlight w:val="none"/>
          <w14:textFill>
            <w14:solidFill>
              <w14:schemeClr w14:val="tx1"/>
            </w14:solidFill>
          </w14:textFill>
        </w:rPr>
      </w:pPr>
      <w:bookmarkStart w:id="712" w:name="_Toc303539152"/>
      <w:bookmarkStart w:id="713" w:name="_Toc296944543"/>
      <w:bookmarkStart w:id="714" w:name="_Toc297120504"/>
      <w:bookmarkStart w:id="715" w:name="_Toc300934995"/>
      <w:bookmarkStart w:id="716" w:name="_Toc304295571"/>
      <w:bookmarkStart w:id="717" w:name="_Toc297048390"/>
      <w:bookmarkStart w:id="718" w:name="_Toc318581175"/>
      <w:bookmarkStart w:id="719" w:name="_Toc296503204"/>
      <w:bookmarkStart w:id="720" w:name="_Toc297216205"/>
      <w:bookmarkStart w:id="721" w:name="_Toc296346705"/>
      <w:bookmarkStart w:id="722" w:name="_Toc312677504"/>
      <w:bookmarkStart w:id="723" w:name="_Toc292559914"/>
      <w:bookmarkStart w:id="724" w:name="_Toc292559409"/>
      <w:bookmarkStart w:id="725" w:name="_Toc296347203"/>
      <w:bookmarkStart w:id="726" w:name="_Toc312678030"/>
      <w:bookmarkStart w:id="727" w:name="_Toc297123546"/>
      <w:bookmarkStart w:id="728" w:name="_Toc296891244"/>
      <w:bookmarkStart w:id="729" w:name="_Toc296891032"/>
      <w:r>
        <w:rPr>
          <w:rFonts w:hAnsi="宋体"/>
          <w:color w:val="000000" w:themeColor="text1"/>
          <w:szCs w:val="21"/>
          <w:highlight w:val="none"/>
          <w14:textFill>
            <w14:solidFill>
              <w14:schemeClr w14:val="tx1"/>
            </w14:solidFill>
          </w14:textFill>
        </w:rPr>
        <w:t>监理人审查承包人合理化建议的期限：</w:t>
      </w:r>
      <w:r>
        <w:rPr>
          <w:rFonts w:hint="eastAsia" w:ascii="宋体" w:hAnsi="宋体" w:cs="宋体"/>
          <w:color w:val="000000" w:themeColor="text1"/>
          <w:szCs w:val="21"/>
          <w:highlight w:val="none"/>
          <w:u w:val="single"/>
          <w14:textFill>
            <w14:solidFill>
              <w14:schemeClr w14:val="tx1"/>
            </w14:solidFill>
          </w14:textFill>
        </w:rPr>
        <w:t>监理人应在收到承包人提交的合理化建议后7天内审查完毕并报送发包人，发现其中存在技术上的缺陷，应通知承包人修改</w:t>
      </w:r>
      <w:r>
        <w:rPr>
          <w:rFonts w:hAnsi="宋体"/>
          <w:color w:val="000000" w:themeColor="text1"/>
          <w:szCs w:val="21"/>
          <w:highlight w:val="none"/>
          <w14:textFill>
            <w14:solidFill>
              <w14:schemeClr w14:val="tx1"/>
            </w14:solidFill>
          </w14:textFill>
        </w:rPr>
        <w:t>。</w:t>
      </w:r>
    </w:p>
    <w:p w14:paraId="7509FF29">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发包人审批承包人合理化建议的期限：</w:t>
      </w:r>
      <w:r>
        <w:rPr>
          <w:rFonts w:hint="eastAsia" w:ascii="宋体" w:hAnsi="宋体" w:cs="宋体"/>
          <w:color w:val="000000" w:themeColor="text1"/>
          <w:szCs w:val="21"/>
          <w:highlight w:val="none"/>
          <w:u w:val="single"/>
          <w14:textFill>
            <w14:solidFill>
              <w14:schemeClr w14:val="tx1"/>
            </w14:solidFill>
          </w14:textFill>
        </w:rPr>
        <w:t>发包人应在收到监理人报送的合理化建议后15日审批完毕</w:t>
      </w:r>
      <w:r>
        <w:rPr>
          <w:rFonts w:hAnsi="宋体"/>
          <w:color w:val="000000" w:themeColor="text1"/>
          <w:szCs w:val="21"/>
          <w:highlight w:val="none"/>
          <w14:textFill>
            <w14:solidFill>
              <w14:schemeClr w14:val="tx1"/>
            </w14:solidFill>
          </w14:textFill>
        </w:rPr>
        <w:t>。</w:t>
      </w:r>
    </w:p>
    <w:p w14:paraId="2DEEF835">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承包人提出的合理化建议降低了合同价格或者提高了工程经济效益的奖励的方法和金额为：</w:t>
      </w:r>
      <w:r>
        <w:rPr>
          <w:rFonts w:hint="eastAsia"/>
          <w:color w:val="000000" w:themeColor="text1"/>
          <w:szCs w:val="21"/>
          <w:highlight w:val="none"/>
          <w:u w:val="single"/>
          <w14:textFill>
            <w14:solidFill>
              <w14:schemeClr w14:val="tx1"/>
            </w14:solidFill>
          </w14:textFill>
        </w:rPr>
        <w:t xml:space="preserve">无 </w:t>
      </w:r>
      <w:r>
        <w:rPr>
          <w:rFonts w:hint="eastAsia" w:hAnsi="宋体" w:cs="宋体"/>
          <w:color w:val="000000" w:themeColor="text1"/>
          <w:szCs w:val="21"/>
          <w:highlight w:val="none"/>
          <w14:textFill>
            <w14:solidFill>
              <w14:schemeClr w14:val="tx1"/>
            </w14:solidFill>
          </w14:textFill>
        </w:rPr>
        <w:t>。</w:t>
      </w:r>
    </w:p>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14:paraId="7477B63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730" w:name="_Toc389065310"/>
      <w:bookmarkStart w:id="731" w:name="_Toc373227744"/>
      <w:bookmarkStart w:id="732" w:name="_Toc373478391"/>
      <w:bookmarkStart w:id="733" w:name="_Toc78449833"/>
      <w:bookmarkStart w:id="734" w:name="_Toc407135247"/>
      <w:bookmarkStart w:id="735" w:name="_Toc114058884"/>
      <w:r>
        <w:rPr>
          <w:rFonts w:eastAsia="黑体"/>
          <w:b/>
          <w:bCs/>
          <w:color w:val="000000" w:themeColor="text1"/>
          <w:sz w:val="32"/>
          <w:szCs w:val="32"/>
          <w:highlight w:val="none"/>
          <w:lang w:val="zh-CN"/>
          <w14:textFill>
            <w14:solidFill>
              <w14:schemeClr w14:val="tx1"/>
            </w14:solidFill>
          </w14:textFill>
        </w:rPr>
        <w:t>1</w:t>
      </w:r>
      <w:bookmarkStart w:id="736" w:name="_Toc297048385"/>
      <w:bookmarkStart w:id="737" w:name="_Toc304295574"/>
      <w:bookmarkStart w:id="738" w:name="_Toc312678033"/>
      <w:bookmarkStart w:id="739" w:name="_Toc303539154"/>
      <w:bookmarkStart w:id="740" w:name="_Toc292559909"/>
      <w:bookmarkStart w:id="741" w:name="_Toc296347198"/>
      <w:bookmarkStart w:id="742" w:name="_Toc300934997"/>
      <w:bookmarkStart w:id="743" w:name="_Toc296891239"/>
      <w:bookmarkStart w:id="744" w:name="_Toc296503199"/>
      <w:bookmarkStart w:id="745" w:name="_Toc312677507"/>
      <w:bookmarkStart w:id="746" w:name="_Toc296346700"/>
      <w:bookmarkStart w:id="747" w:name="_Toc297120499"/>
      <w:bookmarkStart w:id="748" w:name="_Toc296944538"/>
      <w:bookmarkStart w:id="749" w:name="_Toc292559404"/>
      <w:bookmarkStart w:id="750" w:name="_Toc296891027"/>
      <w:bookmarkStart w:id="751" w:name="_Toc297123548"/>
      <w:bookmarkStart w:id="752" w:name="_Toc297216207"/>
      <w:r>
        <w:rPr>
          <w:rFonts w:eastAsia="黑体"/>
          <w:b/>
          <w:bCs/>
          <w:color w:val="000000" w:themeColor="text1"/>
          <w:sz w:val="32"/>
          <w:szCs w:val="32"/>
          <w:highlight w:val="none"/>
          <w:lang w:val="zh-CN"/>
          <w14:textFill>
            <w14:solidFill>
              <w14:schemeClr w14:val="tx1"/>
            </w14:solidFill>
          </w14:textFill>
        </w:rPr>
        <w:t xml:space="preserve">0.7 </w:t>
      </w:r>
      <w:r>
        <w:rPr>
          <w:rFonts w:hint="eastAsia" w:hAnsi="宋体" w:eastAsia="黑体" w:cs="黑体"/>
          <w:b/>
          <w:bCs/>
          <w:color w:val="000000" w:themeColor="text1"/>
          <w:sz w:val="32"/>
          <w:szCs w:val="32"/>
          <w:highlight w:val="none"/>
          <w:lang w:val="zh-CN"/>
          <w14:textFill>
            <w14:solidFill>
              <w14:schemeClr w14:val="tx1"/>
            </w14:solidFill>
          </w14:textFill>
        </w:rPr>
        <w:t>暂估价</w:t>
      </w:r>
      <w:bookmarkEnd w:id="730"/>
      <w:bookmarkEnd w:id="731"/>
      <w:bookmarkEnd w:id="732"/>
      <w:bookmarkEnd w:id="733"/>
      <w:bookmarkEnd w:id="734"/>
      <w:bookmarkEnd w:id="735"/>
    </w:p>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14:paraId="63413AE5">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暂</w:t>
      </w:r>
      <w:bookmarkStart w:id="753" w:name="_Toc312678034"/>
      <w:bookmarkStart w:id="754" w:name="_Toc312677508"/>
      <w:bookmarkStart w:id="755" w:name="_Toc318581176"/>
      <w:r>
        <w:rPr>
          <w:rFonts w:hint="eastAsia" w:hAnsi="宋体" w:cs="宋体"/>
          <w:color w:val="000000" w:themeColor="text1"/>
          <w:kern w:val="0"/>
          <w:szCs w:val="21"/>
          <w:highlight w:val="none"/>
          <w14:textFill>
            <w14:solidFill>
              <w14:schemeClr w14:val="tx1"/>
            </w14:solidFill>
          </w14:textFill>
        </w:rPr>
        <w:t>估价材料和工程设备的明细详见已标价工程量清单《</w:t>
      </w:r>
      <w:r>
        <w:rPr>
          <w:rFonts w:hint="eastAsia" w:cs="宋体"/>
          <w:color w:val="000000" w:themeColor="text1"/>
          <w:szCs w:val="21"/>
          <w:highlight w:val="none"/>
          <w14:textFill>
            <w14:solidFill>
              <w14:schemeClr w14:val="tx1"/>
            </w14:solidFill>
          </w14:textFill>
        </w:rPr>
        <w:t>材料（工程设备）暂估价格及调整表》</w:t>
      </w:r>
      <w:r>
        <w:rPr>
          <w:rFonts w:hint="eastAsia" w:hAnsi="宋体" w:cs="宋体"/>
          <w:color w:val="000000" w:themeColor="text1"/>
          <w:kern w:val="0"/>
          <w:szCs w:val="21"/>
          <w:highlight w:val="none"/>
          <w14:textFill>
            <w14:solidFill>
              <w14:schemeClr w14:val="tx1"/>
            </w14:solidFill>
          </w14:textFill>
        </w:rPr>
        <w:t>（表</w:t>
      </w:r>
      <w:r>
        <w:rPr>
          <w:rFonts w:hAnsi="宋体"/>
          <w:color w:val="000000" w:themeColor="text1"/>
          <w:kern w:val="0"/>
          <w:szCs w:val="21"/>
          <w:highlight w:val="none"/>
          <w14:textFill>
            <w14:solidFill>
              <w14:schemeClr w14:val="tx1"/>
            </w14:solidFill>
          </w14:textFill>
        </w:rPr>
        <w:t>12-2</w:t>
      </w:r>
      <w:r>
        <w:rPr>
          <w:rFonts w:hint="eastAsia" w:hAnsi="宋体" w:cs="宋体"/>
          <w:color w:val="000000" w:themeColor="text1"/>
          <w:kern w:val="0"/>
          <w:szCs w:val="21"/>
          <w:highlight w:val="none"/>
          <w14:textFill>
            <w14:solidFill>
              <w14:schemeClr w14:val="tx1"/>
            </w14:solidFill>
          </w14:textFill>
        </w:rPr>
        <w:t>）和《</w:t>
      </w:r>
      <w:r>
        <w:rPr>
          <w:rFonts w:hint="eastAsia" w:cs="宋体"/>
          <w:color w:val="000000" w:themeColor="text1"/>
          <w:szCs w:val="21"/>
          <w:highlight w:val="none"/>
          <w14:textFill>
            <w14:solidFill>
              <w14:schemeClr w14:val="tx1"/>
            </w14:solidFill>
          </w14:textFill>
        </w:rPr>
        <w:t>专业工程暂估价表》（</w:t>
      </w:r>
      <w:r>
        <w:rPr>
          <w:rFonts w:hint="eastAsia" w:hAnsi="宋体" w:cs="宋体"/>
          <w:color w:val="000000" w:themeColor="text1"/>
          <w:kern w:val="0"/>
          <w:szCs w:val="21"/>
          <w:highlight w:val="none"/>
          <w14:textFill>
            <w14:solidFill>
              <w14:schemeClr w14:val="tx1"/>
            </w14:solidFill>
          </w14:textFill>
        </w:rPr>
        <w:t>表</w:t>
      </w:r>
      <w:r>
        <w:rPr>
          <w:rFonts w:hAnsi="宋体"/>
          <w:color w:val="000000" w:themeColor="text1"/>
          <w:kern w:val="0"/>
          <w:szCs w:val="21"/>
          <w:highlight w:val="none"/>
          <w14:textFill>
            <w14:solidFill>
              <w14:schemeClr w14:val="tx1"/>
            </w14:solidFill>
          </w14:textFill>
        </w:rPr>
        <w:t>12-3</w:t>
      </w:r>
      <w:r>
        <w:rPr>
          <w:rFonts w:hint="eastAsia" w:hAnsi="宋体" w:cs="宋体"/>
          <w:color w:val="000000" w:themeColor="text1"/>
          <w:kern w:val="0"/>
          <w:szCs w:val="21"/>
          <w:highlight w:val="none"/>
          <w14:textFill>
            <w14:solidFill>
              <w14:schemeClr w14:val="tx1"/>
            </w14:solidFill>
          </w14:textFill>
        </w:rPr>
        <w:t>）。</w:t>
      </w:r>
    </w:p>
    <w:bookmarkEnd w:id="753"/>
    <w:bookmarkEnd w:id="754"/>
    <w:bookmarkEnd w:id="755"/>
    <w:p w14:paraId="3D89567F">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bookmarkStart w:id="756" w:name="_Toc312678035"/>
      <w:bookmarkStart w:id="757" w:name="_Toc312677509"/>
      <w:bookmarkStart w:id="758" w:name="_Toc318581177"/>
      <w:r>
        <w:rPr>
          <w:color w:val="000000" w:themeColor="text1"/>
          <w:szCs w:val="21"/>
          <w:highlight w:val="none"/>
          <w14:textFill>
            <w14:solidFill>
              <w14:schemeClr w14:val="tx1"/>
            </w14:solidFill>
          </w14:textFill>
        </w:rPr>
        <w:t xml:space="preserve">0.7.1 </w:t>
      </w:r>
      <w:r>
        <w:rPr>
          <w:rFonts w:hint="eastAsia" w:hAnsi="宋体" w:cs="宋体"/>
          <w:color w:val="000000" w:themeColor="text1"/>
          <w:szCs w:val="21"/>
          <w:highlight w:val="none"/>
          <w14:textFill>
            <w14:solidFill>
              <w14:schemeClr w14:val="tx1"/>
            </w14:solidFill>
          </w14:textFill>
        </w:rPr>
        <w:t>依法必须招标的暂估价项目</w:t>
      </w:r>
    </w:p>
    <w:bookmarkEnd w:id="756"/>
    <w:bookmarkEnd w:id="757"/>
    <w:bookmarkEnd w:id="758"/>
    <w:p w14:paraId="70133AC1">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对于依法必须招标的暂估价项目的确认和批准采取第</w:t>
      </w:r>
      <w:r>
        <w:rPr>
          <w:rFonts w:hint="eastAsia"/>
          <w:color w:val="000000" w:themeColor="text1"/>
          <w:szCs w:val="21"/>
          <w:highlight w:val="none"/>
          <w:u w:val="singl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种方式确定。</w:t>
      </w:r>
    </w:p>
    <w:p w14:paraId="1FA5CE2E">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10.7.2 </w:t>
      </w:r>
      <w:r>
        <w:rPr>
          <w:rFonts w:hint="eastAsia" w:hAnsi="宋体" w:cs="宋体"/>
          <w:color w:val="000000" w:themeColor="text1"/>
          <w:szCs w:val="21"/>
          <w:highlight w:val="none"/>
          <w14:textFill>
            <w14:solidFill>
              <w14:schemeClr w14:val="tx1"/>
            </w14:solidFill>
          </w14:textFill>
        </w:rPr>
        <w:t>不属于依法必须招标的暂估价项目</w:t>
      </w:r>
    </w:p>
    <w:p w14:paraId="6D4238CC">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对于不属于依法必须招标的暂估价项目的确认和批准采取第</w:t>
      </w:r>
      <w:r>
        <w:rPr>
          <w:rFonts w:hint="eastAsia"/>
          <w:color w:val="000000" w:themeColor="text1"/>
          <w:szCs w:val="21"/>
          <w:highlight w:val="none"/>
          <w:u w:val="singl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种方式确定。</w:t>
      </w:r>
    </w:p>
    <w:p w14:paraId="4062786D">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种方式：</w:t>
      </w:r>
      <w:r>
        <w:rPr>
          <w:rFonts w:hint="eastAsia" w:hAnsi="宋体" w:cs="宋体"/>
          <w:color w:val="000000" w:themeColor="text1"/>
          <w:kern w:val="0"/>
          <w:szCs w:val="21"/>
          <w:highlight w:val="none"/>
          <w14:textFill>
            <w14:solidFill>
              <w14:schemeClr w14:val="tx1"/>
            </w14:solidFill>
          </w14:textFill>
        </w:rPr>
        <w:t>承包人直接实施的暂估价项目</w:t>
      </w:r>
    </w:p>
    <w:p w14:paraId="2BEC667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承包人直接实施的暂估价项目的约定：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1EBEEF4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759" w:name="_Toc114058885"/>
      <w:bookmarkStart w:id="760" w:name="_Toc373227745"/>
      <w:bookmarkStart w:id="761" w:name="_Toc407135248"/>
      <w:bookmarkStart w:id="762" w:name="_Toc389065311"/>
      <w:bookmarkStart w:id="763" w:name="_Toc373478392"/>
      <w:bookmarkStart w:id="764" w:name="_Toc78449834"/>
      <w:r>
        <w:rPr>
          <w:rFonts w:eastAsia="黑体"/>
          <w:b/>
          <w:bCs/>
          <w:color w:val="000000" w:themeColor="text1"/>
          <w:sz w:val="32"/>
          <w:szCs w:val="32"/>
          <w:highlight w:val="none"/>
          <w:lang w:val="zh-CN"/>
          <w14:textFill>
            <w14:solidFill>
              <w14:schemeClr w14:val="tx1"/>
            </w14:solidFill>
          </w14:textFill>
        </w:rPr>
        <w:t xml:space="preserve">10.8 </w:t>
      </w:r>
      <w:r>
        <w:rPr>
          <w:rFonts w:hint="eastAsia" w:hAnsi="宋体" w:eastAsia="黑体" w:cs="黑体"/>
          <w:b/>
          <w:bCs/>
          <w:color w:val="000000" w:themeColor="text1"/>
          <w:sz w:val="32"/>
          <w:szCs w:val="32"/>
          <w:highlight w:val="none"/>
          <w:lang w:val="zh-CN"/>
          <w14:textFill>
            <w14:solidFill>
              <w14:schemeClr w14:val="tx1"/>
            </w14:solidFill>
          </w14:textFill>
        </w:rPr>
        <w:t>暂列金额</w:t>
      </w:r>
      <w:bookmarkEnd w:id="759"/>
      <w:bookmarkEnd w:id="760"/>
      <w:bookmarkEnd w:id="761"/>
      <w:bookmarkEnd w:id="762"/>
      <w:bookmarkEnd w:id="763"/>
      <w:bookmarkEnd w:id="764"/>
    </w:p>
    <w:p w14:paraId="35DD6681">
      <w:pPr>
        <w:autoSpaceDE w:val="0"/>
        <w:autoSpaceDN w:val="0"/>
        <w:adjustRightInd w:val="0"/>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合同当事人关于暂列金额使用的约定：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kern w:val="0"/>
          <w:szCs w:val="21"/>
          <w:highlight w:val="none"/>
          <w14:textFill>
            <w14:solidFill>
              <w14:schemeClr w14:val="tx1"/>
            </w14:solidFill>
          </w14:textFill>
        </w:rPr>
        <w:t>。</w:t>
      </w:r>
    </w:p>
    <w:p w14:paraId="3443A3B4">
      <w:pPr>
        <w:keepNext/>
        <w:keepLines/>
        <w:numPr>
          <w:ilvl w:val="0"/>
          <w:numId w:val="18"/>
        </w:numPr>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765" w:name="_Toc373478393"/>
      <w:bookmarkStart w:id="766" w:name="_Toc78449835"/>
      <w:bookmarkStart w:id="767" w:name="_Toc373227746"/>
      <w:bookmarkStart w:id="768" w:name="_Toc407135249"/>
      <w:bookmarkStart w:id="769" w:name="_Toc351203643"/>
      <w:bookmarkStart w:id="770" w:name="_Toc389065312"/>
      <w:bookmarkStart w:id="771" w:name="_Toc114058886"/>
      <w:r>
        <w:rPr>
          <w:rFonts w:hint="eastAsia" w:ascii="Arial" w:hAnsi="宋体" w:eastAsia="黑体" w:cs="黑体"/>
          <w:b/>
          <w:bCs/>
          <w:color w:val="000000" w:themeColor="text1"/>
          <w:sz w:val="32"/>
          <w:szCs w:val="32"/>
          <w:highlight w:val="none"/>
          <w:lang w:val="zh-CN"/>
          <w14:textFill>
            <w14:solidFill>
              <w14:schemeClr w14:val="tx1"/>
            </w14:solidFill>
          </w14:textFill>
        </w:rPr>
        <w:t>价格调整</w:t>
      </w:r>
      <w:bookmarkEnd w:id="765"/>
      <w:bookmarkEnd w:id="766"/>
      <w:bookmarkEnd w:id="767"/>
      <w:bookmarkEnd w:id="768"/>
      <w:bookmarkEnd w:id="769"/>
      <w:bookmarkEnd w:id="770"/>
      <w:bookmarkEnd w:id="771"/>
    </w:p>
    <w:p w14:paraId="44566914">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①法律变化引起的调整；</w:t>
      </w:r>
    </w:p>
    <w:p w14:paraId="2A1F52C6">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②工程变更、项目特征不符、工程量清单缺项、工程量偏差引起的调整；</w:t>
      </w:r>
    </w:p>
    <w:p w14:paraId="24CA990D">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hAnsi="宋体"/>
          <w:color w:val="000000" w:themeColor="text1"/>
          <w:kern w:val="0"/>
          <w:szCs w:val="21"/>
          <w:highlight w:val="none"/>
          <w14:textFill>
            <w14:solidFill>
              <w14:schemeClr w14:val="tx1"/>
            </w14:solidFill>
          </w14:textFill>
        </w:rPr>
        <w:t>③计日工引起的调整。</w:t>
      </w:r>
    </w:p>
    <w:p w14:paraId="34DB237E">
      <w:pPr>
        <w:rPr>
          <w:color w:val="000000" w:themeColor="text1"/>
          <w:szCs w:val="21"/>
          <w:highlight w:val="none"/>
          <w14:textFill>
            <w14:solidFill>
              <w14:schemeClr w14:val="tx1"/>
            </w14:solidFill>
          </w14:textFill>
        </w:rPr>
      </w:pPr>
    </w:p>
    <w:p w14:paraId="6AAFA47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772" w:name="_Toc114058887"/>
      <w:bookmarkStart w:id="773" w:name="_Toc78449836"/>
      <w:bookmarkStart w:id="774" w:name="_Toc373227747"/>
      <w:bookmarkStart w:id="775" w:name="_Toc373478394"/>
      <w:bookmarkStart w:id="776" w:name="_Toc407135250"/>
      <w:bookmarkStart w:id="777" w:name="_Toc389065313"/>
      <w:bookmarkStart w:id="778" w:name="_Toc296891241"/>
      <w:bookmarkStart w:id="779" w:name="_Toc296944540"/>
      <w:bookmarkStart w:id="780" w:name="_Toc296503201"/>
      <w:bookmarkStart w:id="781" w:name="_Toc296347200"/>
      <w:bookmarkStart w:id="782" w:name="_Toc300935000"/>
      <w:bookmarkStart w:id="783" w:name="_Toc312678039"/>
      <w:bookmarkStart w:id="784" w:name="_Toc303539157"/>
      <w:bookmarkStart w:id="785" w:name="_Toc296346702"/>
      <w:bookmarkStart w:id="786" w:name="_Toc292559406"/>
      <w:bookmarkStart w:id="787" w:name="_Toc297123550"/>
      <w:bookmarkStart w:id="788" w:name="_Toc296891029"/>
      <w:bookmarkStart w:id="789" w:name="_Toc292559911"/>
      <w:bookmarkStart w:id="790" w:name="_Toc297120501"/>
      <w:bookmarkStart w:id="791" w:name="_Toc297216209"/>
      <w:bookmarkStart w:id="792" w:name="_Toc304295577"/>
      <w:bookmarkStart w:id="793" w:name="_Toc297048387"/>
      <w:r>
        <w:rPr>
          <w:rFonts w:eastAsia="黑体"/>
          <w:b/>
          <w:bCs/>
          <w:color w:val="000000" w:themeColor="text1"/>
          <w:sz w:val="32"/>
          <w:szCs w:val="32"/>
          <w:highlight w:val="none"/>
          <w:lang w:val="zh-CN"/>
          <w14:textFill>
            <w14:solidFill>
              <w14:schemeClr w14:val="tx1"/>
            </w14:solidFill>
          </w14:textFill>
        </w:rPr>
        <w:t xml:space="preserve">11.1 </w:t>
      </w:r>
      <w:r>
        <w:rPr>
          <w:rFonts w:hint="eastAsia" w:eastAsia="黑体" w:cs="黑体"/>
          <w:b/>
          <w:bCs/>
          <w:color w:val="000000" w:themeColor="text1"/>
          <w:sz w:val="32"/>
          <w:szCs w:val="32"/>
          <w:highlight w:val="none"/>
          <w:lang w:val="zh-CN"/>
          <w14:textFill>
            <w14:solidFill>
              <w14:schemeClr w14:val="tx1"/>
            </w14:solidFill>
          </w14:textFill>
        </w:rPr>
        <w:t>市场价格波动引起的调整</w:t>
      </w:r>
      <w:bookmarkEnd w:id="772"/>
      <w:bookmarkEnd w:id="773"/>
      <w:bookmarkEnd w:id="774"/>
      <w:bookmarkEnd w:id="775"/>
      <w:bookmarkEnd w:id="776"/>
      <w:bookmarkEnd w:id="777"/>
    </w:p>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14:paraId="4A798D54">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市场价格波动是否调整合同价格的约定：</w:t>
      </w:r>
      <w:r>
        <w:rPr>
          <w:rFonts w:hint="eastAsia"/>
          <w:color w:val="000000" w:themeColor="text1"/>
          <w:szCs w:val="21"/>
          <w:highlight w:val="none"/>
          <w:u w:val="single"/>
          <w14:textFill>
            <w14:solidFill>
              <w14:schemeClr w14:val="tx1"/>
            </w14:solidFill>
          </w14:textFill>
        </w:rPr>
        <w:t>否</w:t>
      </w:r>
      <w:r>
        <w:rPr>
          <w:rFonts w:hint="eastAsia" w:hAnsi="宋体" w:cs="宋体"/>
          <w:color w:val="000000" w:themeColor="text1"/>
          <w:szCs w:val="21"/>
          <w:highlight w:val="none"/>
          <w14:textFill>
            <w14:solidFill>
              <w14:schemeClr w14:val="tx1"/>
            </w14:solidFill>
          </w14:textFill>
        </w:rPr>
        <w:t>。</w:t>
      </w:r>
    </w:p>
    <w:p w14:paraId="3CC82B74">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因市场价格波动调整合同价格，采用以下第</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种方式对合同价格进行调整：</w:t>
      </w:r>
    </w:p>
    <w:p w14:paraId="7FC6FEF8">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种方式：采用价格指数进行价格调整。</w:t>
      </w:r>
    </w:p>
    <w:p w14:paraId="29072330">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关于各可调因子、定值和变值权重，以及基本价格指数及其来源的约定：；</w:t>
      </w:r>
    </w:p>
    <w:p w14:paraId="353315AE">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种方式：采用造价信息进行价格调整。</w:t>
      </w:r>
    </w:p>
    <w:p w14:paraId="26AD8B76">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）允许调整主要材料和</w:t>
      </w:r>
      <w:r>
        <w:rPr>
          <w:rFonts w:hAnsi="宋体" w:cs="宋体"/>
          <w:color w:val="000000" w:themeColor="text1"/>
          <w:szCs w:val="21"/>
          <w:highlight w:val="none"/>
          <w14:textFill>
            <w14:solidFill>
              <w14:schemeClr w14:val="tx1"/>
            </w14:solidFill>
          </w14:textFill>
        </w:rPr>
        <w:t>工程</w:t>
      </w:r>
      <w:r>
        <w:rPr>
          <w:rFonts w:hint="eastAsia" w:hAnsi="宋体" w:cs="宋体"/>
          <w:color w:val="000000" w:themeColor="text1"/>
          <w:szCs w:val="21"/>
          <w:highlight w:val="none"/>
          <w14:textFill>
            <w14:solidFill>
              <w14:schemeClr w14:val="tx1"/>
            </w14:solidFill>
          </w14:textFill>
        </w:rPr>
        <w:t>设备、基期价格、风险系数、竞标报价详见《</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w:t>
      </w:r>
      <w:r>
        <w:rPr>
          <w:rFonts w:hAnsi="宋体" w:cs="宋体"/>
          <w:color w:val="000000" w:themeColor="text1"/>
          <w:szCs w:val="21"/>
          <w:highlight w:val="none"/>
          <w14:textFill>
            <w14:solidFill>
              <w14:schemeClr w14:val="tx1"/>
            </w14:solidFill>
          </w14:textFill>
        </w:rPr>
        <w:t>工程</w:t>
      </w:r>
      <w:r>
        <w:rPr>
          <w:rFonts w:hint="eastAsia" w:hAnsi="宋体" w:cs="宋体"/>
          <w:color w:val="000000" w:themeColor="text1"/>
          <w:szCs w:val="21"/>
          <w:highlight w:val="none"/>
          <w14:textFill>
            <w14:solidFill>
              <w14:schemeClr w14:val="tx1"/>
            </w14:solidFill>
          </w14:textFill>
        </w:rPr>
        <w:t>设备一览表》</w:t>
      </w:r>
      <w:r>
        <w:rPr>
          <w:rFonts w:hint="eastAsia" w:ascii="宋体" w:hAnsi="宋体"/>
          <w:color w:val="000000" w:themeColor="text1"/>
          <w:kern w:val="0"/>
          <w:sz w:val="20"/>
          <w:szCs w:val="21"/>
          <w:highlight w:val="none"/>
          <w14:textFill>
            <w14:solidFill>
              <w14:schemeClr w14:val="tx1"/>
            </w14:solidFill>
          </w14:textFill>
        </w:rPr>
        <w:t>（表</w:t>
      </w:r>
      <w:r>
        <w:rPr>
          <w:rFonts w:ascii="宋体" w:hAnsi="宋体"/>
          <w:color w:val="000000" w:themeColor="text1"/>
          <w:kern w:val="0"/>
          <w:sz w:val="20"/>
          <w:szCs w:val="21"/>
          <w:highlight w:val="none"/>
          <w14:textFill>
            <w14:solidFill>
              <w14:schemeClr w14:val="tx1"/>
            </w14:solidFill>
          </w14:textFill>
        </w:rPr>
        <w:t>-22</w:t>
      </w:r>
      <w:r>
        <w:rPr>
          <w:rFonts w:hint="eastAsia" w:ascii="宋体" w:hAnsi="宋体"/>
          <w:color w:val="000000" w:themeColor="text1"/>
          <w:kern w:val="0"/>
          <w:sz w:val="2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,价</w:t>
      </w:r>
      <w:r>
        <w:rPr>
          <w:rFonts w:hAnsi="宋体" w:cs="宋体"/>
          <w:color w:val="000000" w:themeColor="text1"/>
          <w:szCs w:val="21"/>
          <w:highlight w:val="none"/>
          <w14:textFill>
            <w14:solidFill>
              <w14:schemeClr w14:val="tx1"/>
            </w14:solidFill>
          </w14:textFill>
        </w:rPr>
        <w:t>差</w:t>
      </w:r>
      <w:r>
        <w:rPr>
          <w:rFonts w:hint="eastAsia" w:ascii="Calibri" w:hAnsi="宋体" w:cs="宋体"/>
          <w:color w:val="000000" w:themeColor="text1"/>
          <w:szCs w:val="21"/>
          <w:highlight w:val="none"/>
          <w14:textFill>
            <w14:solidFill>
              <w14:schemeClr w14:val="tx1"/>
            </w14:solidFill>
          </w14:textFill>
        </w:rPr>
        <w:t>调整部分仅计算税金，除此表列明的材料、设备外，其余材料设备价差原则上不予调整。</w:t>
      </w:r>
    </w:p>
    <w:p w14:paraId="1CB70DF3">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）主要材料和</w:t>
      </w:r>
      <w:r>
        <w:rPr>
          <w:rFonts w:hAnsi="宋体" w:cs="宋体"/>
          <w:color w:val="000000" w:themeColor="text1"/>
          <w:szCs w:val="21"/>
          <w:highlight w:val="none"/>
          <w14:textFill>
            <w14:solidFill>
              <w14:schemeClr w14:val="tx1"/>
            </w14:solidFill>
          </w14:textFill>
        </w:rPr>
        <w:t>工程</w:t>
      </w:r>
      <w:r>
        <w:rPr>
          <w:rFonts w:hint="eastAsia" w:hAnsi="宋体" w:cs="宋体"/>
          <w:color w:val="000000" w:themeColor="text1"/>
          <w:szCs w:val="21"/>
          <w:highlight w:val="none"/>
          <w14:textFill>
            <w14:solidFill>
              <w14:schemeClr w14:val="tx1"/>
            </w14:solidFill>
          </w14:textFill>
        </w:rPr>
        <w:t>设备确认价：</w:t>
      </w:r>
    </w:p>
    <w:p w14:paraId="7BE87181">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按施工期间《南宁市建设工程造价信息》材料信息价的加权平均价计算，信息价没有的按通用条款规定确定。</w:t>
      </w:r>
    </w:p>
    <w:p w14:paraId="4C7DF040">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）价差计算方法：</w:t>
      </w:r>
    </w:p>
    <w:p w14:paraId="136BA659">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①《</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工程设备一览表》中载明的材料和设备竞标报价低于基准价格的：合同履行期间材料和设备单价涨幅以基准价格为基础超过约定的风险范围时，或材料和设备单价跌幅以竞标报价为基础超过约定的风险范围时，对其超过部分进行价差调整，价差计算公式：价格上涨价差=确认价-基准价*（1+风险系数），价格下跌价差=确认价-竞标报价*（1+风险系数）。</w:t>
      </w:r>
    </w:p>
    <w:p w14:paraId="34E72800">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②承包人在《</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工程设备一览表》中载明的材料和设备竞标报价高于基准价格的：合同履行期间材料和设备单价跌幅以基准价格为基础超过约定的风险范围时，或材料和设备单价涨幅以竞标报价为基础超过约定的风险范围时，对其超过部分进行价差调整。价差计算公式：价格上涨价差=确认价-竞标报价*（1+风险系数），价格下跌价差=确认价-基准价*（1+风险系数。）</w:t>
      </w:r>
    </w:p>
    <w:p w14:paraId="7BABDBE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③承包人在《</w:t>
      </w:r>
      <w:r>
        <w:rPr>
          <w:rFonts w:hAnsi="宋体" w:cs="宋体"/>
          <w:color w:val="000000" w:themeColor="text1"/>
          <w:szCs w:val="21"/>
          <w:highlight w:val="none"/>
          <w14:textFill>
            <w14:solidFill>
              <w14:schemeClr w14:val="tx1"/>
            </w14:solidFill>
          </w14:textFill>
        </w:rPr>
        <w:t>允许调整</w:t>
      </w:r>
      <w:r>
        <w:rPr>
          <w:rFonts w:hint="eastAsia" w:hAnsi="宋体" w:cs="宋体"/>
          <w:color w:val="000000" w:themeColor="text1"/>
          <w:szCs w:val="21"/>
          <w:highlight w:val="none"/>
          <w14:textFill>
            <w14:solidFill>
              <w14:schemeClr w14:val="tx1"/>
            </w14:solidFill>
          </w14:textFill>
        </w:rPr>
        <w:t>主要材料和工程设备一览表》中载明的材料和设备单价等于基准单价的：合同履行期间材料和设备单价涨跌幅以基准单价为基础超过约定的风险范围时，对其超过部分进行价差调整。价差计算公式：上涨或下跌价差=确认价-基准单价*（1+风险系数））</w:t>
      </w:r>
    </w:p>
    <w:p w14:paraId="64952388">
      <w:pPr>
        <w:spacing w:line="360" w:lineRule="auto"/>
        <w:ind w:firstLine="645"/>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第</w:t>
      </w:r>
      <w:r>
        <w:rPr>
          <w:rFonts w:hAnsi="宋体"/>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种方式：</w:t>
      </w:r>
      <w:r>
        <w:rPr>
          <w:rFonts w:hint="eastAsia" w:hAnsi="宋体"/>
          <w:color w:val="000000" w:themeColor="text1"/>
          <w:szCs w:val="21"/>
          <w:highlight w:val="none"/>
          <w:u w:val="single"/>
          <w14:textFill>
            <w14:solidFill>
              <w14:schemeClr w14:val="tx1"/>
            </w14:solidFill>
          </w14:textFill>
        </w:rPr>
        <w:t>除有政策性文件要求调整的材料外，其余材料设备一律不给调整</w:t>
      </w:r>
      <w:r>
        <w:rPr>
          <w:rFonts w:hint="eastAsia" w:cs="宋体"/>
          <w:color w:val="000000" w:themeColor="text1"/>
          <w:szCs w:val="21"/>
          <w:highlight w:val="none"/>
          <w14:textFill>
            <w14:solidFill>
              <w14:schemeClr w14:val="tx1"/>
            </w14:solidFill>
          </w14:textFill>
        </w:rPr>
        <w:t>。</w:t>
      </w:r>
    </w:p>
    <w:bookmarkEnd w:id="632"/>
    <w:bookmarkEnd w:id="633"/>
    <w:bookmarkEnd w:id="634"/>
    <w:bookmarkEnd w:id="635"/>
    <w:bookmarkEnd w:id="636"/>
    <w:bookmarkEnd w:id="637"/>
    <w:p w14:paraId="6EE33D25">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794" w:name="_Toc296891033"/>
      <w:bookmarkStart w:id="795" w:name="_Toc296347204"/>
      <w:bookmarkStart w:id="796" w:name="_Toc296944544"/>
      <w:bookmarkStart w:id="797" w:name="_Toc296503205"/>
      <w:bookmarkStart w:id="798" w:name="_Toc292559410"/>
      <w:bookmarkStart w:id="799" w:name="_Toc297120505"/>
      <w:bookmarkStart w:id="800" w:name="_Toc296891245"/>
      <w:bookmarkStart w:id="801" w:name="_Toc292559915"/>
      <w:bookmarkStart w:id="802" w:name="_Toc296346706"/>
      <w:bookmarkStart w:id="803" w:name="_Toc297048391"/>
      <w:bookmarkStart w:id="804" w:name="_Toc373227748"/>
      <w:bookmarkStart w:id="805" w:name="_Toc351203644"/>
      <w:bookmarkStart w:id="806" w:name="_Toc114058888"/>
      <w:bookmarkStart w:id="807" w:name="_Toc407135251"/>
      <w:bookmarkStart w:id="808" w:name="_Toc373478395"/>
      <w:bookmarkStart w:id="809" w:name="_Toc78449837"/>
      <w:bookmarkStart w:id="810" w:name="_Toc297216211"/>
      <w:bookmarkStart w:id="811" w:name="_Toc297123552"/>
      <w:bookmarkStart w:id="812" w:name="_Toc300935002"/>
      <w:bookmarkStart w:id="813" w:name="_Toc303539159"/>
      <w:bookmarkStart w:id="814" w:name="_Toc304295579"/>
      <w:bookmarkStart w:id="815" w:name="_Toc312678040"/>
      <w:r>
        <w:rPr>
          <w:rFonts w:ascii="Arial" w:hAnsi="Arial" w:eastAsia="黑体"/>
          <w:b/>
          <w:bCs/>
          <w:color w:val="000000" w:themeColor="text1"/>
          <w:sz w:val="32"/>
          <w:szCs w:val="32"/>
          <w:highlight w:val="none"/>
          <w:lang w:val="zh-CN"/>
          <w14:textFill>
            <w14:solidFill>
              <w14:schemeClr w14:val="tx1"/>
            </w14:solidFill>
          </w14:textFill>
        </w:rPr>
        <w:t xml:space="preserve">12. </w:t>
      </w:r>
      <w:bookmarkEnd w:id="794"/>
      <w:bookmarkEnd w:id="795"/>
      <w:bookmarkEnd w:id="796"/>
      <w:bookmarkEnd w:id="797"/>
      <w:bookmarkEnd w:id="798"/>
      <w:bookmarkEnd w:id="799"/>
      <w:bookmarkEnd w:id="800"/>
      <w:bookmarkEnd w:id="801"/>
      <w:bookmarkEnd w:id="802"/>
      <w:bookmarkEnd w:id="803"/>
      <w:r>
        <w:rPr>
          <w:rFonts w:hint="eastAsia" w:ascii="Arial" w:hAnsi="Arial" w:eastAsia="黑体" w:cs="黑体"/>
          <w:b/>
          <w:bCs/>
          <w:color w:val="000000" w:themeColor="text1"/>
          <w:sz w:val="32"/>
          <w:szCs w:val="32"/>
          <w:highlight w:val="none"/>
          <w:lang w:val="zh-CN"/>
          <w14:textFill>
            <w14:solidFill>
              <w14:schemeClr w14:val="tx1"/>
            </w14:solidFill>
          </w14:textFill>
        </w:rPr>
        <w:t>合同价格、计量与支付</w:t>
      </w:r>
      <w:bookmarkEnd w:id="804"/>
      <w:bookmarkEnd w:id="805"/>
      <w:bookmarkEnd w:id="806"/>
      <w:bookmarkEnd w:id="807"/>
      <w:bookmarkEnd w:id="808"/>
      <w:bookmarkEnd w:id="809"/>
    </w:p>
    <w:bookmarkEnd w:id="810"/>
    <w:bookmarkEnd w:id="811"/>
    <w:bookmarkEnd w:id="812"/>
    <w:bookmarkEnd w:id="813"/>
    <w:bookmarkEnd w:id="814"/>
    <w:bookmarkEnd w:id="815"/>
    <w:p w14:paraId="219B77B2">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16" w:name="_Toc292559411"/>
      <w:bookmarkStart w:id="817" w:name="_Toc267251461"/>
      <w:bookmarkStart w:id="818" w:name="_Toc292559916"/>
      <w:bookmarkStart w:id="819" w:name="_Toc296503206"/>
      <w:bookmarkStart w:id="820" w:name="_Toc296944545"/>
      <w:bookmarkStart w:id="821" w:name="_Toc296891246"/>
      <w:bookmarkStart w:id="822" w:name="_Toc296347205"/>
      <w:bookmarkStart w:id="823" w:name="_Toc297120506"/>
      <w:bookmarkStart w:id="824" w:name="_Toc296891034"/>
      <w:bookmarkStart w:id="825" w:name="_Toc296346707"/>
      <w:bookmarkStart w:id="826" w:name="_Toc297048392"/>
      <w:bookmarkStart w:id="827" w:name="_Toc114058889"/>
      <w:bookmarkStart w:id="828" w:name="_Toc389065314"/>
      <w:bookmarkStart w:id="829" w:name="_Toc373227749"/>
      <w:bookmarkStart w:id="830" w:name="_Toc407135252"/>
      <w:bookmarkStart w:id="831" w:name="_Toc373478396"/>
      <w:bookmarkStart w:id="832" w:name="_Toc78449838"/>
      <w:bookmarkStart w:id="833" w:name="_Toc300935003"/>
      <w:bookmarkStart w:id="834" w:name="_Toc303539160"/>
      <w:bookmarkStart w:id="835" w:name="_Toc312678041"/>
      <w:bookmarkStart w:id="836" w:name="_Toc304295580"/>
      <w:bookmarkStart w:id="837" w:name="_Toc297216212"/>
      <w:bookmarkStart w:id="838" w:name="_Toc297123553"/>
      <w:r>
        <w:rPr>
          <w:rFonts w:eastAsia="黑体"/>
          <w:b/>
          <w:bCs/>
          <w:color w:val="000000" w:themeColor="text1"/>
          <w:sz w:val="32"/>
          <w:szCs w:val="32"/>
          <w:highlight w:val="none"/>
          <w:lang w:val="zh-CN"/>
          <w14:textFill>
            <w14:solidFill>
              <w14:schemeClr w14:val="tx1"/>
            </w14:solidFill>
          </w14:textFill>
        </w:rPr>
        <w:t xml:space="preserve">12.1 </w:t>
      </w:r>
      <w:r>
        <w:rPr>
          <w:rFonts w:hint="eastAsia" w:hAnsi="宋体" w:eastAsia="黑体" w:cs="黑体"/>
          <w:b/>
          <w:bCs/>
          <w:color w:val="000000" w:themeColor="text1"/>
          <w:sz w:val="32"/>
          <w:szCs w:val="32"/>
          <w:highlight w:val="none"/>
          <w:lang w:val="zh-CN"/>
          <w14:textFill>
            <w14:solidFill>
              <w14:schemeClr w14:val="tx1"/>
            </w14:solidFill>
          </w14:textFill>
        </w:rPr>
        <w:t>合</w:t>
      </w:r>
      <w:bookmarkEnd w:id="816"/>
      <w:bookmarkEnd w:id="817"/>
      <w:bookmarkEnd w:id="818"/>
      <w:r>
        <w:rPr>
          <w:rFonts w:hint="eastAsia" w:hAnsi="宋体" w:eastAsia="黑体" w:cs="黑体"/>
          <w:b/>
          <w:bCs/>
          <w:color w:val="000000" w:themeColor="text1"/>
          <w:sz w:val="32"/>
          <w:szCs w:val="32"/>
          <w:highlight w:val="none"/>
          <w:lang w:val="zh-CN"/>
          <w14:textFill>
            <w14:solidFill>
              <w14:schemeClr w14:val="tx1"/>
            </w14:solidFill>
          </w14:textFill>
        </w:rPr>
        <w:t>同价</w:t>
      </w:r>
      <w:bookmarkEnd w:id="819"/>
      <w:bookmarkEnd w:id="820"/>
      <w:bookmarkEnd w:id="821"/>
      <w:bookmarkEnd w:id="822"/>
      <w:bookmarkEnd w:id="823"/>
      <w:bookmarkEnd w:id="824"/>
      <w:bookmarkEnd w:id="825"/>
      <w:bookmarkEnd w:id="826"/>
      <w:r>
        <w:rPr>
          <w:rFonts w:hint="eastAsia" w:hAnsi="宋体" w:eastAsia="黑体" w:cs="黑体"/>
          <w:b/>
          <w:bCs/>
          <w:color w:val="000000" w:themeColor="text1"/>
          <w:sz w:val="32"/>
          <w:szCs w:val="32"/>
          <w:highlight w:val="none"/>
          <w:lang w:val="zh-CN"/>
          <w14:textFill>
            <w14:solidFill>
              <w14:schemeClr w14:val="tx1"/>
            </w14:solidFill>
          </w14:textFill>
        </w:rPr>
        <w:t>格形式</w:t>
      </w:r>
      <w:bookmarkEnd w:id="827"/>
      <w:bookmarkEnd w:id="828"/>
      <w:bookmarkEnd w:id="829"/>
      <w:bookmarkEnd w:id="830"/>
      <w:bookmarkEnd w:id="831"/>
      <w:bookmarkEnd w:id="832"/>
    </w:p>
    <w:bookmarkEnd w:id="833"/>
    <w:bookmarkEnd w:id="834"/>
    <w:bookmarkEnd w:id="835"/>
    <w:bookmarkEnd w:id="836"/>
    <w:bookmarkEnd w:id="837"/>
    <w:bookmarkEnd w:id="838"/>
    <w:p w14:paraId="41400CEB">
      <w:pPr>
        <w:spacing w:line="360" w:lineRule="auto"/>
        <w:ind w:firstLine="420" w:firstLineChars="200"/>
        <w:jc w:val="left"/>
        <w:rPr>
          <w:rFonts w:hAnsi="宋体"/>
          <w:color w:val="000000" w:themeColor="text1"/>
          <w:szCs w:val="21"/>
          <w:highlight w:val="none"/>
          <w14:textFill>
            <w14:solidFill>
              <w14:schemeClr w14:val="tx1"/>
            </w14:solidFill>
          </w14:textFill>
        </w:rPr>
      </w:pPr>
      <w:bookmarkStart w:id="839" w:name="_Toc373478397"/>
      <w:bookmarkStart w:id="840" w:name="_Toc373227750"/>
      <w:bookmarkStart w:id="841" w:name="_Toc389065315"/>
      <w:bookmarkStart w:id="842" w:name="_Toc300935004"/>
      <w:bookmarkStart w:id="843" w:name="_Toc312678042"/>
      <w:bookmarkStart w:id="844" w:name="_Toc297216213"/>
      <w:bookmarkStart w:id="845" w:name="_Toc304295581"/>
      <w:bookmarkStart w:id="846" w:name="_Toc303539161"/>
      <w:bookmarkStart w:id="847" w:name="_Toc297123554"/>
      <w:bookmarkStart w:id="848" w:name="_Toc296503207"/>
      <w:bookmarkStart w:id="849" w:name="_Toc296891247"/>
      <w:bookmarkStart w:id="850" w:name="_Toc297120507"/>
      <w:bookmarkStart w:id="851" w:name="_Toc296944546"/>
      <w:bookmarkStart w:id="852" w:name="_Toc292559917"/>
      <w:bookmarkStart w:id="853" w:name="_Toc292559412"/>
      <w:bookmarkStart w:id="854" w:name="_Toc296346708"/>
      <w:bookmarkStart w:id="855" w:name="_Toc296891035"/>
      <w:bookmarkStart w:id="856" w:name="_Toc296347206"/>
      <w:bookmarkStart w:id="857" w:name="_Toc297048393"/>
      <w:r>
        <w:rPr>
          <w:rFonts w:hint="eastAsia" w:hAnsi="宋体"/>
          <w:color w:val="000000" w:themeColor="text1"/>
          <w:szCs w:val="21"/>
          <w:highlight w:val="none"/>
          <w14:textFill>
            <w14:solidFill>
              <w14:schemeClr w14:val="tx1"/>
            </w14:solidFill>
          </w14:textFill>
        </w:rPr>
        <w:t>本工程采用</w:t>
      </w:r>
      <w:r>
        <w:rPr>
          <w:rFonts w:hint="eastAsia" w:hAnsi="宋体"/>
          <w:color w:val="000000" w:themeColor="text1"/>
          <w:szCs w:val="21"/>
          <w:highlight w:val="none"/>
          <w:u w:val="single"/>
          <w14:textFill>
            <w14:solidFill>
              <w14:schemeClr w14:val="tx1"/>
            </w14:solidFill>
          </w14:textFill>
        </w:rPr>
        <w:t xml:space="preserve">       （1）       </w:t>
      </w:r>
      <w:r>
        <w:rPr>
          <w:rFonts w:hint="eastAsia" w:hAnsi="宋体"/>
          <w:color w:val="000000" w:themeColor="text1"/>
          <w:szCs w:val="21"/>
          <w:highlight w:val="none"/>
          <w14:textFill>
            <w14:solidFill>
              <w14:schemeClr w14:val="tx1"/>
            </w14:solidFill>
          </w14:textFill>
        </w:rPr>
        <w:t>合同价格形式</w:t>
      </w:r>
      <w:r>
        <w:rPr>
          <w:rFonts w:hint="eastAsia" w:hAnsi="宋体" w:cs="宋体"/>
          <w:color w:val="000000" w:themeColor="text1"/>
          <w:szCs w:val="22"/>
          <w:highlight w:val="none"/>
          <w14:textFill>
            <w14:solidFill>
              <w14:schemeClr w14:val="tx1"/>
            </w14:solidFill>
          </w14:textFill>
        </w:rPr>
        <w:t>，合同价格包含增值税，本工程计价时采用的增值税计税方法为：</w:t>
      </w:r>
      <w:r>
        <w:rPr>
          <w:rFonts w:hint="eastAsia" w:ascii="MS Mincho" w:hAnsi="MS Mincho" w:eastAsia="MS Mincho" w:cs="MS Mincho"/>
          <w:color w:val="000000" w:themeColor="text1"/>
          <w:szCs w:val="22"/>
          <w:highlight w:val="none"/>
          <w14:textFill>
            <w14:solidFill>
              <w14:schemeClr w14:val="tx1"/>
            </w14:solidFill>
          </w14:textFill>
        </w:rPr>
        <w:t>☑</w:t>
      </w:r>
      <w:r>
        <w:rPr>
          <w:rFonts w:hint="eastAsia" w:hAnsi="宋体" w:cs="宋体"/>
          <w:color w:val="000000" w:themeColor="text1"/>
          <w:szCs w:val="22"/>
          <w:highlight w:val="none"/>
          <w14:textFill>
            <w14:solidFill>
              <w14:schemeClr w14:val="tx1"/>
            </w14:solidFill>
          </w14:textFill>
        </w:rPr>
        <w:t xml:space="preserve">一般计税法   </w:t>
      </w:r>
      <w:r>
        <w:rPr>
          <w:rFonts w:hint="eastAsia" w:ascii="宋体" w:hAnsi="宋体" w:cs="宋体"/>
          <w:color w:val="000000" w:themeColor="text1"/>
          <w:szCs w:val="22"/>
          <w:highlight w:val="none"/>
          <w14:textFill>
            <w14:solidFill>
              <w14:schemeClr w14:val="tx1"/>
            </w14:solidFill>
          </w14:textFill>
        </w:rPr>
        <w:t>□</w:t>
      </w:r>
      <w:r>
        <w:rPr>
          <w:rFonts w:hint="eastAsia" w:hAnsi="宋体" w:cs="宋体"/>
          <w:color w:val="000000" w:themeColor="text1"/>
          <w:szCs w:val="22"/>
          <w:highlight w:val="none"/>
          <w14:textFill>
            <w14:solidFill>
              <w14:schemeClr w14:val="tx1"/>
            </w14:solidFill>
          </w14:textFill>
        </w:rPr>
        <w:t>简易计税法</w:t>
      </w:r>
      <w:r>
        <w:rPr>
          <w:rFonts w:hint="eastAsia" w:hAnsi="宋体"/>
          <w:color w:val="000000" w:themeColor="text1"/>
          <w:szCs w:val="21"/>
          <w:highlight w:val="none"/>
          <w14:textFill>
            <w14:solidFill>
              <w14:schemeClr w14:val="tx1"/>
            </w14:solidFill>
          </w14:textFill>
        </w:rPr>
        <w:t>。</w:t>
      </w:r>
    </w:p>
    <w:p w14:paraId="52E8A4F7">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单价合同。</w:t>
      </w:r>
    </w:p>
    <w:p w14:paraId="4DFA78C0">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采用综合单价合同方式时，工程量按建设单位、监理单位、</w:t>
      </w:r>
      <w:r>
        <w:rPr>
          <w:rFonts w:hAnsi="宋体" w:cs="宋体"/>
          <w:color w:val="000000" w:themeColor="text1"/>
          <w:szCs w:val="22"/>
          <w:highlight w:val="none"/>
          <w14:textFill>
            <w14:solidFill>
              <w14:schemeClr w14:val="tx1"/>
            </w14:solidFill>
          </w14:textFill>
        </w:rPr>
        <w:t>施工单位三方确认</w:t>
      </w:r>
      <w:r>
        <w:rPr>
          <w:rFonts w:hint="eastAsia" w:hAnsi="宋体" w:cs="宋体"/>
          <w:color w:val="000000" w:themeColor="text1"/>
          <w:szCs w:val="22"/>
          <w:highlight w:val="none"/>
          <w14:textFill>
            <w14:solidFill>
              <w14:schemeClr w14:val="tx1"/>
            </w14:solidFill>
          </w14:textFill>
        </w:rPr>
        <w:t>的与实际相符的竣工图结算。如发现竣工图与实际不符，按不利于施工单位的原则结算。</w:t>
      </w:r>
    </w:p>
    <w:p w14:paraId="37F850D0">
      <w:pPr>
        <w:spacing w:line="360" w:lineRule="auto"/>
        <w:ind w:firstLine="420" w:firstLineChars="200"/>
        <w:jc w:val="left"/>
        <w:rPr>
          <w:rFonts w:hAnsi="宋体" w:cs="宋体"/>
          <w:color w:val="000000" w:themeColor="text1"/>
          <w:szCs w:val="22"/>
          <w:highlight w:val="none"/>
          <w:u w:val="singl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综合单价包含的风险范围：</w:t>
      </w:r>
      <w:r>
        <w:rPr>
          <w:rFonts w:hint="eastAsia" w:hAnsi="宋体" w:cs="宋体"/>
          <w:color w:val="000000" w:themeColor="text1"/>
          <w:szCs w:val="22"/>
          <w:highlight w:val="none"/>
          <w:u w:val="single"/>
          <w14:textFill>
            <w14:solidFill>
              <w14:schemeClr w14:val="tx1"/>
            </w14:solidFill>
          </w14:textFill>
        </w:rPr>
        <w:t>除工程变更、项目特征不符、工程量清单缺项、工程量偏差、政策性调整约定的材料和设备价格变动风险以外的其他风险因素。</w:t>
      </w:r>
    </w:p>
    <w:p w14:paraId="3364C7A2">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风险费用的计算方法：单价采用固定综合单价，风险费用已综合考虑在单价中。</w:t>
      </w:r>
    </w:p>
    <w:p w14:paraId="00AE60E5">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风险范围以外合同价格的调整方法：</w:t>
      </w:r>
    </w:p>
    <w:p w14:paraId="5A88C72A">
      <w:pPr>
        <w:spacing w:line="360" w:lineRule="auto"/>
        <w:ind w:firstLine="420"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①</w:t>
      </w:r>
      <w:r>
        <w:rPr>
          <w:rFonts w:hint="eastAsia" w:ascii="宋体" w:hAnsi="宋体" w:cs="宋体"/>
          <w:b/>
          <w:bCs/>
          <w:color w:val="000000" w:themeColor="text1"/>
          <w:szCs w:val="21"/>
          <w:highlight w:val="none"/>
          <w14:textFill>
            <w14:solidFill>
              <w14:schemeClr w14:val="tx1"/>
            </w14:solidFill>
          </w14:textFill>
        </w:rPr>
        <w:t>本合同实施期间因工程变更、项目特征不符、工程量清单缺项引起工程项目、工程量变化的，其工程量按实际发生并监理工程师及发包人确认，变更合同价款按下列方法进行：工程量清单中有相同细目的按供应商竞标时的成交单价进行结算，工程量清单中有类似细目的参考类似成交单价结算；工程量清单中没有适用或类似于变更工程的价格，则有定额的套定额计算，执行本采购文件工程计价参考依据，并乘以下浮系数（成交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经审定的工程招标控制价）结算，其中材料价格有信息价的按施工期间信息价的算术平均价计取，无信息价的由发包人、监理单位及承包人根据市场价格协商议定；新增项目无定额可套的，由发包人、监理单位及承包人根据市场协商确定；新增结算单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综合单价×（成交价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经审定的工程招标控制价）。</w:t>
      </w:r>
    </w:p>
    <w:p w14:paraId="5060FE10">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②工程量偏差：</w:t>
      </w:r>
      <w:r>
        <w:rPr>
          <w:rFonts w:hint="eastAsia" w:ascii="宋体" w:hAnsi="宋体" w:cs="宋体"/>
          <w:b/>
          <w:bCs/>
          <w:color w:val="000000" w:themeColor="text1"/>
          <w:szCs w:val="21"/>
          <w:highlight w:val="none"/>
          <w14:textFill>
            <w14:solidFill>
              <w14:schemeClr w14:val="tx1"/>
            </w14:solidFill>
          </w14:textFill>
        </w:rPr>
        <w:t>如果承包人实际完成工程量与招标工程量偏差超过</w:t>
      </w:r>
      <w:r>
        <w:rPr>
          <w:rFonts w:hint="eastAsia" w:cs="宋体"/>
          <w:b/>
          <w:bCs/>
          <w:color w:val="000000" w:themeColor="text1"/>
          <w:szCs w:val="21"/>
          <w:highlight w:val="none"/>
          <w14:textFill>
            <w14:solidFill>
              <w14:schemeClr w14:val="tx1"/>
            </w14:solidFill>
          </w14:textFill>
        </w:rPr>
        <w:t>15%</w:t>
      </w:r>
      <w:r>
        <w:rPr>
          <w:rFonts w:hint="eastAsia" w:ascii="宋体" w:hAnsi="宋体" w:cs="宋体"/>
          <w:b/>
          <w:bCs/>
          <w:color w:val="000000" w:themeColor="text1"/>
          <w:szCs w:val="21"/>
          <w:highlight w:val="none"/>
          <w14:textFill>
            <w14:solidFill>
              <w14:schemeClr w14:val="tx1"/>
            </w14:solidFill>
          </w14:textFill>
        </w:rPr>
        <w:t>以上且该单项造价超过合同总价</w:t>
      </w:r>
      <w:r>
        <w:rPr>
          <w:rFonts w:hint="eastAsia" w:cs="宋体"/>
          <w:b/>
          <w:bCs/>
          <w:color w:val="000000" w:themeColor="text1"/>
          <w:szCs w:val="21"/>
          <w:highlight w:val="none"/>
          <w14:textFill>
            <w14:solidFill>
              <w14:schemeClr w14:val="tx1"/>
            </w14:solidFill>
          </w14:textFill>
        </w:rPr>
        <w:t>1%</w:t>
      </w:r>
      <w:r>
        <w:rPr>
          <w:rFonts w:hint="eastAsia" w:ascii="宋体" w:hAnsi="宋体" w:cs="宋体"/>
          <w:b/>
          <w:bCs/>
          <w:color w:val="000000" w:themeColor="text1"/>
          <w:szCs w:val="21"/>
          <w:highlight w:val="none"/>
          <w14:textFill>
            <w14:solidFill>
              <w14:schemeClr w14:val="tx1"/>
            </w14:solidFill>
          </w14:textFill>
        </w:rPr>
        <w:t>以上的，则超过</w:t>
      </w:r>
      <w:r>
        <w:rPr>
          <w:rFonts w:hint="eastAsia" w:cs="宋体"/>
          <w:b/>
          <w:bCs/>
          <w:color w:val="000000" w:themeColor="text1"/>
          <w:szCs w:val="21"/>
          <w:highlight w:val="none"/>
          <w14:textFill>
            <w14:solidFill>
              <w14:schemeClr w14:val="tx1"/>
            </w14:solidFill>
          </w14:textFill>
        </w:rPr>
        <w:t>15%</w:t>
      </w:r>
      <w:r>
        <w:rPr>
          <w:rFonts w:hint="eastAsia" w:ascii="宋体" w:hAnsi="宋体" w:cs="宋体"/>
          <w:b/>
          <w:bCs/>
          <w:color w:val="000000" w:themeColor="text1"/>
          <w:szCs w:val="21"/>
          <w:highlight w:val="none"/>
          <w14:textFill>
            <w14:solidFill>
              <w14:schemeClr w14:val="tx1"/>
            </w14:solidFill>
          </w14:textFill>
        </w:rPr>
        <w:t>以上增加部分工程量或减少后剩余部分工程量的综合单价按以下方法计算：有定额的套定额计算，执行本采购文件工程计价参考依据，并乘以下浮系数（成交价</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经审定的工程招标控制价）结算，其中材料价格有信息价的按施工期间信息价的算术平均价计取，无信息价的由发包人、监理单位及承包人根据市场价格协商议定。</w:t>
      </w:r>
    </w:p>
    <w:p w14:paraId="51277A7F">
      <w:pPr>
        <w:spacing w:line="360" w:lineRule="auto"/>
        <w:ind w:firstLine="422" w:firstLineChars="200"/>
        <w:jc w:val="left"/>
        <w:rPr>
          <w:rFonts w:hAnsi="宋体" w:cs="宋体"/>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③政策性调整：</w:t>
      </w:r>
      <w:r>
        <w:rPr>
          <w:rFonts w:hint="eastAsia" w:ascii="仿宋_GB2312" w:hAnsi="宋体"/>
          <w:color w:val="000000" w:themeColor="text1"/>
          <w:szCs w:val="21"/>
          <w:highlight w:val="none"/>
          <w14:textFill>
            <w14:solidFill>
              <w14:schemeClr w14:val="tx1"/>
            </w14:solidFill>
          </w14:textFill>
        </w:rPr>
        <w:t>按自治区</w:t>
      </w:r>
      <w:r>
        <w:rPr>
          <w:rFonts w:hint="eastAsia" w:ascii="仿宋_GB2312" w:hAnsi="宋体"/>
          <w:color w:val="000000" w:themeColor="text1"/>
          <w:szCs w:val="21"/>
          <w:highlight w:val="none"/>
          <w:lang w:eastAsia="zh-CN"/>
          <w14:textFill>
            <w14:solidFill>
              <w14:schemeClr w14:val="tx1"/>
            </w14:solidFill>
          </w14:textFill>
        </w:rPr>
        <w:t>住房和城乡建设厅</w:t>
      </w:r>
      <w:r>
        <w:rPr>
          <w:rFonts w:hint="eastAsia" w:ascii="仿宋_GB2312" w:hAnsi="宋体"/>
          <w:color w:val="000000" w:themeColor="text1"/>
          <w:szCs w:val="21"/>
          <w:highlight w:val="none"/>
          <w14:textFill>
            <w14:solidFill>
              <w14:schemeClr w14:val="tx1"/>
            </w14:solidFill>
          </w14:textFill>
        </w:rPr>
        <w:t>或工程所在地住房城乡建设主管部门颁布的文件执行</w:t>
      </w:r>
      <w:r>
        <w:rPr>
          <w:rFonts w:hint="eastAsia" w:hAnsi="宋体" w:cs="宋体"/>
          <w:color w:val="000000" w:themeColor="text1"/>
          <w:szCs w:val="21"/>
          <w:highlight w:val="none"/>
          <w14:textFill>
            <w14:solidFill>
              <w14:schemeClr w14:val="tx1"/>
            </w14:solidFill>
          </w14:textFill>
        </w:rPr>
        <w:t>。</w:t>
      </w:r>
    </w:p>
    <w:p w14:paraId="0039831E">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④材料及设备价格风险：</w:t>
      </w:r>
      <w:r>
        <w:rPr>
          <w:rFonts w:hint="eastAsia" w:ascii="宋体" w:hAnsi="宋体" w:cs="宋体"/>
          <w:b/>
          <w:bCs/>
          <w:color w:val="000000" w:themeColor="text1"/>
          <w:szCs w:val="21"/>
          <w:highlight w:val="none"/>
          <w14:textFill>
            <w14:solidFill>
              <w14:schemeClr w14:val="tx1"/>
            </w14:solidFill>
          </w14:textFill>
        </w:rPr>
        <w:t>无</w:t>
      </w:r>
    </w:p>
    <w:p w14:paraId="655131A0">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材料及设备风险的约定：无</w:t>
      </w:r>
    </w:p>
    <w:p w14:paraId="35DBD035">
      <w:pPr>
        <w:spacing w:line="360" w:lineRule="auto"/>
        <w:ind w:firstLine="422" w:firstLineChars="200"/>
        <w:jc w:val="left"/>
        <w:rPr>
          <w:rFonts w:ascii="宋体" w:hAnsi="宋体" w:cs="宋体"/>
          <w:b/>
          <w:bCs/>
          <w:color w:val="000000" w:themeColor="text1"/>
          <w:szCs w:val="21"/>
          <w:highlight w:val="none"/>
          <w14:textFill>
            <w14:solidFill>
              <w14:schemeClr w14:val="tx1"/>
            </w14:solidFill>
          </w14:textFill>
        </w:rPr>
      </w:pPr>
      <w:r>
        <w:rPr>
          <w:rFonts w:hint="eastAsia" w:hAnsi="宋体" w:cs="宋体"/>
          <w:b/>
          <w:bCs/>
          <w:color w:val="000000" w:themeColor="text1"/>
          <w:szCs w:val="21"/>
          <w:highlight w:val="none"/>
          <w14:textFill>
            <w14:solidFill>
              <w14:schemeClr w14:val="tx1"/>
            </w14:solidFill>
          </w14:textFill>
        </w:rPr>
        <w:t>⑤其它：</w:t>
      </w:r>
      <w:r>
        <w:rPr>
          <w:rFonts w:hint="eastAsia" w:ascii="宋体" w:hAnsi="宋体" w:cs="宋体"/>
          <w:b/>
          <w:bCs/>
          <w:color w:val="000000" w:themeColor="text1"/>
          <w:szCs w:val="21"/>
          <w:highlight w:val="none"/>
          <w14:textFill>
            <w14:solidFill>
              <w14:schemeClr w14:val="tx1"/>
            </w14:solidFill>
          </w14:textFill>
        </w:rPr>
        <w:t>措施项目费调整原则按《</w:t>
      </w:r>
      <w:r>
        <w:rPr>
          <w:rFonts w:hint="eastAsia" w:cs="宋体"/>
          <w:b/>
          <w:bCs/>
          <w:color w:val="000000" w:themeColor="text1"/>
          <w:szCs w:val="21"/>
          <w:highlight w:val="none"/>
          <w14:textFill>
            <w14:solidFill>
              <w14:schemeClr w14:val="tx1"/>
            </w14:solidFill>
          </w14:textFill>
        </w:rPr>
        <w:t>(GB50500-2013)</w:t>
      </w:r>
      <w:r>
        <w:rPr>
          <w:rFonts w:hint="eastAsia" w:ascii="宋体" w:hAnsi="宋体" w:cs="宋体"/>
          <w:b/>
          <w:bCs/>
          <w:color w:val="000000" w:themeColor="text1"/>
          <w:szCs w:val="21"/>
          <w:highlight w:val="none"/>
          <w14:textFill>
            <w14:solidFill>
              <w14:schemeClr w14:val="tx1"/>
            </w14:solidFill>
          </w14:textFill>
        </w:rPr>
        <w:t>建设工程工程量清单计价规范</w:t>
      </w:r>
      <w:r>
        <w:rPr>
          <w:rFonts w:hint="eastAsia" w:cs="宋体"/>
          <w:b/>
          <w:bCs/>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广西壮族自治区实施细则》第</w:t>
      </w:r>
      <w:r>
        <w:rPr>
          <w:rFonts w:hint="eastAsia" w:cs="宋体"/>
          <w:b/>
          <w:bCs/>
          <w:color w:val="000000" w:themeColor="text1"/>
          <w:szCs w:val="21"/>
          <w:highlight w:val="none"/>
          <w14:textFill>
            <w14:solidFill>
              <w14:schemeClr w14:val="tx1"/>
            </w14:solidFill>
          </w14:textFill>
        </w:rPr>
        <w:t>9.3.2</w:t>
      </w:r>
      <w:r>
        <w:rPr>
          <w:rFonts w:hint="eastAsia" w:ascii="宋体" w:hAnsi="宋体" w:cs="宋体"/>
          <w:b/>
          <w:bCs/>
          <w:color w:val="000000" w:themeColor="text1"/>
          <w:szCs w:val="21"/>
          <w:highlight w:val="none"/>
          <w14:textFill>
            <w14:solidFill>
              <w14:schemeClr w14:val="tx1"/>
            </w14:solidFill>
          </w14:textFill>
        </w:rPr>
        <w:t>款执行。无约定的参照我区现行《建设工程工程量清单计价规范》相关规定执行。</w:t>
      </w:r>
    </w:p>
    <w:p w14:paraId="54475F09">
      <w:pPr>
        <w:spacing w:line="360" w:lineRule="auto"/>
        <w:ind w:firstLine="420" w:firstLineChars="200"/>
        <w:jc w:val="left"/>
        <w:rPr>
          <w:rFonts w:hAnsi="宋体"/>
          <w:color w:val="000000" w:themeColor="text1"/>
          <w:szCs w:val="21"/>
          <w:highlight w:val="none"/>
          <w14:textFill>
            <w14:solidFill>
              <w14:schemeClr w14:val="tx1"/>
            </w14:solidFill>
          </w14:textFill>
        </w:rPr>
      </w:pPr>
    </w:p>
    <w:p w14:paraId="7377C619">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总价合同。</w:t>
      </w:r>
    </w:p>
    <w:p w14:paraId="286B3DA8">
      <w:pPr>
        <w:spacing w:line="360" w:lineRule="auto"/>
        <w:ind w:firstLine="420" w:firstLineChars="200"/>
        <w:jc w:val="left"/>
        <w:rPr>
          <w:rFonts w:hAnsi="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总价包含的风险范围：包含除工程变更、政策性调整、</w:t>
      </w:r>
      <w:r>
        <w:rPr>
          <w:rFonts w:hint="eastAsia" w:hAnsi="宋体" w:cs="宋体"/>
          <w:color w:val="000000" w:themeColor="text1"/>
          <w:szCs w:val="22"/>
          <w:highlight w:val="none"/>
          <w:u w:val="single"/>
          <w14:textFill>
            <w14:solidFill>
              <w14:schemeClr w14:val="tx1"/>
            </w14:solidFill>
          </w14:textFill>
        </w:rPr>
        <w:t>本工程《承包人提供主要材料和设备一览表》中约定的材料和设备价格变动风险以外的其他风险。除工程变更外，结算时不再对招标施工图对应的工程量重新计量</w:t>
      </w:r>
      <w:r>
        <w:rPr>
          <w:rFonts w:hint="eastAsia" w:hAnsi="宋体" w:cs="宋体"/>
          <w:color w:val="000000" w:themeColor="text1"/>
          <w:szCs w:val="22"/>
          <w:highlight w:val="none"/>
          <w14:textFill>
            <w14:solidFill>
              <w14:schemeClr w14:val="tx1"/>
            </w14:solidFill>
          </w14:textFill>
        </w:rPr>
        <w:t>。</w:t>
      </w:r>
    </w:p>
    <w:p w14:paraId="3EF4F12B">
      <w:pPr>
        <w:spacing w:line="360" w:lineRule="auto"/>
        <w:ind w:firstLine="420" w:firstLineChars="200"/>
        <w:jc w:val="left"/>
        <w:rPr>
          <w:rFonts w:cs="宋体"/>
          <w:color w:val="000000" w:themeColor="text1"/>
          <w:szCs w:val="22"/>
          <w:highlight w:val="none"/>
          <w14:textFill>
            <w14:solidFill>
              <w14:schemeClr w14:val="tx1"/>
            </w14:solidFill>
          </w14:textFill>
        </w:rPr>
      </w:pPr>
      <w:r>
        <w:rPr>
          <w:rFonts w:hint="eastAsia" w:cs="宋体"/>
          <w:color w:val="000000" w:themeColor="text1"/>
          <w:szCs w:val="22"/>
          <w:highlight w:val="none"/>
          <w14:textFill>
            <w14:solidFill>
              <w14:schemeClr w14:val="tx1"/>
            </w14:solidFill>
          </w14:textFill>
        </w:rPr>
        <w:t>风险范围以外合同价格的调整方法：</w:t>
      </w:r>
    </w:p>
    <w:p w14:paraId="0DC9D58D">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①工程变更：按</w:t>
      </w:r>
      <w:r>
        <w:rPr>
          <w:rFonts w:hAnsi="宋体" w:cs="宋体"/>
          <w:color w:val="000000" w:themeColor="text1"/>
          <w:szCs w:val="22"/>
          <w:highlight w:val="none"/>
          <w14:textFill>
            <w14:solidFill>
              <w14:schemeClr w14:val="tx1"/>
            </w14:solidFill>
          </w14:textFill>
        </w:rPr>
        <w:t>10.4.1</w:t>
      </w:r>
      <w:r>
        <w:rPr>
          <w:rFonts w:hint="eastAsia" w:hAnsi="宋体" w:cs="宋体"/>
          <w:color w:val="000000" w:themeColor="text1"/>
          <w:szCs w:val="22"/>
          <w:highlight w:val="none"/>
          <w14:textFill>
            <w14:solidFill>
              <w14:schemeClr w14:val="tx1"/>
            </w14:solidFill>
          </w14:textFill>
        </w:rPr>
        <w:t>变更估价原则的约定调整。</w:t>
      </w:r>
    </w:p>
    <w:p w14:paraId="1C995559">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②政策性调整：</w:t>
      </w:r>
      <w:r>
        <w:rPr>
          <w:rFonts w:hint="eastAsia" w:ascii="仿宋_GB2312" w:hAnsi="宋体"/>
          <w:color w:val="000000" w:themeColor="text1"/>
          <w:szCs w:val="22"/>
          <w:highlight w:val="none"/>
          <w14:textFill>
            <w14:solidFill>
              <w14:schemeClr w14:val="tx1"/>
            </w14:solidFill>
          </w14:textFill>
        </w:rPr>
        <w:t>按自治区</w:t>
      </w:r>
      <w:r>
        <w:rPr>
          <w:rFonts w:hint="eastAsia" w:ascii="仿宋_GB2312" w:hAnsi="宋体"/>
          <w:color w:val="000000" w:themeColor="text1"/>
          <w:szCs w:val="22"/>
          <w:highlight w:val="none"/>
          <w:lang w:eastAsia="zh-CN"/>
          <w14:textFill>
            <w14:solidFill>
              <w14:schemeClr w14:val="tx1"/>
            </w14:solidFill>
          </w14:textFill>
        </w:rPr>
        <w:t>住房和城乡建设厅</w:t>
      </w:r>
      <w:r>
        <w:rPr>
          <w:rFonts w:hint="eastAsia" w:ascii="仿宋_GB2312" w:hAnsi="宋体"/>
          <w:color w:val="000000" w:themeColor="text1"/>
          <w:szCs w:val="22"/>
          <w:highlight w:val="none"/>
          <w14:textFill>
            <w14:solidFill>
              <w14:schemeClr w14:val="tx1"/>
            </w14:solidFill>
          </w14:textFill>
        </w:rPr>
        <w:t>或工程所在地住房城乡建设主管部门颁布的文件执行</w:t>
      </w:r>
      <w:r>
        <w:rPr>
          <w:rFonts w:hint="eastAsia" w:hAnsi="宋体" w:cs="宋体"/>
          <w:color w:val="000000" w:themeColor="text1"/>
          <w:szCs w:val="22"/>
          <w:highlight w:val="none"/>
          <w14:textFill>
            <w14:solidFill>
              <w14:schemeClr w14:val="tx1"/>
            </w14:solidFill>
          </w14:textFill>
        </w:rPr>
        <w:t>。</w:t>
      </w:r>
    </w:p>
    <w:p w14:paraId="326D51CC">
      <w:pPr>
        <w:spacing w:line="360" w:lineRule="auto"/>
        <w:ind w:firstLine="420" w:firstLineChars="200"/>
        <w:jc w:val="left"/>
        <w:rPr>
          <w:rFonts w:hAnsi="宋体" w:cs="宋体"/>
          <w:color w:val="000000" w:themeColor="text1"/>
          <w:szCs w:val="22"/>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③材料价格风险：按</w:t>
      </w:r>
      <w:r>
        <w:rPr>
          <w:rFonts w:hAnsi="宋体" w:cs="宋体"/>
          <w:color w:val="000000" w:themeColor="text1"/>
          <w:szCs w:val="22"/>
          <w:highlight w:val="none"/>
          <w14:textFill>
            <w14:solidFill>
              <w14:schemeClr w14:val="tx1"/>
            </w14:solidFill>
          </w14:textFill>
        </w:rPr>
        <w:t>11.1</w:t>
      </w:r>
      <w:r>
        <w:rPr>
          <w:rFonts w:hint="eastAsia" w:hAnsi="宋体" w:cs="宋体"/>
          <w:color w:val="000000" w:themeColor="text1"/>
          <w:szCs w:val="22"/>
          <w:highlight w:val="none"/>
          <w14:textFill>
            <w14:solidFill>
              <w14:schemeClr w14:val="tx1"/>
            </w14:solidFill>
          </w14:textFill>
        </w:rPr>
        <w:t>的约定调整。</w:t>
      </w:r>
    </w:p>
    <w:p w14:paraId="3E0FD3B0">
      <w:pPr>
        <w:spacing w:line="360" w:lineRule="auto"/>
        <w:ind w:firstLine="420" w:firstLineChars="200"/>
        <w:jc w:val="left"/>
        <w:rPr>
          <w:rFonts w:hAnsi="宋体"/>
          <w:color w:val="000000" w:themeColor="text1"/>
          <w:szCs w:val="22"/>
          <w:highlight w:val="none"/>
          <w14:textFill>
            <w14:solidFill>
              <w14:schemeClr w14:val="tx1"/>
            </w14:solidFill>
          </w14:textFill>
        </w:rPr>
      </w:pPr>
      <w:r>
        <w:rPr>
          <w:rFonts w:hAnsi="宋体" w:cs="宋体"/>
          <w:color w:val="000000" w:themeColor="text1"/>
          <w:szCs w:val="22"/>
          <w:highlight w:val="none"/>
          <w14:textFill>
            <w14:solidFill>
              <w14:schemeClr w14:val="tx1"/>
            </w14:solidFill>
          </w14:textFill>
        </w:rPr>
        <w:fldChar w:fldCharType="begin"/>
      </w:r>
      <w:r>
        <w:rPr>
          <w:rFonts w:hint="eastAsia" w:hAnsi="宋体" w:cs="宋体"/>
          <w:color w:val="000000" w:themeColor="text1"/>
          <w:szCs w:val="22"/>
          <w:highlight w:val="none"/>
          <w14:textFill>
            <w14:solidFill>
              <w14:schemeClr w14:val="tx1"/>
            </w14:solidFill>
          </w14:textFill>
        </w:rPr>
        <w:instrText xml:space="preserve">= 4 \* GB3</w:instrText>
      </w:r>
      <w:r>
        <w:rPr>
          <w:rFonts w:hAnsi="宋体" w:cs="宋体"/>
          <w:color w:val="000000" w:themeColor="text1"/>
          <w:szCs w:val="22"/>
          <w:highlight w:val="none"/>
          <w14:textFill>
            <w14:solidFill>
              <w14:schemeClr w14:val="tx1"/>
            </w14:solidFill>
          </w14:textFill>
        </w:rPr>
        <w:fldChar w:fldCharType="separate"/>
      </w:r>
      <w:r>
        <w:rPr>
          <w:rFonts w:hint="eastAsia" w:hAnsi="宋体" w:cs="宋体"/>
          <w:color w:val="000000" w:themeColor="text1"/>
          <w:szCs w:val="22"/>
          <w:highlight w:val="none"/>
          <w14:textFill>
            <w14:solidFill>
              <w14:schemeClr w14:val="tx1"/>
            </w14:solidFill>
          </w14:textFill>
        </w:rPr>
        <w:t>4</w:t>
      </w:r>
      <w:r>
        <w:rPr>
          <w:rFonts w:hAnsi="宋体" w:cs="宋体"/>
          <w:color w:val="000000" w:themeColor="text1"/>
          <w:szCs w:val="22"/>
          <w:highlight w:val="none"/>
          <w14:textFill>
            <w14:solidFill>
              <w14:schemeClr w14:val="tx1"/>
            </w14:solidFill>
          </w14:textFill>
        </w:rPr>
        <w:fldChar w:fldCharType="end"/>
      </w:r>
      <w:r>
        <w:rPr>
          <w:rFonts w:hint="eastAsia" w:hAnsi="宋体" w:cs="宋体"/>
          <w:color w:val="000000" w:themeColor="text1"/>
          <w:szCs w:val="22"/>
          <w:highlight w:val="none"/>
          <w14:textFill>
            <w14:solidFill>
              <w14:schemeClr w14:val="tx1"/>
            </w14:solidFill>
          </w14:textFill>
        </w:rPr>
        <w:t>其它：。</w:t>
      </w:r>
    </w:p>
    <w:p w14:paraId="6256C105">
      <w:pPr>
        <w:spacing w:line="360" w:lineRule="auto"/>
        <w:ind w:firstLine="420" w:firstLineChars="200"/>
        <w:jc w:val="left"/>
        <w:rPr>
          <w:color w:val="000000" w:themeColor="text1"/>
          <w:szCs w:val="22"/>
          <w:highlight w:val="none"/>
          <w14:textFill>
            <w14:solidFill>
              <w14:schemeClr w14:val="tx1"/>
            </w14:solidFill>
          </w14:textFill>
        </w:rPr>
      </w:pPr>
      <w:r>
        <w:rPr>
          <w:rFonts w:hint="eastAsia"/>
          <w:color w:val="000000" w:themeColor="text1"/>
          <w:szCs w:val="22"/>
          <w:highlight w:val="none"/>
          <w14:textFill>
            <w14:solidFill>
              <w14:schemeClr w14:val="tx1"/>
            </w14:solidFill>
          </w14:textFill>
        </w:rPr>
        <w:t>（</w:t>
      </w:r>
      <w:r>
        <w:rPr>
          <w:color w:val="000000" w:themeColor="text1"/>
          <w:szCs w:val="22"/>
          <w:highlight w:val="none"/>
          <w14:textFill>
            <w14:solidFill>
              <w14:schemeClr w14:val="tx1"/>
            </w14:solidFill>
          </w14:textFill>
        </w:rPr>
        <w:t>3</w:t>
      </w:r>
      <w:r>
        <w:rPr>
          <w:rFonts w:hint="eastAsia"/>
          <w:color w:val="000000" w:themeColor="text1"/>
          <w:szCs w:val="22"/>
          <w:highlight w:val="none"/>
          <w14:textFill>
            <w14:solidFill>
              <w14:schemeClr w14:val="tx1"/>
            </w14:solidFill>
          </w14:textFill>
        </w:rPr>
        <w:t>）</w:t>
      </w:r>
      <w:r>
        <w:rPr>
          <w:color w:val="000000" w:themeColor="text1"/>
          <w:szCs w:val="22"/>
          <w:highlight w:val="none"/>
          <w14:textFill>
            <w14:solidFill>
              <w14:schemeClr w14:val="tx1"/>
            </w14:solidFill>
          </w14:textFill>
        </w:rPr>
        <w:t>其他价格方式：。</w:t>
      </w:r>
    </w:p>
    <w:p w14:paraId="6047ACCF">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58" w:name="_Toc114058890"/>
      <w:bookmarkStart w:id="859" w:name="_Toc407135253"/>
      <w:bookmarkStart w:id="860" w:name="_Toc78449839"/>
      <w:r>
        <w:rPr>
          <w:rFonts w:eastAsia="黑体"/>
          <w:b/>
          <w:bCs/>
          <w:color w:val="000000" w:themeColor="text1"/>
          <w:sz w:val="32"/>
          <w:szCs w:val="32"/>
          <w:highlight w:val="none"/>
          <w:lang w:val="zh-CN"/>
          <w14:textFill>
            <w14:solidFill>
              <w14:schemeClr w14:val="tx1"/>
            </w14:solidFill>
          </w14:textFill>
        </w:rPr>
        <w:t xml:space="preserve">12.2 </w:t>
      </w:r>
      <w:r>
        <w:rPr>
          <w:rFonts w:hint="eastAsia" w:hAnsi="宋体" w:eastAsia="黑体" w:cs="黑体"/>
          <w:b/>
          <w:bCs/>
          <w:color w:val="000000" w:themeColor="text1"/>
          <w:sz w:val="32"/>
          <w:szCs w:val="32"/>
          <w:highlight w:val="none"/>
          <w:lang w:val="zh-CN"/>
          <w14:textFill>
            <w14:solidFill>
              <w14:schemeClr w14:val="tx1"/>
            </w14:solidFill>
          </w14:textFill>
        </w:rPr>
        <w:t>预付款</w:t>
      </w:r>
      <w:bookmarkEnd w:id="839"/>
      <w:bookmarkEnd w:id="840"/>
      <w:bookmarkEnd w:id="841"/>
      <w:bookmarkEnd w:id="858"/>
      <w:bookmarkEnd w:id="859"/>
      <w:bookmarkEnd w:id="860"/>
    </w:p>
    <w:bookmarkEnd w:id="842"/>
    <w:bookmarkEnd w:id="843"/>
    <w:bookmarkEnd w:id="844"/>
    <w:bookmarkEnd w:id="845"/>
    <w:bookmarkEnd w:id="846"/>
    <w:bookmarkEnd w:id="847"/>
    <w:p w14:paraId="54A52708">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12.2.1 </w:t>
      </w:r>
      <w:r>
        <w:rPr>
          <w:rFonts w:hint="eastAsia" w:hAnsi="宋体" w:cs="宋体"/>
          <w:color w:val="000000" w:themeColor="text1"/>
          <w:szCs w:val="21"/>
          <w:highlight w:val="none"/>
          <w14:textFill>
            <w14:solidFill>
              <w14:schemeClr w14:val="tx1"/>
            </w14:solidFill>
          </w14:textFill>
        </w:rPr>
        <w:t>预付款的支付</w:t>
      </w:r>
    </w:p>
    <w:p w14:paraId="680A3E8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预付款支付比例或金额：</w:t>
      </w:r>
      <w:r>
        <w:rPr>
          <w:rFonts w:hint="eastAsia"/>
          <w:color w:val="000000" w:themeColor="text1"/>
          <w:szCs w:val="21"/>
          <w:highlight w:val="none"/>
          <w:u w:val="single"/>
          <w14:textFill>
            <w14:solidFill>
              <w14:schemeClr w14:val="tx1"/>
            </w14:solidFill>
          </w14:textFill>
        </w:rPr>
        <w:t xml:space="preserve"> 合同价款的30%</w:t>
      </w:r>
      <w:r>
        <w:rPr>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w:t>
      </w:r>
    </w:p>
    <w:p w14:paraId="0141265E">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预付款支付期限：</w:t>
      </w:r>
      <w:r>
        <w:rPr>
          <w:rFonts w:hint="eastAsia"/>
          <w:color w:val="000000" w:themeColor="text1"/>
          <w:szCs w:val="21"/>
          <w:highlight w:val="none"/>
          <w:u w:val="single"/>
          <w14:textFill>
            <w14:solidFill>
              <w14:schemeClr w14:val="tx1"/>
            </w14:solidFill>
          </w14:textFill>
        </w:rPr>
        <w:t xml:space="preserve"> </w:t>
      </w:r>
      <w:r>
        <w:rPr>
          <w:color w:val="auto"/>
          <w:szCs w:val="21"/>
          <w:highlight w:val="red"/>
          <w:u w:val="single"/>
        </w:rPr>
        <w:t>合同签订后</w:t>
      </w:r>
      <w:r>
        <w:rPr>
          <w:rFonts w:hint="eastAsia"/>
          <w:color w:val="auto"/>
          <w:szCs w:val="21"/>
          <w:highlight w:val="red"/>
          <w:u w:val="single"/>
          <w:lang w:val="en-US" w:eastAsia="zh-CN"/>
        </w:rPr>
        <w:t>30</w:t>
      </w:r>
      <w:r>
        <w:rPr>
          <w:color w:val="auto"/>
          <w:szCs w:val="21"/>
          <w:highlight w:val="red"/>
          <w:u w:val="single"/>
        </w:rPr>
        <w:t>个工作日内支付</w:t>
      </w:r>
      <w:r>
        <w:rPr>
          <w:color w:val="000000" w:themeColor="text1"/>
          <w:szCs w:val="21"/>
          <w:highlight w:val="red"/>
          <w:u w:val="single"/>
          <w14:textFill>
            <w14:solidFill>
              <w14:schemeClr w14:val="tx1"/>
            </w14:solidFill>
          </w14:textFill>
        </w:rPr>
        <w:t xml:space="preserve"> </w:t>
      </w:r>
      <w:r>
        <w:rPr>
          <w:rFonts w:hint="eastAsia" w:hAnsi="宋体" w:cs="宋体"/>
          <w:color w:val="000000" w:themeColor="text1"/>
          <w:szCs w:val="21"/>
          <w:highlight w:val="red"/>
          <w14:textFill>
            <w14:solidFill>
              <w14:schemeClr w14:val="tx1"/>
            </w14:solidFill>
          </w14:textFill>
        </w:rPr>
        <w:t>。</w:t>
      </w:r>
    </w:p>
    <w:p w14:paraId="65DC46F1">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预付款扣回的方式：</w:t>
      </w:r>
      <w:r>
        <w:rPr>
          <w:rFonts w:hint="eastAsia"/>
          <w:color w:val="000000" w:themeColor="text1"/>
          <w:szCs w:val="21"/>
          <w:highlight w:val="red"/>
          <w:u w:val="single"/>
          <w14:textFill>
            <w14:solidFill>
              <w14:schemeClr w14:val="tx1"/>
            </w14:solidFill>
          </w14:textFill>
        </w:rPr>
        <w:t>采购人预付签约合同价款的30%给成交供应商作为本工程的施工备料款。此预付款在项目工程进度款中一次性扣回</w:t>
      </w:r>
      <w:r>
        <w:rPr>
          <w:rFonts w:hint="eastAsia" w:hAnsi="宋体" w:cs="宋体"/>
          <w:color w:val="000000" w:themeColor="text1"/>
          <w:szCs w:val="21"/>
          <w:highlight w:val="red"/>
          <w14:textFill>
            <w14:solidFill>
              <w14:schemeClr w14:val="tx1"/>
            </w14:solidFill>
          </w14:textFill>
        </w:rPr>
        <w:t>。</w:t>
      </w:r>
    </w:p>
    <w:p w14:paraId="454683FD">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12.2.2 </w:t>
      </w:r>
      <w:r>
        <w:rPr>
          <w:rFonts w:hint="eastAsia" w:hAnsi="宋体" w:cs="宋体"/>
          <w:color w:val="000000" w:themeColor="text1"/>
          <w:szCs w:val="21"/>
          <w:highlight w:val="none"/>
          <w14:textFill>
            <w14:solidFill>
              <w14:schemeClr w14:val="tx1"/>
            </w14:solidFill>
          </w14:textFill>
        </w:rPr>
        <w:t>预付款担保</w:t>
      </w:r>
    </w:p>
    <w:p w14:paraId="1E093546">
      <w:pPr>
        <w:spacing w:line="360" w:lineRule="auto"/>
        <w:ind w:firstLine="420" w:firstLineChars="200"/>
        <w:jc w:val="left"/>
        <w:rPr>
          <w:color w:val="000000" w:themeColor="text1"/>
          <w:szCs w:val="21"/>
          <w:highlight w:val="red"/>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承包人提交预付款担保的期限：</w:t>
      </w:r>
      <w:r>
        <w:rPr>
          <w:rFonts w:hint="eastAsia"/>
          <w:color w:val="000000" w:themeColor="text1"/>
          <w:szCs w:val="21"/>
          <w:highlight w:val="red"/>
          <w:u w:val="single"/>
          <w:lang w:val="en-US" w:eastAsia="zh-CN"/>
          <w14:textFill>
            <w14:solidFill>
              <w14:schemeClr w14:val="tx1"/>
            </w14:solidFill>
          </w14:textFill>
        </w:rPr>
        <w:t xml:space="preserve">   无    </w:t>
      </w:r>
      <w:r>
        <w:rPr>
          <w:rFonts w:hint="eastAsia" w:hAnsi="宋体" w:cs="宋体"/>
          <w:color w:val="000000" w:themeColor="text1"/>
          <w:szCs w:val="21"/>
          <w:highlight w:val="red"/>
          <w14:textFill>
            <w14:solidFill>
              <w14:schemeClr w14:val="tx1"/>
            </w14:solidFill>
          </w14:textFill>
        </w:rPr>
        <w:t>。</w:t>
      </w:r>
    </w:p>
    <w:p w14:paraId="391278C2">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预付款担保的形式为：</w:t>
      </w:r>
      <w:r>
        <w:rPr>
          <w:rFonts w:hint="eastAsia"/>
          <w:color w:val="000000" w:themeColor="text1"/>
          <w:szCs w:val="21"/>
          <w:highlight w:val="red"/>
          <w:u w:val="single"/>
          <w:lang w:val="en-US" w:eastAsia="zh-CN"/>
          <w14:textFill>
            <w14:solidFill>
              <w14:schemeClr w14:val="tx1"/>
            </w14:solidFill>
          </w14:textFill>
        </w:rPr>
        <w:t xml:space="preserve">   无    </w:t>
      </w:r>
      <w:r>
        <w:rPr>
          <w:rFonts w:hint="eastAsia" w:hAnsi="宋体" w:cs="宋体"/>
          <w:color w:val="000000" w:themeColor="text1"/>
          <w:szCs w:val="21"/>
          <w:highlight w:val="red"/>
          <w14:textFill>
            <w14:solidFill>
              <w14:schemeClr w14:val="tx1"/>
            </w14:solidFill>
          </w14:textFill>
        </w:rPr>
        <w:t>。</w:t>
      </w:r>
    </w:p>
    <w:p w14:paraId="4803E30F">
      <w:pPr>
        <w:spacing w:line="360" w:lineRule="auto"/>
        <w:ind w:firstLine="420" w:firstLineChars="200"/>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预付款担保格式见合同附件8。预付款支付申请（核准）表见合同附件10</w:t>
      </w:r>
    </w:p>
    <w:bookmarkEnd w:id="848"/>
    <w:bookmarkEnd w:id="849"/>
    <w:bookmarkEnd w:id="850"/>
    <w:bookmarkEnd w:id="851"/>
    <w:bookmarkEnd w:id="852"/>
    <w:bookmarkEnd w:id="853"/>
    <w:bookmarkEnd w:id="854"/>
    <w:bookmarkEnd w:id="855"/>
    <w:bookmarkEnd w:id="856"/>
    <w:bookmarkEnd w:id="857"/>
    <w:p w14:paraId="6087AB47">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61" w:name="_Toc407135254"/>
      <w:bookmarkStart w:id="862" w:name="_Toc78449840"/>
      <w:bookmarkStart w:id="863" w:name="_Toc389065316"/>
      <w:bookmarkStart w:id="864" w:name="_Toc114058891"/>
      <w:bookmarkStart w:id="865" w:name="_Toc373478398"/>
      <w:bookmarkStart w:id="866" w:name="_Toc373227751"/>
      <w:r>
        <w:rPr>
          <w:rFonts w:eastAsia="黑体"/>
          <w:b/>
          <w:bCs/>
          <w:color w:val="000000" w:themeColor="text1"/>
          <w:sz w:val="32"/>
          <w:szCs w:val="32"/>
          <w:highlight w:val="none"/>
          <w:lang w:val="zh-CN"/>
          <w14:textFill>
            <w14:solidFill>
              <w14:schemeClr w14:val="tx1"/>
            </w14:solidFill>
          </w14:textFill>
        </w:rPr>
        <w:t xml:space="preserve">12.3 </w:t>
      </w:r>
      <w:r>
        <w:rPr>
          <w:rFonts w:hint="eastAsia" w:hAnsi="宋体" w:eastAsia="黑体" w:cs="黑体"/>
          <w:b/>
          <w:bCs/>
          <w:color w:val="000000" w:themeColor="text1"/>
          <w:sz w:val="32"/>
          <w:szCs w:val="32"/>
          <w:highlight w:val="none"/>
          <w:lang w:val="zh-CN"/>
          <w14:textFill>
            <w14:solidFill>
              <w14:schemeClr w14:val="tx1"/>
            </w14:solidFill>
          </w14:textFill>
        </w:rPr>
        <w:t>计量</w:t>
      </w:r>
      <w:bookmarkEnd w:id="861"/>
      <w:bookmarkEnd w:id="862"/>
      <w:bookmarkEnd w:id="863"/>
      <w:bookmarkEnd w:id="864"/>
      <w:bookmarkEnd w:id="865"/>
      <w:bookmarkEnd w:id="866"/>
    </w:p>
    <w:p w14:paraId="6886971D">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12.3.1 </w:t>
      </w:r>
      <w:r>
        <w:rPr>
          <w:rFonts w:hint="eastAsia" w:hAnsi="宋体" w:cs="宋体"/>
          <w:color w:val="000000" w:themeColor="text1"/>
          <w:szCs w:val="21"/>
          <w:highlight w:val="none"/>
          <w14:textFill>
            <w14:solidFill>
              <w14:schemeClr w14:val="tx1"/>
            </w14:solidFill>
          </w14:textFill>
        </w:rPr>
        <w:t>计量原则</w:t>
      </w:r>
    </w:p>
    <w:p w14:paraId="792C31FA">
      <w:pPr>
        <w:spacing w:line="360" w:lineRule="auto"/>
        <w:ind w:firstLine="420" w:firstLineChars="200"/>
        <w:jc w:val="left"/>
        <w:rPr>
          <w:rFonts w:ascii="宋体" w:hAnsi="宋体"/>
          <w:color w:val="000000" w:themeColor="text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工程量计算规则：</w:t>
      </w:r>
      <w:r>
        <w:rPr>
          <w:rFonts w:hint="eastAsia" w:hAnsi="宋体" w:cs="宋体"/>
          <w:color w:val="000000" w:themeColor="text1"/>
          <w:szCs w:val="21"/>
          <w:highlight w:val="none"/>
          <w:u w:val="single"/>
          <w14:textFill>
            <w14:solidFill>
              <w14:schemeClr w14:val="tx1"/>
            </w14:solidFill>
          </w14:textFill>
        </w:rPr>
        <w:t>工程的计量均以《建设工程工程量清单计价规范》（</w:t>
      </w:r>
      <w:r>
        <w:rPr>
          <w:color w:val="000000" w:themeColor="text1"/>
          <w:szCs w:val="21"/>
          <w:highlight w:val="none"/>
          <w:u w:val="single"/>
          <w14:textFill>
            <w14:solidFill>
              <w14:schemeClr w14:val="tx1"/>
            </w14:solidFill>
          </w14:textFill>
        </w:rPr>
        <w:t>GB50500</w:t>
      </w:r>
      <w:r>
        <w:rPr>
          <w:rFonts w:hint="eastAsia" w:hAnsi="宋体" w:cs="宋体"/>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2013</w:t>
      </w:r>
      <w:r>
        <w:rPr>
          <w:rFonts w:hint="eastAsia" w:hAnsi="宋体" w:cs="宋体"/>
          <w:color w:val="000000" w:themeColor="text1"/>
          <w:szCs w:val="21"/>
          <w:highlight w:val="none"/>
          <w:u w:val="single"/>
          <w14:textFill>
            <w14:solidFill>
              <w14:schemeClr w14:val="tx1"/>
            </w14:solidFill>
          </w14:textFill>
        </w:rPr>
        <w:t>）及广西壮族自治区实施细则、《建设工程工程量清单计算规范》（</w:t>
      </w:r>
      <w:r>
        <w:rPr>
          <w:color w:val="000000" w:themeColor="text1"/>
          <w:szCs w:val="21"/>
          <w:highlight w:val="none"/>
          <w:u w:val="single"/>
          <w14:textFill>
            <w14:solidFill>
              <w14:schemeClr w14:val="tx1"/>
            </w14:solidFill>
          </w14:textFill>
        </w:rPr>
        <w:t>GB50854~50862</w:t>
      </w:r>
      <w:r>
        <w:rPr>
          <w:rFonts w:hint="eastAsia" w:hAnsi="宋体" w:cs="宋体"/>
          <w:color w:val="000000" w:themeColor="text1"/>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2013</w:t>
      </w:r>
      <w:r>
        <w:rPr>
          <w:rFonts w:hint="eastAsia" w:hAnsi="宋体" w:cs="宋体"/>
          <w:color w:val="000000" w:themeColor="text1"/>
          <w:szCs w:val="21"/>
          <w:highlight w:val="none"/>
          <w:u w:val="single"/>
          <w14:textFill>
            <w14:solidFill>
              <w14:schemeClr w14:val="tx1"/>
            </w14:solidFill>
          </w14:textFill>
        </w:rPr>
        <w:t>）及广西实施细则、本工程补充项目清单为准。</w:t>
      </w:r>
      <w:r>
        <w:rPr>
          <w:rFonts w:hint="eastAsia" w:ascii="宋体" w:hAnsi="宋体"/>
          <w:b/>
          <w:bCs/>
          <w:color w:val="000000" w:themeColor="text1"/>
          <w:highlight w:val="none"/>
          <w:u w:val="single"/>
          <w14:textFill>
            <w14:solidFill>
              <w14:schemeClr w14:val="tx1"/>
            </w14:solidFill>
          </w14:textFill>
        </w:rPr>
        <w:t>如有不明之处，应以造价管理部门指定的计量方法为准。</w:t>
      </w:r>
      <w:r>
        <w:rPr>
          <w:rFonts w:hint="eastAsia" w:ascii="宋体" w:hAnsi="宋体"/>
          <w:color w:val="000000" w:themeColor="text1"/>
          <w:highlight w:val="none"/>
          <w:u w:val="single"/>
          <w14:textFill>
            <w14:solidFill>
              <w14:schemeClr w14:val="tx1"/>
            </w14:solidFill>
          </w14:textFill>
        </w:rPr>
        <w:t>除合同另有约定外，承包人实际完成的工程量按约定的工程量计算规则和有合同约束力的图纸进行计量。</w:t>
      </w:r>
    </w:p>
    <w:p w14:paraId="3756032D">
      <w:pPr>
        <w:spacing w:line="360" w:lineRule="auto"/>
        <w:ind w:firstLine="420" w:firstLineChars="200"/>
        <w:jc w:val="left"/>
        <w:rPr>
          <w:color w:val="000000" w:themeColor="text1"/>
          <w:szCs w:val="21"/>
          <w:highlight w:val="none"/>
          <w14:textFill>
            <w14:solidFill>
              <w14:schemeClr w14:val="tx1"/>
            </w14:solidFill>
          </w14:textFill>
        </w:rPr>
      </w:pPr>
    </w:p>
    <w:p w14:paraId="56DDA7EC">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12.3.2 </w:t>
      </w:r>
      <w:r>
        <w:rPr>
          <w:rFonts w:hint="eastAsia" w:hAnsi="宋体" w:cs="宋体"/>
          <w:color w:val="000000" w:themeColor="text1"/>
          <w:szCs w:val="21"/>
          <w:highlight w:val="none"/>
          <w14:textFill>
            <w14:solidFill>
              <w14:schemeClr w14:val="tx1"/>
            </w14:solidFill>
          </w14:textFill>
        </w:rPr>
        <w:t>计量周期</w:t>
      </w:r>
    </w:p>
    <w:p w14:paraId="19F6DFB2">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关于计量周期的约定：按预付款和进度款支付节点的约定进行支付。</w:t>
      </w:r>
    </w:p>
    <w:p w14:paraId="2FE0B156">
      <w:pPr>
        <w:spacing w:line="360" w:lineRule="auto"/>
        <w:ind w:firstLine="420" w:firstLineChars="200"/>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12.3.3 </w:t>
      </w:r>
      <w:r>
        <w:rPr>
          <w:rFonts w:hint="eastAsia" w:hAnsi="宋体" w:cs="宋体"/>
          <w:color w:val="000000" w:themeColor="text1"/>
          <w:szCs w:val="21"/>
          <w:highlight w:val="none"/>
          <w14:textFill>
            <w14:solidFill>
              <w14:schemeClr w14:val="tx1"/>
            </w14:solidFill>
          </w14:textFill>
        </w:rPr>
        <w:t>单价合同的计量</w:t>
      </w:r>
    </w:p>
    <w:p w14:paraId="61114BC0">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关于单价合同计量的约定：</w:t>
      </w:r>
    </w:p>
    <w:p w14:paraId="625D5E94">
      <w:pPr>
        <w:spacing w:line="360" w:lineRule="auto"/>
        <w:ind w:firstLine="441" w:firstLineChars="21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 </w:t>
      </w:r>
      <w:r>
        <w:rPr>
          <w:rFonts w:hint="eastAsia" w:hAnsi="宋体" w:cs="宋体"/>
          <w:color w:val="000000" w:themeColor="text1"/>
          <w:szCs w:val="21"/>
          <w:highlight w:val="none"/>
          <w14:textFill>
            <w14:solidFill>
              <w14:schemeClr w14:val="tx1"/>
            </w14:solidFill>
          </w14:textFill>
        </w:rPr>
        <w:t>工程量清单所列的工程量，不能作为承包人按合同履行其责任依据，实际施工中发生的工程量增加或减少并不影响承包人履行合同的责任，工程结算以完成的实际工程量为准。</w:t>
      </w:r>
    </w:p>
    <w:p w14:paraId="38A2479D">
      <w:pPr>
        <w:spacing w:line="360" w:lineRule="auto"/>
        <w:ind w:firstLine="441" w:firstLineChars="21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 </w:t>
      </w:r>
      <w:r>
        <w:rPr>
          <w:rFonts w:hint="eastAsia" w:hAnsi="宋体" w:cs="宋体"/>
          <w:color w:val="000000" w:themeColor="text1"/>
          <w:szCs w:val="21"/>
          <w:highlight w:val="none"/>
          <w14:textFill>
            <w14:solidFill>
              <w14:schemeClr w14:val="tx1"/>
            </w14:solidFill>
          </w14:textFill>
        </w:rPr>
        <w:t>除另有规定外，工程师应按照合同通过计量来核实确定已完成的工程量和价款，承包人应得到该价款扣除保留金后的金额。当工程师要对已完工的工程量进行计量时，应适时地通知承包人参加。</w:t>
      </w:r>
    </w:p>
    <w:p w14:paraId="1D2E933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12.3.4 </w:t>
      </w:r>
      <w:r>
        <w:rPr>
          <w:rFonts w:hint="eastAsia" w:hAnsi="宋体" w:cs="宋体"/>
          <w:color w:val="000000" w:themeColor="text1"/>
          <w:szCs w:val="21"/>
          <w:highlight w:val="none"/>
          <w14:textFill>
            <w14:solidFill>
              <w14:schemeClr w14:val="tx1"/>
            </w14:solidFill>
          </w14:textFill>
        </w:rPr>
        <w:t>总价合同的计量</w:t>
      </w:r>
    </w:p>
    <w:p w14:paraId="7A561A79">
      <w:pPr>
        <w:spacing w:line="360" w:lineRule="auto"/>
        <w:ind w:firstLine="420" w:firstLineChars="200"/>
        <w:jc w:val="left"/>
        <w:rPr>
          <w:rFonts w:cs="宋体"/>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（1）总价合同计量约定：</w:t>
      </w:r>
      <w:r>
        <w:rPr>
          <w:rFonts w:hint="eastAsia" w:hAnsi="宋体" w:cs="宋体"/>
          <w:color w:val="000000" w:themeColor="text1"/>
          <w:szCs w:val="21"/>
          <w:highlight w:val="none"/>
          <w14:textFill>
            <w14:solidFill>
              <w14:schemeClr w14:val="tx1"/>
            </w14:solidFill>
          </w14:textFill>
        </w:rPr>
        <w:t>进度款按支付分解表支付</w:t>
      </w:r>
      <w:r>
        <w:rPr>
          <w:rFonts w:hint="eastAsia" w:ascii="宋体" w:hAnsi="宋体" w:cs="宋体"/>
          <w:color w:val="000000" w:themeColor="text1"/>
          <w:kern w:val="0"/>
          <w:szCs w:val="21"/>
          <w:highlight w:val="none"/>
          <w14:textFill>
            <w14:solidFill>
              <w14:schemeClr w14:val="tx1"/>
            </w14:solidFill>
          </w14:textFill>
        </w:rPr>
        <w:t>，</w:t>
      </w:r>
      <w:r>
        <w:rPr>
          <w:rFonts w:hint="eastAsia" w:cs="宋体"/>
          <w:color w:val="000000" w:themeColor="text1"/>
          <w:szCs w:val="21"/>
          <w:highlight w:val="none"/>
          <w14:textFill>
            <w14:solidFill>
              <w14:schemeClr w14:val="tx1"/>
            </w14:solidFill>
          </w14:textFill>
        </w:rPr>
        <w:t>支付分解表在招标完成后签合同之前制定，具体详见本专用合同条款12.4.6。</w:t>
      </w:r>
    </w:p>
    <w:p w14:paraId="7D3482A3">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12.3.6 </w:t>
      </w:r>
      <w:r>
        <w:rPr>
          <w:rFonts w:hint="eastAsia" w:hAnsi="宋体" w:cs="宋体"/>
          <w:color w:val="000000" w:themeColor="text1"/>
          <w:szCs w:val="21"/>
          <w:highlight w:val="none"/>
          <w14:textFill>
            <w14:solidFill>
              <w14:schemeClr w14:val="tx1"/>
            </w14:solidFill>
          </w14:textFill>
        </w:rPr>
        <w:t>其他价格形式合同的计量</w:t>
      </w:r>
    </w:p>
    <w:p w14:paraId="437BE743">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其他价格形式的计量方式和程序：。</w:t>
      </w:r>
    </w:p>
    <w:p w14:paraId="65559EF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867" w:name="_Toc373227752"/>
      <w:bookmarkStart w:id="868" w:name="_Toc78449841"/>
      <w:bookmarkStart w:id="869" w:name="_Toc373478399"/>
      <w:bookmarkStart w:id="870" w:name="_Toc114058892"/>
      <w:bookmarkStart w:id="871" w:name="_Toc407135255"/>
      <w:bookmarkStart w:id="872" w:name="_Toc389065317"/>
      <w:r>
        <w:rPr>
          <w:rFonts w:eastAsia="黑体"/>
          <w:b/>
          <w:bCs/>
          <w:color w:val="000000" w:themeColor="text1"/>
          <w:sz w:val="32"/>
          <w:szCs w:val="32"/>
          <w:highlight w:val="none"/>
          <w:lang w:val="zh-CN"/>
          <w14:textFill>
            <w14:solidFill>
              <w14:schemeClr w14:val="tx1"/>
            </w14:solidFill>
          </w14:textFill>
        </w:rPr>
        <w:t xml:space="preserve">12.4 </w:t>
      </w:r>
      <w:r>
        <w:rPr>
          <w:rFonts w:hint="eastAsia" w:eastAsia="黑体" w:cs="黑体"/>
          <w:b/>
          <w:bCs/>
          <w:color w:val="000000" w:themeColor="text1"/>
          <w:sz w:val="32"/>
          <w:szCs w:val="32"/>
          <w:highlight w:val="none"/>
          <w:lang w:val="zh-CN"/>
          <w14:textFill>
            <w14:solidFill>
              <w14:schemeClr w14:val="tx1"/>
            </w14:solidFill>
          </w14:textFill>
        </w:rPr>
        <w:t>工程进度款支付</w:t>
      </w:r>
      <w:bookmarkEnd w:id="867"/>
      <w:bookmarkEnd w:id="868"/>
      <w:bookmarkEnd w:id="869"/>
      <w:bookmarkEnd w:id="870"/>
      <w:bookmarkEnd w:id="871"/>
      <w:bookmarkEnd w:id="872"/>
    </w:p>
    <w:p w14:paraId="072E25CD">
      <w:pPr>
        <w:spacing w:line="360" w:lineRule="auto"/>
        <w:ind w:firstLine="420" w:firstLineChars="200"/>
        <w:jc w:val="left"/>
        <w:rPr>
          <w:color w:val="000000" w:themeColor="text1"/>
          <w:szCs w:val="21"/>
          <w:highlight w:val="none"/>
          <w14:textFill>
            <w14:solidFill>
              <w14:schemeClr w14:val="tx1"/>
            </w14:solidFill>
          </w14:textFill>
        </w:rPr>
      </w:pPr>
      <w:bookmarkStart w:id="873" w:name="_Toc296944550"/>
      <w:bookmarkStart w:id="874" w:name="_Toc292559921"/>
      <w:bookmarkStart w:id="875" w:name="_Toc297048397"/>
      <w:bookmarkStart w:id="876" w:name="_Toc296503211"/>
      <w:bookmarkStart w:id="877" w:name="_Toc292559416"/>
      <w:bookmarkStart w:id="878" w:name="_Toc297123556"/>
      <w:bookmarkStart w:id="879" w:name="_Toc296891251"/>
      <w:bookmarkStart w:id="880" w:name="_Toc303539163"/>
      <w:bookmarkStart w:id="881" w:name="_Toc300935006"/>
      <w:bookmarkStart w:id="882" w:name="_Toc297216215"/>
      <w:bookmarkStart w:id="883" w:name="_Toc296891039"/>
      <w:bookmarkStart w:id="884" w:name="_Toc297120511"/>
      <w:bookmarkStart w:id="885" w:name="_Toc296347210"/>
      <w:bookmarkStart w:id="886" w:name="_Toc296346712"/>
      <w:r>
        <w:rPr>
          <w:color w:val="000000" w:themeColor="text1"/>
          <w:szCs w:val="21"/>
          <w:highlight w:val="none"/>
          <w14:textFill>
            <w14:solidFill>
              <w14:schemeClr w14:val="tx1"/>
            </w14:solidFill>
          </w14:textFill>
        </w:rPr>
        <w:t xml:space="preserve">12.4.1 </w:t>
      </w:r>
      <w:r>
        <w:rPr>
          <w:rFonts w:hAnsi="宋体"/>
          <w:color w:val="000000" w:themeColor="text1"/>
          <w:szCs w:val="21"/>
          <w:highlight w:val="none"/>
          <w14:textFill>
            <w14:solidFill>
              <w14:schemeClr w14:val="tx1"/>
            </w14:solidFill>
          </w14:textFill>
        </w:rPr>
        <w:t>付款周期</w:t>
      </w:r>
    </w:p>
    <w:p w14:paraId="1D51523B">
      <w:pP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关于付款的约定：</w:t>
      </w:r>
    </w:p>
    <w:p w14:paraId="5080F1C5">
      <w:pPr>
        <w:spacing w:line="360" w:lineRule="auto"/>
        <w:ind w:firstLine="420" w:firstLineChars="200"/>
        <w:rPr>
          <w:rFonts w:ascii="宋体"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（1）</w:t>
      </w:r>
      <w:r>
        <w:rPr>
          <w:rFonts w:hint="eastAsia" w:ascii="宋体" w:hAnsi="宋体" w:cs="宋体"/>
          <w:bCs/>
          <w:color w:val="000000" w:themeColor="text1"/>
          <w:szCs w:val="21"/>
          <w:highlight w:val="red"/>
          <w:u w:val="single"/>
          <w14:textFill>
            <w14:solidFill>
              <w14:schemeClr w14:val="tx1"/>
            </w14:solidFill>
          </w14:textFill>
        </w:rPr>
        <w:t>工程进度款按月支付，合同内工程进度款支付额为当月实际已完成工程量价款的90%；合同外新增工程量按实际完成工程量价款的60%支付进度款</w:t>
      </w:r>
      <w:r>
        <w:rPr>
          <w:rFonts w:hint="eastAsia" w:ascii="宋体" w:hAnsi="宋体" w:cs="宋体"/>
          <w:bCs/>
          <w:color w:val="000000" w:themeColor="text1"/>
          <w:szCs w:val="21"/>
          <w:highlight w:val="none"/>
          <w:u w:val="single"/>
          <w14:textFill>
            <w14:solidFill>
              <w14:schemeClr w14:val="tx1"/>
            </w14:solidFill>
          </w14:textFill>
        </w:rPr>
        <w:t>；</w:t>
      </w:r>
    </w:p>
    <w:p w14:paraId="04631DC1">
      <w:pPr>
        <w:spacing w:line="360" w:lineRule="auto"/>
        <w:ind w:firstLine="420" w:firstLineChars="200"/>
        <w:rPr>
          <w:rFonts w:hAnsi="宋体" w:cs="宋体"/>
          <w:bCs/>
          <w:color w:val="000000" w:themeColor="text1"/>
          <w:szCs w:val="21"/>
          <w:highlight w:val="none"/>
          <w:u w:val="single"/>
          <w14:textFill>
            <w14:solidFill>
              <w14:schemeClr w14:val="tx1"/>
            </w14:solidFill>
          </w14:textFill>
        </w:rPr>
      </w:pPr>
      <w:r>
        <w:rPr>
          <w:rFonts w:hint="eastAsia" w:ascii="宋体" w:hAnsi="宋体" w:cs="宋体"/>
          <w:bCs/>
          <w:color w:val="000000" w:themeColor="text1"/>
          <w:szCs w:val="21"/>
          <w:highlight w:val="none"/>
          <w:u w:val="single"/>
          <w14:textFill>
            <w14:solidFill>
              <w14:schemeClr w14:val="tx1"/>
            </w14:solidFill>
          </w14:textFill>
        </w:rPr>
        <w:t>（2）</w:t>
      </w:r>
      <w:r>
        <w:rPr>
          <w:rFonts w:hint="eastAsia" w:ascii="宋体" w:hAnsi="宋体" w:cs="宋体"/>
          <w:bCs/>
          <w:color w:val="000000" w:themeColor="text1"/>
          <w:szCs w:val="21"/>
          <w:highlight w:val="red"/>
          <w:u w:val="single"/>
          <w14:textFill>
            <w14:solidFill>
              <w14:schemeClr w14:val="tx1"/>
            </w14:solidFill>
          </w14:textFill>
        </w:rPr>
        <w:t>工程竣工验收合格</w:t>
      </w:r>
      <w:r>
        <w:rPr>
          <w:rFonts w:hint="eastAsia" w:ascii="宋体" w:hAnsi="宋体" w:cs="宋体"/>
          <w:bCs/>
          <w:color w:val="000000" w:themeColor="text1"/>
          <w:szCs w:val="21"/>
          <w:highlight w:val="red"/>
          <w:u w:val="single"/>
          <w:lang w:eastAsia="zh-CN"/>
          <w14:textFill>
            <w14:solidFill>
              <w14:schemeClr w14:val="tx1"/>
            </w14:solidFill>
          </w14:textFill>
        </w:rPr>
        <w:t>，</w:t>
      </w:r>
      <w:r>
        <w:rPr>
          <w:rFonts w:hint="eastAsia" w:ascii="宋体" w:hAnsi="宋体" w:cs="宋体"/>
          <w:bCs/>
          <w:color w:val="000000" w:themeColor="text1"/>
          <w:szCs w:val="21"/>
          <w:highlight w:val="none"/>
          <w:u w:val="single"/>
          <w14:textFill>
            <w14:solidFill>
              <w14:schemeClr w14:val="tx1"/>
            </w14:solidFill>
          </w14:textFill>
        </w:rPr>
        <w:t>经第三方工程结算审计审定后，工程款支付至结算总价的97%，预留结算总价的3%为质量保证金，缺陷责任期结束后，成交供应商提交请款材料经审查合格后</w:t>
      </w:r>
      <w:r>
        <w:rPr>
          <w:rFonts w:hint="eastAsia" w:ascii="宋体" w:hAnsi="宋体" w:cs="宋体"/>
          <w:bCs/>
          <w:color w:val="000000" w:themeColor="text1"/>
          <w:szCs w:val="21"/>
          <w:highlight w:val="red"/>
          <w:u w:val="single"/>
          <w:lang w:val="en-US" w:eastAsia="zh-CN"/>
          <w14:textFill>
            <w14:solidFill>
              <w14:schemeClr w14:val="tx1"/>
            </w14:solidFill>
          </w14:textFill>
        </w:rPr>
        <w:t>30</w:t>
      </w:r>
      <w:r>
        <w:rPr>
          <w:rFonts w:hint="eastAsia" w:ascii="宋体" w:hAnsi="宋体" w:cs="宋体"/>
          <w:bCs/>
          <w:color w:val="000000" w:themeColor="text1"/>
          <w:szCs w:val="21"/>
          <w:highlight w:val="none"/>
          <w:u w:val="single"/>
          <w14:textFill>
            <w14:solidFill>
              <w14:schemeClr w14:val="tx1"/>
            </w14:solidFill>
          </w14:textFill>
        </w:rPr>
        <w:t>个工作日内支付。</w:t>
      </w:r>
    </w:p>
    <w:p w14:paraId="6C579D91">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12.4.2 </w:t>
      </w:r>
      <w:r>
        <w:rPr>
          <w:rFonts w:hAnsi="宋体"/>
          <w:color w:val="000000" w:themeColor="text1"/>
          <w:szCs w:val="21"/>
          <w:highlight w:val="none"/>
          <w14:textFill>
            <w14:solidFill>
              <w14:schemeClr w14:val="tx1"/>
            </w14:solidFill>
          </w14:textFill>
        </w:rPr>
        <w:t>进度付款申请单的编制</w:t>
      </w:r>
    </w:p>
    <w:p w14:paraId="7EB75DB8">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关于进度付款申请单编制的约定：</w:t>
      </w:r>
      <w:r>
        <w:rPr>
          <w:rFonts w:hint="eastAsia"/>
          <w:color w:val="000000" w:themeColor="text1"/>
          <w:szCs w:val="21"/>
          <w:highlight w:val="none"/>
          <w:u w:val="single"/>
          <w14:textFill>
            <w14:solidFill>
              <w14:schemeClr w14:val="tx1"/>
            </w14:solidFill>
          </w14:textFill>
        </w:rPr>
        <w:t>按发包人提供的工程款进度付款申请材料格式和内容填报</w:t>
      </w:r>
      <w:r>
        <w:rPr>
          <w:rFonts w:hAnsi="宋体"/>
          <w:color w:val="000000" w:themeColor="text1"/>
          <w:szCs w:val="21"/>
          <w:highlight w:val="none"/>
          <w14:textFill>
            <w14:solidFill>
              <w14:schemeClr w14:val="tx1"/>
            </w14:solidFill>
          </w14:textFill>
        </w:rPr>
        <w:t>。</w:t>
      </w:r>
    </w:p>
    <w:p w14:paraId="27B65C4E">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r>
        <w:rPr>
          <w:color w:val="000000" w:themeColor="text1"/>
          <w:szCs w:val="21"/>
          <w:highlight w:val="none"/>
          <w14:textFill>
            <w14:solidFill>
              <w14:schemeClr w14:val="tx1"/>
            </w14:solidFill>
          </w14:textFill>
        </w:rPr>
        <w:t xml:space="preserve">2.4.3 </w:t>
      </w:r>
      <w:r>
        <w:rPr>
          <w:rFonts w:hAnsi="宋体"/>
          <w:color w:val="000000" w:themeColor="text1"/>
          <w:szCs w:val="21"/>
          <w:highlight w:val="none"/>
          <w14:textFill>
            <w14:solidFill>
              <w14:schemeClr w14:val="tx1"/>
            </w14:solidFill>
          </w14:textFill>
        </w:rPr>
        <w:t>进度付款申请单的提交</w:t>
      </w:r>
    </w:p>
    <w:p w14:paraId="3E4F0B9F">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Ansi="宋体"/>
          <w:color w:val="000000" w:themeColor="text1"/>
          <w:szCs w:val="21"/>
          <w:highlight w:val="none"/>
          <w14:textFill>
            <w14:solidFill>
              <w14:schemeClr w14:val="tx1"/>
            </w14:solidFill>
          </w14:textFill>
        </w:rPr>
        <w:t>）单价合同进度付款申请单提交的约定：</w:t>
      </w:r>
      <w:r>
        <w:rPr>
          <w:rFonts w:hint="eastAsia" w:hAnsi="宋体"/>
          <w:bCs/>
          <w:color w:val="000000" w:themeColor="text1"/>
          <w:szCs w:val="21"/>
          <w:highlight w:val="none"/>
          <w:u w:val="single"/>
          <w14:textFill>
            <w14:solidFill>
              <w14:schemeClr w14:val="tx1"/>
            </w14:solidFill>
          </w14:textFill>
        </w:rPr>
        <w:t>申请工程进度款时，承包人应配合发包人提供以下资料</w:t>
      </w:r>
      <w:r>
        <w:rPr>
          <w:rFonts w:hint="eastAsia"/>
          <w:bCs/>
          <w:color w:val="000000" w:themeColor="text1"/>
          <w:szCs w:val="21"/>
          <w:highlight w:val="none"/>
          <w:u w:val="single"/>
          <w14:textFill>
            <w14:solidFill>
              <w14:schemeClr w14:val="tx1"/>
            </w14:solidFill>
          </w14:textFill>
        </w:rPr>
        <w:t>①《工程用款支付证书》；②已完工程量计算书；③监理审核计算书；④其他需要补充说明的材料；⑤若乙方账户变动，则须提交账户变更信息</w:t>
      </w:r>
      <w:r>
        <w:rPr>
          <w:rFonts w:hAnsi="宋体"/>
          <w:color w:val="000000" w:themeColor="text1"/>
          <w:szCs w:val="21"/>
          <w:highlight w:val="none"/>
          <w14:textFill>
            <w14:solidFill>
              <w14:schemeClr w14:val="tx1"/>
            </w14:solidFill>
          </w14:textFill>
        </w:rPr>
        <w:t>。</w:t>
      </w:r>
    </w:p>
    <w:p w14:paraId="0F92AA2B">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Ansi="宋体"/>
          <w:color w:val="000000" w:themeColor="text1"/>
          <w:szCs w:val="21"/>
          <w:highlight w:val="none"/>
          <w14:textFill>
            <w14:solidFill>
              <w14:schemeClr w14:val="tx1"/>
            </w14:solidFill>
          </w14:textFill>
        </w:rPr>
        <w:t>）总价合同进度付款申请单提交的约定：</w:t>
      </w:r>
      <w:r>
        <w:rPr>
          <w:rFonts w:hint="eastAsia"/>
          <w:color w:val="000000" w:themeColor="text1"/>
          <w:szCs w:val="21"/>
          <w:highlight w:val="none"/>
          <w:u w:val="single"/>
          <w14:textFill>
            <w14:solidFill>
              <w14:schemeClr w14:val="tx1"/>
            </w14:solidFill>
          </w14:textFill>
        </w:rPr>
        <w:t>/</w:t>
      </w:r>
      <w:r>
        <w:rPr>
          <w:rFonts w:hAnsi="宋体"/>
          <w:color w:val="000000" w:themeColor="text1"/>
          <w:szCs w:val="21"/>
          <w:highlight w:val="none"/>
          <w14:textFill>
            <w14:solidFill>
              <w14:schemeClr w14:val="tx1"/>
            </w14:solidFill>
          </w14:textFill>
        </w:rPr>
        <w:t>。</w:t>
      </w:r>
    </w:p>
    <w:p w14:paraId="7973647E">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Ansi="宋体"/>
          <w:color w:val="000000" w:themeColor="text1"/>
          <w:szCs w:val="21"/>
          <w:highlight w:val="none"/>
          <w14:textFill>
            <w14:solidFill>
              <w14:schemeClr w14:val="tx1"/>
            </w14:solidFill>
          </w14:textFill>
        </w:rPr>
        <w:t>）其他价格形式合同进度付款申请单提交的约定：。</w:t>
      </w:r>
    </w:p>
    <w:p w14:paraId="395D912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12.4.4 </w:t>
      </w:r>
      <w:r>
        <w:rPr>
          <w:rFonts w:hAnsi="宋体"/>
          <w:color w:val="000000" w:themeColor="text1"/>
          <w:szCs w:val="21"/>
          <w:highlight w:val="none"/>
          <w14:textFill>
            <w14:solidFill>
              <w14:schemeClr w14:val="tx1"/>
            </w14:solidFill>
          </w14:textFill>
        </w:rPr>
        <w:t>进度款审核和支付</w:t>
      </w:r>
    </w:p>
    <w:p w14:paraId="7719F17F">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Ansi="宋体"/>
          <w:color w:val="000000" w:themeColor="text1"/>
          <w:szCs w:val="21"/>
          <w:highlight w:val="none"/>
          <w14:textFill>
            <w14:solidFill>
              <w14:schemeClr w14:val="tx1"/>
            </w14:solidFill>
          </w14:textFill>
        </w:rPr>
        <w:t>）监理人审查并报送发包人的期限：</w:t>
      </w:r>
      <w:r>
        <w:rPr>
          <w:rFonts w:hint="eastAsia"/>
          <w:color w:val="000000" w:themeColor="text1"/>
          <w:szCs w:val="21"/>
          <w:highlight w:val="none"/>
          <w:u w:val="single"/>
          <w14:textFill>
            <w14:solidFill>
              <w14:schemeClr w14:val="tx1"/>
            </w14:solidFill>
          </w14:textFill>
        </w:rPr>
        <w:t>每月25日送达发包人</w:t>
      </w:r>
      <w:r>
        <w:rPr>
          <w:rFonts w:hAnsi="宋体"/>
          <w:color w:val="000000" w:themeColor="text1"/>
          <w:szCs w:val="21"/>
          <w:highlight w:val="none"/>
          <w14:textFill>
            <w14:solidFill>
              <w14:schemeClr w14:val="tx1"/>
            </w14:solidFill>
          </w14:textFill>
        </w:rPr>
        <w:t>。</w:t>
      </w:r>
    </w:p>
    <w:p w14:paraId="20372D23">
      <w:pPr>
        <w:spacing w:line="360" w:lineRule="auto"/>
        <w:ind w:firstLine="420" w:firstLineChars="200"/>
        <w:jc w:val="left"/>
        <w:rPr>
          <w:color w:val="000000" w:themeColor="text1"/>
          <w:szCs w:val="21"/>
          <w:highlight w:val="none"/>
          <w14:textFill>
            <w14:solidFill>
              <w14:schemeClr w14:val="tx1"/>
            </w14:solidFill>
          </w14:textFill>
        </w:rPr>
      </w:pPr>
      <w:r>
        <w:rPr>
          <w:rFonts w:ascii="Calibri" w:hAnsi="宋体"/>
          <w:color w:val="000000" w:themeColor="text1"/>
          <w:szCs w:val="21"/>
          <w:highlight w:val="none"/>
          <w14:textFill>
            <w14:solidFill>
              <w14:schemeClr w14:val="tx1"/>
            </w14:solidFill>
          </w14:textFill>
        </w:rPr>
        <w:t>（</w:t>
      </w:r>
      <w:r>
        <w:rPr>
          <w:rFonts w:ascii="Calibri" w:hAnsi="Calibri"/>
          <w:color w:val="000000" w:themeColor="text1"/>
          <w:szCs w:val="21"/>
          <w:highlight w:val="none"/>
          <w14:textFill>
            <w14:solidFill>
              <w14:schemeClr w14:val="tx1"/>
            </w14:solidFill>
          </w14:textFill>
        </w:rPr>
        <w:t>2</w:t>
      </w:r>
      <w:r>
        <w:rPr>
          <w:rFonts w:ascii="Calibri" w:hAnsi="宋体"/>
          <w:color w:val="000000" w:themeColor="text1"/>
          <w:szCs w:val="21"/>
          <w:highlight w:val="none"/>
          <w14:textFill>
            <w14:solidFill>
              <w14:schemeClr w14:val="tx1"/>
            </w14:solidFill>
          </w14:textFill>
        </w:rPr>
        <w:t>）发包人支付进度款的期限：</w:t>
      </w:r>
      <w:r>
        <w:rPr>
          <w:rFonts w:hint="eastAsia" w:ascii="宋体" w:hAnsi="宋体" w:cs="宋体"/>
          <w:color w:val="000000" w:themeColor="text1"/>
          <w:szCs w:val="21"/>
          <w:highlight w:val="none"/>
          <w:u w:val="single"/>
          <w14:textFill>
            <w14:solidFill>
              <w14:schemeClr w14:val="tx1"/>
            </w14:solidFill>
          </w14:textFill>
        </w:rPr>
        <w:t>发包人按月完成审批并签发进度款支付证书，进度款的支付按本专用条款12.4.1的约定支付</w:t>
      </w:r>
      <w:r>
        <w:rPr>
          <w:rFonts w:hint="eastAsia" w:ascii="宋体" w:hAnsi="宋体" w:cs="宋体"/>
          <w:color w:val="000000" w:themeColor="text1"/>
          <w:szCs w:val="21"/>
          <w:highlight w:val="none"/>
          <w14:textFill>
            <w14:solidFill>
              <w14:schemeClr w14:val="tx1"/>
            </w14:solidFill>
          </w14:textFill>
        </w:rPr>
        <w:t>。</w:t>
      </w:r>
    </w:p>
    <w:p w14:paraId="5C4353BF">
      <w:pPr>
        <w:spacing w:line="360" w:lineRule="auto"/>
        <w:ind w:firstLine="525" w:firstLineChars="25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发包人逾期支付进度款的违约金的计算方式：</w:t>
      </w:r>
      <w:r>
        <w:rPr>
          <w:rFonts w:hint="eastAsia"/>
          <w:color w:val="000000" w:themeColor="text1"/>
          <w:szCs w:val="21"/>
          <w:highlight w:val="none"/>
          <w:u w:val="single"/>
          <w14:textFill>
            <w14:solidFill>
              <w14:schemeClr w14:val="tx1"/>
            </w14:solidFill>
          </w14:textFill>
        </w:rPr>
        <w:t>无</w:t>
      </w:r>
      <w:r>
        <w:rPr>
          <w:rFonts w:hAnsi="宋体"/>
          <w:color w:val="000000" w:themeColor="text1"/>
          <w:szCs w:val="21"/>
          <w:highlight w:val="none"/>
          <w14:textFill>
            <w14:solidFill>
              <w14:schemeClr w14:val="tx1"/>
            </w14:solidFill>
          </w14:textFill>
        </w:rPr>
        <w:t>。</w:t>
      </w:r>
    </w:p>
    <w:p w14:paraId="79726CAD">
      <w:pPr>
        <w:spacing w:line="360" w:lineRule="auto"/>
        <w:ind w:firstLine="525" w:firstLineChars="250"/>
        <w:jc w:val="left"/>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进度款支付方式：</w:t>
      </w:r>
      <w:r>
        <w:rPr>
          <w:rFonts w:hAnsi="宋体"/>
          <w:color w:val="000000" w:themeColor="text1"/>
          <w:szCs w:val="21"/>
          <w:highlight w:val="none"/>
          <w:u w:val="single"/>
          <w14:textFill>
            <w14:solidFill>
              <w14:schemeClr w14:val="tx1"/>
            </w14:solidFill>
          </w14:textFill>
        </w:rPr>
        <w:t>银行转账</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承包人申请进度款之前需提供合法合规的本次申请款项额度的发票。</w:t>
      </w:r>
    </w:p>
    <w:p w14:paraId="67470FE4">
      <w:pPr>
        <w:spacing w:line="360" w:lineRule="auto"/>
        <w:ind w:firstLine="525" w:firstLineChars="250"/>
        <w:jc w:val="left"/>
        <w:rPr>
          <w:rFonts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 农民工工资支付</w:t>
      </w:r>
    </w:p>
    <w:p w14:paraId="0DA9CC4C">
      <w:pPr>
        <w:spacing w:line="360" w:lineRule="auto"/>
        <w:ind w:firstLine="525" w:firstLineChars="250"/>
        <w:jc w:val="left"/>
        <w:rPr>
          <w:rFonts w:hAnsi="宋体" w:cs="宋体"/>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按南宁市相关要求执行。</w:t>
      </w:r>
    </w:p>
    <w:p w14:paraId="6BC77BB3">
      <w:pPr>
        <w:spacing w:line="360" w:lineRule="auto"/>
        <w:ind w:firstLine="525" w:firstLineChars="25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12.4.6 </w:t>
      </w:r>
      <w:r>
        <w:rPr>
          <w:rFonts w:hint="eastAsia" w:hAnsi="宋体" w:cs="宋体"/>
          <w:color w:val="000000" w:themeColor="text1"/>
          <w:szCs w:val="21"/>
          <w:highlight w:val="none"/>
          <w14:textFill>
            <w14:solidFill>
              <w14:schemeClr w14:val="tx1"/>
            </w14:solidFill>
          </w14:textFill>
        </w:rPr>
        <w:t>支付分解表的编制</w:t>
      </w:r>
    </w:p>
    <w:p w14:paraId="2A720E40">
      <w:pPr>
        <w:spacing w:line="360" w:lineRule="auto"/>
        <w:ind w:firstLine="525" w:firstLineChars="25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总价合同支付分解表的编制与审批：</w:t>
      </w:r>
      <w:r>
        <w:rPr>
          <w:rFonts w:hint="eastAsia"/>
          <w:color w:val="000000" w:themeColor="text1"/>
          <w:szCs w:val="21"/>
          <w:highlight w:val="none"/>
          <w:u w:val="single"/>
          <w14:textFill>
            <w14:solidFill>
              <w14:schemeClr w14:val="tx1"/>
            </w14:solidFill>
          </w14:textFill>
        </w:rPr>
        <w:t>总价合同支付分分解表在招标完成后由发包人和承包人共同编制，发包人审批，并作为本合同内容，具体详见合同附件14。</w:t>
      </w:r>
    </w:p>
    <w:p w14:paraId="58CCB2C4">
      <w:pPr>
        <w:spacing w:line="360" w:lineRule="auto"/>
        <w:ind w:firstLine="525" w:firstLineChars="25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单价合同的总价项目支付分解表的编制与审批：总价项目不采用支付分解表的方式计算，而按《建设工程工程量清单计价规范（</w:t>
      </w:r>
      <w:r>
        <w:rPr>
          <w:rFonts w:hAnsi="宋体"/>
          <w:color w:val="000000" w:themeColor="text1"/>
          <w:szCs w:val="21"/>
          <w:highlight w:val="none"/>
          <w14:textFill>
            <w14:solidFill>
              <w14:schemeClr w14:val="tx1"/>
            </w14:solidFill>
          </w14:textFill>
        </w:rPr>
        <w:t>GB50500-2013</w:t>
      </w:r>
      <w:r>
        <w:rPr>
          <w:rFonts w:hint="eastAsia" w:hAnsi="宋体" w:cs="宋体"/>
          <w:color w:val="000000" w:themeColor="text1"/>
          <w:szCs w:val="21"/>
          <w:highlight w:val="none"/>
          <w14:textFill>
            <w14:solidFill>
              <w14:schemeClr w14:val="tx1"/>
            </w14:solidFill>
          </w14:textFill>
        </w:rPr>
        <w:t>）广西壮族自治区实施细则》的规定执行。</w:t>
      </w:r>
    </w:p>
    <w:bookmarkEnd w:id="638"/>
    <w:p w14:paraId="48A9AACB">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887" w:name="_Toc389065318"/>
      <w:bookmarkStart w:id="888" w:name="_Toc373478400"/>
      <w:bookmarkStart w:id="889" w:name="_Toc407135256"/>
      <w:bookmarkStart w:id="890" w:name="_Toc373227753"/>
      <w:bookmarkStart w:id="891" w:name="_Toc351203645"/>
      <w:bookmarkStart w:id="892" w:name="_Toc114058893"/>
      <w:bookmarkStart w:id="893" w:name="_Toc78449842"/>
      <w:bookmarkStart w:id="894" w:name="_Toc296891259"/>
      <w:bookmarkStart w:id="895" w:name="_Toc297216223"/>
      <w:bookmarkStart w:id="896" w:name="_Toc312678053"/>
      <w:bookmarkStart w:id="897" w:name="_Toc296891047"/>
      <w:bookmarkStart w:id="898" w:name="_Toc292559929"/>
      <w:bookmarkStart w:id="899" w:name="_Toc296347218"/>
      <w:bookmarkStart w:id="900" w:name="_Toc300935015"/>
      <w:bookmarkStart w:id="901" w:name="_Toc297048405"/>
      <w:bookmarkStart w:id="902" w:name="_Toc296944558"/>
      <w:bookmarkStart w:id="903" w:name="_Toc292559424"/>
      <w:bookmarkStart w:id="904" w:name="_Toc297123564"/>
      <w:bookmarkStart w:id="905" w:name="_Toc296503219"/>
      <w:bookmarkStart w:id="906" w:name="_Toc303539172"/>
      <w:bookmarkStart w:id="907" w:name="_Toc296346720"/>
      <w:bookmarkStart w:id="908" w:name="_Toc304295593"/>
      <w:bookmarkStart w:id="909" w:name="_Toc297120519"/>
      <w:r>
        <w:rPr>
          <w:rFonts w:ascii="Arial" w:hAnsi="Arial" w:eastAsia="黑体"/>
          <w:b/>
          <w:bCs/>
          <w:color w:val="000000" w:themeColor="text1"/>
          <w:sz w:val="32"/>
          <w:szCs w:val="32"/>
          <w:highlight w:val="none"/>
          <w:lang w:val="zh-CN"/>
          <w14:textFill>
            <w14:solidFill>
              <w14:schemeClr w14:val="tx1"/>
            </w14:solidFill>
          </w14:textFill>
        </w:rPr>
        <w:t xml:space="preserve">13. </w:t>
      </w:r>
      <w:r>
        <w:rPr>
          <w:rFonts w:hint="eastAsia" w:ascii="Arial" w:hAnsi="Arial" w:eastAsia="黑体" w:cs="黑体"/>
          <w:b/>
          <w:bCs/>
          <w:color w:val="000000" w:themeColor="text1"/>
          <w:sz w:val="32"/>
          <w:szCs w:val="32"/>
          <w:highlight w:val="none"/>
          <w:lang w:val="zh-CN"/>
          <w14:textFill>
            <w14:solidFill>
              <w14:schemeClr w14:val="tx1"/>
            </w14:solidFill>
          </w14:textFill>
        </w:rPr>
        <w:t>验收和工程试车</w:t>
      </w:r>
      <w:bookmarkEnd w:id="887"/>
      <w:bookmarkEnd w:id="888"/>
      <w:bookmarkEnd w:id="889"/>
      <w:bookmarkEnd w:id="890"/>
      <w:bookmarkEnd w:id="891"/>
      <w:bookmarkEnd w:id="892"/>
      <w:bookmarkEnd w:id="893"/>
    </w:p>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14:paraId="79423B2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10" w:name="_Toc78449843"/>
      <w:bookmarkStart w:id="911" w:name="_Toc373478401"/>
      <w:bookmarkStart w:id="912" w:name="_Toc114058894"/>
      <w:bookmarkStart w:id="913" w:name="_Toc373227754"/>
      <w:bookmarkStart w:id="914" w:name="_Toc389065319"/>
      <w:bookmarkStart w:id="915" w:name="_Toc407135257"/>
      <w:r>
        <w:rPr>
          <w:rFonts w:eastAsia="黑体"/>
          <w:b/>
          <w:bCs/>
          <w:color w:val="000000" w:themeColor="text1"/>
          <w:sz w:val="32"/>
          <w:szCs w:val="32"/>
          <w:highlight w:val="none"/>
          <w:lang w:val="zh-CN"/>
          <w14:textFill>
            <w14:solidFill>
              <w14:schemeClr w14:val="tx1"/>
            </w14:solidFill>
          </w14:textFill>
        </w:rPr>
        <w:t xml:space="preserve">13.1 </w:t>
      </w:r>
      <w:r>
        <w:rPr>
          <w:rFonts w:hint="eastAsia" w:eastAsia="黑体" w:cs="黑体"/>
          <w:b/>
          <w:bCs/>
          <w:color w:val="000000" w:themeColor="text1"/>
          <w:sz w:val="32"/>
          <w:szCs w:val="32"/>
          <w:highlight w:val="none"/>
          <w:lang w:val="zh-CN"/>
          <w14:textFill>
            <w14:solidFill>
              <w14:schemeClr w14:val="tx1"/>
            </w14:solidFill>
          </w14:textFill>
        </w:rPr>
        <w:t>分部分项工程验收</w:t>
      </w:r>
      <w:bookmarkEnd w:id="910"/>
      <w:bookmarkEnd w:id="911"/>
      <w:bookmarkEnd w:id="912"/>
      <w:bookmarkEnd w:id="913"/>
      <w:bookmarkEnd w:id="914"/>
      <w:bookmarkEnd w:id="915"/>
    </w:p>
    <w:p w14:paraId="5CA75365">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13.1.2</w:t>
      </w:r>
      <w:r>
        <w:rPr>
          <w:rFonts w:hint="eastAsia" w:hAnsi="宋体" w:cs="宋体"/>
          <w:color w:val="000000" w:themeColor="text1"/>
          <w:szCs w:val="21"/>
          <w:highlight w:val="none"/>
          <w14:textFill>
            <w14:solidFill>
              <w14:schemeClr w14:val="tx1"/>
            </w14:solidFill>
          </w14:textFill>
        </w:rPr>
        <w:t>监理人不能按时进行验收时，应提前</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小时提交书面延期要求。</w:t>
      </w:r>
    </w:p>
    <w:p w14:paraId="5BD7338A">
      <w:pPr>
        <w:spacing w:line="360" w:lineRule="auto"/>
        <w:ind w:firstLine="420" w:firstLineChars="200"/>
        <w:jc w:val="left"/>
        <w:rPr>
          <w:b/>
          <w:bCs/>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关于延期最长不得超过：</w:t>
      </w:r>
      <w:r>
        <w:rPr>
          <w:rFonts w:hint="eastAsia"/>
          <w:color w:val="000000" w:themeColor="text1"/>
          <w:szCs w:val="21"/>
          <w:highlight w:val="none"/>
          <w:u w:val="single"/>
          <w14:textFill>
            <w14:solidFill>
              <w14:schemeClr w14:val="tx1"/>
            </w14:solidFill>
          </w14:textFill>
        </w:rPr>
        <w:t>48</w:t>
      </w:r>
      <w:r>
        <w:rPr>
          <w:rFonts w:hint="eastAsia" w:hAnsi="宋体" w:cs="宋体"/>
          <w:color w:val="000000" w:themeColor="text1"/>
          <w:szCs w:val="21"/>
          <w:highlight w:val="none"/>
          <w14:textFill>
            <w14:solidFill>
              <w14:schemeClr w14:val="tx1"/>
            </w14:solidFill>
          </w14:textFill>
        </w:rPr>
        <w:t>小时。</w:t>
      </w:r>
    </w:p>
    <w:p w14:paraId="3B553452">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16" w:name="_Toc78449844"/>
      <w:bookmarkStart w:id="917" w:name="_Toc373478402"/>
      <w:bookmarkStart w:id="918" w:name="_Toc373227755"/>
      <w:bookmarkStart w:id="919" w:name="_Toc407135258"/>
      <w:bookmarkStart w:id="920" w:name="_Toc114058895"/>
      <w:bookmarkStart w:id="921" w:name="_Toc389065320"/>
      <w:bookmarkStart w:id="922" w:name="_Toc292559933"/>
      <w:bookmarkStart w:id="923" w:name="_Toc297123565"/>
      <w:bookmarkStart w:id="924" w:name="_Toc304295596"/>
      <w:bookmarkStart w:id="925" w:name="_Toc312678056"/>
      <w:bookmarkStart w:id="926" w:name="_Toc296891051"/>
      <w:bookmarkStart w:id="927" w:name="_Toc296346724"/>
      <w:bookmarkStart w:id="928" w:name="_Toc296503223"/>
      <w:bookmarkStart w:id="929" w:name="_Toc300935016"/>
      <w:bookmarkStart w:id="930" w:name="_Toc296347222"/>
      <w:bookmarkStart w:id="931" w:name="_Toc297120523"/>
      <w:bookmarkStart w:id="932" w:name="_Toc296944562"/>
      <w:bookmarkStart w:id="933" w:name="_Toc296891263"/>
      <w:bookmarkStart w:id="934" w:name="_Toc297216224"/>
      <w:bookmarkStart w:id="935" w:name="_Toc303539173"/>
      <w:bookmarkStart w:id="936" w:name="_Toc292559428"/>
      <w:bookmarkStart w:id="937" w:name="_Toc297048409"/>
      <w:bookmarkStart w:id="938" w:name="_Toc267251476"/>
      <w:bookmarkStart w:id="939" w:name="_Toc267251475"/>
      <w:bookmarkStart w:id="940" w:name="_Toc267251472"/>
      <w:bookmarkStart w:id="941" w:name="_Toc267251470"/>
      <w:bookmarkStart w:id="942" w:name="_Toc267251471"/>
      <w:bookmarkStart w:id="943" w:name="_Toc267251473"/>
      <w:bookmarkStart w:id="944" w:name="_Toc267251474"/>
      <w:r>
        <w:rPr>
          <w:rFonts w:eastAsia="黑体"/>
          <w:b/>
          <w:bCs/>
          <w:color w:val="000000" w:themeColor="text1"/>
          <w:sz w:val="32"/>
          <w:szCs w:val="32"/>
          <w:highlight w:val="none"/>
          <w:lang w:val="zh-CN"/>
          <w14:textFill>
            <w14:solidFill>
              <w14:schemeClr w14:val="tx1"/>
            </w14:solidFill>
          </w14:textFill>
        </w:rPr>
        <w:t xml:space="preserve">13.2 </w:t>
      </w:r>
      <w:r>
        <w:rPr>
          <w:rFonts w:hint="eastAsia" w:hAnsi="宋体" w:eastAsia="黑体" w:cs="黑体"/>
          <w:b/>
          <w:bCs/>
          <w:color w:val="000000" w:themeColor="text1"/>
          <w:sz w:val="32"/>
          <w:szCs w:val="32"/>
          <w:highlight w:val="none"/>
          <w:lang w:val="zh-CN"/>
          <w14:textFill>
            <w14:solidFill>
              <w14:schemeClr w14:val="tx1"/>
            </w14:solidFill>
          </w14:textFill>
        </w:rPr>
        <w:t>竣工验收</w:t>
      </w:r>
      <w:bookmarkEnd w:id="916"/>
      <w:bookmarkEnd w:id="917"/>
      <w:bookmarkEnd w:id="918"/>
      <w:bookmarkEnd w:id="919"/>
      <w:bookmarkEnd w:id="920"/>
      <w:bookmarkEnd w:id="921"/>
    </w:p>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14:paraId="3F2F0A38">
      <w:pPr>
        <w:spacing w:line="360" w:lineRule="auto"/>
        <w:ind w:firstLine="420" w:firstLineChars="200"/>
        <w:jc w:val="left"/>
        <w:rPr>
          <w:color w:val="000000" w:themeColor="text1"/>
          <w:szCs w:val="21"/>
          <w:highlight w:val="none"/>
          <w14:textFill>
            <w14:solidFill>
              <w14:schemeClr w14:val="tx1"/>
            </w14:solidFill>
          </w14:textFill>
        </w:rPr>
      </w:pPr>
      <w:bookmarkStart w:id="945" w:name="_Toc280868704"/>
      <w:bookmarkStart w:id="946" w:name="_Toc280868705"/>
      <w:bookmarkStart w:id="947" w:name="_Toc280868706"/>
      <w:bookmarkStart w:id="948" w:name="_Toc280868707"/>
      <w:bookmarkStart w:id="949" w:name="_Toc280868708"/>
      <w:bookmarkStart w:id="950" w:name="_Toc280868709"/>
      <w:r>
        <w:rPr>
          <w:color w:val="000000" w:themeColor="text1"/>
          <w:szCs w:val="21"/>
          <w:highlight w:val="none"/>
          <w14:textFill>
            <w14:solidFill>
              <w14:schemeClr w14:val="tx1"/>
            </w14:solidFill>
          </w14:textFill>
        </w:rPr>
        <w:t>13.2.1</w:t>
      </w:r>
      <w:r>
        <w:rPr>
          <w:rFonts w:hint="eastAsia" w:hAnsi="宋体" w:cs="宋体"/>
          <w:color w:val="000000" w:themeColor="text1"/>
          <w:szCs w:val="21"/>
          <w:highlight w:val="none"/>
          <w14:textFill>
            <w14:solidFill>
              <w14:schemeClr w14:val="tx1"/>
            </w14:solidFill>
          </w14:textFill>
        </w:rPr>
        <w:t>竣工验收条件</w:t>
      </w:r>
    </w:p>
    <w:p w14:paraId="78CCDAAC">
      <w:pPr>
        <w:spacing w:line="360" w:lineRule="auto"/>
        <w:ind w:firstLine="420" w:firstLineChars="200"/>
        <w:rPr>
          <w:color w:val="000000" w:themeColor="text1"/>
          <w:szCs w:val="21"/>
          <w:highlight w:val="none"/>
          <w14:textFill>
            <w14:solidFill>
              <w14:schemeClr w14:val="tx1"/>
            </w14:solidFill>
          </w14:textFill>
        </w:rPr>
      </w:pPr>
      <w:r>
        <w:rPr>
          <w:rFonts w:hint="eastAsia"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3</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承包人负责整理和提交的竣工验收资料应当符合工程所在地建设行政主管部门和</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或</w:t>
      </w:r>
      <w:r>
        <w:rPr>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城市建设档案管理机构有关施工资料的要求，具体内容包括：</w:t>
      </w:r>
      <w:r>
        <w:rPr>
          <w:color w:val="000000" w:themeColor="text1"/>
          <w:szCs w:val="21"/>
          <w:highlight w:val="none"/>
          <w:u w:val="single"/>
          <w14:textFill>
            <w14:solidFill>
              <w14:schemeClr w14:val="tx1"/>
            </w14:solidFill>
          </w14:textFill>
        </w:rPr>
        <w:t>施工技术管理资料、工程质量保证资料、工程质量竣工验收记录、竣工图</w:t>
      </w:r>
      <w:r>
        <w:rPr>
          <w:rFonts w:hint="eastAsia"/>
          <w:color w:val="000000" w:themeColor="text1"/>
          <w:szCs w:val="21"/>
          <w:highlight w:val="none"/>
          <w:u w:val="single"/>
          <w:lang w:eastAsia="zh-CN"/>
          <w14:textFill>
            <w14:solidFill>
              <w14:schemeClr w14:val="tx1"/>
            </w14:solidFill>
          </w14:textFill>
        </w:rPr>
        <w:t>、项目验收时供应商必须将本项目送检，并取得质量鉴定报告（中国田协认可的第三方权威检测机构出具的具有CMA标志的质量鉴定报告）</w:t>
      </w:r>
      <w:r>
        <w:rPr>
          <w:rFonts w:hint="eastAsia" w:hAnsi="宋体" w:cs="宋体"/>
          <w:color w:val="000000" w:themeColor="text1"/>
          <w:szCs w:val="21"/>
          <w:highlight w:val="none"/>
          <w14:textFill>
            <w14:solidFill>
              <w14:schemeClr w14:val="tx1"/>
            </w14:solidFill>
          </w14:textFill>
        </w:rPr>
        <w:t>。</w:t>
      </w:r>
    </w:p>
    <w:p w14:paraId="383F9E54">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竣工验收资料的份数：</w:t>
      </w:r>
      <w:r>
        <w:rPr>
          <w:rFonts w:hint="eastAsia"/>
          <w:color w:val="000000" w:themeColor="text1"/>
          <w:szCs w:val="21"/>
          <w:highlight w:val="none"/>
          <w:u w:val="single"/>
          <w14:textFill>
            <w14:solidFill>
              <w14:schemeClr w14:val="tx1"/>
            </w14:solidFill>
          </w14:textFill>
        </w:rPr>
        <w:t>一式陆份及竣工验收报告</w:t>
      </w:r>
      <w:r>
        <w:rPr>
          <w:rFonts w:hint="eastAsia" w:hAnsi="宋体" w:cs="宋体"/>
          <w:color w:val="000000" w:themeColor="text1"/>
          <w:szCs w:val="21"/>
          <w:highlight w:val="none"/>
          <w14:textFill>
            <w14:solidFill>
              <w14:schemeClr w14:val="tx1"/>
            </w14:solidFill>
          </w14:textFill>
        </w:rPr>
        <w:t>。</w:t>
      </w:r>
    </w:p>
    <w:p w14:paraId="7D600566">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承包人提供竣工图的约定：</w:t>
      </w:r>
      <w:r>
        <w:rPr>
          <w:rFonts w:hint="eastAsia" w:hAnsi="宋体" w:cs="宋体"/>
          <w:color w:val="000000" w:themeColor="text1"/>
          <w:szCs w:val="21"/>
          <w:highlight w:val="none"/>
          <w:u w:val="single"/>
          <w14:textFill>
            <w14:solidFill>
              <w14:schemeClr w14:val="tx1"/>
            </w14:solidFill>
          </w14:textFill>
        </w:rPr>
        <w:t>竣工验收正式通过后</w:t>
      </w:r>
      <w:r>
        <w:rPr>
          <w:color w:val="000000" w:themeColor="text1"/>
          <w:szCs w:val="21"/>
          <w:highlight w:val="none"/>
          <w:u w:val="single"/>
          <w14:textFill>
            <w14:solidFill>
              <w14:schemeClr w14:val="tx1"/>
            </w14:solidFill>
          </w14:textFill>
        </w:rPr>
        <w:t>5</w:t>
      </w:r>
      <w:r>
        <w:rPr>
          <w:rFonts w:hint="eastAsia" w:hAnsi="宋体" w:cs="宋体"/>
          <w:color w:val="000000" w:themeColor="text1"/>
          <w:szCs w:val="21"/>
          <w:highlight w:val="none"/>
          <w:u w:val="single"/>
          <w14:textFill>
            <w14:solidFill>
              <w14:schemeClr w14:val="tx1"/>
            </w14:solidFill>
          </w14:textFill>
        </w:rPr>
        <w:t>天（工程造价在</w:t>
      </w:r>
      <w:r>
        <w:rPr>
          <w:color w:val="000000" w:themeColor="text1"/>
          <w:szCs w:val="21"/>
          <w:highlight w:val="none"/>
          <w:u w:val="single"/>
          <w14:textFill>
            <w14:solidFill>
              <w14:schemeClr w14:val="tx1"/>
            </w14:solidFill>
          </w14:textFill>
        </w:rPr>
        <w:t>500</w:t>
      </w:r>
      <w:r>
        <w:rPr>
          <w:rFonts w:hint="eastAsia" w:hAnsi="宋体" w:cs="宋体"/>
          <w:color w:val="000000" w:themeColor="text1"/>
          <w:szCs w:val="21"/>
          <w:highlight w:val="none"/>
          <w:u w:val="single"/>
          <w14:textFill>
            <w14:solidFill>
              <w14:schemeClr w14:val="tx1"/>
            </w14:solidFill>
          </w14:textFill>
        </w:rPr>
        <w:t>万元以下含</w:t>
      </w:r>
      <w:r>
        <w:rPr>
          <w:color w:val="000000" w:themeColor="text1"/>
          <w:szCs w:val="21"/>
          <w:highlight w:val="none"/>
          <w:u w:val="single"/>
          <w14:textFill>
            <w14:solidFill>
              <w14:schemeClr w14:val="tx1"/>
            </w14:solidFill>
          </w14:textFill>
        </w:rPr>
        <w:t>500</w:t>
      </w:r>
      <w:r>
        <w:rPr>
          <w:rFonts w:hint="eastAsia" w:hAnsi="宋体" w:cs="宋体"/>
          <w:color w:val="000000" w:themeColor="text1"/>
          <w:szCs w:val="21"/>
          <w:highlight w:val="none"/>
          <w:u w:val="single"/>
          <w14:textFill>
            <w14:solidFill>
              <w14:schemeClr w14:val="tx1"/>
            </w14:solidFill>
          </w14:textFill>
        </w:rPr>
        <w:t>万元）、</w:t>
      </w:r>
      <w:r>
        <w:rPr>
          <w:color w:val="000000" w:themeColor="text1"/>
          <w:szCs w:val="21"/>
          <w:highlight w:val="none"/>
          <w:u w:val="single"/>
          <w14:textFill>
            <w14:solidFill>
              <w14:schemeClr w14:val="tx1"/>
            </w14:solidFill>
          </w14:textFill>
        </w:rPr>
        <w:t>10</w:t>
      </w:r>
      <w:r>
        <w:rPr>
          <w:rFonts w:hint="eastAsia" w:hAnsi="宋体" w:cs="宋体"/>
          <w:color w:val="000000" w:themeColor="text1"/>
          <w:szCs w:val="21"/>
          <w:highlight w:val="none"/>
          <w:u w:val="single"/>
          <w14:textFill>
            <w14:solidFill>
              <w14:schemeClr w14:val="tx1"/>
            </w14:solidFill>
          </w14:textFill>
        </w:rPr>
        <w:t>天（工程造价在</w:t>
      </w:r>
      <w:r>
        <w:rPr>
          <w:color w:val="000000" w:themeColor="text1"/>
          <w:szCs w:val="21"/>
          <w:highlight w:val="none"/>
          <w:u w:val="single"/>
          <w14:textFill>
            <w14:solidFill>
              <w14:schemeClr w14:val="tx1"/>
            </w14:solidFill>
          </w14:textFill>
        </w:rPr>
        <w:t>500</w:t>
      </w:r>
      <w:r>
        <w:rPr>
          <w:rFonts w:hint="eastAsia" w:hAnsi="宋体" w:cs="宋体"/>
          <w:color w:val="000000" w:themeColor="text1"/>
          <w:szCs w:val="21"/>
          <w:highlight w:val="none"/>
          <w:u w:val="single"/>
          <w14:textFill>
            <w14:solidFill>
              <w14:schemeClr w14:val="tx1"/>
            </w14:solidFill>
          </w14:textFill>
        </w:rPr>
        <w:t>万元至</w:t>
      </w:r>
      <w:r>
        <w:rPr>
          <w:color w:val="000000" w:themeColor="text1"/>
          <w:szCs w:val="21"/>
          <w:highlight w:val="none"/>
          <w:u w:val="single"/>
          <w14:textFill>
            <w14:solidFill>
              <w14:schemeClr w14:val="tx1"/>
            </w14:solidFill>
          </w14:textFill>
        </w:rPr>
        <w:t>1000</w:t>
      </w:r>
      <w:r>
        <w:rPr>
          <w:rFonts w:hint="eastAsia" w:hAnsi="宋体" w:cs="宋体"/>
          <w:color w:val="000000" w:themeColor="text1"/>
          <w:szCs w:val="21"/>
          <w:highlight w:val="none"/>
          <w:u w:val="single"/>
          <w14:textFill>
            <w14:solidFill>
              <w14:schemeClr w14:val="tx1"/>
            </w14:solidFill>
          </w14:textFill>
        </w:rPr>
        <w:t>万元之间含</w:t>
      </w:r>
      <w:r>
        <w:rPr>
          <w:color w:val="000000" w:themeColor="text1"/>
          <w:szCs w:val="21"/>
          <w:highlight w:val="none"/>
          <w:u w:val="single"/>
          <w14:textFill>
            <w14:solidFill>
              <w14:schemeClr w14:val="tx1"/>
            </w14:solidFill>
          </w14:textFill>
        </w:rPr>
        <w:t>1000</w:t>
      </w:r>
      <w:r>
        <w:rPr>
          <w:rFonts w:hint="eastAsia" w:hAnsi="宋体" w:cs="宋体"/>
          <w:color w:val="000000" w:themeColor="text1"/>
          <w:szCs w:val="21"/>
          <w:highlight w:val="none"/>
          <w:u w:val="single"/>
          <w14:textFill>
            <w14:solidFill>
              <w14:schemeClr w14:val="tx1"/>
            </w14:solidFill>
          </w14:textFill>
        </w:rPr>
        <w:t>万元）、</w:t>
      </w:r>
      <w:r>
        <w:rPr>
          <w:color w:val="000000" w:themeColor="text1"/>
          <w:szCs w:val="21"/>
          <w:highlight w:val="none"/>
          <w:u w:val="single"/>
          <w14:textFill>
            <w14:solidFill>
              <w14:schemeClr w14:val="tx1"/>
            </w14:solidFill>
          </w14:textFill>
        </w:rPr>
        <w:t>15</w:t>
      </w:r>
      <w:r>
        <w:rPr>
          <w:rFonts w:hint="eastAsia" w:hAnsi="宋体" w:cs="宋体"/>
          <w:color w:val="000000" w:themeColor="text1"/>
          <w:szCs w:val="21"/>
          <w:highlight w:val="none"/>
          <w:u w:val="single"/>
          <w14:textFill>
            <w14:solidFill>
              <w14:schemeClr w14:val="tx1"/>
            </w14:solidFill>
          </w14:textFill>
        </w:rPr>
        <w:t>天（工程造价在</w:t>
      </w:r>
      <w:r>
        <w:rPr>
          <w:color w:val="000000" w:themeColor="text1"/>
          <w:szCs w:val="21"/>
          <w:highlight w:val="none"/>
          <w:u w:val="single"/>
          <w14:textFill>
            <w14:solidFill>
              <w14:schemeClr w14:val="tx1"/>
            </w14:solidFill>
          </w14:textFill>
        </w:rPr>
        <w:t>1000</w:t>
      </w:r>
      <w:r>
        <w:rPr>
          <w:rFonts w:hint="eastAsia" w:hAnsi="宋体" w:cs="宋体"/>
          <w:color w:val="000000" w:themeColor="text1"/>
          <w:szCs w:val="21"/>
          <w:highlight w:val="none"/>
          <w:u w:val="single"/>
          <w14:textFill>
            <w14:solidFill>
              <w14:schemeClr w14:val="tx1"/>
            </w14:solidFill>
          </w14:textFill>
        </w:rPr>
        <w:t>万元以上），提供竣工图的数量分别为</w:t>
      </w:r>
      <w:r>
        <w:rPr>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u w:val="single"/>
          <w14:textFill>
            <w14:solidFill>
              <w14:schemeClr w14:val="tx1"/>
            </w14:solidFill>
          </w14:textFill>
        </w:rPr>
        <w:t>套、</w:t>
      </w:r>
      <w:r>
        <w:rPr>
          <w:color w:val="000000" w:themeColor="text1"/>
          <w:szCs w:val="21"/>
          <w:highlight w:val="none"/>
          <w:u w:val="single"/>
          <w14:textFill>
            <w14:solidFill>
              <w14:schemeClr w14:val="tx1"/>
            </w14:solidFill>
          </w14:textFill>
        </w:rPr>
        <w:t>4</w:t>
      </w:r>
      <w:r>
        <w:rPr>
          <w:rFonts w:hint="eastAsia" w:hAnsi="宋体" w:cs="宋体"/>
          <w:color w:val="000000" w:themeColor="text1"/>
          <w:szCs w:val="21"/>
          <w:highlight w:val="none"/>
          <w:u w:val="single"/>
          <w14:textFill>
            <w14:solidFill>
              <w14:schemeClr w14:val="tx1"/>
            </w14:solidFill>
          </w14:textFill>
        </w:rPr>
        <w:t>套、</w:t>
      </w:r>
      <w:r>
        <w:rPr>
          <w:color w:val="000000" w:themeColor="text1"/>
          <w:szCs w:val="21"/>
          <w:highlight w:val="none"/>
          <w:u w:val="single"/>
          <w14:textFill>
            <w14:solidFill>
              <w14:schemeClr w14:val="tx1"/>
            </w14:solidFill>
          </w14:textFill>
        </w:rPr>
        <w:t>6</w:t>
      </w:r>
      <w:r>
        <w:rPr>
          <w:rFonts w:hint="eastAsia" w:hAnsi="宋体" w:cs="宋体"/>
          <w:color w:val="000000" w:themeColor="text1"/>
          <w:szCs w:val="21"/>
          <w:highlight w:val="none"/>
          <w:u w:val="single"/>
          <w14:textFill>
            <w14:solidFill>
              <w14:schemeClr w14:val="tx1"/>
            </w14:solidFill>
          </w14:textFill>
        </w:rPr>
        <w:t>套。</w:t>
      </w:r>
    </w:p>
    <w:p w14:paraId="242520E4">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13.2.2</w:t>
      </w:r>
      <w:r>
        <w:rPr>
          <w:rFonts w:hint="eastAsia" w:hAnsi="宋体" w:cs="宋体"/>
          <w:color w:val="000000" w:themeColor="text1"/>
          <w:szCs w:val="21"/>
          <w:highlight w:val="none"/>
          <w14:textFill>
            <w14:solidFill>
              <w14:schemeClr w14:val="tx1"/>
            </w14:solidFill>
          </w14:textFill>
        </w:rPr>
        <w:t>竣工验收程序</w:t>
      </w:r>
    </w:p>
    <w:bookmarkEnd w:id="945"/>
    <w:p w14:paraId="4B358A12">
      <w:pPr>
        <w:spacing w:line="440" w:lineRule="exact"/>
        <w:ind w:firstLine="420" w:firstLineChars="200"/>
        <w:rPr>
          <w:rFonts w:hAnsi="宋体" w:cs="宋体"/>
          <w:color w:val="000000" w:themeColor="text1"/>
          <w:szCs w:val="21"/>
          <w:highlight w:val="red"/>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关于竣工验收程序的约定：</w:t>
      </w:r>
      <w:r>
        <w:rPr>
          <w:rFonts w:hint="eastAsia" w:hAnsi="宋体" w:cs="宋体"/>
          <w:color w:val="000000" w:themeColor="text1"/>
          <w:kern w:val="0"/>
          <w:szCs w:val="21"/>
          <w:highlight w:val="red"/>
          <w:lang w:eastAsia="zh-CN"/>
          <w14:textFill>
            <w14:solidFill>
              <w14:schemeClr w14:val="tx1"/>
            </w14:solidFill>
          </w14:textFill>
        </w:rPr>
        <w:t>（</w:t>
      </w:r>
      <w:r>
        <w:rPr>
          <w:rFonts w:hint="eastAsia" w:hAnsi="宋体" w:cs="宋体"/>
          <w:color w:val="000000" w:themeColor="text1"/>
          <w:kern w:val="0"/>
          <w:szCs w:val="21"/>
          <w:highlight w:val="red"/>
          <w:lang w:val="en-US" w:eastAsia="zh-CN"/>
          <w14:textFill>
            <w14:solidFill>
              <w14:schemeClr w14:val="tx1"/>
            </w14:solidFill>
          </w14:textFill>
        </w:rPr>
        <w:t>1</w:t>
      </w:r>
      <w:r>
        <w:rPr>
          <w:rFonts w:hint="eastAsia" w:hAnsi="宋体" w:cs="宋体"/>
          <w:color w:val="000000" w:themeColor="text1"/>
          <w:kern w:val="0"/>
          <w:szCs w:val="21"/>
          <w:highlight w:val="red"/>
          <w:lang w:eastAsia="zh-CN"/>
          <w14:textFill>
            <w14:solidFill>
              <w14:schemeClr w14:val="tx1"/>
            </w14:solidFill>
          </w14:textFill>
        </w:rPr>
        <w:t>）</w:t>
      </w:r>
      <w:r>
        <w:rPr>
          <w:rFonts w:hint="eastAsia"/>
          <w:color w:val="auto"/>
          <w:szCs w:val="21"/>
          <w:highlight w:val="red"/>
        </w:rPr>
        <w:t>承包人</w:t>
      </w:r>
      <w:r>
        <w:rPr>
          <w:color w:val="auto"/>
          <w:szCs w:val="21"/>
          <w:highlight w:val="red"/>
        </w:rPr>
        <w:t>负责整理和提交的竣工验收资料应当符合工程所在单位和(或)城市建设档案管理机构有关施工资料的要求，具体内容包括：</w:t>
      </w:r>
      <w:r>
        <w:rPr>
          <w:color w:val="auto"/>
          <w:position w:val="-2"/>
          <w:szCs w:val="21"/>
          <w:highlight w:val="red"/>
          <w:u w:val="single"/>
        </w:rPr>
        <w:t>①工程具备竣工验收条件，承包人按工程竣工验收有关规定，15天内向发包人提交符合要求内容装订成册的完整竣工资料及竣工验收报告、工程竣工图；②承包人所提交的竣工资料必须符合《建设工程文件归档整理规范》要求</w:t>
      </w:r>
      <w:r>
        <w:rPr>
          <w:rFonts w:hint="eastAsia" w:hAnsi="宋体" w:cs="宋体"/>
          <w:color w:val="000000" w:themeColor="text1"/>
          <w:szCs w:val="21"/>
          <w:highlight w:val="red"/>
          <w14:textFill>
            <w14:solidFill>
              <w14:schemeClr w14:val="tx1"/>
            </w14:solidFill>
          </w14:textFill>
        </w:rPr>
        <w:t>。</w:t>
      </w:r>
    </w:p>
    <w:p w14:paraId="02AFF34E">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（2）发包人收到承包人送交的竣工验收报告后无特殊情况不组织验收，或验收后14天内不提出修改意见，视为竣工验收报告已被认可。</w:t>
      </w:r>
    </w:p>
    <w:p w14:paraId="60D18B4D">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color w:val="000000" w:themeColor="text1"/>
          <w:szCs w:val="21"/>
          <w:highlight w:val="none"/>
          <w:u w:val="single"/>
          <w14:textFill>
            <w14:solidFill>
              <w14:schemeClr w14:val="tx1"/>
            </w14:solidFill>
          </w14:textFill>
        </w:rPr>
        <w:t>（3）发包人收到承包人竣工验收报告后至组织验收移交前工程保管及一切意外责任仍由承包人负责</w:t>
      </w:r>
      <w:r>
        <w:rPr>
          <w:rFonts w:hAnsi="宋体"/>
          <w:color w:val="000000" w:themeColor="text1"/>
          <w:szCs w:val="21"/>
          <w:highlight w:val="none"/>
          <w14:textFill>
            <w14:solidFill>
              <w14:schemeClr w14:val="tx1"/>
            </w14:solidFill>
          </w14:textFill>
        </w:rPr>
        <w:t>。</w:t>
      </w:r>
    </w:p>
    <w:p w14:paraId="22F6151F">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发包人不按照本项约定组织竣工验收、颁发工程接收证书的违约金的计算方法：</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bookmarkEnd w:id="946"/>
    <w:p w14:paraId="2681ACA7">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13.2.5</w:t>
      </w:r>
      <w:r>
        <w:rPr>
          <w:rFonts w:hint="eastAsia" w:hAnsi="宋体" w:cs="宋体"/>
          <w:color w:val="000000" w:themeColor="text1"/>
          <w:szCs w:val="21"/>
          <w:highlight w:val="none"/>
          <w14:textFill>
            <w14:solidFill>
              <w14:schemeClr w14:val="tx1"/>
            </w14:solidFill>
          </w14:textFill>
        </w:rPr>
        <w:t>移交、接收全部与部分工程</w:t>
      </w:r>
    </w:p>
    <w:bookmarkEnd w:id="947"/>
    <w:p w14:paraId="5883683C">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承包人向发包人移交工程的期限：</w:t>
      </w:r>
      <w:r>
        <w:rPr>
          <w:rFonts w:hint="eastAsia" w:hAnsi="宋体"/>
          <w:color w:val="000000" w:themeColor="text1"/>
          <w:kern w:val="0"/>
          <w:szCs w:val="21"/>
          <w:highlight w:val="none"/>
          <w:u w:val="single"/>
          <w14:textFill>
            <w14:solidFill>
              <w14:schemeClr w14:val="tx1"/>
            </w14:solidFill>
          </w14:textFill>
        </w:rPr>
        <w:t>在工程竣工保修期满并对验收发现的问题完成整改后</w:t>
      </w:r>
      <w:r>
        <w:rPr>
          <w:rFonts w:hint="eastAsia" w:hAnsi="宋体" w:cs="宋体"/>
          <w:color w:val="000000" w:themeColor="text1"/>
          <w:szCs w:val="21"/>
          <w:highlight w:val="none"/>
          <w14:textFill>
            <w14:solidFill>
              <w14:schemeClr w14:val="tx1"/>
            </w14:solidFill>
          </w14:textFill>
        </w:rPr>
        <w:t>。</w:t>
      </w:r>
    </w:p>
    <w:p w14:paraId="19A52706">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发包人未按本合同约定接收全部或部分工程的，违约金的计算方法为：</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bookmarkEnd w:id="948"/>
    <w:p w14:paraId="5861DFA6">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承包人未按时移交工程的，违约金的计算方法为：</w:t>
      </w:r>
      <w:r>
        <w:rPr>
          <w:rFonts w:hint="eastAsia"/>
          <w:color w:val="000000" w:themeColor="text1"/>
          <w:szCs w:val="21"/>
          <w:highlight w:val="none"/>
          <w:u w:val="single"/>
          <w14:textFill>
            <w14:solidFill>
              <w14:schemeClr w14:val="tx1"/>
            </w14:solidFill>
          </w14:textFill>
        </w:rPr>
        <w:t>按专用条款7.5.2执行</w:t>
      </w:r>
      <w:r>
        <w:rPr>
          <w:rFonts w:hint="eastAsia" w:hAnsi="宋体" w:cs="宋体"/>
          <w:color w:val="000000" w:themeColor="text1"/>
          <w:szCs w:val="21"/>
          <w:highlight w:val="none"/>
          <w14:textFill>
            <w14:solidFill>
              <w14:schemeClr w14:val="tx1"/>
            </w14:solidFill>
          </w14:textFill>
        </w:rPr>
        <w:t>。</w:t>
      </w:r>
    </w:p>
    <w:p w14:paraId="225FFD9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51" w:name="_Toc78449845"/>
      <w:bookmarkStart w:id="952" w:name="_Toc373227756"/>
      <w:bookmarkStart w:id="953" w:name="_Toc114058896"/>
      <w:bookmarkStart w:id="954" w:name="_Toc407135259"/>
      <w:bookmarkStart w:id="955" w:name="_Toc389065321"/>
      <w:bookmarkStart w:id="956" w:name="_Toc373478403"/>
      <w:r>
        <w:rPr>
          <w:rFonts w:eastAsia="黑体"/>
          <w:b/>
          <w:bCs/>
          <w:color w:val="000000" w:themeColor="text1"/>
          <w:sz w:val="32"/>
          <w:szCs w:val="32"/>
          <w:highlight w:val="none"/>
          <w:lang w:val="zh-CN"/>
          <w14:textFill>
            <w14:solidFill>
              <w14:schemeClr w14:val="tx1"/>
            </w14:solidFill>
          </w14:textFill>
        </w:rPr>
        <w:t xml:space="preserve">13.3 </w:t>
      </w:r>
      <w:r>
        <w:rPr>
          <w:rFonts w:hint="eastAsia" w:hAnsi="宋体" w:eastAsia="黑体" w:cs="黑体"/>
          <w:b/>
          <w:bCs/>
          <w:color w:val="000000" w:themeColor="text1"/>
          <w:sz w:val="32"/>
          <w:szCs w:val="32"/>
          <w:highlight w:val="none"/>
          <w:lang w:val="zh-CN"/>
          <w14:textFill>
            <w14:solidFill>
              <w14:schemeClr w14:val="tx1"/>
            </w14:solidFill>
          </w14:textFill>
        </w:rPr>
        <w:t>工程试车</w:t>
      </w:r>
      <w:bookmarkEnd w:id="951"/>
      <w:bookmarkEnd w:id="952"/>
      <w:bookmarkEnd w:id="953"/>
      <w:bookmarkEnd w:id="954"/>
      <w:bookmarkEnd w:id="955"/>
      <w:bookmarkEnd w:id="956"/>
    </w:p>
    <w:bookmarkEnd w:id="949"/>
    <w:p w14:paraId="5B4E019F">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13.3.1 </w:t>
      </w:r>
      <w:r>
        <w:rPr>
          <w:rFonts w:hint="eastAsia" w:hAnsi="宋体" w:cs="宋体"/>
          <w:color w:val="000000" w:themeColor="text1"/>
          <w:kern w:val="0"/>
          <w:szCs w:val="21"/>
          <w:highlight w:val="none"/>
          <w14:textFill>
            <w14:solidFill>
              <w14:schemeClr w14:val="tx1"/>
            </w14:solidFill>
          </w14:textFill>
        </w:rPr>
        <w:t>试车程序</w:t>
      </w:r>
    </w:p>
    <w:p w14:paraId="3CC499F5">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工程试车内容：</w:t>
      </w:r>
      <w:r>
        <w:rPr>
          <w:rFonts w:hint="eastAsia"/>
          <w:color w:val="000000" w:themeColor="text1"/>
          <w:szCs w:val="21"/>
          <w:highlight w:val="none"/>
          <w:u w:val="single"/>
          <w14:textFill>
            <w14:solidFill>
              <w14:schemeClr w14:val="tx1"/>
            </w14:solidFill>
          </w14:textFill>
        </w:rPr>
        <w:t>按通用条款</w:t>
      </w:r>
      <w:r>
        <w:rPr>
          <w:rFonts w:hAnsi="宋体"/>
          <w:color w:val="000000" w:themeColor="text1"/>
          <w:szCs w:val="21"/>
          <w:highlight w:val="none"/>
          <w14:textFill>
            <w14:solidFill>
              <w14:schemeClr w14:val="tx1"/>
            </w14:solidFill>
          </w14:textFill>
        </w:rPr>
        <w:t>。</w:t>
      </w:r>
    </w:p>
    <w:p w14:paraId="019D596A">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Ansi="宋体"/>
          <w:color w:val="000000" w:themeColor="text1"/>
          <w:kern w:val="0"/>
          <w:szCs w:val="21"/>
          <w:highlight w:val="none"/>
          <w14:textFill>
            <w14:solidFill>
              <w14:schemeClr w14:val="tx1"/>
            </w14:solidFill>
          </w14:textFill>
        </w:rPr>
        <w:t>）单机无负荷试车费用由</w:t>
      </w:r>
      <w:r>
        <w:rPr>
          <w:rFonts w:hint="eastAsia"/>
          <w:color w:val="000000" w:themeColor="text1"/>
          <w:szCs w:val="21"/>
          <w:highlight w:val="none"/>
          <w:u w:val="single"/>
          <w14:textFill>
            <w14:solidFill>
              <w14:schemeClr w14:val="tx1"/>
            </w14:solidFill>
          </w14:textFill>
        </w:rPr>
        <w:t>承包人</w:t>
      </w:r>
      <w:r>
        <w:rPr>
          <w:rFonts w:hAnsi="宋体"/>
          <w:color w:val="000000" w:themeColor="text1"/>
          <w:kern w:val="0"/>
          <w:szCs w:val="21"/>
          <w:highlight w:val="none"/>
          <w14:textFill>
            <w14:solidFill>
              <w14:schemeClr w14:val="tx1"/>
            </w14:solidFill>
          </w14:textFill>
        </w:rPr>
        <w:t>承担；</w:t>
      </w:r>
    </w:p>
    <w:p w14:paraId="6E820858">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）无负荷联动试车费用由</w:t>
      </w:r>
      <w:r>
        <w:rPr>
          <w:rFonts w:hint="eastAsia"/>
          <w:color w:val="000000" w:themeColor="text1"/>
          <w:szCs w:val="21"/>
          <w:highlight w:val="none"/>
          <w:u w:val="single"/>
          <w14:textFill>
            <w14:solidFill>
              <w14:schemeClr w14:val="tx1"/>
            </w14:solidFill>
          </w14:textFill>
        </w:rPr>
        <w:t>承包人</w:t>
      </w:r>
      <w:r>
        <w:rPr>
          <w:rFonts w:hAnsi="宋体"/>
          <w:color w:val="000000" w:themeColor="text1"/>
          <w:kern w:val="0"/>
          <w:szCs w:val="21"/>
          <w:highlight w:val="none"/>
          <w14:textFill>
            <w14:solidFill>
              <w14:schemeClr w14:val="tx1"/>
            </w14:solidFill>
          </w14:textFill>
        </w:rPr>
        <w:t>承担</w:t>
      </w:r>
      <w:r>
        <w:rPr>
          <w:rFonts w:hint="eastAsia" w:hAnsi="宋体" w:cs="宋体"/>
          <w:color w:val="000000" w:themeColor="text1"/>
          <w:kern w:val="0"/>
          <w:szCs w:val="21"/>
          <w:highlight w:val="none"/>
          <w14:textFill>
            <w14:solidFill>
              <w14:schemeClr w14:val="tx1"/>
            </w14:solidFill>
          </w14:textFill>
        </w:rPr>
        <w:t>。</w:t>
      </w:r>
    </w:p>
    <w:p w14:paraId="3C2771BA">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13.3.3 </w:t>
      </w:r>
      <w:r>
        <w:rPr>
          <w:rFonts w:hint="eastAsia" w:hAnsi="宋体" w:cs="宋体"/>
          <w:color w:val="000000" w:themeColor="text1"/>
          <w:kern w:val="0"/>
          <w:szCs w:val="21"/>
          <w:highlight w:val="none"/>
          <w14:textFill>
            <w14:solidFill>
              <w14:schemeClr w14:val="tx1"/>
            </w14:solidFill>
          </w14:textFill>
        </w:rPr>
        <w:t>投料试车</w:t>
      </w:r>
    </w:p>
    <w:p w14:paraId="5B20B345">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关于投料试车相关事项的约定：</w:t>
      </w:r>
      <w:r>
        <w:rPr>
          <w:rFonts w:hint="eastAsia"/>
          <w:color w:val="000000" w:themeColor="text1"/>
          <w:szCs w:val="21"/>
          <w:highlight w:val="none"/>
          <w:u w:val="single"/>
          <w14:textFill>
            <w14:solidFill>
              <w14:schemeClr w14:val="tx1"/>
            </w14:solidFill>
          </w14:textFill>
        </w:rPr>
        <w:t>按通用条款</w:t>
      </w:r>
      <w:r>
        <w:rPr>
          <w:rFonts w:hint="eastAsia" w:hAnsi="宋体" w:cs="宋体"/>
          <w:color w:val="000000" w:themeColor="text1"/>
          <w:szCs w:val="21"/>
          <w:highlight w:val="none"/>
          <w14:textFill>
            <w14:solidFill>
              <w14:schemeClr w14:val="tx1"/>
            </w14:solidFill>
          </w14:textFill>
        </w:rPr>
        <w:t>。</w:t>
      </w:r>
    </w:p>
    <w:p w14:paraId="5B29D83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57" w:name="_Toc78449846"/>
      <w:bookmarkStart w:id="958" w:name="_Toc373478404"/>
      <w:bookmarkStart w:id="959" w:name="_Toc373227757"/>
      <w:bookmarkStart w:id="960" w:name="_Toc389065322"/>
      <w:bookmarkStart w:id="961" w:name="_Toc114058897"/>
      <w:bookmarkStart w:id="962" w:name="_Toc407135260"/>
      <w:r>
        <w:rPr>
          <w:rFonts w:eastAsia="黑体"/>
          <w:b/>
          <w:bCs/>
          <w:color w:val="000000" w:themeColor="text1"/>
          <w:sz w:val="32"/>
          <w:szCs w:val="32"/>
          <w:highlight w:val="none"/>
          <w:lang w:val="zh-CN"/>
          <w14:textFill>
            <w14:solidFill>
              <w14:schemeClr w14:val="tx1"/>
            </w14:solidFill>
          </w14:textFill>
        </w:rPr>
        <w:t xml:space="preserve">13.6 </w:t>
      </w:r>
      <w:r>
        <w:rPr>
          <w:rFonts w:hint="eastAsia" w:hAnsi="宋体" w:eastAsia="黑体" w:cs="黑体"/>
          <w:b/>
          <w:bCs/>
          <w:color w:val="000000" w:themeColor="text1"/>
          <w:sz w:val="32"/>
          <w:szCs w:val="32"/>
          <w:highlight w:val="none"/>
          <w:lang w:val="zh-CN"/>
          <w14:textFill>
            <w14:solidFill>
              <w14:schemeClr w14:val="tx1"/>
            </w14:solidFill>
          </w14:textFill>
        </w:rPr>
        <w:t>竣工退场</w:t>
      </w:r>
      <w:bookmarkEnd w:id="957"/>
      <w:bookmarkEnd w:id="958"/>
      <w:bookmarkEnd w:id="959"/>
      <w:bookmarkEnd w:id="960"/>
      <w:bookmarkEnd w:id="961"/>
      <w:bookmarkEnd w:id="962"/>
    </w:p>
    <w:p w14:paraId="021CB9A1">
      <w:pPr>
        <w:spacing w:line="360" w:lineRule="auto"/>
        <w:ind w:firstLine="420" w:firstLineChars="200"/>
        <w:jc w:val="left"/>
        <w:outlineLvl w:val="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13.6.1 </w:t>
      </w:r>
      <w:r>
        <w:rPr>
          <w:rFonts w:hint="eastAsia" w:hAnsi="宋体" w:cs="宋体"/>
          <w:color w:val="000000" w:themeColor="text1"/>
          <w:kern w:val="0"/>
          <w:szCs w:val="21"/>
          <w:highlight w:val="none"/>
          <w14:textFill>
            <w14:solidFill>
              <w14:schemeClr w14:val="tx1"/>
            </w14:solidFill>
          </w14:textFill>
        </w:rPr>
        <w:t>竣工退场</w:t>
      </w:r>
    </w:p>
    <w:p w14:paraId="3F09257F">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承包人完成竣工退场的期限：</w:t>
      </w:r>
      <w:r>
        <w:rPr>
          <w:rFonts w:hint="eastAsia" w:ascii="宋体" w:hAnsi="宋体"/>
          <w:color w:val="000000" w:themeColor="text1"/>
          <w:szCs w:val="21"/>
          <w:highlight w:val="none"/>
          <w:u w:val="single"/>
          <w14:textFill>
            <w14:solidFill>
              <w14:schemeClr w14:val="tx1"/>
            </w14:solidFill>
          </w14:textFill>
        </w:rPr>
        <w:t>监理人颁发（出具）工程接收证书后7天内，承包人负责按照通用条</w:t>
      </w:r>
      <w:r>
        <w:rPr>
          <w:rFonts w:hint="eastAsia" w:ascii="宋体" w:hAnsi="宋体"/>
          <w:color w:val="000000" w:themeColor="text1"/>
          <w:szCs w:val="21"/>
          <w:highlight w:val="none"/>
          <w:u w:val="single"/>
          <w:lang w:eastAsia="zh-CN"/>
          <w14:textFill>
            <w14:solidFill>
              <w14:schemeClr w14:val="tx1"/>
            </w14:solidFill>
          </w14:textFill>
        </w:rPr>
        <w:t>款和</w:t>
      </w:r>
      <w:r>
        <w:rPr>
          <w:rFonts w:hint="eastAsia" w:ascii="宋体" w:hAnsi="宋体"/>
          <w:color w:val="000000" w:themeColor="text1"/>
          <w:szCs w:val="21"/>
          <w:highlight w:val="none"/>
          <w:u w:val="single"/>
          <w14:textFill>
            <w14:solidFill>
              <w14:schemeClr w14:val="tx1"/>
            </w14:solidFill>
          </w14:textFill>
        </w:rPr>
        <w:t>本项约定的要求对施工场地进行清理并承担相关费用，直至监理人检验合格为止。承包人的人员逾期</w:t>
      </w:r>
      <w:r>
        <w:rPr>
          <w:rFonts w:hint="eastAsia" w:ascii="宋体" w:hAnsi="宋体"/>
          <w:color w:val="000000" w:themeColor="text1"/>
          <w:szCs w:val="21"/>
          <w:highlight w:val="none"/>
          <w:u w:val="single"/>
          <w:lang w:eastAsia="zh-CN"/>
          <w14:textFill>
            <w14:solidFill>
              <w14:schemeClr w14:val="tx1"/>
            </w14:solidFill>
          </w14:textFill>
        </w:rPr>
        <w:t>撤出</w:t>
      </w:r>
      <w:r>
        <w:rPr>
          <w:rFonts w:hint="eastAsia" w:ascii="宋体" w:hAnsi="宋体"/>
          <w:color w:val="000000" w:themeColor="text1"/>
          <w:szCs w:val="21"/>
          <w:highlight w:val="none"/>
          <w:u w:val="single"/>
          <w14:textFill>
            <w14:solidFill>
              <w14:schemeClr w14:val="tx1"/>
            </w14:solidFill>
          </w14:textFill>
        </w:rPr>
        <w:t>施工场地的，按每人每天500元支付违约金给发包人</w:t>
      </w:r>
      <w:r>
        <w:rPr>
          <w:rFonts w:hint="eastAsia" w:ascii="宋体" w:hAnsi="宋体"/>
          <w:color w:val="000000" w:themeColor="text1"/>
          <w:kern w:val="0"/>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机械设备和其他财产逾期撤离施工现场的，视为承包人放弃所有权，任由发包人处置，处置所得收益归发包人所有</w:t>
      </w:r>
      <w:r>
        <w:rPr>
          <w:rFonts w:hint="eastAsia" w:hAnsi="宋体" w:cs="宋体"/>
          <w:color w:val="000000" w:themeColor="text1"/>
          <w:kern w:val="0"/>
          <w:szCs w:val="21"/>
          <w:highlight w:val="none"/>
          <w14:textFill>
            <w14:solidFill>
              <w14:schemeClr w14:val="tx1"/>
            </w14:solidFill>
          </w14:textFill>
        </w:rPr>
        <w:t>。</w:t>
      </w:r>
    </w:p>
    <w:p w14:paraId="3CAF60B3">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963" w:name="_Toc351203646"/>
      <w:bookmarkStart w:id="964" w:name="_Toc407135261"/>
      <w:bookmarkStart w:id="965" w:name="_Toc114058898"/>
      <w:bookmarkStart w:id="966" w:name="_Toc78449847"/>
      <w:bookmarkStart w:id="967" w:name="_Toc373478405"/>
      <w:bookmarkStart w:id="968" w:name="_Toc373227758"/>
      <w:bookmarkStart w:id="969" w:name="_Toc389065323"/>
      <w:r>
        <w:rPr>
          <w:rFonts w:ascii="Arial" w:hAnsi="Arial" w:eastAsia="黑体"/>
          <w:b/>
          <w:bCs/>
          <w:color w:val="000000" w:themeColor="text1"/>
          <w:sz w:val="32"/>
          <w:szCs w:val="32"/>
          <w:highlight w:val="none"/>
          <w:lang w:val="zh-CN"/>
          <w14:textFill>
            <w14:solidFill>
              <w14:schemeClr w14:val="tx1"/>
            </w14:solidFill>
          </w14:textFill>
        </w:rPr>
        <w:t xml:space="preserve">14. </w:t>
      </w:r>
      <w:r>
        <w:rPr>
          <w:rFonts w:hint="eastAsia" w:ascii="Arial" w:hAnsi="宋体" w:eastAsia="黑体" w:cs="黑体"/>
          <w:b/>
          <w:bCs/>
          <w:color w:val="000000" w:themeColor="text1"/>
          <w:sz w:val="32"/>
          <w:szCs w:val="32"/>
          <w:highlight w:val="none"/>
          <w:lang w:val="zh-CN"/>
          <w14:textFill>
            <w14:solidFill>
              <w14:schemeClr w14:val="tx1"/>
            </w14:solidFill>
          </w14:textFill>
        </w:rPr>
        <w:t>竣工结算</w:t>
      </w:r>
      <w:bookmarkEnd w:id="963"/>
      <w:bookmarkEnd w:id="964"/>
      <w:bookmarkEnd w:id="965"/>
      <w:bookmarkEnd w:id="966"/>
      <w:bookmarkEnd w:id="967"/>
      <w:bookmarkEnd w:id="968"/>
      <w:bookmarkEnd w:id="969"/>
    </w:p>
    <w:p w14:paraId="61B65F0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70" w:name="_Toc373227759"/>
      <w:bookmarkStart w:id="971" w:name="_Toc78449848"/>
      <w:bookmarkStart w:id="972" w:name="_Toc114058899"/>
      <w:bookmarkStart w:id="973" w:name="_Toc389065324"/>
      <w:bookmarkStart w:id="974" w:name="_Toc407135262"/>
      <w:bookmarkStart w:id="975" w:name="_Toc373478406"/>
      <w:r>
        <w:rPr>
          <w:rFonts w:eastAsia="黑体"/>
          <w:b/>
          <w:bCs/>
          <w:color w:val="000000" w:themeColor="text1"/>
          <w:sz w:val="32"/>
          <w:szCs w:val="32"/>
          <w:highlight w:val="none"/>
          <w:lang w:val="zh-CN"/>
          <w14:textFill>
            <w14:solidFill>
              <w14:schemeClr w14:val="tx1"/>
            </w14:solidFill>
          </w14:textFill>
        </w:rPr>
        <w:t xml:space="preserve">14.1 </w:t>
      </w:r>
      <w:r>
        <w:rPr>
          <w:rFonts w:hint="eastAsia" w:hAnsi="宋体" w:eastAsia="黑体" w:cs="黑体"/>
          <w:b/>
          <w:bCs/>
          <w:color w:val="000000" w:themeColor="text1"/>
          <w:sz w:val="32"/>
          <w:szCs w:val="32"/>
          <w:highlight w:val="none"/>
          <w:lang w:val="zh-CN"/>
          <w14:textFill>
            <w14:solidFill>
              <w14:schemeClr w14:val="tx1"/>
            </w14:solidFill>
          </w14:textFill>
        </w:rPr>
        <w:t>竣工付款申请</w:t>
      </w:r>
      <w:bookmarkEnd w:id="970"/>
      <w:bookmarkEnd w:id="971"/>
      <w:bookmarkEnd w:id="972"/>
      <w:bookmarkEnd w:id="973"/>
      <w:bookmarkEnd w:id="974"/>
      <w:bookmarkEnd w:id="975"/>
    </w:p>
    <w:p w14:paraId="403F3914">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承包人提交竣工付款申请单的期限：</w:t>
      </w:r>
      <w:r>
        <w:rPr>
          <w:rFonts w:hint="eastAsia"/>
          <w:color w:val="000000" w:themeColor="text1"/>
          <w:szCs w:val="21"/>
          <w:highlight w:val="none"/>
          <w:u w:val="single"/>
          <w14:textFill>
            <w14:solidFill>
              <w14:schemeClr w14:val="tx1"/>
            </w14:solidFill>
          </w14:textFill>
        </w:rPr>
        <w:t>工程竣工验收合格后42天内</w:t>
      </w:r>
      <w:r>
        <w:rPr>
          <w:rFonts w:hint="eastAsia" w:hAnsi="宋体" w:cs="宋体"/>
          <w:color w:val="000000" w:themeColor="text1"/>
          <w:szCs w:val="21"/>
          <w:highlight w:val="none"/>
          <w14:textFill>
            <w14:solidFill>
              <w14:schemeClr w14:val="tx1"/>
            </w14:solidFill>
          </w14:textFill>
        </w:rPr>
        <w:t>。</w:t>
      </w:r>
    </w:p>
    <w:p w14:paraId="41F76BEF">
      <w:pPr>
        <w:spacing w:line="400" w:lineRule="exact"/>
        <w:ind w:firstLine="600"/>
        <w:rPr>
          <w:rFonts w:hAnsi="宋体" w:cs="宋体"/>
          <w:color w:val="000000" w:themeColor="text1"/>
          <w:szCs w:val="22"/>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竣工结算申请的资料清单和份数：</w:t>
      </w:r>
      <w:r>
        <w:rPr>
          <w:color w:val="000000" w:themeColor="text1"/>
          <w:szCs w:val="21"/>
          <w:highlight w:val="none"/>
          <w:u w:val="single"/>
          <w14:textFill>
            <w14:solidFill>
              <w14:schemeClr w14:val="tx1"/>
            </w14:solidFill>
          </w14:textFill>
        </w:rPr>
        <w:t>竣工验收资料的份数：</w:t>
      </w:r>
      <w:r>
        <w:rPr>
          <w:rFonts w:hint="eastAsia"/>
          <w:color w:val="000000" w:themeColor="text1"/>
          <w:szCs w:val="21"/>
          <w:highlight w:val="none"/>
          <w:u w:val="single"/>
          <w14:textFill>
            <w14:solidFill>
              <w14:schemeClr w14:val="tx1"/>
            </w14:solidFill>
          </w14:textFill>
        </w:rPr>
        <w:t>承包人应在竣工验收合格后30天内按照建设行政主管部门及发包人的要求提供有关竣工资料（至少包括施工技术管理资料、工程质量保证资料、工程质量竣工验收记录、竣工图），其套数除满足各政府部门存档需要外还需另提供两套原件及完整电子文档一份由发包人存档备用。</w:t>
      </w:r>
    </w:p>
    <w:p w14:paraId="45C62955">
      <w:pPr>
        <w:spacing w:line="360" w:lineRule="auto"/>
        <w:ind w:firstLine="420" w:firstLineChars="200"/>
        <w:jc w:val="left"/>
        <w:rPr>
          <w:rFonts w:ascii="宋体" w:hAnsi="宋体"/>
          <w:color w:val="000000" w:themeColor="text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竣工付款申请单应包括的内容：</w:t>
      </w:r>
      <w:bookmarkStart w:id="976" w:name="_Toc376269933"/>
      <w:r>
        <w:rPr>
          <w:rFonts w:hint="eastAsia" w:hAnsi="宋体" w:cs="宋体"/>
          <w:color w:val="000000" w:themeColor="text1"/>
          <w:szCs w:val="21"/>
          <w:highlight w:val="none"/>
          <w14:textFill>
            <w14:solidFill>
              <w14:schemeClr w14:val="tx1"/>
            </w14:solidFill>
          </w14:textFill>
        </w:rPr>
        <w:t>按《通用条款》执行。</w:t>
      </w:r>
      <w:r>
        <w:rPr>
          <w:rFonts w:hint="eastAsia" w:ascii="宋体" w:hAnsi="宋体"/>
          <w:color w:val="000000" w:themeColor="text1"/>
          <w:highlight w:val="none"/>
          <w:u w:val="single"/>
          <w14:textFill>
            <w14:solidFill>
              <w14:schemeClr w14:val="tx1"/>
            </w14:solidFill>
          </w14:textFill>
        </w:rPr>
        <w:t>本工程最终竣工结算需报</w:t>
      </w:r>
      <w:r>
        <w:rPr>
          <w:rFonts w:hint="eastAsia" w:hAnsi="宋体"/>
          <w:color w:val="000000" w:themeColor="text1"/>
          <w:szCs w:val="21"/>
          <w:highlight w:val="none"/>
          <w14:textFill>
            <w14:solidFill>
              <w14:schemeClr w14:val="tx1"/>
            </w14:solidFill>
          </w14:textFill>
        </w:rPr>
        <w:t>业主有关部门</w:t>
      </w:r>
      <w:r>
        <w:rPr>
          <w:rFonts w:hint="eastAsia" w:ascii="宋体" w:hAnsi="宋体"/>
          <w:color w:val="000000" w:themeColor="text1"/>
          <w:highlight w:val="none"/>
          <w:u w:val="single"/>
          <w14:textFill>
            <w14:solidFill>
              <w14:schemeClr w14:val="tx1"/>
            </w14:solidFill>
          </w14:textFill>
        </w:rPr>
        <w:t>审定，承包人所编制的工程竣工资料经</w:t>
      </w:r>
      <w:r>
        <w:rPr>
          <w:rFonts w:hint="eastAsia"/>
          <w:color w:val="000000" w:themeColor="text1"/>
          <w:highlight w:val="none"/>
          <w14:textFill>
            <w14:solidFill>
              <w14:schemeClr w14:val="tx1"/>
            </w14:solidFill>
          </w14:textFill>
        </w:rPr>
        <w:t>监理</w:t>
      </w:r>
      <w:r>
        <w:rPr>
          <w:rFonts w:hint="eastAsia" w:ascii="宋体" w:hAnsi="宋体"/>
          <w:color w:val="000000" w:themeColor="text1"/>
          <w:highlight w:val="none"/>
          <w:u w:val="single"/>
          <w14:textFill>
            <w14:solidFill>
              <w14:schemeClr w14:val="tx1"/>
            </w14:solidFill>
          </w14:textFill>
        </w:rPr>
        <w:t>审核后，送到</w:t>
      </w:r>
      <w:r>
        <w:rPr>
          <w:rFonts w:hint="eastAsia" w:hAnsi="宋体"/>
          <w:color w:val="000000" w:themeColor="text1"/>
          <w:szCs w:val="21"/>
          <w:highlight w:val="none"/>
          <w14:textFill>
            <w14:solidFill>
              <w14:schemeClr w14:val="tx1"/>
            </w14:solidFill>
          </w14:textFill>
        </w:rPr>
        <w:t>业主有关部门</w:t>
      </w:r>
      <w:r>
        <w:rPr>
          <w:rFonts w:hint="eastAsia" w:ascii="宋体" w:hAnsi="宋体"/>
          <w:color w:val="000000" w:themeColor="text1"/>
          <w:highlight w:val="none"/>
          <w:u w:val="single"/>
          <w14:textFill>
            <w14:solidFill>
              <w14:schemeClr w14:val="tx1"/>
            </w14:solidFill>
          </w14:textFill>
        </w:rPr>
        <w:t>之日起，承包人所遗漏的与工程造价有关的资料不再作为结算审核依据，按自动放弃处理。</w:t>
      </w:r>
      <w:bookmarkEnd w:id="976"/>
    </w:p>
    <w:p w14:paraId="46A45EDD">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竣工结算款支付申请（核准）表见合同附件12。</w:t>
      </w:r>
    </w:p>
    <w:p w14:paraId="4DC24833">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77" w:name="_Toc373478407"/>
      <w:bookmarkStart w:id="978" w:name="_Toc389065325"/>
      <w:bookmarkStart w:id="979" w:name="_Toc407135263"/>
      <w:bookmarkStart w:id="980" w:name="_Toc373227760"/>
      <w:bookmarkStart w:id="981" w:name="_Toc78449849"/>
      <w:bookmarkStart w:id="982" w:name="_Toc114058900"/>
      <w:r>
        <w:rPr>
          <w:rFonts w:eastAsia="黑体"/>
          <w:b/>
          <w:bCs/>
          <w:color w:val="000000" w:themeColor="text1"/>
          <w:sz w:val="32"/>
          <w:szCs w:val="32"/>
          <w:highlight w:val="none"/>
          <w:lang w:val="zh-CN"/>
          <w14:textFill>
            <w14:solidFill>
              <w14:schemeClr w14:val="tx1"/>
            </w14:solidFill>
          </w14:textFill>
        </w:rPr>
        <w:t xml:space="preserve">14.2 </w:t>
      </w:r>
      <w:r>
        <w:rPr>
          <w:rFonts w:hint="eastAsia" w:hAnsi="宋体" w:eastAsia="黑体" w:cs="黑体"/>
          <w:b/>
          <w:bCs/>
          <w:color w:val="000000" w:themeColor="text1"/>
          <w:sz w:val="32"/>
          <w:szCs w:val="32"/>
          <w:highlight w:val="none"/>
          <w:lang w:val="zh-CN"/>
          <w14:textFill>
            <w14:solidFill>
              <w14:schemeClr w14:val="tx1"/>
            </w14:solidFill>
          </w14:textFill>
        </w:rPr>
        <w:t>竣工结算审核</w:t>
      </w:r>
      <w:bookmarkEnd w:id="977"/>
      <w:bookmarkEnd w:id="978"/>
      <w:bookmarkEnd w:id="979"/>
      <w:bookmarkEnd w:id="980"/>
      <w:bookmarkEnd w:id="981"/>
      <w:bookmarkEnd w:id="982"/>
    </w:p>
    <w:p w14:paraId="6CC5DF37">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发包人审批竣工付款申请单的期限：</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66"/>
        <w:gridCol w:w="5967"/>
      </w:tblGrid>
      <w:tr w14:paraId="6BCB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51E2CAA">
            <w:pPr>
              <w:spacing w:line="360" w:lineRule="auto"/>
              <w:rPr>
                <w:color w:val="000000" w:themeColor="text1"/>
                <w:szCs w:val="21"/>
                <w:highlight w:val="none"/>
                <w14:textFill>
                  <w14:solidFill>
                    <w14:schemeClr w14:val="tx1"/>
                  </w14:solidFill>
                </w14:textFill>
              </w:rPr>
            </w:pPr>
          </w:p>
        </w:tc>
        <w:tc>
          <w:tcPr>
            <w:tcW w:w="2466" w:type="dxa"/>
            <w:vAlign w:val="center"/>
          </w:tcPr>
          <w:p w14:paraId="2EA30AF1">
            <w:pPr>
              <w:spacing w:line="360" w:lineRule="auto"/>
              <w:ind w:firstLine="27" w:firstLineChars="13"/>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工程竣工结算报告金额</w:t>
            </w:r>
          </w:p>
        </w:tc>
        <w:tc>
          <w:tcPr>
            <w:tcW w:w="5967" w:type="dxa"/>
            <w:vAlign w:val="center"/>
          </w:tcPr>
          <w:p w14:paraId="6E66A0C2">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发包人审查时间</w:t>
            </w:r>
          </w:p>
        </w:tc>
      </w:tr>
      <w:tr w14:paraId="6369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21F64C06">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466" w:type="dxa"/>
            <w:vAlign w:val="center"/>
          </w:tcPr>
          <w:p w14:paraId="053909E3">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w:t>
            </w:r>
            <w:r>
              <w:rPr>
                <w:rFonts w:hint="eastAsia" w:hAnsi="宋体" w:cs="宋体"/>
                <w:color w:val="000000" w:themeColor="text1"/>
                <w:szCs w:val="21"/>
                <w:highlight w:val="none"/>
                <w14:textFill>
                  <w14:solidFill>
                    <w14:schemeClr w14:val="tx1"/>
                  </w14:solidFill>
                </w14:textFill>
              </w:rPr>
              <w:t>万元以下</w:t>
            </w:r>
          </w:p>
        </w:tc>
        <w:tc>
          <w:tcPr>
            <w:tcW w:w="5967" w:type="dxa"/>
            <w:vAlign w:val="center"/>
          </w:tcPr>
          <w:p w14:paraId="25EB5B45">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20</w:t>
            </w:r>
            <w:r>
              <w:rPr>
                <w:rFonts w:hint="eastAsia" w:hAnsi="宋体" w:cs="宋体"/>
                <w:color w:val="000000" w:themeColor="text1"/>
                <w:szCs w:val="21"/>
                <w:highlight w:val="none"/>
                <w14:textFill>
                  <w14:solidFill>
                    <w14:schemeClr w14:val="tx1"/>
                  </w14:solidFill>
                </w14:textFill>
              </w:rPr>
              <w:t>天</w:t>
            </w:r>
          </w:p>
        </w:tc>
      </w:tr>
      <w:tr w14:paraId="241B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AE39D71">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466" w:type="dxa"/>
            <w:vAlign w:val="center"/>
          </w:tcPr>
          <w:p w14:paraId="07819FE2">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w:t>
            </w:r>
            <w:r>
              <w:rPr>
                <w:rFonts w:hint="eastAsia" w:hAnsi="宋体" w:cs="宋体"/>
                <w:color w:val="000000" w:themeColor="text1"/>
                <w:szCs w:val="21"/>
                <w:highlight w:val="none"/>
                <w14:textFill>
                  <w14:solidFill>
                    <w14:schemeClr w14:val="tx1"/>
                  </w14:solidFill>
                </w14:textFill>
              </w:rPr>
              <w:t>万元</w:t>
            </w:r>
            <w:r>
              <w:rPr>
                <w:color w:val="000000" w:themeColor="text1"/>
                <w:szCs w:val="21"/>
                <w:highlight w:val="none"/>
                <w14:textFill>
                  <w14:solidFill>
                    <w14:schemeClr w14:val="tx1"/>
                  </w14:solidFill>
                </w14:textFill>
              </w:rPr>
              <w:t>-2000</w:t>
            </w:r>
            <w:r>
              <w:rPr>
                <w:rFonts w:hint="eastAsia" w:hAnsi="宋体" w:cs="宋体"/>
                <w:color w:val="000000" w:themeColor="text1"/>
                <w:szCs w:val="21"/>
                <w:highlight w:val="none"/>
                <w14:textFill>
                  <w14:solidFill>
                    <w14:schemeClr w14:val="tx1"/>
                  </w14:solidFill>
                </w14:textFill>
              </w:rPr>
              <w:t>万元</w:t>
            </w:r>
          </w:p>
        </w:tc>
        <w:tc>
          <w:tcPr>
            <w:tcW w:w="5967" w:type="dxa"/>
            <w:vAlign w:val="center"/>
          </w:tcPr>
          <w:p w14:paraId="19C157D5">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30</w:t>
            </w:r>
            <w:r>
              <w:rPr>
                <w:rFonts w:hint="eastAsia" w:hAnsi="宋体" w:cs="宋体"/>
                <w:color w:val="000000" w:themeColor="text1"/>
                <w:szCs w:val="21"/>
                <w:highlight w:val="none"/>
                <w14:textFill>
                  <w14:solidFill>
                    <w14:schemeClr w14:val="tx1"/>
                  </w14:solidFill>
                </w14:textFill>
              </w:rPr>
              <w:t>天</w:t>
            </w:r>
          </w:p>
        </w:tc>
      </w:tr>
      <w:tr w14:paraId="0F80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3C0ED3B5">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2466" w:type="dxa"/>
            <w:vAlign w:val="center"/>
          </w:tcPr>
          <w:p w14:paraId="06ED9950">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2000</w:t>
            </w:r>
            <w:r>
              <w:rPr>
                <w:rFonts w:hint="eastAsia" w:hAnsi="宋体" w:cs="宋体"/>
                <w:color w:val="000000" w:themeColor="text1"/>
                <w:szCs w:val="21"/>
                <w:highlight w:val="none"/>
                <w14:textFill>
                  <w14:solidFill>
                    <w14:schemeClr w14:val="tx1"/>
                  </w14:solidFill>
                </w14:textFill>
              </w:rPr>
              <w:t>万元</w:t>
            </w:r>
            <w:r>
              <w:rPr>
                <w:color w:val="000000" w:themeColor="text1"/>
                <w:szCs w:val="21"/>
                <w:highlight w:val="none"/>
                <w14:textFill>
                  <w14:solidFill>
                    <w14:schemeClr w14:val="tx1"/>
                  </w14:solidFill>
                </w14:textFill>
              </w:rPr>
              <w:t>-5000</w:t>
            </w:r>
            <w:r>
              <w:rPr>
                <w:rFonts w:hint="eastAsia" w:hAnsi="宋体" w:cs="宋体"/>
                <w:color w:val="000000" w:themeColor="text1"/>
                <w:szCs w:val="21"/>
                <w:highlight w:val="none"/>
                <w14:textFill>
                  <w14:solidFill>
                    <w14:schemeClr w14:val="tx1"/>
                  </w14:solidFill>
                </w14:textFill>
              </w:rPr>
              <w:t>万元</w:t>
            </w:r>
          </w:p>
        </w:tc>
        <w:tc>
          <w:tcPr>
            <w:tcW w:w="5967" w:type="dxa"/>
            <w:vAlign w:val="center"/>
          </w:tcPr>
          <w:p w14:paraId="4517D854">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45</w:t>
            </w:r>
            <w:r>
              <w:rPr>
                <w:rFonts w:hint="eastAsia" w:hAnsi="宋体" w:cs="宋体"/>
                <w:color w:val="000000" w:themeColor="text1"/>
                <w:szCs w:val="21"/>
                <w:highlight w:val="none"/>
                <w14:textFill>
                  <w14:solidFill>
                    <w14:schemeClr w14:val="tx1"/>
                  </w14:solidFill>
                </w14:textFill>
              </w:rPr>
              <w:t>天</w:t>
            </w:r>
          </w:p>
        </w:tc>
      </w:tr>
      <w:tr w14:paraId="5CE4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0D732EF2">
            <w:pPr>
              <w:spacing w:line="360" w:lineRule="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2466" w:type="dxa"/>
            <w:vAlign w:val="center"/>
          </w:tcPr>
          <w:p w14:paraId="10687B29">
            <w:pPr>
              <w:spacing w:line="360" w:lineRule="auto"/>
              <w:ind w:firstLine="27" w:firstLineChars="13"/>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5000</w:t>
            </w:r>
            <w:r>
              <w:rPr>
                <w:rFonts w:hint="eastAsia" w:hAnsi="宋体" w:cs="宋体"/>
                <w:color w:val="000000" w:themeColor="text1"/>
                <w:szCs w:val="21"/>
                <w:highlight w:val="none"/>
                <w14:textFill>
                  <w14:solidFill>
                    <w14:schemeClr w14:val="tx1"/>
                  </w14:solidFill>
                </w14:textFill>
              </w:rPr>
              <w:t>万元以上</w:t>
            </w:r>
          </w:p>
        </w:tc>
        <w:tc>
          <w:tcPr>
            <w:tcW w:w="5967" w:type="dxa"/>
            <w:vAlign w:val="center"/>
          </w:tcPr>
          <w:p w14:paraId="1F77E767">
            <w:pPr>
              <w:spacing w:line="360" w:lineRule="auto"/>
              <w:ind w:firstLine="441" w:firstLineChars="210"/>
              <w:jc w:val="center"/>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从接到竣工结算报告和完整的竣工结算资料之日起</w:t>
            </w:r>
            <w:r>
              <w:rPr>
                <w:color w:val="000000" w:themeColor="text1"/>
                <w:szCs w:val="21"/>
                <w:highlight w:val="none"/>
                <w14:textFill>
                  <w14:solidFill>
                    <w14:schemeClr w14:val="tx1"/>
                  </w14:solidFill>
                </w14:textFill>
              </w:rPr>
              <w:t>60</w:t>
            </w:r>
            <w:r>
              <w:rPr>
                <w:rFonts w:hint="eastAsia" w:hAnsi="宋体" w:cs="宋体"/>
                <w:color w:val="000000" w:themeColor="text1"/>
                <w:szCs w:val="21"/>
                <w:highlight w:val="none"/>
                <w14:textFill>
                  <w14:solidFill>
                    <w14:schemeClr w14:val="tx1"/>
                  </w14:solidFill>
                </w14:textFill>
              </w:rPr>
              <w:t>天</w:t>
            </w:r>
          </w:p>
        </w:tc>
      </w:tr>
      <w:tr w14:paraId="7304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 w:type="dxa"/>
            <w:vAlign w:val="center"/>
          </w:tcPr>
          <w:p w14:paraId="170794DF">
            <w:pPr>
              <w:spacing w:line="360" w:lineRule="auto"/>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2466" w:type="dxa"/>
            <w:vAlign w:val="center"/>
          </w:tcPr>
          <w:p w14:paraId="0A42358B">
            <w:pPr>
              <w:spacing w:line="360" w:lineRule="auto"/>
              <w:ind w:firstLine="27" w:firstLineChars="13"/>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5000万以上每增加</w:t>
            </w:r>
            <w:r>
              <w:rPr>
                <w:color w:val="000000" w:themeColor="text1"/>
                <w:szCs w:val="21"/>
                <w:highlight w:val="none"/>
                <w14:textFill>
                  <w14:solidFill>
                    <w14:schemeClr w14:val="tx1"/>
                  </w14:solidFill>
                </w14:textFill>
              </w:rPr>
              <w:t>0.5</w:t>
            </w:r>
            <w:r>
              <w:rPr>
                <w:rFonts w:hint="eastAsia"/>
                <w:color w:val="000000" w:themeColor="text1"/>
                <w:szCs w:val="21"/>
                <w:highlight w:val="none"/>
                <w14:textFill>
                  <w14:solidFill>
                    <w14:schemeClr w14:val="tx1"/>
                  </w14:solidFill>
                </w14:textFill>
              </w:rPr>
              <w:t>亿(不足0.5亿不增加)</w:t>
            </w:r>
          </w:p>
        </w:tc>
        <w:tc>
          <w:tcPr>
            <w:tcW w:w="5967" w:type="dxa"/>
            <w:vAlign w:val="center"/>
          </w:tcPr>
          <w:p w14:paraId="5CA2861D">
            <w:pPr>
              <w:spacing w:line="360" w:lineRule="auto"/>
              <w:ind w:firstLine="441" w:firstLineChars="210"/>
              <w:jc w:val="center"/>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增加10天</w:t>
            </w:r>
          </w:p>
        </w:tc>
      </w:tr>
    </w:tbl>
    <w:p w14:paraId="1B537EA0">
      <w:pPr>
        <w:spacing w:line="360" w:lineRule="auto"/>
        <w:ind w:firstLine="420" w:firstLineChars="200"/>
        <w:jc w:val="left"/>
        <w:rPr>
          <w:rFonts w:hAnsi="宋体" w:cs="宋体"/>
          <w:color w:val="000000" w:themeColor="text1"/>
          <w:kern w:val="0"/>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工程竣工验收合格后，承包人应按约定一次性报送完整的竣工结算资料至发包人，原则上不再接收补充的结算资料。审核过程中，如发包人提出需承包人补充的结算资料，经发包人催促后20天内仍未提供或没有明确答复，发包人可根据现有资料办理结算，审核时间相应顺延。本工程最终结算价以双方签订最终结算书为准或业主聘请的第三方有关造价单位审定为准。</w:t>
      </w:r>
    </w:p>
    <w:p w14:paraId="3E499C7F">
      <w:pPr>
        <w:spacing w:line="360" w:lineRule="auto"/>
        <w:ind w:firstLine="420" w:firstLineChars="200"/>
        <w:jc w:val="left"/>
        <w:rPr>
          <w:rFonts w:hAnsi="宋体"/>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因承包人提供的结算资料不完整而需要补充或承包人不按时对账耽误时间时，审查时间应相应顺延</w:t>
      </w:r>
      <w:r>
        <w:rPr>
          <w:rFonts w:hAnsi="宋体"/>
          <w:color w:val="000000" w:themeColor="text1"/>
          <w:szCs w:val="21"/>
          <w:highlight w:val="none"/>
          <w14:textFill>
            <w14:solidFill>
              <w14:schemeClr w14:val="tx1"/>
            </w14:solidFill>
          </w14:textFill>
        </w:rPr>
        <w:t>。</w:t>
      </w:r>
    </w:p>
    <w:p w14:paraId="35E707D5">
      <w:pPr>
        <w:spacing w:line="400" w:lineRule="exact"/>
        <w:ind w:firstLine="411" w:firstLineChars="196"/>
        <w:rPr>
          <w:rFonts w:hAnsi="宋体"/>
          <w:bCs/>
          <w:color w:val="000000" w:themeColor="text1"/>
          <w:szCs w:val="21"/>
          <w:highlight w:val="none"/>
          <w14:textFill>
            <w14:solidFill>
              <w14:schemeClr w14:val="tx1"/>
            </w14:solidFill>
          </w14:textFill>
        </w:rPr>
      </w:pPr>
      <w:r>
        <w:rPr>
          <w:rFonts w:hint="eastAsia" w:hAnsi="宋体" w:cs="宋体"/>
          <w:color w:val="000000" w:themeColor="text1"/>
          <w:szCs w:val="22"/>
          <w:highlight w:val="none"/>
          <w14:textFill>
            <w14:solidFill>
              <w14:schemeClr w14:val="tx1"/>
            </w14:solidFill>
          </w14:textFill>
        </w:rPr>
        <w:t>竣工</w:t>
      </w:r>
      <w:r>
        <w:rPr>
          <w:rFonts w:hint="eastAsia" w:hAnsi="宋体"/>
          <w:bCs/>
          <w:color w:val="000000" w:themeColor="text1"/>
          <w:szCs w:val="21"/>
          <w:highlight w:val="none"/>
          <w14:textFill>
            <w14:solidFill>
              <w14:schemeClr w14:val="tx1"/>
            </w14:solidFill>
          </w14:textFill>
        </w:rPr>
        <w:t>结算审核约定：</w:t>
      </w:r>
    </w:p>
    <w:p w14:paraId="455DD8E7">
      <w:pPr>
        <w:spacing w:line="400" w:lineRule="exact"/>
        <w:ind w:firstLine="411" w:firstLineChars="196"/>
        <w:rPr>
          <w:rFonts w:hAnsi="宋体"/>
          <w:bCs/>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国有投资项目：</w:t>
      </w:r>
    </w:p>
    <w:p w14:paraId="1140C159">
      <w:pPr>
        <w:spacing w:line="400" w:lineRule="exact"/>
        <w:ind w:firstLine="411" w:firstLineChars="196"/>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1.自竣工结算完毕之日起</w:t>
      </w:r>
      <w:r>
        <w:rPr>
          <w:rFonts w:hint="eastAsia" w:hAnsi="宋体"/>
          <w:color w:val="000000" w:themeColor="text1"/>
          <w:szCs w:val="21"/>
          <w:highlight w:val="none"/>
          <w14:textFill>
            <w14:solidFill>
              <w14:schemeClr w14:val="tx1"/>
            </w14:solidFill>
          </w14:textFill>
        </w:rPr>
        <w:t xml:space="preserve"> 15  </w:t>
      </w:r>
      <w:r>
        <w:rPr>
          <w:rFonts w:hint="eastAsia" w:hAnsi="宋体" w:cs="宋体"/>
          <w:color w:val="000000" w:themeColor="text1"/>
          <w:szCs w:val="21"/>
          <w:highlight w:val="none"/>
          <w14:textFill>
            <w14:solidFill>
              <w14:schemeClr w14:val="tx1"/>
            </w14:solidFill>
          </w14:textFill>
        </w:rPr>
        <w:t>工作日内，</w:t>
      </w:r>
      <w:r>
        <w:rPr>
          <w:color w:val="000000" w:themeColor="text1"/>
          <w:szCs w:val="21"/>
          <w:highlight w:val="none"/>
          <w14:textFill>
            <w14:solidFill>
              <w14:schemeClr w14:val="tx1"/>
            </w14:solidFill>
          </w14:textFill>
        </w:rPr>
        <w:t>经承包人申请</w:t>
      </w:r>
      <w:r>
        <w:rPr>
          <w:rFonts w:hint="eastAsia" w:hAnsi="宋体" w:cs="宋体"/>
          <w:color w:val="000000" w:themeColor="text1"/>
          <w:szCs w:val="21"/>
          <w:highlight w:val="none"/>
          <w14:textFill>
            <w14:solidFill>
              <w14:schemeClr w14:val="tx1"/>
            </w14:solidFill>
          </w14:textFill>
        </w:rPr>
        <w:t>发包人按审定后的竣工结算价款，通知经办银行向承包人支付结算价款。</w:t>
      </w:r>
    </w:p>
    <w:p w14:paraId="0F24373B">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本工程最终竣工结算达到《自治区本级财政投资评审实施办法》（桂财办【2015】70号）规定的评审范围，需报财政部门审定，承包人所编制的工程竣工资料经发包人审核后，送到财政部门之日起，承包人所遗漏的与工程造价有关的签证不再作为结算审核依据，按自动放弃处理。竣工结算以财政评审意见为准。</w:t>
      </w:r>
    </w:p>
    <w:p w14:paraId="260827DB">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3.如承包人报送的工程结算总价过高，造成该结算审减率超过6%以上的，则超出6%以上部分的审核费由承包人承担，费用由发包人从承包人工程结算款中扣除。计算公式如下：</w:t>
      </w:r>
    </w:p>
    <w:p w14:paraId="524D9CCD">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审减率=（送审造价-审定造价）/送审造价*100%；当审减率大于6%时，承包人应承担的审核费=（净审减额-送审额*6%）*3.5%”。</w:t>
      </w:r>
    </w:p>
    <w:p w14:paraId="584A8905">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4.工程竣工验收报告经发包人认可后30天内，承包人应向发包人递交竣工验收合格资料及完整的结算资料和报告，双方按照本工程合同约定的价格形式及价款调整办法进行工程竣工结算。</w:t>
      </w:r>
    </w:p>
    <w:p w14:paraId="60CC69DC">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如承包人逾期递交竣工验收合格资料及完整的结算资料和报告，每延误一天,按签约合同价的万分之二计算逾期违约金,违约金直接从结算款中扣除。违约金上限：签约合同价扣除发包人材料价款、暂估专业工程、暂列金额后的百分之二。</w:t>
      </w:r>
    </w:p>
    <w:p w14:paraId="159349CD">
      <w:pPr>
        <w:spacing w:line="400" w:lineRule="exact"/>
        <w:ind w:firstLine="411" w:firstLineChars="196"/>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6.承包人必须提供完整、真实的隐蔽工程原始施工、验收记录。如发现施工单位提供的隐蔽工程资料与实际不符时，按不利于施工单位原则结算。</w:t>
      </w:r>
    </w:p>
    <w:p w14:paraId="71B95A1F">
      <w:pPr>
        <w:spacing w:line="400" w:lineRule="exact"/>
        <w:ind w:firstLine="411" w:firstLineChars="196"/>
        <w:rPr>
          <w:rFonts w:hAnsi="宋体"/>
          <w:bCs/>
          <w:color w:val="000000" w:themeColor="text1"/>
          <w:szCs w:val="21"/>
          <w:highlight w:val="none"/>
          <w14:textFill>
            <w14:solidFill>
              <w14:schemeClr w14:val="tx1"/>
            </w14:solidFill>
          </w14:textFill>
        </w:rPr>
      </w:pPr>
    </w:p>
    <w:p w14:paraId="15C25928">
      <w:pPr>
        <w:spacing w:line="400" w:lineRule="exact"/>
        <w:ind w:firstLine="411" w:firstLineChars="196"/>
        <w:rPr>
          <w:rFonts w:hAnsi="宋体"/>
          <w:bCs/>
          <w:color w:val="000000" w:themeColor="text1"/>
          <w:szCs w:val="21"/>
          <w:highlight w:val="none"/>
          <w:u w:val="singl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非国有投资项目：</w:t>
      </w:r>
      <w:r>
        <w:rPr>
          <w:rFonts w:hAnsi="宋体"/>
          <w:bCs/>
          <w:color w:val="000000" w:themeColor="text1"/>
          <w:szCs w:val="21"/>
          <w:highlight w:val="none"/>
          <w:u w:val="single"/>
          <w14:textFill>
            <w14:solidFill>
              <w14:schemeClr w14:val="tx1"/>
            </w14:solidFill>
          </w14:textFill>
        </w:rPr>
        <w:t>1</w:t>
      </w:r>
      <w:r>
        <w:rPr>
          <w:rFonts w:hint="eastAsia" w:hAnsi="宋体"/>
          <w:bCs/>
          <w:color w:val="000000" w:themeColor="text1"/>
          <w:szCs w:val="21"/>
          <w:highlight w:val="none"/>
          <w:u w:val="single"/>
          <w14:textFill>
            <w14:solidFill>
              <w14:schemeClr w14:val="tx1"/>
            </w14:solidFill>
          </w14:textFill>
        </w:rPr>
        <w:t>、工程竣工验收报告经发包人认可后天内，承包人向发包人递交竣工验收合格资料及完整的结算资料和报告，双方按照协议书约定的合同价款及专用条款约定的合同价调整内容，进行工程竣工结算。</w:t>
      </w:r>
      <w:r>
        <w:rPr>
          <w:rFonts w:hAnsi="宋体"/>
          <w:bCs/>
          <w:color w:val="000000" w:themeColor="text1"/>
          <w:szCs w:val="21"/>
          <w:highlight w:val="none"/>
          <w:u w:val="single"/>
          <w14:textFill>
            <w14:solidFill>
              <w14:schemeClr w14:val="tx1"/>
            </w14:solidFill>
          </w14:textFill>
        </w:rPr>
        <w:t>2</w:t>
      </w:r>
      <w:r>
        <w:rPr>
          <w:rFonts w:hint="eastAsia" w:hAnsi="宋体"/>
          <w:bCs/>
          <w:color w:val="000000" w:themeColor="text1"/>
          <w:szCs w:val="21"/>
          <w:highlight w:val="none"/>
          <w:u w:val="single"/>
          <w14:textFill>
            <w14:solidFill>
              <w14:schemeClr w14:val="tx1"/>
            </w14:solidFill>
          </w14:textFill>
        </w:rPr>
        <w:t>、发包人收到承包人递交的竣工结算报告及结算资料之日起天内进行审核，给予确认或者提出初审意见。发包人逾期不予审定结算的视为发包人已同意上述竣工结算报告及结算资料，并以此作为最终结算的依据。发包人初审竣工结算完毕之日起天内，按审定后的结算价款，通知经办银行向承包人支付工程竣工结算价款。承包人应根据发包人的需要随时将竣工工程交付发包人。</w:t>
      </w:r>
    </w:p>
    <w:p w14:paraId="754FBB45">
      <w:pPr>
        <w:spacing w:line="400" w:lineRule="exact"/>
        <w:ind w:firstLine="411" w:firstLineChars="196"/>
        <w:rPr>
          <w:rFonts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发包人完成竣工付款的期限：</w:t>
      </w:r>
      <w:r>
        <w:rPr>
          <w:rFonts w:hint="eastAsia" w:ascii="宋体" w:hAnsi="宋体"/>
          <w:color w:val="000000" w:themeColor="text1"/>
          <w:szCs w:val="21"/>
          <w:highlight w:val="none"/>
          <w:u w:val="single"/>
          <w14:textFill>
            <w14:solidFill>
              <w14:schemeClr w14:val="tx1"/>
            </w14:solidFill>
          </w14:textFill>
        </w:rPr>
        <w:t>按本专用条款12.4.1的约定支付</w:t>
      </w:r>
      <w:r>
        <w:rPr>
          <w:rFonts w:hAnsi="宋体"/>
          <w:color w:val="000000" w:themeColor="text1"/>
          <w:szCs w:val="21"/>
          <w:highlight w:val="none"/>
          <w14:textFill>
            <w14:solidFill>
              <w14:schemeClr w14:val="tx1"/>
            </w14:solidFill>
          </w14:textFill>
        </w:rPr>
        <w:t>。</w:t>
      </w:r>
    </w:p>
    <w:p w14:paraId="6375B45D">
      <w:pPr>
        <w:spacing w:line="400" w:lineRule="exact"/>
        <w:ind w:firstLine="411" w:firstLineChars="196"/>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关于竣工付款证书异议部分复核的方式和程序：</w:t>
      </w:r>
      <w:r>
        <w:rPr>
          <w:rFonts w:hint="eastAsia" w:hAnsi="宋体"/>
          <w:color w:val="000000" w:themeColor="text1"/>
          <w:szCs w:val="21"/>
          <w:highlight w:val="none"/>
          <w:u w:val="single"/>
          <w14:textFill>
            <w14:solidFill>
              <w14:schemeClr w14:val="tx1"/>
            </w14:solidFill>
          </w14:textFill>
        </w:rPr>
        <w:t>执行通用条款</w:t>
      </w:r>
      <w:r>
        <w:rPr>
          <w:rFonts w:hAnsi="宋体"/>
          <w:color w:val="000000" w:themeColor="text1"/>
          <w:szCs w:val="21"/>
          <w:highlight w:val="none"/>
          <w14:textFill>
            <w14:solidFill>
              <w14:schemeClr w14:val="tx1"/>
            </w14:solidFill>
          </w14:textFill>
        </w:rPr>
        <w:t>。</w:t>
      </w:r>
    </w:p>
    <w:p w14:paraId="63C8470D">
      <w:pPr>
        <w:spacing w:line="360" w:lineRule="auto"/>
        <w:ind w:firstLine="420" w:firstLineChars="200"/>
        <w:jc w:val="left"/>
        <w:rPr>
          <w:color w:val="000000" w:themeColor="text1"/>
          <w:szCs w:val="21"/>
          <w:highlight w:val="none"/>
          <w:u w:val="single"/>
          <w14:textFill>
            <w14:solidFill>
              <w14:schemeClr w14:val="tx1"/>
            </w14:solidFill>
          </w14:textFill>
        </w:rPr>
      </w:pPr>
    </w:p>
    <w:p w14:paraId="7D0F5F0C">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983" w:name="_Toc389065326"/>
      <w:bookmarkStart w:id="984" w:name="_Toc407135264"/>
      <w:bookmarkStart w:id="985" w:name="_Toc373227761"/>
      <w:bookmarkStart w:id="986" w:name="_Toc78449850"/>
      <w:bookmarkStart w:id="987" w:name="_Toc373478408"/>
      <w:bookmarkStart w:id="988" w:name="_Toc114058901"/>
      <w:r>
        <w:rPr>
          <w:rFonts w:eastAsia="黑体"/>
          <w:b/>
          <w:bCs/>
          <w:color w:val="000000" w:themeColor="text1"/>
          <w:sz w:val="32"/>
          <w:szCs w:val="32"/>
          <w:highlight w:val="none"/>
          <w:lang w:val="zh-CN"/>
          <w14:textFill>
            <w14:solidFill>
              <w14:schemeClr w14:val="tx1"/>
            </w14:solidFill>
          </w14:textFill>
        </w:rPr>
        <w:t xml:space="preserve">14.4 </w:t>
      </w:r>
      <w:r>
        <w:rPr>
          <w:rFonts w:hint="eastAsia" w:hAnsi="宋体" w:eastAsia="黑体" w:cs="黑体"/>
          <w:b/>
          <w:bCs/>
          <w:color w:val="000000" w:themeColor="text1"/>
          <w:sz w:val="32"/>
          <w:szCs w:val="32"/>
          <w:highlight w:val="none"/>
          <w:lang w:val="zh-CN"/>
          <w14:textFill>
            <w14:solidFill>
              <w14:schemeClr w14:val="tx1"/>
            </w14:solidFill>
          </w14:textFill>
        </w:rPr>
        <w:t>最终结清</w:t>
      </w:r>
      <w:bookmarkEnd w:id="983"/>
      <w:bookmarkEnd w:id="984"/>
      <w:bookmarkEnd w:id="985"/>
      <w:bookmarkEnd w:id="986"/>
      <w:bookmarkEnd w:id="987"/>
      <w:bookmarkEnd w:id="988"/>
    </w:p>
    <w:p w14:paraId="466BE45D">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14.4.1 </w:t>
      </w:r>
      <w:r>
        <w:rPr>
          <w:rFonts w:hint="eastAsia" w:hAnsi="宋体" w:cs="宋体"/>
          <w:color w:val="000000" w:themeColor="text1"/>
          <w:kern w:val="0"/>
          <w:szCs w:val="21"/>
          <w:highlight w:val="none"/>
          <w14:textFill>
            <w14:solidFill>
              <w14:schemeClr w14:val="tx1"/>
            </w14:solidFill>
          </w14:textFill>
        </w:rPr>
        <w:t>最终结清申请单</w:t>
      </w:r>
    </w:p>
    <w:p w14:paraId="4774A9A9">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承包人提交最终结清申请单的份数：</w:t>
      </w:r>
      <w:r>
        <w:rPr>
          <w:rFonts w:hint="eastAsia"/>
          <w:color w:val="000000" w:themeColor="text1"/>
          <w:szCs w:val="21"/>
          <w:highlight w:val="none"/>
          <w:u w:val="single"/>
          <w14:textFill>
            <w14:solidFill>
              <w14:schemeClr w14:val="tx1"/>
            </w14:solidFill>
          </w14:textFill>
        </w:rPr>
        <w:t>一式陆份</w:t>
      </w:r>
      <w:r>
        <w:rPr>
          <w:rFonts w:hAnsi="宋体"/>
          <w:color w:val="000000" w:themeColor="text1"/>
          <w:szCs w:val="21"/>
          <w:highlight w:val="none"/>
          <w14:textFill>
            <w14:solidFill>
              <w14:schemeClr w14:val="tx1"/>
            </w14:solidFill>
          </w14:textFill>
        </w:rPr>
        <w:t>。</w:t>
      </w:r>
    </w:p>
    <w:p w14:paraId="207F62C1">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承包人提交最终结算申请单的期限：</w:t>
      </w:r>
      <w:r>
        <w:rPr>
          <w:rFonts w:hint="eastAsia" w:ascii="宋体" w:hAnsi="宋体"/>
          <w:color w:val="000000" w:themeColor="text1"/>
          <w:szCs w:val="21"/>
          <w:highlight w:val="none"/>
          <w:u w:val="single"/>
          <w14:textFill>
            <w14:solidFill>
              <w14:schemeClr w14:val="tx1"/>
            </w14:solidFill>
          </w14:textFill>
        </w:rPr>
        <w:t>缺陷责任期终止证书签发后14天内</w:t>
      </w:r>
      <w:r>
        <w:rPr>
          <w:rFonts w:hint="eastAsia" w:hAnsi="宋体" w:cs="宋体"/>
          <w:color w:val="000000" w:themeColor="text1"/>
          <w:szCs w:val="21"/>
          <w:highlight w:val="none"/>
          <w14:textFill>
            <w14:solidFill>
              <w14:schemeClr w14:val="tx1"/>
            </w14:solidFill>
          </w14:textFill>
        </w:rPr>
        <w:t>。</w:t>
      </w:r>
    </w:p>
    <w:p w14:paraId="138BF1BB">
      <w:pPr>
        <w:spacing w:line="360" w:lineRule="auto"/>
        <w:ind w:firstLine="420" w:firstLineChars="200"/>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最终结算款支付申请（核准）表见合同附件13。</w:t>
      </w:r>
    </w:p>
    <w:p w14:paraId="2BAA78DF">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14.4.2 </w:t>
      </w:r>
      <w:r>
        <w:rPr>
          <w:rFonts w:hint="eastAsia" w:hAnsi="宋体" w:cs="宋体"/>
          <w:color w:val="000000" w:themeColor="text1"/>
          <w:szCs w:val="21"/>
          <w:highlight w:val="none"/>
          <w14:textFill>
            <w14:solidFill>
              <w14:schemeClr w14:val="tx1"/>
            </w14:solidFill>
          </w14:textFill>
        </w:rPr>
        <w:t>最终结清证书和支付</w:t>
      </w:r>
    </w:p>
    <w:p w14:paraId="47CF7B51">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Ansi="宋体"/>
          <w:color w:val="000000" w:themeColor="text1"/>
          <w:szCs w:val="21"/>
          <w:highlight w:val="none"/>
          <w14:textFill>
            <w14:solidFill>
              <w14:schemeClr w14:val="tx1"/>
            </w14:solidFill>
          </w14:textFill>
        </w:rPr>
        <w:t>）发包人完成最终结清申请单的审批并颁发最终结清证书的期限：</w:t>
      </w:r>
      <w:r>
        <w:rPr>
          <w:rFonts w:hint="eastAsia"/>
          <w:color w:val="000000" w:themeColor="text1"/>
          <w:szCs w:val="21"/>
          <w:highlight w:val="none"/>
          <w:u w:val="single"/>
          <w14:textFill>
            <w14:solidFill>
              <w14:schemeClr w14:val="tx1"/>
            </w14:solidFill>
          </w14:textFill>
        </w:rPr>
        <w:t>收到该申请28天内</w:t>
      </w:r>
      <w:r>
        <w:rPr>
          <w:rFonts w:hAnsi="宋体"/>
          <w:color w:val="000000" w:themeColor="text1"/>
          <w:szCs w:val="21"/>
          <w:highlight w:val="none"/>
          <w14:textFill>
            <w14:solidFill>
              <w14:schemeClr w14:val="tx1"/>
            </w14:solidFill>
          </w14:textFill>
        </w:rPr>
        <w:t>。</w:t>
      </w:r>
    </w:p>
    <w:p w14:paraId="720073EE">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Ansi="宋体"/>
          <w:color w:val="000000" w:themeColor="text1"/>
          <w:szCs w:val="21"/>
          <w:highlight w:val="none"/>
          <w14:textFill>
            <w14:solidFill>
              <w14:schemeClr w14:val="tx1"/>
            </w14:solidFill>
          </w14:textFill>
        </w:rPr>
        <w:t>）发包人完成支付的期限：</w:t>
      </w:r>
      <w:r>
        <w:rPr>
          <w:rFonts w:hint="eastAsia" w:ascii="宋体" w:hAnsi="宋体"/>
          <w:color w:val="000000" w:themeColor="text1"/>
          <w:szCs w:val="21"/>
          <w:highlight w:val="none"/>
          <w:u w:val="single"/>
          <w14:textFill>
            <w14:solidFill>
              <w14:schemeClr w14:val="tx1"/>
            </w14:solidFill>
          </w14:textFill>
        </w:rPr>
        <w:t>按本专用条款12.4.1的约定支付</w:t>
      </w:r>
      <w:r>
        <w:rPr>
          <w:rFonts w:hint="eastAsia" w:hAnsi="宋体" w:cs="宋体"/>
          <w:color w:val="000000" w:themeColor="text1"/>
          <w:szCs w:val="21"/>
          <w:highlight w:val="none"/>
          <w14:textFill>
            <w14:solidFill>
              <w14:schemeClr w14:val="tx1"/>
            </w14:solidFill>
          </w14:textFill>
        </w:rPr>
        <w:t>。</w:t>
      </w:r>
    </w:p>
    <w:bookmarkEnd w:id="938"/>
    <w:bookmarkEnd w:id="939"/>
    <w:bookmarkEnd w:id="940"/>
    <w:bookmarkEnd w:id="941"/>
    <w:bookmarkEnd w:id="942"/>
    <w:bookmarkEnd w:id="943"/>
    <w:bookmarkEnd w:id="944"/>
    <w:bookmarkEnd w:id="950"/>
    <w:p w14:paraId="01CC1DC5">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989" w:name="_Toc78449851"/>
      <w:bookmarkStart w:id="990" w:name="_Toc389065327"/>
      <w:bookmarkStart w:id="991" w:name="_Toc373227762"/>
      <w:bookmarkStart w:id="992" w:name="_Toc114058902"/>
      <w:bookmarkStart w:id="993" w:name="_Toc407135265"/>
      <w:bookmarkStart w:id="994" w:name="_Toc373478409"/>
      <w:bookmarkStart w:id="995" w:name="_Toc351203647"/>
      <w:bookmarkStart w:id="996" w:name="_Toc267251483"/>
      <w:bookmarkStart w:id="997" w:name="_Toc267251484"/>
      <w:bookmarkStart w:id="998" w:name="_Toc267251482"/>
      <w:bookmarkStart w:id="999" w:name="_Toc267251485"/>
      <w:bookmarkStart w:id="1000" w:name="_Toc267251486"/>
      <w:bookmarkStart w:id="1001" w:name="_Toc267251490"/>
      <w:bookmarkStart w:id="1002" w:name="_Toc267251488"/>
      <w:bookmarkStart w:id="1003" w:name="_Toc267251489"/>
      <w:bookmarkStart w:id="1004" w:name="_Toc267251497"/>
      <w:bookmarkStart w:id="1005" w:name="_Toc267251502"/>
      <w:bookmarkStart w:id="1006" w:name="_Toc267251495"/>
      <w:bookmarkStart w:id="1007" w:name="_Toc267251501"/>
      <w:bookmarkStart w:id="1008" w:name="_Toc267251493"/>
      <w:bookmarkStart w:id="1009" w:name="_Toc267251498"/>
      <w:bookmarkStart w:id="1010" w:name="_Toc267251492"/>
      <w:bookmarkStart w:id="1011" w:name="_Toc267251503"/>
      <w:bookmarkStart w:id="1012" w:name="_Toc267251491"/>
      <w:bookmarkStart w:id="1013" w:name="_Toc267251494"/>
      <w:bookmarkStart w:id="1014" w:name="_Toc267251499"/>
      <w:bookmarkStart w:id="1015" w:name="_Toc267251496"/>
      <w:bookmarkStart w:id="1016" w:name="_Toc267251506"/>
      <w:bookmarkStart w:id="1017" w:name="_Toc267251504"/>
      <w:bookmarkStart w:id="1018" w:name="_Toc267251507"/>
      <w:bookmarkStart w:id="1019" w:name="_Toc267251508"/>
      <w:bookmarkStart w:id="1020" w:name="_Toc267251515"/>
      <w:bookmarkStart w:id="1021" w:name="_Toc267251514"/>
      <w:bookmarkStart w:id="1022" w:name="_Toc267251509"/>
      <w:bookmarkStart w:id="1023" w:name="_Toc267251510"/>
      <w:bookmarkStart w:id="1024" w:name="_Toc267251513"/>
      <w:bookmarkStart w:id="1025" w:name="_Toc267251511"/>
      <w:r>
        <w:rPr>
          <w:rFonts w:ascii="Arial" w:hAnsi="Arial" w:eastAsia="黑体"/>
          <w:b/>
          <w:bCs/>
          <w:color w:val="000000" w:themeColor="text1"/>
          <w:sz w:val="32"/>
          <w:szCs w:val="32"/>
          <w:highlight w:val="none"/>
          <w:lang w:val="zh-CN"/>
          <w14:textFill>
            <w14:solidFill>
              <w14:schemeClr w14:val="tx1"/>
            </w14:solidFill>
          </w14:textFill>
        </w:rPr>
        <w:t xml:space="preserve">15. </w:t>
      </w:r>
      <w:r>
        <w:rPr>
          <w:rFonts w:hint="eastAsia" w:ascii="Arial" w:hAnsi="Arial" w:eastAsia="黑体" w:cs="黑体"/>
          <w:b/>
          <w:bCs/>
          <w:color w:val="000000" w:themeColor="text1"/>
          <w:sz w:val="32"/>
          <w:szCs w:val="32"/>
          <w:highlight w:val="none"/>
          <w:lang w:val="zh-CN"/>
          <w14:textFill>
            <w14:solidFill>
              <w14:schemeClr w14:val="tx1"/>
            </w14:solidFill>
          </w14:textFill>
        </w:rPr>
        <w:t>缺陷责任期与保修</w:t>
      </w:r>
      <w:bookmarkEnd w:id="989"/>
      <w:bookmarkEnd w:id="990"/>
      <w:bookmarkEnd w:id="991"/>
      <w:bookmarkEnd w:id="992"/>
      <w:bookmarkEnd w:id="993"/>
      <w:bookmarkEnd w:id="994"/>
      <w:bookmarkEnd w:id="995"/>
    </w:p>
    <w:p w14:paraId="0CAC2CB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26" w:name="_Toc78449852"/>
      <w:bookmarkStart w:id="1027" w:name="_Toc407135266"/>
      <w:bookmarkStart w:id="1028" w:name="_Toc114058903"/>
      <w:bookmarkStart w:id="1029" w:name="_Toc373478410"/>
      <w:bookmarkStart w:id="1030" w:name="_Toc389065328"/>
      <w:bookmarkStart w:id="1031" w:name="_Toc373227763"/>
      <w:r>
        <w:rPr>
          <w:rFonts w:eastAsia="黑体"/>
          <w:b/>
          <w:bCs/>
          <w:color w:val="000000" w:themeColor="text1"/>
          <w:sz w:val="32"/>
          <w:szCs w:val="32"/>
          <w:highlight w:val="none"/>
          <w:lang w:val="zh-CN"/>
          <w14:textFill>
            <w14:solidFill>
              <w14:schemeClr w14:val="tx1"/>
            </w14:solidFill>
          </w14:textFill>
        </w:rPr>
        <w:t xml:space="preserve">15.2 </w:t>
      </w:r>
      <w:r>
        <w:rPr>
          <w:rFonts w:hint="eastAsia" w:hAnsi="宋体" w:eastAsia="黑体" w:cs="黑体"/>
          <w:b/>
          <w:bCs/>
          <w:color w:val="000000" w:themeColor="text1"/>
          <w:sz w:val="32"/>
          <w:szCs w:val="32"/>
          <w:highlight w:val="none"/>
          <w:lang w:val="zh-CN"/>
          <w14:textFill>
            <w14:solidFill>
              <w14:schemeClr w14:val="tx1"/>
            </w14:solidFill>
          </w14:textFill>
        </w:rPr>
        <w:t>缺陷责任期</w:t>
      </w:r>
      <w:bookmarkEnd w:id="996"/>
      <w:bookmarkEnd w:id="1026"/>
      <w:bookmarkEnd w:id="1027"/>
      <w:bookmarkEnd w:id="1028"/>
      <w:bookmarkEnd w:id="1029"/>
      <w:bookmarkEnd w:id="1030"/>
      <w:bookmarkEnd w:id="1031"/>
    </w:p>
    <w:p w14:paraId="5A687708">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缺陷责任期的具体期限：</w:t>
      </w:r>
      <w:r>
        <w:rPr>
          <w:rFonts w:hint="eastAsia"/>
          <w:color w:val="000000" w:themeColor="text1"/>
          <w:szCs w:val="21"/>
          <w:highlight w:val="none"/>
          <w:u w:val="single"/>
          <w14:textFill>
            <w14:solidFill>
              <w14:schemeClr w14:val="tx1"/>
            </w14:solidFill>
          </w14:textFill>
        </w:rPr>
        <w:t>24个月</w:t>
      </w:r>
      <w:r>
        <w:rPr>
          <w:rFonts w:hint="eastAsia" w:hAnsi="宋体" w:cs="宋体"/>
          <w:color w:val="000000" w:themeColor="text1"/>
          <w:szCs w:val="21"/>
          <w:highlight w:val="none"/>
          <w14:textFill>
            <w14:solidFill>
              <w14:schemeClr w14:val="tx1"/>
            </w14:solidFill>
          </w14:textFill>
        </w:rPr>
        <w:t>。</w:t>
      </w:r>
    </w:p>
    <w:p w14:paraId="1401AA34">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32" w:name="_Toc373227764"/>
      <w:bookmarkStart w:id="1033" w:name="_Toc373478411"/>
      <w:bookmarkStart w:id="1034" w:name="_Toc407135267"/>
      <w:bookmarkStart w:id="1035" w:name="_Toc389065329"/>
      <w:bookmarkStart w:id="1036" w:name="_Toc114058904"/>
      <w:bookmarkStart w:id="1037" w:name="_Toc78449853"/>
      <w:r>
        <w:rPr>
          <w:rFonts w:eastAsia="黑体"/>
          <w:b/>
          <w:bCs/>
          <w:color w:val="000000" w:themeColor="text1"/>
          <w:sz w:val="32"/>
          <w:szCs w:val="32"/>
          <w:highlight w:val="none"/>
          <w:lang w:val="zh-CN"/>
          <w14:textFill>
            <w14:solidFill>
              <w14:schemeClr w14:val="tx1"/>
            </w14:solidFill>
          </w14:textFill>
        </w:rPr>
        <w:t xml:space="preserve">15.3 </w:t>
      </w:r>
      <w:r>
        <w:rPr>
          <w:rFonts w:hint="eastAsia" w:hAnsi="宋体" w:eastAsia="黑体" w:cs="黑体"/>
          <w:b/>
          <w:bCs/>
          <w:color w:val="000000" w:themeColor="text1"/>
          <w:sz w:val="32"/>
          <w:szCs w:val="32"/>
          <w:highlight w:val="none"/>
          <w:lang w:val="zh-CN"/>
          <w14:textFill>
            <w14:solidFill>
              <w14:schemeClr w14:val="tx1"/>
            </w14:solidFill>
          </w14:textFill>
        </w:rPr>
        <w:t>质量保证金</w:t>
      </w:r>
      <w:bookmarkEnd w:id="1032"/>
      <w:bookmarkEnd w:id="1033"/>
      <w:bookmarkEnd w:id="1034"/>
      <w:bookmarkEnd w:id="1035"/>
      <w:bookmarkEnd w:id="1036"/>
      <w:bookmarkEnd w:id="1037"/>
    </w:p>
    <w:p w14:paraId="4EE8FD53">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关于是否扣留质量保证金的约定：</w:t>
      </w:r>
      <w:r>
        <w:rPr>
          <w:rFonts w:hint="eastAsia"/>
          <w:color w:val="000000" w:themeColor="text1"/>
          <w:szCs w:val="21"/>
          <w:highlight w:val="none"/>
          <w:u w:val="single"/>
          <w14:textFill>
            <w14:solidFill>
              <w14:schemeClr w14:val="tx1"/>
            </w14:solidFill>
          </w14:textFill>
        </w:rPr>
        <w:t>是</w:t>
      </w:r>
      <w:r>
        <w:rPr>
          <w:rFonts w:hint="eastAsia" w:hAnsi="宋体" w:cs="宋体"/>
          <w:color w:val="000000" w:themeColor="text1"/>
          <w:szCs w:val="21"/>
          <w:highlight w:val="none"/>
          <w14:textFill>
            <w14:solidFill>
              <w14:schemeClr w14:val="tx1"/>
            </w14:solidFill>
          </w14:textFill>
        </w:rPr>
        <w:t>。</w:t>
      </w:r>
    </w:p>
    <w:p w14:paraId="68521D8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在工程项目竣工前，承包人按专用合同条款第3.7条提供履约担保的，发包人不得同时预留工程质量保证金。</w:t>
      </w:r>
    </w:p>
    <w:p w14:paraId="4DBC45AC">
      <w:pPr>
        <w:spacing w:line="360" w:lineRule="auto"/>
        <w:ind w:firstLine="420" w:firstLineChars="200"/>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15.3.1 </w:t>
      </w:r>
      <w:r>
        <w:rPr>
          <w:rFonts w:hint="eastAsia" w:hAnsi="宋体" w:cs="宋体"/>
          <w:color w:val="000000" w:themeColor="text1"/>
          <w:szCs w:val="21"/>
          <w:highlight w:val="none"/>
          <w14:textFill>
            <w14:solidFill>
              <w14:schemeClr w14:val="tx1"/>
            </w14:solidFill>
          </w14:textFill>
        </w:rPr>
        <w:t>承包人提供质量保证金的方式</w:t>
      </w:r>
    </w:p>
    <w:p w14:paraId="172BF9E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质量保证金采用以下第</w:t>
      </w:r>
      <w:r>
        <w:rPr>
          <w:rFonts w:hint="eastAsia"/>
          <w:color w:val="000000" w:themeColor="text1"/>
          <w:szCs w:val="21"/>
          <w:highlight w:val="red"/>
          <w:u w:val="single"/>
          <w:lang w:eastAsia="zh-CN"/>
          <w14:textFill>
            <w14:solidFill>
              <w14:schemeClr w14:val="tx1"/>
            </w14:solidFill>
          </w14:textFill>
        </w:rPr>
        <w:t>（</w:t>
      </w:r>
      <w:r>
        <w:rPr>
          <w:rFonts w:hint="eastAsia"/>
          <w:color w:val="000000" w:themeColor="text1"/>
          <w:szCs w:val="21"/>
          <w:highlight w:val="red"/>
          <w:u w:val="single"/>
          <w:lang w:val="en-US" w:eastAsia="zh-CN"/>
          <w14:textFill>
            <w14:solidFill>
              <w14:schemeClr w14:val="tx1"/>
            </w14:solidFill>
          </w14:textFill>
        </w:rPr>
        <w:t>2</w:t>
      </w:r>
      <w:r>
        <w:rPr>
          <w:rFonts w:hint="eastAsia"/>
          <w:color w:val="000000" w:themeColor="text1"/>
          <w:szCs w:val="21"/>
          <w:highlight w:val="red"/>
          <w:u w:val="single"/>
          <w:lang w:eastAsia="zh-CN"/>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种方式：</w:t>
      </w:r>
    </w:p>
    <w:p w14:paraId="32956714">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）质量保证金保函</w:t>
      </w:r>
      <w:r>
        <w:rPr>
          <w:rFonts w:hint="eastAsia" w:hAnsi="宋体" w:cs="宋体"/>
          <w:color w:val="000000" w:themeColor="text1"/>
          <w:szCs w:val="21"/>
          <w:highlight w:val="none"/>
          <w14:textFill>
            <w14:solidFill>
              <w14:schemeClr w14:val="tx1"/>
            </w14:solidFill>
          </w14:textFill>
        </w:rPr>
        <w:t>（银行保函、电子保函、保证保险保函、工程担保保函，</w:t>
      </w:r>
      <w:r>
        <w:rPr>
          <w:rFonts w:hint="eastAsia" w:hAnsi="宋体" w:cs="宋体"/>
          <w:color w:val="000000" w:themeColor="text1"/>
          <w:kern w:val="0"/>
          <w:szCs w:val="21"/>
          <w:highlight w:val="none"/>
          <w14:textFill>
            <w14:solidFill>
              <w14:schemeClr w14:val="tx1"/>
            </w14:solidFill>
          </w14:textFill>
        </w:rPr>
        <w:t>工程担保保证人应将出具的保函相关信息录入“广西建筑市场监管云”平台（http://gxjzsc.caihcloud.com），以实现保函查询及验真功能。</w:t>
      </w:r>
      <w:r>
        <w:rPr>
          <w:rFonts w:hint="eastAsia" w:hAnsi="宋体" w:cs="宋体"/>
          <w:color w:val="000000" w:themeColor="text1"/>
          <w:szCs w:val="21"/>
          <w:highlight w:val="none"/>
          <w14:textFill>
            <w14:solidFill>
              <w14:schemeClr w14:val="tx1"/>
            </w14:solidFill>
          </w14:textFill>
        </w:rPr>
        <w:t>）</w:t>
      </w:r>
      <w:r>
        <w:rPr>
          <w:rFonts w:hint="eastAsia" w:hAnsi="宋体" w:cs="宋体"/>
          <w:color w:val="000000" w:themeColor="text1"/>
          <w:kern w:val="0"/>
          <w:szCs w:val="21"/>
          <w:highlight w:val="none"/>
          <w14:textFill>
            <w14:solidFill>
              <w14:schemeClr w14:val="tx1"/>
            </w14:solidFill>
          </w14:textFill>
        </w:rPr>
        <w:t>，保证金额为：；</w:t>
      </w:r>
    </w:p>
    <w:p w14:paraId="031BA93C">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发包人按工程价款结算总额的</w:t>
      </w:r>
      <w:r>
        <w:rPr>
          <w:rFonts w:hint="eastAsia" w:hAnsi="宋体" w:cs="宋体"/>
          <w:color w:val="000000" w:themeColor="text1"/>
          <w:szCs w:val="21"/>
          <w:highlight w:val="red"/>
          <w:lang w:val="en-US" w:eastAsia="zh-CN"/>
          <w14:textFill>
            <w14:solidFill>
              <w14:schemeClr w14:val="tx1"/>
            </w14:solidFill>
          </w14:textFill>
        </w:rPr>
        <w:t>3</w:t>
      </w:r>
      <w:r>
        <w:rPr>
          <w:color w:val="000000" w:themeColor="text1"/>
          <w:szCs w:val="21"/>
          <w:highlight w:val="red"/>
          <w14:textFill>
            <w14:solidFill>
              <w14:schemeClr w14:val="tx1"/>
            </w14:solidFill>
          </w14:textFill>
        </w:rPr>
        <w:t>%</w:t>
      </w:r>
      <w:r>
        <w:rPr>
          <w:rFonts w:hint="eastAsia" w:cs="宋体"/>
          <w:color w:val="000000" w:themeColor="text1"/>
          <w:szCs w:val="21"/>
          <w:highlight w:val="none"/>
          <w14:textFill>
            <w14:solidFill>
              <w14:schemeClr w14:val="tx1"/>
            </w14:solidFill>
          </w14:textFill>
        </w:rPr>
        <w:t>（不得超过</w:t>
      </w:r>
      <w:r>
        <w:rPr>
          <w:color w:val="000000" w:themeColor="text1"/>
          <w:szCs w:val="21"/>
          <w:highlight w:val="none"/>
          <w14:textFill>
            <w14:solidFill>
              <w14:schemeClr w14:val="tx1"/>
            </w14:solidFill>
          </w14:textFill>
        </w:rPr>
        <w:t>3%</w:t>
      </w:r>
      <w:r>
        <w:rPr>
          <w:rFonts w:hint="eastAsia" w:cs="宋体"/>
          <w:color w:val="000000" w:themeColor="text1"/>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预留工程质量保证金，待缺陷责任期满后返还，是否付息及利息计算方式为：</w:t>
      </w:r>
      <w:r>
        <w:rPr>
          <w:rFonts w:hint="eastAsia" w:hAnsi="宋体"/>
          <w:color w:val="000000" w:themeColor="text1"/>
          <w:szCs w:val="21"/>
          <w:highlight w:val="red"/>
          <w:u w:val="single"/>
          <w14:textFill>
            <w14:solidFill>
              <w14:schemeClr w14:val="tx1"/>
            </w14:solidFill>
          </w14:textFill>
        </w:rPr>
        <w:t>不计利息</w:t>
      </w:r>
      <w:r>
        <w:rPr>
          <w:rFonts w:hint="eastAsia" w:hAnsi="宋体" w:cs="宋体"/>
          <w:color w:val="000000" w:themeColor="text1"/>
          <w:kern w:val="0"/>
          <w:szCs w:val="21"/>
          <w:highlight w:val="red"/>
          <w14:textFill>
            <w14:solidFill>
              <w14:schemeClr w14:val="tx1"/>
            </w14:solidFill>
          </w14:textFill>
        </w:rPr>
        <w:t>；</w:t>
      </w:r>
    </w:p>
    <w:p w14:paraId="4CC8CC55">
      <w:pPr>
        <w:autoSpaceDE w:val="0"/>
        <w:autoSpaceDN w:val="0"/>
        <w:adjustRightInd w:val="0"/>
        <w:spacing w:line="360" w:lineRule="auto"/>
        <w:ind w:firstLine="420" w:firstLineChars="200"/>
        <w:jc w:val="left"/>
        <w:rPr>
          <w:color w:val="000000" w:themeColor="text1"/>
          <w:kern w:val="0"/>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）其他方式</w:t>
      </w:r>
      <w:r>
        <w:rPr>
          <w:rFonts w:hint="eastAsia" w:cs="宋体"/>
          <w:color w:val="000000" w:themeColor="text1"/>
          <w:kern w:val="0"/>
          <w:szCs w:val="21"/>
          <w:highlight w:val="non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银行转账、电汇或网上支付等形式。</w:t>
      </w:r>
      <w:r>
        <w:rPr>
          <w:rFonts w:hint="eastAsia" w:hAnsi="宋体" w:cs="宋体"/>
          <w:color w:val="000000" w:themeColor="text1"/>
          <w:szCs w:val="21"/>
          <w:highlight w:val="none"/>
          <w:u w:val="single"/>
          <w14:textFill>
            <w14:solidFill>
              <w14:schemeClr w14:val="tx1"/>
            </w14:solidFill>
          </w14:textFill>
        </w:rPr>
        <w:t>结算经</w:t>
      </w:r>
      <w:r>
        <w:rPr>
          <w:rFonts w:hint="eastAsia"/>
          <w:color w:val="000000" w:themeColor="text1"/>
          <w:szCs w:val="21"/>
          <w:highlight w:val="none"/>
          <w:u w:val="single"/>
          <w14:textFill>
            <w14:solidFill>
              <w14:schemeClr w14:val="tx1"/>
            </w14:solidFill>
          </w14:textFill>
        </w:rPr>
        <w:t>发包人</w:t>
      </w:r>
      <w:r>
        <w:rPr>
          <w:rFonts w:hint="eastAsia" w:hAnsi="宋体" w:cs="宋体"/>
          <w:color w:val="000000" w:themeColor="text1"/>
          <w:szCs w:val="21"/>
          <w:highlight w:val="none"/>
          <w:u w:val="single"/>
          <w14:textFill>
            <w14:solidFill>
              <w14:schemeClr w14:val="tx1"/>
            </w14:solidFill>
          </w14:textFill>
        </w:rPr>
        <w:t>审定后，承包人按最终审定结算金额的3%支付工程质量保修金，并开具合法有效的增值税专用发票后14个工作日内，工程款支付至最终审定结算金额的100%（含已支付的）</w:t>
      </w:r>
      <w:r>
        <w:rPr>
          <w:rFonts w:hint="eastAsia" w:ascii="宋体" w:hAnsi="宋体"/>
          <w:color w:val="000000" w:themeColor="text1"/>
          <w:szCs w:val="21"/>
          <w:highlight w:val="none"/>
          <w:u w:val="single"/>
          <w14:textFill>
            <w14:solidFill>
              <w14:schemeClr w14:val="tx1"/>
            </w14:solidFill>
          </w14:textFill>
        </w:rPr>
        <w:t>；</w:t>
      </w:r>
      <w:r>
        <w:rPr>
          <w:rFonts w:hint="eastAsia" w:hAnsi="宋体"/>
          <w:color w:val="000000" w:themeColor="text1"/>
          <w:szCs w:val="21"/>
          <w:highlight w:val="none"/>
          <w:u w:val="single"/>
          <w14:textFill>
            <w14:solidFill>
              <w14:schemeClr w14:val="tx1"/>
            </w14:solidFill>
          </w14:textFill>
        </w:rPr>
        <w:t>在工程竣工质量保修期满2年且验收合格</w:t>
      </w:r>
      <w:r>
        <w:rPr>
          <w:rFonts w:hint="eastAsia"/>
          <w:color w:val="000000" w:themeColor="text1"/>
          <w:szCs w:val="21"/>
          <w:highlight w:val="none"/>
          <w:u w:val="single"/>
          <w14:textFill>
            <w14:solidFill>
              <w14:schemeClr w14:val="tx1"/>
            </w14:solidFill>
          </w14:textFill>
        </w:rPr>
        <w:t>后</w:t>
      </w:r>
      <w:r>
        <w:rPr>
          <w:rFonts w:hint="eastAsia" w:hAnsi="宋体"/>
          <w:color w:val="000000" w:themeColor="text1"/>
          <w:szCs w:val="21"/>
          <w:highlight w:val="none"/>
          <w:u w:val="single"/>
          <w14:textFill>
            <w14:solidFill>
              <w14:schemeClr w14:val="tx1"/>
            </w14:solidFill>
          </w14:textFill>
        </w:rPr>
        <w:t>，</w:t>
      </w:r>
      <w:r>
        <w:rPr>
          <w:rFonts w:hint="eastAsia"/>
          <w:color w:val="000000" w:themeColor="text1"/>
          <w:szCs w:val="21"/>
          <w:highlight w:val="none"/>
          <w:u w:val="single"/>
          <w14:textFill>
            <w14:solidFill>
              <w14:schemeClr w14:val="tx1"/>
            </w14:solidFill>
          </w14:textFill>
        </w:rPr>
        <w:t>并扣除有关应扣除的费用后，</w:t>
      </w:r>
      <w:r>
        <w:rPr>
          <w:rFonts w:hint="eastAsia" w:hAnsi="宋体"/>
          <w:color w:val="000000" w:themeColor="text1"/>
          <w:szCs w:val="21"/>
          <w:highlight w:val="none"/>
          <w:u w:val="single"/>
          <w14:textFill>
            <w14:solidFill>
              <w14:schemeClr w14:val="tx1"/>
            </w14:solidFill>
          </w14:textFill>
        </w:rPr>
        <w:t>将剩余保修金 （不计利息）全额退回承包人</w:t>
      </w:r>
      <w:r>
        <w:rPr>
          <w:rFonts w:hint="eastAsia" w:ascii="宋体" w:hAnsi="宋体"/>
          <w:bCs/>
          <w:color w:val="000000" w:themeColor="text1"/>
          <w:szCs w:val="21"/>
          <w:highlight w:val="none"/>
          <w:u w:val="single"/>
          <w14:textFill>
            <w14:solidFill>
              <w14:schemeClr w14:val="tx1"/>
            </w14:solidFill>
          </w14:textFill>
        </w:rPr>
        <w:t>。</w:t>
      </w:r>
    </w:p>
    <w:p w14:paraId="3E7DA788">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15.3.2 </w:t>
      </w:r>
      <w:r>
        <w:rPr>
          <w:rFonts w:hint="eastAsia" w:hAnsi="宋体" w:cs="宋体"/>
          <w:color w:val="000000" w:themeColor="text1"/>
          <w:szCs w:val="21"/>
          <w:highlight w:val="none"/>
          <w14:textFill>
            <w14:solidFill>
              <w14:schemeClr w14:val="tx1"/>
            </w14:solidFill>
          </w14:textFill>
        </w:rPr>
        <w:t>质量保证金的扣留</w:t>
      </w:r>
    </w:p>
    <w:p w14:paraId="43D5836A">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质量保证金的扣留采取以下第</w:t>
      </w:r>
      <w:r>
        <w:rPr>
          <w:rFonts w:hint="eastAsia"/>
          <w:color w:val="000000" w:themeColor="text1"/>
          <w:szCs w:val="21"/>
          <w:highlight w:val="red"/>
          <w:u w:val="single"/>
          <w:lang w:eastAsia="zh-CN"/>
          <w14:textFill>
            <w14:solidFill>
              <w14:schemeClr w14:val="tx1"/>
            </w14:solidFill>
          </w14:textFill>
        </w:rPr>
        <w:t>（</w:t>
      </w:r>
      <w:r>
        <w:rPr>
          <w:rFonts w:hint="eastAsia"/>
          <w:color w:val="000000" w:themeColor="text1"/>
          <w:szCs w:val="21"/>
          <w:highlight w:val="red"/>
          <w:u w:val="single"/>
          <w:lang w:val="en-US" w:eastAsia="zh-CN"/>
          <w14:textFill>
            <w14:solidFill>
              <w14:schemeClr w14:val="tx1"/>
            </w14:solidFill>
          </w14:textFill>
        </w:rPr>
        <w:t>3</w:t>
      </w:r>
      <w:r>
        <w:rPr>
          <w:rFonts w:hint="eastAsia"/>
          <w:color w:val="000000" w:themeColor="text1"/>
          <w:szCs w:val="21"/>
          <w:highlight w:val="red"/>
          <w:u w:val="single"/>
          <w:lang w:eastAsia="zh-CN"/>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种方式：</w:t>
      </w:r>
    </w:p>
    <w:p w14:paraId="7AFDDA09">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int="eastAsia" w:hAnsi="宋体" w:cs="宋体"/>
          <w:color w:val="000000" w:themeColor="text1"/>
          <w:kern w:val="0"/>
          <w:szCs w:val="21"/>
          <w:highlight w:val="none"/>
          <w14:textFill>
            <w14:solidFill>
              <w14:schemeClr w14:val="tx1"/>
            </w14:solidFill>
          </w14:textFill>
        </w:rPr>
        <w:t>）在</w:t>
      </w:r>
      <w:r>
        <w:rPr>
          <w:rFonts w:hAnsi="宋体" w:cs="宋体"/>
          <w:color w:val="000000" w:themeColor="text1"/>
          <w:kern w:val="0"/>
          <w:szCs w:val="21"/>
          <w:highlight w:val="none"/>
          <w14:textFill>
            <w14:solidFill>
              <w14:schemeClr w14:val="tx1"/>
            </w14:solidFill>
          </w14:textFill>
        </w:rPr>
        <w:t>不缴纳</w:t>
      </w:r>
      <w:r>
        <w:rPr>
          <w:rFonts w:hint="eastAsia" w:hAnsi="宋体" w:cs="宋体"/>
          <w:color w:val="000000" w:themeColor="text1"/>
          <w:kern w:val="0"/>
          <w:szCs w:val="21"/>
          <w:highlight w:val="none"/>
          <w:lang w:eastAsia="zh-CN"/>
          <w14:textFill>
            <w14:solidFill>
              <w14:schemeClr w14:val="tx1"/>
            </w14:solidFill>
          </w14:textFill>
        </w:rPr>
        <w:t>履约</w:t>
      </w:r>
      <w:r>
        <w:rPr>
          <w:rFonts w:hint="eastAsia" w:hAnsi="宋体" w:cs="宋体"/>
          <w:color w:val="000000" w:themeColor="text1"/>
          <w:kern w:val="0"/>
          <w:szCs w:val="21"/>
          <w:highlight w:val="none"/>
          <w14:textFill>
            <w14:solidFill>
              <w14:schemeClr w14:val="tx1"/>
            </w14:solidFill>
          </w14:textFill>
        </w:rPr>
        <w:t>保</w:t>
      </w:r>
      <w:r>
        <w:rPr>
          <w:rFonts w:hAnsi="宋体" w:cs="宋体"/>
          <w:color w:val="000000" w:themeColor="text1"/>
          <w:kern w:val="0"/>
          <w:szCs w:val="21"/>
          <w:highlight w:val="none"/>
          <w14:textFill>
            <w14:solidFill>
              <w14:schemeClr w14:val="tx1"/>
            </w14:solidFill>
          </w14:textFill>
        </w:rPr>
        <w:t>证金情况下</w:t>
      </w:r>
      <w:r>
        <w:rPr>
          <w:rFonts w:hint="eastAsia" w:hAnsi="宋体" w:cs="宋体"/>
          <w:color w:val="000000" w:themeColor="text1"/>
          <w:kern w:val="0"/>
          <w:szCs w:val="21"/>
          <w:highlight w:val="none"/>
          <w14:textFill>
            <w14:solidFill>
              <w14:schemeClr w14:val="tx1"/>
            </w14:solidFill>
          </w14:textFill>
        </w:rPr>
        <w:t>，按支付工程进度款时逐次扣留，质量保证金的计算基数不包括预付款的支付、扣回以及价格调整的金额；</w:t>
      </w:r>
    </w:p>
    <w:p w14:paraId="1A9CE706">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int="eastAsia" w:hAnsi="宋体" w:cs="宋体"/>
          <w:color w:val="000000" w:themeColor="text1"/>
          <w:kern w:val="0"/>
          <w:szCs w:val="21"/>
          <w:highlight w:val="none"/>
          <w14:textFill>
            <w14:solidFill>
              <w14:schemeClr w14:val="tx1"/>
            </w14:solidFill>
          </w14:textFill>
        </w:rPr>
        <w:t>）工程竣工结算时，一次性扣留质量保证金，</w:t>
      </w:r>
      <w:r>
        <w:rPr>
          <w:rFonts w:hAnsi="宋体" w:cs="宋体"/>
          <w:color w:val="000000" w:themeColor="text1"/>
          <w:kern w:val="0"/>
          <w:szCs w:val="21"/>
          <w:highlight w:val="none"/>
          <w14:textFill>
            <w14:solidFill>
              <w14:schemeClr w14:val="tx1"/>
            </w14:solidFill>
          </w14:textFill>
        </w:rPr>
        <w:t>由承包人以银行保函</w:t>
      </w:r>
      <w:r>
        <w:rPr>
          <w:rFonts w:hint="eastAsia" w:hAnsi="宋体" w:cs="宋体"/>
          <w:color w:val="000000" w:themeColor="text1"/>
          <w:kern w:val="0"/>
          <w:szCs w:val="21"/>
          <w:highlight w:val="none"/>
          <w14:textFill>
            <w14:solidFill>
              <w14:schemeClr w14:val="tx1"/>
            </w14:solidFill>
          </w14:textFill>
        </w:rPr>
        <w:t>、保证保险</w:t>
      </w:r>
      <w:r>
        <w:rPr>
          <w:rFonts w:hAnsi="宋体" w:cs="宋体"/>
          <w:color w:val="000000" w:themeColor="text1"/>
          <w:kern w:val="0"/>
          <w:szCs w:val="21"/>
          <w:highlight w:val="none"/>
          <w14:textFill>
            <w14:solidFill>
              <w14:schemeClr w14:val="tx1"/>
            </w14:solidFill>
          </w14:textFill>
        </w:rPr>
        <w:t>替代预留</w:t>
      </w:r>
      <w:r>
        <w:rPr>
          <w:rFonts w:hint="eastAsia" w:hAnsi="宋体" w:cs="宋体"/>
          <w:color w:val="000000" w:themeColor="text1"/>
          <w:kern w:val="0"/>
          <w:szCs w:val="21"/>
          <w:highlight w:val="none"/>
          <w14:textFill>
            <w14:solidFill>
              <w14:schemeClr w14:val="tx1"/>
            </w14:solidFill>
          </w14:textFill>
        </w:rPr>
        <w:t>质量</w:t>
      </w:r>
      <w:r>
        <w:rPr>
          <w:rFonts w:hAnsi="宋体" w:cs="宋体"/>
          <w:color w:val="000000" w:themeColor="text1"/>
          <w:kern w:val="0"/>
          <w:szCs w:val="21"/>
          <w:highlight w:val="none"/>
          <w14:textFill>
            <w14:solidFill>
              <w14:schemeClr w14:val="tx1"/>
            </w14:solidFill>
          </w14:textFill>
        </w:rPr>
        <w:t>保证金</w:t>
      </w:r>
      <w:r>
        <w:rPr>
          <w:rFonts w:hint="eastAsia" w:hAnsi="宋体" w:cs="宋体"/>
          <w:color w:val="000000" w:themeColor="text1"/>
          <w:kern w:val="0"/>
          <w:szCs w:val="21"/>
          <w:highlight w:val="none"/>
          <w14:textFill>
            <w14:solidFill>
              <w14:schemeClr w14:val="tx1"/>
            </w14:solidFill>
          </w14:textFill>
        </w:rPr>
        <w:t>，</w:t>
      </w:r>
      <w:r>
        <w:rPr>
          <w:rFonts w:hAnsi="宋体" w:cs="宋体"/>
          <w:color w:val="000000" w:themeColor="text1"/>
          <w:kern w:val="0"/>
          <w:szCs w:val="21"/>
          <w:highlight w:val="none"/>
          <w14:textFill>
            <w14:solidFill>
              <w14:schemeClr w14:val="tx1"/>
            </w14:solidFill>
          </w14:textFill>
        </w:rPr>
        <w:t>保函金额不得高</w:t>
      </w:r>
      <w:r>
        <w:rPr>
          <w:rFonts w:hint="eastAsia" w:hAnsi="宋体" w:cs="宋体"/>
          <w:color w:val="000000" w:themeColor="text1"/>
          <w:kern w:val="0"/>
          <w:szCs w:val="21"/>
          <w:highlight w:val="none"/>
          <w14:textFill>
            <w14:solidFill>
              <w14:schemeClr w14:val="tx1"/>
            </w14:solidFill>
          </w14:textFill>
        </w:rPr>
        <w:t>于</w:t>
      </w:r>
      <w:r>
        <w:rPr>
          <w:rFonts w:hAnsi="宋体" w:cs="宋体"/>
          <w:color w:val="000000" w:themeColor="text1"/>
          <w:kern w:val="0"/>
          <w:szCs w:val="21"/>
          <w:highlight w:val="none"/>
          <w14:textFill>
            <w14:solidFill>
              <w14:schemeClr w14:val="tx1"/>
            </w14:solidFill>
          </w14:textFill>
        </w:rPr>
        <w:t>工程价款结算总额的</w:t>
      </w:r>
      <w:r>
        <w:rPr>
          <w:rFonts w:hint="eastAsia" w:hAnsi="宋体" w:cs="宋体"/>
          <w:color w:val="000000" w:themeColor="text1"/>
          <w:kern w:val="0"/>
          <w:szCs w:val="21"/>
          <w:highlight w:val="none"/>
          <w14:textFill>
            <w14:solidFill>
              <w14:schemeClr w14:val="tx1"/>
            </w14:solidFill>
          </w14:textFill>
        </w:rPr>
        <w:t>3</w:t>
      </w:r>
      <w:r>
        <w:rPr>
          <w:rFonts w:hAnsi="宋体" w:cs="宋体"/>
          <w:color w:val="000000" w:themeColor="text1"/>
          <w:kern w:val="0"/>
          <w:szCs w:val="21"/>
          <w:highlight w:val="none"/>
          <w14:textFill>
            <w14:solidFill>
              <w14:schemeClr w14:val="tx1"/>
            </w14:solidFill>
          </w14:textFill>
        </w:rPr>
        <w:t>%</w:t>
      </w:r>
      <w:r>
        <w:rPr>
          <w:rFonts w:hint="eastAsia" w:hAnsi="宋体" w:cs="宋体"/>
          <w:color w:val="000000" w:themeColor="text1"/>
          <w:kern w:val="0"/>
          <w:szCs w:val="21"/>
          <w:highlight w:val="none"/>
          <w14:textFill>
            <w14:solidFill>
              <w14:schemeClr w14:val="tx1"/>
            </w14:solidFill>
          </w14:textFill>
        </w:rPr>
        <w:t>；</w:t>
      </w:r>
    </w:p>
    <w:p w14:paraId="15557253">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int="eastAsia" w:hAnsi="宋体" w:cs="宋体"/>
          <w:color w:val="000000" w:themeColor="text1"/>
          <w:kern w:val="0"/>
          <w:szCs w:val="21"/>
          <w:highlight w:val="none"/>
          <w14:textFill>
            <w14:solidFill>
              <w14:schemeClr w14:val="tx1"/>
            </w14:solidFill>
          </w14:textFill>
        </w:rPr>
        <w:t>）其他扣留方式</w:t>
      </w:r>
      <w:r>
        <w:rPr>
          <w:rFonts w:hint="eastAsia" w:hAnsi="宋体" w:cs="宋体"/>
          <w:color w:val="000000" w:themeColor="text1"/>
          <w:kern w:val="0"/>
          <w:szCs w:val="21"/>
          <w:highlight w:val="none"/>
          <w:lang w:eastAsia="zh-CN"/>
          <w14:textFill>
            <w14:solidFill>
              <w14:schemeClr w14:val="tx1"/>
            </w14:solidFill>
          </w14:textFill>
        </w:rPr>
        <w:t>：</w:t>
      </w:r>
      <w:r>
        <w:rPr>
          <w:color w:val="000000" w:themeColor="text1"/>
          <w:kern w:val="0"/>
          <w:szCs w:val="21"/>
          <w:highlight w:val="none"/>
          <w14:textFill>
            <w14:solidFill>
              <w14:schemeClr w14:val="tx1"/>
            </w14:solidFill>
          </w14:textFill>
        </w:rPr>
        <w:t>:</w:t>
      </w:r>
      <w:r>
        <w:rPr>
          <w:rFonts w:hint="eastAsia" w:ascii="Times New Roman" w:hAnsi="Times New Roman" w:eastAsia="宋体" w:cs="Times New Roman"/>
          <w:color w:val="auto"/>
          <w:highlight w:val="none"/>
        </w:rPr>
        <w:t>工程竣工验收合格</w:t>
      </w:r>
      <w:r>
        <w:rPr>
          <w:rFonts w:hint="eastAsia" w:ascii="Times New Roman" w:hAnsi="Times New Roman" w:eastAsia="宋体" w:cs="Times New Roman"/>
          <w:color w:val="auto"/>
          <w:highlight w:val="none"/>
          <w:lang w:eastAsia="zh-CN"/>
        </w:rPr>
        <w:t>，</w:t>
      </w:r>
      <w:r>
        <w:rPr>
          <w:rFonts w:hint="eastAsia" w:ascii="宋体" w:hAnsi="宋体" w:eastAsia="宋体" w:cs="宋体"/>
          <w:color w:val="auto"/>
          <w:sz w:val="21"/>
          <w:szCs w:val="21"/>
          <w:highlight w:val="none"/>
          <w:lang w:eastAsia="zh-CN"/>
        </w:rPr>
        <w:t>经第三方工程结算审计审定后，工程款支付至结算总价的97%，预留结算总价的3%为质量保证金，</w:t>
      </w:r>
      <w:r>
        <w:rPr>
          <w:rFonts w:hint="eastAsia" w:ascii="宋体" w:hAnsi="宋体" w:cs="宋体"/>
          <w:color w:val="auto"/>
          <w:highlight w:val="none"/>
        </w:rPr>
        <w:t>工程质量保修金在工程竣工</w:t>
      </w:r>
      <w:r>
        <w:rPr>
          <w:rFonts w:hint="eastAsia" w:ascii="宋体" w:hAnsi="宋体" w:cs="宋体"/>
          <w:color w:val="auto"/>
          <w:highlight w:val="none"/>
          <w:lang w:val="en-US" w:eastAsia="zh-CN"/>
        </w:rPr>
        <w:t>验收合格后，2年</w:t>
      </w:r>
      <w:r>
        <w:rPr>
          <w:rFonts w:hint="eastAsia" w:ascii="宋体" w:hAnsi="宋体" w:cs="宋体"/>
          <w:color w:val="auto"/>
          <w:highlight w:val="none"/>
        </w:rPr>
        <w:t>质量保修期满，并扣除有关应扣除的费用后，30个工作日内将剩余</w:t>
      </w:r>
      <w:r>
        <w:rPr>
          <w:rFonts w:hint="eastAsia" w:ascii="宋体" w:hAnsi="宋体" w:cs="宋体"/>
          <w:color w:val="auto"/>
          <w:highlight w:val="none"/>
          <w:lang w:val="en-US" w:eastAsia="zh-CN"/>
        </w:rPr>
        <w:t>质量保证</w:t>
      </w:r>
      <w:r>
        <w:rPr>
          <w:rFonts w:hint="eastAsia" w:ascii="宋体" w:hAnsi="宋体" w:cs="宋体"/>
          <w:color w:val="auto"/>
          <w:highlight w:val="none"/>
        </w:rPr>
        <w:t>金 （不计利息）全额退回承包人。</w:t>
      </w:r>
      <w:r>
        <w:rPr>
          <w:rFonts w:hint="eastAsia" w:ascii="宋体" w:hAnsi="宋体"/>
          <w:bCs/>
          <w:color w:val="000000" w:themeColor="text1"/>
          <w:szCs w:val="21"/>
          <w:highlight w:val="none"/>
          <w14:textFill>
            <w14:solidFill>
              <w14:schemeClr w14:val="tx1"/>
            </w14:solidFill>
          </w14:textFill>
        </w:rPr>
        <w:t>。</w:t>
      </w:r>
    </w:p>
    <w:p w14:paraId="5616785B">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关于质量保证金的补充约定：</w:t>
      </w:r>
      <w:r>
        <w:rPr>
          <w:rFonts w:hint="eastAsia"/>
          <w:color w:val="000000" w:themeColor="text1"/>
          <w:kern w:val="0"/>
          <w:szCs w:val="21"/>
          <w:highlight w:val="none"/>
          <w:u w:val="single"/>
          <w14:textFill>
            <w14:solidFill>
              <w14:schemeClr w14:val="tx1"/>
            </w14:solidFill>
          </w14:textFill>
        </w:rPr>
        <w:t>无</w:t>
      </w:r>
      <w:r>
        <w:rPr>
          <w:rFonts w:hint="eastAsia" w:hAnsi="宋体" w:cs="宋体"/>
          <w:color w:val="000000" w:themeColor="text1"/>
          <w:kern w:val="0"/>
          <w:szCs w:val="21"/>
          <w:highlight w:val="none"/>
          <w14:textFill>
            <w14:solidFill>
              <w14:schemeClr w14:val="tx1"/>
            </w14:solidFill>
          </w14:textFill>
        </w:rPr>
        <w:t>。</w:t>
      </w:r>
    </w:p>
    <w:bookmarkEnd w:id="997"/>
    <w:bookmarkEnd w:id="998"/>
    <w:p w14:paraId="0832BDB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38" w:name="_Toc373478412"/>
      <w:bookmarkStart w:id="1039" w:name="_Toc78449854"/>
      <w:bookmarkStart w:id="1040" w:name="_Toc407135268"/>
      <w:bookmarkStart w:id="1041" w:name="_Toc114058905"/>
      <w:bookmarkStart w:id="1042" w:name="_Toc389065330"/>
      <w:bookmarkStart w:id="1043" w:name="_Toc373227765"/>
      <w:r>
        <w:rPr>
          <w:rFonts w:eastAsia="黑体"/>
          <w:b/>
          <w:bCs/>
          <w:color w:val="000000" w:themeColor="text1"/>
          <w:sz w:val="32"/>
          <w:szCs w:val="32"/>
          <w:highlight w:val="none"/>
          <w:lang w:val="zh-CN"/>
          <w14:textFill>
            <w14:solidFill>
              <w14:schemeClr w14:val="tx1"/>
            </w14:solidFill>
          </w14:textFill>
        </w:rPr>
        <w:t xml:space="preserve">15.4 </w:t>
      </w:r>
      <w:r>
        <w:rPr>
          <w:rFonts w:hint="eastAsia" w:hAnsi="宋体" w:eastAsia="黑体" w:cs="黑体"/>
          <w:b/>
          <w:bCs/>
          <w:color w:val="000000" w:themeColor="text1"/>
          <w:sz w:val="32"/>
          <w:szCs w:val="32"/>
          <w:highlight w:val="none"/>
          <w:lang w:val="zh-CN"/>
          <w14:textFill>
            <w14:solidFill>
              <w14:schemeClr w14:val="tx1"/>
            </w14:solidFill>
          </w14:textFill>
        </w:rPr>
        <w:t>保修</w:t>
      </w:r>
      <w:bookmarkEnd w:id="1038"/>
      <w:bookmarkEnd w:id="1039"/>
      <w:bookmarkEnd w:id="1040"/>
      <w:bookmarkEnd w:id="1041"/>
      <w:bookmarkEnd w:id="1042"/>
      <w:bookmarkEnd w:id="1043"/>
    </w:p>
    <w:bookmarkEnd w:id="999"/>
    <w:p w14:paraId="00A8ABD6">
      <w:pPr>
        <w:spacing w:line="360" w:lineRule="auto"/>
        <w:ind w:firstLine="409" w:firstLineChars="195"/>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15.4.1 </w:t>
      </w:r>
      <w:r>
        <w:rPr>
          <w:rFonts w:hint="eastAsia" w:hAnsi="宋体" w:cs="宋体"/>
          <w:color w:val="000000" w:themeColor="text1"/>
          <w:szCs w:val="21"/>
          <w:highlight w:val="none"/>
          <w14:textFill>
            <w14:solidFill>
              <w14:schemeClr w14:val="tx1"/>
            </w14:solidFill>
          </w14:textFill>
        </w:rPr>
        <w:t>保修责任</w:t>
      </w:r>
    </w:p>
    <w:p w14:paraId="39838EFD">
      <w:pPr>
        <w:spacing w:line="360" w:lineRule="auto"/>
        <w:ind w:firstLine="409" w:firstLineChars="195"/>
        <w:jc w:val="left"/>
        <w:rPr>
          <w:rFonts w:hAnsi="宋体"/>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工程保修期为：</w:t>
      </w:r>
      <w:r>
        <w:rPr>
          <w:rFonts w:hint="eastAsia"/>
          <w:color w:val="000000" w:themeColor="text1"/>
          <w:kern w:val="0"/>
          <w:szCs w:val="21"/>
          <w:highlight w:val="none"/>
          <w:u w:val="single"/>
          <w14:textFill>
            <w14:solidFill>
              <w14:schemeClr w14:val="tx1"/>
            </w14:solidFill>
          </w14:textFill>
        </w:rPr>
        <w:t>工程质量保修范围、期限和责任在工程质量保修书中约定</w:t>
      </w:r>
      <w:r>
        <w:rPr>
          <w:rFonts w:hint="eastAsia" w:hAnsi="宋体" w:cs="宋体"/>
          <w:color w:val="000000" w:themeColor="text1"/>
          <w:kern w:val="0"/>
          <w:szCs w:val="21"/>
          <w:highlight w:val="none"/>
          <w14:textFill>
            <w14:solidFill>
              <w14:schemeClr w14:val="tx1"/>
            </w14:solidFill>
          </w14:textFill>
        </w:rPr>
        <w:t>。</w:t>
      </w:r>
    </w:p>
    <w:p w14:paraId="00423DE7">
      <w:pPr>
        <w:spacing w:line="360" w:lineRule="auto"/>
        <w:ind w:firstLine="409" w:firstLineChars="195"/>
        <w:jc w:val="left"/>
        <w:rPr>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工程保修书具体内容见合同附件2。</w:t>
      </w:r>
    </w:p>
    <w:p w14:paraId="304CCEAF">
      <w:pPr>
        <w:spacing w:line="360" w:lineRule="auto"/>
        <w:ind w:firstLine="409" w:firstLineChars="195"/>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15.4.3 </w:t>
      </w:r>
      <w:r>
        <w:rPr>
          <w:rFonts w:hint="eastAsia" w:hAnsi="宋体" w:cs="宋体"/>
          <w:color w:val="000000" w:themeColor="text1"/>
          <w:szCs w:val="21"/>
          <w:highlight w:val="none"/>
          <w14:textFill>
            <w14:solidFill>
              <w14:schemeClr w14:val="tx1"/>
            </w14:solidFill>
          </w14:textFill>
        </w:rPr>
        <w:t>修复通知</w:t>
      </w:r>
    </w:p>
    <w:p w14:paraId="70D1F7B4">
      <w:pPr>
        <w:spacing w:line="360" w:lineRule="auto"/>
        <w:ind w:firstLine="409" w:firstLineChars="195"/>
        <w:jc w:val="left"/>
        <w:rPr>
          <w:color w:val="000000" w:themeColor="text1"/>
          <w:kern w:val="0"/>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承包人收到保修通知并到达工程现场的合理时间：</w:t>
      </w:r>
      <w:r>
        <w:rPr>
          <w:rFonts w:hint="eastAsia"/>
          <w:color w:val="000000" w:themeColor="text1"/>
          <w:kern w:val="0"/>
          <w:szCs w:val="21"/>
          <w:highlight w:val="none"/>
          <w:u w:val="single"/>
          <w14:textFill>
            <w14:solidFill>
              <w14:schemeClr w14:val="tx1"/>
            </w14:solidFill>
          </w14:textFill>
        </w:rPr>
        <w:t>24小时</w:t>
      </w:r>
      <w:r>
        <w:rPr>
          <w:rFonts w:hint="eastAsia" w:hAnsi="宋体" w:cs="宋体"/>
          <w:color w:val="000000" w:themeColor="text1"/>
          <w:kern w:val="0"/>
          <w:szCs w:val="21"/>
          <w:highlight w:val="none"/>
          <w14:textFill>
            <w14:solidFill>
              <w14:schemeClr w14:val="tx1"/>
            </w14:solidFill>
          </w14:textFill>
        </w:rPr>
        <w:t>。</w:t>
      </w:r>
    </w:p>
    <w:bookmarkEnd w:id="1000"/>
    <w:bookmarkEnd w:id="1001"/>
    <w:bookmarkEnd w:id="1002"/>
    <w:bookmarkEnd w:id="1003"/>
    <w:p w14:paraId="14A24E30">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044" w:name="_Toc78449855"/>
      <w:bookmarkStart w:id="1045" w:name="_Toc373478413"/>
      <w:bookmarkStart w:id="1046" w:name="_Toc114058906"/>
      <w:bookmarkStart w:id="1047" w:name="_Toc351203648"/>
      <w:bookmarkStart w:id="1048" w:name="_Toc407135269"/>
      <w:bookmarkStart w:id="1049" w:name="_Toc373227766"/>
      <w:bookmarkStart w:id="1050" w:name="_Toc389065331"/>
      <w:bookmarkStart w:id="1051" w:name="_Toc280868717"/>
      <w:bookmarkStart w:id="1052" w:name="_Toc280868718"/>
      <w:r>
        <w:rPr>
          <w:rFonts w:ascii="Arial" w:hAnsi="Arial" w:eastAsia="黑体"/>
          <w:b/>
          <w:bCs/>
          <w:color w:val="000000" w:themeColor="text1"/>
          <w:sz w:val="32"/>
          <w:szCs w:val="32"/>
          <w:highlight w:val="none"/>
          <w:lang w:val="zh-CN"/>
          <w14:textFill>
            <w14:solidFill>
              <w14:schemeClr w14:val="tx1"/>
            </w14:solidFill>
          </w14:textFill>
        </w:rPr>
        <w:t xml:space="preserve">16. </w:t>
      </w:r>
      <w:r>
        <w:rPr>
          <w:rFonts w:hint="eastAsia" w:ascii="Arial" w:hAnsi="宋体" w:eastAsia="黑体" w:cs="黑体"/>
          <w:b/>
          <w:bCs/>
          <w:color w:val="000000" w:themeColor="text1"/>
          <w:sz w:val="32"/>
          <w:szCs w:val="32"/>
          <w:highlight w:val="none"/>
          <w:lang w:val="zh-CN"/>
          <w14:textFill>
            <w14:solidFill>
              <w14:schemeClr w14:val="tx1"/>
            </w14:solidFill>
          </w14:textFill>
        </w:rPr>
        <w:t>违约</w:t>
      </w:r>
      <w:bookmarkEnd w:id="1044"/>
      <w:bookmarkEnd w:id="1045"/>
      <w:bookmarkEnd w:id="1046"/>
      <w:bookmarkEnd w:id="1047"/>
      <w:bookmarkEnd w:id="1048"/>
      <w:bookmarkEnd w:id="1049"/>
      <w:bookmarkEnd w:id="1050"/>
    </w:p>
    <w:p w14:paraId="262EA53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53" w:name="_Toc389065332"/>
      <w:bookmarkStart w:id="1054" w:name="_Toc373227767"/>
      <w:bookmarkStart w:id="1055" w:name="_Toc114058907"/>
      <w:bookmarkStart w:id="1056" w:name="_Toc407135270"/>
      <w:bookmarkStart w:id="1057" w:name="_Toc373478414"/>
      <w:bookmarkStart w:id="1058" w:name="_Toc78449856"/>
      <w:r>
        <w:rPr>
          <w:rFonts w:eastAsia="黑体"/>
          <w:b/>
          <w:bCs/>
          <w:color w:val="000000" w:themeColor="text1"/>
          <w:sz w:val="32"/>
          <w:szCs w:val="32"/>
          <w:highlight w:val="none"/>
          <w:lang w:val="zh-CN"/>
          <w14:textFill>
            <w14:solidFill>
              <w14:schemeClr w14:val="tx1"/>
            </w14:solidFill>
          </w14:textFill>
        </w:rPr>
        <w:t xml:space="preserve">16.1 </w:t>
      </w:r>
      <w:r>
        <w:rPr>
          <w:rFonts w:hint="eastAsia" w:hAnsi="宋体" w:eastAsia="黑体" w:cs="黑体"/>
          <w:b/>
          <w:bCs/>
          <w:color w:val="000000" w:themeColor="text1"/>
          <w:sz w:val="32"/>
          <w:szCs w:val="32"/>
          <w:highlight w:val="none"/>
          <w:lang w:val="zh-CN"/>
          <w14:textFill>
            <w14:solidFill>
              <w14:schemeClr w14:val="tx1"/>
            </w14:solidFill>
          </w14:textFill>
        </w:rPr>
        <w:t>发包人违约</w:t>
      </w:r>
      <w:bookmarkEnd w:id="1053"/>
      <w:bookmarkEnd w:id="1054"/>
      <w:bookmarkEnd w:id="1055"/>
      <w:bookmarkEnd w:id="1056"/>
      <w:bookmarkEnd w:id="1057"/>
      <w:bookmarkEnd w:id="1058"/>
    </w:p>
    <w:p w14:paraId="6DF841F9">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16.1.1</w:t>
      </w:r>
      <w:r>
        <w:rPr>
          <w:rFonts w:hAnsi="宋体"/>
          <w:color w:val="000000" w:themeColor="text1"/>
          <w:szCs w:val="21"/>
          <w:highlight w:val="none"/>
          <w14:textFill>
            <w14:solidFill>
              <w14:schemeClr w14:val="tx1"/>
            </w14:solidFill>
          </w14:textFill>
        </w:rPr>
        <w:t>发包人违约的情形</w:t>
      </w:r>
    </w:p>
    <w:p w14:paraId="49366F25">
      <w:pPr>
        <w:spacing w:line="360" w:lineRule="auto"/>
        <w:ind w:firstLine="420" w:firstLineChars="200"/>
        <w:jc w:val="left"/>
        <w:rPr>
          <w:rFonts w:hAnsi="宋体"/>
          <w:color w:val="000000" w:themeColor="text1"/>
          <w:kern w:val="0"/>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发包人违约的其他情形：</w:t>
      </w:r>
      <w:r>
        <w:rPr>
          <w:rFonts w:hint="eastAsia" w:ascii="宋体" w:hAnsi="宋体"/>
          <w:color w:val="000000" w:themeColor="text1"/>
          <w:kern w:val="0"/>
          <w:highlight w:val="none"/>
          <w:u w:val="single"/>
          <w14:textFill>
            <w14:solidFill>
              <w14:schemeClr w14:val="tx1"/>
            </w14:solidFill>
          </w14:textFill>
        </w:rPr>
        <w:t>（1）未按国家相关规定取得项目所需批文和许可，导致承包人进场施工后被迫暂停施工；（2） 未能按合同约定支付工程款；（3）自行实施被取消的工作或转由他人实施的；（4）提供的材料、工程设备的规格、数量或质量不符合合同约定，或因交货日期延误或交货地点变更等情况的；（5）违反合同约定（如迟延支付工程款等）造成暂停施工的；（6）无正当理由没有在约定期限内发出复工指示；（7）明确表示或者以其行为表明不履行合同主要义务的；（8）未能按照合同约定履行其他义务的</w:t>
      </w:r>
      <w:r>
        <w:rPr>
          <w:rFonts w:hint="eastAsia" w:ascii="宋体" w:hAnsi="宋体"/>
          <w:color w:val="000000" w:themeColor="text1"/>
          <w:kern w:val="0"/>
          <w:highlight w:val="none"/>
          <w14:textFill>
            <w14:solidFill>
              <w14:schemeClr w14:val="tx1"/>
            </w14:solidFill>
          </w14:textFill>
        </w:rPr>
        <w:t>。</w:t>
      </w:r>
    </w:p>
    <w:p w14:paraId="28085CFE">
      <w:pPr>
        <w:spacing w:line="360" w:lineRule="auto"/>
        <w:ind w:firstLine="420" w:firstLineChars="200"/>
        <w:jc w:val="left"/>
        <w:rPr>
          <w:rFonts w:hAnsi="宋体"/>
          <w:color w:val="000000" w:themeColor="text1"/>
          <w:kern w:val="0"/>
          <w:szCs w:val="21"/>
          <w:highlight w:val="none"/>
          <w14:textFill>
            <w14:solidFill>
              <w14:schemeClr w14:val="tx1"/>
            </w14:solidFill>
          </w14:textFill>
        </w:rPr>
      </w:pPr>
    </w:p>
    <w:p w14:paraId="69EB914D">
      <w:pPr>
        <w:spacing w:line="360" w:lineRule="auto"/>
        <w:ind w:firstLine="420" w:firstLineChars="200"/>
        <w:jc w:val="left"/>
        <w:outlineLvl w:val="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16.1.2 </w:t>
      </w:r>
      <w:r>
        <w:rPr>
          <w:rFonts w:hAnsi="宋体"/>
          <w:color w:val="000000" w:themeColor="text1"/>
          <w:kern w:val="0"/>
          <w:szCs w:val="21"/>
          <w:highlight w:val="none"/>
          <w14:textFill>
            <w14:solidFill>
              <w14:schemeClr w14:val="tx1"/>
            </w14:solidFill>
          </w14:textFill>
        </w:rPr>
        <w:t>发包人违约的责任</w:t>
      </w:r>
    </w:p>
    <w:p w14:paraId="50F59A8F">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发包人违约责任的承担方式和计算方法：</w:t>
      </w:r>
    </w:p>
    <w:p w14:paraId="49AED95F">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Ansi="宋体"/>
          <w:color w:val="000000" w:themeColor="text1"/>
          <w:kern w:val="0"/>
          <w:szCs w:val="21"/>
          <w:highlight w:val="none"/>
          <w14:textFill>
            <w14:solidFill>
              <w14:schemeClr w14:val="tx1"/>
            </w14:solidFill>
          </w14:textFill>
        </w:rPr>
        <w:t>）因发包人原因未能在计划开工日期前</w:t>
      </w:r>
      <w:r>
        <w:rPr>
          <w:color w:val="000000" w:themeColor="text1"/>
          <w:kern w:val="0"/>
          <w:szCs w:val="21"/>
          <w:highlight w:val="none"/>
          <w14:textFill>
            <w14:solidFill>
              <w14:schemeClr w14:val="tx1"/>
            </w14:solidFill>
          </w14:textFill>
        </w:rPr>
        <w:t>7</w:t>
      </w:r>
      <w:r>
        <w:rPr>
          <w:rFonts w:hAnsi="宋体"/>
          <w:color w:val="000000" w:themeColor="text1"/>
          <w:kern w:val="0"/>
          <w:szCs w:val="21"/>
          <w:highlight w:val="none"/>
          <w14:textFill>
            <w14:solidFill>
              <w14:schemeClr w14:val="tx1"/>
            </w14:solidFill>
          </w14:textFill>
        </w:rPr>
        <w:t>天内下达开工通知的违约责任：</w:t>
      </w:r>
      <w:r>
        <w:rPr>
          <w:rFonts w:hint="eastAsia"/>
          <w:color w:val="000000" w:themeColor="text1"/>
          <w:kern w:val="0"/>
          <w:szCs w:val="21"/>
          <w:highlight w:val="none"/>
          <w:u w:val="single"/>
          <w14:textFill>
            <w14:solidFill>
              <w14:schemeClr w14:val="tx1"/>
            </w14:solidFill>
          </w14:textFill>
        </w:rPr>
        <w:t>工期</w:t>
      </w:r>
      <w:r>
        <w:rPr>
          <w:color w:val="000000" w:themeColor="text1"/>
          <w:kern w:val="0"/>
          <w:szCs w:val="21"/>
          <w:highlight w:val="none"/>
          <w:u w:val="single"/>
          <w14:textFill>
            <w14:solidFill>
              <w14:schemeClr w14:val="tx1"/>
            </w14:solidFill>
          </w14:textFill>
        </w:rPr>
        <w:t xml:space="preserve">顺延   </w:t>
      </w:r>
      <w:r>
        <w:rPr>
          <w:rFonts w:hAnsi="宋体"/>
          <w:color w:val="000000" w:themeColor="text1"/>
          <w:kern w:val="0"/>
          <w:szCs w:val="21"/>
          <w:highlight w:val="none"/>
          <w14:textFill>
            <w14:solidFill>
              <w14:schemeClr w14:val="tx1"/>
            </w14:solidFill>
          </w14:textFill>
        </w:rPr>
        <w:t>。</w:t>
      </w:r>
    </w:p>
    <w:p w14:paraId="64A31C04">
      <w:pPr>
        <w:spacing w:line="360" w:lineRule="auto"/>
        <w:ind w:firstLine="420" w:firstLineChars="200"/>
        <w:jc w:val="left"/>
        <w:rPr>
          <w:rFonts w:ascii="宋体"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）因发包人原因未能按合同约定支付合同价款的违约责任：</w:t>
      </w:r>
      <w:r>
        <w:rPr>
          <w:rFonts w:hint="eastAsia" w:ascii="宋体" w:hAnsi="宋体"/>
          <w:b/>
          <w:bCs/>
          <w:color w:val="000000" w:themeColor="text1"/>
          <w:kern w:val="0"/>
          <w:szCs w:val="21"/>
          <w:highlight w:val="none"/>
          <w:u w:val="single"/>
          <w14:textFill>
            <w14:solidFill>
              <w14:schemeClr w14:val="tx1"/>
            </w14:solidFill>
          </w14:textFill>
        </w:rPr>
        <w:t>无</w:t>
      </w:r>
      <w:r>
        <w:rPr>
          <w:rFonts w:hint="eastAsia" w:ascii="宋体" w:hAnsi="宋体"/>
          <w:color w:val="000000" w:themeColor="text1"/>
          <w:kern w:val="0"/>
          <w:szCs w:val="21"/>
          <w:highlight w:val="none"/>
          <w14:textFill>
            <w14:solidFill>
              <w14:schemeClr w14:val="tx1"/>
            </w14:solidFill>
          </w14:textFill>
        </w:rPr>
        <w:t>。</w:t>
      </w:r>
    </w:p>
    <w:p w14:paraId="267AF78E">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）发包人违反第</w:t>
      </w:r>
      <w:r>
        <w:rPr>
          <w:color w:val="000000" w:themeColor="text1"/>
          <w:kern w:val="0"/>
          <w:szCs w:val="21"/>
          <w:highlight w:val="none"/>
          <w14:textFill>
            <w14:solidFill>
              <w14:schemeClr w14:val="tx1"/>
            </w14:solidFill>
          </w14:textFill>
        </w:rPr>
        <w:t>10.1</w:t>
      </w:r>
      <w:r>
        <w:rPr>
          <w:rFonts w:hAnsi="宋体"/>
          <w:color w:val="000000" w:themeColor="text1"/>
          <w:kern w:val="0"/>
          <w:szCs w:val="21"/>
          <w:highlight w:val="none"/>
          <w14:textFill>
            <w14:solidFill>
              <w14:schemeClr w14:val="tx1"/>
            </w14:solidFill>
          </w14:textFill>
        </w:rPr>
        <w:t>款〔变更的范围〕第（</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）项约定，自行实施被取消的工作或转由他人实施的违约责任：</w:t>
      </w:r>
      <w:r>
        <w:rPr>
          <w:rFonts w:hint="eastAsia"/>
          <w:color w:val="000000" w:themeColor="text1"/>
          <w:kern w:val="0"/>
          <w:szCs w:val="21"/>
          <w:highlight w:val="none"/>
          <w:u w:val="single"/>
          <w14:textFill>
            <w14:solidFill>
              <w14:schemeClr w14:val="tx1"/>
            </w14:solidFill>
          </w14:textFill>
        </w:rPr>
        <w:t>无</w:t>
      </w:r>
      <w:r>
        <w:rPr>
          <w:rFonts w:hAnsi="宋体"/>
          <w:color w:val="000000" w:themeColor="text1"/>
          <w:kern w:val="0"/>
          <w:szCs w:val="21"/>
          <w:highlight w:val="none"/>
          <w14:textFill>
            <w14:solidFill>
              <w14:schemeClr w14:val="tx1"/>
            </w14:solidFill>
          </w14:textFill>
        </w:rPr>
        <w:t>。</w:t>
      </w:r>
    </w:p>
    <w:p w14:paraId="1E35226F">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4</w:t>
      </w:r>
      <w:r>
        <w:rPr>
          <w:rFonts w:hAnsi="宋体"/>
          <w:color w:val="000000" w:themeColor="text1"/>
          <w:kern w:val="0"/>
          <w:szCs w:val="21"/>
          <w:highlight w:val="none"/>
          <w14:textFill>
            <w14:solidFill>
              <w14:schemeClr w14:val="tx1"/>
            </w14:solidFill>
          </w14:textFill>
        </w:rPr>
        <w:t>）发包人提供的材料、工程设备的规格、数量或质量不符合合同约定，或因发包人原因导致交货日期延误或交货地点变更等情况的违约责任：</w:t>
      </w:r>
      <w:r>
        <w:rPr>
          <w:rFonts w:hint="eastAsia"/>
          <w:color w:val="000000" w:themeColor="text1"/>
          <w:kern w:val="0"/>
          <w:szCs w:val="21"/>
          <w:highlight w:val="none"/>
          <w:u w:val="single"/>
          <w14:textFill>
            <w14:solidFill>
              <w14:schemeClr w14:val="tx1"/>
            </w14:solidFill>
          </w14:textFill>
        </w:rPr>
        <w:t>承包人可以提出工期索赔</w:t>
      </w:r>
      <w:r>
        <w:rPr>
          <w:rFonts w:hAnsi="宋体"/>
          <w:color w:val="000000" w:themeColor="text1"/>
          <w:kern w:val="0"/>
          <w:szCs w:val="21"/>
          <w:highlight w:val="none"/>
          <w14:textFill>
            <w14:solidFill>
              <w14:schemeClr w14:val="tx1"/>
            </w14:solidFill>
          </w14:textFill>
        </w:rPr>
        <w:t>。</w:t>
      </w:r>
    </w:p>
    <w:p w14:paraId="0CB8B99C">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5</w:t>
      </w:r>
      <w:r>
        <w:rPr>
          <w:rFonts w:hAnsi="宋体"/>
          <w:color w:val="000000" w:themeColor="text1"/>
          <w:kern w:val="0"/>
          <w:szCs w:val="21"/>
          <w:highlight w:val="none"/>
          <w14:textFill>
            <w14:solidFill>
              <w14:schemeClr w14:val="tx1"/>
            </w14:solidFill>
          </w14:textFill>
        </w:rPr>
        <w:t>）因发包人违反合同约定造成暂停施工的违约责任：</w:t>
      </w:r>
      <w:r>
        <w:rPr>
          <w:rFonts w:hint="eastAsia"/>
          <w:color w:val="000000" w:themeColor="text1"/>
          <w:kern w:val="0"/>
          <w:szCs w:val="21"/>
          <w:highlight w:val="none"/>
          <w:u w:val="single"/>
          <w14:textFill>
            <w14:solidFill>
              <w14:schemeClr w14:val="tx1"/>
            </w14:solidFill>
          </w14:textFill>
        </w:rPr>
        <w:t>承包人可以提出工期索赔</w:t>
      </w:r>
      <w:r>
        <w:rPr>
          <w:rFonts w:hAnsi="宋体"/>
          <w:color w:val="000000" w:themeColor="text1"/>
          <w:kern w:val="0"/>
          <w:szCs w:val="21"/>
          <w:highlight w:val="none"/>
          <w14:textFill>
            <w14:solidFill>
              <w14:schemeClr w14:val="tx1"/>
            </w14:solidFill>
          </w14:textFill>
        </w:rPr>
        <w:t>。</w:t>
      </w:r>
    </w:p>
    <w:p w14:paraId="44AAA11A">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6</w:t>
      </w:r>
      <w:r>
        <w:rPr>
          <w:rFonts w:hAnsi="宋体"/>
          <w:color w:val="000000" w:themeColor="text1"/>
          <w:kern w:val="0"/>
          <w:szCs w:val="21"/>
          <w:highlight w:val="none"/>
          <w14:textFill>
            <w14:solidFill>
              <w14:schemeClr w14:val="tx1"/>
            </w14:solidFill>
          </w14:textFill>
        </w:rPr>
        <w:t>）发包人无正当理由没有在约定期限内发出复工指示，导致承包人无法复工的违约责任：</w:t>
      </w:r>
      <w:r>
        <w:rPr>
          <w:rFonts w:hint="eastAsia"/>
          <w:color w:val="000000" w:themeColor="text1"/>
          <w:kern w:val="0"/>
          <w:szCs w:val="21"/>
          <w:highlight w:val="none"/>
          <w:u w:val="single"/>
          <w14:textFill>
            <w14:solidFill>
              <w14:schemeClr w14:val="tx1"/>
            </w14:solidFill>
          </w14:textFill>
        </w:rPr>
        <w:t>承包人可以提出工期索赔</w:t>
      </w:r>
      <w:r>
        <w:rPr>
          <w:rFonts w:hAnsi="宋体"/>
          <w:color w:val="000000" w:themeColor="text1"/>
          <w:kern w:val="0"/>
          <w:szCs w:val="21"/>
          <w:highlight w:val="none"/>
          <w14:textFill>
            <w14:solidFill>
              <w14:schemeClr w14:val="tx1"/>
            </w14:solidFill>
          </w14:textFill>
        </w:rPr>
        <w:t>。</w:t>
      </w:r>
    </w:p>
    <w:p w14:paraId="0EA9E9D9">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7</w:t>
      </w:r>
      <w:r>
        <w:rPr>
          <w:rFonts w:hAnsi="宋体"/>
          <w:color w:val="000000" w:themeColor="text1"/>
          <w:kern w:val="0"/>
          <w:szCs w:val="21"/>
          <w:highlight w:val="none"/>
          <w14:textFill>
            <w14:solidFill>
              <w14:schemeClr w14:val="tx1"/>
            </w14:solidFill>
          </w14:textFill>
        </w:rPr>
        <w:t>）其他：</w:t>
      </w:r>
      <w:r>
        <w:rPr>
          <w:rFonts w:hint="eastAsia" w:ascii="宋体" w:hAnsi="宋体"/>
          <w:color w:val="000000" w:themeColor="text1"/>
          <w:kern w:val="0"/>
          <w:highlight w:val="none"/>
          <w:u w:val="single"/>
          <w14:textFill>
            <w14:solidFill>
              <w14:schemeClr w14:val="tx1"/>
            </w14:solidFill>
          </w14:textFill>
        </w:rPr>
        <w:t>非承包人原因造成工程停工且工程停工连续超过84天时，承包人有权选择单方解除本合同，发包人应赔偿由此给承包人造成的全部经济损失。如因国家和地方重大政策调整、地方政府强制规定要求造成的停工，发包人同意顺延工期和支付直接损失费用</w:t>
      </w:r>
      <w:r>
        <w:rPr>
          <w:rFonts w:hint="eastAsia" w:ascii="宋体" w:hAnsi="宋体"/>
          <w:color w:val="000000" w:themeColor="text1"/>
          <w:kern w:val="0"/>
          <w:highlight w:val="none"/>
          <w14:textFill>
            <w14:solidFill>
              <w14:schemeClr w14:val="tx1"/>
            </w14:solidFill>
          </w14:textFill>
        </w:rPr>
        <w:t>。</w:t>
      </w:r>
    </w:p>
    <w:p w14:paraId="357E9640">
      <w:pPr>
        <w:spacing w:line="360" w:lineRule="auto"/>
        <w:ind w:firstLine="420" w:firstLineChars="200"/>
        <w:jc w:val="left"/>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16.1.3 </w:t>
      </w:r>
      <w:r>
        <w:rPr>
          <w:rFonts w:hAnsi="宋体"/>
          <w:color w:val="000000" w:themeColor="text1"/>
          <w:szCs w:val="21"/>
          <w:highlight w:val="none"/>
          <w14:textFill>
            <w14:solidFill>
              <w14:schemeClr w14:val="tx1"/>
            </w14:solidFill>
          </w14:textFill>
        </w:rPr>
        <w:t>因发包人违约解除合同</w:t>
      </w:r>
    </w:p>
    <w:p w14:paraId="3326D6EE">
      <w:pPr>
        <w:autoSpaceDE w:val="0"/>
        <w:autoSpaceDN w:val="0"/>
        <w:adjustRightInd w:val="0"/>
        <w:spacing w:line="360" w:lineRule="auto"/>
        <w:ind w:firstLine="420" w:firstLineChars="200"/>
        <w:jc w:val="left"/>
        <w:rPr>
          <w:color w:val="000000" w:themeColor="text1"/>
          <w:kern w:val="0"/>
          <w:szCs w:val="22"/>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承包人按</w:t>
      </w:r>
      <w:r>
        <w:rPr>
          <w:color w:val="000000" w:themeColor="text1"/>
          <w:kern w:val="0"/>
          <w:szCs w:val="21"/>
          <w:highlight w:val="none"/>
          <w14:textFill>
            <w14:solidFill>
              <w14:schemeClr w14:val="tx1"/>
            </w14:solidFill>
          </w14:textFill>
        </w:rPr>
        <w:t>16.1.1</w:t>
      </w:r>
      <w:r>
        <w:rPr>
          <w:rFonts w:hAnsi="宋体"/>
          <w:color w:val="000000" w:themeColor="text1"/>
          <w:kern w:val="0"/>
          <w:szCs w:val="21"/>
          <w:highlight w:val="none"/>
          <w14:textFill>
            <w14:solidFill>
              <w14:schemeClr w14:val="tx1"/>
            </w14:solidFill>
          </w14:textFill>
        </w:rPr>
        <w:t>项〔发包人违约的情形〕约定暂停施工满</w:t>
      </w:r>
      <w:r>
        <w:rPr>
          <w:rFonts w:hint="eastAsia"/>
          <w:color w:val="000000" w:themeColor="text1"/>
          <w:kern w:val="0"/>
          <w:szCs w:val="21"/>
          <w:highlight w:val="none"/>
          <w:u w:val="single"/>
          <w14:textFill>
            <w14:solidFill>
              <w14:schemeClr w14:val="tx1"/>
            </w14:solidFill>
          </w14:textFill>
        </w:rPr>
        <w:t>60</w:t>
      </w:r>
      <w:r>
        <w:rPr>
          <w:rFonts w:hAnsi="宋体"/>
          <w:color w:val="000000" w:themeColor="text1"/>
          <w:kern w:val="0"/>
          <w:szCs w:val="21"/>
          <w:highlight w:val="none"/>
          <w14:textFill>
            <w14:solidFill>
              <w14:schemeClr w14:val="tx1"/>
            </w14:solidFill>
          </w14:textFill>
        </w:rPr>
        <w:t>天后发包人仍不纠正其违约行为并致使合同目的不能实现的，承包人有权解除合同</w:t>
      </w:r>
    </w:p>
    <w:p w14:paraId="3C0EC59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59" w:name="_Toc373478415"/>
      <w:bookmarkStart w:id="1060" w:name="_Toc373227768"/>
      <w:bookmarkStart w:id="1061" w:name="_Toc114058908"/>
      <w:bookmarkStart w:id="1062" w:name="_Toc407135271"/>
      <w:bookmarkStart w:id="1063" w:name="_Toc389065333"/>
      <w:bookmarkStart w:id="1064" w:name="_Toc78449857"/>
      <w:r>
        <w:rPr>
          <w:rFonts w:eastAsia="黑体"/>
          <w:b/>
          <w:bCs/>
          <w:color w:val="000000" w:themeColor="text1"/>
          <w:sz w:val="32"/>
          <w:szCs w:val="32"/>
          <w:highlight w:val="none"/>
          <w:lang w:val="zh-CN"/>
          <w14:textFill>
            <w14:solidFill>
              <w14:schemeClr w14:val="tx1"/>
            </w14:solidFill>
          </w14:textFill>
        </w:rPr>
        <w:t xml:space="preserve">16.2 </w:t>
      </w:r>
      <w:r>
        <w:rPr>
          <w:rFonts w:hint="eastAsia" w:hAnsi="宋体" w:eastAsia="黑体" w:cs="黑体"/>
          <w:b/>
          <w:bCs/>
          <w:color w:val="000000" w:themeColor="text1"/>
          <w:sz w:val="32"/>
          <w:szCs w:val="32"/>
          <w:highlight w:val="none"/>
          <w:lang w:val="zh-CN"/>
          <w14:textFill>
            <w14:solidFill>
              <w14:schemeClr w14:val="tx1"/>
            </w14:solidFill>
          </w14:textFill>
        </w:rPr>
        <w:t>承包人违约</w:t>
      </w:r>
      <w:bookmarkEnd w:id="1059"/>
      <w:bookmarkEnd w:id="1060"/>
      <w:bookmarkEnd w:id="1061"/>
      <w:bookmarkEnd w:id="1062"/>
      <w:bookmarkEnd w:id="1063"/>
      <w:bookmarkEnd w:id="1064"/>
    </w:p>
    <w:p w14:paraId="00C4C551">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16.2.1 </w:t>
      </w:r>
      <w:r>
        <w:rPr>
          <w:rFonts w:hAnsi="宋体"/>
          <w:color w:val="000000" w:themeColor="text1"/>
          <w:kern w:val="0"/>
          <w:szCs w:val="21"/>
          <w:highlight w:val="none"/>
          <w14:textFill>
            <w14:solidFill>
              <w14:schemeClr w14:val="tx1"/>
            </w14:solidFill>
          </w14:textFill>
        </w:rPr>
        <w:t>承包人违约的情形</w:t>
      </w:r>
    </w:p>
    <w:p w14:paraId="6AC68765">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承包人违约的其他情形：</w:t>
      </w:r>
      <w:r>
        <w:rPr>
          <w:rFonts w:hint="eastAsia" w:ascii="宋体" w:hAnsi="宋体"/>
          <w:color w:val="000000" w:themeColor="text1"/>
          <w:kern w:val="0"/>
          <w:szCs w:val="21"/>
          <w:highlight w:val="none"/>
          <w:u w:val="single"/>
          <w14:textFill>
            <w14:solidFill>
              <w14:schemeClr w14:val="tx1"/>
            </w14:solidFill>
          </w14:textFill>
        </w:rPr>
        <w:t>承包人有违反《南宁市建设工程造价管理办法》</w:t>
      </w:r>
      <w:r>
        <w:rPr>
          <w:rFonts w:hint="eastAsia" w:ascii="宋体" w:hAnsi="宋体"/>
          <w:b/>
          <w:bCs/>
          <w:color w:val="000000" w:themeColor="text1"/>
          <w:kern w:val="0"/>
          <w:szCs w:val="21"/>
          <w:highlight w:val="none"/>
          <w:u w:val="single"/>
          <w14:textFill>
            <w14:solidFill>
              <w14:schemeClr w14:val="tx1"/>
            </w14:solidFill>
          </w14:textFill>
        </w:rPr>
        <w:t>（南宁市人民政府令2007年第5号）</w:t>
      </w:r>
      <w:r>
        <w:rPr>
          <w:rFonts w:hint="eastAsia" w:ascii="宋体" w:hAnsi="宋体"/>
          <w:color w:val="000000" w:themeColor="text1"/>
          <w:kern w:val="0"/>
          <w:szCs w:val="21"/>
          <w:highlight w:val="none"/>
          <w:u w:val="single"/>
          <w14:textFill>
            <w14:solidFill>
              <w14:schemeClr w14:val="tx1"/>
            </w14:solidFill>
          </w14:textFill>
        </w:rPr>
        <w:t>规定的，按规定给予处罚</w:t>
      </w:r>
      <w:r>
        <w:rPr>
          <w:rFonts w:hAnsi="宋体"/>
          <w:color w:val="000000" w:themeColor="text1"/>
          <w:kern w:val="0"/>
          <w:szCs w:val="21"/>
          <w:highlight w:val="none"/>
          <w14:textFill>
            <w14:solidFill>
              <w14:schemeClr w14:val="tx1"/>
            </w14:solidFill>
          </w14:textFill>
        </w:rPr>
        <w:t>。</w:t>
      </w:r>
    </w:p>
    <w:p w14:paraId="429EC098">
      <w:pPr>
        <w:spacing w:line="360" w:lineRule="auto"/>
        <w:ind w:firstLine="420" w:firstLineChars="200"/>
        <w:jc w:val="left"/>
        <w:outlineLvl w:val="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16.2.2</w:t>
      </w:r>
      <w:r>
        <w:rPr>
          <w:rFonts w:hAnsi="宋体"/>
          <w:color w:val="000000" w:themeColor="text1"/>
          <w:kern w:val="0"/>
          <w:szCs w:val="21"/>
          <w:highlight w:val="none"/>
          <w14:textFill>
            <w14:solidFill>
              <w14:schemeClr w14:val="tx1"/>
            </w14:solidFill>
          </w14:textFill>
        </w:rPr>
        <w:t>承包人违约的责任</w:t>
      </w:r>
    </w:p>
    <w:p w14:paraId="358E28E8">
      <w:pPr>
        <w:spacing w:line="360" w:lineRule="auto"/>
        <w:ind w:firstLine="420" w:firstLineChars="200"/>
        <w:jc w:val="left"/>
        <w:rPr>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承包人违约责任的承担方式和计算方法：</w:t>
      </w:r>
    </w:p>
    <w:p w14:paraId="6E149D45">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1</w:t>
      </w:r>
      <w:r>
        <w:rPr>
          <w:rFonts w:hAnsi="宋体"/>
          <w:color w:val="000000" w:themeColor="text1"/>
          <w:kern w:val="0"/>
          <w:szCs w:val="21"/>
          <w:highlight w:val="none"/>
          <w14:textFill>
            <w14:solidFill>
              <w14:schemeClr w14:val="tx1"/>
            </w14:solidFill>
          </w14:textFill>
        </w:rPr>
        <w:t>）承包人未按本合同通用条款第</w:t>
      </w:r>
      <w:r>
        <w:rPr>
          <w:color w:val="000000" w:themeColor="text1"/>
          <w:kern w:val="0"/>
          <w:szCs w:val="21"/>
          <w:highlight w:val="none"/>
          <w14:textFill>
            <w14:solidFill>
              <w14:schemeClr w14:val="tx1"/>
            </w14:solidFill>
          </w14:textFill>
        </w:rPr>
        <w:t>16.2.1</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w:t>
      </w:r>
      <w:r>
        <w:rPr>
          <w:rFonts w:hint="eastAsia" w:hAnsi="宋体"/>
          <w:color w:val="000000" w:themeColor="text1"/>
          <w:kern w:val="0"/>
          <w:szCs w:val="21"/>
          <w:highlight w:val="none"/>
          <w14:textFill>
            <w14:solidFill>
              <w14:schemeClr w14:val="tx1"/>
            </w14:solidFill>
          </w14:textFill>
        </w:rPr>
        <w:t>、</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）条内容完成的，承包人无条件返工处理，修复至工程质量要求并承担相关费用，并在发包人规定的时间内完成返工，否则发包人有权扣罚该分项工程</w:t>
      </w:r>
      <w:r>
        <w:rPr>
          <w:color w:val="000000" w:themeColor="text1"/>
          <w:kern w:val="0"/>
          <w:szCs w:val="21"/>
          <w:highlight w:val="none"/>
          <w14:textFill>
            <w14:solidFill>
              <w14:schemeClr w14:val="tx1"/>
            </w14:solidFill>
          </w14:textFill>
        </w:rPr>
        <w:t>10%</w:t>
      </w:r>
      <w:r>
        <w:rPr>
          <w:rFonts w:hAnsi="宋体"/>
          <w:color w:val="000000" w:themeColor="text1"/>
          <w:kern w:val="0"/>
          <w:szCs w:val="21"/>
          <w:highlight w:val="none"/>
          <w14:textFill>
            <w14:solidFill>
              <w14:schemeClr w14:val="tx1"/>
            </w14:solidFill>
          </w14:textFill>
        </w:rPr>
        <w:t>的工程款作为处罚。</w:t>
      </w:r>
    </w:p>
    <w:p w14:paraId="7415BAA3">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）承包人有本合同通用条款第</w:t>
      </w:r>
      <w:r>
        <w:rPr>
          <w:color w:val="000000" w:themeColor="text1"/>
          <w:kern w:val="0"/>
          <w:szCs w:val="21"/>
          <w:highlight w:val="none"/>
          <w14:textFill>
            <w14:solidFill>
              <w14:schemeClr w14:val="tx1"/>
            </w14:solidFill>
          </w14:textFill>
        </w:rPr>
        <w:t>16.2.1</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6</w:t>
      </w:r>
      <w:r>
        <w:rPr>
          <w:rFonts w:hAnsi="宋体"/>
          <w:color w:val="000000" w:themeColor="text1"/>
          <w:kern w:val="0"/>
          <w:szCs w:val="21"/>
          <w:highlight w:val="none"/>
          <w14:textFill>
            <w14:solidFill>
              <w14:schemeClr w14:val="tx1"/>
            </w14:solidFill>
          </w14:textFill>
        </w:rPr>
        <w:t>）条情形的，或经监理人检验认为修复质量不合格而承包人拒绝再进行修补的，发包人将扣除承包人全部质量保修金。</w:t>
      </w:r>
    </w:p>
    <w:p w14:paraId="59604D92">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）承包人有本专用合同条款</w:t>
      </w:r>
      <w:r>
        <w:rPr>
          <w:color w:val="000000" w:themeColor="text1"/>
          <w:kern w:val="0"/>
          <w:szCs w:val="21"/>
          <w:highlight w:val="none"/>
          <w14:textFill>
            <w14:solidFill>
              <w14:schemeClr w14:val="tx1"/>
            </w14:solidFill>
          </w14:textFill>
        </w:rPr>
        <w:t>3.2</w:t>
      </w:r>
      <w:r>
        <w:rPr>
          <w:rFonts w:hAnsi="宋体"/>
          <w:color w:val="000000" w:themeColor="text1"/>
          <w:kern w:val="0"/>
          <w:szCs w:val="21"/>
          <w:highlight w:val="none"/>
          <w14:textFill>
            <w14:solidFill>
              <w14:schemeClr w14:val="tx1"/>
            </w14:solidFill>
          </w14:textFill>
        </w:rPr>
        <w:t>、</w:t>
      </w:r>
      <w:r>
        <w:rPr>
          <w:color w:val="000000" w:themeColor="text1"/>
          <w:kern w:val="0"/>
          <w:szCs w:val="21"/>
          <w:highlight w:val="none"/>
          <w14:textFill>
            <w14:solidFill>
              <w14:schemeClr w14:val="tx1"/>
            </w14:solidFill>
          </w14:textFill>
        </w:rPr>
        <w:t>3.3</w:t>
      </w:r>
      <w:r>
        <w:rPr>
          <w:rFonts w:hAnsi="宋体"/>
          <w:color w:val="000000" w:themeColor="text1"/>
          <w:kern w:val="0"/>
          <w:szCs w:val="21"/>
          <w:highlight w:val="none"/>
          <w14:textFill>
            <w14:solidFill>
              <w14:schemeClr w14:val="tx1"/>
            </w14:solidFill>
          </w14:textFill>
        </w:rPr>
        <w:t>条违约责任的，发包人有权扣除承包人的违约金。违约金金额均在承包人的计量支付款内扣除。监理人预先下发含有罚款意向的指令，如承包人不及时采取措施纠正，则在指令下达后十五天下发罚款通知书（不再陈述罚款理由）。承包人在合同期内，完成合同规定的全部工程，且质量合格，在本工程施工竣工验收后十五天内可申请返还全部或部分罚款，返还金额由监理人审核，发包人批准。罚款金额返还时不包括银行利息。</w:t>
      </w:r>
    </w:p>
    <w:p w14:paraId="3FFF5140">
      <w:pPr>
        <w:spacing w:line="360" w:lineRule="auto"/>
        <w:ind w:firstLine="420" w:firstLineChars="200"/>
        <w:jc w:val="left"/>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承包人应协助发包人办理该项目施工许可证，按南宁市质监部门有关安全文明现场施工的规定完成文明施工设施建设并通过质监部门验收，同时按发包人要求及时提供报监相关资料。因承包人未按发包人的要求按时完成文明施工设施建设并通过质监部门验收或未按发包人要求的时间提供报监相关资料而影响施工许可证的办理，视为承包人违约，每延误一日按5000元人民币向发包人支付违约金。</w:t>
      </w:r>
    </w:p>
    <w:p w14:paraId="2D779792">
      <w:pPr>
        <w:spacing w:line="360" w:lineRule="auto"/>
        <w:ind w:firstLine="420" w:firstLineChars="200"/>
        <w:jc w:val="left"/>
        <w:rPr>
          <w:rFonts w:ascii="宋体" w:hAnsi="宋体"/>
          <w:kern w:val="0"/>
          <w:szCs w:val="21"/>
          <w:highlight w:val="none"/>
        </w:rPr>
      </w:pPr>
      <w:r>
        <w:rPr>
          <w:rFonts w:hint="eastAsia" w:ascii="宋体" w:hAnsi="宋体"/>
          <w:color w:val="000000" w:themeColor="text1"/>
          <w:kern w:val="0"/>
          <w:szCs w:val="21"/>
          <w:highlight w:val="none"/>
          <w14:textFill>
            <w14:solidFill>
              <w14:schemeClr w14:val="tx1"/>
            </w14:solidFill>
          </w14:textFill>
        </w:rPr>
        <w:t>（5）承包人必须协助业主办理行政退费手续，如因承包人提供退费资料不全等原因导致业</w:t>
      </w:r>
      <w:r>
        <w:rPr>
          <w:rFonts w:hint="eastAsia" w:ascii="宋体" w:hAnsi="宋体"/>
          <w:kern w:val="0"/>
          <w:szCs w:val="21"/>
          <w:highlight w:val="none"/>
        </w:rPr>
        <w:t>主退费不成功，该笔费用将从工程结算款中予以扣除。</w:t>
      </w:r>
    </w:p>
    <w:p w14:paraId="22BCB453">
      <w:pPr>
        <w:spacing w:line="360" w:lineRule="auto"/>
        <w:ind w:firstLine="420" w:firstLineChars="200"/>
        <w:jc w:val="left"/>
        <w:rPr>
          <w:rFonts w:ascii="宋体" w:hAnsi="宋体" w:cs="宋体"/>
          <w:kern w:val="0"/>
          <w:szCs w:val="21"/>
          <w:highlight w:val="none"/>
        </w:rPr>
      </w:pPr>
      <w:bookmarkStart w:id="1065" w:name="_Hlk141736837"/>
      <w:bookmarkStart w:id="1066" w:name="_Hlk141736798"/>
      <w:r>
        <w:rPr>
          <w:rFonts w:hint="eastAsia" w:ascii="宋体" w:hAnsi="宋体" w:cs="宋体"/>
          <w:kern w:val="0"/>
          <w:szCs w:val="21"/>
          <w:highlight w:val="none"/>
        </w:rPr>
        <w:t>（6）因承包人原因无法在本项目磋商文件要求的工期内完成项目建设并交付使用，给发包人带来损失的，发包人有权向承包人索赔，索赔范围包括但不限于发包人收入损失、名誉受损等方面</w:t>
      </w:r>
      <w:bookmarkEnd w:id="1065"/>
      <w:r>
        <w:rPr>
          <w:rFonts w:hint="eastAsia" w:ascii="宋体" w:hAnsi="宋体" w:cs="宋体"/>
          <w:kern w:val="0"/>
          <w:szCs w:val="21"/>
          <w:highlight w:val="none"/>
        </w:rPr>
        <w:t>。</w:t>
      </w:r>
    </w:p>
    <w:bookmarkEnd w:id="1066"/>
    <w:p w14:paraId="01759CD9">
      <w:pPr>
        <w:pStyle w:val="61"/>
        <w:ind w:firstLine="480"/>
        <w:rPr>
          <w:rFonts w:ascii="宋体" w:hAnsi="宋体"/>
          <w:color w:val="000000" w:themeColor="text1"/>
          <w:szCs w:val="21"/>
          <w:highlight w:val="none"/>
          <w:lang w:eastAsia="zh-CN"/>
          <w14:textFill>
            <w14:solidFill>
              <w14:schemeClr w14:val="tx1"/>
            </w14:solidFill>
          </w14:textFill>
        </w:rPr>
      </w:pPr>
    </w:p>
    <w:p w14:paraId="1E822861">
      <w:pPr>
        <w:spacing w:line="360" w:lineRule="auto"/>
        <w:ind w:firstLine="420" w:firstLineChars="200"/>
        <w:jc w:val="left"/>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16.2.3 </w:t>
      </w:r>
      <w:r>
        <w:rPr>
          <w:rFonts w:hAnsi="宋体"/>
          <w:color w:val="000000" w:themeColor="text1"/>
          <w:szCs w:val="21"/>
          <w:highlight w:val="none"/>
          <w14:textFill>
            <w14:solidFill>
              <w14:schemeClr w14:val="tx1"/>
            </w14:solidFill>
          </w14:textFill>
        </w:rPr>
        <w:t>因承包人违约解除合同</w:t>
      </w:r>
    </w:p>
    <w:p w14:paraId="66F2DE50">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关于承包人违约解除合同的特别约定：</w:t>
      </w:r>
      <w:r>
        <w:rPr>
          <w:rFonts w:hAnsi="宋体"/>
          <w:color w:val="000000" w:themeColor="text1"/>
          <w:kern w:val="0"/>
          <w:szCs w:val="21"/>
          <w:highlight w:val="none"/>
          <w:u w:val="single"/>
          <w14:textFill>
            <w14:solidFill>
              <w14:schemeClr w14:val="tx1"/>
            </w14:solidFill>
          </w14:textFill>
        </w:rPr>
        <w:t>承包人有违反以下情况之一的，发包人有权解除合同</w:t>
      </w:r>
      <w:r>
        <w:rPr>
          <w:rFonts w:hAnsi="宋体"/>
          <w:color w:val="000000" w:themeColor="text1"/>
          <w:kern w:val="0"/>
          <w:szCs w:val="21"/>
          <w:highlight w:val="none"/>
          <w14:textFill>
            <w14:solidFill>
              <w14:schemeClr w14:val="tx1"/>
            </w14:solidFill>
          </w14:textFill>
        </w:rPr>
        <w:t>。</w:t>
      </w:r>
    </w:p>
    <w:p w14:paraId="33AAC711">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(1)</w:t>
      </w:r>
      <w:r>
        <w:rPr>
          <w:rFonts w:hint="eastAsia" w:ascii="宋体" w:hAnsi="宋体"/>
          <w:b/>
          <w:bCs/>
          <w:color w:val="000000" w:themeColor="text1"/>
          <w:highlight w:val="none"/>
          <w14:textFill>
            <w14:solidFill>
              <w14:schemeClr w14:val="tx1"/>
            </w14:solidFill>
          </w14:textFill>
        </w:rPr>
        <w:t>因承包人的原因，造成施工许可证办理期限延误超过一个月、</w:t>
      </w:r>
      <w:r>
        <w:rPr>
          <w:rFonts w:hAnsi="宋体"/>
          <w:color w:val="000000" w:themeColor="text1"/>
          <w:kern w:val="0"/>
          <w:szCs w:val="21"/>
          <w:highlight w:val="none"/>
          <w14:textFill>
            <w14:solidFill>
              <w14:schemeClr w14:val="tx1"/>
            </w14:solidFill>
          </w14:textFill>
        </w:rPr>
        <w:t>承包人无正当理由不按开工通知的要求及时进场组织施工</w:t>
      </w:r>
      <w:r>
        <w:rPr>
          <w:rFonts w:hint="eastAsia" w:ascii="宋体" w:hAnsi="宋体"/>
          <w:b/>
          <w:bCs/>
          <w:color w:val="000000" w:themeColor="text1"/>
          <w:highlight w:val="none"/>
          <w14:textFill>
            <w14:solidFill>
              <w14:schemeClr w14:val="tx1"/>
            </w14:solidFill>
          </w14:textFill>
        </w:rPr>
        <w:t>超过一个月</w:t>
      </w:r>
      <w:r>
        <w:rPr>
          <w:rFonts w:hAnsi="宋体"/>
          <w:color w:val="000000" w:themeColor="text1"/>
          <w:kern w:val="0"/>
          <w:szCs w:val="21"/>
          <w:highlight w:val="none"/>
          <w14:textFill>
            <w14:solidFill>
              <w14:schemeClr w14:val="tx1"/>
            </w14:solidFill>
          </w14:textFill>
        </w:rPr>
        <w:t>和不按签订协议书时商</w:t>
      </w:r>
      <w:r>
        <w:rPr>
          <w:rFonts w:hint="eastAsia" w:hAnsi="宋体"/>
          <w:color w:val="000000" w:themeColor="text1"/>
          <w:kern w:val="0"/>
          <w:szCs w:val="21"/>
          <w:highlight w:val="none"/>
          <w14:textFill>
            <w14:solidFill>
              <w14:schemeClr w14:val="tx1"/>
            </w14:solidFill>
          </w14:textFill>
        </w:rPr>
        <w:t>定</w:t>
      </w:r>
      <w:r>
        <w:rPr>
          <w:rFonts w:hAnsi="宋体"/>
          <w:color w:val="000000" w:themeColor="text1"/>
          <w:kern w:val="0"/>
          <w:szCs w:val="21"/>
          <w:highlight w:val="none"/>
          <w14:textFill>
            <w14:solidFill>
              <w14:schemeClr w14:val="tx1"/>
            </w14:solidFill>
          </w14:textFill>
        </w:rPr>
        <w:t>的进度计划有效地开展施工准备，造成工期延误的；</w:t>
      </w:r>
    </w:p>
    <w:p w14:paraId="0CE61490">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(2)</w:t>
      </w:r>
      <w:r>
        <w:rPr>
          <w:rFonts w:hAnsi="宋体"/>
          <w:color w:val="000000" w:themeColor="text1"/>
          <w:kern w:val="0"/>
          <w:szCs w:val="21"/>
          <w:highlight w:val="none"/>
          <w14:textFill>
            <w14:solidFill>
              <w14:schemeClr w14:val="tx1"/>
            </w14:solidFill>
          </w14:textFill>
        </w:rPr>
        <w:t>承包人违反本合同通用条款第</w:t>
      </w:r>
      <w:r>
        <w:rPr>
          <w:color w:val="000000" w:themeColor="text1"/>
          <w:kern w:val="0"/>
          <w:szCs w:val="21"/>
          <w:highlight w:val="none"/>
          <w14:textFill>
            <w14:solidFill>
              <w14:schemeClr w14:val="tx1"/>
            </w14:solidFill>
          </w14:textFill>
        </w:rPr>
        <w:t>3.5</w:t>
      </w:r>
      <w:r>
        <w:rPr>
          <w:rFonts w:hAnsi="宋体"/>
          <w:color w:val="000000" w:themeColor="text1"/>
          <w:kern w:val="0"/>
          <w:szCs w:val="21"/>
          <w:highlight w:val="none"/>
          <w14:textFill>
            <w14:solidFill>
              <w14:schemeClr w14:val="tx1"/>
            </w14:solidFill>
          </w14:textFill>
        </w:rPr>
        <w:t>条规定私自将合同或合同的任何部分或任何权利转让给其他人，或私自将工程或工程的一部分分包出去的；</w:t>
      </w:r>
    </w:p>
    <w:p w14:paraId="39438C39">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(3)</w:t>
      </w:r>
      <w:r>
        <w:rPr>
          <w:rFonts w:hAnsi="宋体"/>
          <w:color w:val="000000" w:themeColor="text1"/>
          <w:kern w:val="0"/>
          <w:szCs w:val="21"/>
          <w:highlight w:val="none"/>
          <w14:textFill>
            <w14:solidFill>
              <w14:schemeClr w14:val="tx1"/>
            </w14:solidFill>
          </w14:textFill>
        </w:rPr>
        <w:t>未经监理人批准，承包人私自将已按</w:t>
      </w:r>
      <w:r>
        <w:rPr>
          <w:rFonts w:hint="eastAsia" w:hAnsi="宋体"/>
          <w:color w:val="000000" w:themeColor="text1"/>
          <w:kern w:val="0"/>
          <w:szCs w:val="21"/>
          <w:highlight w:val="none"/>
          <w14:textFill>
            <w14:solidFill>
              <w14:schemeClr w14:val="tx1"/>
            </w14:solidFill>
          </w14:textFill>
        </w:rPr>
        <w:t>响应</w:t>
      </w:r>
      <w:r>
        <w:rPr>
          <w:rFonts w:hAnsi="宋体"/>
          <w:color w:val="000000" w:themeColor="text1"/>
          <w:kern w:val="0"/>
          <w:szCs w:val="21"/>
          <w:highlight w:val="none"/>
          <w14:textFill>
            <w14:solidFill>
              <w14:schemeClr w14:val="tx1"/>
            </w14:solidFill>
          </w14:textFill>
        </w:rPr>
        <w:t>文件承诺进入工地的工程设备、施工设备、临时工程或材料撤离工地的；</w:t>
      </w:r>
    </w:p>
    <w:p w14:paraId="2A8B8D4D">
      <w:pPr>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(4)</w:t>
      </w:r>
      <w:r>
        <w:rPr>
          <w:rFonts w:hAnsi="宋体"/>
          <w:color w:val="000000" w:themeColor="text1"/>
          <w:kern w:val="0"/>
          <w:szCs w:val="21"/>
          <w:highlight w:val="none"/>
          <w14:textFill>
            <w14:solidFill>
              <w14:schemeClr w14:val="tx1"/>
            </w14:solidFill>
          </w14:textFill>
        </w:rPr>
        <w:t>由于承包人原因拒绝按合同进度计划及时完成合同规定的工程，而又未采取有效措施赶上进度，造成工期延误</w:t>
      </w:r>
      <w:r>
        <w:rPr>
          <w:rFonts w:hint="eastAsia" w:hAnsi="宋体"/>
          <w:color w:val="000000" w:themeColor="text1"/>
          <w:kern w:val="0"/>
          <w:szCs w:val="21"/>
          <w:highlight w:val="none"/>
          <w14:textFill>
            <w14:solidFill>
              <w14:schemeClr w14:val="tx1"/>
            </w14:solidFill>
          </w14:textFill>
        </w:rPr>
        <w:t>超过</w:t>
      </w:r>
      <w:r>
        <w:rPr>
          <w:rFonts w:hAnsi="宋体"/>
          <w:color w:val="000000" w:themeColor="text1"/>
          <w:kern w:val="0"/>
          <w:szCs w:val="21"/>
          <w:highlight w:val="none"/>
          <w14:textFill>
            <w14:solidFill>
              <w14:schemeClr w14:val="tx1"/>
            </w14:solidFill>
          </w14:textFill>
        </w:rPr>
        <w:t>3</w:t>
      </w:r>
      <w:r>
        <w:rPr>
          <w:rFonts w:hint="eastAsia" w:hAnsi="宋体"/>
          <w:color w:val="000000" w:themeColor="text1"/>
          <w:kern w:val="0"/>
          <w:szCs w:val="21"/>
          <w:highlight w:val="none"/>
          <w14:textFill>
            <w14:solidFill>
              <w14:schemeClr w14:val="tx1"/>
            </w14:solidFill>
          </w14:textFill>
        </w:rPr>
        <w:t>天</w:t>
      </w:r>
      <w:r>
        <w:rPr>
          <w:rFonts w:hAnsi="宋体"/>
          <w:color w:val="000000" w:themeColor="text1"/>
          <w:kern w:val="0"/>
          <w:szCs w:val="21"/>
          <w:highlight w:val="none"/>
          <w14:textFill>
            <w14:solidFill>
              <w14:schemeClr w14:val="tx1"/>
            </w14:solidFill>
          </w14:textFill>
        </w:rPr>
        <w:t>的；</w:t>
      </w:r>
    </w:p>
    <w:p w14:paraId="261C8A2B">
      <w:pPr>
        <w:spacing w:line="360" w:lineRule="auto"/>
        <w:ind w:firstLine="420" w:firstLineChars="200"/>
        <w:rPr>
          <w:rFonts w:hAnsi="宋体"/>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(5)</w:t>
      </w:r>
      <w:r>
        <w:rPr>
          <w:rFonts w:hAnsi="宋体"/>
          <w:color w:val="000000" w:themeColor="text1"/>
          <w:kern w:val="0"/>
          <w:szCs w:val="21"/>
          <w:highlight w:val="none"/>
          <w14:textFill>
            <w14:solidFill>
              <w14:schemeClr w14:val="tx1"/>
            </w14:solidFill>
          </w14:textFill>
        </w:rPr>
        <w:t>承包人否认合同有效或拒绝履行合同规定的承包人义务，或由于法律、财务等原因导致承包人无法继续履行或</w:t>
      </w:r>
      <w:r>
        <w:rPr>
          <w:rFonts w:hint="eastAsia" w:ascii="宋体" w:hAnsi="宋体"/>
          <w:b/>
          <w:bCs/>
          <w:color w:val="000000" w:themeColor="text1"/>
          <w:kern w:val="0"/>
          <w:highlight w:val="none"/>
          <w14:textFill>
            <w14:solidFill>
              <w14:schemeClr w14:val="tx1"/>
            </w14:solidFill>
          </w14:textFill>
        </w:rPr>
        <w:t>事实全面已停</w:t>
      </w:r>
      <w:r>
        <w:rPr>
          <w:rFonts w:hint="eastAsia" w:ascii="宋体" w:hAnsi="宋体"/>
          <w:color w:val="000000" w:themeColor="text1"/>
          <w:highlight w:val="none"/>
          <w14:textFill>
            <w14:solidFill>
              <w14:schemeClr w14:val="tx1"/>
            </w14:solidFill>
          </w14:textFill>
        </w:rPr>
        <w:t>工、</w:t>
      </w:r>
      <w:r>
        <w:rPr>
          <w:rFonts w:hAnsi="宋体"/>
          <w:color w:val="000000" w:themeColor="text1"/>
          <w:kern w:val="0"/>
          <w:szCs w:val="21"/>
          <w:highlight w:val="none"/>
          <w14:textFill>
            <w14:solidFill>
              <w14:schemeClr w14:val="tx1"/>
            </w14:solidFill>
          </w14:textFill>
        </w:rPr>
        <w:t>实质上已停止履行合同的义务的；</w:t>
      </w:r>
    </w:p>
    <w:p w14:paraId="60C20AAE">
      <w:pPr>
        <w:spacing w:line="360" w:lineRule="auto"/>
        <w:ind w:firstLine="420" w:firstLineChars="200"/>
        <w:rPr>
          <w:color w:val="000000" w:themeColor="text1"/>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(6)</w:t>
      </w:r>
      <w:r>
        <w:rPr>
          <w:rFonts w:hint="eastAsia" w:hAnsi="宋体" w:cs="宋体"/>
          <w:color w:val="000000" w:themeColor="text1"/>
          <w:kern w:val="0"/>
          <w:szCs w:val="22"/>
          <w:highlight w:val="none"/>
          <w14:textFill>
            <w14:solidFill>
              <w14:schemeClr w14:val="tx1"/>
            </w14:solidFill>
          </w14:textFill>
        </w:rPr>
        <w:t xml:space="preserve"> 合同签订</w:t>
      </w:r>
      <w:r>
        <w:rPr>
          <w:rFonts w:hint="eastAsia" w:ascii="仿宋_GB2312" w:hAnsi="宋体" w:cs="宋体"/>
          <w:color w:val="000000" w:themeColor="text1"/>
          <w:szCs w:val="22"/>
          <w:highlight w:val="none"/>
          <w14:textFill>
            <w14:solidFill>
              <w14:schemeClr w14:val="tx1"/>
            </w14:solidFill>
          </w14:textFill>
        </w:rPr>
        <w:t>且具备法定开工条件后</w:t>
      </w:r>
      <w:r>
        <w:rPr>
          <w:rFonts w:hint="eastAsia" w:hAnsi="宋体" w:cs="宋体"/>
          <w:color w:val="000000" w:themeColor="text1"/>
          <w:kern w:val="0"/>
          <w:szCs w:val="22"/>
          <w:highlight w:val="none"/>
          <w14:textFill>
            <w14:solidFill>
              <w14:schemeClr w14:val="tx1"/>
            </w14:solidFill>
          </w14:textFill>
        </w:rPr>
        <w:t>之日起十五日内，承包人无法按合同规定及响应文件的承诺进场经监理工程师认可的该</w:t>
      </w:r>
      <w:r>
        <w:rPr>
          <w:rFonts w:hAnsi="宋体" w:cs="宋体"/>
          <w:color w:val="000000" w:themeColor="text1"/>
          <w:kern w:val="0"/>
          <w:szCs w:val="22"/>
          <w:highlight w:val="none"/>
          <w14:textFill>
            <w14:solidFill>
              <w14:schemeClr w14:val="tx1"/>
            </w14:solidFill>
          </w14:textFill>
        </w:rPr>
        <w:t>施工</w:t>
      </w:r>
      <w:r>
        <w:rPr>
          <w:rFonts w:hint="eastAsia" w:hAnsi="宋体" w:cs="宋体"/>
          <w:color w:val="000000" w:themeColor="text1"/>
          <w:kern w:val="0"/>
          <w:szCs w:val="22"/>
          <w:highlight w:val="none"/>
          <w14:textFill>
            <w14:solidFill>
              <w14:schemeClr w14:val="tx1"/>
            </w14:solidFill>
          </w14:textFill>
        </w:rPr>
        <w:t>阶段</w:t>
      </w:r>
      <w:r>
        <w:rPr>
          <w:rFonts w:hAnsi="宋体" w:cs="宋体"/>
          <w:color w:val="000000" w:themeColor="text1"/>
          <w:kern w:val="0"/>
          <w:szCs w:val="22"/>
          <w:highlight w:val="none"/>
          <w14:textFill>
            <w14:solidFill>
              <w14:schemeClr w14:val="tx1"/>
            </w14:solidFill>
          </w14:textFill>
        </w:rPr>
        <w:t>应有的</w:t>
      </w:r>
      <w:r>
        <w:rPr>
          <w:rFonts w:hint="eastAsia" w:hAnsi="宋体" w:cs="宋体"/>
          <w:color w:val="000000" w:themeColor="text1"/>
          <w:kern w:val="0"/>
          <w:szCs w:val="22"/>
          <w:highlight w:val="none"/>
          <w14:textFill>
            <w14:solidFill>
              <w14:schemeClr w14:val="tx1"/>
            </w14:solidFill>
          </w14:textFill>
        </w:rPr>
        <w:t>全部人员和机械的。</w:t>
      </w:r>
      <w:r>
        <w:rPr>
          <w:rFonts w:hint="eastAsia"/>
          <w:color w:val="000000" w:themeColor="text1"/>
          <w:szCs w:val="21"/>
          <w:highlight w:val="none"/>
          <w14:textFill>
            <w14:solidFill>
              <w14:schemeClr w14:val="tx1"/>
            </w14:solidFill>
          </w14:textFill>
        </w:rPr>
        <w:t>承包人应按发包人解除合同的通知支付合同总价的5%的违约金给发包人，造成发包人经济损失的，承包人还应赔偿全部损失。</w:t>
      </w:r>
    </w:p>
    <w:p w14:paraId="315E9D2C">
      <w:pPr>
        <w:spacing w:line="360" w:lineRule="auto"/>
        <w:ind w:firstLine="422" w:firstLineChars="200"/>
        <w:rPr>
          <w:rFonts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kern w:val="0"/>
          <w:szCs w:val="21"/>
          <w:highlight w:val="none"/>
          <w14:textFill>
            <w14:solidFill>
              <w14:schemeClr w14:val="tx1"/>
            </w14:solidFill>
          </w14:textFill>
        </w:rPr>
        <w:t>（7）</w:t>
      </w:r>
      <w:r>
        <w:rPr>
          <w:rFonts w:hint="eastAsia" w:ascii="宋体" w:hAnsi="宋体"/>
          <w:b/>
          <w:bCs/>
          <w:color w:val="000000" w:themeColor="text1"/>
          <w:szCs w:val="21"/>
          <w:highlight w:val="none"/>
          <w14:textFill>
            <w14:solidFill>
              <w14:schemeClr w14:val="tx1"/>
            </w14:solidFill>
          </w14:textFill>
        </w:rPr>
        <w:t>承包人报监备案的项目经理、项目副经理、技术负责人、施工员、造价员、质量员、材料员、安全员等主要管理人员实际施工现场不到位人数超过50%的。</w:t>
      </w:r>
    </w:p>
    <w:p w14:paraId="0252140F">
      <w:pPr>
        <w:spacing w:line="360" w:lineRule="auto"/>
        <w:ind w:firstLine="420" w:firstLineChars="200"/>
        <w:rPr>
          <w:rFonts w:hAnsi="宋体"/>
          <w:color w:val="000000" w:themeColor="text1"/>
          <w:kern w:val="0"/>
          <w:szCs w:val="21"/>
          <w:highlight w:val="none"/>
          <w14:textFill>
            <w14:solidFill>
              <w14:schemeClr w14:val="tx1"/>
            </w14:solidFill>
          </w14:textFill>
        </w:rPr>
      </w:pPr>
      <w:r>
        <w:rPr>
          <w:rFonts w:hAnsi="宋体"/>
          <w:color w:val="000000" w:themeColor="text1"/>
          <w:kern w:val="0"/>
          <w:szCs w:val="21"/>
          <w:highlight w:val="none"/>
          <w14:textFill>
            <w14:solidFill>
              <w14:schemeClr w14:val="tx1"/>
            </w14:solidFill>
          </w14:textFill>
        </w:rPr>
        <w:t>发包人继续使用承包人在施工现场的材料、设备、临时工程、承包人文件和由承包人或以其名义编制的其他文件的费用承担方式：</w:t>
      </w:r>
      <w:r>
        <w:rPr>
          <w:rFonts w:hint="eastAsia"/>
          <w:color w:val="000000" w:themeColor="text1"/>
          <w:kern w:val="0"/>
          <w:szCs w:val="21"/>
          <w:highlight w:val="none"/>
          <w:u w:val="single"/>
          <w14:textFill>
            <w14:solidFill>
              <w14:schemeClr w14:val="tx1"/>
            </w14:solidFill>
          </w14:textFill>
        </w:rPr>
        <w:t>如有，另行协商</w:t>
      </w:r>
      <w:r>
        <w:rPr>
          <w:rFonts w:hAnsi="宋体"/>
          <w:color w:val="000000" w:themeColor="text1"/>
          <w:kern w:val="0"/>
          <w:szCs w:val="21"/>
          <w:highlight w:val="none"/>
          <w14:textFill>
            <w14:solidFill>
              <w14:schemeClr w14:val="tx1"/>
            </w14:solidFill>
          </w14:textFill>
        </w:rPr>
        <w:t>。</w:t>
      </w:r>
    </w:p>
    <w:p w14:paraId="2AF1BDD8">
      <w:pPr>
        <w:spacing w:line="360" w:lineRule="auto"/>
        <w:ind w:firstLine="420" w:firstLineChars="200"/>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承包人收到发包人解除合同通知后10天内，将所有人员和机械设备和其他财产撤离施工现场，负责按照通用条</w:t>
      </w:r>
      <w:r>
        <w:rPr>
          <w:rFonts w:hint="eastAsia" w:ascii="宋体" w:hAnsi="宋体"/>
          <w:color w:val="000000" w:themeColor="text1"/>
          <w:szCs w:val="21"/>
          <w:highlight w:val="none"/>
          <w:lang w:eastAsia="zh-CN"/>
          <w14:textFill>
            <w14:solidFill>
              <w14:schemeClr w14:val="tx1"/>
            </w14:solidFill>
          </w14:textFill>
        </w:rPr>
        <w:t>款和</w:t>
      </w:r>
      <w:r>
        <w:rPr>
          <w:rFonts w:hint="eastAsia" w:ascii="宋体" w:hAnsi="宋体"/>
          <w:color w:val="000000" w:themeColor="text1"/>
          <w:szCs w:val="21"/>
          <w:highlight w:val="none"/>
          <w14:textFill>
            <w14:solidFill>
              <w14:schemeClr w14:val="tx1"/>
            </w14:solidFill>
          </w14:textFill>
        </w:rPr>
        <w:t>本项约定的要求对施工场地进行清理并承担相关费用。承包人的人员逾期</w:t>
      </w:r>
      <w:r>
        <w:rPr>
          <w:rFonts w:hint="eastAsia" w:ascii="宋体" w:hAnsi="宋体"/>
          <w:color w:val="000000" w:themeColor="text1"/>
          <w:szCs w:val="21"/>
          <w:highlight w:val="none"/>
          <w:lang w:eastAsia="zh-CN"/>
          <w14:textFill>
            <w14:solidFill>
              <w14:schemeClr w14:val="tx1"/>
            </w14:solidFill>
          </w14:textFill>
        </w:rPr>
        <w:t>撤出</w:t>
      </w:r>
      <w:r>
        <w:rPr>
          <w:rFonts w:hint="eastAsia" w:ascii="宋体" w:hAnsi="宋体"/>
          <w:color w:val="000000" w:themeColor="text1"/>
          <w:szCs w:val="21"/>
          <w:highlight w:val="none"/>
          <w14:textFill>
            <w14:solidFill>
              <w14:schemeClr w14:val="tx1"/>
            </w14:solidFill>
          </w14:textFill>
        </w:rPr>
        <w:t>施工场地的，按每人每天500元支付违约金给发包人</w:t>
      </w:r>
      <w:r>
        <w:rPr>
          <w:rFonts w:hint="eastAsia" w:ascii="宋体" w:hAnsi="宋体"/>
          <w:color w:val="000000" w:themeColor="text1"/>
          <w:kern w:val="0"/>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机械设备和其他财产逾期撤离施工现场的，视为承包人放弃所有权，任由发包人处置，处置所得收益归发包人所有。</w:t>
      </w:r>
    </w:p>
    <w:p w14:paraId="1444DDD6">
      <w:pPr>
        <w:spacing w:line="360" w:lineRule="auto"/>
        <w:ind w:firstLine="420" w:firstLineChars="200"/>
        <w:jc w:val="left"/>
        <w:rPr>
          <w:rFonts w:hAnsi="宋体"/>
          <w:color w:val="000000" w:themeColor="text1"/>
          <w:kern w:val="0"/>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承包人应按合同总价款的5%支付违约金给发包人，已完成单项工程且经验收合格的工程按造价的</w:t>
      </w:r>
      <w:r>
        <w:rPr>
          <w:rFonts w:hint="eastAsia"/>
          <w:color w:val="000000" w:themeColor="text1"/>
          <w:szCs w:val="21"/>
          <w:highlight w:val="none"/>
          <w14:textFill>
            <w14:solidFill>
              <w14:schemeClr w14:val="tx1"/>
            </w14:solidFill>
          </w14:textFill>
        </w:rPr>
        <w:t>80%</w:t>
      </w:r>
      <w:r>
        <w:rPr>
          <w:rFonts w:hint="eastAsia" w:ascii="宋体" w:hAnsi="宋体"/>
          <w:color w:val="000000" w:themeColor="text1"/>
          <w:szCs w:val="21"/>
          <w:highlight w:val="none"/>
          <w14:textFill>
            <w14:solidFill>
              <w14:schemeClr w14:val="tx1"/>
            </w14:solidFill>
          </w14:textFill>
        </w:rPr>
        <w:t>结付工程款，未完成的单项工程或虽已完成单项工程但验收不合格的工程不结付工程款。</w:t>
      </w:r>
    </w:p>
    <w:p w14:paraId="2BF0309B">
      <w:pPr>
        <w:spacing w:line="360" w:lineRule="auto"/>
        <w:ind w:firstLine="420" w:firstLineChars="200"/>
        <w:rPr>
          <w:rFonts w:hAnsi="宋体" w:cs="宋体"/>
          <w:color w:val="000000" w:themeColor="text1"/>
          <w:kern w:val="0"/>
          <w:szCs w:val="21"/>
          <w:highlight w:val="none"/>
          <w14:textFill>
            <w14:solidFill>
              <w14:schemeClr w14:val="tx1"/>
            </w14:solidFill>
          </w14:textFill>
        </w:rPr>
      </w:pPr>
    </w:p>
    <w:p w14:paraId="0D7A159C">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067" w:name="_Toc114058909"/>
      <w:bookmarkStart w:id="1068" w:name="_Toc373227769"/>
      <w:bookmarkStart w:id="1069" w:name="_Toc351203649"/>
      <w:bookmarkStart w:id="1070" w:name="_Toc407135272"/>
      <w:bookmarkStart w:id="1071" w:name="_Toc78449858"/>
      <w:bookmarkStart w:id="1072" w:name="_Toc373478416"/>
      <w:bookmarkStart w:id="1073" w:name="_Toc389065334"/>
      <w:r>
        <w:rPr>
          <w:rFonts w:ascii="Arial" w:hAnsi="Arial" w:eastAsia="黑体"/>
          <w:b/>
          <w:bCs/>
          <w:color w:val="000000" w:themeColor="text1"/>
          <w:sz w:val="32"/>
          <w:szCs w:val="32"/>
          <w:highlight w:val="none"/>
          <w:lang w:val="zh-CN"/>
          <w14:textFill>
            <w14:solidFill>
              <w14:schemeClr w14:val="tx1"/>
            </w14:solidFill>
          </w14:textFill>
        </w:rPr>
        <w:t xml:space="preserve">17. </w:t>
      </w:r>
      <w:r>
        <w:rPr>
          <w:rFonts w:hint="eastAsia" w:ascii="Arial" w:hAnsi="宋体" w:eastAsia="黑体" w:cs="黑体"/>
          <w:b/>
          <w:bCs/>
          <w:color w:val="000000" w:themeColor="text1"/>
          <w:sz w:val="32"/>
          <w:szCs w:val="32"/>
          <w:highlight w:val="none"/>
          <w:lang w:val="zh-CN"/>
          <w14:textFill>
            <w14:solidFill>
              <w14:schemeClr w14:val="tx1"/>
            </w14:solidFill>
          </w14:textFill>
        </w:rPr>
        <w:t>不可抗力</w:t>
      </w:r>
      <w:bookmarkEnd w:id="1051"/>
      <w:bookmarkEnd w:id="1067"/>
      <w:bookmarkEnd w:id="1068"/>
      <w:bookmarkEnd w:id="1069"/>
      <w:bookmarkEnd w:id="1070"/>
      <w:bookmarkEnd w:id="1071"/>
      <w:bookmarkEnd w:id="1072"/>
      <w:bookmarkEnd w:id="1073"/>
    </w:p>
    <w:p w14:paraId="0A46E23D">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74" w:name="_Toc373478417"/>
      <w:bookmarkStart w:id="1075" w:name="_Toc407135273"/>
      <w:bookmarkStart w:id="1076" w:name="_Toc114058910"/>
      <w:bookmarkStart w:id="1077" w:name="_Toc389065335"/>
      <w:bookmarkStart w:id="1078" w:name="_Toc373227770"/>
      <w:bookmarkStart w:id="1079" w:name="_Toc78449859"/>
      <w:r>
        <w:rPr>
          <w:rFonts w:eastAsia="黑体"/>
          <w:b/>
          <w:bCs/>
          <w:color w:val="000000" w:themeColor="text1"/>
          <w:sz w:val="32"/>
          <w:szCs w:val="32"/>
          <w:highlight w:val="none"/>
          <w:lang w:val="zh-CN"/>
          <w14:textFill>
            <w14:solidFill>
              <w14:schemeClr w14:val="tx1"/>
            </w14:solidFill>
          </w14:textFill>
        </w:rPr>
        <w:t xml:space="preserve">17.1 </w:t>
      </w:r>
      <w:r>
        <w:rPr>
          <w:rFonts w:hint="eastAsia" w:eastAsia="黑体" w:cs="黑体"/>
          <w:b/>
          <w:bCs/>
          <w:color w:val="000000" w:themeColor="text1"/>
          <w:sz w:val="32"/>
          <w:szCs w:val="32"/>
          <w:highlight w:val="none"/>
          <w:lang w:val="zh-CN"/>
          <w14:textFill>
            <w14:solidFill>
              <w14:schemeClr w14:val="tx1"/>
            </w14:solidFill>
          </w14:textFill>
        </w:rPr>
        <w:t>不可抗力的确认</w:t>
      </w:r>
      <w:bookmarkEnd w:id="1074"/>
      <w:bookmarkEnd w:id="1075"/>
      <w:bookmarkEnd w:id="1076"/>
      <w:bookmarkEnd w:id="1077"/>
      <w:bookmarkEnd w:id="1078"/>
      <w:bookmarkEnd w:id="1079"/>
    </w:p>
    <w:p w14:paraId="7D5003FD">
      <w:pPr>
        <w:spacing w:line="360" w:lineRule="auto"/>
        <w:ind w:firstLine="420" w:firstLineChars="200"/>
        <w:jc w:val="left"/>
        <w:rPr>
          <w:color w:val="000000" w:themeColor="text1"/>
          <w:kern w:val="0"/>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除通用合同条款约定的不可抗力事件之外，视为不可抗力的其他情形：</w:t>
      </w:r>
      <w:r>
        <w:rPr>
          <w:rFonts w:hint="eastAsia"/>
          <w:color w:val="000000" w:themeColor="text1"/>
          <w:kern w:val="0"/>
          <w:szCs w:val="21"/>
          <w:highlight w:val="none"/>
          <w:u w:val="single"/>
          <w14:textFill>
            <w14:solidFill>
              <w14:schemeClr w14:val="tx1"/>
            </w14:solidFill>
          </w14:textFill>
        </w:rPr>
        <w:t>a、6级以上的地震；b、10级以上的持续3日的大风；c、暴雨级以上的持续3日的大雨；d、50年以上未发生过，持续3日的高温天气；e、50年以上未发生过，持续3日的严寒天气；f、50年以上未发生过的洪水</w:t>
      </w:r>
      <w:r>
        <w:rPr>
          <w:rFonts w:hAnsi="宋体"/>
          <w:color w:val="000000" w:themeColor="text1"/>
          <w:kern w:val="0"/>
          <w:szCs w:val="21"/>
          <w:highlight w:val="none"/>
          <w:u w:val="single"/>
          <w14:textFill>
            <w14:solidFill>
              <w14:schemeClr w14:val="tx1"/>
            </w14:solidFill>
          </w14:textFill>
        </w:rPr>
        <w:t>。</w:t>
      </w:r>
      <w:r>
        <w:rPr>
          <w:rFonts w:hint="eastAsia" w:ascii="宋体" w:hAnsi="宋体"/>
          <w:color w:val="000000" w:themeColor="text1"/>
          <w:kern w:val="0"/>
          <w:szCs w:val="21"/>
          <w:highlight w:val="none"/>
          <w:u w:val="single"/>
          <w14:textFill>
            <w14:solidFill>
              <w14:schemeClr w14:val="tx1"/>
            </w14:solidFill>
          </w14:textFill>
        </w:rPr>
        <w:t>自然原因发生的火灾；其它不可抗力原因</w:t>
      </w:r>
      <w:r>
        <w:rPr>
          <w:rFonts w:hint="eastAsia" w:hAnsi="宋体" w:cs="宋体"/>
          <w:color w:val="000000" w:themeColor="text1"/>
          <w:kern w:val="0"/>
          <w:szCs w:val="21"/>
          <w:highlight w:val="none"/>
          <w14:textFill>
            <w14:solidFill>
              <w14:schemeClr w14:val="tx1"/>
            </w14:solidFill>
          </w14:textFill>
        </w:rPr>
        <w:t>。</w:t>
      </w:r>
    </w:p>
    <w:p w14:paraId="219FBE2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80" w:name="_Toc373227771"/>
      <w:bookmarkStart w:id="1081" w:name="_Toc407135274"/>
      <w:bookmarkStart w:id="1082" w:name="_Toc78449860"/>
      <w:bookmarkStart w:id="1083" w:name="_Toc389065336"/>
      <w:bookmarkStart w:id="1084" w:name="_Toc373478418"/>
      <w:bookmarkStart w:id="1085" w:name="_Toc114058911"/>
      <w:r>
        <w:rPr>
          <w:rFonts w:eastAsia="黑体"/>
          <w:b/>
          <w:bCs/>
          <w:color w:val="000000" w:themeColor="text1"/>
          <w:sz w:val="32"/>
          <w:szCs w:val="32"/>
          <w:highlight w:val="none"/>
          <w:lang w:val="zh-CN"/>
          <w14:textFill>
            <w14:solidFill>
              <w14:schemeClr w14:val="tx1"/>
            </w14:solidFill>
          </w14:textFill>
        </w:rPr>
        <w:t xml:space="preserve">17.4 </w:t>
      </w:r>
      <w:r>
        <w:rPr>
          <w:rFonts w:hint="eastAsia" w:eastAsia="黑体" w:cs="黑体"/>
          <w:b/>
          <w:bCs/>
          <w:color w:val="000000" w:themeColor="text1"/>
          <w:sz w:val="32"/>
          <w:szCs w:val="32"/>
          <w:highlight w:val="none"/>
          <w:lang w:val="zh-CN"/>
          <w14:textFill>
            <w14:solidFill>
              <w14:schemeClr w14:val="tx1"/>
            </w14:solidFill>
          </w14:textFill>
        </w:rPr>
        <w:t>因不可抗力解除合同</w:t>
      </w:r>
      <w:bookmarkEnd w:id="1080"/>
      <w:bookmarkEnd w:id="1081"/>
      <w:bookmarkEnd w:id="1082"/>
      <w:bookmarkEnd w:id="1083"/>
      <w:bookmarkEnd w:id="1084"/>
      <w:bookmarkEnd w:id="1085"/>
    </w:p>
    <w:p w14:paraId="5822B84C">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合同解除后，发包人应在商定或确定发包人应支付款项后</w:t>
      </w:r>
      <w:r>
        <w:rPr>
          <w:rFonts w:hint="eastAsia"/>
          <w:color w:val="000000" w:themeColor="text1"/>
          <w:szCs w:val="21"/>
          <w:highlight w:val="none"/>
          <w:u w:val="single"/>
          <w14:textFill>
            <w14:solidFill>
              <w14:schemeClr w14:val="tx1"/>
            </w14:solidFill>
          </w14:textFill>
        </w:rPr>
        <w:t>56</w:t>
      </w:r>
      <w:r>
        <w:rPr>
          <w:rFonts w:hint="eastAsia" w:hAnsi="宋体" w:cs="宋体"/>
          <w:color w:val="000000" w:themeColor="text1"/>
          <w:szCs w:val="21"/>
          <w:highlight w:val="none"/>
          <w14:textFill>
            <w14:solidFill>
              <w14:schemeClr w14:val="tx1"/>
            </w14:solidFill>
          </w14:textFill>
        </w:rPr>
        <w:t>天内完成款项的支付。</w:t>
      </w:r>
    </w:p>
    <w:p w14:paraId="2AC96C3E">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086" w:name="_Toc407135275"/>
      <w:bookmarkStart w:id="1087" w:name="_Toc351203650"/>
      <w:bookmarkStart w:id="1088" w:name="_Toc373478419"/>
      <w:bookmarkStart w:id="1089" w:name="_Toc373227772"/>
      <w:bookmarkStart w:id="1090" w:name="_Toc78449861"/>
      <w:bookmarkStart w:id="1091" w:name="_Toc114058912"/>
      <w:bookmarkStart w:id="1092" w:name="_Toc389065337"/>
      <w:r>
        <w:rPr>
          <w:rFonts w:ascii="Arial" w:hAnsi="Arial" w:eastAsia="黑体"/>
          <w:b/>
          <w:bCs/>
          <w:color w:val="000000" w:themeColor="text1"/>
          <w:sz w:val="32"/>
          <w:szCs w:val="32"/>
          <w:highlight w:val="none"/>
          <w:lang w:val="zh-CN"/>
          <w14:textFill>
            <w14:solidFill>
              <w14:schemeClr w14:val="tx1"/>
            </w14:solidFill>
          </w14:textFill>
        </w:rPr>
        <w:t xml:space="preserve">18. </w:t>
      </w:r>
      <w:r>
        <w:rPr>
          <w:rFonts w:hint="eastAsia" w:ascii="Arial" w:hAnsi="宋体" w:eastAsia="黑体" w:cs="黑体"/>
          <w:b/>
          <w:bCs/>
          <w:color w:val="000000" w:themeColor="text1"/>
          <w:sz w:val="32"/>
          <w:szCs w:val="32"/>
          <w:highlight w:val="none"/>
          <w:lang w:val="zh-CN"/>
          <w14:textFill>
            <w14:solidFill>
              <w14:schemeClr w14:val="tx1"/>
            </w14:solidFill>
          </w14:textFill>
        </w:rPr>
        <w:t>保险</w:t>
      </w:r>
      <w:bookmarkEnd w:id="1086"/>
      <w:bookmarkEnd w:id="1087"/>
      <w:bookmarkEnd w:id="1088"/>
      <w:bookmarkEnd w:id="1089"/>
      <w:bookmarkEnd w:id="1090"/>
      <w:bookmarkEnd w:id="1091"/>
      <w:bookmarkEnd w:id="1092"/>
    </w:p>
    <w:bookmarkEnd w:id="1052"/>
    <w:p w14:paraId="55F45F12">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93" w:name="_Toc389065338"/>
      <w:bookmarkStart w:id="1094" w:name="_Toc407135276"/>
      <w:bookmarkStart w:id="1095" w:name="_Toc78449862"/>
      <w:bookmarkStart w:id="1096" w:name="_Toc114058913"/>
      <w:bookmarkStart w:id="1097" w:name="_Toc373227773"/>
      <w:bookmarkStart w:id="1098" w:name="_Toc373478420"/>
      <w:r>
        <w:rPr>
          <w:rFonts w:eastAsia="黑体"/>
          <w:b/>
          <w:bCs/>
          <w:color w:val="000000" w:themeColor="text1"/>
          <w:sz w:val="32"/>
          <w:szCs w:val="32"/>
          <w:highlight w:val="none"/>
          <w:lang w:val="zh-CN"/>
          <w14:textFill>
            <w14:solidFill>
              <w14:schemeClr w14:val="tx1"/>
            </w14:solidFill>
          </w14:textFill>
        </w:rPr>
        <w:t xml:space="preserve">18.1 </w:t>
      </w:r>
      <w:r>
        <w:rPr>
          <w:rFonts w:hint="eastAsia" w:hAnsi="宋体" w:eastAsia="黑体" w:cs="黑体"/>
          <w:b/>
          <w:bCs/>
          <w:color w:val="000000" w:themeColor="text1"/>
          <w:sz w:val="32"/>
          <w:szCs w:val="32"/>
          <w:highlight w:val="none"/>
          <w:lang w:val="zh-CN"/>
          <w14:textFill>
            <w14:solidFill>
              <w14:schemeClr w14:val="tx1"/>
            </w14:solidFill>
          </w14:textFill>
        </w:rPr>
        <w:t>工程保险</w:t>
      </w:r>
      <w:bookmarkEnd w:id="1093"/>
      <w:bookmarkEnd w:id="1094"/>
      <w:bookmarkEnd w:id="1095"/>
      <w:bookmarkEnd w:id="1096"/>
      <w:bookmarkEnd w:id="1097"/>
      <w:bookmarkEnd w:id="1098"/>
    </w:p>
    <w:p w14:paraId="6D813533">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关于工程保险的特别约定：</w:t>
      </w:r>
      <w:r>
        <w:rPr>
          <w:rFonts w:hint="eastAsia" w:hAnsi="宋体"/>
          <w:bCs/>
          <w:color w:val="000000" w:themeColor="text1"/>
          <w:szCs w:val="21"/>
          <w:highlight w:val="none"/>
          <w:u w:val="single"/>
          <w14:textFill>
            <w14:solidFill>
              <w14:schemeClr w14:val="tx1"/>
            </w14:solidFill>
          </w14:textFill>
        </w:rPr>
        <w:t>发包人可根据需要投保工程质量保险；对已投保的工程项目，承包人应积极配合保险公司开展相关工作</w:t>
      </w:r>
      <w:r>
        <w:rPr>
          <w:rFonts w:hint="eastAsia" w:hAnsi="宋体" w:cs="宋体"/>
          <w:color w:val="000000" w:themeColor="text1"/>
          <w:kern w:val="0"/>
          <w:szCs w:val="21"/>
          <w:highlight w:val="none"/>
          <w14:textFill>
            <w14:solidFill>
              <w14:schemeClr w14:val="tx1"/>
            </w14:solidFill>
          </w14:textFill>
        </w:rPr>
        <w:t>。</w:t>
      </w:r>
    </w:p>
    <w:p w14:paraId="6FAB3848">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099" w:name="_Toc373227774"/>
      <w:bookmarkStart w:id="1100" w:name="_Toc373478421"/>
      <w:bookmarkStart w:id="1101" w:name="_Toc389065339"/>
      <w:bookmarkStart w:id="1102" w:name="_Toc78449863"/>
      <w:bookmarkStart w:id="1103" w:name="_Toc114058914"/>
      <w:bookmarkStart w:id="1104" w:name="_Toc407135277"/>
      <w:r>
        <w:rPr>
          <w:rFonts w:eastAsia="黑体"/>
          <w:b/>
          <w:bCs/>
          <w:color w:val="000000" w:themeColor="text1"/>
          <w:sz w:val="32"/>
          <w:szCs w:val="32"/>
          <w:highlight w:val="none"/>
          <w:lang w:val="zh-CN"/>
          <w14:textFill>
            <w14:solidFill>
              <w14:schemeClr w14:val="tx1"/>
            </w14:solidFill>
          </w14:textFill>
        </w:rPr>
        <w:t xml:space="preserve">18.3 </w:t>
      </w:r>
      <w:r>
        <w:rPr>
          <w:rFonts w:hint="eastAsia" w:hAnsi="宋体" w:eastAsia="黑体" w:cs="黑体"/>
          <w:b/>
          <w:bCs/>
          <w:color w:val="000000" w:themeColor="text1"/>
          <w:sz w:val="32"/>
          <w:szCs w:val="32"/>
          <w:highlight w:val="none"/>
          <w:lang w:val="zh-CN"/>
          <w14:textFill>
            <w14:solidFill>
              <w14:schemeClr w14:val="tx1"/>
            </w14:solidFill>
          </w14:textFill>
        </w:rPr>
        <w:t>其他保险</w:t>
      </w:r>
      <w:bookmarkEnd w:id="1099"/>
      <w:bookmarkEnd w:id="1100"/>
      <w:bookmarkEnd w:id="1101"/>
      <w:bookmarkEnd w:id="1102"/>
      <w:bookmarkEnd w:id="1103"/>
      <w:bookmarkEnd w:id="1104"/>
    </w:p>
    <w:p w14:paraId="03191C8D">
      <w:pPr>
        <w:spacing w:line="360" w:lineRule="auto"/>
        <w:ind w:firstLine="420" w:firstLineChars="200"/>
        <w:jc w:val="left"/>
        <w:rPr>
          <w:color w:val="000000" w:themeColor="text1"/>
          <w:kern w:val="0"/>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关于其他保险的约定：</w:t>
      </w:r>
      <w:r>
        <w:rPr>
          <w:rFonts w:hint="eastAsia" w:hAnsi="宋体"/>
          <w:bCs/>
          <w:color w:val="000000" w:themeColor="text1"/>
          <w:szCs w:val="21"/>
          <w:highlight w:val="none"/>
          <w:u w:val="single"/>
          <w14:textFill>
            <w14:solidFill>
              <w14:schemeClr w14:val="tx1"/>
            </w14:solidFill>
          </w14:textFill>
        </w:rPr>
        <w:t>承包人必须为施工现场从事施工的所有作业人员和管理人员办理工伤保险，并支付保费</w:t>
      </w:r>
      <w:r>
        <w:rPr>
          <w:rFonts w:hint="eastAsia" w:hAnsi="宋体" w:cs="宋体"/>
          <w:color w:val="000000" w:themeColor="text1"/>
          <w:szCs w:val="21"/>
          <w:highlight w:val="none"/>
          <w14:textFill>
            <w14:solidFill>
              <w14:schemeClr w14:val="tx1"/>
            </w14:solidFill>
          </w14:textFill>
        </w:rPr>
        <w:t>。</w:t>
      </w:r>
    </w:p>
    <w:p w14:paraId="612AE988">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承包人是否应为其施工设备等办理财产保险：</w:t>
      </w:r>
      <w:r>
        <w:rPr>
          <w:rFonts w:hint="eastAsia"/>
          <w:color w:val="000000" w:themeColor="text1"/>
          <w:szCs w:val="21"/>
          <w:highlight w:val="none"/>
          <w:u w:val="single"/>
          <w14:textFill>
            <w14:solidFill>
              <w14:schemeClr w14:val="tx1"/>
            </w14:solidFill>
          </w14:textFill>
        </w:rPr>
        <w:t>是</w:t>
      </w:r>
      <w:r>
        <w:rPr>
          <w:rFonts w:hint="eastAsia" w:hAnsi="宋体" w:cs="宋体"/>
          <w:color w:val="000000" w:themeColor="text1"/>
          <w:szCs w:val="21"/>
          <w:highlight w:val="none"/>
          <w14:textFill>
            <w14:solidFill>
              <w14:schemeClr w14:val="tx1"/>
            </w14:solidFill>
          </w14:textFill>
        </w:rPr>
        <w:t>。</w:t>
      </w:r>
    </w:p>
    <w:p w14:paraId="2E7E73C7">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05" w:name="_Toc114058915"/>
      <w:bookmarkStart w:id="1106" w:name="_Toc389065340"/>
      <w:bookmarkStart w:id="1107" w:name="_Toc373227775"/>
      <w:bookmarkStart w:id="1108" w:name="_Toc78449864"/>
      <w:bookmarkStart w:id="1109" w:name="_Toc407135278"/>
      <w:bookmarkStart w:id="1110" w:name="_Toc373478422"/>
      <w:r>
        <w:rPr>
          <w:rFonts w:eastAsia="黑体"/>
          <w:b/>
          <w:bCs/>
          <w:color w:val="000000" w:themeColor="text1"/>
          <w:sz w:val="32"/>
          <w:szCs w:val="32"/>
          <w:highlight w:val="none"/>
          <w:lang w:val="zh-CN"/>
          <w14:textFill>
            <w14:solidFill>
              <w14:schemeClr w14:val="tx1"/>
            </w14:solidFill>
          </w14:textFill>
        </w:rPr>
        <w:t xml:space="preserve">18.7 </w:t>
      </w:r>
      <w:r>
        <w:rPr>
          <w:rFonts w:hint="eastAsia" w:hAnsi="宋体" w:eastAsia="黑体" w:cs="黑体"/>
          <w:b/>
          <w:bCs/>
          <w:color w:val="000000" w:themeColor="text1"/>
          <w:sz w:val="32"/>
          <w:szCs w:val="32"/>
          <w:highlight w:val="none"/>
          <w:lang w:val="zh-CN"/>
          <w14:textFill>
            <w14:solidFill>
              <w14:schemeClr w14:val="tx1"/>
            </w14:solidFill>
          </w14:textFill>
        </w:rPr>
        <w:t>通知义务</w:t>
      </w:r>
      <w:bookmarkEnd w:id="1105"/>
      <w:bookmarkEnd w:id="1106"/>
      <w:bookmarkEnd w:id="1107"/>
      <w:bookmarkEnd w:id="1108"/>
      <w:bookmarkEnd w:id="1109"/>
      <w:bookmarkEnd w:id="1110"/>
    </w:p>
    <w:p w14:paraId="67DADA35">
      <w:pPr>
        <w:spacing w:line="360" w:lineRule="auto"/>
        <w:ind w:firstLine="420" w:firstLineChars="200"/>
        <w:jc w:val="left"/>
        <w:rPr>
          <w:color w:val="000000" w:themeColor="text1"/>
          <w:szCs w:val="21"/>
          <w:highlight w:val="none"/>
          <w:u w:val="single"/>
          <w14:textFill>
            <w14:solidFill>
              <w14:schemeClr w14:val="tx1"/>
            </w14:solidFill>
          </w14:textFill>
        </w:rPr>
      </w:pPr>
      <w:r>
        <w:rPr>
          <w:rFonts w:hint="eastAsia" w:hAnsi="宋体" w:cs="宋体"/>
          <w:color w:val="000000" w:themeColor="text1"/>
          <w:kern w:val="0"/>
          <w:szCs w:val="21"/>
          <w:highlight w:val="none"/>
          <w14:textFill>
            <w14:solidFill>
              <w14:schemeClr w14:val="tx1"/>
            </w14:solidFill>
          </w14:textFill>
        </w:rPr>
        <w:t>关于变更保险合同时的通知义务的约定：</w:t>
      </w:r>
      <w:r>
        <w:rPr>
          <w:rFonts w:hint="eastAsia"/>
          <w:color w:val="000000" w:themeColor="text1"/>
          <w:szCs w:val="21"/>
          <w:highlight w:val="none"/>
          <w:u w:val="single"/>
          <w14:textFill>
            <w14:solidFill>
              <w14:schemeClr w14:val="tx1"/>
            </w14:solidFill>
          </w14:textFill>
        </w:rPr>
        <w:t>按通用条款执行</w:t>
      </w:r>
      <w:r>
        <w:rPr>
          <w:rFonts w:hint="eastAsia" w:hAnsi="宋体" w:cs="宋体"/>
          <w:color w:val="000000" w:themeColor="text1"/>
          <w:szCs w:val="21"/>
          <w:highlight w:val="none"/>
          <w14:textFill>
            <w14:solidFill>
              <w14:schemeClr w14:val="tx1"/>
            </w14:solidFill>
          </w14:textFill>
        </w:rPr>
        <w:t>。</w:t>
      </w:r>
    </w:p>
    <w:bookmarkEnd w:id="1004"/>
    <w:bookmarkEnd w:id="1005"/>
    <w:bookmarkEnd w:id="1006"/>
    <w:bookmarkEnd w:id="1007"/>
    <w:bookmarkEnd w:id="1008"/>
    <w:bookmarkEnd w:id="1009"/>
    <w:bookmarkEnd w:id="1010"/>
    <w:bookmarkEnd w:id="1011"/>
    <w:bookmarkEnd w:id="1012"/>
    <w:bookmarkEnd w:id="1013"/>
    <w:bookmarkEnd w:id="1014"/>
    <w:bookmarkEnd w:id="1015"/>
    <w:p w14:paraId="258D6AC5">
      <w:pPr>
        <w:keepNext/>
        <w:keepLines/>
        <w:spacing w:before="60" w:after="60" w:line="413" w:lineRule="auto"/>
        <w:outlineLvl w:val="1"/>
        <w:rPr>
          <w:rFonts w:ascii="Arial" w:hAnsi="Arial" w:eastAsia="黑体"/>
          <w:b/>
          <w:bCs/>
          <w:color w:val="000000" w:themeColor="text1"/>
          <w:sz w:val="32"/>
          <w:szCs w:val="32"/>
          <w:highlight w:val="none"/>
          <w:lang w:val="zh-CN"/>
          <w14:textFill>
            <w14:solidFill>
              <w14:schemeClr w14:val="tx1"/>
            </w14:solidFill>
          </w14:textFill>
        </w:rPr>
      </w:pPr>
      <w:bookmarkStart w:id="1111" w:name="_Toc407135279"/>
      <w:bookmarkStart w:id="1112" w:name="_Toc78449865"/>
      <w:bookmarkStart w:id="1113" w:name="_Toc351203651"/>
      <w:bookmarkStart w:id="1114" w:name="_Toc389065341"/>
      <w:bookmarkStart w:id="1115" w:name="_Toc114058916"/>
      <w:bookmarkStart w:id="1116" w:name="_Toc373478423"/>
      <w:bookmarkStart w:id="1117" w:name="_Toc373227776"/>
      <w:r>
        <w:rPr>
          <w:rFonts w:ascii="Arial" w:hAnsi="Arial" w:eastAsia="黑体"/>
          <w:b/>
          <w:bCs/>
          <w:color w:val="000000" w:themeColor="text1"/>
          <w:sz w:val="32"/>
          <w:szCs w:val="32"/>
          <w:highlight w:val="none"/>
          <w:lang w:val="zh-CN"/>
          <w14:textFill>
            <w14:solidFill>
              <w14:schemeClr w14:val="tx1"/>
            </w14:solidFill>
          </w14:textFill>
        </w:rPr>
        <w:t xml:space="preserve">20. </w:t>
      </w:r>
      <w:r>
        <w:rPr>
          <w:rFonts w:hint="eastAsia" w:ascii="Arial" w:hAnsi="宋体" w:eastAsia="黑体" w:cs="黑体"/>
          <w:b/>
          <w:bCs/>
          <w:color w:val="000000" w:themeColor="text1"/>
          <w:sz w:val="32"/>
          <w:szCs w:val="32"/>
          <w:highlight w:val="none"/>
          <w:lang w:val="zh-CN"/>
          <w14:textFill>
            <w14:solidFill>
              <w14:schemeClr w14:val="tx1"/>
            </w14:solidFill>
          </w14:textFill>
        </w:rPr>
        <w:t>争议解决</w:t>
      </w:r>
      <w:bookmarkEnd w:id="1111"/>
      <w:bookmarkEnd w:id="1112"/>
      <w:bookmarkEnd w:id="1113"/>
      <w:bookmarkEnd w:id="1114"/>
      <w:bookmarkEnd w:id="1115"/>
      <w:bookmarkEnd w:id="1116"/>
      <w:bookmarkEnd w:id="1117"/>
    </w:p>
    <w:bookmarkEnd w:id="1016"/>
    <w:bookmarkEnd w:id="1017"/>
    <w:p w14:paraId="4DD51585">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18" w:name="_Toc373227777"/>
      <w:bookmarkStart w:id="1119" w:name="_Toc114058917"/>
      <w:bookmarkStart w:id="1120" w:name="_Toc407135280"/>
      <w:bookmarkStart w:id="1121" w:name="_Toc389065342"/>
      <w:bookmarkStart w:id="1122" w:name="_Toc78449866"/>
      <w:bookmarkStart w:id="1123" w:name="_Toc373478424"/>
      <w:r>
        <w:rPr>
          <w:rFonts w:eastAsia="黑体"/>
          <w:b/>
          <w:bCs/>
          <w:color w:val="000000" w:themeColor="text1"/>
          <w:sz w:val="32"/>
          <w:szCs w:val="32"/>
          <w:highlight w:val="none"/>
          <w:lang w:val="zh-CN"/>
          <w14:textFill>
            <w14:solidFill>
              <w14:schemeClr w14:val="tx1"/>
            </w14:solidFill>
          </w14:textFill>
        </w:rPr>
        <w:t xml:space="preserve">20.3 </w:t>
      </w:r>
      <w:r>
        <w:rPr>
          <w:rFonts w:hint="eastAsia" w:hAnsi="宋体" w:eastAsia="黑体" w:cs="黑体"/>
          <w:b/>
          <w:bCs/>
          <w:color w:val="000000" w:themeColor="text1"/>
          <w:sz w:val="32"/>
          <w:szCs w:val="32"/>
          <w:highlight w:val="none"/>
          <w:lang w:val="zh-CN"/>
          <w14:textFill>
            <w14:solidFill>
              <w14:schemeClr w14:val="tx1"/>
            </w14:solidFill>
          </w14:textFill>
        </w:rPr>
        <w:t>争</w:t>
      </w:r>
      <w:bookmarkEnd w:id="1018"/>
      <w:r>
        <w:rPr>
          <w:rFonts w:hint="eastAsia" w:hAnsi="宋体" w:eastAsia="黑体" w:cs="黑体"/>
          <w:b/>
          <w:bCs/>
          <w:color w:val="000000" w:themeColor="text1"/>
          <w:sz w:val="32"/>
          <w:szCs w:val="32"/>
          <w:highlight w:val="none"/>
          <w:lang w:val="zh-CN"/>
          <w14:textFill>
            <w14:solidFill>
              <w14:schemeClr w14:val="tx1"/>
            </w14:solidFill>
          </w14:textFill>
        </w:rPr>
        <w:t>议评审</w:t>
      </w:r>
      <w:bookmarkEnd w:id="1118"/>
      <w:bookmarkEnd w:id="1119"/>
      <w:bookmarkEnd w:id="1120"/>
      <w:bookmarkEnd w:id="1121"/>
      <w:bookmarkEnd w:id="1122"/>
      <w:bookmarkEnd w:id="1123"/>
    </w:p>
    <w:p w14:paraId="2AE8BE10">
      <w:pPr>
        <w:spacing w:line="360" w:lineRule="auto"/>
        <w:ind w:left="149" w:leftChars="71" w:firstLine="315" w:firstLineChars="15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合同当事人是否同意将工程争议提交争议评审小组决定：</w:t>
      </w:r>
      <w:r>
        <w:rPr>
          <w:rFonts w:hint="eastAsia"/>
          <w:color w:val="000000" w:themeColor="text1"/>
          <w:szCs w:val="21"/>
          <w:highlight w:val="none"/>
          <w:u w:val="single"/>
          <w14:textFill>
            <w14:solidFill>
              <w14:schemeClr w14:val="tx1"/>
            </w14:solidFill>
          </w14:textFill>
        </w:rPr>
        <w:t>由发包人与承包人双方协商确定</w:t>
      </w:r>
      <w:r>
        <w:rPr>
          <w:rFonts w:hAnsi="宋体"/>
          <w:color w:val="000000" w:themeColor="text1"/>
          <w:szCs w:val="21"/>
          <w:highlight w:val="none"/>
          <w14:textFill>
            <w14:solidFill>
              <w14:schemeClr w14:val="tx1"/>
            </w14:solidFill>
          </w14:textFill>
        </w:rPr>
        <w:t>。</w:t>
      </w:r>
    </w:p>
    <w:p w14:paraId="13AFBDAC">
      <w:pPr>
        <w:spacing w:line="360" w:lineRule="auto"/>
        <w:ind w:firstLine="420" w:firstLineChars="200"/>
        <w:jc w:val="left"/>
        <w:outlineLvl w:val="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xml:space="preserve">20.3.1 </w:t>
      </w:r>
      <w:r>
        <w:rPr>
          <w:rFonts w:hAnsi="宋体"/>
          <w:color w:val="000000" w:themeColor="text1"/>
          <w:szCs w:val="21"/>
          <w:highlight w:val="none"/>
          <w14:textFill>
            <w14:solidFill>
              <w14:schemeClr w14:val="tx1"/>
            </w14:solidFill>
          </w14:textFill>
        </w:rPr>
        <w:t>争议评审小组的确定</w:t>
      </w:r>
    </w:p>
    <w:p w14:paraId="2E3474F1">
      <w:pPr>
        <w:spacing w:line="360" w:lineRule="auto"/>
        <w:ind w:firstLine="420" w:firstLineChars="200"/>
        <w:jc w:val="left"/>
        <w:rPr>
          <w:color w:val="000000" w:themeColor="text1"/>
          <w:szCs w:val="21"/>
          <w:highlight w:val="none"/>
          <w:u w:val="single"/>
          <w14:textFill>
            <w14:solidFill>
              <w14:schemeClr w14:val="tx1"/>
            </w14:solidFill>
          </w14:textFill>
        </w:rPr>
      </w:pPr>
      <w:r>
        <w:rPr>
          <w:rFonts w:hAnsi="宋体"/>
          <w:color w:val="000000" w:themeColor="text1"/>
          <w:szCs w:val="21"/>
          <w:highlight w:val="none"/>
          <w14:textFill>
            <w14:solidFill>
              <w14:schemeClr w14:val="tx1"/>
            </w14:solidFill>
          </w14:textFill>
        </w:rPr>
        <w:t>争议评审小组成员的确定：</w:t>
      </w:r>
      <w:r>
        <w:rPr>
          <w:rFonts w:hint="eastAsia"/>
          <w:color w:val="000000" w:themeColor="text1"/>
          <w:szCs w:val="21"/>
          <w:highlight w:val="none"/>
          <w:u w:val="single"/>
          <w14:textFill>
            <w14:solidFill>
              <w14:schemeClr w14:val="tx1"/>
            </w14:solidFill>
          </w14:textFill>
        </w:rPr>
        <w:t>如双方商定采用争议评审方式解决，则按通用条款执行</w:t>
      </w:r>
      <w:r>
        <w:rPr>
          <w:rFonts w:hAnsi="宋体"/>
          <w:color w:val="000000" w:themeColor="text1"/>
          <w:szCs w:val="21"/>
          <w:highlight w:val="none"/>
          <w14:textFill>
            <w14:solidFill>
              <w14:schemeClr w14:val="tx1"/>
            </w14:solidFill>
          </w14:textFill>
        </w:rPr>
        <w:t>。</w:t>
      </w:r>
    </w:p>
    <w:p w14:paraId="0BB45903">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选定争议评审员的期限：</w:t>
      </w:r>
      <w:r>
        <w:rPr>
          <w:rFonts w:hint="eastAsia"/>
          <w:color w:val="000000" w:themeColor="text1"/>
          <w:szCs w:val="21"/>
          <w:highlight w:val="none"/>
          <w:u w:val="single"/>
          <w14:textFill>
            <w14:solidFill>
              <w14:schemeClr w14:val="tx1"/>
            </w14:solidFill>
          </w14:textFill>
        </w:rPr>
        <w:t>如双方商定采用争议评审方式解决，则按通用条款执行</w:t>
      </w:r>
      <w:r>
        <w:rPr>
          <w:rFonts w:hAnsi="宋体"/>
          <w:color w:val="000000" w:themeColor="text1"/>
          <w:szCs w:val="21"/>
          <w:highlight w:val="none"/>
          <w14:textFill>
            <w14:solidFill>
              <w14:schemeClr w14:val="tx1"/>
            </w14:solidFill>
          </w14:textFill>
        </w:rPr>
        <w:t>。</w:t>
      </w:r>
    </w:p>
    <w:p w14:paraId="548838E0">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争议评审小组成员的报酬承担方式：</w:t>
      </w:r>
      <w:r>
        <w:rPr>
          <w:rFonts w:hint="eastAsia"/>
          <w:color w:val="000000" w:themeColor="text1"/>
          <w:szCs w:val="21"/>
          <w:highlight w:val="none"/>
          <w:u w:val="single"/>
          <w14:textFill>
            <w14:solidFill>
              <w14:schemeClr w14:val="tx1"/>
            </w14:solidFill>
          </w14:textFill>
        </w:rPr>
        <w:t>如双方商定采用争议评审方式解决，则按通用条款执行</w:t>
      </w:r>
      <w:r>
        <w:rPr>
          <w:rFonts w:hAnsi="宋体"/>
          <w:color w:val="000000" w:themeColor="text1"/>
          <w:szCs w:val="21"/>
          <w:highlight w:val="none"/>
          <w14:textFill>
            <w14:solidFill>
              <w14:schemeClr w14:val="tx1"/>
            </w14:solidFill>
          </w14:textFill>
        </w:rPr>
        <w:t>。</w:t>
      </w:r>
    </w:p>
    <w:p w14:paraId="60D1D578">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其他事项的约定：</w:t>
      </w:r>
      <w:r>
        <w:rPr>
          <w:rFonts w:hint="eastAsia"/>
          <w:color w:val="000000" w:themeColor="text1"/>
          <w:szCs w:val="21"/>
          <w:highlight w:val="none"/>
          <w:u w:val="single"/>
          <w14:textFill>
            <w14:solidFill>
              <w14:schemeClr w14:val="tx1"/>
            </w14:solidFill>
          </w14:textFill>
        </w:rPr>
        <w:t>无</w:t>
      </w:r>
      <w:r>
        <w:rPr>
          <w:rFonts w:hAnsi="宋体"/>
          <w:color w:val="000000" w:themeColor="text1"/>
          <w:szCs w:val="21"/>
          <w:highlight w:val="none"/>
          <w14:textFill>
            <w14:solidFill>
              <w14:schemeClr w14:val="tx1"/>
            </w14:solidFill>
          </w14:textFill>
        </w:rPr>
        <w:t>。</w:t>
      </w:r>
    </w:p>
    <w:p w14:paraId="1EAF57D5">
      <w:pPr>
        <w:autoSpaceDE w:val="0"/>
        <w:autoSpaceDN w:val="0"/>
        <w:adjustRightInd w:val="0"/>
        <w:spacing w:line="360" w:lineRule="auto"/>
        <w:ind w:firstLine="420" w:firstLineChars="200"/>
        <w:jc w:val="left"/>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 xml:space="preserve">20.3.2 </w:t>
      </w:r>
      <w:r>
        <w:rPr>
          <w:rFonts w:hAnsi="宋体"/>
          <w:color w:val="000000" w:themeColor="text1"/>
          <w:kern w:val="0"/>
          <w:szCs w:val="21"/>
          <w:highlight w:val="none"/>
          <w14:textFill>
            <w14:solidFill>
              <w14:schemeClr w14:val="tx1"/>
            </w14:solidFill>
          </w14:textFill>
        </w:rPr>
        <w:t>争议评审小组的决定</w:t>
      </w:r>
    </w:p>
    <w:p w14:paraId="78582716">
      <w:pPr>
        <w:spacing w:line="360" w:lineRule="auto"/>
        <w:ind w:firstLine="420" w:firstLineChars="200"/>
        <w:jc w:val="left"/>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合同当事人关于本项的约定：</w:t>
      </w:r>
      <w:r>
        <w:rPr>
          <w:rFonts w:hint="eastAsia"/>
          <w:color w:val="000000" w:themeColor="text1"/>
          <w:szCs w:val="21"/>
          <w:highlight w:val="none"/>
          <w:u w:val="single"/>
          <w14:textFill>
            <w14:solidFill>
              <w14:schemeClr w14:val="tx1"/>
            </w14:solidFill>
          </w14:textFill>
        </w:rPr>
        <w:t>无</w:t>
      </w:r>
      <w:r>
        <w:rPr>
          <w:rFonts w:hint="eastAsia" w:hAnsi="宋体" w:cs="宋体"/>
          <w:color w:val="000000" w:themeColor="text1"/>
          <w:szCs w:val="21"/>
          <w:highlight w:val="none"/>
          <w14:textFill>
            <w14:solidFill>
              <w14:schemeClr w14:val="tx1"/>
            </w14:solidFill>
          </w14:textFill>
        </w:rPr>
        <w:t>。</w:t>
      </w:r>
    </w:p>
    <w:p w14:paraId="5B4F0B41">
      <w:pPr>
        <w:keepNext/>
        <w:keepLines/>
        <w:spacing w:line="360" w:lineRule="auto"/>
        <w:outlineLvl w:val="2"/>
        <w:rPr>
          <w:rFonts w:eastAsia="黑体"/>
          <w:b/>
          <w:bCs/>
          <w:color w:val="000000" w:themeColor="text1"/>
          <w:sz w:val="32"/>
          <w:szCs w:val="32"/>
          <w:highlight w:val="none"/>
          <w:lang w:val="zh-CN"/>
          <w14:textFill>
            <w14:solidFill>
              <w14:schemeClr w14:val="tx1"/>
            </w14:solidFill>
          </w14:textFill>
        </w:rPr>
      </w:pPr>
      <w:bookmarkStart w:id="1124" w:name="_Toc407135281"/>
      <w:bookmarkStart w:id="1125" w:name="_Toc373227778"/>
      <w:bookmarkStart w:id="1126" w:name="_Toc78449867"/>
      <w:bookmarkStart w:id="1127" w:name="_Toc114058918"/>
      <w:bookmarkStart w:id="1128" w:name="_Toc389065343"/>
      <w:bookmarkStart w:id="1129" w:name="_Toc373478425"/>
      <w:r>
        <w:rPr>
          <w:rFonts w:eastAsia="黑体"/>
          <w:b/>
          <w:bCs/>
          <w:color w:val="000000" w:themeColor="text1"/>
          <w:sz w:val="32"/>
          <w:szCs w:val="32"/>
          <w:highlight w:val="none"/>
          <w:lang w:val="zh-CN"/>
          <w14:textFill>
            <w14:solidFill>
              <w14:schemeClr w14:val="tx1"/>
            </w14:solidFill>
          </w14:textFill>
        </w:rPr>
        <w:t xml:space="preserve">20.4 </w:t>
      </w:r>
      <w:r>
        <w:rPr>
          <w:rFonts w:hint="eastAsia" w:hAnsi="宋体" w:eastAsia="黑体" w:cs="黑体"/>
          <w:b/>
          <w:bCs/>
          <w:color w:val="000000" w:themeColor="text1"/>
          <w:sz w:val="32"/>
          <w:szCs w:val="32"/>
          <w:highlight w:val="none"/>
          <w:lang w:val="zh-CN"/>
          <w14:textFill>
            <w14:solidFill>
              <w14:schemeClr w14:val="tx1"/>
            </w14:solidFill>
          </w14:textFill>
        </w:rPr>
        <w:t>仲裁或诉讼</w:t>
      </w:r>
      <w:bookmarkEnd w:id="1019"/>
      <w:bookmarkEnd w:id="1124"/>
      <w:bookmarkEnd w:id="1125"/>
      <w:bookmarkEnd w:id="1126"/>
      <w:bookmarkEnd w:id="1127"/>
      <w:bookmarkEnd w:id="1128"/>
      <w:bookmarkEnd w:id="1129"/>
    </w:p>
    <w:p w14:paraId="3B2567C0">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因合同及合同有关事项发生的争议，按下列第</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种方式解决：</w:t>
      </w:r>
    </w:p>
    <w:p w14:paraId="319D896B">
      <w:pPr>
        <w:spacing w:line="360" w:lineRule="auto"/>
        <w:ind w:firstLine="420" w:firstLineChars="200"/>
        <w:jc w:val="left"/>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）提请</w:t>
      </w:r>
      <w:r>
        <w:rPr>
          <w:rFonts w:hint="eastAsia"/>
          <w:color w:val="000000" w:themeColor="text1"/>
          <w:szCs w:val="21"/>
          <w:highlight w:val="none"/>
          <w:u w:val="single"/>
          <w14:textFill>
            <w14:solidFill>
              <w14:schemeClr w14:val="tx1"/>
            </w14:solidFill>
          </w14:textFill>
        </w:rPr>
        <w:t>/</w:t>
      </w:r>
      <w:r>
        <w:rPr>
          <w:rFonts w:hint="eastAsia" w:hAnsi="宋体" w:cs="宋体"/>
          <w:color w:val="000000" w:themeColor="text1"/>
          <w:szCs w:val="21"/>
          <w:highlight w:val="none"/>
          <w14:textFill>
            <w14:solidFill>
              <w14:schemeClr w14:val="tx1"/>
            </w14:solidFill>
          </w14:textFill>
        </w:rPr>
        <w:t>仲裁委员会按照该会仲裁规则进行仲裁，仲裁裁决是终局的，对合同双方均有约束力。</w:t>
      </w:r>
    </w:p>
    <w:p w14:paraId="542C106E">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向</w:t>
      </w:r>
      <w:r>
        <w:rPr>
          <w:rFonts w:hint="eastAsia"/>
          <w:color w:val="000000" w:themeColor="text1"/>
          <w:szCs w:val="21"/>
          <w:highlight w:val="none"/>
          <w:u w:val="single"/>
          <w14:textFill>
            <w14:solidFill>
              <w14:schemeClr w14:val="tx1"/>
            </w14:solidFill>
          </w14:textFill>
        </w:rPr>
        <w:t>工程所在地</w:t>
      </w:r>
      <w:r>
        <w:rPr>
          <w:rFonts w:hAnsi="宋体"/>
          <w:color w:val="000000" w:themeColor="text1"/>
          <w:szCs w:val="21"/>
          <w:highlight w:val="none"/>
          <w14:textFill>
            <w14:solidFill>
              <w14:schemeClr w14:val="tx1"/>
            </w14:solidFill>
          </w14:textFill>
        </w:rPr>
        <w:t>人民法院起诉</w:t>
      </w:r>
      <w:r>
        <w:rPr>
          <w:rFonts w:hint="eastAsia" w:hAnsi="宋体" w:cs="宋体"/>
          <w:color w:val="000000" w:themeColor="text1"/>
          <w:szCs w:val="21"/>
          <w:highlight w:val="none"/>
          <w14:textFill>
            <w14:solidFill>
              <w14:schemeClr w14:val="tx1"/>
            </w14:solidFill>
          </w14:textFill>
        </w:rPr>
        <w:t>。</w:t>
      </w:r>
      <w:bookmarkEnd w:id="1020"/>
      <w:bookmarkEnd w:id="1021"/>
      <w:bookmarkEnd w:id="1022"/>
      <w:bookmarkEnd w:id="1023"/>
      <w:bookmarkEnd w:id="1024"/>
      <w:bookmarkEnd w:id="1025"/>
    </w:p>
    <w:p w14:paraId="2715DDDB">
      <w:pPr>
        <w:keepNext/>
        <w:keepLines/>
        <w:spacing w:line="360" w:lineRule="auto"/>
        <w:outlineLvl w:val="0"/>
        <w:rPr>
          <w:rFonts w:ascii="宋体" w:eastAsia="黑体"/>
          <w:b/>
          <w:bCs/>
          <w:color w:val="000000" w:themeColor="text1"/>
          <w:kern w:val="44"/>
          <w:szCs w:val="21"/>
          <w:highlight w:val="none"/>
          <w14:textFill>
            <w14:solidFill>
              <w14:schemeClr w14:val="tx1"/>
            </w14:solidFill>
          </w14:textFill>
        </w:rPr>
      </w:pPr>
      <w:bookmarkStart w:id="1130" w:name="_Toc373478426"/>
      <w:bookmarkStart w:id="1131" w:name="_Toc373227779"/>
      <w:bookmarkStart w:id="1132" w:name="_Toc373743696"/>
      <w:r>
        <w:rPr>
          <w:rFonts w:ascii="宋体" w:hAnsi="宋体" w:eastAsia="黑体"/>
          <w:b/>
          <w:bCs/>
          <w:color w:val="000000" w:themeColor="text1"/>
          <w:kern w:val="44"/>
          <w:szCs w:val="21"/>
          <w:highlight w:val="none"/>
          <w14:textFill>
            <w14:solidFill>
              <w14:schemeClr w14:val="tx1"/>
            </w14:solidFill>
          </w14:textFill>
        </w:rPr>
        <w:t xml:space="preserve">21. </w:t>
      </w:r>
      <w:r>
        <w:rPr>
          <w:rFonts w:hint="eastAsia" w:ascii="宋体" w:hAnsi="宋体" w:eastAsia="黑体"/>
          <w:b/>
          <w:bCs/>
          <w:color w:val="000000" w:themeColor="text1"/>
          <w:kern w:val="44"/>
          <w:szCs w:val="21"/>
          <w:highlight w:val="none"/>
          <w14:textFill>
            <w14:solidFill>
              <w14:schemeClr w14:val="tx1"/>
            </w14:solidFill>
          </w14:textFill>
        </w:rPr>
        <w:t>补充条款</w:t>
      </w:r>
      <w:bookmarkEnd w:id="1130"/>
      <w:bookmarkEnd w:id="1131"/>
      <w:bookmarkEnd w:id="1132"/>
    </w:p>
    <w:p w14:paraId="0FB3E796">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21.1本工程禁止使用童工。</w:t>
      </w:r>
    </w:p>
    <w:p w14:paraId="6CE7FE49">
      <w:pPr>
        <w:spacing w:line="360" w:lineRule="auto"/>
        <w:ind w:firstLine="404" w:firstLineChars="200"/>
        <w:jc w:val="left"/>
        <w:rPr>
          <w:rFonts w:ascii="宋体" w:hAnsi="宋体" w:cs="Courier New"/>
          <w:color w:val="000000" w:themeColor="text1"/>
          <w:spacing w:val="-4"/>
          <w:szCs w:val="21"/>
          <w:highlight w:val="none"/>
          <w14:textFill>
            <w14:solidFill>
              <w14:schemeClr w14:val="tx1"/>
            </w14:solidFill>
          </w14:textFill>
        </w:rPr>
      </w:pPr>
      <w:r>
        <w:rPr>
          <w:rFonts w:hint="eastAsia" w:ascii="宋体" w:hAnsi="宋体" w:cs="Courier New"/>
          <w:color w:val="000000" w:themeColor="text1"/>
          <w:spacing w:val="-4"/>
          <w:szCs w:val="21"/>
          <w:highlight w:val="none"/>
          <w14:textFill>
            <w14:solidFill>
              <w14:schemeClr w14:val="tx1"/>
            </w14:solidFill>
          </w14:textFill>
        </w:rPr>
        <w:t>21.2与本合同有关的通知应以书面形式作出并直接送达有关方，或经电子邮件、专递方式送达有关方或其代表人（包括：发包人现场代表、承包人项目经理、总监理工程师）在本合同中注明的电子信箱或通信地址。除接受通知一方可另行证明，一方以电子邮件发出的通知应视为接受通知一方于通知发出当日收悉该通知，一方以专递方式发出的通知应视为接受通知一方于通知发出当日后第二个工作日收悉该通知。</w:t>
      </w:r>
    </w:p>
    <w:p w14:paraId="1EB2677C">
      <w:pPr>
        <w:spacing w:line="360" w:lineRule="auto"/>
        <w:ind w:firstLine="404" w:firstLineChars="200"/>
        <w:rPr>
          <w:rFonts w:ascii="宋体" w:hAnsi="宋体" w:cs="Courier New"/>
          <w:color w:val="000000" w:themeColor="text1"/>
          <w:spacing w:val="-4"/>
          <w:szCs w:val="21"/>
          <w:highlight w:val="none"/>
          <w14:textFill>
            <w14:solidFill>
              <w14:schemeClr w14:val="tx1"/>
            </w14:solidFill>
          </w14:textFill>
        </w:rPr>
      </w:pPr>
      <w:r>
        <w:rPr>
          <w:rFonts w:hint="eastAsia" w:ascii="宋体" w:hAnsi="宋体" w:cs="Courier New"/>
          <w:color w:val="000000" w:themeColor="text1"/>
          <w:spacing w:val="-4"/>
          <w:szCs w:val="21"/>
          <w:highlight w:val="none"/>
          <w14:textFill>
            <w14:solidFill>
              <w14:schemeClr w14:val="tx1"/>
            </w14:solidFill>
          </w14:textFill>
        </w:rPr>
        <w:t>21.3实现债权的费用承担：因任何一方违约致使相对方采取诉讼方式实现债权的，违约方应承担相对方为此支付的合理费用，包括但不限于诉讼费、律师费、差旅费等。</w:t>
      </w:r>
    </w:p>
    <w:p w14:paraId="76DEFF4C">
      <w:pPr>
        <w:spacing w:line="360" w:lineRule="auto"/>
        <w:ind w:firstLine="420" w:firstLineChars="200"/>
        <w:rPr>
          <w:rFonts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21.4关于施工管理：遵守发包人的各项管理规定；按现行法律、法规、现行施工规范及相关规定、进行施工。其中临时设施、安全施工、文明施工，并符合现行规范及技术标准 的要求，费用由承包人负责；施工中所产生的建筑垃圾由承包人负责</w:t>
      </w:r>
      <w:r>
        <w:rPr>
          <w:rFonts w:hint="eastAsia" w:ascii="宋体" w:hAnsi="宋体" w:cs="Courier New"/>
          <w:color w:val="000000" w:themeColor="text1"/>
          <w:szCs w:val="21"/>
          <w:highlight w:val="red"/>
          <w14:textFill>
            <w14:solidFill>
              <w14:schemeClr w14:val="tx1"/>
            </w14:solidFill>
          </w14:textFill>
        </w:rPr>
        <w:t>清运，</w:t>
      </w:r>
      <w:r>
        <w:rPr>
          <w:rFonts w:hint="eastAsia" w:ascii="宋体" w:hAnsi="宋体" w:cs="Courier New"/>
          <w:color w:val="000000" w:themeColor="text1"/>
          <w:szCs w:val="21"/>
          <w:highlight w:val="none"/>
          <w14:textFill>
            <w14:solidFill>
              <w14:schemeClr w14:val="tx1"/>
            </w14:solidFill>
          </w14:textFill>
        </w:rPr>
        <w:t xml:space="preserve">费用由承包人承担； </w:t>
      </w:r>
    </w:p>
    <w:p w14:paraId="274778ED">
      <w:pPr>
        <w:spacing w:line="360" w:lineRule="auto"/>
        <w:ind w:firstLine="404" w:firstLineChars="200"/>
        <w:rPr>
          <w:rFonts w:ascii="宋体" w:hAnsi="宋体" w:cs="Courier New"/>
          <w:color w:val="000000" w:themeColor="text1"/>
          <w:spacing w:val="-4"/>
          <w:szCs w:val="21"/>
          <w:highlight w:val="none"/>
          <w14:textFill>
            <w14:solidFill>
              <w14:schemeClr w14:val="tx1"/>
            </w14:solidFill>
          </w14:textFill>
        </w:rPr>
      </w:pPr>
      <w:r>
        <w:rPr>
          <w:rFonts w:hint="eastAsia" w:ascii="宋体" w:hAnsi="宋体" w:cs="Courier New"/>
          <w:color w:val="000000" w:themeColor="text1"/>
          <w:spacing w:val="-4"/>
          <w:szCs w:val="21"/>
          <w:highlight w:val="none"/>
          <w14:textFill>
            <w14:solidFill>
              <w14:schemeClr w14:val="tx1"/>
            </w14:solidFill>
          </w14:textFill>
        </w:rPr>
        <w:t>21.5发包人采购文件及相关答疑均视为合同约定内容，如承包人不遵守，则视为承包人违约。</w:t>
      </w:r>
    </w:p>
    <w:p w14:paraId="320989D3">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21.6</w:t>
      </w:r>
      <w:r>
        <w:rPr>
          <w:rFonts w:hint="eastAsia" w:ascii="宋体" w:hAnsi="宋体" w:cs="Arial"/>
          <w:color w:val="000000" w:themeColor="text1"/>
          <w:szCs w:val="21"/>
          <w:highlight w:val="none"/>
          <w14:textFill>
            <w14:solidFill>
              <w14:schemeClr w14:val="tx1"/>
            </w14:solidFill>
          </w14:textFill>
        </w:rPr>
        <w:t>承包人应有具体措施，保证任何临时和永久性工程中不使用政府明令禁止使用的对人体有害的任何材料和方法，同时也不会在永久性工程中使用政府虽未明令禁止但会给人带来不适感觉或嗅觉的任何材料和添加剂，承包人违背此项约定的责任和后果由承包人完全负责。</w:t>
      </w:r>
    </w:p>
    <w:p w14:paraId="7F7DFFDA">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21.7</w:t>
      </w:r>
      <w:r>
        <w:rPr>
          <w:rFonts w:hint="eastAsia" w:ascii="宋体" w:hAnsi="宋体" w:cs="Arial"/>
          <w:color w:val="000000" w:themeColor="text1"/>
          <w:szCs w:val="21"/>
          <w:highlight w:val="none"/>
          <w14:textFill>
            <w14:solidFill>
              <w14:schemeClr w14:val="tx1"/>
            </w14:solidFill>
          </w14:textFill>
        </w:rPr>
        <w:t>对于发包人认为不合格的项目管理人员，发包人有权要求更换，在发包人提出书面更换要求7个工作日内，承包人将合格的项目管理人员更换到位。</w:t>
      </w:r>
    </w:p>
    <w:p w14:paraId="7C298D30">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21.8</w:t>
      </w:r>
      <w:r>
        <w:rPr>
          <w:rFonts w:hint="eastAsia" w:ascii="宋体" w:hAnsi="宋体" w:cs="Arial"/>
          <w:color w:val="000000" w:themeColor="text1"/>
          <w:szCs w:val="21"/>
          <w:highlight w:val="none"/>
          <w14:textFill>
            <w14:solidFill>
              <w14:schemeClr w14:val="tx1"/>
            </w14:solidFill>
          </w14:textFill>
        </w:rPr>
        <w:t>合同总价包括了竣工资料编制费，并由总承包单位统一归档；如果竣工资料编制不合格，无法正常移交档案馆，由承包人承担一切责任和费用。</w:t>
      </w:r>
    </w:p>
    <w:p w14:paraId="0DFF17B1">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21.9</w:t>
      </w:r>
      <w:r>
        <w:rPr>
          <w:rFonts w:hint="eastAsia" w:ascii="宋体" w:hAnsi="宋体" w:cs="Arial"/>
          <w:color w:val="000000" w:themeColor="text1"/>
          <w:szCs w:val="21"/>
          <w:highlight w:val="none"/>
          <w14:textFill>
            <w14:solidFill>
              <w14:schemeClr w14:val="tx1"/>
            </w14:solidFill>
          </w14:textFill>
        </w:rPr>
        <w:t>承包人不得转包。</w:t>
      </w:r>
    </w:p>
    <w:p w14:paraId="2BD755D5">
      <w:pPr>
        <w:spacing w:line="360" w:lineRule="auto"/>
        <w:ind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21.10</w:t>
      </w:r>
      <w:r>
        <w:rPr>
          <w:rFonts w:hint="eastAsia" w:ascii="宋体" w:hAnsi="宋体" w:cs="Arial"/>
          <w:color w:val="000000" w:themeColor="text1"/>
          <w:szCs w:val="21"/>
          <w:highlight w:val="none"/>
          <w14:textFill>
            <w14:solidFill>
              <w14:schemeClr w14:val="tx1"/>
            </w14:solidFill>
          </w14:textFill>
        </w:rPr>
        <w:t>合同总价包括了本分包范围所有现场垃圾的清运费用。承包人应在接到发包人清场通知后3天内，将承包人的所有的临设（包括基础等）及材料、设备全部撤场；否则发包人将自行找人清理，费用由承包人方负责。</w:t>
      </w:r>
    </w:p>
    <w:p w14:paraId="174C8257">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21.11</w:t>
      </w:r>
      <w:r>
        <w:rPr>
          <w:rFonts w:hint="eastAsia" w:ascii="宋体" w:hAnsi="宋体" w:cs="Arial"/>
          <w:color w:val="000000" w:themeColor="text1"/>
          <w:szCs w:val="21"/>
          <w:highlight w:val="none"/>
          <w14:textFill>
            <w14:solidFill>
              <w14:schemeClr w14:val="tx1"/>
            </w14:solidFill>
          </w14:textFill>
        </w:rPr>
        <w:t>竣工清理和成品保护：进行承包人承包范围内的竣工清理和成品保护工作，费用已含在合同总价中。</w:t>
      </w:r>
    </w:p>
    <w:p w14:paraId="754952B3">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21.12</w:t>
      </w:r>
      <w:r>
        <w:rPr>
          <w:rFonts w:hint="eastAsia" w:ascii="宋体" w:hAnsi="宋体" w:cs="Arial"/>
          <w:color w:val="000000" w:themeColor="text1"/>
          <w:szCs w:val="21"/>
          <w:highlight w:val="none"/>
          <w14:textFill>
            <w14:solidFill>
              <w14:schemeClr w14:val="tx1"/>
            </w14:solidFill>
          </w14:textFill>
        </w:rPr>
        <w:t>结算依据的整理工作：</w:t>
      </w:r>
    </w:p>
    <w:p w14:paraId="2B2DB249">
      <w:pPr>
        <w:spacing w:line="360" w:lineRule="auto"/>
        <w:ind w:left="2"/>
        <w:rPr>
          <w:rFonts w:ascii="宋体" w:hAnsi="宋体" w:cs="Arial"/>
          <w:color w:val="000000" w:themeColor="text1"/>
          <w:szCs w:val="21"/>
          <w:highlight w:val="none"/>
          <w14:textFill>
            <w14:solidFill>
              <w14:schemeClr w14:val="tx1"/>
            </w14:solidFill>
          </w14:textFill>
        </w:rPr>
      </w:pPr>
      <w:r>
        <w:rPr>
          <w:rFonts w:hint="eastAsia" w:ascii="宋体" w:hAnsi="宋体" w:cs="Arial"/>
          <w:color w:val="000000" w:themeColor="text1"/>
          <w:szCs w:val="21"/>
          <w:highlight w:val="none"/>
          <w14:textFill>
            <w14:solidFill>
              <w14:schemeClr w14:val="tx1"/>
            </w14:solidFill>
          </w14:textFill>
        </w:rPr>
        <w:t xml:space="preserve">   图纸外需增加费用任何工程实施（包括变更洽商、合同外新增工程、各种索赔等），必须有发包人负责人签字确认，并在发生后14个工作日内将增减的费用报送监理和发包人，否则结算时不予办理；核减的洽商据实结算。  </w:t>
      </w:r>
    </w:p>
    <w:p w14:paraId="6D182EE8">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21.13</w:t>
      </w:r>
      <w:r>
        <w:rPr>
          <w:rFonts w:hint="eastAsia" w:ascii="宋体" w:hAnsi="宋体" w:cs="Arial"/>
          <w:color w:val="000000" w:themeColor="text1"/>
          <w:szCs w:val="21"/>
          <w:highlight w:val="none"/>
          <w14:textFill>
            <w14:solidFill>
              <w14:schemeClr w14:val="tx1"/>
            </w14:solidFill>
          </w14:textFill>
        </w:rPr>
        <w:t>农民工工资的有关规定按国家或地方有关政策或文件执行。禁止承包人拖欠劳务人员（农民工）工资。承包人承诺将发包人付款直接发到劳务人员（农民工）的手中，按国家或地方规定建立农民工工资制度，与全部劳务人员签订正式的劳动合同，将农民工工资每月直接打到农民工的工资卡（银行账户）中。承包人将每月农民工的工资发放记录和签字表交给发包人工程部，否则发包人在下月付款时有权不予支付。</w:t>
      </w:r>
    </w:p>
    <w:p w14:paraId="76046114">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承包人应按月足额发放全部工人工资，若承包人有拖欠工人工资的现象，发包单位可考虑代付该部分工人工资，并从当月工程进度款中扣回。由此引发的工人罢工、闹事等不良后果，承包人应承担全部责任，发包单位可视情节要求</w:t>
      </w:r>
      <w:r>
        <w:rPr>
          <w:rFonts w:hint="eastAsia" w:ascii="宋体" w:hAnsi="宋体"/>
          <w:color w:val="000000" w:themeColor="text1"/>
          <w:szCs w:val="21"/>
          <w:highlight w:val="none"/>
          <w:lang w:eastAsia="zh-CN"/>
          <w14:textFill>
            <w14:solidFill>
              <w14:schemeClr w14:val="tx1"/>
            </w14:solidFill>
          </w14:textFill>
        </w:rPr>
        <w:t>承包人</w:t>
      </w:r>
      <w:r>
        <w:rPr>
          <w:rFonts w:hint="eastAsia" w:ascii="宋体" w:hAnsi="宋体"/>
          <w:color w:val="000000" w:themeColor="text1"/>
          <w:szCs w:val="21"/>
          <w:highlight w:val="none"/>
          <w14:textFill>
            <w14:solidFill>
              <w14:schemeClr w14:val="tx1"/>
            </w14:solidFill>
          </w14:textFill>
        </w:rPr>
        <w:t>支付一定的违约金。</w:t>
      </w:r>
    </w:p>
    <w:p w14:paraId="10D4BA69">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21.14</w:t>
      </w:r>
      <w:r>
        <w:rPr>
          <w:rFonts w:hint="eastAsia" w:ascii="宋体" w:hAnsi="宋体" w:cs="Arial"/>
          <w:color w:val="000000" w:themeColor="text1"/>
          <w:szCs w:val="21"/>
          <w:highlight w:val="none"/>
          <w14:textFill>
            <w14:solidFill>
              <w14:schemeClr w14:val="tx1"/>
            </w14:solidFill>
          </w14:textFill>
        </w:rPr>
        <w:t>承包人应考虑工程现场的特殊地理位置，现场应达到南宁市对现场安全文明施工要求；承包人应对安全及文明施工费用做到专款专用。若违反政府有关规定，在发包人两次指出仍未达到要求时，承包人须支付相应的违约金；施工现场因承包人原因如出现重大安全事故，一切费用由承包人负责，并在结算时按安全文明施工费金额作为违约金予以扣罚。且发包人有权解除合同。</w:t>
      </w:r>
    </w:p>
    <w:p w14:paraId="742AE459">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21.15</w:t>
      </w:r>
      <w:r>
        <w:rPr>
          <w:rFonts w:hint="eastAsia" w:ascii="宋体" w:hAnsi="宋体" w:cs="Arial"/>
          <w:color w:val="000000" w:themeColor="text1"/>
          <w:szCs w:val="21"/>
          <w:highlight w:val="none"/>
          <w14:textFill>
            <w14:solidFill>
              <w14:schemeClr w14:val="tx1"/>
            </w14:solidFill>
          </w14:textFill>
        </w:rPr>
        <w:t>监理单位具有根据本工程需要发出有关工程质量、进度、造价、安全管理、经济处罚等工作联系函或指令的权利，上述工作联系函或指令经发包人同意后，承包人必须执行。</w:t>
      </w:r>
    </w:p>
    <w:p w14:paraId="6E989A7D">
      <w:pPr>
        <w:spacing w:line="360" w:lineRule="auto"/>
        <w:ind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21.16</w:t>
      </w:r>
      <w:r>
        <w:rPr>
          <w:rFonts w:hint="eastAsia" w:ascii="宋体" w:hAnsi="宋体" w:cs="Arial"/>
          <w:color w:val="000000" w:themeColor="text1"/>
          <w:szCs w:val="21"/>
          <w:highlight w:val="none"/>
          <w14:textFill>
            <w14:solidFill>
              <w14:schemeClr w14:val="tx1"/>
            </w14:solidFill>
          </w14:textFill>
        </w:rPr>
        <w:t>发包人仅提供现场水、电的源头，其余接管、接线、装表等均由承包人负责，水电费由承包人缴纳。水电费及计量表等费用均已包含在承包人合同造价内。</w:t>
      </w:r>
    </w:p>
    <w:p w14:paraId="213DE3C5">
      <w:pPr>
        <w:spacing w:line="360" w:lineRule="auto"/>
        <w:ind w:left="2" w:leftChars="1" w:firstLine="420" w:firstLineChars="200"/>
        <w:rPr>
          <w:rFonts w:ascii="宋体" w:hAnsi="宋体" w:cs="Arial"/>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21.17</w:t>
      </w:r>
      <w:r>
        <w:rPr>
          <w:rFonts w:hint="eastAsia" w:ascii="宋体" w:hAnsi="宋体" w:cs="Arial"/>
          <w:color w:val="000000" w:themeColor="text1"/>
          <w:szCs w:val="21"/>
          <w:highlight w:val="none"/>
          <w14:textFill>
            <w14:solidFill>
              <w14:schemeClr w14:val="tx1"/>
            </w14:solidFill>
          </w14:textFill>
        </w:rPr>
        <w:t>如果发包人发现承包人无本专业工程的施工能力，或者承包人无继续合作本工程的诚意，发包人有权解除合同，承包人予以服从并及时退场。若承包人以任何理由要挟发包人管理人员或有妨碍工程施工进度的行为，发包人将视同承包方违约，结算时扣除合同价的10%作为违约金。</w:t>
      </w:r>
    </w:p>
    <w:p w14:paraId="208D0FB0">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 xml:space="preserve">21.18  本专用条款未约定的均按本合同通用条款规定执行。  </w:t>
      </w:r>
    </w:p>
    <w:p w14:paraId="5FC06F98">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21.19因任何一方违约致使相对方采取诉讼方式实现债权的，违约方应承担相对方为此支付的合理费用，包括但不限于诉讼费、律师费、差旅费等。</w:t>
      </w:r>
    </w:p>
    <w:p w14:paraId="649EBB5B">
      <w:pPr>
        <w:spacing w:line="360" w:lineRule="auto"/>
        <w:ind w:firstLine="420" w:firstLineChars="200"/>
        <w:jc w:val="left"/>
        <w:rPr>
          <w:rFonts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21.20本合同不受任何一方法人代表或单位名称的变更而改变合作性质和合同约定。</w:t>
      </w:r>
    </w:p>
    <w:p w14:paraId="2CCFE44C">
      <w:pPr>
        <w:spacing w:line="360" w:lineRule="auto"/>
        <w:ind w:firstLine="420" w:firstLineChars="200"/>
        <w:jc w:val="left"/>
        <w:rPr>
          <w:color w:val="000000" w:themeColor="text1"/>
          <w:szCs w:val="21"/>
          <w:highlight w:val="none"/>
          <w14:textFill>
            <w14:solidFill>
              <w14:schemeClr w14:val="tx1"/>
            </w14:solidFill>
          </w14:textFill>
        </w:rPr>
      </w:pPr>
      <w:r>
        <w:rPr>
          <w:rFonts w:hint="eastAsia" w:ascii="Calibri" w:hAnsi="宋体" w:cs="宋体"/>
          <w:color w:val="000000" w:themeColor="text1"/>
          <w:szCs w:val="21"/>
          <w:highlight w:val="none"/>
          <w14:textFill>
            <w14:solidFill>
              <w14:schemeClr w14:val="tx1"/>
            </w14:solidFill>
          </w14:textFill>
        </w:rPr>
        <w:t>21.21本合同未约定其他事项，双方可签订补充协议。补充协议与本合同具有同等法律效力</w:t>
      </w:r>
      <w:r>
        <w:rPr>
          <w:rFonts w:hint="eastAsia" w:hAnsi="宋体" w:cs="宋体"/>
          <w:color w:val="000000" w:themeColor="text1"/>
          <w:szCs w:val="21"/>
          <w:highlight w:val="none"/>
          <w14:textFill>
            <w14:solidFill>
              <w14:schemeClr w14:val="tx1"/>
            </w14:solidFill>
          </w14:textFill>
        </w:rPr>
        <w:t>。</w:t>
      </w:r>
    </w:p>
    <w:p w14:paraId="3CD5DAFD">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5FAC0D88">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7BF9D139">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46F9BAA5">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64095FE5">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55ECB6DD">
      <w:pPr>
        <w:spacing w:line="360" w:lineRule="auto"/>
        <w:ind w:firstLine="420" w:firstLineChars="200"/>
        <w:jc w:val="left"/>
        <w:rPr>
          <w:rFonts w:hAnsi="宋体" w:cs="宋体"/>
          <w:color w:val="000000" w:themeColor="text1"/>
          <w:szCs w:val="21"/>
          <w:highlight w:val="none"/>
          <w14:textFill>
            <w14:solidFill>
              <w14:schemeClr w14:val="tx1"/>
            </w14:solidFill>
          </w14:textFill>
        </w:rPr>
      </w:pPr>
    </w:p>
    <w:p w14:paraId="2E92591E">
      <w:pPr>
        <w:spacing w:line="360" w:lineRule="auto"/>
        <w:jc w:val="left"/>
        <w:rPr>
          <w:rFonts w:eastAsia="黑体"/>
          <w:b/>
          <w:bCs/>
          <w:color w:val="000000" w:themeColor="text1"/>
          <w:sz w:val="28"/>
          <w:szCs w:val="28"/>
          <w:highlight w:val="none"/>
          <w14:textFill>
            <w14:solidFill>
              <w14:schemeClr w14:val="tx1"/>
            </w14:solidFill>
          </w14:textFill>
        </w:rPr>
      </w:pPr>
      <w:bookmarkStart w:id="1133" w:name="_Toc351203652"/>
      <w:r>
        <w:rPr>
          <w:rFonts w:hint="eastAsia" w:eastAsia="黑体" w:cs="黑体"/>
          <w:b/>
          <w:bCs/>
          <w:color w:val="000000" w:themeColor="text1"/>
          <w:sz w:val="28"/>
          <w:szCs w:val="28"/>
          <w:highlight w:val="none"/>
          <w14:textFill>
            <w14:solidFill>
              <w14:schemeClr w14:val="tx1"/>
            </w14:solidFill>
          </w14:textFill>
        </w:rPr>
        <w:t>附件</w:t>
      </w:r>
      <w:bookmarkEnd w:id="1133"/>
    </w:p>
    <w:p w14:paraId="3C75B714">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w:t>
      </w:r>
      <w:r>
        <w:rPr>
          <w:rFonts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：承包人承揽工程项目一览表</w:t>
      </w:r>
    </w:p>
    <w:p w14:paraId="33AE1B80">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附件2：工程质量保修书</w:t>
      </w:r>
    </w:p>
    <w:p w14:paraId="5D120BED">
      <w:pPr>
        <w:spacing w:line="360" w:lineRule="auto"/>
        <w:jc w:val="left"/>
        <w:rPr>
          <w:rFonts w:ascii="宋体" w:hAnsi="宋体" w:cs="宋体"/>
          <w:color w:val="000000" w:themeColor="text1"/>
          <w:szCs w:val="21"/>
          <w:highlight w:val="none"/>
          <w14:textFill>
            <w14:solidFill>
              <w14:schemeClr w14:val="tx1"/>
            </w14:solidFill>
          </w14:textFill>
        </w:rPr>
      </w:pPr>
      <w:r>
        <w:rPr>
          <w:rFonts w:ascii="宋体" w:hAnsi="宋体" w:cs="宋体"/>
          <w:color w:val="000000" w:themeColor="text1"/>
          <w:szCs w:val="21"/>
          <w:highlight w:val="none"/>
          <w14:textFill>
            <w14:solidFill>
              <w14:schemeClr w14:val="tx1"/>
            </w14:solidFill>
          </w14:textFill>
        </w:rPr>
        <w:t>附件</w:t>
      </w:r>
      <w:r>
        <w:rPr>
          <w:rFonts w:hint="eastAsia" w:ascii="宋体" w:hAnsi="宋体" w:cs="宋体"/>
          <w:color w:val="000000" w:themeColor="text1"/>
          <w:szCs w:val="21"/>
          <w:highlight w:val="none"/>
          <w14:textFill>
            <w14:solidFill>
              <w14:schemeClr w14:val="tx1"/>
            </w14:solidFill>
          </w14:textFill>
        </w:rPr>
        <w:t>3</w:t>
      </w:r>
      <w:r>
        <w:rPr>
          <w:rFonts w:ascii="宋体" w:hAnsi="宋体" w:cs="宋体"/>
          <w:color w:val="000000" w:themeColor="text1"/>
          <w:szCs w:val="21"/>
          <w:highlight w:val="none"/>
          <w14:textFill>
            <w14:solidFill>
              <w14:schemeClr w14:val="tx1"/>
            </w14:solidFill>
          </w14:textFill>
        </w:rPr>
        <w:t>：主要建设工程文件目录</w:t>
      </w:r>
    </w:p>
    <w:p w14:paraId="20B3FC83">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附件4：承包人用于本工程施工的机械设备表</w:t>
      </w:r>
    </w:p>
    <w:p w14:paraId="6E7B1BC7">
      <w:pPr>
        <w:spacing w:line="360" w:lineRule="auto"/>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附件5：承包人主要施工管理人员表</w:t>
      </w:r>
    </w:p>
    <w:p w14:paraId="4D8DF12A">
      <w:pPr>
        <w:spacing w:line="360" w:lineRule="auto"/>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附件6：分包人主要施工管理人员表</w:t>
      </w:r>
    </w:p>
    <w:p w14:paraId="5A291803">
      <w:pPr>
        <w:spacing w:line="360" w:lineRule="auto"/>
        <w:jc w:val="left"/>
        <w:rPr>
          <w:rFonts w:asci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附件7：履约担保格式（独立保函、非独立保函）</w:t>
      </w:r>
    </w:p>
    <w:p w14:paraId="053BCE94">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附件8：预付款担保格式（独立保函、非独立保函）</w:t>
      </w:r>
    </w:p>
    <w:p w14:paraId="45FDDCB0">
      <w:pPr>
        <w:spacing w:line="360" w:lineRule="auto"/>
        <w:jc w:val="lef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附件9：支付担保格式（独立保函、非独立保函）</w:t>
      </w:r>
    </w:p>
    <w:p w14:paraId="45474646">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附件10：预付款</w:t>
      </w:r>
      <w:r>
        <w:rPr>
          <w:rFonts w:hint="eastAsia"/>
          <w:color w:val="000000" w:themeColor="text1"/>
          <w:szCs w:val="21"/>
          <w:highlight w:val="none"/>
          <w14:textFill>
            <w14:solidFill>
              <w14:schemeClr w14:val="tx1"/>
            </w14:solidFill>
          </w14:textFill>
        </w:rPr>
        <w:t>支付申请（核准）表</w:t>
      </w:r>
    </w:p>
    <w:p w14:paraId="37653D80">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附件11：</w:t>
      </w:r>
      <w:r>
        <w:rPr>
          <w:rFonts w:hint="eastAsia"/>
          <w:color w:val="000000" w:themeColor="text1"/>
          <w:szCs w:val="21"/>
          <w:highlight w:val="none"/>
          <w14:textFill>
            <w14:solidFill>
              <w14:schemeClr w14:val="tx1"/>
            </w14:solidFill>
          </w14:textFill>
        </w:rPr>
        <w:t>进度款支付申请（核准）表</w:t>
      </w:r>
    </w:p>
    <w:p w14:paraId="6753BA21">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附件12：竣工结算</w:t>
      </w:r>
      <w:r>
        <w:rPr>
          <w:rFonts w:hint="eastAsia"/>
          <w:color w:val="000000" w:themeColor="text1"/>
          <w:szCs w:val="21"/>
          <w:highlight w:val="none"/>
          <w14:textFill>
            <w14:solidFill>
              <w14:schemeClr w14:val="tx1"/>
            </w14:solidFill>
          </w14:textFill>
        </w:rPr>
        <w:t>款支付申请（核准）表</w:t>
      </w:r>
    </w:p>
    <w:p w14:paraId="661A510E">
      <w:pPr>
        <w:spacing w:line="360" w:lineRule="auto"/>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附件13：最终结算</w:t>
      </w:r>
      <w:r>
        <w:rPr>
          <w:rFonts w:hint="eastAsia"/>
          <w:color w:val="000000" w:themeColor="text1"/>
          <w:szCs w:val="21"/>
          <w:highlight w:val="none"/>
          <w14:textFill>
            <w14:solidFill>
              <w14:schemeClr w14:val="tx1"/>
            </w14:solidFill>
          </w14:textFill>
        </w:rPr>
        <w:t>款支付申请（核准）表</w:t>
      </w:r>
    </w:p>
    <w:p w14:paraId="3DB39D41">
      <w:pPr>
        <w:spacing w:line="360" w:lineRule="auto"/>
        <w:jc w:val="lef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附件14：总价合同进度款支付分解表</w:t>
      </w:r>
    </w:p>
    <w:p w14:paraId="6B9E6510">
      <w:pPr>
        <w:spacing w:line="460" w:lineRule="exact"/>
        <w:ind w:firstLine="420" w:firstLineChars="200"/>
        <w:rPr>
          <w:color w:val="000000" w:themeColor="text1"/>
          <w:szCs w:val="21"/>
          <w:highlight w:val="none"/>
          <w14:textFill>
            <w14:solidFill>
              <w14:schemeClr w14:val="tx1"/>
            </w14:solidFill>
          </w14:textFill>
        </w:rPr>
      </w:pPr>
    </w:p>
    <w:p w14:paraId="38D830DE">
      <w:pPr>
        <w:spacing w:line="460" w:lineRule="exact"/>
        <w:ind w:firstLine="420" w:firstLineChars="200"/>
        <w:rPr>
          <w:color w:val="000000" w:themeColor="text1"/>
          <w:szCs w:val="21"/>
          <w:highlight w:val="none"/>
          <w14:textFill>
            <w14:solidFill>
              <w14:schemeClr w14:val="tx1"/>
            </w14:solidFill>
          </w14:textFill>
        </w:rPr>
      </w:pPr>
    </w:p>
    <w:p w14:paraId="31A511B4">
      <w:pPr>
        <w:spacing w:line="460" w:lineRule="exact"/>
        <w:ind w:firstLine="420" w:firstLineChars="200"/>
        <w:rPr>
          <w:color w:val="000000" w:themeColor="text1"/>
          <w:szCs w:val="21"/>
          <w:highlight w:val="none"/>
          <w14:textFill>
            <w14:solidFill>
              <w14:schemeClr w14:val="tx1"/>
            </w14:solidFill>
          </w14:textFill>
        </w:rPr>
        <w:sectPr>
          <w:pgSz w:w="11907" w:h="16840"/>
          <w:pgMar w:top="1440" w:right="1440" w:bottom="1440" w:left="1797" w:header="851" w:footer="851" w:gutter="0"/>
          <w:cols w:space="720" w:num="1"/>
          <w:docGrid w:linePitch="312" w:charSpace="0"/>
        </w:sectPr>
      </w:pPr>
    </w:p>
    <w:p w14:paraId="4E40E766">
      <w:pPr>
        <w:spacing w:before="120" w:beforeLines="50" w:after="120" w:afterLines="50" w:line="440" w:lineRule="exact"/>
        <w:jc w:val="left"/>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s="仿宋_GB2312"/>
          <w:color w:val="000000" w:themeColor="text1"/>
          <w:sz w:val="30"/>
          <w:szCs w:val="30"/>
          <w:highlight w:val="none"/>
          <w14:textFill>
            <w14:solidFill>
              <w14:schemeClr w14:val="tx1"/>
            </w14:solidFill>
          </w14:textFill>
        </w:rPr>
        <w:t>附件</w:t>
      </w:r>
      <w:r>
        <w:rPr>
          <w:rFonts w:ascii="仿宋_GB2312" w:eastAsia="仿宋_GB2312" w:cs="仿宋_GB2312"/>
          <w:color w:val="000000" w:themeColor="text1"/>
          <w:sz w:val="30"/>
          <w:szCs w:val="30"/>
          <w:highlight w:val="none"/>
          <w14:textFill>
            <w14:solidFill>
              <w14:schemeClr w14:val="tx1"/>
            </w14:solidFill>
          </w14:textFill>
        </w:rPr>
        <w:t>1</w:t>
      </w:r>
      <w:r>
        <w:rPr>
          <w:rFonts w:hint="eastAsia" w:ascii="仿宋_GB2312" w:eastAsia="仿宋_GB2312" w:cs="仿宋_GB2312"/>
          <w:color w:val="000000" w:themeColor="text1"/>
          <w:sz w:val="30"/>
          <w:szCs w:val="30"/>
          <w:highlight w:val="none"/>
          <w14:textFill>
            <w14:solidFill>
              <w14:schemeClr w14:val="tx1"/>
            </w14:solidFill>
          </w14:textFill>
        </w:rPr>
        <w:t>：</w:t>
      </w:r>
    </w:p>
    <w:p w14:paraId="1B3C6C2F">
      <w:pPr>
        <w:spacing w:before="120" w:beforeLines="50" w:after="120"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承包人承揽工程项目一览表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40"/>
        <w:gridCol w:w="1440"/>
        <w:gridCol w:w="1620"/>
        <w:gridCol w:w="1661"/>
        <w:gridCol w:w="850"/>
        <w:gridCol w:w="1560"/>
        <w:gridCol w:w="2126"/>
        <w:gridCol w:w="1417"/>
        <w:gridCol w:w="851"/>
        <w:gridCol w:w="850"/>
      </w:tblGrid>
      <w:tr w14:paraId="55C6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440" w:type="dxa"/>
            <w:vAlign w:val="center"/>
          </w:tcPr>
          <w:p w14:paraId="2631665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单位工程名称</w:t>
            </w:r>
          </w:p>
        </w:tc>
        <w:tc>
          <w:tcPr>
            <w:tcW w:w="1440" w:type="dxa"/>
            <w:vAlign w:val="center"/>
          </w:tcPr>
          <w:p w14:paraId="3F70FDB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建设规模</w:t>
            </w:r>
          </w:p>
        </w:tc>
        <w:tc>
          <w:tcPr>
            <w:tcW w:w="1620" w:type="dxa"/>
            <w:vAlign w:val="center"/>
          </w:tcPr>
          <w:p w14:paraId="4DF4F34D">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建筑面积</w:t>
            </w:r>
            <w:r>
              <w:rPr>
                <w:rFonts w:eastAsia="仿宋_GB2312"/>
                <w:color w:val="000000" w:themeColor="text1"/>
                <w:sz w:val="28"/>
                <w:szCs w:val="28"/>
                <w:highlight w:val="none"/>
                <w14:textFill>
                  <w14:solidFill>
                    <w14:schemeClr w14:val="tx1"/>
                  </w14:solidFill>
                </w14:textFill>
              </w:rPr>
              <w:t>(</w:t>
            </w:r>
            <w:r>
              <w:rPr>
                <w:rFonts w:hint="eastAsia" w:eastAsia="仿宋_GB2312" w:cs="仿宋_GB2312"/>
                <w:color w:val="000000" w:themeColor="text1"/>
                <w:sz w:val="28"/>
                <w:szCs w:val="28"/>
                <w:highlight w:val="none"/>
                <w14:textFill>
                  <w14:solidFill>
                    <w14:schemeClr w14:val="tx1"/>
                  </w14:solidFill>
                </w14:textFill>
              </w:rPr>
              <w:t>平方米</w:t>
            </w:r>
            <w:r>
              <w:rPr>
                <w:rFonts w:eastAsia="仿宋_GB2312"/>
                <w:color w:val="000000" w:themeColor="text1"/>
                <w:sz w:val="28"/>
                <w:szCs w:val="28"/>
                <w:highlight w:val="none"/>
                <w14:textFill>
                  <w14:solidFill>
                    <w14:schemeClr w14:val="tx1"/>
                  </w14:solidFill>
                </w14:textFill>
              </w:rPr>
              <w:t>)</w:t>
            </w:r>
          </w:p>
        </w:tc>
        <w:tc>
          <w:tcPr>
            <w:tcW w:w="1661" w:type="dxa"/>
            <w:vAlign w:val="center"/>
          </w:tcPr>
          <w:p w14:paraId="23C91FB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结构形式</w:t>
            </w:r>
          </w:p>
        </w:tc>
        <w:tc>
          <w:tcPr>
            <w:tcW w:w="850" w:type="dxa"/>
            <w:vAlign w:val="center"/>
          </w:tcPr>
          <w:p w14:paraId="662CCAE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层数</w:t>
            </w:r>
          </w:p>
        </w:tc>
        <w:tc>
          <w:tcPr>
            <w:tcW w:w="1560" w:type="dxa"/>
            <w:vAlign w:val="center"/>
          </w:tcPr>
          <w:p w14:paraId="0A926B8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生产能力</w:t>
            </w:r>
          </w:p>
        </w:tc>
        <w:tc>
          <w:tcPr>
            <w:tcW w:w="2126" w:type="dxa"/>
            <w:vAlign w:val="center"/>
          </w:tcPr>
          <w:p w14:paraId="5862541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设备安装内容</w:t>
            </w:r>
          </w:p>
        </w:tc>
        <w:tc>
          <w:tcPr>
            <w:tcW w:w="1417" w:type="dxa"/>
            <w:vAlign w:val="center"/>
          </w:tcPr>
          <w:p w14:paraId="0A977D2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合同价格（元）</w:t>
            </w:r>
          </w:p>
        </w:tc>
        <w:tc>
          <w:tcPr>
            <w:tcW w:w="851" w:type="dxa"/>
            <w:vAlign w:val="center"/>
          </w:tcPr>
          <w:p w14:paraId="014C48C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开工日期</w:t>
            </w:r>
          </w:p>
        </w:tc>
        <w:tc>
          <w:tcPr>
            <w:tcW w:w="850" w:type="dxa"/>
            <w:vAlign w:val="center"/>
          </w:tcPr>
          <w:p w14:paraId="7EE4BEB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竣工日期</w:t>
            </w:r>
          </w:p>
        </w:tc>
      </w:tr>
      <w:tr w14:paraId="0EEE6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1CF14E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2E5077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6C30464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1C588E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748C43A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539800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B2031B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03C628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6D41C23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201D6C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47A8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456E9A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261FAC5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3A9E6C1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5A0C74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EA965F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203C7F7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3226062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22CF029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6720D06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529CBF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5BA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64E0AB1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5EF5A1C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4D81076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0C90380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9477CF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43BCBB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7E2B2E7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12B9B5C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62C5B20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9F0507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F721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1BAA16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0CAE8A4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0F1FBCB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0815F88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B2FABD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6BF0CF7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0DFE7F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7A741F3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464C5D8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1AB7B0C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A33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5D4AB14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74CE94D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48562C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512B480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05C6EE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5C0B46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92A618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1D8C467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4344791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1E4C78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8EC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51F4F7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6C83664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632C149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10E3E34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0D649F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54D5053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58A63C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638DFBE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70D2EF8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4E0716C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398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7CBD3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19EE0CF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454EFB4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5EEFAAA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A002B0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43F7F6C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4DC21DF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2378B09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3DE6268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4DBDB8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FFD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40DEBBC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59F003A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37F71F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16E4F95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C46413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631C662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02CB3C4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77F4012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7090AB9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7C0A5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B59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3DBEA25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1A163E7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13D8039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3F1135C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42FA443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0AA4FC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6751CC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47862D0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531A82C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768F8DE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138B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440" w:type="dxa"/>
            <w:vAlign w:val="center"/>
          </w:tcPr>
          <w:p w14:paraId="2EACE7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40" w:type="dxa"/>
            <w:vAlign w:val="center"/>
          </w:tcPr>
          <w:p w14:paraId="0D2F42A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20" w:type="dxa"/>
            <w:vAlign w:val="center"/>
          </w:tcPr>
          <w:p w14:paraId="66673DD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1" w:type="dxa"/>
            <w:vAlign w:val="center"/>
          </w:tcPr>
          <w:p w14:paraId="6850B94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866C5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560" w:type="dxa"/>
            <w:vAlign w:val="center"/>
          </w:tcPr>
          <w:p w14:paraId="78E424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2126" w:type="dxa"/>
            <w:vAlign w:val="center"/>
          </w:tcPr>
          <w:p w14:paraId="2D3F506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7" w:type="dxa"/>
            <w:vAlign w:val="center"/>
          </w:tcPr>
          <w:p w14:paraId="5710A4B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1" w:type="dxa"/>
            <w:vAlign w:val="center"/>
          </w:tcPr>
          <w:p w14:paraId="14EF9C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4B28E9B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bl>
    <w:p w14:paraId="4C2BF59E">
      <w:pPr>
        <w:spacing w:line="460" w:lineRule="exact"/>
        <w:ind w:firstLine="420" w:firstLineChars="200"/>
        <w:rPr>
          <w:color w:val="000000" w:themeColor="text1"/>
          <w:szCs w:val="21"/>
          <w:highlight w:val="none"/>
          <w14:textFill>
            <w14:solidFill>
              <w14:schemeClr w14:val="tx1"/>
            </w14:solidFill>
          </w14:textFill>
        </w:rPr>
      </w:pPr>
    </w:p>
    <w:p w14:paraId="42A7D427">
      <w:pPr>
        <w:spacing w:line="460" w:lineRule="exact"/>
        <w:ind w:firstLine="420" w:firstLineChars="200"/>
        <w:rPr>
          <w:color w:val="000000" w:themeColor="text1"/>
          <w:szCs w:val="21"/>
          <w:highlight w:val="none"/>
          <w14:textFill>
            <w14:solidFill>
              <w14:schemeClr w14:val="tx1"/>
            </w14:solidFill>
          </w14:textFill>
        </w:rPr>
      </w:pPr>
    </w:p>
    <w:p w14:paraId="2013930F">
      <w:pPr>
        <w:spacing w:line="460" w:lineRule="exact"/>
        <w:ind w:firstLine="420" w:firstLineChars="200"/>
        <w:rPr>
          <w:color w:val="000000" w:themeColor="text1"/>
          <w:szCs w:val="21"/>
          <w:highlight w:val="none"/>
          <w14:textFill>
            <w14:solidFill>
              <w14:schemeClr w14:val="tx1"/>
            </w14:solidFill>
          </w14:textFill>
        </w:rPr>
        <w:sectPr>
          <w:pgSz w:w="16840" w:h="11907" w:orient="landscape"/>
          <w:pgMar w:top="1440" w:right="1440" w:bottom="1440" w:left="1797" w:header="851" w:footer="851" w:gutter="0"/>
          <w:cols w:space="720" w:num="1"/>
          <w:docGrid w:linePitch="312" w:charSpace="0"/>
        </w:sectPr>
      </w:pPr>
    </w:p>
    <w:p w14:paraId="01CD285A">
      <w:pPr>
        <w:spacing w:line="440" w:lineRule="exact"/>
        <w:rPr>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w:t>
      </w:r>
      <w:r>
        <w:rPr>
          <w:rFonts w:hint="eastAsia"/>
          <w:color w:val="000000" w:themeColor="text1"/>
          <w:sz w:val="30"/>
          <w:szCs w:val="30"/>
          <w:highlight w:val="none"/>
          <w14:textFill>
            <w14:solidFill>
              <w14:schemeClr w14:val="tx1"/>
            </w14:solidFill>
          </w14:textFill>
        </w:rPr>
        <w:t>2</w:t>
      </w:r>
      <w:r>
        <w:rPr>
          <w:rFonts w:hint="eastAsia" w:hAnsi="宋体" w:cs="宋体"/>
          <w:color w:val="000000" w:themeColor="text1"/>
          <w:sz w:val="30"/>
          <w:szCs w:val="30"/>
          <w:highlight w:val="none"/>
          <w14:textFill>
            <w14:solidFill>
              <w14:schemeClr w14:val="tx1"/>
            </w14:solidFill>
          </w14:textFill>
        </w:rPr>
        <w:t>：</w:t>
      </w:r>
    </w:p>
    <w:p w14:paraId="10AC8A4C">
      <w:pPr>
        <w:spacing w:before="120" w:beforeLines="50" w:after="120" w:afterLines="50" w:line="440" w:lineRule="exact"/>
        <w:jc w:val="center"/>
        <w:rPr>
          <w:rFonts w:ascii="黑体" w:eastAsia="黑体"/>
          <w:color w:val="000000" w:themeColor="text1"/>
          <w:sz w:val="32"/>
          <w:szCs w:val="32"/>
          <w:highlight w:val="none"/>
          <w14:textFill>
            <w14:solidFill>
              <w14:schemeClr w14:val="tx1"/>
            </w14:solidFill>
          </w14:textFill>
        </w:rPr>
      </w:pPr>
      <w:r>
        <w:rPr>
          <w:rFonts w:hint="eastAsia" w:ascii="黑体" w:hAnsi="宋体" w:eastAsia="黑体" w:cs="黑体"/>
          <w:color w:val="000000" w:themeColor="text1"/>
          <w:sz w:val="32"/>
          <w:szCs w:val="32"/>
          <w:highlight w:val="none"/>
          <w14:textFill>
            <w14:solidFill>
              <w14:schemeClr w14:val="tx1"/>
            </w14:solidFill>
          </w14:textFill>
        </w:rPr>
        <w:t>工程质量保修书（房屋建筑工程）</w:t>
      </w:r>
    </w:p>
    <w:p w14:paraId="5DD23E9D">
      <w:pPr>
        <w:spacing w:line="44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发包人（全称）：</w:t>
      </w:r>
    </w:p>
    <w:p w14:paraId="70260FD2">
      <w:pPr>
        <w:spacing w:line="44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承包人（全称）：</w:t>
      </w:r>
    </w:p>
    <w:p w14:paraId="4C28F5F6">
      <w:pPr>
        <w:spacing w:line="440" w:lineRule="exact"/>
        <w:rPr>
          <w:color w:val="000000" w:themeColor="text1"/>
          <w:szCs w:val="21"/>
          <w:highlight w:val="none"/>
          <w14:textFill>
            <w14:solidFill>
              <w14:schemeClr w14:val="tx1"/>
            </w14:solidFill>
          </w14:textFill>
        </w:rPr>
      </w:pPr>
    </w:p>
    <w:p w14:paraId="31A93FF3">
      <w:pPr>
        <w:spacing w:line="360" w:lineRule="auto"/>
        <w:ind w:firstLine="420" w:firstLineChars="20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发包人和承包人根据《中华人民共和国建筑法》和《建设工程质量管理条例》，经协商一致就（工程全称）签订工程质量保修书。</w:t>
      </w:r>
    </w:p>
    <w:p w14:paraId="2D520660">
      <w:pPr>
        <w:spacing w:line="360" w:lineRule="auto"/>
        <w:ind w:firstLine="420" w:firstLineChars="20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一、工程质量保修范围和内容</w:t>
      </w:r>
    </w:p>
    <w:p w14:paraId="7AAC8789">
      <w:pPr>
        <w:spacing w:line="360" w:lineRule="auto"/>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承包人在质量保修期内，按照有关法律规定和合同约定，承担工程质量保修责任。</w:t>
      </w:r>
    </w:p>
    <w:p w14:paraId="4E84281F">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质量保修范围包括工程，以及双方约定的其他项目。具体保修的内容，双方约定如下：</w:t>
      </w:r>
      <w:r>
        <w:rPr>
          <w:rFonts w:hint="eastAsia" w:ascii="宋体" w:hAnsi="宋体" w:cs="宋体"/>
          <w:color w:val="000000" w:themeColor="text1"/>
          <w:szCs w:val="21"/>
          <w:highlight w:val="none"/>
          <w:u w:val="single"/>
          <w14:textFill>
            <w14:solidFill>
              <w14:schemeClr w14:val="tx1"/>
            </w14:solidFill>
          </w14:textFill>
        </w:rPr>
        <w:t>属承包人承包范围内的质量缺陷</w:t>
      </w:r>
      <w:r>
        <w:rPr>
          <w:rFonts w:hint="eastAsia" w:hAnsi="宋体" w:cs="宋体"/>
          <w:color w:val="000000" w:themeColor="text1"/>
          <w:szCs w:val="21"/>
          <w:highlight w:val="none"/>
          <w14:textFill>
            <w14:solidFill>
              <w14:schemeClr w14:val="tx1"/>
            </w14:solidFill>
          </w14:textFill>
        </w:rPr>
        <w:t>。</w:t>
      </w:r>
    </w:p>
    <w:p w14:paraId="1793222F">
      <w:pPr>
        <w:spacing w:line="360" w:lineRule="auto"/>
        <w:ind w:firstLine="42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二、质量保修期</w:t>
      </w:r>
    </w:p>
    <w:p w14:paraId="167DE986">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根据《建设工程质量管理条例》及有关规定，工程的质量保修期如下：</w:t>
      </w:r>
    </w:p>
    <w:p w14:paraId="1F936EE9">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．地基基础工程和主体结构工程为设计文件规定的工程合理使用年限；</w:t>
      </w:r>
    </w:p>
    <w:p w14:paraId="25C72391">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．屋面防水工程、有防水要求的卫生间、房间和外墙面的防渗为</w:t>
      </w:r>
      <w:r>
        <w:rPr>
          <w:rFonts w:hint="eastAsia"/>
          <w:color w:val="000000" w:themeColor="text1"/>
          <w:szCs w:val="21"/>
          <w:highlight w:val="none"/>
          <w:u w:val="single"/>
          <w14:textFill>
            <w14:solidFill>
              <w14:schemeClr w14:val="tx1"/>
            </w14:solidFill>
          </w14:textFill>
        </w:rPr>
        <w:t>5</w:t>
      </w:r>
      <w:r>
        <w:rPr>
          <w:rFonts w:hint="eastAsia" w:hAnsi="宋体" w:cs="宋体"/>
          <w:color w:val="000000" w:themeColor="text1"/>
          <w:szCs w:val="21"/>
          <w:highlight w:val="none"/>
          <w14:textFill>
            <w14:solidFill>
              <w14:schemeClr w14:val="tx1"/>
            </w14:solidFill>
          </w14:textFill>
        </w:rPr>
        <w:t>年；</w:t>
      </w:r>
    </w:p>
    <w:p w14:paraId="5B332F6E">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．装修工程为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年；</w:t>
      </w:r>
    </w:p>
    <w:p w14:paraId="16F64BAA">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hAnsi="宋体" w:cs="宋体"/>
          <w:color w:val="000000" w:themeColor="text1"/>
          <w:szCs w:val="21"/>
          <w:highlight w:val="none"/>
          <w14:textFill>
            <w14:solidFill>
              <w14:schemeClr w14:val="tx1"/>
            </w14:solidFill>
          </w14:textFill>
        </w:rPr>
        <w:t>．电气管线、给排水管道、设备安装工程为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年；</w:t>
      </w:r>
    </w:p>
    <w:p w14:paraId="67CB5A2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r>
        <w:rPr>
          <w:rFonts w:hint="eastAsia" w:hAnsi="宋体" w:cs="宋体"/>
          <w:color w:val="000000" w:themeColor="text1"/>
          <w:szCs w:val="21"/>
          <w:highlight w:val="none"/>
          <w14:textFill>
            <w14:solidFill>
              <w14:schemeClr w14:val="tx1"/>
            </w14:solidFill>
          </w14:textFill>
        </w:rPr>
        <w:t>．供热与供冷系统为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个采暖期、供冷期；</w:t>
      </w:r>
    </w:p>
    <w:p w14:paraId="46C48E60">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r>
        <w:rPr>
          <w:rFonts w:hint="eastAsia" w:hAnsi="宋体" w:cs="宋体"/>
          <w:color w:val="000000" w:themeColor="text1"/>
          <w:szCs w:val="21"/>
          <w:highlight w:val="none"/>
          <w14:textFill>
            <w14:solidFill>
              <w14:schemeClr w14:val="tx1"/>
            </w14:solidFill>
          </w14:textFill>
        </w:rPr>
        <w:t>．住宅小区内的给排水设施、道路等配套工程为</w:t>
      </w:r>
      <w:r>
        <w:rPr>
          <w:rFonts w:hint="eastAsia"/>
          <w:color w:val="000000" w:themeColor="text1"/>
          <w:szCs w:val="21"/>
          <w:highlight w:val="none"/>
          <w:u w:val="singl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年；</w:t>
      </w:r>
    </w:p>
    <w:p w14:paraId="41D6BBEC">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r>
        <w:rPr>
          <w:rFonts w:hint="eastAsia" w:hAnsi="宋体" w:cs="宋体"/>
          <w:color w:val="000000" w:themeColor="text1"/>
          <w:szCs w:val="21"/>
          <w:highlight w:val="none"/>
          <w14:textFill>
            <w14:solidFill>
              <w14:schemeClr w14:val="tx1"/>
            </w14:solidFill>
          </w14:textFill>
        </w:rPr>
        <w:t>．其他项目保修期限约定如下：</w:t>
      </w:r>
      <w:r>
        <w:rPr>
          <w:rFonts w:hint="eastAsia" w:hAnsi="宋体" w:cs="宋体"/>
          <w:color w:val="000000" w:themeColor="text1"/>
          <w:szCs w:val="21"/>
          <w:highlight w:val="none"/>
          <w:lang w:val="en-US" w:eastAsia="zh-CN"/>
          <w14:textFill>
            <w14:solidFill>
              <w14:schemeClr w14:val="tx1"/>
            </w14:solidFill>
          </w14:textFill>
        </w:rPr>
        <w:t>/</w:t>
      </w:r>
    </w:p>
    <w:p w14:paraId="2EFF99EF">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质量保修期自工程竣工验收合格之日起计算。</w:t>
      </w:r>
    </w:p>
    <w:p w14:paraId="69EABF18">
      <w:pPr>
        <w:spacing w:line="360" w:lineRule="auto"/>
        <w:ind w:firstLine="42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三、缺陷责任期</w:t>
      </w:r>
    </w:p>
    <w:p w14:paraId="1EC72E78">
      <w:pPr>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工程缺陷责任期为</w:t>
      </w:r>
      <w:r>
        <w:rPr>
          <w:rFonts w:hint="eastAsia"/>
          <w:color w:val="000000" w:themeColor="text1"/>
          <w:szCs w:val="21"/>
          <w:highlight w:val="none"/>
          <w:u w:val="singl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个月（最长不超过</w:t>
      </w:r>
      <w:r>
        <w:rPr>
          <w:rFonts w:hAnsi="宋体"/>
          <w:color w:val="000000" w:themeColor="text1"/>
          <w:szCs w:val="21"/>
          <w:highlight w:val="none"/>
          <w14:textFill>
            <w14:solidFill>
              <w14:schemeClr w14:val="tx1"/>
            </w14:solidFill>
          </w14:textFill>
        </w:rPr>
        <w:t>24</w:t>
      </w:r>
      <w:r>
        <w:rPr>
          <w:rFonts w:hint="eastAsia" w:hAnsi="宋体" w:cs="宋体"/>
          <w:color w:val="000000" w:themeColor="text1"/>
          <w:szCs w:val="21"/>
          <w:highlight w:val="none"/>
          <w14:textFill>
            <w14:solidFill>
              <w14:schemeClr w14:val="tx1"/>
            </w14:solidFill>
          </w14:textFill>
        </w:rPr>
        <w:t>个月），缺陷责任期自工程竣工验收合格之日起计算。单位工程先于全部工程进行验收，单位工程缺陷责任期自单位工程验收合格之日起算。</w:t>
      </w:r>
    </w:p>
    <w:p w14:paraId="15BCA1AC">
      <w:pPr>
        <w:autoSpaceDE w:val="0"/>
        <w:autoSpaceDN w:val="0"/>
        <w:adjustRightInd w:val="0"/>
        <w:spacing w:line="360" w:lineRule="auto"/>
        <w:ind w:firstLine="420" w:firstLineChars="200"/>
        <w:jc w:val="left"/>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四、质量保修责任</w:t>
      </w:r>
    </w:p>
    <w:p w14:paraId="10676147">
      <w:pPr>
        <w:spacing w:line="360" w:lineRule="auto"/>
        <w:ind w:left="105" w:leftChars="50" w:firstLine="430" w:firstLineChars="205"/>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．属于保修范围、内容的项目，承包人应当在接到保修通知之日起</w:t>
      </w:r>
      <w:r>
        <w:rPr>
          <w:rFonts w:hint="eastAsia"/>
          <w:color w:val="000000" w:themeColor="text1"/>
          <w:szCs w:val="21"/>
          <w:highlight w:val="none"/>
          <w:u w:val="single"/>
          <w14:textFill>
            <w14:solidFill>
              <w14:schemeClr w14:val="tx1"/>
            </w14:solidFill>
          </w14:textFill>
        </w:rPr>
        <w:t>1</w:t>
      </w:r>
      <w:r>
        <w:rPr>
          <w:rFonts w:hint="eastAsia" w:hAnsi="宋体" w:cs="宋体"/>
          <w:color w:val="000000" w:themeColor="text1"/>
          <w:szCs w:val="21"/>
          <w:highlight w:val="none"/>
          <w14:textFill>
            <w14:solidFill>
              <w14:schemeClr w14:val="tx1"/>
            </w14:solidFill>
          </w14:textFill>
        </w:rPr>
        <w:t>天内派人保修。承包人不在约定期限内派人保修的，发包人可以委托他人修理，修理费用从质量保证金内扣除。</w:t>
      </w:r>
    </w:p>
    <w:p w14:paraId="7BFEA6E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hAnsi="宋体" w:cs="宋体"/>
          <w:color w:val="000000" w:themeColor="text1"/>
          <w:szCs w:val="21"/>
          <w:highlight w:val="none"/>
          <w14:textFill>
            <w14:solidFill>
              <w14:schemeClr w14:val="tx1"/>
            </w14:solidFill>
          </w14:textFill>
        </w:rPr>
        <w:t>．发生紧急事故需抢修的，承包人在接到事故通知后，应当立即到达事故现场抢修。</w:t>
      </w:r>
    </w:p>
    <w:p w14:paraId="0ACA5C5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675414B7">
      <w:pPr>
        <w:spacing w:line="360" w:lineRule="auto"/>
        <w:ind w:firstLine="420"/>
        <w:rPr>
          <w:rFonts w:hAnsi="宋体"/>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r>
        <w:rPr>
          <w:rFonts w:hint="eastAsia" w:hAnsi="宋体" w:cs="宋体"/>
          <w:color w:val="000000" w:themeColor="text1"/>
          <w:szCs w:val="21"/>
          <w:highlight w:val="none"/>
          <w14:textFill>
            <w14:solidFill>
              <w14:schemeClr w14:val="tx1"/>
            </w14:solidFill>
          </w14:textFill>
        </w:rPr>
        <w:t>．质量保修完成后，由发包人组织验收。</w:t>
      </w:r>
    </w:p>
    <w:p w14:paraId="546C8360">
      <w:pPr>
        <w:spacing w:line="360" w:lineRule="auto"/>
        <w:ind w:firstLine="420"/>
        <w:rPr>
          <w:rFonts w:ascii="黑体" w:hAnsi="宋体" w:eastAsia="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五、保修费用</w:t>
      </w:r>
    </w:p>
    <w:p w14:paraId="162BAC88">
      <w:pPr>
        <w:tabs>
          <w:tab w:val="left" w:pos="7380"/>
        </w:tabs>
        <w:spacing w:line="360" w:lineRule="auto"/>
        <w:ind w:firstLine="420"/>
        <w:rPr>
          <w:rFonts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保修费用由造成质量缺陷的责任方承担。</w:t>
      </w:r>
    </w:p>
    <w:p w14:paraId="06E73CC3">
      <w:pPr>
        <w:spacing w:line="360" w:lineRule="auto"/>
        <w:ind w:firstLine="420"/>
        <w:rPr>
          <w:rFonts w:ascii="黑体" w:hAnsi="宋体" w:eastAsia="黑体" w:cs="黑体"/>
          <w:color w:val="000000" w:themeColor="text1"/>
          <w:szCs w:val="21"/>
          <w:highlight w:val="none"/>
          <w14:textFill>
            <w14:solidFill>
              <w14:schemeClr w14:val="tx1"/>
            </w14:solidFill>
          </w14:textFill>
        </w:rPr>
      </w:pPr>
      <w:r>
        <w:rPr>
          <w:rFonts w:hint="eastAsia" w:ascii="黑体" w:hAnsi="宋体" w:eastAsia="黑体" w:cs="黑体"/>
          <w:color w:val="000000" w:themeColor="text1"/>
          <w:szCs w:val="21"/>
          <w:highlight w:val="none"/>
          <w14:textFill>
            <w14:solidFill>
              <w14:schemeClr w14:val="tx1"/>
            </w14:solidFill>
          </w14:textFill>
        </w:rPr>
        <w:t>六、双方约定的其他工程质量保修事项：</w:t>
      </w:r>
    </w:p>
    <w:p w14:paraId="18C4BE25">
      <w:pPr>
        <w:spacing w:line="360" w:lineRule="auto"/>
        <w:ind w:firstLine="420" w:firstLineChars="200"/>
        <w:jc w:val="left"/>
        <w:rPr>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本工程在保修期有质量问题的，且保修期仍未解决的，承包人应负责维修</w:t>
      </w:r>
      <w:r>
        <w:rPr>
          <w:rFonts w:hint="eastAsia" w:hAnsi="宋体" w:cs="宋体"/>
          <w:color w:val="000000" w:themeColor="text1"/>
          <w:szCs w:val="21"/>
          <w:highlight w:val="none"/>
          <w14:textFill>
            <w14:solidFill>
              <w14:schemeClr w14:val="tx1"/>
            </w14:solidFill>
          </w14:textFill>
        </w:rPr>
        <w:t>。</w:t>
      </w:r>
    </w:p>
    <w:p w14:paraId="60087AA2">
      <w:pPr>
        <w:spacing w:line="360" w:lineRule="auto"/>
        <w:ind w:firstLine="399" w:firstLineChars="19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工程质量保修书由发包人、承包人在工程竣工验收前共同签署，作为施工合同附件，其有效期限至保修期满。</w:t>
      </w:r>
    </w:p>
    <w:p w14:paraId="565B8DA9">
      <w:pPr>
        <w:spacing w:line="360" w:lineRule="auto"/>
        <w:ind w:firstLine="420"/>
        <w:rPr>
          <w:color w:val="000000" w:themeColor="text1"/>
          <w:szCs w:val="21"/>
          <w:highlight w:val="none"/>
          <w14:textFill>
            <w14:solidFill>
              <w14:schemeClr w14:val="tx1"/>
            </w14:solidFill>
          </w14:textFill>
        </w:rPr>
      </w:pPr>
    </w:p>
    <w:p w14:paraId="7E3D3980">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发包人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公章</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承包人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公章</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hAnsi="宋体"/>
          <w:color w:val="000000" w:themeColor="text1"/>
          <w:szCs w:val="21"/>
          <w:highlight w:val="none"/>
          <w:lang w:val="en-US" w:eastAsia="zh-CN"/>
          <w14:textFill>
            <w14:solidFill>
              <w14:schemeClr w14:val="tx1"/>
            </w14:solidFill>
          </w14:textFill>
        </w:rPr>
        <w:t xml:space="preserve"> </w:t>
      </w:r>
    </w:p>
    <w:p w14:paraId="2A94D1A5">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地址：</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地址：</w:t>
      </w:r>
    </w:p>
    <w:p w14:paraId="10F51388">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法定代表人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法定代表人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p>
    <w:p w14:paraId="2C8EA690">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委托代理人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委托代理人</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签字</w:t>
      </w:r>
      <w:r>
        <w:rPr>
          <w:rFonts w:hint="eastAsia"/>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w:t>
      </w:r>
    </w:p>
    <w:p w14:paraId="770D3E0E">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电话：</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电话：</w:t>
      </w:r>
    </w:p>
    <w:p w14:paraId="7360AAC2">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传真：</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传真：</w:t>
      </w:r>
    </w:p>
    <w:p w14:paraId="2ECBEAA4">
      <w:pPr>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开户银行：</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开户银行：</w:t>
      </w:r>
    </w:p>
    <w:p w14:paraId="2D01C3F3">
      <w:pPr>
        <w:tabs>
          <w:tab w:val="left" w:pos="2880"/>
          <w:tab w:val="left" w:pos="3060"/>
          <w:tab w:val="left" w:pos="4500"/>
        </w:tabs>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账号：</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账号：</w:t>
      </w:r>
    </w:p>
    <w:p w14:paraId="5A0BC183">
      <w:pPr>
        <w:tabs>
          <w:tab w:val="left" w:pos="7200"/>
          <w:tab w:val="left" w:pos="7380"/>
          <w:tab w:val="left" w:pos="7560"/>
        </w:tabs>
        <w:spacing w:line="360" w:lineRule="auto"/>
        <w:rPr>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邮政编码：</w:t>
      </w:r>
      <w:r>
        <w:rPr>
          <w:rFonts w:hint="eastAsia" w:hAnsi="宋体"/>
          <w:color w:val="000000" w:themeColor="text1"/>
          <w:szCs w:val="21"/>
          <w:highlight w:val="none"/>
          <w:lang w:val="en-US" w:eastAsia="zh-CN"/>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邮政编码：</w:t>
      </w:r>
    </w:p>
    <w:p w14:paraId="388E69CD">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73D16C33">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29D9A27E">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76BA7ED9">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64A43353">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3C0A6D09">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441F36D9">
      <w:pPr>
        <w:pStyle w:val="61"/>
        <w:ind w:firstLine="480"/>
        <w:rPr>
          <w:color w:val="000000" w:themeColor="text1"/>
          <w:highlight w:val="none"/>
          <w:lang w:eastAsia="zh-CN" w:bidi="ar-SA"/>
          <w14:textFill>
            <w14:solidFill>
              <w14:schemeClr w14:val="tx1"/>
            </w14:solidFill>
          </w14:textFill>
        </w:rPr>
      </w:pPr>
    </w:p>
    <w:p w14:paraId="05408D07">
      <w:pPr>
        <w:pStyle w:val="61"/>
        <w:ind w:firstLine="480"/>
        <w:rPr>
          <w:color w:val="000000" w:themeColor="text1"/>
          <w:highlight w:val="none"/>
          <w:lang w:eastAsia="zh-CN" w:bidi="ar-SA"/>
          <w14:textFill>
            <w14:solidFill>
              <w14:schemeClr w14:val="tx1"/>
            </w14:solidFill>
          </w14:textFill>
        </w:rPr>
      </w:pPr>
    </w:p>
    <w:p w14:paraId="227F8D32">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1BCD61B1">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6C3ABF04">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68980810">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0828C540">
      <w:pPr>
        <w:spacing w:before="120" w:beforeLines="50" w:after="120" w:afterLines="50" w:line="440" w:lineRule="exact"/>
        <w:jc w:val="center"/>
        <w:rPr>
          <w:rFonts w:ascii="黑体" w:hAnsi="宋体" w:eastAsia="黑体"/>
          <w:color w:val="000000" w:themeColor="text1"/>
          <w:sz w:val="32"/>
          <w:szCs w:val="32"/>
          <w:highlight w:val="none"/>
          <w14:textFill>
            <w14:solidFill>
              <w14:schemeClr w14:val="tx1"/>
            </w14:solidFill>
          </w14:textFill>
        </w:rPr>
      </w:pPr>
    </w:p>
    <w:p w14:paraId="50946FAA">
      <w:pPr>
        <w:spacing w:line="440" w:lineRule="exact"/>
        <w:rPr>
          <w:rFonts w:eastAsia="黑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3</w:t>
      </w:r>
      <w:r>
        <w:rPr>
          <w:rFonts w:eastAsia="仿宋_GB2312"/>
          <w:color w:val="000000" w:themeColor="text1"/>
          <w:sz w:val="30"/>
          <w:szCs w:val="30"/>
          <w:highlight w:val="none"/>
          <w14:textFill>
            <w14:solidFill>
              <w14:schemeClr w14:val="tx1"/>
            </w14:solidFill>
          </w14:textFill>
        </w:rPr>
        <w:t>：</w:t>
      </w:r>
    </w:p>
    <w:p w14:paraId="34962960">
      <w:pPr>
        <w:spacing w:before="120" w:beforeLines="50" w:after="120" w:afterLines="50" w:line="440" w:lineRule="exact"/>
        <w:jc w:val="center"/>
        <w:rPr>
          <w:rFonts w:eastAsia="黑体"/>
          <w:color w:val="000000" w:themeColor="text1"/>
          <w:sz w:val="30"/>
          <w:szCs w:val="30"/>
          <w:highlight w:val="none"/>
          <w14:textFill>
            <w14:solidFill>
              <w14:schemeClr w14:val="tx1"/>
            </w14:solidFill>
          </w14:textFill>
        </w:rPr>
      </w:pPr>
      <w:r>
        <w:rPr>
          <w:rFonts w:eastAsia="黑体"/>
          <w:color w:val="000000" w:themeColor="text1"/>
          <w:sz w:val="30"/>
          <w:szCs w:val="30"/>
          <w:highlight w:val="none"/>
          <w14:textFill>
            <w14:solidFill>
              <w14:schemeClr w14:val="tx1"/>
            </w14:solidFill>
          </w14:textFill>
        </w:rPr>
        <w:t>主要建设工程文件目录</w:t>
      </w:r>
    </w:p>
    <w:tbl>
      <w:tblPr>
        <w:tblStyle w:val="4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6BD6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645A7FA9">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文件名称</w:t>
            </w:r>
          </w:p>
        </w:tc>
        <w:tc>
          <w:tcPr>
            <w:tcW w:w="1276" w:type="dxa"/>
            <w:tcBorders>
              <w:top w:val="single" w:color="auto" w:sz="12" w:space="0"/>
              <w:bottom w:val="double" w:color="auto" w:sz="6" w:space="0"/>
            </w:tcBorders>
            <w:vAlign w:val="center"/>
          </w:tcPr>
          <w:p w14:paraId="06C3F1EE">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套数</w:t>
            </w:r>
          </w:p>
        </w:tc>
        <w:tc>
          <w:tcPr>
            <w:tcW w:w="1450" w:type="dxa"/>
            <w:tcBorders>
              <w:top w:val="single" w:color="auto" w:sz="12" w:space="0"/>
              <w:bottom w:val="double" w:color="auto" w:sz="6" w:space="0"/>
            </w:tcBorders>
            <w:vAlign w:val="center"/>
          </w:tcPr>
          <w:p w14:paraId="28F56652">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费用</w:t>
            </w:r>
            <w:r>
              <w:rPr>
                <w:rFonts w:hint="eastAsia" w:eastAsia="仿宋_GB2312"/>
                <w:color w:val="000000" w:themeColor="text1"/>
                <w:sz w:val="28"/>
                <w:szCs w:val="30"/>
                <w:highlight w:val="none"/>
                <w14:textFill>
                  <w14:solidFill>
                    <w14:schemeClr w14:val="tx1"/>
                  </w14:solidFill>
                </w14:textFill>
              </w:rPr>
              <w:t>（元）</w:t>
            </w:r>
          </w:p>
        </w:tc>
        <w:tc>
          <w:tcPr>
            <w:tcW w:w="1243" w:type="dxa"/>
            <w:tcBorders>
              <w:top w:val="single" w:color="auto" w:sz="12" w:space="0"/>
              <w:bottom w:val="double" w:color="auto" w:sz="6" w:space="0"/>
            </w:tcBorders>
            <w:vAlign w:val="center"/>
          </w:tcPr>
          <w:p w14:paraId="25D77D1A">
            <w:pPr>
              <w:keepNext/>
              <w:adjustRightInd w:val="0"/>
              <w:spacing w:line="440" w:lineRule="exact"/>
              <w:ind w:left="63" w:leftChars="30" w:right="63" w:rightChars="30"/>
              <w:jc w:val="center"/>
              <w:textAlignment w:val="baseline"/>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质量</w:t>
            </w:r>
          </w:p>
        </w:tc>
        <w:tc>
          <w:tcPr>
            <w:tcW w:w="1450" w:type="dxa"/>
            <w:tcBorders>
              <w:top w:val="single" w:color="auto" w:sz="12" w:space="0"/>
              <w:bottom w:val="double" w:color="auto" w:sz="6" w:space="0"/>
            </w:tcBorders>
          </w:tcPr>
          <w:p w14:paraId="15BC91B1">
            <w:pPr>
              <w:spacing w:line="440" w:lineRule="exact"/>
              <w:jc w:val="center"/>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移交时间</w:t>
            </w:r>
          </w:p>
        </w:tc>
        <w:tc>
          <w:tcPr>
            <w:tcW w:w="1667" w:type="dxa"/>
            <w:tcBorders>
              <w:top w:val="single" w:color="auto" w:sz="12" w:space="0"/>
              <w:bottom w:val="double" w:color="auto" w:sz="6" w:space="0"/>
            </w:tcBorders>
          </w:tcPr>
          <w:p w14:paraId="60816EB3">
            <w:pPr>
              <w:spacing w:line="440" w:lineRule="exact"/>
              <w:jc w:val="center"/>
              <w:rPr>
                <w:rFonts w:eastAsia="仿宋_GB2312"/>
                <w:color w:val="000000" w:themeColor="text1"/>
                <w:sz w:val="28"/>
                <w:szCs w:val="30"/>
                <w:highlight w:val="none"/>
                <w14:textFill>
                  <w14:solidFill>
                    <w14:schemeClr w14:val="tx1"/>
                  </w14:solidFill>
                </w14:textFill>
              </w:rPr>
            </w:pPr>
            <w:r>
              <w:rPr>
                <w:rFonts w:eastAsia="仿宋_GB2312"/>
                <w:color w:val="000000" w:themeColor="text1"/>
                <w:sz w:val="28"/>
                <w:szCs w:val="30"/>
                <w:highlight w:val="none"/>
                <w14:textFill>
                  <w14:solidFill>
                    <w14:schemeClr w14:val="tx1"/>
                  </w14:solidFill>
                </w14:textFill>
              </w:rPr>
              <w:t>责任人</w:t>
            </w:r>
          </w:p>
        </w:tc>
      </w:tr>
      <w:tr w14:paraId="093AD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790D6B1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tcBorders>
              <w:top w:val="double" w:color="auto" w:sz="6" w:space="0"/>
              <w:bottom w:val="single" w:color="auto" w:sz="6" w:space="0"/>
            </w:tcBorders>
            <w:vAlign w:val="center"/>
          </w:tcPr>
          <w:p w14:paraId="3F16F3E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double" w:color="auto" w:sz="6" w:space="0"/>
              <w:bottom w:val="single" w:color="auto" w:sz="6" w:space="0"/>
            </w:tcBorders>
            <w:vAlign w:val="center"/>
          </w:tcPr>
          <w:p w14:paraId="6B65EA8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tcBorders>
              <w:top w:val="double" w:color="auto" w:sz="6" w:space="0"/>
              <w:bottom w:val="single" w:color="auto" w:sz="6" w:space="0"/>
            </w:tcBorders>
            <w:vAlign w:val="center"/>
          </w:tcPr>
          <w:p w14:paraId="6671B15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double" w:color="auto" w:sz="6" w:space="0"/>
              <w:bottom w:val="single" w:color="auto" w:sz="6" w:space="0"/>
            </w:tcBorders>
            <w:vAlign w:val="center"/>
          </w:tcPr>
          <w:p w14:paraId="391E356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tcBorders>
              <w:top w:val="double" w:color="auto" w:sz="6" w:space="0"/>
              <w:bottom w:val="single" w:color="auto" w:sz="6" w:space="0"/>
            </w:tcBorders>
            <w:vAlign w:val="center"/>
          </w:tcPr>
          <w:p w14:paraId="297929D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A5CF2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7F23BD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tcBorders>
              <w:top w:val="nil"/>
            </w:tcBorders>
            <w:vAlign w:val="center"/>
          </w:tcPr>
          <w:p w14:paraId="7D99A04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nil"/>
            </w:tcBorders>
            <w:vAlign w:val="center"/>
          </w:tcPr>
          <w:p w14:paraId="1AFB7D0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tcBorders>
              <w:top w:val="nil"/>
            </w:tcBorders>
            <w:vAlign w:val="center"/>
          </w:tcPr>
          <w:p w14:paraId="7ACE6B4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tcBorders>
              <w:top w:val="nil"/>
            </w:tcBorders>
            <w:vAlign w:val="center"/>
          </w:tcPr>
          <w:p w14:paraId="0E8452B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tcBorders>
              <w:top w:val="nil"/>
            </w:tcBorders>
            <w:vAlign w:val="center"/>
          </w:tcPr>
          <w:p w14:paraId="36E9548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BA74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4AA158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70E70C5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025C07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6835728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371EC4E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3659611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ECC8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14D9F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4A775A3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8920B6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3DD296D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7CDD319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4273FC2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1EC6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B94363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2EA5E7B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74C1191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1131885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624555C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648DF93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A66D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DBDF66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0FBBA4B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4D693E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5C7BA0D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12C0BC6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0DDB35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7792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E1C4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1F34FF3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74604EF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03EC7D4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028DBBF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00C456F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83D37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5BD643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34B318B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3FFD78A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03A15A4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01342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7F8F6AF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C7AF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8E4A8E0">
            <w:pPr>
              <w:rPr>
                <w:rFonts w:eastAsia="仿宋_GB2312"/>
                <w:color w:val="000000" w:themeColor="text1"/>
                <w:sz w:val="30"/>
                <w:szCs w:val="30"/>
                <w:highlight w:val="none"/>
                <w14:textFill>
                  <w14:solidFill>
                    <w14:schemeClr w14:val="tx1"/>
                  </w14:solidFill>
                </w14:textFill>
              </w:rPr>
            </w:pPr>
          </w:p>
        </w:tc>
        <w:tc>
          <w:tcPr>
            <w:tcW w:w="1276" w:type="dxa"/>
          </w:tcPr>
          <w:p w14:paraId="39565488">
            <w:pPr>
              <w:rPr>
                <w:rFonts w:eastAsia="仿宋_GB2312"/>
                <w:color w:val="000000" w:themeColor="text1"/>
                <w:sz w:val="30"/>
                <w:szCs w:val="30"/>
                <w:highlight w:val="none"/>
                <w14:textFill>
                  <w14:solidFill>
                    <w14:schemeClr w14:val="tx1"/>
                  </w14:solidFill>
                </w14:textFill>
              </w:rPr>
            </w:pPr>
          </w:p>
        </w:tc>
        <w:tc>
          <w:tcPr>
            <w:tcW w:w="1450" w:type="dxa"/>
          </w:tcPr>
          <w:p w14:paraId="464DC4EA">
            <w:pPr>
              <w:rPr>
                <w:rFonts w:eastAsia="仿宋_GB2312"/>
                <w:color w:val="000000" w:themeColor="text1"/>
                <w:sz w:val="30"/>
                <w:szCs w:val="30"/>
                <w:highlight w:val="none"/>
                <w14:textFill>
                  <w14:solidFill>
                    <w14:schemeClr w14:val="tx1"/>
                  </w14:solidFill>
                </w14:textFill>
              </w:rPr>
            </w:pPr>
          </w:p>
        </w:tc>
        <w:tc>
          <w:tcPr>
            <w:tcW w:w="1243" w:type="dxa"/>
          </w:tcPr>
          <w:p w14:paraId="0C2E7391">
            <w:pPr>
              <w:rPr>
                <w:rFonts w:eastAsia="仿宋_GB2312"/>
                <w:color w:val="000000" w:themeColor="text1"/>
                <w:sz w:val="30"/>
                <w:szCs w:val="30"/>
                <w:highlight w:val="none"/>
                <w14:textFill>
                  <w14:solidFill>
                    <w14:schemeClr w14:val="tx1"/>
                  </w14:solidFill>
                </w14:textFill>
              </w:rPr>
            </w:pPr>
          </w:p>
        </w:tc>
        <w:tc>
          <w:tcPr>
            <w:tcW w:w="1450" w:type="dxa"/>
          </w:tcPr>
          <w:p w14:paraId="7EB8E681">
            <w:pPr>
              <w:rPr>
                <w:rFonts w:eastAsia="仿宋_GB2312"/>
                <w:color w:val="000000" w:themeColor="text1"/>
                <w:sz w:val="30"/>
                <w:szCs w:val="30"/>
                <w:highlight w:val="none"/>
                <w14:textFill>
                  <w14:solidFill>
                    <w14:schemeClr w14:val="tx1"/>
                  </w14:solidFill>
                </w14:textFill>
              </w:rPr>
            </w:pPr>
          </w:p>
        </w:tc>
        <w:tc>
          <w:tcPr>
            <w:tcW w:w="1667" w:type="dxa"/>
          </w:tcPr>
          <w:p w14:paraId="4146D8E0">
            <w:pPr>
              <w:rPr>
                <w:rFonts w:eastAsia="仿宋_GB2312"/>
                <w:color w:val="000000" w:themeColor="text1"/>
                <w:sz w:val="30"/>
                <w:szCs w:val="30"/>
                <w:highlight w:val="none"/>
                <w14:textFill>
                  <w14:solidFill>
                    <w14:schemeClr w14:val="tx1"/>
                  </w14:solidFill>
                </w14:textFill>
              </w:rPr>
            </w:pPr>
          </w:p>
        </w:tc>
      </w:tr>
      <w:tr w14:paraId="0EDBA1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7D1FE3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76" w:type="dxa"/>
            <w:vAlign w:val="center"/>
          </w:tcPr>
          <w:p w14:paraId="6EEE7F1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66D5CA1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243" w:type="dxa"/>
            <w:vAlign w:val="center"/>
          </w:tcPr>
          <w:p w14:paraId="6A06FE1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50" w:type="dxa"/>
            <w:vAlign w:val="center"/>
          </w:tcPr>
          <w:p w14:paraId="59A6E91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667" w:type="dxa"/>
            <w:vAlign w:val="center"/>
          </w:tcPr>
          <w:p w14:paraId="581C5B5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F15C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987307D">
            <w:pPr>
              <w:rPr>
                <w:rFonts w:eastAsia="仿宋_GB2312"/>
                <w:color w:val="000000" w:themeColor="text1"/>
                <w:sz w:val="30"/>
                <w:szCs w:val="30"/>
                <w:highlight w:val="none"/>
                <w14:textFill>
                  <w14:solidFill>
                    <w14:schemeClr w14:val="tx1"/>
                  </w14:solidFill>
                </w14:textFill>
              </w:rPr>
            </w:pPr>
          </w:p>
        </w:tc>
        <w:tc>
          <w:tcPr>
            <w:tcW w:w="1276" w:type="dxa"/>
          </w:tcPr>
          <w:p w14:paraId="0ADE8AD7">
            <w:pPr>
              <w:rPr>
                <w:rFonts w:eastAsia="仿宋_GB2312"/>
                <w:color w:val="000000" w:themeColor="text1"/>
                <w:sz w:val="30"/>
                <w:szCs w:val="30"/>
                <w:highlight w:val="none"/>
                <w14:textFill>
                  <w14:solidFill>
                    <w14:schemeClr w14:val="tx1"/>
                  </w14:solidFill>
                </w14:textFill>
              </w:rPr>
            </w:pPr>
          </w:p>
        </w:tc>
        <w:tc>
          <w:tcPr>
            <w:tcW w:w="1450" w:type="dxa"/>
          </w:tcPr>
          <w:p w14:paraId="14F53D2D">
            <w:pPr>
              <w:rPr>
                <w:rFonts w:eastAsia="仿宋_GB2312"/>
                <w:color w:val="000000" w:themeColor="text1"/>
                <w:sz w:val="30"/>
                <w:szCs w:val="30"/>
                <w:highlight w:val="none"/>
                <w14:textFill>
                  <w14:solidFill>
                    <w14:schemeClr w14:val="tx1"/>
                  </w14:solidFill>
                </w14:textFill>
              </w:rPr>
            </w:pPr>
          </w:p>
        </w:tc>
        <w:tc>
          <w:tcPr>
            <w:tcW w:w="1243" w:type="dxa"/>
          </w:tcPr>
          <w:p w14:paraId="72F80524">
            <w:pPr>
              <w:rPr>
                <w:rFonts w:eastAsia="仿宋_GB2312"/>
                <w:color w:val="000000" w:themeColor="text1"/>
                <w:sz w:val="30"/>
                <w:szCs w:val="30"/>
                <w:highlight w:val="none"/>
                <w14:textFill>
                  <w14:solidFill>
                    <w14:schemeClr w14:val="tx1"/>
                  </w14:solidFill>
                </w14:textFill>
              </w:rPr>
            </w:pPr>
          </w:p>
        </w:tc>
        <w:tc>
          <w:tcPr>
            <w:tcW w:w="1450" w:type="dxa"/>
          </w:tcPr>
          <w:p w14:paraId="43727849">
            <w:pPr>
              <w:rPr>
                <w:rFonts w:eastAsia="仿宋_GB2312"/>
                <w:color w:val="000000" w:themeColor="text1"/>
                <w:sz w:val="30"/>
                <w:szCs w:val="30"/>
                <w:highlight w:val="none"/>
                <w14:textFill>
                  <w14:solidFill>
                    <w14:schemeClr w14:val="tx1"/>
                  </w14:solidFill>
                </w14:textFill>
              </w:rPr>
            </w:pPr>
          </w:p>
        </w:tc>
        <w:tc>
          <w:tcPr>
            <w:tcW w:w="1667" w:type="dxa"/>
          </w:tcPr>
          <w:p w14:paraId="7C47C202">
            <w:pPr>
              <w:rPr>
                <w:rFonts w:eastAsia="仿宋_GB2312"/>
                <w:color w:val="000000" w:themeColor="text1"/>
                <w:sz w:val="30"/>
                <w:szCs w:val="30"/>
                <w:highlight w:val="none"/>
                <w14:textFill>
                  <w14:solidFill>
                    <w14:schemeClr w14:val="tx1"/>
                  </w14:solidFill>
                </w14:textFill>
              </w:rPr>
            </w:pPr>
          </w:p>
        </w:tc>
      </w:tr>
      <w:tr w14:paraId="4E2DBC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2871A5E">
            <w:pPr>
              <w:rPr>
                <w:rFonts w:eastAsia="仿宋_GB2312"/>
                <w:color w:val="000000" w:themeColor="text1"/>
                <w:sz w:val="30"/>
                <w:szCs w:val="30"/>
                <w:highlight w:val="none"/>
                <w14:textFill>
                  <w14:solidFill>
                    <w14:schemeClr w14:val="tx1"/>
                  </w14:solidFill>
                </w14:textFill>
              </w:rPr>
            </w:pPr>
          </w:p>
        </w:tc>
        <w:tc>
          <w:tcPr>
            <w:tcW w:w="1276" w:type="dxa"/>
          </w:tcPr>
          <w:p w14:paraId="72FA63D6">
            <w:pPr>
              <w:rPr>
                <w:rFonts w:eastAsia="仿宋_GB2312"/>
                <w:color w:val="000000" w:themeColor="text1"/>
                <w:sz w:val="30"/>
                <w:szCs w:val="30"/>
                <w:highlight w:val="none"/>
                <w14:textFill>
                  <w14:solidFill>
                    <w14:schemeClr w14:val="tx1"/>
                  </w14:solidFill>
                </w14:textFill>
              </w:rPr>
            </w:pPr>
          </w:p>
        </w:tc>
        <w:tc>
          <w:tcPr>
            <w:tcW w:w="1450" w:type="dxa"/>
          </w:tcPr>
          <w:p w14:paraId="478582C9">
            <w:pPr>
              <w:rPr>
                <w:rFonts w:eastAsia="仿宋_GB2312"/>
                <w:color w:val="000000" w:themeColor="text1"/>
                <w:sz w:val="30"/>
                <w:szCs w:val="30"/>
                <w:highlight w:val="none"/>
                <w14:textFill>
                  <w14:solidFill>
                    <w14:schemeClr w14:val="tx1"/>
                  </w14:solidFill>
                </w14:textFill>
              </w:rPr>
            </w:pPr>
          </w:p>
        </w:tc>
        <w:tc>
          <w:tcPr>
            <w:tcW w:w="1243" w:type="dxa"/>
          </w:tcPr>
          <w:p w14:paraId="2C3E4678">
            <w:pPr>
              <w:rPr>
                <w:rFonts w:eastAsia="仿宋_GB2312"/>
                <w:color w:val="000000" w:themeColor="text1"/>
                <w:sz w:val="30"/>
                <w:szCs w:val="30"/>
                <w:highlight w:val="none"/>
                <w14:textFill>
                  <w14:solidFill>
                    <w14:schemeClr w14:val="tx1"/>
                  </w14:solidFill>
                </w14:textFill>
              </w:rPr>
            </w:pPr>
          </w:p>
        </w:tc>
        <w:tc>
          <w:tcPr>
            <w:tcW w:w="1450" w:type="dxa"/>
          </w:tcPr>
          <w:p w14:paraId="77174408">
            <w:pPr>
              <w:rPr>
                <w:rFonts w:eastAsia="仿宋_GB2312"/>
                <w:color w:val="000000" w:themeColor="text1"/>
                <w:sz w:val="30"/>
                <w:szCs w:val="30"/>
                <w:highlight w:val="none"/>
                <w14:textFill>
                  <w14:solidFill>
                    <w14:schemeClr w14:val="tx1"/>
                  </w14:solidFill>
                </w14:textFill>
              </w:rPr>
            </w:pPr>
          </w:p>
        </w:tc>
        <w:tc>
          <w:tcPr>
            <w:tcW w:w="1667" w:type="dxa"/>
          </w:tcPr>
          <w:p w14:paraId="25D8999D">
            <w:pPr>
              <w:rPr>
                <w:rFonts w:eastAsia="仿宋_GB2312"/>
                <w:color w:val="000000" w:themeColor="text1"/>
                <w:sz w:val="30"/>
                <w:szCs w:val="30"/>
                <w:highlight w:val="none"/>
                <w14:textFill>
                  <w14:solidFill>
                    <w14:schemeClr w14:val="tx1"/>
                  </w14:solidFill>
                </w14:textFill>
              </w:rPr>
            </w:pPr>
          </w:p>
        </w:tc>
      </w:tr>
      <w:tr w14:paraId="6D53C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336CF093">
            <w:pPr>
              <w:rPr>
                <w:rFonts w:eastAsia="仿宋_GB2312"/>
                <w:color w:val="000000" w:themeColor="text1"/>
                <w:sz w:val="30"/>
                <w:szCs w:val="30"/>
                <w:highlight w:val="none"/>
                <w14:textFill>
                  <w14:solidFill>
                    <w14:schemeClr w14:val="tx1"/>
                  </w14:solidFill>
                </w14:textFill>
              </w:rPr>
            </w:pPr>
          </w:p>
        </w:tc>
        <w:tc>
          <w:tcPr>
            <w:tcW w:w="1276" w:type="dxa"/>
          </w:tcPr>
          <w:p w14:paraId="1B823718">
            <w:pPr>
              <w:rPr>
                <w:rFonts w:eastAsia="仿宋_GB2312"/>
                <w:color w:val="000000" w:themeColor="text1"/>
                <w:sz w:val="30"/>
                <w:szCs w:val="30"/>
                <w:highlight w:val="none"/>
                <w14:textFill>
                  <w14:solidFill>
                    <w14:schemeClr w14:val="tx1"/>
                  </w14:solidFill>
                </w14:textFill>
              </w:rPr>
            </w:pPr>
          </w:p>
        </w:tc>
        <w:tc>
          <w:tcPr>
            <w:tcW w:w="1450" w:type="dxa"/>
          </w:tcPr>
          <w:p w14:paraId="2D423F9F">
            <w:pPr>
              <w:rPr>
                <w:rFonts w:eastAsia="仿宋_GB2312"/>
                <w:color w:val="000000" w:themeColor="text1"/>
                <w:sz w:val="30"/>
                <w:szCs w:val="30"/>
                <w:highlight w:val="none"/>
                <w14:textFill>
                  <w14:solidFill>
                    <w14:schemeClr w14:val="tx1"/>
                  </w14:solidFill>
                </w14:textFill>
              </w:rPr>
            </w:pPr>
          </w:p>
        </w:tc>
        <w:tc>
          <w:tcPr>
            <w:tcW w:w="1243" w:type="dxa"/>
          </w:tcPr>
          <w:p w14:paraId="2D77BDF9">
            <w:pPr>
              <w:rPr>
                <w:rFonts w:eastAsia="仿宋_GB2312"/>
                <w:color w:val="000000" w:themeColor="text1"/>
                <w:sz w:val="30"/>
                <w:szCs w:val="30"/>
                <w:highlight w:val="none"/>
                <w14:textFill>
                  <w14:solidFill>
                    <w14:schemeClr w14:val="tx1"/>
                  </w14:solidFill>
                </w14:textFill>
              </w:rPr>
            </w:pPr>
          </w:p>
        </w:tc>
        <w:tc>
          <w:tcPr>
            <w:tcW w:w="1450" w:type="dxa"/>
          </w:tcPr>
          <w:p w14:paraId="75863914">
            <w:pPr>
              <w:rPr>
                <w:rFonts w:eastAsia="仿宋_GB2312"/>
                <w:color w:val="000000" w:themeColor="text1"/>
                <w:sz w:val="30"/>
                <w:szCs w:val="30"/>
                <w:highlight w:val="none"/>
                <w14:textFill>
                  <w14:solidFill>
                    <w14:schemeClr w14:val="tx1"/>
                  </w14:solidFill>
                </w14:textFill>
              </w:rPr>
            </w:pPr>
          </w:p>
        </w:tc>
        <w:tc>
          <w:tcPr>
            <w:tcW w:w="1667" w:type="dxa"/>
          </w:tcPr>
          <w:p w14:paraId="6A8D7222">
            <w:pPr>
              <w:rPr>
                <w:rFonts w:eastAsia="仿宋_GB2312"/>
                <w:color w:val="000000" w:themeColor="text1"/>
                <w:sz w:val="30"/>
                <w:szCs w:val="30"/>
                <w:highlight w:val="none"/>
                <w14:textFill>
                  <w14:solidFill>
                    <w14:schemeClr w14:val="tx1"/>
                  </w14:solidFill>
                </w14:textFill>
              </w:rPr>
            </w:pPr>
          </w:p>
        </w:tc>
      </w:tr>
      <w:tr w14:paraId="24222F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D3FBE86">
            <w:pPr>
              <w:rPr>
                <w:rFonts w:eastAsia="仿宋_GB2312"/>
                <w:color w:val="000000" w:themeColor="text1"/>
                <w:sz w:val="30"/>
                <w:szCs w:val="30"/>
                <w:highlight w:val="none"/>
                <w14:textFill>
                  <w14:solidFill>
                    <w14:schemeClr w14:val="tx1"/>
                  </w14:solidFill>
                </w14:textFill>
              </w:rPr>
            </w:pPr>
          </w:p>
        </w:tc>
        <w:tc>
          <w:tcPr>
            <w:tcW w:w="1276" w:type="dxa"/>
          </w:tcPr>
          <w:p w14:paraId="5A5F4218">
            <w:pPr>
              <w:rPr>
                <w:rFonts w:eastAsia="仿宋_GB2312"/>
                <w:color w:val="000000" w:themeColor="text1"/>
                <w:sz w:val="30"/>
                <w:szCs w:val="30"/>
                <w:highlight w:val="none"/>
                <w14:textFill>
                  <w14:solidFill>
                    <w14:schemeClr w14:val="tx1"/>
                  </w14:solidFill>
                </w14:textFill>
              </w:rPr>
            </w:pPr>
          </w:p>
        </w:tc>
        <w:tc>
          <w:tcPr>
            <w:tcW w:w="1450" w:type="dxa"/>
          </w:tcPr>
          <w:p w14:paraId="4582C64F">
            <w:pPr>
              <w:rPr>
                <w:rFonts w:eastAsia="仿宋_GB2312"/>
                <w:color w:val="000000" w:themeColor="text1"/>
                <w:sz w:val="30"/>
                <w:szCs w:val="30"/>
                <w:highlight w:val="none"/>
                <w14:textFill>
                  <w14:solidFill>
                    <w14:schemeClr w14:val="tx1"/>
                  </w14:solidFill>
                </w14:textFill>
              </w:rPr>
            </w:pPr>
          </w:p>
        </w:tc>
        <w:tc>
          <w:tcPr>
            <w:tcW w:w="1243" w:type="dxa"/>
          </w:tcPr>
          <w:p w14:paraId="272F9A65">
            <w:pPr>
              <w:rPr>
                <w:rFonts w:eastAsia="仿宋_GB2312"/>
                <w:color w:val="000000" w:themeColor="text1"/>
                <w:sz w:val="30"/>
                <w:szCs w:val="30"/>
                <w:highlight w:val="none"/>
                <w14:textFill>
                  <w14:solidFill>
                    <w14:schemeClr w14:val="tx1"/>
                  </w14:solidFill>
                </w14:textFill>
              </w:rPr>
            </w:pPr>
          </w:p>
        </w:tc>
        <w:tc>
          <w:tcPr>
            <w:tcW w:w="1450" w:type="dxa"/>
          </w:tcPr>
          <w:p w14:paraId="485298F9">
            <w:pPr>
              <w:rPr>
                <w:rFonts w:eastAsia="仿宋_GB2312"/>
                <w:color w:val="000000" w:themeColor="text1"/>
                <w:sz w:val="30"/>
                <w:szCs w:val="30"/>
                <w:highlight w:val="none"/>
                <w14:textFill>
                  <w14:solidFill>
                    <w14:schemeClr w14:val="tx1"/>
                  </w14:solidFill>
                </w14:textFill>
              </w:rPr>
            </w:pPr>
          </w:p>
        </w:tc>
        <w:tc>
          <w:tcPr>
            <w:tcW w:w="1667" w:type="dxa"/>
          </w:tcPr>
          <w:p w14:paraId="5428B33C">
            <w:pPr>
              <w:rPr>
                <w:rFonts w:eastAsia="仿宋_GB2312"/>
                <w:color w:val="000000" w:themeColor="text1"/>
                <w:sz w:val="30"/>
                <w:szCs w:val="30"/>
                <w:highlight w:val="none"/>
                <w14:textFill>
                  <w14:solidFill>
                    <w14:schemeClr w14:val="tx1"/>
                  </w14:solidFill>
                </w14:textFill>
              </w:rPr>
            </w:pPr>
          </w:p>
        </w:tc>
      </w:tr>
      <w:tr w14:paraId="2CBBBB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2EFAE46">
            <w:pPr>
              <w:rPr>
                <w:rFonts w:eastAsia="仿宋_GB2312"/>
                <w:color w:val="000000" w:themeColor="text1"/>
                <w:sz w:val="30"/>
                <w:szCs w:val="30"/>
                <w:highlight w:val="none"/>
                <w14:textFill>
                  <w14:solidFill>
                    <w14:schemeClr w14:val="tx1"/>
                  </w14:solidFill>
                </w14:textFill>
              </w:rPr>
            </w:pPr>
          </w:p>
        </w:tc>
        <w:tc>
          <w:tcPr>
            <w:tcW w:w="1276" w:type="dxa"/>
          </w:tcPr>
          <w:p w14:paraId="574965B7">
            <w:pPr>
              <w:rPr>
                <w:rFonts w:eastAsia="仿宋_GB2312"/>
                <w:color w:val="000000" w:themeColor="text1"/>
                <w:sz w:val="30"/>
                <w:szCs w:val="30"/>
                <w:highlight w:val="none"/>
                <w14:textFill>
                  <w14:solidFill>
                    <w14:schemeClr w14:val="tx1"/>
                  </w14:solidFill>
                </w14:textFill>
              </w:rPr>
            </w:pPr>
          </w:p>
        </w:tc>
        <w:tc>
          <w:tcPr>
            <w:tcW w:w="1450" w:type="dxa"/>
          </w:tcPr>
          <w:p w14:paraId="226930D0">
            <w:pPr>
              <w:rPr>
                <w:rFonts w:eastAsia="仿宋_GB2312"/>
                <w:color w:val="000000" w:themeColor="text1"/>
                <w:sz w:val="30"/>
                <w:szCs w:val="30"/>
                <w:highlight w:val="none"/>
                <w14:textFill>
                  <w14:solidFill>
                    <w14:schemeClr w14:val="tx1"/>
                  </w14:solidFill>
                </w14:textFill>
              </w:rPr>
            </w:pPr>
          </w:p>
        </w:tc>
        <w:tc>
          <w:tcPr>
            <w:tcW w:w="1243" w:type="dxa"/>
          </w:tcPr>
          <w:p w14:paraId="42E529B4">
            <w:pPr>
              <w:rPr>
                <w:rFonts w:eastAsia="仿宋_GB2312"/>
                <w:color w:val="000000" w:themeColor="text1"/>
                <w:sz w:val="30"/>
                <w:szCs w:val="30"/>
                <w:highlight w:val="none"/>
                <w14:textFill>
                  <w14:solidFill>
                    <w14:schemeClr w14:val="tx1"/>
                  </w14:solidFill>
                </w14:textFill>
              </w:rPr>
            </w:pPr>
          </w:p>
        </w:tc>
        <w:tc>
          <w:tcPr>
            <w:tcW w:w="1450" w:type="dxa"/>
          </w:tcPr>
          <w:p w14:paraId="02F63DC7">
            <w:pPr>
              <w:rPr>
                <w:rFonts w:eastAsia="仿宋_GB2312"/>
                <w:color w:val="000000" w:themeColor="text1"/>
                <w:sz w:val="30"/>
                <w:szCs w:val="30"/>
                <w:highlight w:val="none"/>
                <w14:textFill>
                  <w14:solidFill>
                    <w14:schemeClr w14:val="tx1"/>
                  </w14:solidFill>
                </w14:textFill>
              </w:rPr>
            </w:pPr>
          </w:p>
        </w:tc>
        <w:tc>
          <w:tcPr>
            <w:tcW w:w="1667" w:type="dxa"/>
          </w:tcPr>
          <w:p w14:paraId="3EB68CB6">
            <w:pPr>
              <w:rPr>
                <w:rFonts w:eastAsia="仿宋_GB2312"/>
                <w:color w:val="000000" w:themeColor="text1"/>
                <w:sz w:val="30"/>
                <w:szCs w:val="30"/>
                <w:highlight w:val="none"/>
                <w14:textFill>
                  <w14:solidFill>
                    <w14:schemeClr w14:val="tx1"/>
                  </w14:solidFill>
                </w14:textFill>
              </w:rPr>
            </w:pPr>
          </w:p>
        </w:tc>
      </w:tr>
      <w:tr w14:paraId="0790D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72632A8">
            <w:pPr>
              <w:rPr>
                <w:rFonts w:eastAsia="仿宋_GB2312"/>
                <w:color w:val="000000" w:themeColor="text1"/>
                <w:sz w:val="30"/>
                <w:szCs w:val="30"/>
                <w:highlight w:val="none"/>
                <w14:textFill>
                  <w14:solidFill>
                    <w14:schemeClr w14:val="tx1"/>
                  </w14:solidFill>
                </w14:textFill>
              </w:rPr>
            </w:pPr>
          </w:p>
        </w:tc>
        <w:tc>
          <w:tcPr>
            <w:tcW w:w="1276" w:type="dxa"/>
          </w:tcPr>
          <w:p w14:paraId="7231D93B">
            <w:pPr>
              <w:rPr>
                <w:rFonts w:eastAsia="仿宋_GB2312"/>
                <w:color w:val="000000" w:themeColor="text1"/>
                <w:sz w:val="30"/>
                <w:szCs w:val="30"/>
                <w:highlight w:val="none"/>
                <w14:textFill>
                  <w14:solidFill>
                    <w14:schemeClr w14:val="tx1"/>
                  </w14:solidFill>
                </w14:textFill>
              </w:rPr>
            </w:pPr>
          </w:p>
        </w:tc>
        <w:tc>
          <w:tcPr>
            <w:tcW w:w="1450" w:type="dxa"/>
          </w:tcPr>
          <w:p w14:paraId="51E83802">
            <w:pPr>
              <w:rPr>
                <w:rFonts w:eastAsia="仿宋_GB2312"/>
                <w:color w:val="000000" w:themeColor="text1"/>
                <w:sz w:val="30"/>
                <w:szCs w:val="30"/>
                <w:highlight w:val="none"/>
                <w14:textFill>
                  <w14:solidFill>
                    <w14:schemeClr w14:val="tx1"/>
                  </w14:solidFill>
                </w14:textFill>
              </w:rPr>
            </w:pPr>
          </w:p>
        </w:tc>
        <w:tc>
          <w:tcPr>
            <w:tcW w:w="1243" w:type="dxa"/>
          </w:tcPr>
          <w:p w14:paraId="68A4FD77">
            <w:pPr>
              <w:rPr>
                <w:rFonts w:eastAsia="仿宋_GB2312"/>
                <w:color w:val="000000" w:themeColor="text1"/>
                <w:sz w:val="30"/>
                <w:szCs w:val="30"/>
                <w:highlight w:val="none"/>
                <w14:textFill>
                  <w14:solidFill>
                    <w14:schemeClr w14:val="tx1"/>
                  </w14:solidFill>
                </w14:textFill>
              </w:rPr>
            </w:pPr>
          </w:p>
        </w:tc>
        <w:tc>
          <w:tcPr>
            <w:tcW w:w="1450" w:type="dxa"/>
          </w:tcPr>
          <w:p w14:paraId="7A2FF458">
            <w:pPr>
              <w:rPr>
                <w:rFonts w:eastAsia="仿宋_GB2312"/>
                <w:color w:val="000000" w:themeColor="text1"/>
                <w:sz w:val="30"/>
                <w:szCs w:val="30"/>
                <w:highlight w:val="none"/>
                <w14:textFill>
                  <w14:solidFill>
                    <w14:schemeClr w14:val="tx1"/>
                  </w14:solidFill>
                </w14:textFill>
              </w:rPr>
            </w:pPr>
          </w:p>
        </w:tc>
        <w:tc>
          <w:tcPr>
            <w:tcW w:w="1667" w:type="dxa"/>
          </w:tcPr>
          <w:p w14:paraId="2B365C3F">
            <w:pPr>
              <w:rPr>
                <w:rFonts w:eastAsia="仿宋_GB2312"/>
                <w:color w:val="000000" w:themeColor="text1"/>
                <w:sz w:val="30"/>
                <w:szCs w:val="30"/>
                <w:highlight w:val="none"/>
                <w14:textFill>
                  <w14:solidFill>
                    <w14:schemeClr w14:val="tx1"/>
                  </w14:solidFill>
                </w14:textFill>
              </w:rPr>
            </w:pPr>
          </w:p>
        </w:tc>
      </w:tr>
      <w:tr w14:paraId="10298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825D5CB">
            <w:pPr>
              <w:rPr>
                <w:rFonts w:eastAsia="仿宋_GB2312"/>
                <w:color w:val="000000" w:themeColor="text1"/>
                <w:sz w:val="30"/>
                <w:szCs w:val="30"/>
                <w:highlight w:val="none"/>
                <w14:textFill>
                  <w14:solidFill>
                    <w14:schemeClr w14:val="tx1"/>
                  </w14:solidFill>
                </w14:textFill>
              </w:rPr>
            </w:pPr>
          </w:p>
        </w:tc>
        <w:tc>
          <w:tcPr>
            <w:tcW w:w="1276" w:type="dxa"/>
          </w:tcPr>
          <w:p w14:paraId="465298FC">
            <w:pPr>
              <w:rPr>
                <w:rFonts w:eastAsia="仿宋_GB2312"/>
                <w:color w:val="000000" w:themeColor="text1"/>
                <w:sz w:val="30"/>
                <w:szCs w:val="30"/>
                <w:highlight w:val="none"/>
                <w14:textFill>
                  <w14:solidFill>
                    <w14:schemeClr w14:val="tx1"/>
                  </w14:solidFill>
                </w14:textFill>
              </w:rPr>
            </w:pPr>
          </w:p>
        </w:tc>
        <w:tc>
          <w:tcPr>
            <w:tcW w:w="1450" w:type="dxa"/>
          </w:tcPr>
          <w:p w14:paraId="31B7EE7E">
            <w:pPr>
              <w:rPr>
                <w:rFonts w:eastAsia="仿宋_GB2312"/>
                <w:color w:val="000000" w:themeColor="text1"/>
                <w:sz w:val="30"/>
                <w:szCs w:val="30"/>
                <w:highlight w:val="none"/>
                <w14:textFill>
                  <w14:solidFill>
                    <w14:schemeClr w14:val="tx1"/>
                  </w14:solidFill>
                </w14:textFill>
              </w:rPr>
            </w:pPr>
          </w:p>
        </w:tc>
        <w:tc>
          <w:tcPr>
            <w:tcW w:w="1243" w:type="dxa"/>
          </w:tcPr>
          <w:p w14:paraId="3D2ECD6E">
            <w:pPr>
              <w:rPr>
                <w:rFonts w:eastAsia="仿宋_GB2312"/>
                <w:color w:val="000000" w:themeColor="text1"/>
                <w:sz w:val="30"/>
                <w:szCs w:val="30"/>
                <w:highlight w:val="none"/>
                <w14:textFill>
                  <w14:solidFill>
                    <w14:schemeClr w14:val="tx1"/>
                  </w14:solidFill>
                </w14:textFill>
              </w:rPr>
            </w:pPr>
          </w:p>
        </w:tc>
        <w:tc>
          <w:tcPr>
            <w:tcW w:w="1450" w:type="dxa"/>
          </w:tcPr>
          <w:p w14:paraId="4F273E54">
            <w:pPr>
              <w:rPr>
                <w:rFonts w:eastAsia="仿宋_GB2312"/>
                <w:color w:val="000000" w:themeColor="text1"/>
                <w:sz w:val="30"/>
                <w:szCs w:val="30"/>
                <w:highlight w:val="none"/>
                <w14:textFill>
                  <w14:solidFill>
                    <w14:schemeClr w14:val="tx1"/>
                  </w14:solidFill>
                </w14:textFill>
              </w:rPr>
            </w:pPr>
          </w:p>
        </w:tc>
        <w:tc>
          <w:tcPr>
            <w:tcW w:w="1667" w:type="dxa"/>
          </w:tcPr>
          <w:p w14:paraId="7C2D91BD">
            <w:pPr>
              <w:rPr>
                <w:rFonts w:eastAsia="仿宋_GB2312"/>
                <w:color w:val="000000" w:themeColor="text1"/>
                <w:sz w:val="30"/>
                <w:szCs w:val="30"/>
                <w:highlight w:val="none"/>
                <w14:textFill>
                  <w14:solidFill>
                    <w14:schemeClr w14:val="tx1"/>
                  </w14:solidFill>
                </w14:textFill>
              </w:rPr>
            </w:pPr>
          </w:p>
        </w:tc>
      </w:tr>
      <w:tr w14:paraId="3F1FA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0AC04F8">
            <w:pPr>
              <w:rPr>
                <w:rFonts w:eastAsia="仿宋_GB2312"/>
                <w:color w:val="000000" w:themeColor="text1"/>
                <w:sz w:val="30"/>
                <w:szCs w:val="30"/>
                <w:highlight w:val="none"/>
                <w14:textFill>
                  <w14:solidFill>
                    <w14:schemeClr w14:val="tx1"/>
                  </w14:solidFill>
                </w14:textFill>
              </w:rPr>
            </w:pPr>
          </w:p>
        </w:tc>
        <w:tc>
          <w:tcPr>
            <w:tcW w:w="1276" w:type="dxa"/>
          </w:tcPr>
          <w:p w14:paraId="75F6766B">
            <w:pPr>
              <w:rPr>
                <w:rFonts w:eastAsia="仿宋_GB2312"/>
                <w:color w:val="000000" w:themeColor="text1"/>
                <w:sz w:val="30"/>
                <w:szCs w:val="30"/>
                <w:highlight w:val="none"/>
                <w14:textFill>
                  <w14:solidFill>
                    <w14:schemeClr w14:val="tx1"/>
                  </w14:solidFill>
                </w14:textFill>
              </w:rPr>
            </w:pPr>
          </w:p>
        </w:tc>
        <w:tc>
          <w:tcPr>
            <w:tcW w:w="1450" w:type="dxa"/>
          </w:tcPr>
          <w:p w14:paraId="1EC9F377">
            <w:pPr>
              <w:rPr>
                <w:rFonts w:eastAsia="仿宋_GB2312"/>
                <w:color w:val="000000" w:themeColor="text1"/>
                <w:sz w:val="30"/>
                <w:szCs w:val="30"/>
                <w:highlight w:val="none"/>
                <w14:textFill>
                  <w14:solidFill>
                    <w14:schemeClr w14:val="tx1"/>
                  </w14:solidFill>
                </w14:textFill>
              </w:rPr>
            </w:pPr>
          </w:p>
        </w:tc>
        <w:tc>
          <w:tcPr>
            <w:tcW w:w="1243" w:type="dxa"/>
          </w:tcPr>
          <w:p w14:paraId="6A012065">
            <w:pPr>
              <w:rPr>
                <w:rFonts w:eastAsia="仿宋_GB2312"/>
                <w:color w:val="000000" w:themeColor="text1"/>
                <w:sz w:val="30"/>
                <w:szCs w:val="30"/>
                <w:highlight w:val="none"/>
                <w14:textFill>
                  <w14:solidFill>
                    <w14:schemeClr w14:val="tx1"/>
                  </w14:solidFill>
                </w14:textFill>
              </w:rPr>
            </w:pPr>
          </w:p>
        </w:tc>
        <w:tc>
          <w:tcPr>
            <w:tcW w:w="1450" w:type="dxa"/>
          </w:tcPr>
          <w:p w14:paraId="138E54E3">
            <w:pPr>
              <w:rPr>
                <w:rFonts w:eastAsia="仿宋_GB2312"/>
                <w:color w:val="000000" w:themeColor="text1"/>
                <w:sz w:val="30"/>
                <w:szCs w:val="30"/>
                <w:highlight w:val="none"/>
                <w14:textFill>
                  <w14:solidFill>
                    <w14:schemeClr w14:val="tx1"/>
                  </w14:solidFill>
                </w14:textFill>
              </w:rPr>
            </w:pPr>
          </w:p>
        </w:tc>
        <w:tc>
          <w:tcPr>
            <w:tcW w:w="1667" w:type="dxa"/>
          </w:tcPr>
          <w:p w14:paraId="306D5FB3">
            <w:pPr>
              <w:rPr>
                <w:rFonts w:eastAsia="仿宋_GB2312"/>
                <w:color w:val="000000" w:themeColor="text1"/>
                <w:sz w:val="30"/>
                <w:szCs w:val="30"/>
                <w:highlight w:val="none"/>
                <w14:textFill>
                  <w14:solidFill>
                    <w14:schemeClr w14:val="tx1"/>
                  </w14:solidFill>
                </w14:textFill>
              </w:rPr>
            </w:pPr>
          </w:p>
        </w:tc>
      </w:tr>
      <w:tr w14:paraId="340237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261E809">
            <w:pPr>
              <w:rPr>
                <w:rFonts w:eastAsia="仿宋_GB2312"/>
                <w:color w:val="000000" w:themeColor="text1"/>
                <w:sz w:val="30"/>
                <w:szCs w:val="30"/>
                <w:highlight w:val="none"/>
                <w14:textFill>
                  <w14:solidFill>
                    <w14:schemeClr w14:val="tx1"/>
                  </w14:solidFill>
                </w14:textFill>
              </w:rPr>
            </w:pPr>
          </w:p>
        </w:tc>
        <w:tc>
          <w:tcPr>
            <w:tcW w:w="1276" w:type="dxa"/>
          </w:tcPr>
          <w:p w14:paraId="3758A08E">
            <w:pPr>
              <w:rPr>
                <w:rFonts w:eastAsia="仿宋_GB2312"/>
                <w:color w:val="000000" w:themeColor="text1"/>
                <w:sz w:val="30"/>
                <w:szCs w:val="30"/>
                <w:highlight w:val="none"/>
                <w14:textFill>
                  <w14:solidFill>
                    <w14:schemeClr w14:val="tx1"/>
                  </w14:solidFill>
                </w14:textFill>
              </w:rPr>
            </w:pPr>
          </w:p>
        </w:tc>
        <w:tc>
          <w:tcPr>
            <w:tcW w:w="1450" w:type="dxa"/>
          </w:tcPr>
          <w:p w14:paraId="5E0BEA3C">
            <w:pPr>
              <w:rPr>
                <w:rFonts w:eastAsia="仿宋_GB2312"/>
                <w:color w:val="000000" w:themeColor="text1"/>
                <w:sz w:val="30"/>
                <w:szCs w:val="30"/>
                <w:highlight w:val="none"/>
                <w14:textFill>
                  <w14:solidFill>
                    <w14:schemeClr w14:val="tx1"/>
                  </w14:solidFill>
                </w14:textFill>
              </w:rPr>
            </w:pPr>
          </w:p>
        </w:tc>
        <w:tc>
          <w:tcPr>
            <w:tcW w:w="1243" w:type="dxa"/>
          </w:tcPr>
          <w:p w14:paraId="59183C87">
            <w:pPr>
              <w:rPr>
                <w:rFonts w:eastAsia="仿宋_GB2312"/>
                <w:color w:val="000000" w:themeColor="text1"/>
                <w:sz w:val="30"/>
                <w:szCs w:val="30"/>
                <w:highlight w:val="none"/>
                <w14:textFill>
                  <w14:solidFill>
                    <w14:schemeClr w14:val="tx1"/>
                  </w14:solidFill>
                </w14:textFill>
              </w:rPr>
            </w:pPr>
          </w:p>
        </w:tc>
        <w:tc>
          <w:tcPr>
            <w:tcW w:w="1450" w:type="dxa"/>
          </w:tcPr>
          <w:p w14:paraId="2A25AA1E">
            <w:pPr>
              <w:rPr>
                <w:rFonts w:eastAsia="仿宋_GB2312"/>
                <w:color w:val="000000" w:themeColor="text1"/>
                <w:sz w:val="30"/>
                <w:szCs w:val="30"/>
                <w:highlight w:val="none"/>
                <w14:textFill>
                  <w14:solidFill>
                    <w14:schemeClr w14:val="tx1"/>
                  </w14:solidFill>
                </w14:textFill>
              </w:rPr>
            </w:pPr>
          </w:p>
        </w:tc>
        <w:tc>
          <w:tcPr>
            <w:tcW w:w="1667" w:type="dxa"/>
          </w:tcPr>
          <w:p w14:paraId="7A8BFCEC">
            <w:pPr>
              <w:rPr>
                <w:rFonts w:eastAsia="仿宋_GB2312"/>
                <w:color w:val="000000" w:themeColor="text1"/>
                <w:sz w:val="30"/>
                <w:szCs w:val="30"/>
                <w:highlight w:val="none"/>
                <w14:textFill>
                  <w14:solidFill>
                    <w14:schemeClr w14:val="tx1"/>
                  </w14:solidFill>
                </w14:textFill>
              </w:rPr>
            </w:pPr>
          </w:p>
        </w:tc>
      </w:tr>
    </w:tbl>
    <w:p w14:paraId="6E03CD14">
      <w:pPr>
        <w:spacing w:line="440" w:lineRule="exact"/>
        <w:rPr>
          <w:rFonts w:eastAsia="仿宋_GB2312"/>
          <w:color w:val="000000" w:themeColor="text1"/>
          <w:sz w:val="30"/>
          <w:szCs w:val="30"/>
          <w:highlight w:val="none"/>
          <w14:textFill>
            <w14:solidFill>
              <w14:schemeClr w14:val="tx1"/>
            </w14:solidFill>
          </w14:textFill>
        </w:rPr>
      </w:pPr>
    </w:p>
    <w:p w14:paraId="48340832">
      <w:pPr>
        <w:spacing w:line="440" w:lineRule="exact"/>
        <w:rPr>
          <w:rFonts w:eastAsia="黑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4</w:t>
      </w:r>
      <w:r>
        <w:rPr>
          <w:rFonts w:hint="eastAsia" w:eastAsia="仿宋_GB2312" w:cs="仿宋_GB2312"/>
          <w:color w:val="000000" w:themeColor="text1"/>
          <w:sz w:val="30"/>
          <w:szCs w:val="30"/>
          <w:highlight w:val="none"/>
          <w14:textFill>
            <w14:solidFill>
              <w14:schemeClr w14:val="tx1"/>
            </w14:solidFill>
          </w14:textFill>
        </w:rPr>
        <w:t>：</w:t>
      </w:r>
    </w:p>
    <w:p w14:paraId="386F6A7A">
      <w:pPr>
        <w:spacing w:before="120" w:beforeLines="50" w:after="120"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承包人用于本工程施工的机械设备表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6B35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162" w:type="dxa"/>
            <w:vAlign w:val="center"/>
          </w:tcPr>
          <w:p w14:paraId="60C44E7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序号</w:t>
            </w:r>
          </w:p>
        </w:tc>
        <w:tc>
          <w:tcPr>
            <w:tcW w:w="1418" w:type="dxa"/>
            <w:vAlign w:val="center"/>
          </w:tcPr>
          <w:p w14:paraId="0615AF6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机械或设备名称</w:t>
            </w:r>
          </w:p>
        </w:tc>
        <w:tc>
          <w:tcPr>
            <w:tcW w:w="850" w:type="dxa"/>
            <w:vAlign w:val="center"/>
          </w:tcPr>
          <w:p w14:paraId="0CE3A63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规格型号</w:t>
            </w:r>
          </w:p>
        </w:tc>
        <w:tc>
          <w:tcPr>
            <w:tcW w:w="1058" w:type="dxa"/>
            <w:vAlign w:val="center"/>
          </w:tcPr>
          <w:p w14:paraId="0B0AD1D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数量</w:t>
            </w:r>
          </w:p>
        </w:tc>
        <w:tc>
          <w:tcPr>
            <w:tcW w:w="880" w:type="dxa"/>
            <w:vAlign w:val="center"/>
          </w:tcPr>
          <w:p w14:paraId="2647FAD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产地</w:t>
            </w:r>
          </w:p>
        </w:tc>
        <w:tc>
          <w:tcPr>
            <w:tcW w:w="1020" w:type="dxa"/>
            <w:vAlign w:val="center"/>
          </w:tcPr>
          <w:p w14:paraId="4CD6498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制造年份</w:t>
            </w:r>
          </w:p>
        </w:tc>
        <w:tc>
          <w:tcPr>
            <w:tcW w:w="1480" w:type="dxa"/>
            <w:vAlign w:val="center"/>
          </w:tcPr>
          <w:p w14:paraId="31961DB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额定功率（</w:t>
            </w:r>
            <w:r>
              <w:rPr>
                <w:rFonts w:eastAsia="仿宋_GB2312"/>
                <w:color w:val="000000" w:themeColor="text1"/>
                <w:sz w:val="28"/>
                <w:szCs w:val="28"/>
                <w:highlight w:val="none"/>
                <w14:textFill>
                  <w14:solidFill>
                    <w14:schemeClr w14:val="tx1"/>
                  </w14:solidFill>
                </w14:textFill>
              </w:rPr>
              <w:t>kW</w:t>
            </w:r>
            <w:r>
              <w:rPr>
                <w:rFonts w:hint="eastAsia" w:eastAsia="仿宋_GB2312" w:cs="仿宋_GB2312"/>
                <w:color w:val="000000" w:themeColor="text1"/>
                <w:sz w:val="28"/>
                <w:szCs w:val="28"/>
                <w:highlight w:val="none"/>
                <w14:textFill>
                  <w14:solidFill>
                    <w14:schemeClr w14:val="tx1"/>
                  </w14:solidFill>
                </w14:textFill>
              </w:rPr>
              <w:t>）</w:t>
            </w:r>
          </w:p>
        </w:tc>
        <w:tc>
          <w:tcPr>
            <w:tcW w:w="1020" w:type="dxa"/>
            <w:vAlign w:val="center"/>
          </w:tcPr>
          <w:p w14:paraId="7204B9E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生产能力</w:t>
            </w:r>
          </w:p>
        </w:tc>
        <w:tc>
          <w:tcPr>
            <w:tcW w:w="921" w:type="dxa"/>
            <w:vAlign w:val="center"/>
          </w:tcPr>
          <w:p w14:paraId="66E3245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备注</w:t>
            </w:r>
          </w:p>
        </w:tc>
      </w:tr>
      <w:tr w14:paraId="5DE4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204E4DD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2AAD84D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624122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73EA06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5EA87C2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CDF53A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35F07B9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31AF1E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6D25F44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94B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66E32B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39E33B9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3BF2560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32F8140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5A313C0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995F17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44D4EC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35A826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0267050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9F5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40B053A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59C785F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69B84E4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69899E1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3D20AB8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215BE8B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6B5F78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C6AB52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547F686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B6C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5D255EF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42C6435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7620C0F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5166787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53E157C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B854FE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737B7C8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75BD9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1DDA741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9AC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0E030D1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150115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0FBBA5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3D1C29D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6CE95C8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FA3FBE9">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57FD121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35EF835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3FF9DDA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8BC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94F6AE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44E2D49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2D36313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4DD7B28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7062FF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7F3D45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05C363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456899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2EAA499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0A3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0F6A51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09B6E97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77D1B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26171C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43FB57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32AD65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3184AFD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BB4B1A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472BC97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9CA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3D956D0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433FB93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54D86D0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294A021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638DC27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74F72F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1E20AA2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2D58ACA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7F1589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95A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CDE6AFE">
            <w:pPr>
              <w:rPr>
                <w:rFonts w:eastAsia="仿宋_GB2312"/>
                <w:color w:val="000000" w:themeColor="text1"/>
                <w:sz w:val="30"/>
                <w:szCs w:val="30"/>
                <w:highlight w:val="none"/>
                <w14:textFill>
                  <w14:solidFill>
                    <w14:schemeClr w14:val="tx1"/>
                  </w14:solidFill>
                </w14:textFill>
              </w:rPr>
            </w:pPr>
          </w:p>
        </w:tc>
        <w:tc>
          <w:tcPr>
            <w:tcW w:w="1418" w:type="dxa"/>
          </w:tcPr>
          <w:p w14:paraId="3C394EDD">
            <w:pPr>
              <w:rPr>
                <w:rFonts w:eastAsia="仿宋_GB2312"/>
                <w:color w:val="000000" w:themeColor="text1"/>
                <w:sz w:val="30"/>
                <w:szCs w:val="30"/>
                <w:highlight w:val="none"/>
                <w14:textFill>
                  <w14:solidFill>
                    <w14:schemeClr w14:val="tx1"/>
                  </w14:solidFill>
                </w14:textFill>
              </w:rPr>
            </w:pPr>
          </w:p>
        </w:tc>
        <w:tc>
          <w:tcPr>
            <w:tcW w:w="850" w:type="dxa"/>
          </w:tcPr>
          <w:p w14:paraId="1301E6A9">
            <w:pPr>
              <w:rPr>
                <w:rFonts w:eastAsia="仿宋_GB2312"/>
                <w:color w:val="000000" w:themeColor="text1"/>
                <w:sz w:val="30"/>
                <w:szCs w:val="30"/>
                <w:highlight w:val="none"/>
                <w14:textFill>
                  <w14:solidFill>
                    <w14:schemeClr w14:val="tx1"/>
                  </w14:solidFill>
                </w14:textFill>
              </w:rPr>
            </w:pPr>
          </w:p>
        </w:tc>
        <w:tc>
          <w:tcPr>
            <w:tcW w:w="1058" w:type="dxa"/>
          </w:tcPr>
          <w:p w14:paraId="2E7497C0">
            <w:pPr>
              <w:rPr>
                <w:rFonts w:eastAsia="仿宋_GB2312"/>
                <w:color w:val="000000" w:themeColor="text1"/>
                <w:sz w:val="30"/>
                <w:szCs w:val="30"/>
                <w:highlight w:val="none"/>
                <w14:textFill>
                  <w14:solidFill>
                    <w14:schemeClr w14:val="tx1"/>
                  </w14:solidFill>
                </w14:textFill>
              </w:rPr>
            </w:pPr>
          </w:p>
        </w:tc>
        <w:tc>
          <w:tcPr>
            <w:tcW w:w="880" w:type="dxa"/>
          </w:tcPr>
          <w:p w14:paraId="74A72F43">
            <w:pPr>
              <w:rPr>
                <w:rFonts w:eastAsia="仿宋_GB2312"/>
                <w:color w:val="000000" w:themeColor="text1"/>
                <w:sz w:val="30"/>
                <w:szCs w:val="30"/>
                <w:highlight w:val="none"/>
                <w14:textFill>
                  <w14:solidFill>
                    <w14:schemeClr w14:val="tx1"/>
                  </w14:solidFill>
                </w14:textFill>
              </w:rPr>
            </w:pPr>
          </w:p>
        </w:tc>
        <w:tc>
          <w:tcPr>
            <w:tcW w:w="1020" w:type="dxa"/>
          </w:tcPr>
          <w:p w14:paraId="762CAE0D">
            <w:pPr>
              <w:rPr>
                <w:rFonts w:eastAsia="仿宋_GB2312"/>
                <w:color w:val="000000" w:themeColor="text1"/>
                <w:sz w:val="30"/>
                <w:szCs w:val="30"/>
                <w:highlight w:val="none"/>
                <w14:textFill>
                  <w14:solidFill>
                    <w14:schemeClr w14:val="tx1"/>
                  </w14:solidFill>
                </w14:textFill>
              </w:rPr>
            </w:pPr>
          </w:p>
        </w:tc>
        <w:tc>
          <w:tcPr>
            <w:tcW w:w="1480" w:type="dxa"/>
          </w:tcPr>
          <w:p w14:paraId="1F3557F0">
            <w:pPr>
              <w:rPr>
                <w:rFonts w:eastAsia="仿宋_GB2312"/>
                <w:color w:val="000000" w:themeColor="text1"/>
                <w:sz w:val="30"/>
                <w:szCs w:val="30"/>
                <w:highlight w:val="none"/>
                <w14:textFill>
                  <w14:solidFill>
                    <w14:schemeClr w14:val="tx1"/>
                  </w14:solidFill>
                </w14:textFill>
              </w:rPr>
            </w:pPr>
          </w:p>
        </w:tc>
        <w:tc>
          <w:tcPr>
            <w:tcW w:w="1020" w:type="dxa"/>
          </w:tcPr>
          <w:p w14:paraId="664D9D92">
            <w:pPr>
              <w:rPr>
                <w:rFonts w:eastAsia="仿宋_GB2312"/>
                <w:color w:val="000000" w:themeColor="text1"/>
                <w:sz w:val="30"/>
                <w:szCs w:val="30"/>
                <w:highlight w:val="none"/>
                <w14:textFill>
                  <w14:solidFill>
                    <w14:schemeClr w14:val="tx1"/>
                  </w14:solidFill>
                </w14:textFill>
              </w:rPr>
            </w:pPr>
          </w:p>
        </w:tc>
        <w:tc>
          <w:tcPr>
            <w:tcW w:w="921" w:type="dxa"/>
          </w:tcPr>
          <w:p w14:paraId="6B29A35A">
            <w:pPr>
              <w:rPr>
                <w:rFonts w:eastAsia="仿宋_GB2312"/>
                <w:color w:val="000000" w:themeColor="text1"/>
                <w:sz w:val="30"/>
                <w:szCs w:val="30"/>
                <w:highlight w:val="none"/>
                <w14:textFill>
                  <w14:solidFill>
                    <w14:schemeClr w14:val="tx1"/>
                  </w14:solidFill>
                </w14:textFill>
              </w:rPr>
            </w:pPr>
          </w:p>
        </w:tc>
      </w:tr>
      <w:tr w14:paraId="6856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vAlign w:val="center"/>
          </w:tcPr>
          <w:p w14:paraId="135FED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18" w:type="dxa"/>
            <w:vAlign w:val="center"/>
          </w:tcPr>
          <w:p w14:paraId="1361687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50" w:type="dxa"/>
            <w:vAlign w:val="center"/>
          </w:tcPr>
          <w:p w14:paraId="06B7F15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58" w:type="dxa"/>
            <w:vAlign w:val="center"/>
          </w:tcPr>
          <w:p w14:paraId="3E1867A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880" w:type="dxa"/>
            <w:vAlign w:val="center"/>
          </w:tcPr>
          <w:p w14:paraId="2E2B2ED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536EA8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480" w:type="dxa"/>
            <w:vAlign w:val="center"/>
          </w:tcPr>
          <w:p w14:paraId="02D0C01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020" w:type="dxa"/>
            <w:vAlign w:val="center"/>
          </w:tcPr>
          <w:p w14:paraId="036E355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921" w:type="dxa"/>
            <w:vAlign w:val="center"/>
          </w:tcPr>
          <w:p w14:paraId="055E656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FED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AF517CE">
            <w:pPr>
              <w:rPr>
                <w:rFonts w:eastAsia="仿宋_GB2312"/>
                <w:color w:val="000000" w:themeColor="text1"/>
                <w:sz w:val="30"/>
                <w:szCs w:val="30"/>
                <w:highlight w:val="none"/>
                <w14:textFill>
                  <w14:solidFill>
                    <w14:schemeClr w14:val="tx1"/>
                  </w14:solidFill>
                </w14:textFill>
              </w:rPr>
            </w:pPr>
          </w:p>
        </w:tc>
        <w:tc>
          <w:tcPr>
            <w:tcW w:w="1418" w:type="dxa"/>
          </w:tcPr>
          <w:p w14:paraId="65B9DB0A">
            <w:pPr>
              <w:rPr>
                <w:rFonts w:eastAsia="仿宋_GB2312"/>
                <w:color w:val="000000" w:themeColor="text1"/>
                <w:sz w:val="30"/>
                <w:szCs w:val="30"/>
                <w:highlight w:val="none"/>
                <w14:textFill>
                  <w14:solidFill>
                    <w14:schemeClr w14:val="tx1"/>
                  </w14:solidFill>
                </w14:textFill>
              </w:rPr>
            </w:pPr>
          </w:p>
        </w:tc>
        <w:tc>
          <w:tcPr>
            <w:tcW w:w="850" w:type="dxa"/>
          </w:tcPr>
          <w:p w14:paraId="3ED0D9F5">
            <w:pPr>
              <w:rPr>
                <w:rFonts w:eastAsia="仿宋_GB2312"/>
                <w:color w:val="000000" w:themeColor="text1"/>
                <w:sz w:val="30"/>
                <w:szCs w:val="30"/>
                <w:highlight w:val="none"/>
                <w14:textFill>
                  <w14:solidFill>
                    <w14:schemeClr w14:val="tx1"/>
                  </w14:solidFill>
                </w14:textFill>
              </w:rPr>
            </w:pPr>
          </w:p>
        </w:tc>
        <w:tc>
          <w:tcPr>
            <w:tcW w:w="1058" w:type="dxa"/>
          </w:tcPr>
          <w:p w14:paraId="64C655C6">
            <w:pPr>
              <w:rPr>
                <w:rFonts w:eastAsia="仿宋_GB2312"/>
                <w:color w:val="000000" w:themeColor="text1"/>
                <w:sz w:val="30"/>
                <w:szCs w:val="30"/>
                <w:highlight w:val="none"/>
                <w14:textFill>
                  <w14:solidFill>
                    <w14:schemeClr w14:val="tx1"/>
                  </w14:solidFill>
                </w14:textFill>
              </w:rPr>
            </w:pPr>
          </w:p>
        </w:tc>
        <w:tc>
          <w:tcPr>
            <w:tcW w:w="880" w:type="dxa"/>
          </w:tcPr>
          <w:p w14:paraId="7D795071">
            <w:pPr>
              <w:rPr>
                <w:rFonts w:eastAsia="仿宋_GB2312"/>
                <w:color w:val="000000" w:themeColor="text1"/>
                <w:sz w:val="30"/>
                <w:szCs w:val="30"/>
                <w:highlight w:val="none"/>
                <w14:textFill>
                  <w14:solidFill>
                    <w14:schemeClr w14:val="tx1"/>
                  </w14:solidFill>
                </w14:textFill>
              </w:rPr>
            </w:pPr>
          </w:p>
        </w:tc>
        <w:tc>
          <w:tcPr>
            <w:tcW w:w="1020" w:type="dxa"/>
          </w:tcPr>
          <w:p w14:paraId="5D09F885">
            <w:pPr>
              <w:rPr>
                <w:rFonts w:eastAsia="仿宋_GB2312"/>
                <w:color w:val="000000" w:themeColor="text1"/>
                <w:sz w:val="30"/>
                <w:szCs w:val="30"/>
                <w:highlight w:val="none"/>
                <w14:textFill>
                  <w14:solidFill>
                    <w14:schemeClr w14:val="tx1"/>
                  </w14:solidFill>
                </w14:textFill>
              </w:rPr>
            </w:pPr>
          </w:p>
        </w:tc>
        <w:tc>
          <w:tcPr>
            <w:tcW w:w="1480" w:type="dxa"/>
          </w:tcPr>
          <w:p w14:paraId="77C79BF0">
            <w:pPr>
              <w:rPr>
                <w:rFonts w:eastAsia="仿宋_GB2312"/>
                <w:color w:val="000000" w:themeColor="text1"/>
                <w:sz w:val="30"/>
                <w:szCs w:val="30"/>
                <w:highlight w:val="none"/>
                <w14:textFill>
                  <w14:solidFill>
                    <w14:schemeClr w14:val="tx1"/>
                  </w14:solidFill>
                </w14:textFill>
              </w:rPr>
            </w:pPr>
          </w:p>
        </w:tc>
        <w:tc>
          <w:tcPr>
            <w:tcW w:w="1020" w:type="dxa"/>
          </w:tcPr>
          <w:p w14:paraId="30672C81">
            <w:pPr>
              <w:rPr>
                <w:rFonts w:eastAsia="仿宋_GB2312"/>
                <w:color w:val="000000" w:themeColor="text1"/>
                <w:sz w:val="30"/>
                <w:szCs w:val="30"/>
                <w:highlight w:val="none"/>
                <w14:textFill>
                  <w14:solidFill>
                    <w14:schemeClr w14:val="tx1"/>
                  </w14:solidFill>
                </w14:textFill>
              </w:rPr>
            </w:pPr>
          </w:p>
        </w:tc>
        <w:tc>
          <w:tcPr>
            <w:tcW w:w="921" w:type="dxa"/>
          </w:tcPr>
          <w:p w14:paraId="4196FFFC">
            <w:pPr>
              <w:rPr>
                <w:rFonts w:eastAsia="仿宋_GB2312"/>
                <w:color w:val="000000" w:themeColor="text1"/>
                <w:sz w:val="30"/>
                <w:szCs w:val="30"/>
                <w:highlight w:val="none"/>
                <w14:textFill>
                  <w14:solidFill>
                    <w14:schemeClr w14:val="tx1"/>
                  </w14:solidFill>
                </w14:textFill>
              </w:rPr>
            </w:pPr>
          </w:p>
        </w:tc>
      </w:tr>
      <w:tr w14:paraId="4664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308FEE8E">
            <w:pPr>
              <w:rPr>
                <w:rFonts w:eastAsia="仿宋_GB2312"/>
                <w:color w:val="000000" w:themeColor="text1"/>
                <w:sz w:val="30"/>
                <w:szCs w:val="30"/>
                <w:highlight w:val="none"/>
                <w14:textFill>
                  <w14:solidFill>
                    <w14:schemeClr w14:val="tx1"/>
                  </w14:solidFill>
                </w14:textFill>
              </w:rPr>
            </w:pPr>
          </w:p>
        </w:tc>
        <w:tc>
          <w:tcPr>
            <w:tcW w:w="1418" w:type="dxa"/>
          </w:tcPr>
          <w:p w14:paraId="41BF2263">
            <w:pPr>
              <w:rPr>
                <w:rFonts w:eastAsia="仿宋_GB2312"/>
                <w:color w:val="000000" w:themeColor="text1"/>
                <w:sz w:val="30"/>
                <w:szCs w:val="30"/>
                <w:highlight w:val="none"/>
                <w14:textFill>
                  <w14:solidFill>
                    <w14:schemeClr w14:val="tx1"/>
                  </w14:solidFill>
                </w14:textFill>
              </w:rPr>
            </w:pPr>
          </w:p>
        </w:tc>
        <w:tc>
          <w:tcPr>
            <w:tcW w:w="850" w:type="dxa"/>
          </w:tcPr>
          <w:p w14:paraId="27D827A4">
            <w:pPr>
              <w:rPr>
                <w:rFonts w:eastAsia="仿宋_GB2312"/>
                <w:color w:val="000000" w:themeColor="text1"/>
                <w:sz w:val="30"/>
                <w:szCs w:val="30"/>
                <w:highlight w:val="none"/>
                <w14:textFill>
                  <w14:solidFill>
                    <w14:schemeClr w14:val="tx1"/>
                  </w14:solidFill>
                </w14:textFill>
              </w:rPr>
            </w:pPr>
          </w:p>
        </w:tc>
        <w:tc>
          <w:tcPr>
            <w:tcW w:w="1058" w:type="dxa"/>
          </w:tcPr>
          <w:p w14:paraId="76332BBD">
            <w:pPr>
              <w:rPr>
                <w:rFonts w:eastAsia="仿宋_GB2312"/>
                <w:color w:val="000000" w:themeColor="text1"/>
                <w:sz w:val="30"/>
                <w:szCs w:val="30"/>
                <w:highlight w:val="none"/>
                <w14:textFill>
                  <w14:solidFill>
                    <w14:schemeClr w14:val="tx1"/>
                  </w14:solidFill>
                </w14:textFill>
              </w:rPr>
            </w:pPr>
          </w:p>
        </w:tc>
        <w:tc>
          <w:tcPr>
            <w:tcW w:w="880" w:type="dxa"/>
          </w:tcPr>
          <w:p w14:paraId="4EA9044C">
            <w:pPr>
              <w:rPr>
                <w:rFonts w:eastAsia="仿宋_GB2312"/>
                <w:color w:val="000000" w:themeColor="text1"/>
                <w:sz w:val="30"/>
                <w:szCs w:val="30"/>
                <w:highlight w:val="none"/>
                <w14:textFill>
                  <w14:solidFill>
                    <w14:schemeClr w14:val="tx1"/>
                  </w14:solidFill>
                </w14:textFill>
              </w:rPr>
            </w:pPr>
          </w:p>
        </w:tc>
        <w:tc>
          <w:tcPr>
            <w:tcW w:w="1020" w:type="dxa"/>
          </w:tcPr>
          <w:p w14:paraId="394B03DE">
            <w:pPr>
              <w:rPr>
                <w:rFonts w:eastAsia="仿宋_GB2312"/>
                <w:color w:val="000000" w:themeColor="text1"/>
                <w:sz w:val="30"/>
                <w:szCs w:val="30"/>
                <w:highlight w:val="none"/>
                <w14:textFill>
                  <w14:solidFill>
                    <w14:schemeClr w14:val="tx1"/>
                  </w14:solidFill>
                </w14:textFill>
              </w:rPr>
            </w:pPr>
          </w:p>
        </w:tc>
        <w:tc>
          <w:tcPr>
            <w:tcW w:w="1480" w:type="dxa"/>
          </w:tcPr>
          <w:p w14:paraId="25F8ADBD">
            <w:pPr>
              <w:rPr>
                <w:rFonts w:eastAsia="仿宋_GB2312"/>
                <w:color w:val="000000" w:themeColor="text1"/>
                <w:sz w:val="30"/>
                <w:szCs w:val="30"/>
                <w:highlight w:val="none"/>
                <w14:textFill>
                  <w14:solidFill>
                    <w14:schemeClr w14:val="tx1"/>
                  </w14:solidFill>
                </w14:textFill>
              </w:rPr>
            </w:pPr>
          </w:p>
        </w:tc>
        <w:tc>
          <w:tcPr>
            <w:tcW w:w="1020" w:type="dxa"/>
          </w:tcPr>
          <w:p w14:paraId="1A9A27A6">
            <w:pPr>
              <w:rPr>
                <w:rFonts w:eastAsia="仿宋_GB2312"/>
                <w:color w:val="000000" w:themeColor="text1"/>
                <w:sz w:val="30"/>
                <w:szCs w:val="30"/>
                <w:highlight w:val="none"/>
                <w14:textFill>
                  <w14:solidFill>
                    <w14:schemeClr w14:val="tx1"/>
                  </w14:solidFill>
                </w14:textFill>
              </w:rPr>
            </w:pPr>
          </w:p>
        </w:tc>
        <w:tc>
          <w:tcPr>
            <w:tcW w:w="921" w:type="dxa"/>
          </w:tcPr>
          <w:p w14:paraId="0E9FE866">
            <w:pPr>
              <w:rPr>
                <w:rFonts w:eastAsia="仿宋_GB2312"/>
                <w:color w:val="000000" w:themeColor="text1"/>
                <w:sz w:val="30"/>
                <w:szCs w:val="30"/>
                <w:highlight w:val="none"/>
                <w14:textFill>
                  <w14:solidFill>
                    <w14:schemeClr w14:val="tx1"/>
                  </w14:solidFill>
                </w14:textFill>
              </w:rPr>
            </w:pPr>
          </w:p>
        </w:tc>
      </w:tr>
      <w:tr w14:paraId="0938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FA7032B">
            <w:pPr>
              <w:rPr>
                <w:rFonts w:eastAsia="仿宋_GB2312"/>
                <w:color w:val="000000" w:themeColor="text1"/>
                <w:sz w:val="30"/>
                <w:szCs w:val="30"/>
                <w:highlight w:val="none"/>
                <w14:textFill>
                  <w14:solidFill>
                    <w14:schemeClr w14:val="tx1"/>
                  </w14:solidFill>
                </w14:textFill>
              </w:rPr>
            </w:pPr>
          </w:p>
        </w:tc>
        <w:tc>
          <w:tcPr>
            <w:tcW w:w="1418" w:type="dxa"/>
          </w:tcPr>
          <w:p w14:paraId="190346D2">
            <w:pPr>
              <w:rPr>
                <w:rFonts w:eastAsia="仿宋_GB2312"/>
                <w:color w:val="000000" w:themeColor="text1"/>
                <w:sz w:val="30"/>
                <w:szCs w:val="30"/>
                <w:highlight w:val="none"/>
                <w14:textFill>
                  <w14:solidFill>
                    <w14:schemeClr w14:val="tx1"/>
                  </w14:solidFill>
                </w14:textFill>
              </w:rPr>
            </w:pPr>
          </w:p>
        </w:tc>
        <w:tc>
          <w:tcPr>
            <w:tcW w:w="850" w:type="dxa"/>
          </w:tcPr>
          <w:p w14:paraId="2468CA7D">
            <w:pPr>
              <w:rPr>
                <w:rFonts w:eastAsia="仿宋_GB2312"/>
                <w:color w:val="000000" w:themeColor="text1"/>
                <w:sz w:val="30"/>
                <w:szCs w:val="30"/>
                <w:highlight w:val="none"/>
                <w14:textFill>
                  <w14:solidFill>
                    <w14:schemeClr w14:val="tx1"/>
                  </w14:solidFill>
                </w14:textFill>
              </w:rPr>
            </w:pPr>
          </w:p>
        </w:tc>
        <w:tc>
          <w:tcPr>
            <w:tcW w:w="1058" w:type="dxa"/>
          </w:tcPr>
          <w:p w14:paraId="66F40387">
            <w:pPr>
              <w:rPr>
                <w:rFonts w:eastAsia="仿宋_GB2312"/>
                <w:color w:val="000000" w:themeColor="text1"/>
                <w:sz w:val="30"/>
                <w:szCs w:val="30"/>
                <w:highlight w:val="none"/>
                <w14:textFill>
                  <w14:solidFill>
                    <w14:schemeClr w14:val="tx1"/>
                  </w14:solidFill>
                </w14:textFill>
              </w:rPr>
            </w:pPr>
          </w:p>
        </w:tc>
        <w:tc>
          <w:tcPr>
            <w:tcW w:w="880" w:type="dxa"/>
          </w:tcPr>
          <w:p w14:paraId="0DBBBBE4">
            <w:pPr>
              <w:rPr>
                <w:rFonts w:eastAsia="仿宋_GB2312"/>
                <w:color w:val="000000" w:themeColor="text1"/>
                <w:sz w:val="30"/>
                <w:szCs w:val="30"/>
                <w:highlight w:val="none"/>
                <w14:textFill>
                  <w14:solidFill>
                    <w14:schemeClr w14:val="tx1"/>
                  </w14:solidFill>
                </w14:textFill>
              </w:rPr>
            </w:pPr>
          </w:p>
        </w:tc>
        <w:tc>
          <w:tcPr>
            <w:tcW w:w="1020" w:type="dxa"/>
          </w:tcPr>
          <w:p w14:paraId="39BC3BDB">
            <w:pPr>
              <w:rPr>
                <w:rFonts w:eastAsia="仿宋_GB2312"/>
                <w:color w:val="000000" w:themeColor="text1"/>
                <w:sz w:val="30"/>
                <w:szCs w:val="30"/>
                <w:highlight w:val="none"/>
                <w14:textFill>
                  <w14:solidFill>
                    <w14:schemeClr w14:val="tx1"/>
                  </w14:solidFill>
                </w14:textFill>
              </w:rPr>
            </w:pPr>
          </w:p>
        </w:tc>
        <w:tc>
          <w:tcPr>
            <w:tcW w:w="1480" w:type="dxa"/>
          </w:tcPr>
          <w:p w14:paraId="750ACA86">
            <w:pPr>
              <w:rPr>
                <w:rFonts w:eastAsia="仿宋_GB2312"/>
                <w:color w:val="000000" w:themeColor="text1"/>
                <w:sz w:val="30"/>
                <w:szCs w:val="30"/>
                <w:highlight w:val="none"/>
                <w14:textFill>
                  <w14:solidFill>
                    <w14:schemeClr w14:val="tx1"/>
                  </w14:solidFill>
                </w14:textFill>
              </w:rPr>
            </w:pPr>
          </w:p>
        </w:tc>
        <w:tc>
          <w:tcPr>
            <w:tcW w:w="1020" w:type="dxa"/>
          </w:tcPr>
          <w:p w14:paraId="2290233B">
            <w:pPr>
              <w:rPr>
                <w:rFonts w:eastAsia="仿宋_GB2312"/>
                <w:color w:val="000000" w:themeColor="text1"/>
                <w:sz w:val="30"/>
                <w:szCs w:val="30"/>
                <w:highlight w:val="none"/>
                <w14:textFill>
                  <w14:solidFill>
                    <w14:schemeClr w14:val="tx1"/>
                  </w14:solidFill>
                </w14:textFill>
              </w:rPr>
            </w:pPr>
          </w:p>
        </w:tc>
        <w:tc>
          <w:tcPr>
            <w:tcW w:w="921" w:type="dxa"/>
          </w:tcPr>
          <w:p w14:paraId="2803DD0E">
            <w:pPr>
              <w:rPr>
                <w:rFonts w:eastAsia="仿宋_GB2312"/>
                <w:color w:val="000000" w:themeColor="text1"/>
                <w:sz w:val="30"/>
                <w:szCs w:val="30"/>
                <w:highlight w:val="none"/>
                <w14:textFill>
                  <w14:solidFill>
                    <w14:schemeClr w14:val="tx1"/>
                  </w14:solidFill>
                </w14:textFill>
              </w:rPr>
            </w:pPr>
          </w:p>
        </w:tc>
      </w:tr>
      <w:tr w14:paraId="51A1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4EA0106">
            <w:pPr>
              <w:rPr>
                <w:rFonts w:eastAsia="仿宋_GB2312"/>
                <w:color w:val="000000" w:themeColor="text1"/>
                <w:sz w:val="30"/>
                <w:szCs w:val="30"/>
                <w:highlight w:val="none"/>
                <w14:textFill>
                  <w14:solidFill>
                    <w14:schemeClr w14:val="tx1"/>
                  </w14:solidFill>
                </w14:textFill>
              </w:rPr>
            </w:pPr>
          </w:p>
        </w:tc>
        <w:tc>
          <w:tcPr>
            <w:tcW w:w="1418" w:type="dxa"/>
          </w:tcPr>
          <w:p w14:paraId="2DDAC52B">
            <w:pPr>
              <w:rPr>
                <w:rFonts w:eastAsia="仿宋_GB2312"/>
                <w:color w:val="000000" w:themeColor="text1"/>
                <w:sz w:val="30"/>
                <w:szCs w:val="30"/>
                <w:highlight w:val="none"/>
                <w14:textFill>
                  <w14:solidFill>
                    <w14:schemeClr w14:val="tx1"/>
                  </w14:solidFill>
                </w14:textFill>
              </w:rPr>
            </w:pPr>
          </w:p>
        </w:tc>
        <w:tc>
          <w:tcPr>
            <w:tcW w:w="850" w:type="dxa"/>
          </w:tcPr>
          <w:p w14:paraId="48BCB517">
            <w:pPr>
              <w:rPr>
                <w:rFonts w:eastAsia="仿宋_GB2312"/>
                <w:color w:val="000000" w:themeColor="text1"/>
                <w:sz w:val="30"/>
                <w:szCs w:val="30"/>
                <w:highlight w:val="none"/>
                <w14:textFill>
                  <w14:solidFill>
                    <w14:schemeClr w14:val="tx1"/>
                  </w14:solidFill>
                </w14:textFill>
              </w:rPr>
            </w:pPr>
          </w:p>
        </w:tc>
        <w:tc>
          <w:tcPr>
            <w:tcW w:w="1058" w:type="dxa"/>
          </w:tcPr>
          <w:p w14:paraId="13C9F6FB">
            <w:pPr>
              <w:rPr>
                <w:rFonts w:eastAsia="仿宋_GB2312"/>
                <w:color w:val="000000" w:themeColor="text1"/>
                <w:sz w:val="30"/>
                <w:szCs w:val="30"/>
                <w:highlight w:val="none"/>
                <w14:textFill>
                  <w14:solidFill>
                    <w14:schemeClr w14:val="tx1"/>
                  </w14:solidFill>
                </w14:textFill>
              </w:rPr>
            </w:pPr>
          </w:p>
        </w:tc>
        <w:tc>
          <w:tcPr>
            <w:tcW w:w="880" w:type="dxa"/>
          </w:tcPr>
          <w:p w14:paraId="411C3FA6">
            <w:pPr>
              <w:rPr>
                <w:rFonts w:eastAsia="仿宋_GB2312"/>
                <w:color w:val="000000" w:themeColor="text1"/>
                <w:sz w:val="30"/>
                <w:szCs w:val="30"/>
                <w:highlight w:val="none"/>
                <w14:textFill>
                  <w14:solidFill>
                    <w14:schemeClr w14:val="tx1"/>
                  </w14:solidFill>
                </w14:textFill>
              </w:rPr>
            </w:pPr>
          </w:p>
        </w:tc>
        <w:tc>
          <w:tcPr>
            <w:tcW w:w="1020" w:type="dxa"/>
          </w:tcPr>
          <w:p w14:paraId="51D103D7">
            <w:pPr>
              <w:rPr>
                <w:rFonts w:eastAsia="仿宋_GB2312"/>
                <w:color w:val="000000" w:themeColor="text1"/>
                <w:sz w:val="30"/>
                <w:szCs w:val="30"/>
                <w:highlight w:val="none"/>
                <w14:textFill>
                  <w14:solidFill>
                    <w14:schemeClr w14:val="tx1"/>
                  </w14:solidFill>
                </w14:textFill>
              </w:rPr>
            </w:pPr>
          </w:p>
        </w:tc>
        <w:tc>
          <w:tcPr>
            <w:tcW w:w="1480" w:type="dxa"/>
          </w:tcPr>
          <w:p w14:paraId="273309CC">
            <w:pPr>
              <w:rPr>
                <w:rFonts w:eastAsia="仿宋_GB2312"/>
                <w:color w:val="000000" w:themeColor="text1"/>
                <w:sz w:val="30"/>
                <w:szCs w:val="30"/>
                <w:highlight w:val="none"/>
                <w14:textFill>
                  <w14:solidFill>
                    <w14:schemeClr w14:val="tx1"/>
                  </w14:solidFill>
                </w14:textFill>
              </w:rPr>
            </w:pPr>
          </w:p>
        </w:tc>
        <w:tc>
          <w:tcPr>
            <w:tcW w:w="1020" w:type="dxa"/>
          </w:tcPr>
          <w:p w14:paraId="1A93AF74">
            <w:pPr>
              <w:rPr>
                <w:rFonts w:eastAsia="仿宋_GB2312"/>
                <w:color w:val="000000" w:themeColor="text1"/>
                <w:sz w:val="30"/>
                <w:szCs w:val="30"/>
                <w:highlight w:val="none"/>
                <w14:textFill>
                  <w14:solidFill>
                    <w14:schemeClr w14:val="tx1"/>
                  </w14:solidFill>
                </w14:textFill>
              </w:rPr>
            </w:pPr>
          </w:p>
        </w:tc>
        <w:tc>
          <w:tcPr>
            <w:tcW w:w="921" w:type="dxa"/>
          </w:tcPr>
          <w:p w14:paraId="4EFD47FF">
            <w:pPr>
              <w:rPr>
                <w:rFonts w:eastAsia="仿宋_GB2312"/>
                <w:color w:val="000000" w:themeColor="text1"/>
                <w:sz w:val="30"/>
                <w:szCs w:val="30"/>
                <w:highlight w:val="none"/>
                <w14:textFill>
                  <w14:solidFill>
                    <w14:schemeClr w14:val="tx1"/>
                  </w14:solidFill>
                </w14:textFill>
              </w:rPr>
            </w:pPr>
          </w:p>
        </w:tc>
      </w:tr>
      <w:tr w14:paraId="179E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441957BA">
            <w:pPr>
              <w:rPr>
                <w:rFonts w:eastAsia="仿宋_GB2312"/>
                <w:color w:val="000000" w:themeColor="text1"/>
                <w:sz w:val="30"/>
                <w:szCs w:val="30"/>
                <w:highlight w:val="none"/>
                <w14:textFill>
                  <w14:solidFill>
                    <w14:schemeClr w14:val="tx1"/>
                  </w14:solidFill>
                </w14:textFill>
              </w:rPr>
            </w:pPr>
          </w:p>
        </w:tc>
        <w:tc>
          <w:tcPr>
            <w:tcW w:w="1418" w:type="dxa"/>
          </w:tcPr>
          <w:p w14:paraId="5CF3E7CE">
            <w:pPr>
              <w:rPr>
                <w:rFonts w:eastAsia="仿宋_GB2312"/>
                <w:color w:val="000000" w:themeColor="text1"/>
                <w:sz w:val="30"/>
                <w:szCs w:val="30"/>
                <w:highlight w:val="none"/>
                <w14:textFill>
                  <w14:solidFill>
                    <w14:schemeClr w14:val="tx1"/>
                  </w14:solidFill>
                </w14:textFill>
              </w:rPr>
            </w:pPr>
          </w:p>
        </w:tc>
        <w:tc>
          <w:tcPr>
            <w:tcW w:w="850" w:type="dxa"/>
          </w:tcPr>
          <w:p w14:paraId="0B396F86">
            <w:pPr>
              <w:rPr>
                <w:rFonts w:eastAsia="仿宋_GB2312"/>
                <w:color w:val="000000" w:themeColor="text1"/>
                <w:sz w:val="30"/>
                <w:szCs w:val="30"/>
                <w:highlight w:val="none"/>
                <w14:textFill>
                  <w14:solidFill>
                    <w14:schemeClr w14:val="tx1"/>
                  </w14:solidFill>
                </w14:textFill>
              </w:rPr>
            </w:pPr>
          </w:p>
        </w:tc>
        <w:tc>
          <w:tcPr>
            <w:tcW w:w="1058" w:type="dxa"/>
          </w:tcPr>
          <w:p w14:paraId="529B8E26">
            <w:pPr>
              <w:rPr>
                <w:rFonts w:eastAsia="仿宋_GB2312"/>
                <w:color w:val="000000" w:themeColor="text1"/>
                <w:sz w:val="30"/>
                <w:szCs w:val="30"/>
                <w:highlight w:val="none"/>
                <w14:textFill>
                  <w14:solidFill>
                    <w14:schemeClr w14:val="tx1"/>
                  </w14:solidFill>
                </w14:textFill>
              </w:rPr>
            </w:pPr>
          </w:p>
        </w:tc>
        <w:tc>
          <w:tcPr>
            <w:tcW w:w="880" w:type="dxa"/>
          </w:tcPr>
          <w:p w14:paraId="72268ADC">
            <w:pPr>
              <w:rPr>
                <w:rFonts w:eastAsia="仿宋_GB2312"/>
                <w:color w:val="000000" w:themeColor="text1"/>
                <w:sz w:val="30"/>
                <w:szCs w:val="30"/>
                <w:highlight w:val="none"/>
                <w14:textFill>
                  <w14:solidFill>
                    <w14:schemeClr w14:val="tx1"/>
                  </w14:solidFill>
                </w14:textFill>
              </w:rPr>
            </w:pPr>
          </w:p>
        </w:tc>
        <w:tc>
          <w:tcPr>
            <w:tcW w:w="1020" w:type="dxa"/>
          </w:tcPr>
          <w:p w14:paraId="6C3F0417">
            <w:pPr>
              <w:rPr>
                <w:rFonts w:eastAsia="仿宋_GB2312"/>
                <w:color w:val="000000" w:themeColor="text1"/>
                <w:sz w:val="30"/>
                <w:szCs w:val="30"/>
                <w:highlight w:val="none"/>
                <w14:textFill>
                  <w14:solidFill>
                    <w14:schemeClr w14:val="tx1"/>
                  </w14:solidFill>
                </w14:textFill>
              </w:rPr>
            </w:pPr>
          </w:p>
        </w:tc>
        <w:tc>
          <w:tcPr>
            <w:tcW w:w="1480" w:type="dxa"/>
          </w:tcPr>
          <w:p w14:paraId="4A53FEAB">
            <w:pPr>
              <w:rPr>
                <w:rFonts w:eastAsia="仿宋_GB2312"/>
                <w:color w:val="000000" w:themeColor="text1"/>
                <w:sz w:val="30"/>
                <w:szCs w:val="30"/>
                <w:highlight w:val="none"/>
                <w14:textFill>
                  <w14:solidFill>
                    <w14:schemeClr w14:val="tx1"/>
                  </w14:solidFill>
                </w14:textFill>
              </w:rPr>
            </w:pPr>
          </w:p>
        </w:tc>
        <w:tc>
          <w:tcPr>
            <w:tcW w:w="1020" w:type="dxa"/>
          </w:tcPr>
          <w:p w14:paraId="5DD8B31E">
            <w:pPr>
              <w:rPr>
                <w:rFonts w:eastAsia="仿宋_GB2312"/>
                <w:color w:val="000000" w:themeColor="text1"/>
                <w:sz w:val="30"/>
                <w:szCs w:val="30"/>
                <w:highlight w:val="none"/>
                <w14:textFill>
                  <w14:solidFill>
                    <w14:schemeClr w14:val="tx1"/>
                  </w14:solidFill>
                </w14:textFill>
              </w:rPr>
            </w:pPr>
          </w:p>
        </w:tc>
        <w:tc>
          <w:tcPr>
            <w:tcW w:w="921" w:type="dxa"/>
          </w:tcPr>
          <w:p w14:paraId="138A6B1E">
            <w:pPr>
              <w:rPr>
                <w:rFonts w:eastAsia="仿宋_GB2312"/>
                <w:color w:val="000000" w:themeColor="text1"/>
                <w:sz w:val="30"/>
                <w:szCs w:val="30"/>
                <w:highlight w:val="none"/>
                <w14:textFill>
                  <w14:solidFill>
                    <w14:schemeClr w14:val="tx1"/>
                  </w14:solidFill>
                </w14:textFill>
              </w:rPr>
            </w:pPr>
          </w:p>
        </w:tc>
      </w:tr>
      <w:tr w14:paraId="10C49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7C2042D3">
            <w:pPr>
              <w:rPr>
                <w:rFonts w:eastAsia="仿宋_GB2312"/>
                <w:color w:val="000000" w:themeColor="text1"/>
                <w:sz w:val="30"/>
                <w:szCs w:val="30"/>
                <w:highlight w:val="none"/>
                <w14:textFill>
                  <w14:solidFill>
                    <w14:schemeClr w14:val="tx1"/>
                  </w14:solidFill>
                </w14:textFill>
              </w:rPr>
            </w:pPr>
          </w:p>
        </w:tc>
        <w:tc>
          <w:tcPr>
            <w:tcW w:w="1418" w:type="dxa"/>
          </w:tcPr>
          <w:p w14:paraId="3D971731">
            <w:pPr>
              <w:rPr>
                <w:rFonts w:eastAsia="仿宋_GB2312"/>
                <w:color w:val="000000" w:themeColor="text1"/>
                <w:sz w:val="30"/>
                <w:szCs w:val="30"/>
                <w:highlight w:val="none"/>
                <w14:textFill>
                  <w14:solidFill>
                    <w14:schemeClr w14:val="tx1"/>
                  </w14:solidFill>
                </w14:textFill>
              </w:rPr>
            </w:pPr>
          </w:p>
        </w:tc>
        <w:tc>
          <w:tcPr>
            <w:tcW w:w="850" w:type="dxa"/>
          </w:tcPr>
          <w:p w14:paraId="6EBBD119">
            <w:pPr>
              <w:rPr>
                <w:rFonts w:eastAsia="仿宋_GB2312"/>
                <w:color w:val="000000" w:themeColor="text1"/>
                <w:sz w:val="30"/>
                <w:szCs w:val="30"/>
                <w:highlight w:val="none"/>
                <w14:textFill>
                  <w14:solidFill>
                    <w14:schemeClr w14:val="tx1"/>
                  </w14:solidFill>
                </w14:textFill>
              </w:rPr>
            </w:pPr>
          </w:p>
        </w:tc>
        <w:tc>
          <w:tcPr>
            <w:tcW w:w="1058" w:type="dxa"/>
          </w:tcPr>
          <w:p w14:paraId="7B88C3A6">
            <w:pPr>
              <w:rPr>
                <w:rFonts w:eastAsia="仿宋_GB2312"/>
                <w:color w:val="000000" w:themeColor="text1"/>
                <w:sz w:val="30"/>
                <w:szCs w:val="30"/>
                <w:highlight w:val="none"/>
                <w14:textFill>
                  <w14:solidFill>
                    <w14:schemeClr w14:val="tx1"/>
                  </w14:solidFill>
                </w14:textFill>
              </w:rPr>
            </w:pPr>
          </w:p>
        </w:tc>
        <w:tc>
          <w:tcPr>
            <w:tcW w:w="880" w:type="dxa"/>
          </w:tcPr>
          <w:p w14:paraId="1D87EA13">
            <w:pPr>
              <w:rPr>
                <w:rFonts w:eastAsia="仿宋_GB2312"/>
                <w:color w:val="000000" w:themeColor="text1"/>
                <w:sz w:val="30"/>
                <w:szCs w:val="30"/>
                <w:highlight w:val="none"/>
                <w14:textFill>
                  <w14:solidFill>
                    <w14:schemeClr w14:val="tx1"/>
                  </w14:solidFill>
                </w14:textFill>
              </w:rPr>
            </w:pPr>
          </w:p>
        </w:tc>
        <w:tc>
          <w:tcPr>
            <w:tcW w:w="1020" w:type="dxa"/>
          </w:tcPr>
          <w:p w14:paraId="21A49C4D">
            <w:pPr>
              <w:rPr>
                <w:rFonts w:eastAsia="仿宋_GB2312"/>
                <w:color w:val="000000" w:themeColor="text1"/>
                <w:sz w:val="30"/>
                <w:szCs w:val="30"/>
                <w:highlight w:val="none"/>
                <w14:textFill>
                  <w14:solidFill>
                    <w14:schemeClr w14:val="tx1"/>
                  </w14:solidFill>
                </w14:textFill>
              </w:rPr>
            </w:pPr>
          </w:p>
        </w:tc>
        <w:tc>
          <w:tcPr>
            <w:tcW w:w="1480" w:type="dxa"/>
          </w:tcPr>
          <w:p w14:paraId="57ED63AB">
            <w:pPr>
              <w:rPr>
                <w:rFonts w:eastAsia="仿宋_GB2312"/>
                <w:color w:val="000000" w:themeColor="text1"/>
                <w:sz w:val="30"/>
                <w:szCs w:val="30"/>
                <w:highlight w:val="none"/>
                <w14:textFill>
                  <w14:solidFill>
                    <w14:schemeClr w14:val="tx1"/>
                  </w14:solidFill>
                </w14:textFill>
              </w:rPr>
            </w:pPr>
          </w:p>
        </w:tc>
        <w:tc>
          <w:tcPr>
            <w:tcW w:w="1020" w:type="dxa"/>
          </w:tcPr>
          <w:p w14:paraId="6278EB45">
            <w:pPr>
              <w:rPr>
                <w:rFonts w:eastAsia="仿宋_GB2312"/>
                <w:color w:val="000000" w:themeColor="text1"/>
                <w:sz w:val="30"/>
                <w:szCs w:val="30"/>
                <w:highlight w:val="none"/>
                <w14:textFill>
                  <w14:solidFill>
                    <w14:schemeClr w14:val="tx1"/>
                  </w14:solidFill>
                </w14:textFill>
              </w:rPr>
            </w:pPr>
          </w:p>
        </w:tc>
        <w:tc>
          <w:tcPr>
            <w:tcW w:w="921" w:type="dxa"/>
          </w:tcPr>
          <w:p w14:paraId="4A256F3A">
            <w:pPr>
              <w:rPr>
                <w:rFonts w:eastAsia="仿宋_GB2312"/>
                <w:color w:val="000000" w:themeColor="text1"/>
                <w:sz w:val="30"/>
                <w:szCs w:val="30"/>
                <w:highlight w:val="none"/>
                <w14:textFill>
                  <w14:solidFill>
                    <w14:schemeClr w14:val="tx1"/>
                  </w14:solidFill>
                </w14:textFill>
              </w:rPr>
            </w:pPr>
          </w:p>
        </w:tc>
      </w:tr>
      <w:tr w14:paraId="5045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144171AE">
            <w:pPr>
              <w:rPr>
                <w:rFonts w:eastAsia="仿宋_GB2312"/>
                <w:color w:val="000000" w:themeColor="text1"/>
                <w:sz w:val="30"/>
                <w:szCs w:val="30"/>
                <w:highlight w:val="none"/>
                <w14:textFill>
                  <w14:solidFill>
                    <w14:schemeClr w14:val="tx1"/>
                  </w14:solidFill>
                </w14:textFill>
              </w:rPr>
            </w:pPr>
          </w:p>
        </w:tc>
        <w:tc>
          <w:tcPr>
            <w:tcW w:w="1418" w:type="dxa"/>
          </w:tcPr>
          <w:p w14:paraId="7F8AA5F9">
            <w:pPr>
              <w:rPr>
                <w:rFonts w:eastAsia="仿宋_GB2312"/>
                <w:color w:val="000000" w:themeColor="text1"/>
                <w:sz w:val="30"/>
                <w:szCs w:val="30"/>
                <w:highlight w:val="none"/>
                <w14:textFill>
                  <w14:solidFill>
                    <w14:schemeClr w14:val="tx1"/>
                  </w14:solidFill>
                </w14:textFill>
              </w:rPr>
            </w:pPr>
          </w:p>
        </w:tc>
        <w:tc>
          <w:tcPr>
            <w:tcW w:w="850" w:type="dxa"/>
          </w:tcPr>
          <w:p w14:paraId="06677AA8">
            <w:pPr>
              <w:rPr>
                <w:rFonts w:eastAsia="仿宋_GB2312"/>
                <w:color w:val="000000" w:themeColor="text1"/>
                <w:sz w:val="30"/>
                <w:szCs w:val="30"/>
                <w:highlight w:val="none"/>
                <w14:textFill>
                  <w14:solidFill>
                    <w14:schemeClr w14:val="tx1"/>
                  </w14:solidFill>
                </w14:textFill>
              </w:rPr>
            </w:pPr>
          </w:p>
        </w:tc>
        <w:tc>
          <w:tcPr>
            <w:tcW w:w="1058" w:type="dxa"/>
          </w:tcPr>
          <w:p w14:paraId="7CB8299C">
            <w:pPr>
              <w:rPr>
                <w:rFonts w:eastAsia="仿宋_GB2312"/>
                <w:color w:val="000000" w:themeColor="text1"/>
                <w:sz w:val="30"/>
                <w:szCs w:val="30"/>
                <w:highlight w:val="none"/>
                <w14:textFill>
                  <w14:solidFill>
                    <w14:schemeClr w14:val="tx1"/>
                  </w14:solidFill>
                </w14:textFill>
              </w:rPr>
            </w:pPr>
          </w:p>
        </w:tc>
        <w:tc>
          <w:tcPr>
            <w:tcW w:w="880" w:type="dxa"/>
          </w:tcPr>
          <w:p w14:paraId="6B74D10B">
            <w:pPr>
              <w:rPr>
                <w:rFonts w:eastAsia="仿宋_GB2312"/>
                <w:color w:val="000000" w:themeColor="text1"/>
                <w:sz w:val="30"/>
                <w:szCs w:val="30"/>
                <w:highlight w:val="none"/>
                <w14:textFill>
                  <w14:solidFill>
                    <w14:schemeClr w14:val="tx1"/>
                  </w14:solidFill>
                </w14:textFill>
              </w:rPr>
            </w:pPr>
          </w:p>
        </w:tc>
        <w:tc>
          <w:tcPr>
            <w:tcW w:w="1020" w:type="dxa"/>
          </w:tcPr>
          <w:p w14:paraId="0562C7BE">
            <w:pPr>
              <w:rPr>
                <w:rFonts w:eastAsia="仿宋_GB2312"/>
                <w:color w:val="000000" w:themeColor="text1"/>
                <w:sz w:val="30"/>
                <w:szCs w:val="30"/>
                <w:highlight w:val="none"/>
                <w14:textFill>
                  <w14:solidFill>
                    <w14:schemeClr w14:val="tx1"/>
                  </w14:solidFill>
                </w14:textFill>
              </w:rPr>
            </w:pPr>
          </w:p>
        </w:tc>
        <w:tc>
          <w:tcPr>
            <w:tcW w:w="1480" w:type="dxa"/>
          </w:tcPr>
          <w:p w14:paraId="7FAAB301">
            <w:pPr>
              <w:rPr>
                <w:rFonts w:eastAsia="仿宋_GB2312"/>
                <w:color w:val="000000" w:themeColor="text1"/>
                <w:sz w:val="30"/>
                <w:szCs w:val="30"/>
                <w:highlight w:val="none"/>
                <w14:textFill>
                  <w14:solidFill>
                    <w14:schemeClr w14:val="tx1"/>
                  </w14:solidFill>
                </w14:textFill>
              </w:rPr>
            </w:pPr>
          </w:p>
        </w:tc>
        <w:tc>
          <w:tcPr>
            <w:tcW w:w="1020" w:type="dxa"/>
          </w:tcPr>
          <w:p w14:paraId="2EA4EC74">
            <w:pPr>
              <w:rPr>
                <w:rFonts w:eastAsia="仿宋_GB2312"/>
                <w:color w:val="000000" w:themeColor="text1"/>
                <w:sz w:val="30"/>
                <w:szCs w:val="30"/>
                <w:highlight w:val="none"/>
                <w14:textFill>
                  <w14:solidFill>
                    <w14:schemeClr w14:val="tx1"/>
                  </w14:solidFill>
                </w14:textFill>
              </w:rPr>
            </w:pPr>
          </w:p>
        </w:tc>
        <w:tc>
          <w:tcPr>
            <w:tcW w:w="921" w:type="dxa"/>
          </w:tcPr>
          <w:p w14:paraId="021DA7DC">
            <w:pPr>
              <w:rPr>
                <w:rFonts w:eastAsia="仿宋_GB2312"/>
                <w:color w:val="000000" w:themeColor="text1"/>
                <w:sz w:val="30"/>
                <w:szCs w:val="30"/>
                <w:highlight w:val="none"/>
                <w14:textFill>
                  <w14:solidFill>
                    <w14:schemeClr w14:val="tx1"/>
                  </w14:solidFill>
                </w14:textFill>
              </w:rPr>
            </w:pPr>
          </w:p>
        </w:tc>
      </w:tr>
      <w:tr w14:paraId="78F6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6A3473BD">
            <w:pPr>
              <w:rPr>
                <w:rFonts w:eastAsia="仿宋_GB2312"/>
                <w:color w:val="000000" w:themeColor="text1"/>
                <w:sz w:val="30"/>
                <w:szCs w:val="30"/>
                <w:highlight w:val="none"/>
                <w14:textFill>
                  <w14:solidFill>
                    <w14:schemeClr w14:val="tx1"/>
                  </w14:solidFill>
                </w14:textFill>
              </w:rPr>
            </w:pPr>
          </w:p>
        </w:tc>
        <w:tc>
          <w:tcPr>
            <w:tcW w:w="1418" w:type="dxa"/>
          </w:tcPr>
          <w:p w14:paraId="0B6B4812">
            <w:pPr>
              <w:rPr>
                <w:rFonts w:eastAsia="仿宋_GB2312"/>
                <w:color w:val="000000" w:themeColor="text1"/>
                <w:sz w:val="30"/>
                <w:szCs w:val="30"/>
                <w:highlight w:val="none"/>
                <w14:textFill>
                  <w14:solidFill>
                    <w14:schemeClr w14:val="tx1"/>
                  </w14:solidFill>
                </w14:textFill>
              </w:rPr>
            </w:pPr>
          </w:p>
        </w:tc>
        <w:tc>
          <w:tcPr>
            <w:tcW w:w="850" w:type="dxa"/>
          </w:tcPr>
          <w:p w14:paraId="3A687B7F">
            <w:pPr>
              <w:rPr>
                <w:rFonts w:eastAsia="仿宋_GB2312"/>
                <w:color w:val="000000" w:themeColor="text1"/>
                <w:sz w:val="30"/>
                <w:szCs w:val="30"/>
                <w:highlight w:val="none"/>
                <w14:textFill>
                  <w14:solidFill>
                    <w14:schemeClr w14:val="tx1"/>
                  </w14:solidFill>
                </w14:textFill>
              </w:rPr>
            </w:pPr>
          </w:p>
        </w:tc>
        <w:tc>
          <w:tcPr>
            <w:tcW w:w="1058" w:type="dxa"/>
          </w:tcPr>
          <w:p w14:paraId="01398E18">
            <w:pPr>
              <w:rPr>
                <w:rFonts w:eastAsia="仿宋_GB2312"/>
                <w:color w:val="000000" w:themeColor="text1"/>
                <w:sz w:val="30"/>
                <w:szCs w:val="30"/>
                <w:highlight w:val="none"/>
                <w14:textFill>
                  <w14:solidFill>
                    <w14:schemeClr w14:val="tx1"/>
                  </w14:solidFill>
                </w14:textFill>
              </w:rPr>
            </w:pPr>
          </w:p>
        </w:tc>
        <w:tc>
          <w:tcPr>
            <w:tcW w:w="880" w:type="dxa"/>
          </w:tcPr>
          <w:p w14:paraId="71D88305">
            <w:pPr>
              <w:rPr>
                <w:rFonts w:eastAsia="仿宋_GB2312"/>
                <w:color w:val="000000" w:themeColor="text1"/>
                <w:sz w:val="30"/>
                <w:szCs w:val="30"/>
                <w:highlight w:val="none"/>
                <w14:textFill>
                  <w14:solidFill>
                    <w14:schemeClr w14:val="tx1"/>
                  </w14:solidFill>
                </w14:textFill>
              </w:rPr>
            </w:pPr>
          </w:p>
        </w:tc>
        <w:tc>
          <w:tcPr>
            <w:tcW w:w="1020" w:type="dxa"/>
          </w:tcPr>
          <w:p w14:paraId="4FC71794">
            <w:pPr>
              <w:rPr>
                <w:rFonts w:eastAsia="仿宋_GB2312"/>
                <w:color w:val="000000" w:themeColor="text1"/>
                <w:sz w:val="30"/>
                <w:szCs w:val="30"/>
                <w:highlight w:val="none"/>
                <w14:textFill>
                  <w14:solidFill>
                    <w14:schemeClr w14:val="tx1"/>
                  </w14:solidFill>
                </w14:textFill>
              </w:rPr>
            </w:pPr>
          </w:p>
        </w:tc>
        <w:tc>
          <w:tcPr>
            <w:tcW w:w="1480" w:type="dxa"/>
          </w:tcPr>
          <w:p w14:paraId="2E08F9E5">
            <w:pPr>
              <w:rPr>
                <w:rFonts w:eastAsia="仿宋_GB2312"/>
                <w:color w:val="000000" w:themeColor="text1"/>
                <w:sz w:val="30"/>
                <w:szCs w:val="30"/>
                <w:highlight w:val="none"/>
                <w14:textFill>
                  <w14:solidFill>
                    <w14:schemeClr w14:val="tx1"/>
                  </w14:solidFill>
                </w14:textFill>
              </w:rPr>
            </w:pPr>
          </w:p>
        </w:tc>
        <w:tc>
          <w:tcPr>
            <w:tcW w:w="1020" w:type="dxa"/>
          </w:tcPr>
          <w:p w14:paraId="49115CCE">
            <w:pPr>
              <w:rPr>
                <w:rFonts w:eastAsia="仿宋_GB2312"/>
                <w:color w:val="000000" w:themeColor="text1"/>
                <w:sz w:val="30"/>
                <w:szCs w:val="30"/>
                <w:highlight w:val="none"/>
                <w14:textFill>
                  <w14:solidFill>
                    <w14:schemeClr w14:val="tx1"/>
                  </w14:solidFill>
                </w14:textFill>
              </w:rPr>
            </w:pPr>
          </w:p>
        </w:tc>
        <w:tc>
          <w:tcPr>
            <w:tcW w:w="921" w:type="dxa"/>
          </w:tcPr>
          <w:p w14:paraId="17950DE1">
            <w:pPr>
              <w:rPr>
                <w:rFonts w:eastAsia="仿宋_GB2312"/>
                <w:color w:val="000000" w:themeColor="text1"/>
                <w:sz w:val="30"/>
                <w:szCs w:val="30"/>
                <w:highlight w:val="none"/>
                <w14:textFill>
                  <w14:solidFill>
                    <w14:schemeClr w14:val="tx1"/>
                  </w14:solidFill>
                </w14:textFill>
              </w:rPr>
            </w:pPr>
          </w:p>
        </w:tc>
      </w:tr>
      <w:tr w14:paraId="6F27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162" w:type="dxa"/>
          </w:tcPr>
          <w:p w14:paraId="52E0CE1B">
            <w:pPr>
              <w:rPr>
                <w:rFonts w:eastAsia="仿宋_GB2312"/>
                <w:color w:val="000000" w:themeColor="text1"/>
                <w:sz w:val="30"/>
                <w:szCs w:val="30"/>
                <w:highlight w:val="none"/>
                <w14:textFill>
                  <w14:solidFill>
                    <w14:schemeClr w14:val="tx1"/>
                  </w14:solidFill>
                </w14:textFill>
              </w:rPr>
            </w:pPr>
          </w:p>
        </w:tc>
        <w:tc>
          <w:tcPr>
            <w:tcW w:w="1418" w:type="dxa"/>
          </w:tcPr>
          <w:p w14:paraId="2CE88361">
            <w:pPr>
              <w:rPr>
                <w:rFonts w:eastAsia="仿宋_GB2312"/>
                <w:color w:val="000000" w:themeColor="text1"/>
                <w:sz w:val="30"/>
                <w:szCs w:val="30"/>
                <w:highlight w:val="none"/>
                <w14:textFill>
                  <w14:solidFill>
                    <w14:schemeClr w14:val="tx1"/>
                  </w14:solidFill>
                </w14:textFill>
              </w:rPr>
            </w:pPr>
          </w:p>
        </w:tc>
        <w:tc>
          <w:tcPr>
            <w:tcW w:w="850" w:type="dxa"/>
          </w:tcPr>
          <w:p w14:paraId="69EBDE4D">
            <w:pPr>
              <w:rPr>
                <w:rFonts w:eastAsia="仿宋_GB2312"/>
                <w:color w:val="000000" w:themeColor="text1"/>
                <w:sz w:val="30"/>
                <w:szCs w:val="30"/>
                <w:highlight w:val="none"/>
                <w14:textFill>
                  <w14:solidFill>
                    <w14:schemeClr w14:val="tx1"/>
                  </w14:solidFill>
                </w14:textFill>
              </w:rPr>
            </w:pPr>
          </w:p>
        </w:tc>
        <w:tc>
          <w:tcPr>
            <w:tcW w:w="1058" w:type="dxa"/>
          </w:tcPr>
          <w:p w14:paraId="266A6705">
            <w:pPr>
              <w:rPr>
                <w:rFonts w:eastAsia="仿宋_GB2312"/>
                <w:color w:val="000000" w:themeColor="text1"/>
                <w:sz w:val="30"/>
                <w:szCs w:val="30"/>
                <w:highlight w:val="none"/>
                <w14:textFill>
                  <w14:solidFill>
                    <w14:schemeClr w14:val="tx1"/>
                  </w14:solidFill>
                </w14:textFill>
              </w:rPr>
            </w:pPr>
          </w:p>
        </w:tc>
        <w:tc>
          <w:tcPr>
            <w:tcW w:w="880" w:type="dxa"/>
          </w:tcPr>
          <w:p w14:paraId="77F3FB03">
            <w:pPr>
              <w:rPr>
                <w:rFonts w:eastAsia="仿宋_GB2312"/>
                <w:color w:val="000000" w:themeColor="text1"/>
                <w:sz w:val="30"/>
                <w:szCs w:val="30"/>
                <w:highlight w:val="none"/>
                <w14:textFill>
                  <w14:solidFill>
                    <w14:schemeClr w14:val="tx1"/>
                  </w14:solidFill>
                </w14:textFill>
              </w:rPr>
            </w:pPr>
          </w:p>
        </w:tc>
        <w:tc>
          <w:tcPr>
            <w:tcW w:w="1020" w:type="dxa"/>
          </w:tcPr>
          <w:p w14:paraId="070AB13C">
            <w:pPr>
              <w:rPr>
                <w:rFonts w:eastAsia="仿宋_GB2312"/>
                <w:color w:val="000000" w:themeColor="text1"/>
                <w:sz w:val="30"/>
                <w:szCs w:val="30"/>
                <w:highlight w:val="none"/>
                <w14:textFill>
                  <w14:solidFill>
                    <w14:schemeClr w14:val="tx1"/>
                  </w14:solidFill>
                </w14:textFill>
              </w:rPr>
            </w:pPr>
          </w:p>
        </w:tc>
        <w:tc>
          <w:tcPr>
            <w:tcW w:w="1480" w:type="dxa"/>
          </w:tcPr>
          <w:p w14:paraId="4D295A73">
            <w:pPr>
              <w:rPr>
                <w:rFonts w:eastAsia="仿宋_GB2312"/>
                <w:color w:val="000000" w:themeColor="text1"/>
                <w:sz w:val="30"/>
                <w:szCs w:val="30"/>
                <w:highlight w:val="none"/>
                <w14:textFill>
                  <w14:solidFill>
                    <w14:schemeClr w14:val="tx1"/>
                  </w14:solidFill>
                </w14:textFill>
              </w:rPr>
            </w:pPr>
          </w:p>
        </w:tc>
        <w:tc>
          <w:tcPr>
            <w:tcW w:w="1020" w:type="dxa"/>
          </w:tcPr>
          <w:p w14:paraId="6FE63A87">
            <w:pPr>
              <w:rPr>
                <w:rFonts w:eastAsia="仿宋_GB2312"/>
                <w:color w:val="000000" w:themeColor="text1"/>
                <w:sz w:val="30"/>
                <w:szCs w:val="30"/>
                <w:highlight w:val="none"/>
                <w14:textFill>
                  <w14:solidFill>
                    <w14:schemeClr w14:val="tx1"/>
                  </w14:solidFill>
                </w14:textFill>
              </w:rPr>
            </w:pPr>
          </w:p>
        </w:tc>
        <w:tc>
          <w:tcPr>
            <w:tcW w:w="921" w:type="dxa"/>
          </w:tcPr>
          <w:p w14:paraId="0317A33B">
            <w:pPr>
              <w:rPr>
                <w:rFonts w:eastAsia="仿宋_GB2312"/>
                <w:color w:val="000000" w:themeColor="text1"/>
                <w:sz w:val="30"/>
                <w:szCs w:val="30"/>
                <w:highlight w:val="none"/>
                <w14:textFill>
                  <w14:solidFill>
                    <w14:schemeClr w14:val="tx1"/>
                  </w14:solidFill>
                </w14:textFill>
              </w:rPr>
            </w:pPr>
          </w:p>
        </w:tc>
      </w:tr>
    </w:tbl>
    <w:p w14:paraId="477CDFC6">
      <w:pPr>
        <w:spacing w:line="440" w:lineRule="exact"/>
        <w:rPr>
          <w:rFonts w:eastAsia="仿宋_GB2312"/>
          <w:color w:val="000000" w:themeColor="text1"/>
          <w:sz w:val="30"/>
          <w:szCs w:val="30"/>
          <w:highlight w:val="none"/>
          <w14:textFill>
            <w14:solidFill>
              <w14:schemeClr w14:val="tx1"/>
            </w14:solidFill>
          </w14:textFill>
        </w:rPr>
        <w:sectPr>
          <w:pgSz w:w="11907" w:h="16840"/>
          <w:pgMar w:top="1440" w:right="1440" w:bottom="1440" w:left="1797" w:header="851" w:footer="851" w:gutter="0"/>
          <w:cols w:space="720" w:num="1"/>
          <w:docGrid w:linePitch="312" w:charSpace="0"/>
        </w:sectPr>
      </w:pPr>
    </w:p>
    <w:p w14:paraId="016E377E">
      <w:pPr>
        <w:spacing w:line="440" w:lineRule="exact"/>
        <w:jc w:val="left"/>
        <w:rPr>
          <w:rFonts w:eastAsia="黑体"/>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w:t>
      </w:r>
      <w:bookmarkStart w:id="1134" w:name="_Toc296347227"/>
      <w:bookmarkStart w:id="1135" w:name="_Toc296891268"/>
      <w:bookmarkStart w:id="1136" w:name="_Toc267261699"/>
      <w:bookmarkStart w:id="1137" w:name="_Toc296944567"/>
      <w:bookmarkStart w:id="1138" w:name="_Toc296503228"/>
      <w:bookmarkStart w:id="1139" w:name="_Toc296891056"/>
      <w:bookmarkStart w:id="1140" w:name="_Toc296346729"/>
      <w:r>
        <w:rPr>
          <w:rFonts w:hint="eastAsia" w:eastAsia="仿宋_GB2312" w:cs="仿宋_GB2312"/>
          <w:color w:val="000000" w:themeColor="text1"/>
          <w:sz w:val="30"/>
          <w:szCs w:val="30"/>
          <w:highlight w:val="none"/>
          <w14:textFill>
            <w14:solidFill>
              <w14:schemeClr w14:val="tx1"/>
            </w14:solidFill>
          </w14:textFill>
        </w:rPr>
        <w:t>件</w:t>
      </w:r>
      <w:r>
        <w:rPr>
          <w:rFonts w:hint="eastAsia" w:eastAsia="仿宋_GB2312"/>
          <w:color w:val="000000" w:themeColor="text1"/>
          <w:sz w:val="30"/>
          <w:szCs w:val="30"/>
          <w:highlight w:val="none"/>
          <w14:textFill>
            <w14:solidFill>
              <w14:schemeClr w14:val="tx1"/>
            </w14:solidFill>
          </w14:textFill>
        </w:rPr>
        <w:t>5</w:t>
      </w:r>
      <w:r>
        <w:rPr>
          <w:rFonts w:hint="eastAsia" w:eastAsia="仿宋_GB2312" w:cs="仿宋_GB2312"/>
          <w:color w:val="000000" w:themeColor="text1"/>
          <w:sz w:val="30"/>
          <w:szCs w:val="30"/>
          <w:highlight w:val="none"/>
          <w14:textFill>
            <w14:solidFill>
              <w14:schemeClr w14:val="tx1"/>
            </w14:solidFill>
          </w14:textFill>
        </w:rPr>
        <w:t>：</w:t>
      </w:r>
    </w:p>
    <w:bookmarkEnd w:id="1134"/>
    <w:bookmarkEnd w:id="1135"/>
    <w:bookmarkEnd w:id="1136"/>
    <w:bookmarkEnd w:id="1137"/>
    <w:bookmarkEnd w:id="1138"/>
    <w:bookmarkEnd w:id="1139"/>
    <w:bookmarkEnd w:id="1140"/>
    <w:p w14:paraId="11ABD410">
      <w:pPr>
        <w:spacing w:before="156" w:beforeLines="50" w:after="156"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承包人主要施工管理人员表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1C67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0E06CC9">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名称</w:t>
            </w:r>
          </w:p>
        </w:tc>
        <w:tc>
          <w:tcPr>
            <w:tcW w:w="1418" w:type="dxa"/>
            <w:vAlign w:val="center"/>
          </w:tcPr>
          <w:p w14:paraId="17F20E4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姓名</w:t>
            </w:r>
          </w:p>
        </w:tc>
        <w:tc>
          <w:tcPr>
            <w:tcW w:w="1134" w:type="dxa"/>
            <w:vAlign w:val="center"/>
          </w:tcPr>
          <w:p w14:paraId="12CCF46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职务</w:t>
            </w:r>
          </w:p>
        </w:tc>
        <w:tc>
          <w:tcPr>
            <w:tcW w:w="1134" w:type="dxa"/>
            <w:vAlign w:val="center"/>
          </w:tcPr>
          <w:p w14:paraId="4A6908F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职称</w:t>
            </w:r>
          </w:p>
        </w:tc>
        <w:tc>
          <w:tcPr>
            <w:tcW w:w="4252" w:type="dxa"/>
            <w:vAlign w:val="center"/>
          </w:tcPr>
          <w:p w14:paraId="26616AD7">
            <w:pPr>
              <w:keepNext/>
              <w:adjustRightInd w:val="0"/>
              <w:spacing w:line="440" w:lineRule="exact"/>
              <w:ind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计划进场时间</w:t>
            </w:r>
          </w:p>
        </w:tc>
      </w:tr>
      <w:tr w14:paraId="5A7DD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BFE1E8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一、总部人员</w:t>
            </w:r>
          </w:p>
        </w:tc>
      </w:tr>
      <w:tr w14:paraId="55BB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652C7B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项目主管</w:t>
            </w:r>
          </w:p>
        </w:tc>
        <w:tc>
          <w:tcPr>
            <w:tcW w:w="1418" w:type="dxa"/>
            <w:vAlign w:val="center"/>
          </w:tcPr>
          <w:p w14:paraId="41BF89A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775E946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5C2383E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6E4B1CB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7CE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10553097">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01F9DB8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3FB7FAA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8764F5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5D7A37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728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700554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3C95BE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44F9C0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C5BC7E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1C8AA0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FF7C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0801E2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17A0882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221C62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8907EA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A620EA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2B4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4157014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二、现场人员</w:t>
            </w:r>
          </w:p>
        </w:tc>
      </w:tr>
      <w:tr w14:paraId="21BF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3463A8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项目经理</w:t>
            </w:r>
          </w:p>
        </w:tc>
        <w:tc>
          <w:tcPr>
            <w:tcW w:w="1418" w:type="dxa"/>
            <w:vAlign w:val="center"/>
          </w:tcPr>
          <w:p w14:paraId="59FA92A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82B20D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BD120C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55A7FD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933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C09909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项目副经理</w:t>
            </w:r>
          </w:p>
        </w:tc>
        <w:tc>
          <w:tcPr>
            <w:tcW w:w="1418" w:type="dxa"/>
            <w:vAlign w:val="center"/>
          </w:tcPr>
          <w:p w14:paraId="136B4B3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4FE474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D86311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A16FA5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BEB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577F5C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技术负责人</w:t>
            </w:r>
          </w:p>
        </w:tc>
        <w:tc>
          <w:tcPr>
            <w:tcW w:w="1418" w:type="dxa"/>
            <w:vAlign w:val="center"/>
          </w:tcPr>
          <w:p w14:paraId="7BE5862D">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C4A146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6D7F65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542E06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29F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5B78BC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造价管理</w:t>
            </w:r>
          </w:p>
        </w:tc>
        <w:tc>
          <w:tcPr>
            <w:tcW w:w="1418" w:type="dxa"/>
            <w:vAlign w:val="center"/>
          </w:tcPr>
          <w:p w14:paraId="0CA3DF7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BFEEE0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5FECDF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A050E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C57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2B31AC3D">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质量管理</w:t>
            </w:r>
          </w:p>
        </w:tc>
        <w:tc>
          <w:tcPr>
            <w:tcW w:w="1418" w:type="dxa"/>
            <w:vAlign w:val="center"/>
          </w:tcPr>
          <w:p w14:paraId="765C1D1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C32FA4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3502C1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039F72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76F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8F92DFF">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9A01E6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C69FF7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49C851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7665AA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D3B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14DBF1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9DA8E8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F7BE67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33A5C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22FC0F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DC0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1DC2CA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材料管理</w:t>
            </w:r>
          </w:p>
        </w:tc>
        <w:tc>
          <w:tcPr>
            <w:tcW w:w="1418" w:type="dxa"/>
            <w:vAlign w:val="center"/>
          </w:tcPr>
          <w:p w14:paraId="7AFE317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91A48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5C3A8A1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4F1BA2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90A2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7147373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计划管理</w:t>
            </w:r>
          </w:p>
        </w:tc>
        <w:tc>
          <w:tcPr>
            <w:tcW w:w="1418" w:type="dxa"/>
            <w:vAlign w:val="center"/>
          </w:tcPr>
          <w:p w14:paraId="5FF2CAC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3D672D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57F853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156140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2FB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66D4A7A6">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安全管理</w:t>
            </w:r>
          </w:p>
        </w:tc>
        <w:tc>
          <w:tcPr>
            <w:tcW w:w="1418" w:type="dxa"/>
            <w:vAlign w:val="center"/>
          </w:tcPr>
          <w:p w14:paraId="40E81F9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ABACF5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107FE61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B8B6C9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637B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3F81FD4F">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E7FDE8D">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3416FE6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562F22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3739F8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7591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27C4A9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DBB3D0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F30C69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3B87A8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43BB26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634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7D82DCE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3CBAFC0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A51C74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A415A8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74F13A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0CA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835582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261DA68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4BBD1B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00224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3C2D1AE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4B7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2AB88C7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CD47D3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3D4DD6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E8AA85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77B986B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AD2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884894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432EB5A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ACC8D1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37DEB1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F64EF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E62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7C9A52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0D5F27E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04D2FC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B83C5C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7C6FBE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36B5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63DF4B4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7D1844F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DD1EF8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1D158A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8F686D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bl>
    <w:p w14:paraId="7C9B8257">
      <w:pPr>
        <w:spacing w:line="440" w:lineRule="exact"/>
        <w:rPr>
          <w:rFonts w:eastAsia="黑体"/>
          <w:color w:val="000000" w:themeColor="text1"/>
          <w:sz w:val="30"/>
          <w:szCs w:val="30"/>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r>
        <w:rPr>
          <w:rFonts w:hint="eastAsia" w:eastAsia="仿宋_GB2312" w:cs="仿宋_GB2312"/>
          <w:color w:val="000000" w:themeColor="text1"/>
          <w:sz w:val="30"/>
          <w:szCs w:val="30"/>
          <w:highlight w:val="none"/>
          <w14:textFill>
            <w14:solidFill>
              <w14:schemeClr w14:val="tx1"/>
            </w14:solidFill>
          </w14:textFill>
        </w:rPr>
        <w:t>附</w:t>
      </w:r>
      <w:bookmarkStart w:id="1141" w:name="_Toc296503229"/>
      <w:bookmarkStart w:id="1142" w:name="_Toc296891269"/>
      <w:bookmarkStart w:id="1143" w:name="_Toc296346730"/>
      <w:bookmarkStart w:id="1144" w:name="_Toc296347228"/>
      <w:bookmarkStart w:id="1145" w:name="_Toc296944568"/>
      <w:bookmarkStart w:id="1146" w:name="_Toc296891057"/>
      <w:r>
        <w:rPr>
          <w:rFonts w:hint="eastAsia" w:eastAsia="仿宋_GB2312" w:cs="仿宋_GB2312"/>
          <w:color w:val="000000" w:themeColor="text1"/>
          <w:sz w:val="30"/>
          <w:szCs w:val="30"/>
          <w:highlight w:val="none"/>
          <w14:textFill>
            <w14:solidFill>
              <w14:schemeClr w14:val="tx1"/>
            </w14:solidFill>
          </w14:textFill>
        </w:rPr>
        <w:t>件</w:t>
      </w:r>
      <w:r>
        <w:rPr>
          <w:rFonts w:hint="eastAsia" w:eastAsia="仿宋_GB2312"/>
          <w:color w:val="000000" w:themeColor="text1"/>
          <w:sz w:val="30"/>
          <w:szCs w:val="30"/>
          <w:highlight w:val="none"/>
          <w14:textFill>
            <w14:solidFill>
              <w14:schemeClr w14:val="tx1"/>
            </w14:solidFill>
          </w14:textFill>
        </w:rPr>
        <w:t>6</w:t>
      </w:r>
      <w:r>
        <w:rPr>
          <w:rFonts w:hint="eastAsia" w:eastAsia="仿宋_GB2312" w:cs="仿宋_GB2312"/>
          <w:color w:val="000000" w:themeColor="text1"/>
          <w:sz w:val="30"/>
          <w:szCs w:val="30"/>
          <w:highlight w:val="none"/>
          <w14:textFill>
            <w14:solidFill>
              <w14:schemeClr w14:val="tx1"/>
            </w14:solidFill>
          </w14:textFill>
        </w:rPr>
        <w:t>：</w:t>
      </w:r>
    </w:p>
    <w:bookmarkEnd w:id="1141"/>
    <w:bookmarkEnd w:id="1142"/>
    <w:bookmarkEnd w:id="1143"/>
    <w:bookmarkEnd w:id="1144"/>
    <w:bookmarkEnd w:id="1145"/>
    <w:bookmarkEnd w:id="1146"/>
    <w:p w14:paraId="03A3903B">
      <w:pPr>
        <w:spacing w:before="156" w:beforeLines="50" w:after="156" w:afterLines="50" w:line="440" w:lineRule="exact"/>
        <w:jc w:val="center"/>
        <w:rPr>
          <w:rFonts w:eastAsia="黑体"/>
          <w:color w:val="000000" w:themeColor="text1"/>
          <w:sz w:val="30"/>
          <w:szCs w:val="30"/>
          <w:highlight w:val="none"/>
          <w14:textFill>
            <w14:solidFill>
              <w14:schemeClr w14:val="tx1"/>
            </w14:solidFill>
          </w14:textFill>
        </w:rPr>
      </w:pPr>
      <w:r>
        <w:rPr>
          <w:rFonts w:hint="eastAsia" w:eastAsia="黑体" w:cs="黑体"/>
          <w:color w:val="000000" w:themeColor="text1"/>
          <w:sz w:val="30"/>
          <w:szCs w:val="30"/>
          <w:highlight w:val="none"/>
          <w14:textFill>
            <w14:solidFill>
              <w14:schemeClr w14:val="tx1"/>
            </w14:solidFill>
          </w14:textFill>
        </w:rPr>
        <w:t>分包人主要施工管理人员表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871"/>
        <w:gridCol w:w="1418"/>
        <w:gridCol w:w="1134"/>
        <w:gridCol w:w="1134"/>
        <w:gridCol w:w="4252"/>
      </w:tblGrid>
      <w:tr w14:paraId="4F6D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720494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名称</w:t>
            </w:r>
          </w:p>
        </w:tc>
        <w:tc>
          <w:tcPr>
            <w:tcW w:w="1418" w:type="dxa"/>
            <w:vAlign w:val="center"/>
          </w:tcPr>
          <w:p w14:paraId="2A7B9A0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姓名</w:t>
            </w:r>
          </w:p>
        </w:tc>
        <w:tc>
          <w:tcPr>
            <w:tcW w:w="1134" w:type="dxa"/>
            <w:vAlign w:val="center"/>
          </w:tcPr>
          <w:p w14:paraId="62910CB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职务</w:t>
            </w:r>
          </w:p>
        </w:tc>
        <w:tc>
          <w:tcPr>
            <w:tcW w:w="1134" w:type="dxa"/>
            <w:vAlign w:val="center"/>
          </w:tcPr>
          <w:p w14:paraId="198BB98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职称</w:t>
            </w:r>
          </w:p>
        </w:tc>
        <w:tc>
          <w:tcPr>
            <w:tcW w:w="4252" w:type="dxa"/>
            <w:vAlign w:val="center"/>
          </w:tcPr>
          <w:p w14:paraId="35C6B99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主要资历、经验及承担过的项目</w:t>
            </w:r>
          </w:p>
        </w:tc>
      </w:tr>
      <w:tr w14:paraId="0B328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022A56A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一、总部人员</w:t>
            </w:r>
          </w:p>
        </w:tc>
      </w:tr>
      <w:tr w14:paraId="602F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A7EF97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项目主管</w:t>
            </w:r>
          </w:p>
        </w:tc>
        <w:tc>
          <w:tcPr>
            <w:tcW w:w="1418" w:type="dxa"/>
            <w:vAlign w:val="center"/>
          </w:tcPr>
          <w:p w14:paraId="0F8660D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9D7028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B275C7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65EF579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51D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4FEBF53E">
            <w:pPr>
              <w:keepNext/>
              <w:adjustRightInd w:val="0"/>
              <w:spacing w:after="60"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28CBEF5F">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115BC4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A210E2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1C6736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B59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0AA9B5A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0F24972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B6D6AC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E4296F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2322712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541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5A2AF0D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B793A9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7110A83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E0488E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7C58737">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907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9809" w:type="dxa"/>
            <w:gridSpan w:val="5"/>
            <w:vAlign w:val="center"/>
          </w:tcPr>
          <w:p w14:paraId="77FD2549">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二、现场人员</w:t>
            </w:r>
          </w:p>
        </w:tc>
      </w:tr>
      <w:tr w14:paraId="3F038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5304EB9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项目经理</w:t>
            </w:r>
          </w:p>
        </w:tc>
        <w:tc>
          <w:tcPr>
            <w:tcW w:w="1418" w:type="dxa"/>
            <w:vAlign w:val="center"/>
          </w:tcPr>
          <w:p w14:paraId="61F421A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020B05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149252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81F162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05EF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0B28558">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项目副经理</w:t>
            </w:r>
          </w:p>
        </w:tc>
        <w:tc>
          <w:tcPr>
            <w:tcW w:w="1418" w:type="dxa"/>
            <w:vAlign w:val="center"/>
          </w:tcPr>
          <w:p w14:paraId="0813484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4417C04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6DF5897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9F58FD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3DB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4927AA8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技术负责人</w:t>
            </w:r>
          </w:p>
        </w:tc>
        <w:tc>
          <w:tcPr>
            <w:tcW w:w="1418" w:type="dxa"/>
            <w:vAlign w:val="center"/>
          </w:tcPr>
          <w:p w14:paraId="6850281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6F0F02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BF85CF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CE0B822">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8CB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0B4E50B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造价管理</w:t>
            </w:r>
          </w:p>
        </w:tc>
        <w:tc>
          <w:tcPr>
            <w:tcW w:w="1418" w:type="dxa"/>
            <w:vAlign w:val="center"/>
          </w:tcPr>
          <w:p w14:paraId="318266E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D2B09E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153937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180A82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2314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0D665F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质量管理</w:t>
            </w:r>
          </w:p>
        </w:tc>
        <w:tc>
          <w:tcPr>
            <w:tcW w:w="1418" w:type="dxa"/>
            <w:vAlign w:val="center"/>
          </w:tcPr>
          <w:p w14:paraId="1C92BD37">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DBE60C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B863EC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03E9C9F0">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974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3CD165B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材料管理</w:t>
            </w:r>
          </w:p>
        </w:tc>
        <w:tc>
          <w:tcPr>
            <w:tcW w:w="1418" w:type="dxa"/>
            <w:vAlign w:val="center"/>
          </w:tcPr>
          <w:p w14:paraId="2FD369B6">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569438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2E9B907F">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714B75C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635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2437245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计划管理</w:t>
            </w:r>
          </w:p>
        </w:tc>
        <w:tc>
          <w:tcPr>
            <w:tcW w:w="1418" w:type="dxa"/>
            <w:vAlign w:val="center"/>
          </w:tcPr>
          <w:p w14:paraId="20BCF2F3">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C9931F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ED8CD0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7C3231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695E5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Align w:val="center"/>
          </w:tcPr>
          <w:p w14:paraId="18D0BEA2">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安全管理</w:t>
            </w:r>
          </w:p>
        </w:tc>
        <w:tc>
          <w:tcPr>
            <w:tcW w:w="1418" w:type="dxa"/>
            <w:vAlign w:val="center"/>
          </w:tcPr>
          <w:p w14:paraId="717ECD7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21EC4F5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37D812E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3F8250E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49D1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restart"/>
            <w:vAlign w:val="center"/>
          </w:tcPr>
          <w:p w14:paraId="0763D5A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r>
              <w:rPr>
                <w:rFonts w:hint="eastAsia" w:eastAsia="仿宋_GB2312" w:cs="仿宋_GB2312"/>
                <w:color w:val="000000" w:themeColor="text1"/>
                <w:sz w:val="28"/>
                <w:szCs w:val="28"/>
                <w:highlight w:val="none"/>
                <w14:textFill>
                  <w14:solidFill>
                    <w14:schemeClr w14:val="tx1"/>
                  </w14:solidFill>
                </w14:textFill>
              </w:rPr>
              <w:t>其他人员</w:t>
            </w:r>
          </w:p>
        </w:tc>
        <w:tc>
          <w:tcPr>
            <w:tcW w:w="1418" w:type="dxa"/>
            <w:vAlign w:val="center"/>
          </w:tcPr>
          <w:p w14:paraId="5CF118E1">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0032064">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FC964E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5A872A0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1874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79CA7B40">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21338654">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62F9EC4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BEE0CB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60F04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2ED5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231BB99">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52CCCBDA">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790A2765">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4D4D396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F41A643">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51C3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4BAA69CE">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3C7DE22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19A038AD">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3FFD1B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17894A9B">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A99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DED7A5C">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6CBA98D5">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0BD92EC1">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0E10F646">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436F1A6A">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r w14:paraId="75A9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871" w:type="dxa"/>
            <w:vMerge w:val="continue"/>
            <w:vAlign w:val="center"/>
          </w:tcPr>
          <w:p w14:paraId="184B418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418" w:type="dxa"/>
            <w:vAlign w:val="center"/>
          </w:tcPr>
          <w:p w14:paraId="049710CB">
            <w:pPr>
              <w:keepNext/>
              <w:adjustRightInd w:val="0"/>
              <w:spacing w:line="440" w:lineRule="exact"/>
              <w:ind w:left="63" w:leftChars="30" w:right="63" w:rightChars="30"/>
              <w:jc w:val="center"/>
              <w:textAlignment w:val="baseline"/>
              <w:rPr>
                <w:rFonts w:eastAsia="仿宋_GB2312"/>
                <w:color w:val="000000" w:themeColor="text1"/>
                <w:sz w:val="28"/>
                <w:szCs w:val="28"/>
                <w:highlight w:val="none"/>
                <w14:textFill>
                  <w14:solidFill>
                    <w14:schemeClr w14:val="tx1"/>
                  </w14:solidFill>
                </w14:textFill>
              </w:rPr>
            </w:pPr>
          </w:p>
        </w:tc>
        <w:tc>
          <w:tcPr>
            <w:tcW w:w="1134" w:type="dxa"/>
            <w:vAlign w:val="center"/>
          </w:tcPr>
          <w:p w14:paraId="5D347B7C">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1134" w:type="dxa"/>
            <w:vAlign w:val="center"/>
          </w:tcPr>
          <w:p w14:paraId="7BDA5D98">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c>
          <w:tcPr>
            <w:tcW w:w="4252" w:type="dxa"/>
            <w:vAlign w:val="center"/>
          </w:tcPr>
          <w:p w14:paraId="32CC7A2E">
            <w:pPr>
              <w:keepNext/>
              <w:adjustRightInd w:val="0"/>
              <w:spacing w:line="440" w:lineRule="exact"/>
              <w:ind w:left="63" w:leftChars="30" w:right="63" w:rightChars="30"/>
              <w:jc w:val="center"/>
              <w:textAlignment w:val="baseline"/>
              <w:rPr>
                <w:rFonts w:eastAsia="仿宋_GB2312"/>
                <w:color w:val="000000" w:themeColor="text1"/>
                <w:sz w:val="30"/>
                <w:szCs w:val="30"/>
                <w:highlight w:val="none"/>
                <w14:textFill>
                  <w14:solidFill>
                    <w14:schemeClr w14:val="tx1"/>
                  </w14:solidFill>
                </w14:textFill>
              </w:rPr>
            </w:pPr>
          </w:p>
        </w:tc>
      </w:tr>
    </w:tbl>
    <w:p w14:paraId="0C952B91">
      <w:pPr>
        <w:spacing w:line="360" w:lineRule="auto"/>
        <w:jc w:val="left"/>
        <w:rPr>
          <w:rFonts w:ascii="黑体" w:hAnsi="黑体" w:eastAsia="黑体" w:cs="黑体"/>
          <w:color w:val="000000" w:themeColor="text1"/>
          <w:sz w:val="32"/>
          <w:szCs w:val="32"/>
          <w:highlight w:val="none"/>
          <w14:textFill>
            <w14:solidFill>
              <w14:schemeClr w14:val="tx1"/>
            </w14:solidFill>
          </w14:textFill>
        </w:rPr>
      </w:pPr>
      <w:r>
        <w:rPr>
          <w:rFonts w:eastAsia="仿宋_GB2312"/>
          <w:color w:val="000000" w:themeColor="text1"/>
          <w:sz w:val="30"/>
          <w:szCs w:val="30"/>
          <w:highlight w:val="none"/>
          <w14:textFill>
            <w14:solidFill>
              <w14:schemeClr w14:val="tx1"/>
            </w14:solidFill>
          </w14:textFill>
        </w:rPr>
        <w:br w:type="page"/>
      </w:r>
      <w:bookmarkStart w:id="1147" w:name="_Toc267261701"/>
      <w:r>
        <w:rPr>
          <w:rFonts w:hint="eastAsia" w:ascii="黑体" w:hAnsi="黑体" w:eastAsia="黑体" w:cs="黑体"/>
          <w:color w:val="000000" w:themeColor="text1"/>
          <w:sz w:val="32"/>
          <w:szCs w:val="32"/>
          <w:highlight w:val="none"/>
          <w14:textFill>
            <w14:solidFill>
              <w14:schemeClr w14:val="tx1"/>
            </w14:solidFill>
          </w14:textFill>
        </w:rPr>
        <w:t>附件7</w:t>
      </w:r>
    </w:p>
    <w:p w14:paraId="133722E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41994C89">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履约保函示范文本</w:t>
      </w:r>
    </w:p>
    <w:p w14:paraId="1870BA02">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773A5EBE">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6F94197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申请人：</w:t>
      </w:r>
    </w:p>
    <w:p w14:paraId="03B34C48">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r>
        <w:rPr>
          <w:rFonts w:ascii="宋体" w:hAnsi="宋体"/>
          <w:color w:val="000000" w:themeColor="text1"/>
          <w:sz w:val="24"/>
          <w:highlight w:val="none"/>
          <w14:textFill>
            <w14:solidFill>
              <w14:schemeClr w14:val="tx1"/>
            </w14:solidFill>
          </w14:textFill>
        </w:rPr>
        <w:t>：</w:t>
      </w:r>
    </w:p>
    <w:p w14:paraId="49C7881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w:t>
      </w:r>
    </w:p>
    <w:p w14:paraId="25839CC8">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p>
    <w:p w14:paraId="5CC6EC5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开立人：</w:t>
      </w:r>
    </w:p>
    <w:p w14:paraId="0AE2C63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09A5F38A">
      <w:pPr>
        <w:spacing w:line="360" w:lineRule="auto"/>
        <w:rPr>
          <w:rFonts w:ascii="宋体" w:hAnsi="宋体"/>
          <w:color w:val="000000" w:themeColor="text1"/>
          <w:sz w:val="24"/>
          <w:highlight w:val="none"/>
          <w14:textFill>
            <w14:solidFill>
              <w14:schemeClr w14:val="tx1"/>
            </w14:solidFill>
          </w14:textFill>
        </w:rPr>
      </w:pPr>
    </w:p>
    <w:p w14:paraId="6BC41AAE">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 xml:space="preserve">名称）： </w:t>
      </w:r>
    </w:p>
    <w:p w14:paraId="5719AC6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（以下简称“基础合同”），我方（即“开立人”）根据基础合同了解到申请人为基础合同项下之承包人，受益人为基础合同项下之发包人，基于申请人</w:t>
      </w:r>
      <w:r>
        <w:rPr>
          <w:rFonts w:ascii="宋体" w:hAnsi="宋体"/>
          <w:color w:val="000000" w:themeColor="text1"/>
          <w:sz w:val="24"/>
          <w:highlight w:val="none"/>
          <w14:textFill>
            <w14:solidFill>
              <w14:schemeClr w14:val="tx1"/>
            </w14:solidFill>
          </w14:textFill>
        </w:rPr>
        <w:t>的请求，我方同意就</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与贵方签订的基础合同</w:t>
      </w:r>
      <w:r>
        <w:rPr>
          <w:rFonts w:ascii="宋体" w:hAnsi="宋体"/>
          <w:color w:val="000000" w:themeColor="text1"/>
          <w:sz w:val="24"/>
          <w:highlight w:val="none"/>
          <w14:textFill>
            <w14:solidFill>
              <w14:schemeClr w14:val="tx1"/>
            </w14:solidFill>
          </w14:textFill>
        </w:rPr>
        <w:t>项下的义务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向贵方提供不可撤销、</w:t>
      </w:r>
      <w:r>
        <w:rPr>
          <w:rFonts w:hint="eastAsia" w:ascii="宋体" w:hAnsi="宋体"/>
          <w:color w:val="000000" w:themeColor="text1"/>
          <w:sz w:val="24"/>
          <w:highlight w:val="none"/>
          <w14:textFill>
            <w14:solidFill>
              <w14:schemeClr w14:val="tx1"/>
            </w14:solidFill>
          </w14:textFill>
        </w:rPr>
        <w:t>不可转让的见索即付</w:t>
      </w:r>
      <w:r>
        <w:rPr>
          <w:rFonts w:ascii="宋体" w:hAnsi="宋体"/>
          <w:color w:val="000000" w:themeColor="text1"/>
          <w:sz w:val="24"/>
          <w:highlight w:val="none"/>
          <w14:textFill>
            <w14:solidFill>
              <w14:schemeClr w14:val="tx1"/>
            </w14:solidFill>
          </w14:textFill>
        </w:rPr>
        <w:t>独立</w:t>
      </w:r>
      <w:r>
        <w:rPr>
          <w:rFonts w:hint="eastAsia" w:ascii="宋体" w:hAnsi="宋体"/>
          <w:color w:val="000000" w:themeColor="text1"/>
          <w:sz w:val="24"/>
          <w:highlight w:val="none"/>
          <w14:textFill>
            <w14:solidFill>
              <w14:schemeClr w14:val="tx1"/>
            </w14:solidFill>
          </w14:textFill>
        </w:rPr>
        <w:t>保函（以下简称“本保函”）</w:t>
      </w:r>
      <w:r>
        <w:rPr>
          <w:rFonts w:ascii="宋体" w:hAnsi="宋体"/>
          <w:color w:val="000000" w:themeColor="text1"/>
          <w:sz w:val="24"/>
          <w:highlight w:val="none"/>
          <w14:textFill>
            <w14:solidFill>
              <w14:schemeClr w14:val="tx1"/>
            </w14:solidFill>
          </w14:textFill>
        </w:rPr>
        <w:t xml:space="preserve">。 </w:t>
      </w:r>
    </w:p>
    <w:p w14:paraId="268C01E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一、本保函担保范围：承包人未按照基础合同的约定履行义务，应当向贵方承担的违约责任和赔偿因此造成的损失、利息、律师费、诉讼费用等实现债权的费用。</w:t>
      </w:r>
    </w:p>
    <w:p w14:paraId="7919971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二、本保函担保金额最高不超过</w:t>
      </w:r>
      <w:r>
        <w:rPr>
          <w:rFonts w:ascii="宋体" w:hAnsi="宋体"/>
          <w:color w:val="000000" w:themeColor="text1"/>
          <w:sz w:val="24"/>
          <w:highlight w:val="none"/>
          <w14:textFill>
            <w14:solidFill>
              <w14:schemeClr w14:val="tx1"/>
            </w14:solidFill>
          </w14:textFill>
        </w:rPr>
        <w:t xml:space="preserve">人民币（大写）元（¥）。 </w:t>
      </w:r>
    </w:p>
    <w:p w14:paraId="21676C2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三、本保函</w:t>
      </w:r>
      <w:r>
        <w:rPr>
          <w:rFonts w:ascii="宋体" w:hAnsi="宋体"/>
          <w:color w:val="000000" w:themeColor="text1"/>
          <w:sz w:val="24"/>
          <w:highlight w:val="none"/>
          <w14:textFill>
            <w14:solidFill>
              <w14:schemeClr w14:val="tx1"/>
            </w14:solidFill>
          </w14:textFill>
        </w:rPr>
        <w:t>有效期自</w:t>
      </w:r>
      <w:r>
        <w:rPr>
          <w:rFonts w:hint="eastAsia" w:ascii="宋体" w:hAnsi="宋体"/>
          <w:color w:val="000000" w:themeColor="text1"/>
          <w:sz w:val="24"/>
          <w:highlight w:val="none"/>
          <w14:textFill>
            <w14:solidFill>
              <w14:schemeClr w14:val="tx1"/>
            </w14:solidFill>
          </w14:textFill>
        </w:rPr>
        <w:t>开立之日起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基础合同约定的缺陷责任期</w:t>
      </w:r>
      <w:r>
        <w:rPr>
          <w:rFonts w:ascii="宋体" w:hAnsi="宋体"/>
          <w:color w:val="000000" w:themeColor="text1"/>
          <w:sz w:val="24"/>
          <w:highlight w:val="none"/>
          <w14:textFill>
            <w14:solidFill>
              <w14:schemeClr w14:val="tx1"/>
            </w14:solidFill>
          </w14:textFill>
        </w:rPr>
        <w:t>后</w:t>
      </w:r>
      <w:r>
        <w:rPr>
          <w:rFonts w:hint="eastAsia" w:ascii="宋体" w:hAnsi="宋体"/>
          <w:color w:val="000000" w:themeColor="text1"/>
          <w:sz w:val="24"/>
          <w:highlight w:val="none"/>
          <w14:textFill>
            <w14:solidFill>
              <w14:schemeClr w14:val="tx1"/>
            </w14:solidFill>
          </w14:textFill>
        </w:rPr>
        <w:t>日止，最迟不超过×年×月×日</w:t>
      </w:r>
      <w:r>
        <w:rPr>
          <w:rFonts w:ascii="宋体" w:hAnsi="宋体"/>
          <w:color w:val="000000" w:themeColor="text1"/>
          <w:sz w:val="24"/>
          <w:highlight w:val="none"/>
          <w14:textFill>
            <w14:solidFill>
              <w14:schemeClr w14:val="tx1"/>
            </w14:solidFill>
          </w14:textFill>
        </w:rPr>
        <w:t xml:space="preserve">。 </w:t>
      </w:r>
    </w:p>
    <w:p w14:paraId="0960B17E">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4E5BB34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（1）付款通知到达的日期在本保函的有效期内；</w:t>
      </w:r>
    </w:p>
    <w:p w14:paraId="6B38CFC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（2）载明要求支付的金额；</w:t>
      </w:r>
    </w:p>
    <w:p w14:paraId="6DB712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（3）载明申请人违反合同义务的条款和内容；</w:t>
      </w:r>
    </w:p>
    <w:p w14:paraId="692BB32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（4）声明不存在合同文件约定或我国法律规定免除申请人或开立人支付责任的情形；</w:t>
      </w:r>
    </w:p>
    <w:p w14:paraId="21B834B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（5）付款通知应在本保函有效期内到达的地址是：。</w:t>
      </w:r>
    </w:p>
    <w:p w14:paraId="47D4367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受益人发出的书面付款通知应由其为鉴明受益人法定代表人（负责人）或授权代理人签字并加盖公章。</w:t>
      </w:r>
    </w:p>
    <w:p w14:paraId="25DAE76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w:t>
      </w:r>
      <w:r>
        <w:rPr>
          <w:rFonts w:ascii="宋体" w:hAnsi="宋体"/>
          <w:color w:val="000000" w:themeColor="text1"/>
          <w:sz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4AB8293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六、与</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有关</w:t>
      </w:r>
      <w:r>
        <w:rPr>
          <w:rFonts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14:textFill>
            <w14:solidFill>
              <w14:schemeClr w14:val="tx1"/>
            </w14:solidFill>
          </w14:textFill>
        </w:rPr>
        <w:t>基础</w:t>
      </w:r>
      <w:r>
        <w:rPr>
          <w:rFonts w:ascii="宋体" w:hAnsi="宋体"/>
          <w:color w:val="000000" w:themeColor="text1"/>
          <w:sz w:val="24"/>
          <w:highlight w:val="none"/>
          <w14:textFill>
            <w14:solidFill>
              <w14:schemeClr w14:val="tx1"/>
            </w14:solidFill>
          </w14:textFill>
        </w:rPr>
        <w:t xml:space="preserve">合同不成立、不生效、无效、被撤销、被解除，不影响本保函的独立有效。 </w:t>
      </w:r>
    </w:p>
    <w:p w14:paraId="1CECE7E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w:t>
      </w:r>
      <w:r>
        <w:rPr>
          <w:rFonts w:ascii="宋体" w:hAnsi="宋体"/>
          <w:color w:val="000000" w:themeColor="text1"/>
          <w:sz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highlight w:val="none"/>
          <w14:textFill>
            <w14:solidFill>
              <w14:schemeClr w14:val="tx1"/>
            </w14:solidFill>
          </w14:textFill>
        </w:rPr>
        <w:t>有效期</w:t>
      </w:r>
      <w:r>
        <w:rPr>
          <w:rFonts w:ascii="宋体" w:hAnsi="宋体"/>
          <w:color w:val="000000" w:themeColor="text1"/>
          <w:sz w:val="24"/>
          <w:highlight w:val="none"/>
          <w14:textFill>
            <w14:solidFill>
              <w14:schemeClr w14:val="tx1"/>
            </w14:solidFill>
          </w14:textFill>
        </w:rPr>
        <w:t xml:space="preserve">到期后自动消灭。 </w:t>
      </w:r>
    </w:p>
    <w:p w14:paraId="072D43C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适用的法律为中华人民共和国法律，争议裁判管辖地为中华人民共和国</w:t>
      </w:r>
      <w:r>
        <w:rPr>
          <w:rFonts w:ascii="宋体" w:hAnsi="宋体"/>
          <w:color w:val="000000" w:themeColor="text1"/>
          <w:sz w:val="24"/>
          <w:highlight w:val="none"/>
          <w14:textFill>
            <w14:solidFill>
              <w14:schemeClr w14:val="tx1"/>
            </w14:solidFill>
          </w14:textFill>
        </w:rPr>
        <w:t xml:space="preserve">。 </w:t>
      </w:r>
    </w:p>
    <w:p w14:paraId="7ACD15D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ascii="宋体" w:hAnsi="宋体"/>
          <w:color w:val="000000" w:themeColor="text1"/>
          <w:sz w:val="24"/>
          <w:highlight w:val="none"/>
          <w14:textFill>
            <w14:solidFill>
              <w14:schemeClr w14:val="tx1"/>
            </w14:solidFill>
          </w14:textFill>
        </w:rPr>
        <w:t>本保函自我方法定代表人</w:t>
      </w:r>
      <w:r>
        <w:rPr>
          <w:rFonts w:hint="eastAsia" w:ascii="宋体" w:hAnsi="宋体"/>
          <w:color w:val="000000" w:themeColor="text1"/>
          <w:sz w:val="24"/>
          <w:highlight w:val="none"/>
          <w14:textFill>
            <w14:solidFill>
              <w14:schemeClr w14:val="tx1"/>
            </w14:solidFill>
          </w14:textFill>
        </w:rPr>
        <w:t>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742DC10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 立 人</w:t>
      </w:r>
      <w:r>
        <w:rPr>
          <w:rFonts w:ascii="宋体" w:hAnsi="宋体"/>
          <w:color w:val="000000" w:themeColor="text1"/>
          <w:sz w:val="24"/>
          <w:highlight w:val="non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7CBD83C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3B010EE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4589EFD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714F179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101D8DF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51778B34">
      <w:pPr>
        <w:spacing w:line="360" w:lineRule="auto"/>
        <w:ind w:firstLine="480" w:firstLineChars="200"/>
        <w:rPr>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开立时间：</w:t>
      </w:r>
      <w:r>
        <w:rPr>
          <w:rFonts w:ascii="宋体" w:hAnsi="宋体"/>
          <w:color w:val="000000" w:themeColor="text1"/>
          <w:sz w:val="24"/>
          <w:highlight w:val="none"/>
          <w14:textFill>
            <w14:solidFill>
              <w14:schemeClr w14:val="tx1"/>
            </w14:solidFill>
          </w14:textFill>
        </w:rPr>
        <w:t xml:space="preserve">      年      月    </w:t>
      </w:r>
    </w:p>
    <w:p w14:paraId="6D05EAFB">
      <w:pPr>
        <w:spacing w:line="360" w:lineRule="auto"/>
        <w:jc w:val="left"/>
        <w:rPr>
          <w:rFonts w:eastAsia="仿宋_GB2312"/>
          <w:color w:val="000000" w:themeColor="text1"/>
          <w:sz w:val="30"/>
          <w:szCs w:val="30"/>
          <w:highlight w:val="none"/>
          <w14:textFill>
            <w14:solidFill>
              <w14:schemeClr w14:val="tx1"/>
            </w14:solidFill>
          </w14:textFill>
        </w:rPr>
      </w:pPr>
    </w:p>
    <w:p w14:paraId="1550F240">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4C36BE19">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22E0B9E6">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47C1BE6D">
      <w:pPr>
        <w:spacing w:line="360" w:lineRule="auto"/>
        <w:jc w:val="left"/>
        <w:rPr>
          <w:rFonts w:ascii="宋体" w:hAnsi="宋体"/>
          <w:color w:val="000000" w:themeColor="text1"/>
          <w:sz w:val="32"/>
          <w:szCs w:val="32"/>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w:t>
      </w:r>
      <w:bookmarkStart w:id="1148" w:name="_Toc296944570"/>
      <w:bookmarkStart w:id="1149" w:name="_Toc296891271"/>
      <w:bookmarkStart w:id="1150" w:name="_Toc296346732"/>
      <w:bookmarkStart w:id="1151" w:name="_Toc296891059"/>
      <w:bookmarkStart w:id="1152" w:name="_Toc296503231"/>
      <w:bookmarkStart w:id="1153" w:name="_Toc296347230"/>
      <w:r>
        <w:rPr>
          <w:rFonts w:hint="eastAsia" w:eastAsia="仿宋_GB2312" w:cs="仿宋_GB2312"/>
          <w:color w:val="000000" w:themeColor="text1"/>
          <w:sz w:val="30"/>
          <w:szCs w:val="30"/>
          <w:highlight w:val="none"/>
          <w14:textFill>
            <w14:solidFill>
              <w14:schemeClr w14:val="tx1"/>
            </w14:solidFill>
          </w14:textFill>
        </w:rPr>
        <w:t>件</w:t>
      </w:r>
      <w:r>
        <w:rPr>
          <w:rFonts w:hint="eastAsia" w:eastAsia="仿宋_GB2312"/>
          <w:color w:val="000000" w:themeColor="text1"/>
          <w:sz w:val="30"/>
          <w:szCs w:val="30"/>
          <w:highlight w:val="none"/>
          <w14:textFill>
            <w14:solidFill>
              <w14:schemeClr w14:val="tx1"/>
            </w14:solidFill>
          </w14:textFill>
        </w:rPr>
        <w:t>7</w:t>
      </w:r>
      <w:r>
        <w:rPr>
          <w:rFonts w:hint="eastAsia" w:eastAsia="仿宋_GB2312" w:cs="仿宋_GB2312"/>
          <w:color w:val="000000" w:themeColor="text1"/>
          <w:sz w:val="30"/>
          <w:szCs w:val="30"/>
          <w:highlight w:val="none"/>
          <w14:textFill>
            <w14:solidFill>
              <w14:schemeClr w14:val="tx1"/>
            </w14:solidFill>
          </w14:textFill>
        </w:rPr>
        <w:t>：</w:t>
      </w:r>
    </w:p>
    <w:p w14:paraId="7BE0F94F">
      <w:pPr>
        <w:spacing w:line="360" w:lineRule="auto"/>
        <w:rPr>
          <w:rFonts w:ascii="宋体" w:hAnsi="宋体"/>
          <w:b/>
          <w:bCs/>
          <w:color w:val="000000" w:themeColor="text1"/>
          <w:sz w:val="32"/>
          <w:szCs w:val="32"/>
          <w:highlight w:val="none"/>
          <w14:textFill>
            <w14:solidFill>
              <w14:schemeClr w14:val="tx1"/>
            </w14:solidFill>
          </w14:textFill>
        </w:rPr>
      </w:pPr>
    </w:p>
    <w:p w14:paraId="75739AB8">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履约保函示范文本</w:t>
      </w:r>
    </w:p>
    <w:p w14:paraId="62BB7A6F">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372B9FD0">
      <w:pPr>
        <w:spacing w:line="360" w:lineRule="auto"/>
        <w:jc w:val="center"/>
        <w:rPr>
          <w:rFonts w:ascii="宋体" w:hAnsi="宋体"/>
          <w:b/>
          <w:bCs/>
          <w:color w:val="000000" w:themeColor="text1"/>
          <w:sz w:val="32"/>
          <w:szCs w:val="32"/>
          <w:highlight w:val="none"/>
          <w14:textFill>
            <w14:solidFill>
              <w14:schemeClr w14:val="tx1"/>
            </w14:solidFill>
          </w14:textFill>
        </w:rPr>
      </w:pPr>
    </w:p>
    <w:p w14:paraId="7CC2E178">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510AF17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p w14:paraId="208FF7C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ascii="宋体" w:hAnsi="宋体"/>
          <w:color w:val="000000" w:themeColor="text1"/>
          <w:sz w:val="24"/>
          <w:highlight w:val="none"/>
          <w14:textFill>
            <w14:solidFill>
              <w14:schemeClr w14:val="tx1"/>
            </w14:solidFill>
          </w14:textFill>
        </w:rPr>
        <w:t>：</w:t>
      </w:r>
    </w:p>
    <w:p w14:paraId="2BDCBBC9">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担保权人/发包人：</w:t>
      </w:r>
    </w:p>
    <w:p w14:paraId="4B76AC3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EC6271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保证人：</w:t>
      </w:r>
    </w:p>
    <w:p w14:paraId="4477B36A">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2F700359">
      <w:pPr>
        <w:spacing w:line="360" w:lineRule="auto"/>
        <w:rPr>
          <w:rFonts w:ascii="宋体" w:hAnsi="宋体"/>
          <w:color w:val="000000" w:themeColor="text1"/>
          <w:sz w:val="24"/>
          <w:highlight w:val="none"/>
          <w14:textFill>
            <w14:solidFill>
              <w14:schemeClr w14:val="tx1"/>
            </w14:solidFill>
          </w14:textFill>
        </w:rPr>
      </w:pPr>
    </w:p>
    <w:p w14:paraId="1CBF053A">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 xml:space="preserve">名称）： </w:t>
      </w:r>
    </w:p>
    <w:p w14:paraId="7023C8B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（以下简称“主合同”），我方即保证人基于承包人</w:t>
      </w:r>
      <w:r>
        <w:rPr>
          <w:rFonts w:ascii="宋体" w:hAnsi="宋体"/>
          <w:color w:val="000000" w:themeColor="text1"/>
          <w:sz w:val="24"/>
          <w:highlight w:val="none"/>
          <w14:textFill>
            <w14:solidFill>
              <w14:schemeClr w14:val="tx1"/>
            </w14:solidFill>
          </w14:textFill>
        </w:rPr>
        <w:t>的请求，同意就</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与贵方签订的主合同</w:t>
      </w:r>
      <w:r>
        <w:rPr>
          <w:rFonts w:ascii="宋体" w:hAnsi="宋体"/>
          <w:color w:val="000000" w:themeColor="text1"/>
          <w:sz w:val="24"/>
          <w:highlight w:val="none"/>
          <w14:textFill>
            <w14:solidFill>
              <w14:schemeClr w14:val="tx1"/>
            </w14:solidFill>
          </w14:textFill>
        </w:rPr>
        <w:t>项下的义务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w:t>
      </w:r>
      <w:r>
        <w:rPr>
          <w:rFonts w:hint="eastAsia" w:ascii="宋体" w:hAnsi="宋体"/>
          <w:color w:val="000000" w:themeColor="text1"/>
          <w:sz w:val="24"/>
          <w:highlight w:val="none"/>
          <w14:textFill>
            <w14:solidFill>
              <w14:schemeClr w14:val="tx1"/>
            </w14:solidFill>
          </w14:textFill>
        </w:rPr>
        <w:t>如下保证担保（以下简称“本保证担保”）</w:t>
      </w:r>
      <w:r>
        <w:rPr>
          <w:rFonts w:ascii="宋体" w:hAnsi="宋体"/>
          <w:color w:val="000000" w:themeColor="text1"/>
          <w:sz w:val="24"/>
          <w:highlight w:val="none"/>
          <w14:textFill>
            <w14:solidFill>
              <w14:schemeClr w14:val="tx1"/>
            </w14:solidFill>
          </w14:textFill>
        </w:rPr>
        <w:t xml:space="preserve">。 </w:t>
      </w:r>
    </w:p>
    <w:p w14:paraId="2D632FAB">
      <w:pPr>
        <w:spacing w:line="360" w:lineRule="auto"/>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一、保证担保的范围及保证担保金额</w:t>
      </w:r>
    </w:p>
    <w:p w14:paraId="7FC7326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保证担保范围：承包人未按照主合同的约定履行义务，应当向贵方承担的违约责任和赔偿因此造成的损失、利息、律师费、诉讼费用等实现债权的费用。</w:t>
      </w:r>
    </w:p>
    <w:p w14:paraId="57456DC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保证担保金额最高不超过</w:t>
      </w:r>
      <w:r>
        <w:rPr>
          <w:rFonts w:ascii="宋体" w:hAnsi="宋体"/>
          <w:color w:val="000000" w:themeColor="text1"/>
          <w:sz w:val="24"/>
          <w:highlight w:val="none"/>
          <w14:textFill>
            <w14:solidFill>
              <w14:schemeClr w14:val="tx1"/>
            </w14:solidFill>
          </w14:textFill>
        </w:rPr>
        <w:t xml:space="preserve">人民币（大写）元（¥）。 </w:t>
      </w:r>
    </w:p>
    <w:p w14:paraId="4331E41A">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二、保证担保的方式及保证期间</w:t>
      </w:r>
    </w:p>
    <w:p w14:paraId="36F109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1.保证担保方式：连带责任保证。</w:t>
      </w:r>
    </w:p>
    <w:p w14:paraId="042289D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保证期间：</w:t>
      </w:r>
      <w:r>
        <w:rPr>
          <w:rFonts w:ascii="宋体" w:hAnsi="宋体"/>
          <w:color w:val="000000" w:themeColor="text1"/>
          <w:sz w:val="24"/>
          <w:highlight w:val="none"/>
          <w14:textFill>
            <w14:solidFill>
              <w14:schemeClr w14:val="tx1"/>
            </w14:solidFill>
          </w14:textFill>
        </w:rPr>
        <w:t>自</w:t>
      </w:r>
      <w:r>
        <w:rPr>
          <w:rFonts w:hint="eastAsia" w:ascii="宋体" w:hAnsi="宋体"/>
          <w:color w:val="000000" w:themeColor="text1"/>
          <w:sz w:val="24"/>
          <w:highlight w:val="none"/>
          <w14:textFill>
            <w14:solidFill>
              <w14:schemeClr w14:val="tx1"/>
            </w14:solidFill>
          </w14:textFill>
        </w:rPr>
        <w:t>出具之日起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主合同约定的缺陷责任期</w:t>
      </w:r>
      <w:r>
        <w:rPr>
          <w:rFonts w:ascii="宋体" w:hAnsi="宋体"/>
          <w:color w:val="000000" w:themeColor="text1"/>
          <w:sz w:val="24"/>
          <w:highlight w:val="none"/>
          <w14:textFill>
            <w14:solidFill>
              <w14:schemeClr w14:val="tx1"/>
            </w14:solidFill>
          </w14:textFill>
        </w:rPr>
        <w:t>后日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29ABBA78">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三、承担保证担保责任的形式</w:t>
      </w:r>
    </w:p>
    <w:p w14:paraId="47122C2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我方按照贵方的要求以下列方式之一承担保证担保责任：</w:t>
      </w:r>
    </w:p>
    <w:p w14:paraId="4BA4EB0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1.向承包人资金、设备或者技术援助，使其能继续履行合同义务；</w:t>
      </w:r>
    </w:p>
    <w:p w14:paraId="243711F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2.直接接管该项工程或者委托经贵方同意的其他承包商，继续履行合同义务；</w:t>
      </w:r>
    </w:p>
    <w:p w14:paraId="0E69DB5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3.在保证担保金额最高限额内，按照合同约定，向贵方承担违约责任和赔偿因此造成的损失，以及利息和律师费、诉讼费用等实现债权的费用。</w:t>
      </w:r>
    </w:p>
    <w:p w14:paraId="094D6E80">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四、代偿的安排</w:t>
      </w:r>
    </w:p>
    <w:p w14:paraId="799357B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2638E74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2.贵方以工程质量不符合主合同约定标准为由，向我方提出违约索赔的，还需同时提供符合相应条件要求的工程质量检测部门出具的质量说明材料。</w:t>
      </w:r>
    </w:p>
    <w:p w14:paraId="2BDF919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3.我方收到贵方的书面索赔通知及相应证明材料后，在工作日内进行核定后按照本保函的承诺承担保证责任。</w:t>
      </w:r>
    </w:p>
    <w:p w14:paraId="608DDB83">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五、保证担保责任的解除</w:t>
      </w:r>
    </w:p>
    <w:p w14:paraId="5864128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保证期间届满贵方未向我方书面主张保证责任的，自保证期间届满次日起，我方解除保证责任。 </w:t>
      </w:r>
    </w:p>
    <w:p w14:paraId="663B80A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我方按照本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向贵方履行了</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后，自我方向贵方支付</w:t>
      </w:r>
      <w:r>
        <w:rPr>
          <w:rFonts w:hint="eastAsia" w:ascii="宋体" w:hAnsi="宋体"/>
          <w:color w:val="000000" w:themeColor="text1"/>
          <w:sz w:val="24"/>
          <w:highlight w:val="none"/>
          <w14:textFill>
            <w14:solidFill>
              <w14:schemeClr w14:val="tx1"/>
            </w14:solidFill>
          </w14:textFill>
        </w:rPr>
        <w:t>的金额达到最高保证担保金额</w:t>
      </w:r>
      <w:r>
        <w:rPr>
          <w:rFonts w:ascii="宋体" w:hAnsi="宋体"/>
          <w:color w:val="000000" w:themeColor="text1"/>
          <w:sz w:val="24"/>
          <w:highlight w:val="none"/>
          <w14:textFill>
            <w14:solidFill>
              <w14:schemeClr w14:val="tx1"/>
            </w14:solidFill>
          </w14:textFill>
        </w:rPr>
        <w:t>之日起，</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 xml:space="preserve">解除。 </w:t>
      </w:r>
    </w:p>
    <w:p w14:paraId="2658D8D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按照法律法规的规定应解除我方保证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责任亦解除。 </w:t>
      </w:r>
    </w:p>
    <w:p w14:paraId="2EC1DAA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highlight w:val="none"/>
          <w14:textFill>
            <w14:solidFill>
              <w14:schemeClr w14:val="tx1"/>
            </w14:solidFill>
          </w14:textFill>
        </w:rPr>
        <w:t>原件</w:t>
      </w:r>
      <w:r>
        <w:rPr>
          <w:rFonts w:ascii="宋体" w:hAnsi="宋体"/>
          <w:color w:val="000000" w:themeColor="text1"/>
          <w:sz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highlight w:val="none"/>
          <w14:textFill>
            <w14:solidFill>
              <w14:schemeClr w14:val="tx1"/>
            </w14:solidFill>
          </w14:textFill>
        </w:rPr>
        <w:t>自保证担保责任解除之日</w:t>
      </w:r>
      <w:r>
        <w:rPr>
          <w:rFonts w:ascii="宋体" w:hAnsi="宋体"/>
          <w:color w:val="000000" w:themeColor="text1"/>
          <w:sz w:val="24"/>
          <w:highlight w:val="none"/>
          <w14:textFill>
            <w14:solidFill>
              <w14:schemeClr w14:val="tx1"/>
            </w14:solidFill>
          </w14:textFill>
        </w:rPr>
        <w:t>自动消灭。</w:t>
      </w:r>
    </w:p>
    <w:p w14:paraId="077AFC8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六、免责条款</w:t>
      </w:r>
    </w:p>
    <w:p w14:paraId="2F2253F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因贵方</w:t>
      </w:r>
      <w:r>
        <w:rPr>
          <w:rFonts w:hint="eastAsia" w:ascii="宋体" w:hAnsi="宋体"/>
          <w:color w:val="000000" w:themeColor="text1"/>
          <w:sz w:val="24"/>
          <w:highlight w:val="none"/>
          <w14:textFill>
            <w14:solidFill>
              <w14:schemeClr w14:val="tx1"/>
            </w14:solidFill>
          </w14:textFill>
        </w:rPr>
        <w:t>原因</w:t>
      </w:r>
      <w:r>
        <w:rPr>
          <w:rFonts w:ascii="宋体" w:hAnsi="宋体"/>
          <w:color w:val="000000" w:themeColor="text1"/>
          <w:sz w:val="24"/>
          <w:highlight w:val="none"/>
          <w14:textFill>
            <w14:solidFill>
              <w14:schemeClr w14:val="tx1"/>
            </w14:solidFill>
          </w14:textFill>
        </w:rPr>
        <w:t>致使</w:t>
      </w:r>
      <w:r>
        <w:rPr>
          <w:rFonts w:hint="eastAsia" w:ascii="宋体" w:hAnsi="宋体"/>
          <w:color w:val="000000" w:themeColor="text1"/>
          <w:sz w:val="24"/>
          <w:highlight w:val="none"/>
          <w14:textFill>
            <w14:solidFill>
              <w14:schemeClr w14:val="tx1"/>
            </w14:solidFill>
          </w14:textFill>
        </w:rPr>
        <w:t>承包人未按照主合同约定履行义务的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637A45B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依照法律规定或贵方与</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人的另行约定，免除</w:t>
      </w:r>
      <w:r>
        <w:rPr>
          <w:rFonts w:hint="eastAsia" w:ascii="宋体" w:hAnsi="宋体"/>
          <w:color w:val="000000" w:themeColor="text1"/>
          <w:sz w:val="24"/>
          <w:highlight w:val="none"/>
          <w14:textFill>
            <w14:solidFill>
              <w14:schemeClr w14:val="tx1"/>
            </w14:solidFill>
          </w14:textFill>
        </w:rPr>
        <w:t>承包</w:t>
      </w:r>
      <w:r>
        <w:rPr>
          <w:rFonts w:ascii="宋体" w:hAnsi="宋体"/>
          <w:color w:val="000000" w:themeColor="text1"/>
          <w:sz w:val="24"/>
          <w:highlight w:val="none"/>
          <w14:textFill>
            <w14:solidFill>
              <w14:schemeClr w14:val="tx1"/>
            </w14:solidFill>
          </w14:textFill>
        </w:rPr>
        <w:t>人部分或全部义务的，我方亦免除其相应的保证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7151AE5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因不可抗力造成</w:t>
      </w:r>
      <w:r>
        <w:rPr>
          <w:rFonts w:hint="eastAsia" w:ascii="宋体" w:hAnsi="宋体"/>
          <w:color w:val="000000" w:themeColor="text1"/>
          <w:sz w:val="24"/>
          <w:highlight w:val="none"/>
          <w14:textFill>
            <w14:solidFill>
              <w14:schemeClr w14:val="tx1"/>
            </w14:solidFill>
          </w14:textFill>
        </w:rPr>
        <w:t>承包人未按照主合同约定履行义务的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w:t>
      </w:r>
    </w:p>
    <w:p w14:paraId="2FC4891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七、其他</w:t>
      </w:r>
    </w:p>
    <w:p w14:paraId="20D2728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16C84B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保证担保适用的法律为中华人民共和国法律，争议裁判管辖地为中华人民共和国。</w:t>
      </w:r>
    </w:p>
    <w:p w14:paraId="76CF05A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自我方法定代表</w:t>
      </w:r>
      <w:r>
        <w:rPr>
          <w:rFonts w:hint="eastAsia" w:ascii="宋体" w:hAnsi="宋体"/>
          <w:color w:val="000000" w:themeColor="text1"/>
          <w:sz w:val="24"/>
          <w:highlight w:val="none"/>
          <w14:textFill>
            <w14:solidFill>
              <w14:schemeClr w14:val="tx1"/>
            </w14:solidFill>
          </w14:textFill>
        </w:rPr>
        <w:t>人或授权代表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6210AAB9">
      <w:pPr>
        <w:spacing w:line="360" w:lineRule="auto"/>
        <w:ind w:firstLine="480" w:firstLineChars="200"/>
        <w:rPr>
          <w:rFonts w:ascii="宋体" w:hAnsi="宋体"/>
          <w:color w:val="000000" w:themeColor="text1"/>
          <w:sz w:val="24"/>
          <w:highlight w:val="none"/>
          <w14:textFill>
            <w14:solidFill>
              <w14:schemeClr w14:val="tx1"/>
            </w14:solidFill>
          </w14:textFill>
        </w:rPr>
      </w:pPr>
    </w:p>
    <w:p w14:paraId="7A5C386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 证 人</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（公</w:t>
      </w:r>
      <w:r>
        <w:rPr>
          <w:rFonts w:ascii="宋体" w:hAnsi="宋体"/>
          <w:color w:val="000000" w:themeColor="text1"/>
          <w:sz w:val="24"/>
          <w:highlight w:val="none"/>
          <w14:textFill>
            <w14:solidFill>
              <w14:schemeClr w14:val="tx1"/>
            </w14:solidFill>
          </w14:textFill>
        </w:rPr>
        <w:t xml:space="preserve">章） </w:t>
      </w:r>
    </w:p>
    <w:p w14:paraId="7BD05D7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20E9E603">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2BE65CF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7D65442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7749268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1A7497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 间：</w:t>
      </w:r>
      <w:r>
        <w:rPr>
          <w:rFonts w:ascii="宋体" w:hAnsi="宋体"/>
          <w:color w:val="000000" w:themeColor="text1"/>
          <w:sz w:val="24"/>
          <w:highlight w:val="none"/>
          <w14:textFill>
            <w14:solidFill>
              <w14:schemeClr w14:val="tx1"/>
            </w14:solidFill>
          </w14:textFill>
        </w:rPr>
        <w:t xml:space="preserve">      年      月        日</w:t>
      </w:r>
    </w:p>
    <w:p w14:paraId="4F884DA4">
      <w:pPr>
        <w:rPr>
          <w:color w:val="000000" w:themeColor="text1"/>
          <w:szCs w:val="21"/>
          <w:highlight w:val="none"/>
          <w14:textFill>
            <w14:solidFill>
              <w14:schemeClr w14:val="tx1"/>
            </w14:solidFill>
          </w14:textFill>
        </w:rPr>
      </w:pPr>
    </w:p>
    <w:p w14:paraId="61CD67CB">
      <w:pPr>
        <w:rPr>
          <w:color w:val="000000" w:themeColor="text1"/>
          <w:szCs w:val="21"/>
          <w:highlight w:val="none"/>
          <w14:textFill>
            <w14:solidFill>
              <w14:schemeClr w14:val="tx1"/>
            </w14:solidFill>
          </w14:textFill>
        </w:rPr>
      </w:pPr>
    </w:p>
    <w:bookmarkEnd w:id="1147"/>
    <w:bookmarkEnd w:id="1148"/>
    <w:bookmarkEnd w:id="1149"/>
    <w:bookmarkEnd w:id="1150"/>
    <w:bookmarkEnd w:id="1151"/>
    <w:bookmarkEnd w:id="1152"/>
    <w:bookmarkEnd w:id="1153"/>
    <w:p w14:paraId="6F1B75DF">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0E81EBDF">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3A6F054D">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5C092169">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40A92E5F">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6365D1DB">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12B1BA0A">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1DB90F4E">
      <w:pPr>
        <w:spacing w:line="360" w:lineRule="auto"/>
        <w:jc w:val="left"/>
        <w:rPr>
          <w:rFonts w:eastAsia="仿宋_GB2312" w:cs="仿宋_GB2312"/>
          <w:color w:val="000000" w:themeColor="text1"/>
          <w:sz w:val="30"/>
          <w:szCs w:val="30"/>
          <w:highlight w:val="none"/>
          <w14:textFill>
            <w14:solidFill>
              <w14:schemeClr w14:val="tx1"/>
            </w14:solidFill>
          </w14:textFill>
        </w:rPr>
      </w:pPr>
    </w:p>
    <w:p w14:paraId="10D480E5">
      <w:pPr>
        <w:rPr>
          <w:rFonts w:hint="eastAsia" w:eastAsia="仿宋_GB2312" w:cs="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br w:type="page"/>
      </w:r>
    </w:p>
    <w:p w14:paraId="3CEE8BBF">
      <w:pPr>
        <w:spacing w:line="360" w:lineRule="auto"/>
        <w:jc w:val="left"/>
        <w:rPr>
          <w:rFonts w:ascii="黑体" w:hAnsi="黑体" w:eastAsia="黑体" w:cs="黑体"/>
          <w:color w:val="000000" w:themeColor="text1"/>
          <w:sz w:val="32"/>
          <w:szCs w:val="32"/>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8</w:t>
      </w:r>
      <w:r>
        <w:rPr>
          <w:rFonts w:hint="eastAsia" w:eastAsia="仿宋_GB2312" w:cs="仿宋_GB2312"/>
          <w:color w:val="000000" w:themeColor="text1"/>
          <w:sz w:val="30"/>
          <w:szCs w:val="30"/>
          <w:highlight w:val="none"/>
          <w14:textFill>
            <w14:solidFill>
              <w14:schemeClr w14:val="tx1"/>
            </w14:solidFill>
          </w14:textFill>
        </w:rPr>
        <w:t>：</w:t>
      </w:r>
    </w:p>
    <w:p w14:paraId="44C530A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6DAE119D">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预付款保函示范文本</w:t>
      </w:r>
    </w:p>
    <w:p w14:paraId="16FB6E72">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4F87FB9D">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477B90A3">
      <w:pPr>
        <w:spacing w:line="360" w:lineRule="auto"/>
        <w:rPr>
          <w:rFonts w:ascii="宋体" w:hAnsi="宋体"/>
          <w:color w:val="000000" w:themeColor="text1"/>
          <w:sz w:val="24"/>
          <w:highlight w:val="none"/>
          <w14:textFill>
            <w14:solidFill>
              <w14:schemeClr w14:val="tx1"/>
            </w14:solidFill>
          </w14:textFill>
        </w:rPr>
      </w:pPr>
    </w:p>
    <w:p w14:paraId="6E217DF3">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申请人：</w:t>
      </w:r>
    </w:p>
    <w:p w14:paraId="0ADFF6E6">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r>
        <w:rPr>
          <w:rFonts w:ascii="宋体" w:hAnsi="宋体"/>
          <w:color w:val="000000" w:themeColor="text1"/>
          <w:sz w:val="24"/>
          <w:highlight w:val="none"/>
          <w14:textFill>
            <w14:solidFill>
              <w14:schemeClr w14:val="tx1"/>
            </w14:solidFill>
          </w14:textFill>
        </w:rPr>
        <w:t>：</w:t>
      </w:r>
    </w:p>
    <w:p w14:paraId="4CCC39A0">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w:t>
      </w:r>
    </w:p>
    <w:p w14:paraId="7ACC0F5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p>
    <w:p w14:paraId="7F89F79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开立人：</w:t>
      </w:r>
    </w:p>
    <w:p w14:paraId="67F48A7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4155EAB7">
      <w:pPr>
        <w:spacing w:line="360" w:lineRule="auto"/>
        <w:rPr>
          <w:rFonts w:ascii="宋体" w:hAnsi="宋体"/>
          <w:color w:val="000000" w:themeColor="text1"/>
          <w:sz w:val="24"/>
          <w:highlight w:val="none"/>
          <w14:textFill>
            <w14:solidFill>
              <w14:schemeClr w14:val="tx1"/>
            </w14:solidFill>
          </w14:textFill>
        </w:rPr>
      </w:pPr>
    </w:p>
    <w:p w14:paraId="37B93F95">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 xml:space="preserve">名称）： </w:t>
      </w:r>
    </w:p>
    <w:p w14:paraId="1C505B3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（以下简称“基础合同”），我方（即“开立人”）根据主合同了解到申请人为主合同项下之承包人，受益人为主合同项下之发包人，基于申请人</w:t>
      </w:r>
      <w:r>
        <w:rPr>
          <w:rFonts w:ascii="宋体" w:hAnsi="宋体"/>
          <w:color w:val="000000" w:themeColor="text1"/>
          <w:sz w:val="24"/>
          <w:highlight w:val="none"/>
          <w14:textFill>
            <w14:solidFill>
              <w14:schemeClr w14:val="tx1"/>
            </w14:solidFill>
          </w14:textFill>
        </w:rPr>
        <w:t>的请求，我方同意就</w:t>
      </w:r>
      <w:r>
        <w:rPr>
          <w:rFonts w:hint="eastAsia" w:ascii="宋体" w:hAnsi="宋体"/>
          <w:color w:val="000000" w:themeColor="text1"/>
          <w:sz w:val="24"/>
          <w:highlight w:val="none"/>
          <w14:textFill>
            <w14:solidFill>
              <w14:schemeClr w14:val="tx1"/>
            </w14:solidFill>
          </w14:textFill>
        </w:rPr>
        <w:t>申请人按照合同约定正确和合理地为合同目的使用预付款，</w:t>
      </w:r>
      <w:r>
        <w:rPr>
          <w:rFonts w:ascii="宋体" w:hAnsi="宋体"/>
          <w:color w:val="000000" w:themeColor="text1"/>
          <w:sz w:val="24"/>
          <w:highlight w:val="none"/>
          <w14:textFill>
            <w14:solidFill>
              <w14:schemeClr w14:val="tx1"/>
            </w14:solidFill>
          </w14:textFill>
        </w:rPr>
        <w:t>向贵方提供不可撤销、</w:t>
      </w:r>
      <w:r>
        <w:rPr>
          <w:rFonts w:hint="eastAsia" w:ascii="宋体" w:hAnsi="宋体"/>
          <w:color w:val="000000" w:themeColor="text1"/>
          <w:sz w:val="24"/>
          <w:highlight w:val="none"/>
          <w14:textFill>
            <w14:solidFill>
              <w14:schemeClr w14:val="tx1"/>
            </w14:solidFill>
          </w14:textFill>
        </w:rPr>
        <w:t>不可转让的见索即付</w:t>
      </w:r>
      <w:r>
        <w:rPr>
          <w:rFonts w:ascii="宋体" w:hAnsi="宋体"/>
          <w:color w:val="000000" w:themeColor="text1"/>
          <w:sz w:val="24"/>
          <w:highlight w:val="none"/>
          <w14:textFill>
            <w14:solidFill>
              <w14:schemeClr w14:val="tx1"/>
            </w14:solidFill>
          </w14:textFill>
        </w:rPr>
        <w:t>独立</w:t>
      </w:r>
      <w:r>
        <w:rPr>
          <w:rFonts w:hint="eastAsia" w:ascii="宋体" w:hAnsi="宋体"/>
          <w:color w:val="000000" w:themeColor="text1"/>
          <w:sz w:val="24"/>
          <w:highlight w:val="none"/>
          <w14:textFill>
            <w14:solidFill>
              <w14:schemeClr w14:val="tx1"/>
            </w14:solidFill>
          </w14:textFill>
        </w:rPr>
        <w:t>保函（以下简称“本保函”）</w:t>
      </w:r>
      <w:r>
        <w:rPr>
          <w:rFonts w:ascii="宋体" w:hAnsi="宋体"/>
          <w:color w:val="000000" w:themeColor="text1"/>
          <w:sz w:val="24"/>
          <w:highlight w:val="none"/>
          <w14:textFill>
            <w14:solidFill>
              <w14:schemeClr w14:val="tx1"/>
            </w14:solidFill>
          </w14:textFill>
        </w:rPr>
        <w:t xml:space="preserve">。 </w:t>
      </w:r>
    </w:p>
    <w:p w14:paraId="45A8A10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一、本保函担保范围：申请人未按照合同约定正确和合理地为合同目的使用预付款，应当向贵方承担的违约责任和赔偿因此造成的损失、利息、律师费、诉讼费用等实现债权的费用。</w:t>
      </w:r>
    </w:p>
    <w:p w14:paraId="171523B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二、本保函担保金额最高不超过</w:t>
      </w:r>
      <w:r>
        <w:rPr>
          <w:rFonts w:ascii="宋体" w:hAnsi="宋体"/>
          <w:color w:val="000000" w:themeColor="text1"/>
          <w:sz w:val="24"/>
          <w:highlight w:val="none"/>
          <w14:textFill>
            <w14:solidFill>
              <w14:schemeClr w14:val="tx1"/>
            </w14:solidFill>
          </w14:textFill>
        </w:rPr>
        <w:t xml:space="preserve">人民币（大写）元（¥）。 </w:t>
      </w:r>
    </w:p>
    <w:p w14:paraId="01C8573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三、本保函</w:t>
      </w:r>
      <w:r>
        <w:rPr>
          <w:rFonts w:ascii="宋体" w:hAnsi="宋体"/>
          <w:color w:val="000000" w:themeColor="text1"/>
          <w:sz w:val="24"/>
          <w:highlight w:val="none"/>
          <w14:textFill>
            <w14:solidFill>
              <w14:schemeClr w14:val="tx1"/>
            </w14:solidFill>
          </w14:textFill>
        </w:rPr>
        <w:t>有效期自</w:t>
      </w:r>
      <w:r>
        <w:rPr>
          <w:rFonts w:hint="eastAsia" w:ascii="宋体" w:hAnsi="宋体"/>
          <w:color w:val="000000" w:themeColor="text1"/>
          <w:sz w:val="24"/>
          <w:highlight w:val="none"/>
          <w14:textFill>
            <w14:solidFill>
              <w14:schemeClr w14:val="tx1"/>
            </w14:solidFill>
          </w14:textFill>
        </w:rPr>
        <w:t>开立之日起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发包人全额扣回预付款后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p>
    <w:p w14:paraId="01DAF83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145B765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（1）付款通知到达的日期在本保函的有效期内；</w:t>
      </w:r>
    </w:p>
    <w:p w14:paraId="3D6DCC5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（2）载明要求支付的金额；</w:t>
      </w:r>
    </w:p>
    <w:p w14:paraId="63B52C9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（3）载明申请人违反合同义务的条款和内容；</w:t>
      </w:r>
    </w:p>
    <w:p w14:paraId="2C102BA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（4）声明不存在合同文件约定或我国法律规定免除申请人或开立人支付责任的情形；</w:t>
      </w:r>
    </w:p>
    <w:p w14:paraId="5156B51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（5）付款通知应在本保函有效期内到达的地址是：。</w:t>
      </w:r>
    </w:p>
    <w:p w14:paraId="68A54DA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受益人发出的书面付款通知应由其为鉴明受益人法定代表人（负责人）或授权代理人签字并加盖公章。</w:t>
      </w:r>
    </w:p>
    <w:p w14:paraId="312AA56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w:t>
      </w:r>
      <w:r>
        <w:rPr>
          <w:rFonts w:ascii="宋体" w:hAnsi="宋体"/>
          <w:color w:val="000000" w:themeColor="text1"/>
          <w:sz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2E1870D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六、与</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有关</w:t>
      </w:r>
      <w:r>
        <w:rPr>
          <w:rFonts w:ascii="宋体" w:hAnsi="宋体"/>
          <w:color w:val="000000" w:themeColor="text1"/>
          <w:sz w:val="24"/>
          <w:highlight w:val="none"/>
          <w14:textFill>
            <w14:solidFill>
              <w14:schemeClr w14:val="tx1"/>
            </w14:solidFill>
          </w14:textFill>
        </w:rPr>
        <w:t>的</w:t>
      </w:r>
      <w:r>
        <w:rPr>
          <w:rFonts w:hint="eastAsia" w:ascii="宋体" w:hAnsi="宋体"/>
          <w:color w:val="000000" w:themeColor="text1"/>
          <w:sz w:val="24"/>
          <w:highlight w:val="none"/>
          <w14:textFill>
            <w14:solidFill>
              <w14:schemeClr w14:val="tx1"/>
            </w14:solidFill>
          </w14:textFill>
        </w:rPr>
        <w:t>基础</w:t>
      </w:r>
      <w:r>
        <w:rPr>
          <w:rFonts w:ascii="宋体" w:hAnsi="宋体"/>
          <w:color w:val="000000" w:themeColor="text1"/>
          <w:sz w:val="24"/>
          <w:highlight w:val="none"/>
          <w14:textFill>
            <w14:solidFill>
              <w14:schemeClr w14:val="tx1"/>
            </w14:solidFill>
          </w14:textFill>
        </w:rPr>
        <w:t xml:space="preserve">合同不成立、不生效、无效、被撤销、被解除，不影响本保函的独立有效。 </w:t>
      </w:r>
    </w:p>
    <w:p w14:paraId="60BA4D7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w:t>
      </w:r>
      <w:r>
        <w:rPr>
          <w:rFonts w:ascii="宋体" w:hAnsi="宋体"/>
          <w:color w:val="000000" w:themeColor="text1"/>
          <w:sz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highlight w:val="none"/>
          <w14:textFill>
            <w14:solidFill>
              <w14:schemeClr w14:val="tx1"/>
            </w14:solidFill>
          </w14:textFill>
        </w:rPr>
        <w:t>有效期</w:t>
      </w:r>
      <w:r>
        <w:rPr>
          <w:rFonts w:ascii="宋体" w:hAnsi="宋体"/>
          <w:color w:val="000000" w:themeColor="text1"/>
          <w:sz w:val="24"/>
          <w:highlight w:val="none"/>
          <w14:textFill>
            <w14:solidFill>
              <w14:schemeClr w14:val="tx1"/>
            </w14:solidFill>
          </w14:textFill>
        </w:rPr>
        <w:t xml:space="preserve">到期后自动消灭。 </w:t>
      </w:r>
    </w:p>
    <w:p w14:paraId="260FB34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适用的法律为中华人民共和国法律，争议裁判管辖地为中华人民共和国</w:t>
      </w:r>
      <w:r>
        <w:rPr>
          <w:rFonts w:ascii="宋体" w:hAnsi="宋体"/>
          <w:color w:val="000000" w:themeColor="text1"/>
          <w:sz w:val="24"/>
          <w:highlight w:val="none"/>
          <w14:textFill>
            <w14:solidFill>
              <w14:schemeClr w14:val="tx1"/>
            </w14:solidFill>
          </w14:textFill>
        </w:rPr>
        <w:t xml:space="preserve">。 </w:t>
      </w:r>
    </w:p>
    <w:p w14:paraId="43E5D84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ascii="宋体" w:hAnsi="宋体"/>
          <w:color w:val="000000" w:themeColor="text1"/>
          <w:sz w:val="24"/>
          <w:highlight w:val="none"/>
          <w14:textFill>
            <w14:solidFill>
              <w14:schemeClr w14:val="tx1"/>
            </w14:solidFill>
          </w14:textFill>
        </w:rPr>
        <w:t>本保函自我方法定代表人</w:t>
      </w:r>
      <w:r>
        <w:rPr>
          <w:rFonts w:hint="eastAsia" w:ascii="宋体" w:hAnsi="宋体"/>
          <w:color w:val="000000" w:themeColor="text1"/>
          <w:sz w:val="24"/>
          <w:highlight w:val="none"/>
          <w14:textFill>
            <w14:solidFill>
              <w14:schemeClr w14:val="tx1"/>
            </w14:solidFill>
          </w14:textFill>
        </w:rPr>
        <w:t>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48BD6F33">
      <w:pPr>
        <w:spacing w:line="360" w:lineRule="auto"/>
        <w:ind w:firstLine="480" w:firstLineChars="200"/>
        <w:rPr>
          <w:rFonts w:ascii="宋体" w:hAnsi="宋体"/>
          <w:color w:val="000000" w:themeColor="text1"/>
          <w:sz w:val="24"/>
          <w:highlight w:val="none"/>
          <w14:textFill>
            <w14:solidFill>
              <w14:schemeClr w14:val="tx1"/>
            </w14:solidFill>
          </w14:textFill>
        </w:rPr>
      </w:pPr>
    </w:p>
    <w:p w14:paraId="47EA6D3E">
      <w:pPr>
        <w:spacing w:line="360" w:lineRule="auto"/>
        <w:ind w:firstLine="480" w:firstLineChars="200"/>
        <w:rPr>
          <w:rFonts w:ascii="宋体" w:hAnsi="宋体"/>
          <w:color w:val="000000" w:themeColor="text1"/>
          <w:sz w:val="24"/>
          <w:highlight w:val="none"/>
          <w14:textFill>
            <w14:solidFill>
              <w14:schemeClr w14:val="tx1"/>
            </w14:solidFill>
          </w14:textFill>
        </w:rPr>
      </w:pPr>
    </w:p>
    <w:p w14:paraId="57A4652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 立 人</w:t>
      </w:r>
      <w:r>
        <w:rPr>
          <w:rFonts w:ascii="宋体" w:hAnsi="宋体"/>
          <w:color w:val="000000" w:themeColor="text1"/>
          <w:sz w:val="24"/>
          <w:highlight w:val="non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3D70E0B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4AE1DE1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62B9E19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47D0569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20DF822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31CC095F">
      <w:pPr>
        <w:rPr>
          <w:color w:val="000000" w:themeColor="text1"/>
          <w:szCs w:val="2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开立时间：</w:t>
      </w:r>
      <w:r>
        <w:rPr>
          <w:rFonts w:ascii="宋体" w:hAnsi="宋体"/>
          <w:color w:val="000000" w:themeColor="text1"/>
          <w:sz w:val="24"/>
          <w:highlight w:val="none"/>
          <w14:textFill>
            <w14:solidFill>
              <w14:schemeClr w14:val="tx1"/>
            </w14:solidFill>
          </w14:textFill>
        </w:rPr>
        <w:t xml:space="preserve">      年      月        日</w:t>
      </w:r>
    </w:p>
    <w:p w14:paraId="47EE30FE">
      <w:pPr>
        <w:spacing w:line="360" w:lineRule="auto"/>
        <w:jc w:val="center"/>
        <w:rPr>
          <w:rFonts w:ascii="宋体" w:hAnsi="宋体"/>
          <w:b/>
          <w:bCs/>
          <w:color w:val="000000" w:themeColor="text1"/>
          <w:sz w:val="32"/>
          <w:szCs w:val="32"/>
          <w:highlight w:val="none"/>
          <w14:textFill>
            <w14:solidFill>
              <w14:schemeClr w14:val="tx1"/>
            </w14:solidFill>
          </w14:textFill>
        </w:rPr>
      </w:pPr>
    </w:p>
    <w:p w14:paraId="5A4CD1EB">
      <w:pPr>
        <w:spacing w:line="360" w:lineRule="auto"/>
        <w:jc w:val="left"/>
        <w:rPr>
          <w:rFonts w:hint="eastAsia" w:ascii="黑体" w:hAnsi="黑体" w:eastAsia="黑体" w:cs="黑体"/>
          <w:color w:val="000000" w:themeColor="text1"/>
          <w:sz w:val="32"/>
          <w:szCs w:val="32"/>
          <w:highlight w:val="none"/>
          <w14:textFill>
            <w14:solidFill>
              <w14:schemeClr w14:val="tx1"/>
            </w14:solidFill>
          </w14:textFill>
        </w:rPr>
      </w:pPr>
    </w:p>
    <w:p w14:paraId="2FA542A5">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ascii="黑体" w:hAnsi="黑体" w:eastAsia="黑体" w:cs="黑体"/>
          <w:color w:val="000000" w:themeColor="text1"/>
          <w:sz w:val="32"/>
          <w:szCs w:val="32"/>
          <w:highlight w:val="none"/>
          <w14:textFill>
            <w14:solidFill>
              <w14:schemeClr w14:val="tx1"/>
            </w14:solidFill>
          </w14:textFill>
        </w:rPr>
        <w:t>8</w:t>
      </w:r>
    </w:p>
    <w:p w14:paraId="17A3339E">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60B8327B">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预付款保函示范文本</w:t>
      </w:r>
    </w:p>
    <w:p w14:paraId="631B7E89">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645E90AD">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32FB75B4">
      <w:pPr>
        <w:spacing w:line="360" w:lineRule="auto"/>
        <w:rPr>
          <w:rFonts w:ascii="宋体" w:hAnsi="宋体"/>
          <w:color w:val="000000" w:themeColor="text1"/>
          <w:sz w:val="24"/>
          <w:highlight w:val="none"/>
          <w14:textFill>
            <w14:solidFill>
              <w14:schemeClr w14:val="tx1"/>
            </w14:solidFill>
          </w14:textFill>
        </w:rPr>
      </w:pPr>
    </w:p>
    <w:p w14:paraId="1AB5861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担保权人/发包人：</w:t>
      </w:r>
    </w:p>
    <w:p w14:paraId="5C50F644">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ascii="宋体" w:hAnsi="宋体"/>
          <w:color w:val="000000" w:themeColor="text1"/>
          <w:sz w:val="24"/>
          <w:highlight w:val="none"/>
          <w14:textFill>
            <w14:solidFill>
              <w14:schemeClr w14:val="tx1"/>
            </w14:solidFill>
          </w14:textFill>
        </w:rPr>
        <w:t>：</w:t>
      </w:r>
    </w:p>
    <w:p w14:paraId="2D2069A3">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承包人：</w:t>
      </w:r>
    </w:p>
    <w:p w14:paraId="5B5256D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2693E4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保证人：</w:t>
      </w:r>
    </w:p>
    <w:p w14:paraId="15DDD17B">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6B2E635">
      <w:pPr>
        <w:spacing w:line="360" w:lineRule="auto"/>
        <w:rPr>
          <w:rFonts w:ascii="宋体" w:hAnsi="宋体"/>
          <w:color w:val="000000" w:themeColor="text1"/>
          <w:sz w:val="24"/>
          <w:highlight w:val="none"/>
          <w14:textFill>
            <w14:solidFill>
              <w14:schemeClr w14:val="tx1"/>
            </w14:solidFill>
          </w14:textFill>
        </w:rPr>
      </w:pPr>
    </w:p>
    <w:p w14:paraId="2BE9C860">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 xml:space="preserve">名称）： </w:t>
      </w:r>
    </w:p>
    <w:p w14:paraId="31090BE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（以下简称“主合同”），我方即保证人基于承包人</w:t>
      </w:r>
      <w:r>
        <w:rPr>
          <w:rFonts w:ascii="宋体" w:hAnsi="宋体"/>
          <w:color w:val="000000" w:themeColor="text1"/>
          <w:sz w:val="24"/>
          <w:highlight w:val="none"/>
          <w14:textFill>
            <w14:solidFill>
              <w14:schemeClr w14:val="tx1"/>
            </w14:solidFill>
          </w14:textFill>
        </w:rPr>
        <w:t>的请求，同意就</w:t>
      </w:r>
      <w:r>
        <w:rPr>
          <w:rFonts w:hint="eastAsia" w:ascii="宋体" w:hAnsi="宋体"/>
          <w:color w:val="000000" w:themeColor="text1"/>
          <w:sz w:val="24"/>
          <w:highlight w:val="none"/>
          <w14:textFill>
            <w14:solidFill>
              <w14:schemeClr w14:val="tx1"/>
            </w14:solidFill>
          </w14:textFill>
        </w:rPr>
        <w:t>承包人按照合同约定正确和合理地为合同目的使用预付款，不将预付款挪作他用，</w:t>
      </w:r>
      <w:r>
        <w:rPr>
          <w:rFonts w:ascii="宋体" w:hAnsi="宋体"/>
          <w:color w:val="000000" w:themeColor="text1"/>
          <w:sz w:val="24"/>
          <w:highlight w:val="none"/>
          <w14:textFill>
            <w14:solidFill>
              <w14:schemeClr w14:val="tx1"/>
            </w14:solidFill>
          </w14:textFill>
        </w:rPr>
        <w:t>向贵方提供</w:t>
      </w:r>
      <w:r>
        <w:rPr>
          <w:rFonts w:hint="eastAsia" w:ascii="宋体" w:hAnsi="宋体"/>
          <w:color w:val="000000" w:themeColor="text1"/>
          <w:sz w:val="24"/>
          <w:highlight w:val="none"/>
          <w14:textFill>
            <w14:solidFill>
              <w14:schemeClr w14:val="tx1"/>
            </w14:solidFill>
          </w14:textFill>
        </w:rPr>
        <w:t>如下保证担保（以下简称“本保证担保”）</w:t>
      </w:r>
      <w:r>
        <w:rPr>
          <w:rFonts w:ascii="宋体" w:hAnsi="宋体"/>
          <w:color w:val="000000" w:themeColor="text1"/>
          <w:sz w:val="24"/>
          <w:highlight w:val="none"/>
          <w14:textFill>
            <w14:solidFill>
              <w14:schemeClr w14:val="tx1"/>
            </w14:solidFill>
          </w14:textFill>
        </w:rPr>
        <w:t xml:space="preserve">。 </w:t>
      </w:r>
    </w:p>
    <w:p w14:paraId="2AA3A42E">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一、保证担保的范围及保证担保金额</w:t>
      </w:r>
    </w:p>
    <w:p w14:paraId="7679892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保证担保范围：申请人未按照合同约定正确和合理地为合同目的使用预付款，应当向贵方承担的违约责任和赔偿因此造成的损失、利息、律师费、诉讼费用等实现债权的费用。</w:t>
      </w:r>
    </w:p>
    <w:p w14:paraId="224D13D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保证担保金额最高不超过</w:t>
      </w:r>
      <w:r>
        <w:rPr>
          <w:rFonts w:ascii="宋体" w:hAnsi="宋体"/>
          <w:color w:val="000000" w:themeColor="text1"/>
          <w:sz w:val="24"/>
          <w:highlight w:val="none"/>
          <w14:textFill>
            <w14:solidFill>
              <w14:schemeClr w14:val="tx1"/>
            </w14:solidFill>
          </w14:textFill>
        </w:rPr>
        <w:t xml:space="preserve">人民币（大写）元（¥）。 </w:t>
      </w:r>
    </w:p>
    <w:p w14:paraId="1A7D2A08">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二、保证担保的方式及保证期间</w:t>
      </w:r>
    </w:p>
    <w:p w14:paraId="460C224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1.保证担保方式：连带责任保证。</w:t>
      </w:r>
    </w:p>
    <w:p w14:paraId="515F1A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保证期间：</w:t>
      </w:r>
      <w:r>
        <w:rPr>
          <w:rFonts w:ascii="宋体" w:hAnsi="宋体"/>
          <w:color w:val="000000" w:themeColor="text1"/>
          <w:sz w:val="24"/>
          <w:highlight w:val="none"/>
          <w14:textFill>
            <w14:solidFill>
              <w14:schemeClr w14:val="tx1"/>
            </w14:solidFill>
          </w14:textFill>
        </w:rPr>
        <w:t>自</w:t>
      </w:r>
      <w:r>
        <w:rPr>
          <w:rFonts w:hint="eastAsia" w:ascii="宋体" w:hAnsi="宋体"/>
          <w:color w:val="000000" w:themeColor="text1"/>
          <w:sz w:val="24"/>
          <w:highlight w:val="none"/>
          <w14:textFill>
            <w14:solidFill>
              <w14:schemeClr w14:val="tx1"/>
            </w14:solidFill>
          </w14:textFill>
        </w:rPr>
        <w:t>出具之日起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发包人全额扣回预付款后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0C403F5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三、承担保证担保责任的形式</w:t>
      </w:r>
    </w:p>
    <w:p w14:paraId="4D58E35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发生应承担保证责任情形的，我方在保证金额内向贵方支付，并赔偿因此给贵方造成的损失，以及利息和律师费、诉讼费用等实现债权的费用。</w:t>
      </w:r>
    </w:p>
    <w:p w14:paraId="39B2C1E7">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四、代偿的安排</w:t>
      </w:r>
    </w:p>
    <w:p w14:paraId="095AC50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贵方要求我方承担保证责任的，应向我方发出书面索赔通知及承包人未履行主合同约定义务的证明材料。索赔通知应写明要求索赔的金额，支付款项应到达的账号，并附有说明承包人违反主合同造成贵方损失情况的证明材料。</w:t>
      </w:r>
    </w:p>
    <w:p w14:paraId="07567DD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2.我方收到贵方的书面索赔通知及相应证明材料后，在工作日内进行核定后按照本保函的承诺承担保证责任。</w:t>
      </w:r>
    </w:p>
    <w:p w14:paraId="18847FF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五、保证担保责任的解除</w:t>
      </w:r>
    </w:p>
    <w:p w14:paraId="782EC9F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保证期间届满贵方未向我方书面主张保证责任的，自保证期间届满次日起，我方解除保证责任。 </w:t>
      </w:r>
    </w:p>
    <w:p w14:paraId="78BA3B6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我方按照本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向贵方履行了</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后，自我方向贵方支付</w:t>
      </w:r>
      <w:r>
        <w:rPr>
          <w:rFonts w:hint="eastAsia" w:ascii="宋体" w:hAnsi="宋体"/>
          <w:color w:val="000000" w:themeColor="text1"/>
          <w:sz w:val="24"/>
          <w:highlight w:val="none"/>
          <w14:textFill>
            <w14:solidFill>
              <w14:schemeClr w14:val="tx1"/>
            </w14:solidFill>
          </w14:textFill>
        </w:rPr>
        <w:t>的金额达到最高保证担保金额</w:t>
      </w:r>
      <w:r>
        <w:rPr>
          <w:rFonts w:ascii="宋体" w:hAnsi="宋体"/>
          <w:color w:val="000000" w:themeColor="text1"/>
          <w:sz w:val="24"/>
          <w:highlight w:val="none"/>
          <w14:textFill>
            <w14:solidFill>
              <w14:schemeClr w14:val="tx1"/>
            </w14:solidFill>
          </w14:textFill>
        </w:rPr>
        <w:t>之日起，</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 xml:space="preserve">解除。 </w:t>
      </w:r>
    </w:p>
    <w:p w14:paraId="09D0003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按照法律法规的规定应解除我方保证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责任亦解除。 </w:t>
      </w:r>
    </w:p>
    <w:p w14:paraId="1A618DC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highlight w:val="none"/>
          <w14:textFill>
            <w14:solidFill>
              <w14:schemeClr w14:val="tx1"/>
            </w14:solidFill>
          </w14:textFill>
        </w:rPr>
        <w:t>原件</w:t>
      </w:r>
      <w:r>
        <w:rPr>
          <w:rFonts w:ascii="宋体" w:hAnsi="宋体"/>
          <w:color w:val="000000" w:themeColor="text1"/>
          <w:sz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highlight w:val="none"/>
          <w14:textFill>
            <w14:solidFill>
              <w14:schemeClr w14:val="tx1"/>
            </w14:solidFill>
          </w14:textFill>
        </w:rPr>
        <w:t>自保证担保责任解除之日</w:t>
      </w:r>
      <w:r>
        <w:rPr>
          <w:rFonts w:ascii="宋体" w:hAnsi="宋体"/>
          <w:color w:val="000000" w:themeColor="text1"/>
          <w:sz w:val="24"/>
          <w:highlight w:val="none"/>
          <w14:textFill>
            <w14:solidFill>
              <w14:schemeClr w14:val="tx1"/>
            </w14:solidFill>
          </w14:textFill>
        </w:rPr>
        <w:t>自动消灭。</w:t>
      </w:r>
    </w:p>
    <w:p w14:paraId="7127C22B">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六、免责条款</w:t>
      </w:r>
    </w:p>
    <w:p w14:paraId="04CA386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因贵方</w:t>
      </w:r>
      <w:r>
        <w:rPr>
          <w:rFonts w:hint="eastAsia" w:ascii="宋体" w:hAnsi="宋体"/>
          <w:color w:val="000000" w:themeColor="text1"/>
          <w:sz w:val="24"/>
          <w:highlight w:val="none"/>
          <w14:textFill>
            <w14:solidFill>
              <w14:schemeClr w14:val="tx1"/>
            </w14:solidFill>
          </w14:textFill>
        </w:rPr>
        <w:t>原因</w:t>
      </w:r>
      <w:r>
        <w:rPr>
          <w:rFonts w:ascii="宋体" w:hAnsi="宋体"/>
          <w:color w:val="000000" w:themeColor="text1"/>
          <w:sz w:val="24"/>
          <w:highlight w:val="none"/>
          <w14:textFill>
            <w14:solidFill>
              <w14:schemeClr w14:val="tx1"/>
            </w14:solidFill>
          </w14:textFill>
        </w:rPr>
        <w:t>致使</w:t>
      </w:r>
      <w:r>
        <w:rPr>
          <w:rFonts w:hint="eastAsia" w:ascii="宋体" w:hAnsi="宋体"/>
          <w:color w:val="000000" w:themeColor="text1"/>
          <w:sz w:val="24"/>
          <w:highlight w:val="none"/>
          <w14:textFill>
            <w14:solidFill>
              <w14:schemeClr w14:val="tx1"/>
            </w14:solidFill>
          </w14:textFill>
        </w:rPr>
        <w:t>发生应承担保证责任情形的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593E555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依照法律规定或贵方与</w:t>
      </w:r>
      <w:r>
        <w:rPr>
          <w:rFonts w:hint="eastAsia" w:ascii="宋体" w:hAnsi="宋体"/>
          <w:color w:val="000000" w:themeColor="text1"/>
          <w:sz w:val="24"/>
          <w:highlight w:val="none"/>
          <w14:textFill>
            <w14:solidFill>
              <w14:schemeClr w14:val="tx1"/>
            </w14:solidFill>
          </w14:textFill>
        </w:rPr>
        <w:t>承包</w:t>
      </w:r>
      <w:r>
        <w:rPr>
          <w:rFonts w:ascii="宋体" w:hAnsi="宋体"/>
          <w:color w:val="000000" w:themeColor="text1"/>
          <w:sz w:val="24"/>
          <w:highlight w:val="none"/>
          <w14:textFill>
            <w14:solidFill>
              <w14:schemeClr w14:val="tx1"/>
            </w14:solidFill>
          </w14:textFill>
        </w:rPr>
        <w:t>人的另行约定，免除</w:t>
      </w:r>
      <w:r>
        <w:rPr>
          <w:rFonts w:hint="eastAsia" w:ascii="宋体" w:hAnsi="宋体"/>
          <w:color w:val="000000" w:themeColor="text1"/>
          <w:sz w:val="24"/>
          <w:highlight w:val="none"/>
          <w14:textFill>
            <w14:solidFill>
              <w14:schemeClr w14:val="tx1"/>
            </w14:solidFill>
          </w14:textFill>
        </w:rPr>
        <w:t>承包</w:t>
      </w:r>
      <w:r>
        <w:rPr>
          <w:rFonts w:ascii="宋体" w:hAnsi="宋体"/>
          <w:color w:val="000000" w:themeColor="text1"/>
          <w:sz w:val="24"/>
          <w:highlight w:val="none"/>
          <w14:textFill>
            <w14:solidFill>
              <w14:schemeClr w14:val="tx1"/>
            </w14:solidFill>
          </w14:textFill>
        </w:rPr>
        <w:t>人部分或全部义务的，我方亦免除其相应的保证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46A42F7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因不可抗力造成</w:t>
      </w:r>
      <w:r>
        <w:rPr>
          <w:rFonts w:hint="eastAsia" w:ascii="宋体" w:hAnsi="宋体"/>
          <w:color w:val="000000" w:themeColor="text1"/>
          <w:sz w:val="24"/>
          <w:highlight w:val="none"/>
          <w14:textFill>
            <w14:solidFill>
              <w14:schemeClr w14:val="tx1"/>
            </w14:solidFill>
          </w14:textFill>
        </w:rPr>
        <w:t>发生应承担保证责任情形的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w:t>
      </w:r>
    </w:p>
    <w:p w14:paraId="0465B8E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七、其他</w:t>
      </w:r>
    </w:p>
    <w:p w14:paraId="672F9BE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39AA335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保证担保适用的法律为中华人民共和国法律，争议裁判管辖地为中华人民共和国。</w:t>
      </w:r>
    </w:p>
    <w:p w14:paraId="068A2D0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自我方法定代表</w:t>
      </w:r>
      <w:r>
        <w:rPr>
          <w:rFonts w:hint="eastAsia" w:ascii="宋体" w:hAnsi="宋体"/>
          <w:color w:val="000000" w:themeColor="text1"/>
          <w:sz w:val="24"/>
          <w:highlight w:val="none"/>
          <w14:textFill>
            <w14:solidFill>
              <w14:schemeClr w14:val="tx1"/>
            </w14:solidFill>
          </w14:textFill>
        </w:rPr>
        <w:t>人或授权代表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32C921CB">
      <w:pPr>
        <w:spacing w:line="360" w:lineRule="auto"/>
        <w:ind w:firstLine="480" w:firstLineChars="200"/>
        <w:rPr>
          <w:rFonts w:ascii="宋体" w:hAnsi="宋体"/>
          <w:color w:val="000000" w:themeColor="text1"/>
          <w:sz w:val="24"/>
          <w:highlight w:val="none"/>
          <w14:textFill>
            <w14:solidFill>
              <w14:schemeClr w14:val="tx1"/>
            </w14:solidFill>
          </w14:textFill>
        </w:rPr>
      </w:pPr>
    </w:p>
    <w:p w14:paraId="44E8D84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 证 人</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4C12041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094CC8A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7EB8E47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1C7C634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2F46438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1D760A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 间：</w:t>
      </w:r>
      <w:r>
        <w:rPr>
          <w:rFonts w:ascii="宋体" w:hAnsi="宋体"/>
          <w:color w:val="000000" w:themeColor="text1"/>
          <w:sz w:val="24"/>
          <w:highlight w:val="none"/>
          <w14:textFill>
            <w14:solidFill>
              <w14:schemeClr w14:val="tx1"/>
            </w14:solidFill>
          </w14:textFill>
        </w:rPr>
        <w:t xml:space="preserve">      年      月        日</w:t>
      </w:r>
    </w:p>
    <w:p w14:paraId="240E158B">
      <w:pPr>
        <w:rPr>
          <w:color w:val="000000" w:themeColor="text1"/>
          <w:szCs w:val="21"/>
          <w:highlight w:val="none"/>
          <w14:textFill>
            <w14:solidFill>
              <w14:schemeClr w14:val="tx1"/>
            </w14:solidFill>
          </w14:textFill>
        </w:rPr>
      </w:pPr>
    </w:p>
    <w:p w14:paraId="794C73F5">
      <w:pPr>
        <w:spacing w:line="360" w:lineRule="auto"/>
        <w:jc w:val="center"/>
        <w:rPr>
          <w:rFonts w:ascii="宋体" w:hAnsi="宋体"/>
          <w:b/>
          <w:bCs/>
          <w:color w:val="000000" w:themeColor="text1"/>
          <w:sz w:val="32"/>
          <w:szCs w:val="32"/>
          <w:highlight w:val="none"/>
          <w14:textFill>
            <w14:solidFill>
              <w14:schemeClr w14:val="tx1"/>
            </w14:solidFill>
          </w14:textFill>
        </w:rPr>
      </w:pPr>
    </w:p>
    <w:p w14:paraId="29EDEB4A">
      <w:pPr>
        <w:spacing w:line="440" w:lineRule="exact"/>
        <w:rPr>
          <w:rFonts w:eastAsia="仿宋_GB2312" w:cs="仿宋_GB2312"/>
          <w:color w:val="000000" w:themeColor="text1"/>
          <w:sz w:val="30"/>
          <w:szCs w:val="30"/>
          <w:highlight w:val="none"/>
          <w14:textFill>
            <w14:solidFill>
              <w14:schemeClr w14:val="tx1"/>
            </w14:solidFill>
          </w14:textFill>
        </w:rPr>
      </w:pPr>
    </w:p>
    <w:p w14:paraId="5276EBE0">
      <w:pPr>
        <w:spacing w:line="440" w:lineRule="exact"/>
        <w:rPr>
          <w:rFonts w:eastAsia="仿宋_GB2312" w:cs="仿宋_GB2312"/>
          <w:color w:val="000000" w:themeColor="text1"/>
          <w:sz w:val="30"/>
          <w:szCs w:val="30"/>
          <w:highlight w:val="none"/>
          <w14:textFill>
            <w14:solidFill>
              <w14:schemeClr w14:val="tx1"/>
            </w14:solidFill>
          </w14:textFill>
        </w:rPr>
      </w:pPr>
    </w:p>
    <w:p w14:paraId="3DB35B97">
      <w:pPr>
        <w:spacing w:line="440" w:lineRule="exact"/>
        <w:rPr>
          <w:rFonts w:eastAsia="仿宋_GB2312" w:cs="仿宋_GB2312"/>
          <w:color w:val="000000" w:themeColor="text1"/>
          <w:sz w:val="30"/>
          <w:szCs w:val="30"/>
          <w:highlight w:val="none"/>
          <w14:textFill>
            <w14:solidFill>
              <w14:schemeClr w14:val="tx1"/>
            </w14:solidFill>
          </w14:textFill>
        </w:rPr>
      </w:pPr>
    </w:p>
    <w:p w14:paraId="0D5FB60D">
      <w:pPr>
        <w:spacing w:line="440" w:lineRule="exact"/>
        <w:rPr>
          <w:rFonts w:eastAsia="仿宋_GB2312" w:cs="仿宋_GB2312"/>
          <w:color w:val="000000" w:themeColor="text1"/>
          <w:sz w:val="30"/>
          <w:szCs w:val="30"/>
          <w:highlight w:val="none"/>
          <w14:textFill>
            <w14:solidFill>
              <w14:schemeClr w14:val="tx1"/>
            </w14:solidFill>
          </w14:textFill>
        </w:rPr>
      </w:pPr>
    </w:p>
    <w:p w14:paraId="5F90349A">
      <w:pPr>
        <w:spacing w:line="440" w:lineRule="exact"/>
        <w:rPr>
          <w:rFonts w:eastAsia="仿宋_GB2312" w:cs="仿宋_GB2312"/>
          <w:color w:val="000000" w:themeColor="text1"/>
          <w:sz w:val="30"/>
          <w:szCs w:val="30"/>
          <w:highlight w:val="none"/>
          <w14:textFill>
            <w14:solidFill>
              <w14:schemeClr w14:val="tx1"/>
            </w14:solidFill>
          </w14:textFill>
        </w:rPr>
      </w:pPr>
    </w:p>
    <w:p w14:paraId="15120689">
      <w:pPr>
        <w:spacing w:line="440" w:lineRule="exact"/>
        <w:rPr>
          <w:rFonts w:eastAsia="仿宋_GB2312" w:cs="仿宋_GB2312"/>
          <w:color w:val="000000" w:themeColor="text1"/>
          <w:sz w:val="30"/>
          <w:szCs w:val="30"/>
          <w:highlight w:val="none"/>
          <w14:textFill>
            <w14:solidFill>
              <w14:schemeClr w14:val="tx1"/>
            </w14:solidFill>
          </w14:textFill>
        </w:rPr>
      </w:pPr>
    </w:p>
    <w:p w14:paraId="0C1A9D9C">
      <w:pPr>
        <w:spacing w:line="440" w:lineRule="exact"/>
        <w:rPr>
          <w:rFonts w:eastAsia="仿宋_GB2312" w:cs="仿宋_GB2312"/>
          <w:color w:val="000000" w:themeColor="text1"/>
          <w:sz w:val="30"/>
          <w:szCs w:val="30"/>
          <w:highlight w:val="none"/>
          <w14:textFill>
            <w14:solidFill>
              <w14:schemeClr w14:val="tx1"/>
            </w14:solidFill>
          </w14:textFill>
        </w:rPr>
      </w:pPr>
    </w:p>
    <w:p w14:paraId="5105EEE9">
      <w:pPr>
        <w:spacing w:line="440" w:lineRule="exact"/>
        <w:rPr>
          <w:rFonts w:eastAsia="仿宋_GB2312" w:cs="仿宋_GB2312"/>
          <w:color w:val="000000" w:themeColor="text1"/>
          <w:sz w:val="30"/>
          <w:szCs w:val="30"/>
          <w:highlight w:val="none"/>
          <w14:textFill>
            <w14:solidFill>
              <w14:schemeClr w14:val="tx1"/>
            </w14:solidFill>
          </w14:textFill>
        </w:rPr>
      </w:pPr>
    </w:p>
    <w:p w14:paraId="4349625B">
      <w:pPr>
        <w:spacing w:line="440" w:lineRule="exact"/>
        <w:rPr>
          <w:rFonts w:eastAsia="仿宋_GB2312" w:cs="仿宋_GB2312"/>
          <w:color w:val="000000" w:themeColor="text1"/>
          <w:sz w:val="30"/>
          <w:szCs w:val="30"/>
          <w:highlight w:val="none"/>
          <w14:textFill>
            <w14:solidFill>
              <w14:schemeClr w14:val="tx1"/>
            </w14:solidFill>
          </w14:textFill>
        </w:rPr>
      </w:pPr>
    </w:p>
    <w:p w14:paraId="7521AFFB">
      <w:pPr>
        <w:spacing w:line="440" w:lineRule="exact"/>
        <w:rPr>
          <w:rFonts w:eastAsia="仿宋_GB2312" w:cs="仿宋_GB2312"/>
          <w:color w:val="000000" w:themeColor="text1"/>
          <w:sz w:val="30"/>
          <w:szCs w:val="30"/>
          <w:highlight w:val="none"/>
          <w14:textFill>
            <w14:solidFill>
              <w14:schemeClr w14:val="tx1"/>
            </w14:solidFill>
          </w14:textFill>
        </w:rPr>
      </w:pPr>
    </w:p>
    <w:p w14:paraId="213023DA">
      <w:pPr>
        <w:spacing w:line="440" w:lineRule="exact"/>
        <w:rPr>
          <w:rFonts w:eastAsia="仿宋_GB2312" w:cs="仿宋_GB2312"/>
          <w:color w:val="000000" w:themeColor="text1"/>
          <w:sz w:val="30"/>
          <w:szCs w:val="30"/>
          <w:highlight w:val="none"/>
          <w14:textFill>
            <w14:solidFill>
              <w14:schemeClr w14:val="tx1"/>
            </w14:solidFill>
          </w14:textFill>
        </w:rPr>
      </w:pPr>
    </w:p>
    <w:p w14:paraId="0AD99F0B">
      <w:pPr>
        <w:spacing w:line="440" w:lineRule="exact"/>
        <w:rPr>
          <w:rFonts w:eastAsia="仿宋_GB2312" w:cs="仿宋_GB2312"/>
          <w:color w:val="000000" w:themeColor="text1"/>
          <w:sz w:val="30"/>
          <w:szCs w:val="30"/>
          <w:highlight w:val="none"/>
          <w14:textFill>
            <w14:solidFill>
              <w14:schemeClr w14:val="tx1"/>
            </w14:solidFill>
          </w14:textFill>
        </w:rPr>
      </w:pPr>
    </w:p>
    <w:p w14:paraId="6E6F1F11">
      <w:pPr>
        <w:spacing w:line="440" w:lineRule="exact"/>
        <w:rPr>
          <w:rFonts w:eastAsia="仿宋_GB2312" w:cs="仿宋_GB2312"/>
          <w:color w:val="000000" w:themeColor="text1"/>
          <w:sz w:val="30"/>
          <w:szCs w:val="30"/>
          <w:highlight w:val="none"/>
          <w14:textFill>
            <w14:solidFill>
              <w14:schemeClr w14:val="tx1"/>
            </w14:solidFill>
          </w14:textFill>
        </w:rPr>
      </w:pPr>
    </w:p>
    <w:p w14:paraId="42F5F306">
      <w:pPr>
        <w:spacing w:line="440" w:lineRule="exact"/>
        <w:rPr>
          <w:rFonts w:eastAsia="仿宋_GB2312" w:cs="仿宋_GB2312"/>
          <w:color w:val="000000" w:themeColor="text1"/>
          <w:sz w:val="30"/>
          <w:szCs w:val="30"/>
          <w:highlight w:val="none"/>
          <w14:textFill>
            <w14:solidFill>
              <w14:schemeClr w14:val="tx1"/>
            </w14:solidFill>
          </w14:textFill>
        </w:rPr>
      </w:pPr>
    </w:p>
    <w:p w14:paraId="1E087B3A">
      <w:pPr>
        <w:spacing w:line="440" w:lineRule="exact"/>
        <w:rPr>
          <w:rFonts w:eastAsia="仿宋_GB2312" w:cs="仿宋_GB2312"/>
          <w:color w:val="000000" w:themeColor="text1"/>
          <w:sz w:val="30"/>
          <w:szCs w:val="30"/>
          <w:highlight w:val="none"/>
          <w14:textFill>
            <w14:solidFill>
              <w14:schemeClr w14:val="tx1"/>
            </w14:solidFill>
          </w14:textFill>
        </w:rPr>
      </w:pPr>
    </w:p>
    <w:p w14:paraId="22D8000E">
      <w:pPr>
        <w:rPr>
          <w:rFonts w:hint="eastAsia" w:eastAsia="仿宋_GB2312" w:cs="仿宋_GB2312"/>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br w:type="page"/>
      </w:r>
    </w:p>
    <w:p w14:paraId="2AD1DA2A">
      <w:pPr>
        <w:spacing w:line="440" w:lineRule="exact"/>
        <w:rPr>
          <w:rFonts w:eastAsia="黑体"/>
          <w:color w:val="000000" w:themeColor="text1"/>
          <w:sz w:val="30"/>
          <w:szCs w:val="30"/>
          <w:highlight w:val="none"/>
          <w14:textFill>
            <w14:solidFill>
              <w14:schemeClr w14:val="tx1"/>
            </w14:solidFill>
          </w14:textFill>
        </w:rPr>
      </w:pPr>
      <w:r>
        <w:rPr>
          <w:rFonts w:hint="eastAsia" w:eastAsia="仿宋_GB2312" w:cs="仿宋_GB2312"/>
          <w:color w:val="000000" w:themeColor="text1"/>
          <w:sz w:val="30"/>
          <w:szCs w:val="30"/>
          <w:highlight w:val="none"/>
          <w14:textFill>
            <w14:solidFill>
              <w14:schemeClr w14:val="tx1"/>
            </w14:solidFill>
          </w14:textFill>
        </w:rPr>
        <w:t>附件</w:t>
      </w:r>
      <w:r>
        <w:rPr>
          <w:rFonts w:hint="eastAsia" w:eastAsia="仿宋_GB2312"/>
          <w:color w:val="000000" w:themeColor="text1"/>
          <w:sz w:val="30"/>
          <w:szCs w:val="30"/>
          <w:highlight w:val="none"/>
          <w14:textFill>
            <w14:solidFill>
              <w14:schemeClr w14:val="tx1"/>
            </w14:solidFill>
          </w14:textFill>
        </w:rPr>
        <w:t>9</w:t>
      </w:r>
      <w:r>
        <w:rPr>
          <w:rFonts w:hint="eastAsia" w:eastAsia="仿宋_GB2312" w:cs="仿宋_GB2312"/>
          <w:color w:val="000000" w:themeColor="text1"/>
          <w:sz w:val="30"/>
          <w:szCs w:val="30"/>
          <w:highlight w:val="none"/>
          <w14:textFill>
            <w14:solidFill>
              <w14:schemeClr w14:val="tx1"/>
            </w14:solidFill>
          </w14:textFill>
        </w:rPr>
        <w:t>：</w:t>
      </w:r>
    </w:p>
    <w:p w14:paraId="2F59A20A">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2B721CBB">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支付保函示范文本</w:t>
      </w:r>
    </w:p>
    <w:p w14:paraId="78F0FEAA">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（独立保函）</w:t>
      </w:r>
    </w:p>
    <w:p w14:paraId="6BFEE490">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6FFF0FA6">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申请人：</w:t>
      </w:r>
    </w:p>
    <w:p w14:paraId="7288436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r>
        <w:rPr>
          <w:rFonts w:ascii="宋体" w:hAnsi="宋体"/>
          <w:color w:val="000000" w:themeColor="text1"/>
          <w:sz w:val="24"/>
          <w:highlight w:val="none"/>
          <w14:textFill>
            <w14:solidFill>
              <w14:schemeClr w14:val="tx1"/>
            </w14:solidFill>
          </w14:textFill>
        </w:rPr>
        <w:t>：</w:t>
      </w:r>
    </w:p>
    <w:p w14:paraId="1581D78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w:t>
      </w:r>
    </w:p>
    <w:p w14:paraId="763BED85">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地址：</w:t>
      </w:r>
    </w:p>
    <w:p w14:paraId="405B3E57">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开立人：</w:t>
      </w:r>
    </w:p>
    <w:p w14:paraId="59815152">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468F154E">
      <w:pPr>
        <w:spacing w:line="360" w:lineRule="auto"/>
        <w:rPr>
          <w:rFonts w:ascii="宋体" w:hAnsi="宋体"/>
          <w:color w:val="000000" w:themeColor="text1"/>
          <w:sz w:val="24"/>
          <w:highlight w:val="none"/>
          <w14:textFill>
            <w14:solidFill>
              <w14:schemeClr w14:val="tx1"/>
            </w14:solidFill>
          </w14:textFill>
        </w:rPr>
      </w:pPr>
    </w:p>
    <w:p w14:paraId="11825F4D">
      <w:pPr>
        <w:spacing w:line="360" w:lineRule="auto"/>
        <w:rPr>
          <w:rFonts w:ascii="宋体" w:hAnsi="宋体"/>
          <w:color w:val="000000" w:themeColor="text1"/>
          <w:sz w:val="24"/>
          <w:highlight w:val="none"/>
          <w14:textFill>
            <w14:solidFill>
              <w14:schemeClr w14:val="tx1"/>
            </w14:solidFill>
          </w14:textFill>
        </w:rPr>
      </w:pPr>
      <w:bookmarkStart w:id="1154" w:name="_Hlk40355074"/>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 xml:space="preserve">名称）： </w:t>
      </w:r>
    </w:p>
    <w:bookmarkEnd w:id="1154"/>
    <w:p w14:paraId="17E20C5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受益人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（以下简称基础合同”），我方（即“开立人”）根据基础合同了解到申请人为基础合同项下之发包人，受益人为基础合同项下之承包人，基于申请人</w:t>
      </w:r>
      <w:r>
        <w:rPr>
          <w:rFonts w:ascii="宋体" w:hAnsi="宋体"/>
          <w:color w:val="000000" w:themeColor="text1"/>
          <w:sz w:val="24"/>
          <w:highlight w:val="none"/>
          <w14:textFill>
            <w14:solidFill>
              <w14:schemeClr w14:val="tx1"/>
            </w14:solidFill>
          </w14:textFill>
        </w:rPr>
        <w:t>的请求，我方同意就</w:t>
      </w:r>
      <w:r>
        <w:rPr>
          <w:rFonts w:hint="eastAsia" w:ascii="宋体" w:hAnsi="宋体"/>
          <w:color w:val="000000" w:themeColor="text1"/>
          <w:sz w:val="24"/>
          <w:highlight w:val="none"/>
          <w14:textFill>
            <w14:solidFill>
              <w14:schemeClr w14:val="tx1"/>
            </w14:solidFill>
          </w14:textFill>
        </w:rPr>
        <w:t>申请人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与贵方签订的基础合同</w:t>
      </w:r>
      <w:r>
        <w:rPr>
          <w:rFonts w:ascii="宋体" w:hAnsi="宋体"/>
          <w:color w:val="000000" w:themeColor="text1"/>
          <w:sz w:val="24"/>
          <w:highlight w:val="none"/>
          <w14:textFill>
            <w14:solidFill>
              <w14:schemeClr w14:val="tx1"/>
            </w14:solidFill>
          </w14:textFill>
        </w:rPr>
        <w:t>项下的</w:t>
      </w:r>
      <w:r>
        <w:rPr>
          <w:rFonts w:hint="eastAsia" w:ascii="宋体" w:hAnsi="宋体"/>
          <w:color w:val="000000" w:themeColor="text1"/>
          <w:sz w:val="24"/>
          <w:highlight w:val="none"/>
          <w14:textFill>
            <w14:solidFill>
              <w14:schemeClr w14:val="tx1"/>
            </w14:solidFill>
          </w14:textFill>
        </w:rPr>
        <w:t>工程款（指基础合同约定的除工程质量保修金以外的工程款）付款</w:t>
      </w:r>
      <w:r>
        <w:rPr>
          <w:rFonts w:ascii="宋体" w:hAnsi="宋体"/>
          <w:color w:val="000000" w:themeColor="text1"/>
          <w:sz w:val="24"/>
          <w:highlight w:val="none"/>
          <w14:textFill>
            <w14:solidFill>
              <w14:schemeClr w14:val="tx1"/>
            </w14:solidFill>
          </w14:textFill>
        </w:rPr>
        <w:t>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向贵方提供不可撤销、</w:t>
      </w:r>
      <w:r>
        <w:rPr>
          <w:rFonts w:hint="eastAsia" w:ascii="宋体" w:hAnsi="宋体"/>
          <w:color w:val="000000" w:themeColor="text1"/>
          <w:sz w:val="24"/>
          <w:highlight w:val="none"/>
          <w14:textFill>
            <w14:solidFill>
              <w14:schemeClr w14:val="tx1"/>
            </w14:solidFill>
          </w14:textFill>
        </w:rPr>
        <w:t>不可转让的见索即付</w:t>
      </w:r>
      <w:r>
        <w:rPr>
          <w:rFonts w:ascii="宋体" w:hAnsi="宋体"/>
          <w:color w:val="000000" w:themeColor="text1"/>
          <w:sz w:val="24"/>
          <w:highlight w:val="none"/>
          <w14:textFill>
            <w14:solidFill>
              <w14:schemeClr w14:val="tx1"/>
            </w14:solidFill>
          </w14:textFill>
        </w:rPr>
        <w:t>独立</w:t>
      </w:r>
      <w:r>
        <w:rPr>
          <w:rFonts w:hint="eastAsia" w:ascii="宋体" w:hAnsi="宋体"/>
          <w:color w:val="000000" w:themeColor="text1"/>
          <w:sz w:val="24"/>
          <w:highlight w:val="none"/>
          <w14:textFill>
            <w14:solidFill>
              <w14:schemeClr w14:val="tx1"/>
            </w14:solidFill>
          </w14:textFill>
        </w:rPr>
        <w:t>保函（以下简称“本保函”）</w:t>
      </w:r>
      <w:r>
        <w:rPr>
          <w:rFonts w:ascii="宋体" w:hAnsi="宋体"/>
          <w:color w:val="000000" w:themeColor="text1"/>
          <w:sz w:val="24"/>
          <w:highlight w:val="none"/>
          <w14:textFill>
            <w14:solidFill>
              <w14:schemeClr w14:val="tx1"/>
            </w14:solidFill>
          </w14:textFill>
        </w:rPr>
        <w:t xml:space="preserve">。 </w:t>
      </w:r>
    </w:p>
    <w:p w14:paraId="13F91E9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一、本保函担保范围：申请人未履行基础合同约定的工程款支付义务，应当向贵方承担的违约责任和赔偿因此造成的损失、利息、律师费、诉讼费用等实现债权的费用。</w:t>
      </w:r>
    </w:p>
    <w:p w14:paraId="34DBE3B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二、本保函担保金额最高不超过</w:t>
      </w:r>
      <w:r>
        <w:rPr>
          <w:rFonts w:ascii="宋体" w:hAnsi="宋体"/>
          <w:color w:val="000000" w:themeColor="text1"/>
          <w:sz w:val="24"/>
          <w:highlight w:val="none"/>
          <w14:textFill>
            <w14:solidFill>
              <w14:schemeClr w14:val="tx1"/>
            </w14:solidFill>
          </w14:textFill>
        </w:rPr>
        <w:t xml:space="preserve">人民币（大写）元（¥）。 </w:t>
      </w:r>
    </w:p>
    <w:p w14:paraId="466C46C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三、本保函</w:t>
      </w:r>
      <w:r>
        <w:rPr>
          <w:rFonts w:ascii="宋体" w:hAnsi="宋体"/>
          <w:color w:val="000000" w:themeColor="text1"/>
          <w:sz w:val="24"/>
          <w:highlight w:val="none"/>
          <w14:textFill>
            <w14:solidFill>
              <w14:schemeClr w14:val="tx1"/>
            </w14:solidFill>
          </w14:textFill>
        </w:rPr>
        <w:t>有效期自</w:t>
      </w:r>
      <w:r>
        <w:rPr>
          <w:rFonts w:hint="eastAsia" w:ascii="宋体" w:hAnsi="宋体"/>
          <w:color w:val="000000" w:themeColor="text1"/>
          <w:sz w:val="24"/>
          <w:highlight w:val="none"/>
          <w14:textFill>
            <w14:solidFill>
              <w14:schemeClr w14:val="tx1"/>
            </w14:solidFill>
          </w14:textFill>
        </w:rPr>
        <w:t>开立之日起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基础合同约定的除工程质量保修金以外的全部工程结算款项支付之日后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5569DEA4">
      <w:pPr>
        <w:spacing w:line="360" w:lineRule="auto"/>
        <w:ind w:firstLine="48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四、我方承诺，在收到受益人发来的书面付款通知后的日内无条件支付，前述书面付款通知即为付款要求之单据，且应满足以下要求：</w:t>
      </w:r>
    </w:p>
    <w:p w14:paraId="7FF9702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（1）付款通知到达的日期在本保函的有效期内；</w:t>
      </w:r>
    </w:p>
    <w:p w14:paraId="4500CE6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（2）载明要求支付的金额；</w:t>
      </w:r>
    </w:p>
    <w:p w14:paraId="1148BE4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（3）载明申请人违反合同义务的条款和内容；</w:t>
      </w:r>
    </w:p>
    <w:p w14:paraId="7060EED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（4）声明不存在合同文件约定或我国法律规定免除申请人或开立人支付责任的情形；</w:t>
      </w:r>
    </w:p>
    <w:p w14:paraId="7BAB1AA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（5）付款通知应在本保函有效期内到达的地址是：。</w:t>
      </w:r>
    </w:p>
    <w:p w14:paraId="04DF6F2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受益人发出的书面付款通知应由其为鉴明受益人法定代表人（负责人）或授权代理人签字并加盖公章。</w:t>
      </w:r>
    </w:p>
    <w:p w14:paraId="251DBE7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w:t>
      </w:r>
      <w:r>
        <w:rPr>
          <w:rFonts w:ascii="宋体" w:hAnsi="宋体"/>
          <w:color w:val="000000" w:themeColor="text1"/>
          <w:sz w:val="24"/>
          <w:highlight w:val="none"/>
          <w14:textFill>
            <w14:solidFill>
              <w14:schemeClr w14:val="tx1"/>
            </w14:solidFill>
          </w14:textFill>
        </w:rPr>
        <w:t>本保函项下的权利不得转让，不得设定担保。贵方未经我方书面同意转 让本保函或其项下任何权利，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7DAEE4C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六、与</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有关</w:t>
      </w:r>
      <w:r>
        <w:rPr>
          <w:rFonts w:ascii="宋体" w:hAnsi="宋体"/>
          <w:color w:val="000000" w:themeColor="text1"/>
          <w:sz w:val="24"/>
          <w:highlight w:val="none"/>
          <w14:textFill>
            <w14:solidFill>
              <w14:schemeClr w14:val="tx1"/>
            </w14:solidFill>
          </w14:textFill>
        </w:rPr>
        <w:t>的基础</w:t>
      </w:r>
      <w:r>
        <w:rPr>
          <w:rFonts w:hint="eastAsia" w:ascii="宋体" w:hAnsi="宋体"/>
          <w:color w:val="000000" w:themeColor="text1"/>
          <w:sz w:val="24"/>
          <w:highlight w:val="none"/>
          <w14:textFill>
            <w14:solidFill>
              <w14:schemeClr w14:val="tx1"/>
            </w14:solidFill>
          </w14:textFill>
        </w:rPr>
        <w:t>合同</w:t>
      </w:r>
      <w:r>
        <w:rPr>
          <w:rFonts w:ascii="宋体" w:hAnsi="宋体"/>
          <w:color w:val="000000" w:themeColor="text1"/>
          <w:sz w:val="24"/>
          <w:highlight w:val="none"/>
          <w14:textFill>
            <w14:solidFill>
              <w14:schemeClr w14:val="tx1"/>
            </w14:solidFill>
          </w14:textFill>
        </w:rPr>
        <w:t xml:space="preserve">不成立、不生效、无效、被撤销、被解除，不影响本保函的独立有效。 </w:t>
      </w:r>
    </w:p>
    <w:p w14:paraId="4B3A115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w:t>
      </w:r>
      <w:r>
        <w:rPr>
          <w:rFonts w:ascii="宋体" w:hAnsi="宋体"/>
          <w:color w:val="000000" w:themeColor="text1"/>
          <w:sz w:val="24"/>
          <w:highlight w:val="none"/>
          <w14:textFill>
            <w14:solidFill>
              <w14:schemeClr w14:val="tx1"/>
            </w14:solidFill>
          </w14:textFill>
        </w:rPr>
        <w:t>贵方应在本保函到期后的七日内将本保函正本退回我方注销，但是不论贵方是否按此要求将本保函正本退回我方，我方在本保函项下的义务和责任均在保函</w:t>
      </w:r>
      <w:r>
        <w:rPr>
          <w:rFonts w:hint="eastAsia" w:ascii="宋体" w:hAnsi="宋体"/>
          <w:color w:val="000000" w:themeColor="text1"/>
          <w:sz w:val="24"/>
          <w:highlight w:val="none"/>
          <w14:textFill>
            <w14:solidFill>
              <w14:schemeClr w14:val="tx1"/>
            </w14:solidFill>
          </w14:textFill>
        </w:rPr>
        <w:t>有效期</w:t>
      </w:r>
      <w:r>
        <w:rPr>
          <w:rFonts w:ascii="宋体" w:hAnsi="宋体"/>
          <w:color w:val="000000" w:themeColor="text1"/>
          <w:sz w:val="24"/>
          <w:highlight w:val="none"/>
          <w14:textFill>
            <w14:solidFill>
              <w14:schemeClr w14:val="tx1"/>
            </w14:solidFill>
          </w14:textFill>
        </w:rPr>
        <w:t xml:space="preserve">到期后自动消灭。 </w:t>
      </w:r>
    </w:p>
    <w:p w14:paraId="37969D79">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w:t>
      </w:r>
      <w:r>
        <w:rPr>
          <w:rFonts w:ascii="宋体" w:hAnsi="宋体"/>
          <w:color w:val="000000" w:themeColor="text1"/>
          <w:sz w:val="24"/>
          <w:highlight w:val="none"/>
          <w14:textFill>
            <w14:solidFill>
              <w14:schemeClr w14:val="tx1"/>
            </w14:solidFill>
          </w14:textFill>
        </w:rPr>
        <w:t>本保函</w:t>
      </w:r>
      <w:r>
        <w:rPr>
          <w:rFonts w:hint="eastAsia" w:ascii="宋体" w:hAnsi="宋体"/>
          <w:color w:val="000000" w:themeColor="text1"/>
          <w:sz w:val="24"/>
          <w:highlight w:val="none"/>
          <w14:textFill>
            <w14:solidFill>
              <w14:schemeClr w14:val="tx1"/>
            </w14:solidFill>
          </w14:textFill>
        </w:rPr>
        <w:t>适用的法律为中华人民共和国法律，争议裁判管辖地为中华人民共和国</w:t>
      </w:r>
      <w:r>
        <w:rPr>
          <w:rFonts w:ascii="宋体" w:hAnsi="宋体"/>
          <w:color w:val="000000" w:themeColor="text1"/>
          <w:sz w:val="24"/>
          <w:highlight w:val="none"/>
          <w14:textFill>
            <w14:solidFill>
              <w14:schemeClr w14:val="tx1"/>
            </w14:solidFill>
          </w14:textFill>
        </w:rPr>
        <w:t xml:space="preserve">。 </w:t>
      </w:r>
    </w:p>
    <w:p w14:paraId="49616F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九、</w:t>
      </w:r>
      <w:r>
        <w:rPr>
          <w:rFonts w:ascii="宋体" w:hAnsi="宋体"/>
          <w:color w:val="000000" w:themeColor="text1"/>
          <w:sz w:val="24"/>
          <w:highlight w:val="none"/>
          <w14:textFill>
            <w14:solidFill>
              <w14:schemeClr w14:val="tx1"/>
            </w14:solidFill>
          </w14:textFill>
        </w:rPr>
        <w:t>本保函自我方法定代表人</w:t>
      </w:r>
      <w:bookmarkStart w:id="1155" w:name="_Hlk58487855"/>
      <w:r>
        <w:rPr>
          <w:rFonts w:hint="eastAsia" w:ascii="宋体" w:hAnsi="宋体"/>
          <w:color w:val="000000" w:themeColor="text1"/>
          <w:sz w:val="24"/>
          <w:highlight w:val="none"/>
          <w14:textFill>
            <w14:solidFill>
              <w14:schemeClr w14:val="tx1"/>
            </w14:solidFill>
          </w14:textFill>
        </w:rPr>
        <w:t>或授权代表</w:t>
      </w:r>
      <w:bookmarkEnd w:id="1155"/>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03E9669D">
      <w:pPr>
        <w:spacing w:line="360" w:lineRule="auto"/>
        <w:ind w:firstLine="480" w:firstLineChars="200"/>
        <w:rPr>
          <w:rFonts w:ascii="宋体" w:hAnsi="宋体"/>
          <w:color w:val="000000" w:themeColor="text1"/>
          <w:sz w:val="24"/>
          <w:highlight w:val="none"/>
          <w14:textFill>
            <w14:solidFill>
              <w14:schemeClr w14:val="tx1"/>
            </w14:solidFill>
          </w14:textFill>
        </w:rPr>
      </w:pPr>
    </w:p>
    <w:p w14:paraId="154697F0">
      <w:pPr>
        <w:spacing w:line="360" w:lineRule="auto"/>
        <w:ind w:firstLine="480" w:firstLineChars="200"/>
        <w:rPr>
          <w:rFonts w:ascii="宋体" w:hAnsi="宋体"/>
          <w:color w:val="000000" w:themeColor="text1"/>
          <w:sz w:val="24"/>
          <w:highlight w:val="none"/>
          <w14:textFill>
            <w14:solidFill>
              <w14:schemeClr w14:val="tx1"/>
            </w14:solidFill>
          </w14:textFill>
        </w:rPr>
      </w:pPr>
    </w:p>
    <w:p w14:paraId="78630D3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 立 人</w:t>
      </w:r>
      <w:r>
        <w:rPr>
          <w:rFonts w:ascii="宋体" w:hAnsi="宋体"/>
          <w:color w:val="000000" w:themeColor="text1"/>
          <w:sz w:val="24"/>
          <w:highlight w:val="non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4808447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1A5A52E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36D4FC7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5F4D0D2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6A4A658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584C552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开立时间：</w:t>
      </w:r>
      <w:r>
        <w:rPr>
          <w:rFonts w:ascii="宋体" w:hAnsi="宋体"/>
          <w:color w:val="000000" w:themeColor="text1"/>
          <w:sz w:val="24"/>
          <w:highlight w:val="none"/>
          <w14:textFill>
            <w14:solidFill>
              <w14:schemeClr w14:val="tx1"/>
            </w14:solidFill>
          </w14:textFill>
        </w:rPr>
        <w:t xml:space="preserve">      年      月        日</w:t>
      </w:r>
    </w:p>
    <w:p w14:paraId="0862F56B">
      <w:pPr>
        <w:spacing w:line="360" w:lineRule="auto"/>
        <w:ind w:firstLine="480" w:firstLineChars="200"/>
        <w:rPr>
          <w:rFonts w:ascii="宋体" w:hAnsi="宋体"/>
          <w:color w:val="000000" w:themeColor="text1"/>
          <w:sz w:val="24"/>
          <w:highlight w:val="none"/>
          <w14:textFill>
            <w14:solidFill>
              <w14:schemeClr w14:val="tx1"/>
            </w14:solidFill>
          </w14:textFill>
        </w:rPr>
      </w:pPr>
    </w:p>
    <w:p w14:paraId="732CF3B7">
      <w:pPr>
        <w:spacing w:line="360" w:lineRule="auto"/>
        <w:jc w:val="left"/>
        <w:rPr>
          <w:rFonts w:ascii="黑体" w:hAnsi="黑体" w:eastAsia="黑体" w:cs="黑体"/>
          <w:color w:val="000000" w:themeColor="text1"/>
          <w:sz w:val="32"/>
          <w:szCs w:val="32"/>
          <w:highlight w:val="none"/>
          <w14:textFill>
            <w14:solidFill>
              <w14:schemeClr w14:val="tx1"/>
            </w14:solidFill>
          </w14:textFill>
        </w:rPr>
      </w:pPr>
    </w:p>
    <w:p w14:paraId="1410A5BC">
      <w:pPr>
        <w:spacing w:line="360" w:lineRule="auto"/>
        <w:jc w:val="left"/>
        <w:rPr>
          <w:rFonts w:ascii="黑体" w:hAnsi="黑体" w:eastAsia="黑体" w:cs="黑体"/>
          <w:color w:val="000000" w:themeColor="text1"/>
          <w:sz w:val="32"/>
          <w:szCs w:val="32"/>
          <w:highlight w:val="none"/>
          <w14:textFill>
            <w14:solidFill>
              <w14:schemeClr w14:val="tx1"/>
            </w14:solidFill>
          </w14:textFill>
        </w:rPr>
      </w:pPr>
    </w:p>
    <w:p w14:paraId="2335CF0F">
      <w:pPr>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br w:type="page"/>
      </w:r>
    </w:p>
    <w:p w14:paraId="18F59E86">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附件</w:t>
      </w:r>
      <w:r>
        <w:rPr>
          <w:rFonts w:ascii="黑体" w:hAnsi="黑体" w:eastAsia="黑体" w:cs="黑体"/>
          <w:color w:val="000000" w:themeColor="text1"/>
          <w:sz w:val="32"/>
          <w:szCs w:val="32"/>
          <w:highlight w:val="none"/>
          <w14:textFill>
            <w14:solidFill>
              <w14:schemeClr w14:val="tx1"/>
            </w14:solidFill>
          </w14:textFill>
        </w:rPr>
        <w:t>9</w:t>
      </w:r>
      <w:r>
        <w:rPr>
          <w:rFonts w:hint="eastAsia" w:ascii="黑体" w:hAnsi="黑体" w:eastAsia="黑体" w:cs="黑体"/>
          <w:color w:val="000000" w:themeColor="text1"/>
          <w:sz w:val="32"/>
          <w:szCs w:val="32"/>
          <w:highlight w:val="none"/>
          <w14:textFill>
            <w14:solidFill>
              <w14:schemeClr w14:val="tx1"/>
            </w14:solidFill>
          </w14:textFill>
        </w:rPr>
        <w:t>：</w:t>
      </w:r>
    </w:p>
    <w:p w14:paraId="21FDBDF3">
      <w:pPr>
        <w:spacing w:line="360" w:lineRule="auto"/>
        <w:jc w:val="left"/>
        <w:rPr>
          <w:rFonts w:ascii="黑体" w:hAnsi="黑体" w:eastAsia="黑体" w:cs="黑体"/>
          <w:b/>
          <w:bCs/>
          <w:color w:val="000000" w:themeColor="text1"/>
          <w:sz w:val="32"/>
          <w:szCs w:val="32"/>
          <w:highlight w:val="none"/>
          <w14:textFill>
            <w14:solidFill>
              <w14:schemeClr w14:val="tx1"/>
            </w14:solidFill>
          </w14:textFill>
        </w:rPr>
      </w:pPr>
    </w:p>
    <w:p w14:paraId="7E46BD30">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支付保函示范文本</w:t>
      </w:r>
    </w:p>
    <w:p w14:paraId="701677AA">
      <w:pPr>
        <w:spacing w:line="360" w:lineRule="auto"/>
        <w:jc w:val="center"/>
        <w:rPr>
          <w:rFonts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（非独立保函）</w:t>
      </w:r>
    </w:p>
    <w:p w14:paraId="5CD55336">
      <w:pPr>
        <w:wordWrap w:val="0"/>
        <w:spacing w:line="360" w:lineRule="auto"/>
        <w:jc w:val="right"/>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编号： </w:t>
      </w:r>
    </w:p>
    <w:p w14:paraId="5AD901EA">
      <w:pPr>
        <w:wordWrap w:val="0"/>
        <w:spacing w:line="360" w:lineRule="auto"/>
        <w:jc w:val="right"/>
        <w:rPr>
          <w:rFonts w:ascii="宋体" w:hAnsi="宋体"/>
          <w:color w:val="000000" w:themeColor="text1"/>
          <w:szCs w:val="21"/>
          <w:highlight w:val="none"/>
          <w14:textFill>
            <w14:solidFill>
              <w14:schemeClr w14:val="tx1"/>
            </w14:solidFill>
          </w14:textFill>
        </w:rPr>
      </w:pPr>
    </w:p>
    <w:p w14:paraId="5FDA537E">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w:t>
      </w:r>
    </w:p>
    <w:p w14:paraId="7778720C">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r>
        <w:rPr>
          <w:rFonts w:ascii="宋体" w:hAnsi="宋体"/>
          <w:color w:val="000000" w:themeColor="text1"/>
          <w:sz w:val="24"/>
          <w:highlight w:val="none"/>
          <w14:textFill>
            <w14:solidFill>
              <w14:schemeClr w14:val="tx1"/>
            </w14:solidFill>
          </w14:textFill>
        </w:rPr>
        <w:t>：</w:t>
      </w:r>
    </w:p>
    <w:p w14:paraId="510E19CD">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担保权人/承包人：</w:t>
      </w:r>
    </w:p>
    <w:p w14:paraId="3E8DCEC1">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1FB87252">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保证人：</w:t>
      </w:r>
    </w:p>
    <w:p w14:paraId="226579F0">
      <w:pPr>
        <w:spacing w:line="360" w:lineRule="auto"/>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地址：</w:t>
      </w:r>
    </w:p>
    <w:p w14:paraId="5D471B5F">
      <w:pPr>
        <w:spacing w:line="360" w:lineRule="auto"/>
        <w:rPr>
          <w:rFonts w:ascii="宋体" w:hAnsi="宋体"/>
          <w:color w:val="000000" w:themeColor="text1"/>
          <w:sz w:val="24"/>
          <w:highlight w:val="none"/>
          <w14:textFill>
            <w14:solidFill>
              <w14:schemeClr w14:val="tx1"/>
            </w14:solidFill>
          </w14:textFill>
        </w:rPr>
      </w:pPr>
    </w:p>
    <w:p w14:paraId="73E0C1F3">
      <w:pPr>
        <w:spacing w:line="360" w:lineRule="auto"/>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 xml:space="preserve">名称）： </w:t>
      </w:r>
    </w:p>
    <w:p w14:paraId="082A343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鉴于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与</w:t>
      </w:r>
      <w:r>
        <w:rPr>
          <w:rFonts w:ascii="宋体" w:hAnsi="宋体"/>
          <w:color w:val="000000" w:themeColor="text1"/>
          <w:sz w:val="24"/>
          <w:highlight w:val="none"/>
          <w14:textFill>
            <w14:solidFill>
              <w14:schemeClr w14:val="tx1"/>
            </w14:solidFill>
          </w14:textFill>
        </w:rPr>
        <w:t>（以下简称“</w:t>
      </w:r>
      <w:r>
        <w:rPr>
          <w:rFonts w:hint="eastAsia" w:ascii="宋体" w:hAnsi="宋体"/>
          <w:color w:val="000000" w:themeColor="text1"/>
          <w:sz w:val="24"/>
          <w:highlight w:val="none"/>
          <w14:textFill>
            <w14:solidFill>
              <w14:schemeClr w14:val="tx1"/>
            </w14:solidFill>
          </w14:textFill>
        </w:rPr>
        <w:t>承包人</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于×年×月×日就工程（以下简称“本工程”）施工和有关事项协商一致共同签订</w:t>
      </w:r>
      <w:r>
        <w:rPr>
          <w:rFonts w:hint="eastAsia" w:ascii="宋体" w:hAnsi="宋体"/>
          <w:color w:val="000000" w:themeColor="text1"/>
          <w:sz w:val="24"/>
          <w:highlight w:val="none"/>
          <w:u w:val="single"/>
          <w14:textFill>
            <w14:solidFill>
              <w14:schemeClr w14:val="tx1"/>
            </w14:solidFill>
          </w14:textFill>
        </w:rPr>
        <w:t>《 》</w:t>
      </w:r>
      <w:r>
        <w:rPr>
          <w:rFonts w:hint="eastAsia" w:ascii="宋体" w:hAnsi="宋体"/>
          <w:color w:val="000000" w:themeColor="text1"/>
          <w:sz w:val="24"/>
          <w:highlight w:val="none"/>
          <w14:textFill>
            <w14:solidFill>
              <w14:schemeClr w14:val="tx1"/>
            </w14:solidFill>
          </w14:textFill>
        </w:rPr>
        <w:t>（以下简称“主合同”），我方即保证人基于发包人</w:t>
      </w:r>
      <w:r>
        <w:rPr>
          <w:rFonts w:ascii="宋体" w:hAnsi="宋体"/>
          <w:color w:val="000000" w:themeColor="text1"/>
          <w:sz w:val="24"/>
          <w:highlight w:val="none"/>
          <w14:textFill>
            <w14:solidFill>
              <w14:schemeClr w14:val="tx1"/>
            </w14:solidFill>
          </w14:textFill>
        </w:rPr>
        <w:t>的请求，同意就</w:t>
      </w:r>
      <w:r>
        <w:rPr>
          <w:rFonts w:hint="eastAsia" w:ascii="宋体" w:hAnsi="宋体"/>
          <w:color w:val="000000" w:themeColor="text1"/>
          <w:sz w:val="24"/>
          <w:highlight w:val="none"/>
          <w14:textFill>
            <w14:solidFill>
              <w14:schemeClr w14:val="tx1"/>
            </w14:solidFill>
          </w14:textFill>
        </w:rPr>
        <w:t>发包人</w:t>
      </w:r>
      <w:r>
        <w:rPr>
          <w:rFonts w:ascii="宋体" w:hAnsi="宋体"/>
          <w:color w:val="000000" w:themeColor="text1"/>
          <w:sz w:val="24"/>
          <w:highlight w:val="none"/>
          <w14:textFill>
            <w14:solidFill>
              <w14:schemeClr w14:val="tx1"/>
            </w14:solidFill>
          </w14:textFill>
        </w:rPr>
        <w:t>履行</w:t>
      </w:r>
      <w:r>
        <w:rPr>
          <w:rFonts w:hint="eastAsia" w:ascii="宋体" w:hAnsi="宋体"/>
          <w:color w:val="000000" w:themeColor="text1"/>
          <w:sz w:val="24"/>
          <w:highlight w:val="none"/>
          <w14:textFill>
            <w14:solidFill>
              <w14:schemeClr w14:val="tx1"/>
            </w14:solidFill>
          </w14:textFill>
        </w:rPr>
        <w:t>与贵方签订的主合同</w:t>
      </w:r>
      <w:r>
        <w:rPr>
          <w:rFonts w:ascii="宋体" w:hAnsi="宋体"/>
          <w:color w:val="000000" w:themeColor="text1"/>
          <w:sz w:val="24"/>
          <w:highlight w:val="none"/>
          <w14:textFill>
            <w14:solidFill>
              <w14:schemeClr w14:val="tx1"/>
            </w14:solidFill>
          </w14:textFill>
        </w:rPr>
        <w:t>项下的</w:t>
      </w:r>
      <w:r>
        <w:rPr>
          <w:rFonts w:hint="eastAsia" w:ascii="宋体" w:hAnsi="宋体"/>
          <w:color w:val="000000" w:themeColor="text1"/>
          <w:sz w:val="24"/>
          <w:highlight w:val="none"/>
          <w14:textFill>
            <w14:solidFill>
              <w14:schemeClr w14:val="tx1"/>
            </w14:solidFill>
          </w14:textFill>
        </w:rPr>
        <w:t>工程款（指主合同约定的除工程质量保修金以外的全部工程结算款项）付款</w:t>
      </w:r>
      <w:r>
        <w:rPr>
          <w:rFonts w:ascii="宋体" w:hAnsi="宋体"/>
          <w:color w:val="000000" w:themeColor="text1"/>
          <w:sz w:val="24"/>
          <w:highlight w:val="none"/>
          <w14:textFill>
            <w14:solidFill>
              <w14:schemeClr w14:val="tx1"/>
            </w14:solidFill>
          </w14:textFill>
        </w:rPr>
        <w:t>义务</w:t>
      </w:r>
      <w:r>
        <w:rPr>
          <w:rFonts w:hint="eastAsia" w:ascii="宋体" w:hAnsi="宋体"/>
          <w:color w:val="000000" w:themeColor="text1"/>
          <w:sz w:val="24"/>
          <w:highlight w:val="none"/>
          <w14:textFill>
            <w14:solidFill>
              <w14:schemeClr w14:val="tx1"/>
            </w14:solidFill>
          </w14:textFill>
        </w:rPr>
        <w:t>，</w:t>
      </w:r>
      <w:r>
        <w:rPr>
          <w:rFonts w:ascii="宋体" w:hAnsi="宋体"/>
          <w:color w:val="000000" w:themeColor="text1"/>
          <w:sz w:val="24"/>
          <w:highlight w:val="none"/>
          <w14:textFill>
            <w14:solidFill>
              <w14:schemeClr w14:val="tx1"/>
            </w14:solidFill>
          </w14:textFill>
        </w:rPr>
        <w:t>向贵方提供</w:t>
      </w:r>
      <w:r>
        <w:rPr>
          <w:rFonts w:hint="eastAsia" w:ascii="宋体" w:hAnsi="宋体"/>
          <w:color w:val="000000" w:themeColor="text1"/>
          <w:sz w:val="24"/>
          <w:highlight w:val="none"/>
          <w14:textFill>
            <w14:solidFill>
              <w14:schemeClr w14:val="tx1"/>
            </w14:solidFill>
          </w14:textFill>
        </w:rPr>
        <w:t>如下保证担保（以下简称“本保证担保”）</w:t>
      </w:r>
      <w:r>
        <w:rPr>
          <w:rFonts w:ascii="宋体" w:hAnsi="宋体"/>
          <w:color w:val="000000" w:themeColor="text1"/>
          <w:sz w:val="24"/>
          <w:highlight w:val="none"/>
          <w14:textFill>
            <w14:solidFill>
              <w14:schemeClr w14:val="tx1"/>
            </w14:solidFill>
          </w14:textFill>
        </w:rPr>
        <w:t xml:space="preserve">。 </w:t>
      </w:r>
    </w:p>
    <w:p w14:paraId="3686A329">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一、保证担保的范围及保证担保金额</w:t>
      </w:r>
    </w:p>
    <w:p w14:paraId="6C1FE08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保证担保范围：申请人未履行主合同约定的工程款支付义务，应当向贵方承担的违约责任和赔偿因此造成的损失、利息、律师费、诉讼费用等实现债权的费用。</w:t>
      </w:r>
    </w:p>
    <w:p w14:paraId="3481C69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保证担保金额最高不超过</w:t>
      </w:r>
      <w:r>
        <w:rPr>
          <w:rFonts w:ascii="宋体" w:hAnsi="宋体"/>
          <w:color w:val="000000" w:themeColor="text1"/>
          <w:sz w:val="24"/>
          <w:highlight w:val="none"/>
          <w14:textFill>
            <w14:solidFill>
              <w14:schemeClr w14:val="tx1"/>
            </w14:solidFill>
          </w14:textFill>
        </w:rPr>
        <w:t xml:space="preserve">人民币（大写）元（¥）。 </w:t>
      </w:r>
    </w:p>
    <w:p w14:paraId="125A009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二、保证担保的方式及保证期间</w:t>
      </w:r>
    </w:p>
    <w:p w14:paraId="598BCCB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1.保证担保方式：连带责任保证。</w:t>
      </w:r>
    </w:p>
    <w:p w14:paraId="4D5A0E5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保证期间：</w:t>
      </w:r>
      <w:r>
        <w:rPr>
          <w:rFonts w:ascii="宋体" w:hAnsi="宋体"/>
          <w:color w:val="000000" w:themeColor="text1"/>
          <w:sz w:val="24"/>
          <w:highlight w:val="none"/>
          <w14:textFill>
            <w14:solidFill>
              <w14:schemeClr w14:val="tx1"/>
            </w14:solidFill>
          </w14:textFill>
        </w:rPr>
        <w:t>自</w:t>
      </w:r>
      <w:r>
        <w:rPr>
          <w:rFonts w:hint="eastAsia" w:ascii="宋体" w:hAnsi="宋体"/>
          <w:color w:val="000000" w:themeColor="text1"/>
          <w:sz w:val="24"/>
          <w:highlight w:val="none"/>
          <w14:textFill>
            <w14:solidFill>
              <w14:schemeClr w14:val="tx1"/>
            </w14:solidFill>
          </w14:textFill>
        </w:rPr>
        <w:t>出具之日起</w:t>
      </w:r>
      <w:r>
        <w:rPr>
          <w:rFonts w:ascii="宋体" w:hAnsi="宋体"/>
          <w:color w:val="000000" w:themeColor="text1"/>
          <w:sz w:val="24"/>
          <w:highlight w:val="none"/>
          <w14:textFill>
            <w14:solidFill>
              <w14:schemeClr w14:val="tx1"/>
            </w14:solidFill>
          </w14:textFill>
        </w:rPr>
        <w:t>至</w:t>
      </w:r>
      <w:r>
        <w:rPr>
          <w:rFonts w:hint="eastAsia" w:ascii="宋体" w:hAnsi="宋体"/>
          <w:color w:val="000000" w:themeColor="text1"/>
          <w:sz w:val="24"/>
          <w:highlight w:val="none"/>
          <w14:textFill>
            <w14:solidFill>
              <w14:schemeClr w14:val="tx1"/>
            </w14:solidFill>
          </w14:textFill>
        </w:rPr>
        <w:t>主合同约定的除工程质量保修金以外的工程款支付之日后</w:t>
      </w:r>
      <w:r>
        <w:rPr>
          <w:rFonts w:ascii="宋体" w:hAnsi="宋体"/>
          <w:color w:val="000000" w:themeColor="text1"/>
          <w:sz w:val="24"/>
          <w:highlight w:val="none"/>
          <w14:textFill>
            <w14:solidFill>
              <w14:schemeClr w14:val="tx1"/>
            </w14:solidFill>
          </w14:textFill>
        </w:rPr>
        <w:t>日</w:t>
      </w:r>
      <w:r>
        <w:rPr>
          <w:rFonts w:hint="eastAsia" w:ascii="宋体" w:hAnsi="宋体"/>
          <w:color w:val="000000" w:themeColor="text1"/>
          <w:sz w:val="24"/>
          <w:highlight w:val="none"/>
          <w14:textFill>
            <w14:solidFill>
              <w14:schemeClr w14:val="tx1"/>
            </w14:solidFill>
          </w14:textFill>
        </w:rPr>
        <w:t>止，最迟不超过×年×月×日</w:t>
      </w:r>
      <w:r>
        <w:rPr>
          <w:rFonts w:ascii="宋体" w:hAnsi="宋体"/>
          <w:color w:val="000000" w:themeColor="text1"/>
          <w:sz w:val="24"/>
          <w:highlight w:val="none"/>
          <w14:textFill>
            <w14:solidFill>
              <w14:schemeClr w14:val="tx1"/>
            </w14:solidFill>
          </w14:textFill>
        </w:rPr>
        <w:t xml:space="preserve">。 </w:t>
      </w:r>
    </w:p>
    <w:p w14:paraId="1B8FC7EC">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三、承担保证担保责任的形式</w:t>
      </w:r>
    </w:p>
    <w:p w14:paraId="388E039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发包人未按合同约定向贵方支付主合同项下工程款的，由我方在保证金额内代为支付，并赔偿因此给贵方造成的损失，以及利息和律师费、诉讼费用等实现债权的费用。</w:t>
      </w:r>
    </w:p>
    <w:p w14:paraId="67D19304">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四、代偿的安排</w:t>
      </w:r>
    </w:p>
    <w:p w14:paraId="5BF03B7B">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1.贵方要求我方承担保证责任的，应向我方发出书面索赔通知及发包人未支付主合同约定工程款的证明材料。索赔通知应写明要求索赔的金额，支付款项应到达的账号。</w:t>
      </w:r>
    </w:p>
    <w:p w14:paraId="2D11CB9E">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在出现贵方与发包人因工程质量发生争议，发包人拒绝向贵方支付工程款的情形时，贵方要求我方履行保证责任代为支付的，还需提供项目总监理工程师、监理单位或符合相应条件要求的工程质量检测机构出具的质量说明材料。</w:t>
      </w:r>
    </w:p>
    <w:p w14:paraId="68EC532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3.我方收到贵方的书面索赔通知及相应证明材料后，在工作日内进行核定后按照本保函的承诺承担保证责任。</w:t>
      </w:r>
    </w:p>
    <w:p w14:paraId="6C6987BA">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五、保证担保责任的解除</w:t>
      </w:r>
    </w:p>
    <w:p w14:paraId="1AE41E58">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 xml:space="preserve">保证期间届满贵方未向我方书面主张保证责任的，自保证期间届满次日起，我方解除保证责任。 </w:t>
      </w:r>
    </w:p>
    <w:p w14:paraId="6081EB2F">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我方按照本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向贵方履行了</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后，自我方向贵方支付</w:t>
      </w:r>
      <w:r>
        <w:rPr>
          <w:rFonts w:hint="eastAsia" w:ascii="宋体" w:hAnsi="宋体"/>
          <w:color w:val="000000" w:themeColor="text1"/>
          <w:sz w:val="24"/>
          <w:highlight w:val="none"/>
          <w14:textFill>
            <w14:solidFill>
              <w14:schemeClr w14:val="tx1"/>
            </w14:solidFill>
          </w14:textFill>
        </w:rPr>
        <w:t>的金额达到最高保证担保金额</w:t>
      </w:r>
      <w:r>
        <w:rPr>
          <w:rFonts w:ascii="宋体" w:hAnsi="宋体"/>
          <w:color w:val="000000" w:themeColor="text1"/>
          <w:sz w:val="24"/>
          <w:highlight w:val="none"/>
          <w14:textFill>
            <w14:solidFill>
              <w14:schemeClr w14:val="tx1"/>
            </w14:solidFill>
          </w14:textFill>
        </w:rPr>
        <w:t>之日起，</w:t>
      </w:r>
      <w:r>
        <w:rPr>
          <w:rFonts w:hint="eastAsia" w:ascii="宋体" w:hAnsi="宋体"/>
          <w:color w:val="000000" w:themeColor="text1"/>
          <w:sz w:val="24"/>
          <w:highlight w:val="none"/>
          <w14:textFill>
            <w14:solidFill>
              <w14:schemeClr w14:val="tx1"/>
            </w14:solidFill>
          </w14:textFill>
        </w:rPr>
        <w:t>保证担保责任</w:t>
      </w:r>
      <w:r>
        <w:rPr>
          <w:rFonts w:ascii="宋体" w:hAnsi="宋体"/>
          <w:color w:val="000000" w:themeColor="text1"/>
          <w:sz w:val="24"/>
          <w:highlight w:val="none"/>
          <w14:textFill>
            <w14:solidFill>
              <w14:schemeClr w14:val="tx1"/>
            </w14:solidFill>
          </w14:textFill>
        </w:rPr>
        <w:t xml:space="preserve">解除。 </w:t>
      </w:r>
    </w:p>
    <w:p w14:paraId="26AF262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按照法律法规的规定应解除我方保证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责任的其它情形的，我方在本保证担保项下的保证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责任亦解除。 </w:t>
      </w:r>
    </w:p>
    <w:p w14:paraId="0C4A31F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4.我方解除保证责任后，贵方应按上述约定，自我方保证担保责任解除之日起七</w:t>
      </w:r>
      <w:r>
        <w:rPr>
          <w:rFonts w:ascii="宋体" w:hAnsi="宋体"/>
          <w:color w:val="000000" w:themeColor="text1"/>
          <w:sz w:val="24"/>
          <w:highlight w:val="none"/>
          <w14:textFill>
            <w14:solidFill>
              <w14:schemeClr w14:val="tx1"/>
            </w14:solidFill>
          </w14:textFill>
        </w:rPr>
        <w:t>日内，将本保证担保原件返还我方。但是不论贵方是否按此要求将本保证担保</w:t>
      </w:r>
      <w:r>
        <w:rPr>
          <w:rFonts w:hint="eastAsia" w:ascii="宋体" w:hAnsi="宋体"/>
          <w:color w:val="000000" w:themeColor="text1"/>
          <w:sz w:val="24"/>
          <w:highlight w:val="none"/>
          <w14:textFill>
            <w14:solidFill>
              <w14:schemeClr w14:val="tx1"/>
            </w14:solidFill>
          </w14:textFill>
        </w:rPr>
        <w:t>原件</w:t>
      </w:r>
      <w:r>
        <w:rPr>
          <w:rFonts w:ascii="宋体" w:hAnsi="宋体"/>
          <w:color w:val="000000" w:themeColor="text1"/>
          <w:sz w:val="24"/>
          <w:highlight w:val="none"/>
          <w14:textFill>
            <w14:solidFill>
              <w14:schemeClr w14:val="tx1"/>
            </w14:solidFill>
          </w14:textFill>
        </w:rPr>
        <w:t>退回我方，我方在本保证担保项下的义务和责任均</w:t>
      </w:r>
      <w:r>
        <w:rPr>
          <w:rFonts w:hint="eastAsia" w:ascii="宋体" w:hAnsi="宋体"/>
          <w:color w:val="000000" w:themeColor="text1"/>
          <w:sz w:val="24"/>
          <w:highlight w:val="none"/>
          <w14:textFill>
            <w14:solidFill>
              <w14:schemeClr w14:val="tx1"/>
            </w14:solidFill>
          </w14:textFill>
        </w:rPr>
        <w:t>自保证担保责任解除之日</w:t>
      </w:r>
      <w:r>
        <w:rPr>
          <w:rFonts w:ascii="宋体" w:hAnsi="宋体"/>
          <w:color w:val="000000" w:themeColor="text1"/>
          <w:sz w:val="24"/>
          <w:highlight w:val="none"/>
          <w14:textFill>
            <w14:solidFill>
              <w14:schemeClr w14:val="tx1"/>
            </w14:solidFill>
          </w14:textFill>
        </w:rPr>
        <w:t>自动消灭。</w:t>
      </w:r>
    </w:p>
    <w:p w14:paraId="241A832C">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六、免责条款</w:t>
      </w:r>
    </w:p>
    <w:p w14:paraId="07891121">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因贵方</w:t>
      </w:r>
      <w:r>
        <w:rPr>
          <w:rFonts w:hint="eastAsia" w:ascii="宋体" w:hAnsi="宋体"/>
          <w:color w:val="000000" w:themeColor="text1"/>
          <w:sz w:val="24"/>
          <w:highlight w:val="none"/>
          <w14:textFill>
            <w14:solidFill>
              <w14:schemeClr w14:val="tx1"/>
            </w14:solidFill>
          </w14:textFill>
        </w:rPr>
        <w:t>原因</w:t>
      </w:r>
      <w:r>
        <w:rPr>
          <w:rFonts w:ascii="宋体" w:hAnsi="宋体"/>
          <w:color w:val="000000" w:themeColor="text1"/>
          <w:sz w:val="24"/>
          <w:highlight w:val="none"/>
          <w14:textFill>
            <w14:solidFill>
              <w14:schemeClr w14:val="tx1"/>
            </w14:solidFill>
          </w14:textFill>
        </w:rPr>
        <w:t>致使</w:t>
      </w:r>
      <w:r>
        <w:rPr>
          <w:rFonts w:hint="eastAsia" w:ascii="宋体" w:hAnsi="宋体"/>
          <w:color w:val="000000" w:themeColor="text1"/>
          <w:sz w:val="24"/>
          <w:highlight w:val="none"/>
          <w14:textFill>
            <w14:solidFill>
              <w14:schemeClr w14:val="tx1"/>
            </w14:solidFill>
          </w14:textFill>
        </w:rPr>
        <w:t>发包人未履行主合同项下工程款付款义务的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40D4BD0A">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依照法律规定或贵方与</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人的另行约定，免除</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人部分或全部义务的，我方亦免除其相应的保证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 xml:space="preserve">责任。 </w:t>
      </w:r>
    </w:p>
    <w:p w14:paraId="17F0ADE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因不可抗力造成</w:t>
      </w:r>
      <w:r>
        <w:rPr>
          <w:rFonts w:hint="eastAsia" w:ascii="宋体" w:hAnsi="宋体"/>
          <w:color w:val="000000" w:themeColor="text1"/>
          <w:sz w:val="24"/>
          <w:highlight w:val="none"/>
          <w14:textFill>
            <w14:solidFill>
              <w14:schemeClr w14:val="tx1"/>
            </w14:solidFill>
          </w14:textFill>
        </w:rPr>
        <w:t>发包</w:t>
      </w:r>
      <w:r>
        <w:rPr>
          <w:rFonts w:ascii="宋体" w:hAnsi="宋体"/>
          <w:color w:val="000000" w:themeColor="text1"/>
          <w:sz w:val="24"/>
          <w:highlight w:val="none"/>
          <w14:textFill>
            <w14:solidFill>
              <w14:schemeClr w14:val="tx1"/>
            </w14:solidFill>
          </w14:textFill>
        </w:rPr>
        <w:t>人</w:t>
      </w:r>
      <w:r>
        <w:rPr>
          <w:rFonts w:hint="eastAsia" w:ascii="宋体" w:hAnsi="宋体"/>
          <w:color w:val="000000" w:themeColor="text1"/>
          <w:sz w:val="24"/>
          <w:highlight w:val="none"/>
          <w14:textFill>
            <w14:solidFill>
              <w14:schemeClr w14:val="tx1"/>
            </w14:solidFill>
          </w14:textFill>
        </w:rPr>
        <w:t>未履行主合同项下工程款付款义务的</w:t>
      </w:r>
      <w:r>
        <w:rPr>
          <w:rFonts w:ascii="宋体" w:hAnsi="宋体"/>
          <w:color w:val="000000" w:themeColor="text1"/>
          <w:sz w:val="24"/>
          <w:highlight w:val="none"/>
          <w14:textFill>
            <w14:solidFill>
              <w14:schemeClr w14:val="tx1"/>
            </w14:solidFill>
          </w14:textFill>
        </w:rPr>
        <w:t>，我方不承担保证</w:t>
      </w:r>
      <w:r>
        <w:rPr>
          <w:rFonts w:hint="eastAsia" w:ascii="宋体" w:hAnsi="宋体"/>
          <w:color w:val="000000" w:themeColor="text1"/>
          <w:sz w:val="24"/>
          <w:highlight w:val="none"/>
          <w14:textFill>
            <w14:solidFill>
              <w14:schemeClr w14:val="tx1"/>
            </w14:solidFill>
          </w14:textFill>
        </w:rPr>
        <w:t>担保</w:t>
      </w:r>
      <w:r>
        <w:rPr>
          <w:rFonts w:ascii="宋体" w:hAnsi="宋体"/>
          <w:color w:val="000000" w:themeColor="text1"/>
          <w:sz w:val="24"/>
          <w:highlight w:val="none"/>
          <w14:textFill>
            <w14:solidFill>
              <w14:schemeClr w14:val="tx1"/>
            </w14:solidFill>
          </w14:textFill>
        </w:rPr>
        <w:t>责任。</w:t>
      </w:r>
    </w:p>
    <w:p w14:paraId="53459F46">
      <w:pPr>
        <w:spacing w:line="360" w:lineRule="auto"/>
        <w:ind w:firstLine="482" w:firstLineChars="200"/>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七、其他</w:t>
      </w:r>
    </w:p>
    <w:p w14:paraId="3B61A55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w:t>
      </w:r>
      <w:r>
        <w:rPr>
          <w:rFonts w:ascii="宋体" w:hAnsi="宋体"/>
          <w:color w:val="000000" w:themeColor="text1"/>
          <w:sz w:val="24"/>
          <w:highlight w:val="none"/>
          <w14:textFill>
            <w14:solidFill>
              <w14:schemeClr w14:val="tx1"/>
            </w14:solidFill>
          </w14:textFill>
        </w:rPr>
        <w:t>本保证担保项下的权利不得转让，不得设定担保。贵方未经我方书面同意转让本保证担保或其项下任何权利，</w:t>
      </w:r>
      <w:r>
        <w:rPr>
          <w:rFonts w:hint="eastAsia" w:ascii="宋体" w:hAnsi="宋体"/>
          <w:color w:val="000000" w:themeColor="text1"/>
          <w:sz w:val="24"/>
          <w:highlight w:val="none"/>
          <w14:textFill>
            <w14:solidFill>
              <w14:schemeClr w14:val="tx1"/>
            </w14:solidFill>
          </w14:textFill>
        </w:rPr>
        <w:t>对我方不发生法律效力</w:t>
      </w:r>
      <w:r>
        <w:rPr>
          <w:rFonts w:ascii="宋体" w:hAnsi="宋体"/>
          <w:color w:val="000000" w:themeColor="text1"/>
          <w:sz w:val="24"/>
          <w:highlight w:val="none"/>
          <w14:textFill>
            <w14:solidFill>
              <w14:schemeClr w14:val="tx1"/>
            </w14:solidFill>
          </w14:textFill>
        </w:rPr>
        <w:t xml:space="preserve">。 </w:t>
      </w:r>
    </w:p>
    <w:p w14:paraId="4AAC8A84">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保证担保适用的法律为中华人民共和国法律，争议裁判管辖地为中华人民共和国。</w:t>
      </w:r>
    </w:p>
    <w:p w14:paraId="217832C0">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w:t>
      </w:r>
      <w:r>
        <w:rPr>
          <w:rFonts w:ascii="宋体" w:hAnsi="宋体"/>
          <w:color w:val="000000" w:themeColor="text1"/>
          <w:sz w:val="24"/>
          <w:highlight w:val="none"/>
          <w14:textFill>
            <w14:solidFill>
              <w14:schemeClr w14:val="tx1"/>
            </w14:solidFill>
          </w14:textFill>
        </w:rPr>
        <w:t>.本</w:t>
      </w:r>
      <w:r>
        <w:rPr>
          <w:rFonts w:hint="eastAsia" w:ascii="宋体" w:hAnsi="宋体"/>
          <w:color w:val="000000" w:themeColor="text1"/>
          <w:sz w:val="24"/>
          <w:highlight w:val="none"/>
          <w14:textFill>
            <w14:solidFill>
              <w14:schemeClr w14:val="tx1"/>
            </w14:solidFill>
          </w14:textFill>
        </w:rPr>
        <w:t>保证担保</w:t>
      </w:r>
      <w:r>
        <w:rPr>
          <w:rFonts w:ascii="宋体" w:hAnsi="宋体"/>
          <w:color w:val="000000" w:themeColor="text1"/>
          <w:sz w:val="24"/>
          <w:highlight w:val="none"/>
          <w14:textFill>
            <w14:solidFill>
              <w14:schemeClr w14:val="tx1"/>
            </w14:solidFill>
          </w14:textFill>
        </w:rPr>
        <w:t>自我方法定代表</w:t>
      </w:r>
      <w:r>
        <w:rPr>
          <w:rFonts w:hint="eastAsia" w:ascii="宋体" w:hAnsi="宋体"/>
          <w:color w:val="000000" w:themeColor="text1"/>
          <w:sz w:val="24"/>
          <w:highlight w:val="none"/>
          <w14:textFill>
            <w14:solidFill>
              <w14:schemeClr w14:val="tx1"/>
            </w14:solidFill>
          </w14:textFill>
        </w:rPr>
        <w:t>人或授权代表</w:t>
      </w:r>
      <w:r>
        <w:rPr>
          <w:rFonts w:ascii="宋体" w:hAnsi="宋体"/>
          <w:color w:val="000000" w:themeColor="text1"/>
          <w:sz w:val="24"/>
          <w:highlight w:val="none"/>
          <w14:textFill>
            <w14:solidFill>
              <w14:schemeClr w14:val="tx1"/>
            </w14:solidFill>
          </w14:textFill>
        </w:rPr>
        <w:t>签字</w:t>
      </w:r>
      <w:r>
        <w:rPr>
          <w:rFonts w:hint="eastAsia" w:ascii="宋体" w:hAnsi="宋体"/>
          <w:color w:val="000000" w:themeColor="text1"/>
          <w:sz w:val="24"/>
          <w:highlight w:val="none"/>
          <w14:textFill>
            <w14:solidFill>
              <w14:schemeClr w14:val="tx1"/>
            </w14:solidFill>
          </w14:textFill>
        </w:rPr>
        <w:t>并</w:t>
      </w:r>
      <w:r>
        <w:rPr>
          <w:rFonts w:ascii="宋体" w:hAnsi="宋体"/>
          <w:color w:val="000000" w:themeColor="text1"/>
          <w:sz w:val="24"/>
          <w:highlight w:val="none"/>
          <w14:textFill>
            <w14:solidFill>
              <w14:schemeClr w14:val="tx1"/>
            </w14:solidFill>
          </w14:textFill>
        </w:rPr>
        <w:t xml:space="preserve">加盖公章之日起生效。 </w:t>
      </w:r>
    </w:p>
    <w:p w14:paraId="20A3F8FB">
      <w:pPr>
        <w:spacing w:line="360" w:lineRule="auto"/>
        <w:ind w:firstLine="480" w:firstLineChars="200"/>
        <w:rPr>
          <w:rFonts w:ascii="宋体" w:hAnsi="宋体"/>
          <w:color w:val="000000" w:themeColor="text1"/>
          <w:sz w:val="24"/>
          <w:highlight w:val="none"/>
          <w14:textFill>
            <w14:solidFill>
              <w14:schemeClr w14:val="tx1"/>
            </w14:solidFill>
          </w14:textFill>
        </w:rPr>
      </w:pPr>
    </w:p>
    <w:p w14:paraId="48C9C97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保 证 人</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（公</w:t>
      </w:r>
      <w:r>
        <w:rPr>
          <w:rFonts w:ascii="宋体" w:hAnsi="宋体"/>
          <w:color w:val="000000" w:themeColor="text1"/>
          <w:sz w:val="24"/>
          <w:highlight w:val="none"/>
          <w14:textFill>
            <w14:solidFill>
              <w14:schemeClr w14:val="tx1"/>
            </w14:solidFill>
          </w14:textFill>
        </w:rPr>
        <w:t xml:space="preserve">章） </w:t>
      </w:r>
    </w:p>
    <w:p w14:paraId="7B056CBC">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w:t>
      </w:r>
      <w:r>
        <w:rPr>
          <w:rFonts w:ascii="宋体" w:hAnsi="宋体"/>
          <w:color w:val="000000" w:themeColor="text1"/>
          <w:sz w:val="24"/>
          <w:highlight w:val="none"/>
          <w14:textFill>
            <w14:solidFill>
              <w14:schemeClr w14:val="tx1"/>
            </w14:solidFill>
          </w14:textFill>
        </w:rPr>
        <w:t xml:space="preserve">               （签字） </w:t>
      </w:r>
    </w:p>
    <w:p w14:paraId="1A0A4236">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w:t>
      </w:r>
      <w:r>
        <w:rPr>
          <w:rFonts w:ascii="宋体" w:hAnsi="宋体"/>
          <w:color w:val="000000" w:themeColor="text1"/>
          <w:sz w:val="24"/>
          <w:highlight w:val="none"/>
          <w14:textFill>
            <w14:solidFill>
              <w14:schemeClr w14:val="tx1"/>
            </w14:solidFill>
          </w14:textFill>
        </w:rPr>
        <w:t xml:space="preserve">    址：                                       </w:t>
      </w:r>
    </w:p>
    <w:p w14:paraId="3D3C48C7">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邮政编码：</w:t>
      </w:r>
    </w:p>
    <w:p w14:paraId="6F032BE2">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电</w:t>
      </w:r>
      <w:r>
        <w:rPr>
          <w:rFonts w:ascii="宋体" w:hAnsi="宋体"/>
          <w:color w:val="000000" w:themeColor="text1"/>
          <w:sz w:val="24"/>
          <w:highlight w:val="none"/>
          <w14:textFill>
            <w14:solidFill>
              <w14:schemeClr w14:val="tx1"/>
            </w14:solidFill>
          </w14:textFill>
        </w:rPr>
        <w:t xml:space="preserve">    话：                 </w:t>
      </w:r>
    </w:p>
    <w:p w14:paraId="02C22EB5">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传</w:t>
      </w:r>
      <w:r>
        <w:rPr>
          <w:rFonts w:ascii="宋体" w:hAnsi="宋体"/>
          <w:color w:val="000000" w:themeColor="text1"/>
          <w:sz w:val="24"/>
          <w:highlight w:val="none"/>
          <w14:textFill>
            <w14:solidFill>
              <w14:schemeClr w14:val="tx1"/>
            </w14:solidFill>
          </w14:textFill>
        </w:rPr>
        <w:t xml:space="preserve">    真：                 </w:t>
      </w:r>
    </w:p>
    <w:p w14:paraId="5A340B3D">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时 间：</w:t>
      </w:r>
      <w:r>
        <w:rPr>
          <w:rFonts w:ascii="宋体" w:hAnsi="宋体"/>
          <w:color w:val="000000" w:themeColor="text1"/>
          <w:sz w:val="24"/>
          <w:highlight w:val="none"/>
          <w14:textFill>
            <w14:solidFill>
              <w14:schemeClr w14:val="tx1"/>
            </w14:solidFill>
          </w14:textFill>
        </w:rPr>
        <w:t xml:space="preserve">      年      月        日</w:t>
      </w:r>
    </w:p>
    <w:p w14:paraId="6C79F8DB">
      <w:pPr>
        <w:rPr>
          <w:color w:val="000000" w:themeColor="text1"/>
          <w:szCs w:val="21"/>
          <w:highlight w:val="none"/>
          <w14:textFill>
            <w14:solidFill>
              <w14:schemeClr w14:val="tx1"/>
            </w14:solidFill>
          </w14:textFill>
        </w:rPr>
      </w:pPr>
    </w:p>
    <w:p w14:paraId="1991A112">
      <w:pPr>
        <w:spacing w:line="360" w:lineRule="auto"/>
        <w:ind w:firstLine="480" w:firstLineChars="200"/>
        <w:rPr>
          <w:rFonts w:ascii="宋体" w:hAnsi="宋体"/>
          <w:color w:val="000000" w:themeColor="text1"/>
          <w:sz w:val="24"/>
          <w:highlight w:val="none"/>
          <w14:textFill>
            <w14:solidFill>
              <w14:schemeClr w14:val="tx1"/>
            </w14:solidFill>
          </w14:textFill>
        </w:rPr>
      </w:pPr>
    </w:p>
    <w:p w14:paraId="2C9825A1">
      <w:pPr>
        <w:spacing w:line="360" w:lineRule="auto"/>
        <w:ind w:firstLine="420" w:firstLineChars="200"/>
        <w:rPr>
          <w:color w:val="000000" w:themeColor="text1"/>
          <w:szCs w:val="21"/>
          <w:highlight w:val="none"/>
          <w14:textFill>
            <w14:solidFill>
              <w14:schemeClr w14:val="tx1"/>
            </w14:solidFill>
          </w14:textFill>
        </w:rPr>
      </w:pPr>
    </w:p>
    <w:p w14:paraId="4EDEB7A9">
      <w:pPr>
        <w:jc w:val="left"/>
        <w:rPr>
          <w:rFonts w:eastAsia="仿宋_GB2312"/>
          <w:color w:val="000000" w:themeColor="text1"/>
          <w:sz w:val="30"/>
          <w:szCs w:val="30"/>
          <w:highlight w:val="none"/>
          <w14:textFill>
            <w14:solidFill>
              <w14:schemeClr w14:val="tx1"/>
            </w14:solidFill>
          </w14:textFill>
        </w:rPr>
      </w:pPr>
    </w:p>
    <w:p w14:paraId="2352DC62">
      <w:pPr>
        <w:jc w:val="left"/>
        <w:rPr>
          <w:rFonts w:eastAsia="仿宋_GB2312"/>
          <w:color w:val="000000" w:themeColor="text1"/>
          <w:sz w:val="30"/>
          <w:szCs w:val="30"/>
          <w:highlight w:val="none"/>
          <w14:textFill>
            <w14:solidFill>
              <w14:schemeClr w14:val="tx1"/>
            </w14:solidFill>
          </w14:textFill>
        </w:rPr>
      </w:pPr>
    </w:p>
    <w:p w14:paraId="45310F81">
      <w:pPr>
        <w:jc w:val="left"/>
        <w:rPr>
          <w:rFonts w:eastAsia="仿宋_GB2312"/>
          <w:color w:val="000000" w:themeColor="text1"/>
          <w:sz w:val="30"/>
          <w:szCs w:val="30"/>
          <w:highlight w:val="none"/>
          <w14:textFill>
            <w14:solidFill>
              <w14:schemeClr w14:val="tx1"/>
            </w14:solidFill>
          </w14:textFill>
        </w:rPr>
      </w:pPr>
    </w:p>
    <w:p w14:paraId="5F8B2C0B">
      <w:pPr>
        <w:jc w:val="left"/>
        <w:rPr>
          <w:rFonts w:eastAsia="仿宋_GB2312"/>
          <w:color w:val="000000" w:themeColor="text1"/>
          <w:sz w:val="30"/>
          <w:szCs w:val="30"/>
          <w:highlight w:val="none"/>
          <w14:textFill>
            <w14:solidFill>
              <w14:schemeClr w14:val="tx1"/>
            </w14:solidFill>
          </w14:textFill>
        </w:rPr>
      </w:pPr>
    </w:p>
    <w:p w14:paraId="2B95058C">
      <w:pPr>
        <w:jc w:val="left"/>
        <w:rPr>
          <w:rFonts w:eastAsia="仿宋_GB2312"/>
          <w:color w:val="000000" w:themeColor="text1"/>
          <w:sz w:val="30"/>
          <w:szCs w:val="30"/>
          <w:highlight w:val="none"/>
          <w14:textFill>
            <w14:solidFill>
              <w14:schemeClr w14:val="tx1"/>
            </w14:solidFill>
          </w14:textFill>
        </w:rPr>
      </w:pPr>
    </w:p>
    <w:p w14:paraId="4DC5989B">
      <w:pPr>
        <w:jc w:val="left"/>
        <w:rPr>
          <w:rFonts w:eastAsia="仿宋_GB2312"/>
          <w:color w:val="000000" w:themeColor="text1"/>
          <w:sz w:val="30"/>
          <w:szCs w:val="30"/>
          <w:highlight w:val="none"/>
          <w14:textFill>
            <w14:solidFill>
              <w14:schemeClr w14:val="tx1"/>
            </w14:solidFill>
          </w14:textFill>
        </w:rPr>
      </w:pPr>
    </w:p>
    <w:p w14:paraId="42F09CB7">
      <w:pPr>
        <w:jc w:val="left"/>
        <w:rPr>
          <w:rFonts w:eastAsia="仿宋_GB2312"/>
          <w:color w:val="000000" w:themeColor="text1"/>
          <w:sz w:val="30"/>
          <w:szCs w:val="30"/>
          <w:highlight w:val="none"/>
          <w14:textFill>
            <w14:solidFill>
              <w14:schemeClr w14:val="tx1"/>
            </w14:solidFill>
          </w14:textFill>
        </w:rPr>
      </w:pPr>
    </w:p>
    <w:p w14:paraId="3B7DFD21">
      <w:pPr>
        <w:jc w:val="left"/>
        <w:rPr>
          <w:rFonts w:eastAsia="仿宋_GB2312"/>
          <w:color w:val="000000" w:themeColor="text1"/>
          <w:sz w:val="30"/>
          <w:szCs w:val="30"/>
          <w:highlight w:val="none"/>
          <w14:textFill>
            <w14:solidFill>
              <w14:schemeClr w14:val="tx1"/>
            </w14:solidFill>
          </w14:textFill>
        </w:rPr>
      </w:pPr>
    </w:p>
    <w:p w14:paraId="7C9424E7">
      <w:pPr>
        <w:jc w:val="left"/>
        <w:rPr>
          <w:rFonts w:hAnsi="宋体" w:cs="宋体"/>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附件10：</w:t>
      </w:r>
    </w:p>
    <w:p w14:paraId="2B00A3C2">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预付款支付申请（核准）表</w:t>
      </w:r>
    </w:p>
    <w:p w14:paraId="4905F0AB">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8"/>
        <w:gridCol w:w="4697"/>
      </w:tblGrid>
      <w:tr w14:paraId="4800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185" w:type="dxa"/>
            <w:gridSpan w:val="2"/>
          </w:tcPr>
          <w:p w14:paraId="7C3BADA6">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492C9A66">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我方根据施工合同的约定，现申请支付工程预付款额为(大写)元，(小写)</w:t>
            </w:r>
          </w:p>
          <w:p w14:paraId="6D3FC257">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764"/>
              <w:gridCol w:w="2240"/>
              <w:gridCol w:w="1080"/>
            </w:tblGrid>
            <w:tr w14:paraId="6AEF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6DE9CCBA">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340" w:type="dxa"/>
                  <w:vAlign w:val="center"/>
                </w:tcPr>
                <w:p w14:paraId="57771CBF">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764" w:type="dxa"/>
                  <w:vAlign w:val="center"/>
                </w:tcPr>
                <w:p w14:paraId="078FFF9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2240" w:type="dxa"/>
                  <w:vAlign w:val="center"/>
                </w:tcPr>
                <w:p w14:paraId="1F7A103B">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1080" w:type="dxa"/>
                  <w:vAlign w:val="center"/>
                </w:tcPr>
                <w:p w14:paraId="001F3ED3">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065A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3CEC58F">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340" w:type="dxa"/>
                </w:tcPr>
                <w:p w14:paraId="2BF50116">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已签约合同价款金额</w:t>
                  </w:r>
                </w:p>
              </w:tc>
              <w:tc>
                <w:tcPr>
                  <w:tcW w:w="1764" w:type="dxa"/>
                </w:tcPr>
                <w:p w14:paraId="1A6E3FB6">
                  <w:pPr>
                    <w:spacing w:line="280" w:lineRule="exact"/>
                    <w:rPr>
                      <w:color w:val="000000" w:themeColor="text1"/>
                      <w:szCs w:val="21"/>
                      <w:highlight w:val="none"/>
                      <w14:textFill>
                        <w14:solidFill>
                          <w14:schemeClr w14:val="tx1"/>
                        </w14:solidFill>
                      </w14:textFill>
                    </w:rPr>
                  </w:pPr>
                </w:p>
              </w:tc>
              <w:tc>
                <w:tcPr>
                  <w:tcW w:w="2240" w:type="dxa"/>
                </w:tcPr>
                <w:p w14:paraId="38E5B834">
                  <w:pPr>
                    <w:spacing w:line="280" w:lineRule="exact"/>
                    <w:rPr>
                      <w:color w:val="000000" w:themeColor="text1"/>
                      <w:szCs w:val="21"/>
                      <w:highlight w:val="none"/>
                      <w14:textFill>
                        <w14:solidFill>
                          <w14:schemeClr w14:val="tx1"/>
                        </w14:solidFill>
                      </w14:textFill>
                    </w:rPr>
                  </w:pPr>
                </w:p>
              </w:tc>
              <w:tc>
                <w:tcPr>
                  <w:tcW w:w="1080" w:type="dxa"/>
                </w:tcPr>
                <w:p w14:paraId="3A97DA7B">
                  <w:pPr>
                    <w:spacing w:line="280" w:lineRule="exact"/>
                    <w:rPr>
                      <w:color w:val="000000" w:themeColor="text1"/>
                      <w:szCs w:val="21"/>
                      <w:highlight w:val="none"/>
                      <w14:textFill>
                        <w14:solidFill>
                          <w14:schemeClr w14:val="tx1"/>
                        </w14:solidFill>
                      </w14:textFill>
                    </w:rPr>
                  </w:pPr>
                </w:p>
              </w:tc>
            </w:tr>
            <w:tr w14:paraId="6BD4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D2BCC58">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340" w:type="dxa"/>
                </w:tcPr>
                <w:p w14:paraId="5929D46A">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其中：安全文明施工费</w:t>
                  </w:r>
                </w:p>
              </w:tc>
              <w:tc>
                <w:tcPr>
                  <w:tcW w:w="1764" w:type="dxa"/>
                </w:tcPr>
                <w:p w14:paraId="050C6EBB">
                  <w:pPr>
                    <w:spacing w:line="280" w:lineRule="exact"/>
                    <w:rPr>
                      <w:color w:val="000000" w:themeColor="text1"/>
                      <w:szCs w:val="21"/>
                      <w:highlight w:val="none"/>
                      <w14:textFill>
                        <w14:solidFill>
                          <w14:schemeClr w14:val="tx1"/>
                        </w14:solidFill>
                      </w14:textFill>
                    </w:rPr>
                  </w:pPr>
                </w:p>
              </w:tc>
              <w:tc>
                <w:tcPr>
                  <w:tcW w:w="2240" w:type="dxa"/>
                </w:tcPr>
                <w:p w14:paraId="76B886B5">
                  <w:pPr>
                    <w:spacing w:line="280" w:lineRule="exact"/>
                    <w:rPr>
                      <w:color w:val="000000" w:themeColor="text1"/>
                      <w:szCs w:val="21"/>
                      <w:highlight w:val="none"/>
                      <w14:textFill>
                        <w14:solidFill>
                          <w14:schemeClr w14:val="tx1"/>
                        </w14:solidFill>
                      </w14:textFill>
                    </w:rPr>
                  </w:pPr>
                </w:p>
              </w:tc>
              <w:tc>
                <w:tcPr>
                  <w:tcW w:w="1080" w:type="dxa"/>
                </w:tcPr>
                <w:p w14:paraId="223CDECB">
                  <w:pPr>
                    <w:spacing w:line="280" w:lineRule="exact"/>
                    <w:rPr>
                      <w:color w:val="000000" w:themeColor="text1"/>
                      <w:szCs w:val="21"/>
                      <w:highlight w:val="none"/>
                      <w14:textFill>
                        <w14:solidFill>
                          <w14:schemeClr w14:val="tx1"/>
                        </w14:solidFill>
                      </w14:textFill>
                    </w:rPr>
                  </w:pPr>
                </w:p>
              </w:tc>
            </w:tr>
            <w:tr w14:paraId="4557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454C448">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340" w:type="dxa"/>
                </w:tcPr>
                <w:p w14:paraId="4B43019B">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应支付的预付款</w:t>
                  </w:r>
                </w:p>
              </w:tc>
              <w:tc>
                <w:tcPr>
                  <w:tcW w:w="1764" w:type="dxa"/>
                </w:tcPr>
                <w:p w14:paraId="4DA2B4C1">
                  <w:pPr>
                    <w:spacing w:line="280" w:lineRule="exact"/>
                    <w:rPr>
                      <w:color w:val="000000" w:themeColor="text1"/>
                      <w:szCs w:val="21"/>
                      <w:highlight w:val="none"/>
                      <w14:textFill>
                        <w14:solidFill>
                          <w14:schemeClr w14:val="tx1"/>
                        </w14:solidFill>
                      </w14:textFill>
                    </w:rPr>
                  </w:pPr>
                </w:p>
              </w:tc>
              <w:tc>
                <w:tcPr>
                  <w:tcW w:w="2240" w:type="dxa"/>
                </w:tcPr>
                <w:p w14:paraId="3550C751">
                  <w:pPr>
                    <w:spacing w:line="280" w:lineRule="exact"/>
                    <w:rPr>
                      <w:color w:val="000000" w:themeColor="text1"/>
                      <w:szCs w:val="21"/>
                      <w:highlight w:val="none"/>
                      <w14:textFill>
                        <w14:solidFill>
                          <w14:schemeClr w14:val="tx1"/>
                        </w14:solidFill>
                      </w14:textFill>
                    </w:rPr>
                  </w:pPr>
                </w:p>
              </w:tc>
              <w:tc>
                <w:tcPr>
                  <w:tcW w:w="1080" w:type="dxa"/>
                </w:tcPr>
                <w:p w14:paraId="0EB393CD">
                  <w:pPr>
                    <w:spacing w:line="280" w:lineRule="exact"/>
                    <w:rPr>
                      <w:color w:val="000000" w:themeColor="text1"/>
                      <w:szCs w:val="21"/>
                      <w:highlight w:val="none"/>
                      <w14:textFill>
                        <w14:solidFill>
                          <w14:schemeClr w14:val="tx1"/>
                        </w14:solidFill>
                      </w14:textFill>
                    </w:rPr>
                  </w:pPr>
                </w:p>
              </w:tc>
            </w:tr>
            <w:tr w14:paraId="0CE02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C849E3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340" w:type="dxa"/>
                </w:tcPr>
                <w:p w14:paraId="015E38E3">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应支付的安全文明施工费预付款</w:t>
                  </w:r>
                </w:p>
              </w:tc>
              <w:tc>
                <w:tcPr>
                  <w:tcW w:w="1764" w:type="dxa"/>
                </w:tcPr>
                <w:p w14:paraId="475748F5">
                  <w:pPr>
                    <w:spacing w:line="280" w:lineRule="exact"/>
                    <w:rPr>
                      <w:color w:val="000000" w:themeColor="text1"/>
                      <w:szCs w:val="21"/>
                      <w:highlight w:val="none"/>
                      <w14:textFill>
                        <w14:solidFill>
                          <w14:schemeClr w14:val="tx1"/>
                        </w14:solidFill>
                      </w14:textFill>
                    </w:rPr>
                  </w:pPr>
                </w:p>
              </w:tc>
              <w:tc>
                <w:tcPr>
                  <w:tcW w:w="2240" w:type="dxa"/>
                </w:tcPr>
                <w:p w14:paraId="7A5D1574">
                  <w:pPr>
                    <w:spacing w:line="280" w:lineRule="exact"/>
                    <w:rPr>
                      <w:color w:val="000000" w:themeColor="text1"/>
                      <w:szCs w:val="21"/>
                      <w:highlight w:val="none"/>
                      <w14:textFill>
                        <w14:solidFill>
                          <w14:schemeClr w14:val="tx1"/>
                        </w14:solidFill>
                      </w14:textFill>
                    </w:rPr>
                  </w:pPr>
                </w:p>
              </w:tc>
              <w:tc>
                <w:tcPr>
                  <w:tcW w:w="1080" w:type="dxa"/>
                </w:tcPr>
                <w:p w14:paraId="1B41A8FB">
                  <w:pPr>
                    <w:spacing w:line="280" w:lineRule="exact"/>
                    <w:rPr>
                      <w:color w:val="000000" w:themeColor="text1"/>
                      <w:szCs w:val="21"/>
                      <w:highlight w:val="none"/>
                      <w14:textFill>
                        <w14:solidFill>
                          <w14:schemeClr w14:val="tx1"/>
                        </w14:solidFill>
                      </w14:textFill>
                    </w:rPr>
                  </w:pPr>
                </w:p>
              </w:tc>
            </w:tr>
            <w:tr w14:paraId="56A8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79A6EB6">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3340" w:type="dxa"/>
                </w:tcPr>
                <w:p w14:paraId="4AD6C96E">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合计应支付的预付款</w:t>
                  </w:r>
                </w:p>
              </w:tc>
              <w:tc>
                <w:tcPr>
                  <w:tcW w:w="1764" w:type="dxa"/>
                </w:tcPr>
                <w:p w14:paraId="4F6F9A55">
                  <w:pPr>
                    <w:spacing w:line="280" w:lineRule="exact"/>
                    <w:rPr>
                      <w:color w:val="000000" w:themeColor="text1"/>
                      <w:szCs w:val="21"/>
                      <w:highlight w:val="none"/>
                      <w14:textFill>
                        <w14:solidFill>
                          <w14:schemeClr w14:val="tx1"/>
                        </w14:solidFill>
                      </w14:textFill>
                    </w:rPr>
                  </w:pPr>
                </w:p>
              </w:tc>
              <w:tc>
                <w:tcPr>
                  <w:tcW w:w="2240" w:type="dxa"/>
                </w:tcPr>
                <w:p w14:paraId="4BB68BB0">
                  <w:pPr>
                    <w:spacing w:line="280" w:lineRule="exact"/>
                    <w:rPr>
                      <w:color w:val="000000" w:themeColor="text1"/>
                      <w:szCs w:val="21"/>
                      <w:highlight w:val="none"/>
                      <w14:textFill>
                        <w14:solidFill>
                          <w14:schemeClr w14:val="tx1"/>
                        </w14:solidFill>
                      </w14:textFill>
                    </w:rPr>
                  </w:pPr>
                </w:p>
              </w:tc>
              <w:tc>
                <w:tcPr>
                  <w:tcW w:w="1080" w:type="dxa"/>
                </w:tcPr>
                <w:p w14:paraId="4031545A">
                  <w:pPr>
                    <w:spacing w:line="280" w:lineRule="exact"/>
                    <w:rPr>
                      <w:color w:val="000000" w:themeColor="text1"/>
                      <w:szCs w:val="21"/>
                      <w:highlight w:val="none"/>
                      <w14:textFill>
                        <w14:solidFill>
                          <w14:schemeClr w14:val="tx1"/>
                        </w14:solidFill>
                      </w14:textFill>
                    </w:rPr>
                  </w:pPr>
                </w:p>
              </w:tc>
            </w:tr>
            <w:tr w14:paraId="6C42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0ED2E60">
                  <w:pPr>
                    <w:spacing w:line="280" w:lineRule="exact"/>
                    <w:jc w:val="center"/>
                    <w:rPr>
                      <w:color w:val="000000" w:themeColor="text1"/>
                      <w:szCs w:val="21"/>
                      <w:highlight w:val="none"/>
                      <w14:textFill>
                        <w14:solidFill>
                          <w14:schemeClr w14:val="tx1"/>
                        </w14:solidFill>
                      </w14:textFill>
                    </w:rPr>
                  </w:pPr>
                </w:p>
              </w:tc>
              <w:tc>
                <w:tcPr>
                  <w:tcW w:w="3340" w:type="dxa"/>
                </w:tcPr>
                <w:p w14:paraId="238B817B">
                  <w:pPr>
                    <w:spacing w:line="280" w:lineRule="exact"/>
                    <w:rPr>
                      <w:color w:val="000000" w:themeColor="text1"/>
                      <w:szCs w:val="21"/>
                      <w:highlight w:val="none"/>
                      <w14:textFill>
                        <w14:solidFill>
                          <w14:schemeClr w14:val="tx1"/>
                        </w14:solidFill>
                      </w14:textFill>
                    </w:rPr>
                  </w:pPr>
                </w:p>
              </w:tc>
              <w:tc>
                <w:tcPr>
                  <w:tcW w:w="1764" w:type="dxa"/>
                </w:tcPr>
                <w:p w14:paraId="408B841C">
                  <w:pPr>
                    <w:spacing w:line="280" w:lineRule="exact"/>
                    <w:rPr>
                      <w:color w:val="000000" w:themeColor="text1"/>
                      <w:szCs w:val="21"/>
                      <w:highlight w:val="none"/>
                      <w14:textFill>
                        <w14:solidFill>
                          <w14:schemeClr w14:val="tx1"/>
                        </w14:solidFill>
                      </w14:textFill>
                    </w:rPr>
                  </w:pPr>
                </w:p>
              </w:tc>
              <w:tc>
                <w:tcPr>
                  <w:tcW w:w="2240" w:type="dxa"/>
                </w:tcPr>
                <w:p w14:paraId="5F05DD44">
                  <w:pPr>
                    <w:spacing w:line="280" w:lineRule="exact"/>
                    <w:rPr>
                      <w:color w:val="000000" w:themeColor="text1"/>
                      <w:szCs w:val="21"/>
                      <w:highlight w:val="none"/>
                      <w14:textFill>
                        <w14:solidFill>
                          <w14:schemeClr w14:val="tx1"/>
                        </w14:solidFill>
                      </w14:textFill>
                    </w:rPr>
                  </w:pPr>
                </w:p>
              </w:tc>
              <w:tc>
                <w:tcPr>
                  <w:tcW w:w="1080" w:type="dxa"/>
                </w:tcPr>
                <w:p w14:paraId="36E4AA04">
                  <w:pPr>
                    <w:spacing w:line="280" w:lineRule="exact"/>
                    <w:rPr>
                      <w:color w:val="000000" w:themeColor="text1"/>
                      <w:szCs w:val="21"/>
                      <w:highlight w:val="none"/>
                      <w14:textFill>
                        <w14:solidFill>
                          <w14:schemeClr w14:val="tx1"/>
                        </w14:solidFill>
                      </w14:textFill>
                    </w:rPr>
                  </w:pPr>
                </w:p>
              </w:tc>
            </w:tr>
          </w:tbl>
          <w:p w14:paraId="7154F4D4">
            <w:pPr>
              <w:wordWrap w:val="0"/>
              <w:spacing w:line="400" w:lineRule="exact"/>
              <w:ind w:right="420"/>
              <w:rPr>
                <w:color w:val="000000" w:themeColor="text1"/>
                <w:szCs w:val="21"/>
                <w:highlight w:val="none"/>
                <w14:textFill>
                  <w14:solidFill>
                    <w14:schemeClr w14:val="tx1"/>
                  </w14:solidFill>
                </w14:textFill>
              </w:rPr>
            </w:pPr>
          </w:p>
          <w:p w14:paraId="50545B95">
            <w:pPr>
              <w:wordWrap w:val="0"/>
              <w:spacing w:line="400" w:lineRule="exact"/>
              <w:ind w:right="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1339CC51">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5D5F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488" w:type="dxa"/>
          </w:tcPr>
          <w:p w14:paraId="59CF7646">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3AE4764C">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□与合同约定不相符，修改意见见附件。</w:t>
            </w:r>
          </w:p>
          <w:p w14:paraId="2C08A981">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□与合同约定相符，具体金额由造价工程师复核。</w:t>
            </w:r>
          </w:p>
          <w:p w14:paraId="57D2FB88">
            <w:pPr>
              <w:spacing w:line="360" w:lineRule="exact"/>
              <w:ind w:firstLine="435"/>
              <w:jc w:val="right"/>
              <w:rPr>
                <w:color w:val="000000" w:themeColor="text1"/>
                <w:szCs w:val="21"/>
                <w:highlight w:val="none"/>
                <w14:textFill>
                  <w14:solidFill>
                    <w14:schemeClr w14:val="tx1"/>
                  </w14:solidFill>
                </w14:textFill>
              </w:rPr>
            </w:pPr>
          </w:p>
          <w:p w14:paraId="112C7FD3">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36A9D705">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697" w:type="dxa"/>
          </w:tcPr>
          <w:p w14:paraId="5DAF27D5">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79D983F2">
            <w:pPr>
              <w:spacing w:line="36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你方提出的支付申请经复核，应支付预付款金额为(大写)元，（小写）</w:t>
            </w:r>
          </w:p>
          <w:p w14:paraId="384DB2C4">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元。</w:t>
            </w:r>
          </w:p>
          <w:p w14:paraId="5226FCD0">
            <w:pPr>
              <w:spacing w:line="360" w:lineRule="exact"/>
              <w:rPr>
                <w:color w:val="000000" w:themeColor="text1"/>
                <w:szCs w:val="21"/>
                <w:highlight w:val="none"/>
                <w:u w:val="single"/>
                <w14:textFill>
                  <w14:solidFill>
                    <w14:schemeClr w14:val="tx1"/>
                  </w14:solidFill>
                </w14:textFill>
              </w:rPr>
            </w:pPr>
          </w:p>
          <w:p w14:paraId="07599ADC">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2FA63908">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r>
      <w:tr w14:paraId="08FF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185" w:type="dxa"/>
            <w:gridSpan w:val="2"/>
          </w:tcPr>
          <w:p w14:paraId="2C99D88C">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420BEEAC">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18A8AFF9">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4CD81E38">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4E231E18">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2DB2766B">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116B5FD0">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64ED33EA">
      <w:pPr>
        <w:spacing w:before="156" w:beforeLines="50"/>
        <w:ind w:left="720" w:hanging="720" w:hangingChars="400"/>
        <w:rPr>
          <w:rFonts w:eastAsia="仿宋_GB2312"/>
          <w:color w:val="000000" w:themeColor="text1"/>
          <w:sz w:val="30"/>
          <w:szCs w:val="30"/>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72EE3807">
      <w:pPr>
        <w:spacing w:before="156" w:beforeLines="50"/>
        <w:ind w:left="1200" w:hanging="1200" w:hangingChars="400"/>
        <w:rPr>
          <w:rFonts w:eastAsia="仿宋_GB2312"/>
          <w:color w:val="000000" w:themeColor="text1"/>
          <w:sz w:val="30"/>
          <w:szCs w:val="30"/>
          <w:highlight w:val="none"/>
          <w14:textFill>
            <w14:solidFill>
              <w14:schemeClr w14:val="tx1"/>
            </w14:solidFill>
          </w14:textFill>
        </w:rPr>
      </w:pPr>
      <w:r>
        <w:rPr>
          <w:rFonts w:hint="eastAsia" w:eastAsia="仿宋_GB2312"/>
          <w:color w:val="000000" w:themeColor="text1"/>
          <w:sz w:val="30"/>
          <w:szCs w:val="30"/>
          <w:highlight w:val="none"/>
          <w14:textFill>
            <w14:solidFill>
              <w14:schemeClr w14:val="tx1"/>
            </w14:solidFill>
          </w14:textFill>
        </w:rPr>
        <w:t>附件11：</w:t>
      </w:r>
    </w:p>
    <w:p w14:paraId="7221664F">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进度款支付申请（核准）表</w:t>
      </w:r>
    </w:p>
    <w:p w14:paraId="36BF01EF">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52"/>
      </w:tblGrid>
      <w:tr w14:paraId="6F3D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8" w:hRule="atLeast"/>
          <w:jc w:val="center"/>
        </w:trPr>
        <w:tc>
          <w:tcPr>
            <w:tcW w:w="9072" w:type="dxa"/>
            <w:gridSpan w:val="2"/>
          </w:tcPr>
          <w:p w14:paraId="7000D346">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4ADB0609">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我方于至期间已完成了工作，根据施工合同的约定，现申请支付本期的合同款额为(大写)元，(小写)元，请予核准。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340"/>
              <w:gridCol w:w="1340"/>
              <w:gridCol w:w="1440"/>
              <w:gridCol w:w="1260"/>
              <w:gridCol w:w="931"/>
            </w:tblGrid>
            <w:tr w14:paraId="4FA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220CC33C">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340" w:type="dxa"/>
                  <w:vAlign w:val="center"/>
                </w:tcPr>
                <w:p w14:paraId="6B8F87BE">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340" w:type="dxa"/>
                  <w:vAlign w:val="center"/>
                </w:tcPr>
                <w:p w14:paraId="773A098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实际金额（元）</w:t>
                  </w:r>
                </w:p>
              </w:tc>
              <w:tc>
                <w:tcPr>
                  <w:tcW w:w="1440" w:type="dxa"/>
                  <w:vAlign w:val="center"/>
                </w:tcPr>
                <w:p w14:paraId="7D1FD90B">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1260" w:type="dxa"/>
                  <w:vAlign w:val="center"/>
                </w:tcPr>
                <w:p w14:paraId="0B5972F5">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931" w:type="dxa"/>
                  <w:vAlign w:val="center"/>
                </w:tcPr>
                <w:p w14:paraId="1C72C3F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5E2C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512841A">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340" w:type="dxa"/>
                </w:tcPr>
                <w:p w14:paraId="76D2A60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累计已完成的工程价款</w:t>
                  </w:r>
                </w:p>
              </w:tc>
              <w:tc>
                <w:tcPr>
                  <w:tcW w:w="1340" w:type="dxa"/>
                </w:tcPr>
                <w:p w14:paraId="7410DA2A">
                  <w:pPr>
                    <w:spacing w:line="280" w:lineRule="exact"/>
                    <w:rPr>
                      <w:color w:val="000000" w:themeColor="text1"/>
                      <w:szCs w:val="21"/>
                      <w:highlight w:val="none"/>
                      <w14:textFill>
                        <w14:solidFill>
                          <w14:schemeClr w14:val="tx1"/>
                        </w14:solidFill>
                      </w14:textFill>
                    </w:rPr>
                  </w:pPr>
                </w:p>
              </w:tc>
              <w:tc>
                <w:tcPr>
                  <w:tcW w:w="1440" w:type="dxa"/>
                </w:tcPr>
                <w:p w14:paraId="467BBA44">
                  <w:pPr>
                    <w:spacing w:line="280" w:lineRule="exact"/>
                    <w:rPr>
                      <w:color w:val="000000" w:themeColor="text1"/>
                      <w:szCs w:val="21"/>
                      <w:highlight w:val="none"/>
                      <w14:textFill>
                        <w14:solidFill>
                          <w14:schemeClr w14:val="tx1"/>
                        </w14:solidFill>
                      </w14:textFill>
                    </w:rPr>
                  </w:pPr>
                </w:p>
              </w:tc>
              <w:tc>
                <w:tcPr>
                  <w:tcW w:w="1260" w:type="dxa"/>
                </w:tcPr>
                <w:p w14:paraId="11FC761A">
                  <w:pPr>
                    <w:spacing w:line="280" w:lineRule="exact"/>
                    <w:rPr>
                      <w:color w:val="000000" w:themeColor="text1"/>
                      <w:szCs w:val="21"/>
                      <w:highlight w:val="none"/>
                      <w14:textFill>
                        <w14:solidFill>
                          <w14:schemeClr w14:val="tx1"/>
                        </w14:solidFill>
                      </w14:textFill>
                    </w:rPr>
                  </w:pPr>
                </w:p>
              </w:tc>
              <w:tc>
                <w:tcPr>
                  <w:tcW w:w="931" w:type="dxa"/>
                </w:tcPr>
                <w:p w14:paraId="35B771E9">
                  <w:pPr>
                    <w:spacing w:line="280" w:lineRule="exact"/>
                    <w:rPr>
                      <w:color w:val="000000" w:themeColor="text1"/>
                      <w:szCs w:val="21"/>
                      <w:highlight w:val="none"/>
                      <w14:textFill>
                        <w14:solidFill>
                          <w14:schemeClr w14:val="tx1"/>
                        </w14:solidFill>
                      </w14:textFill>
                    </w:rPr>
                  </w:pPr>
                </w:p>
              </w:tc>
            </w:tr>
            <w:tr w14:paraId="69B2C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D7EC22C">
                  <w:pPr>
                    <w:spacing w:line="280" w:lineRule="exact"/>
                    <w:jc w:val="center"/>
                    <w:rPr>
                      <w:color w:val="000000" w:themeColor="text1"/>
                      <w:szCs w:val="21"/>
                      <w:highlight w:val="none"/>
                      <w14:textFill>
                        <w14:solidFill>
                          <w14:schemeClr w14:val="tx1"/>
                        </w14:solidFill>
                      </w14:textFill>
                    </w:rPr>
                  </w:pPr>
                </w:p>
              </w:tc>
              <w:tc>
                <w:tcPr>
                  <w:tcW w:w="3340" w:type="dxa"/>
                </w:tcPr>
                <w:p w14:paraId="29BCB735">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0CB3D5D6">
                  <w:pPr>
                    <w:spacing w:line="280" w:lineRule="exact"/>
                    <w:rPr>
                      <w:color w:val="000000" w:themeColor="text1"/>
                      <w:szCs w:val="21"/>
                      <w:highlight w:val="none"/>
                      <w14:textFill>
                        <w14:solidFill>
                          <w14:schemeClr w14:val="tx1"/>
                        </w14:solidFill>
                      </w14:textFill>
                    </w:rPr>
                  </w:pPr>
                </w:p>
              </w:tc>
              <w:tc>
                <w:tcPr>
                  <w:tcW w:w="1440" w:type="dxa"/>
                </w:tcPr>
                <w:p w14:paraId="006AC28D">
                  <w:pPr>
                    <w:spacing w:line="280" w:lineRule="exact"/>
                    <w:rPr>
                      <w:color w:val="000000" w:themeColor="text1"/>
                      <w:szCs w:val="21"/>
                      <w:highlight w:val="none"/>
                      <w14:textFill>
                        <w14:solidFill>
                          <w14:schemeClr w14:val="tx1"/>
                        </w14:solidFill>
                      </w14:textFill>
                    </w:rPr>
                  </w:pPr>
                </w:p>
              </w:tc>
              <w:tc>
                <w:tcPr>
                  <w:tcW w:w="1260" w:type="dxa"/>
                </w:tcPr>
                <w:p w14:paraId="18821581">
                  <w:pPr>
                    <w:spacing w:line="280" w:lineRule="exact"/>
                    <w:rPr>
                      <w:color w:val="000000" w:themeColor="text1"/>
                      <w:szCs w:val="21"/>
                      <w:highlight w:val="none"/>
                      <w14:textFill>
                        <w14:solidFill>
                          <w14:schemeClr w14:val="tx1"/>
                        </w14:solidFill>
                      </w14:textFill>
                    </w:rPr>
                  </w:pPr>
                </w:p>
              </w:tc>
              <w:tc>
                <w:tcPr>
                  <w:tcW w:w="931" w:type="dxa"/>
                </w:tcPr>
                <w:p w14:paraId="5587C179">
                  <w:pPr>
                    <w:spacing w:line="280" w:lineRule="exact"/>
                    <w:rPr>
                      <w:color w:val="000000" w:themeColor="text1"/>
                      <w:szCs w:val="21"/>
                      <w:highlight w:val="none"/>
                      <w14:textFill>
                        <w14:solidFill>
                          <w14:schemeClr w14:val="tx1"/>
                        </w14:solidFill>
                      </w14:textFill>
                    </w:rPr>
                  </w:pPr>
                </w:p>
              </w:tc>
            </w:tr>
            <w:tr w14:paraId="4731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1DE0329">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340" w:type="dxa"/>
                </w:tcPr>
                <w:p w14:paraId="412329A3">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累计已实际支付的工程价款</w:t>
                  </w:r>
                </w:p>
              </w:tc>
              <w:tc>
                <w:tcPr>
                  <w:tcW w:w="1340" w:type="dxa"/>
                </w:tcPr>
                <w:p w14:paraId="7772F6A2">
                  <w:pPr>
                    <w:spacing w:line="280" w:lineRule="exact"/>
                    <w:rPr>
                      <w:color w:val="000000" w:themeColor="text1"/>
                      <w:szCs w:val="21"/>
                      <w:highlight w:val="none"/>
                      <w14:textFill>
                        <w14:solidFill>
                          <w14:schemeClr w14:val="tx1"/>
                        </w14:solidFill>
                      </w14:textFill>
                    </w:rPr>
                  </w:pPr>
                </w:p>
              </w:tc>
              <w:tc>
                <w:tcPr>
                  <w:tcW w:w="1440" w:type="dxa"/>
                </w:tcPr>
                <w:p w14:paraId="3CBD3706">
                  <w:pPr>
                    <w:spacing w:line="280" w:lineRule="exact"/>
                    <w:rPr>
                      <w:color w:val="000000" w:themeColor="text1"/>
                      <w:szCs w:val="21"/>
                      <w:highlight w:val="none"/>
                      <w14:textFill>
                        <w14:solidFill>
                          <w14:schemeClr w14:val="tx1"/>
                        </w14:solidFill>
                      </w14:textFill>
                    </w:rPr>
                  </w:pPr>
                </w:p>
              </w:tc>
              <w:tc>
                <w:tcPr>
                  <w:tcW w:w="1260" w:type="dxa"/>
                </w:tcPr>
                <w:p w14:paraId="6507264D">
                  <w:pPr>
                    <w:spacing w:line="280" w:lineRule="exact"/>
                    <w:rPr>
                      <w:color w:val="000000" w:themeColor="text1"/>
                      <w:szCs w:val="21"/>
                      <w:highlight w:val="none"/>
                      <w14:textFill>
                        <w14:solidFill>
                          <w14:schemeClr w14:val="tx1"/>
                        </w14:solidFill>
                      </w14:textFill>
                    </w:rPr>
                  </w:pPr>
                </w:p>
              </w:tc>
              <w:tc>
                <w:tcPr>
                  <w:tcW w:w="931" w:type="dxa"/>
                </w:tcPr>
                <w:p w14:paraId="0B8A98C8">
                  <w:pPr>
                    <w:spacing w:line="280" w:lineRule="exact"/>
                    <w:rPr>
                      <w:color w:val="000000" w:themeColor="text1"/>
                      <w:szCs w:val="21"/>
                      <w:highlight w:val="none"/>
                      <w14:textFill>
                        <w14:solidFill>
                          <w14:schemeClr w14:val="tx1"/>
                        </w14:solidFill>
                      </w14:textFill>
                    </w:rPr>
                  </w:pPr>
                </w:p>
              </w:tc>
            </w:tr>
            <w:tr w14:paraId="7782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D7F11D7">
                  <w:pPr>
                    <w:spacing w:line="280" w:lineRule="exact"/>
                    <w:jc w:val="center"/>
                    <w:rPr>
                      <w:color w:val="000000" w:themeColor="text1"/>
                      <w:szCs w:val="21"/>
                      <w:highlight w:val="none"/>
                      <w14:textFill>
                        <w14:solidFill>
                          <w14:schemeClr w14:val="tx1"/>
                        </w14:solidFill>
                      </w14:textFill>
                    </w:rPr>
                  </w:pPr>
                </w:p>
              </w:tc>
              <w:tc>
                <w:tcPr>
                  <w:tcW w:w="3340" w:type="dxa"/>
                </w:tcPr>
                <w:p w14:paraId="5A77750C">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70A487A6">
                  <w:pPr>
                    <w:spacing w:line="280" w:lineRule="exact"/>
                    <w:rPr>
                      <w:color w:val="000000" w:themeColor="text1"/>
                      <w:szCs w:val="21"/>
                      <w:highlight w:val="none"/>
                      <w14:textFill>
                        <w14:solidFill>
                          <w14:schemeClr w14:val="tx1"/>
                        </w14:solidFill>
                      </w14:textFill>
                    </w:rPr>
                  </w:pPr>
                </w:p>
              </w:tc>
              <w:tc>
                <w:tcPr>
                  <w:tcW w:w="1440" w:type="dxa"/>
                </w:tcPr>
                <w:p w14:paraId="4690F8C7">
                  <w:pPr>
                    <w:spacing w:line="280" w:lineRule="exact"/>
                    <w:rPr>
                      <w:color w:val="000000" w:themeColor="text1"/>
                      <w:szCs w:val="21"/>
                      <w:highlight w:val="none"/>
                      <w14:textFill>
                        <w14:solidFill>
                          <w14:schemeClr w14:val="tx1"/>
                        </w14:solidFill>
                      </w14:textFill>
                    </w:rPr>
                  </w:pPr>
                </w:p>
              </w:tc>
              <w:tc>
                <w:tcPr>
                  <w:tcW w:w="1260" w:type="dxa"/>
                </w:tcPr>
                <w:p w14:paraId="4F06AAF8">
                  <w:pPr>
                    <w:spacing w:line="280" w:lineRule="exact"/>
                    <w:rPr>
                      <w:color w:val="000000" w:themeColor="text1"/>
                      <w:szCs w:val="21"/>
                      <w:highlight w:val="none"/>
                      <w14:textFill>
                        <w14:solidFill>
                          <w14:schemeClr w14:val="tx1"/>
                        </w14:solidFill>
                      </w14:textFill>
                    </w:rPr>
                  </w:pPr>
                </w:p>
              </w:tc>
              <w:tc>
                <w:tcPr>
                  <w:tcW w:w="931" w:type="dxa"/>
                </w:tcPr>
                <w:p w14:paraId="157FD895">
                  <w:pPr>
                    <w:spacing w:line="280" w:lineRule="exact"/>
                    <w:rPr>
                      <w:color w:val="000000" w:themeColor="text1"/>
                      <w:szCs w:val="21"/>
                      <w:highlight w:val="none"/>
                      <w14:textFill>
                        <w14:solidFill>
                          <w14:schemeClr w14:val="tx1"/>
                        </w14:solidFill>
                      </w14:textFill>
                    </w:rPr>
                  </w:pPr>
                </w:p>
              </w:tc>
            </w:tr>
            <w:tr w14:paraId="0871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EF26034">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340" w:type="dxa"/>
                </w:tcPr>
                <w:p w14:paraId="5BADCCC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本周期已完成的工程价款</w:t>
                  </w:r>
                </w:p>
              </w:tc>
              <w:tc>
                <w:tcPr>
                  <w:tcW w:w="1340" w:type="dxa"/>
                </w:tcPr>
                <w:p w14:paraId="22B7DCC5">
                  <w:pPr>
                    <w:spacing w:line="280" w:lineRule="exact"/>
                    <w:rPr>
                      <w:color w:val="000000" w:themeColor="text1"/>
                      <w:szCs w:val="21"/>
                      <w:highlight w:val="none"/>
                      <w14:textFill>
                        <w14:solidFill>
                          <w14:schemeClr w14:val="tx1"/>
                        </w14:solidFill>
                      </w14:textFill>
                    </w:rPr>
                  </w:pPr>
                </w:p>
              </w:tc>
              <w:tc>
                <w:tcPr>
                  <w:tcW w:w="1440" w:type="dxa"/>
                </w:tcPr>
                <w:p w14:paraId="339C4AC9">
                  <w:pPr>
                    <w:spacing w:line="280" w:lineRule="exact"/>
                    <w:rPr>
                      <w:color w:val="000000" w:themeColor="text1"/>
                      <w:szCs w:val="21"/>
                      <w:highlight w:val="none"/>
                      <w14:textFill>
                        <w14:solidFill>
                          <w14:schemeClr w14:val="tx1"/>
                        </w14:solidFill>
                      </w14:textFill>
                    </w:rPr>
                  </w:pPr>
                </w:p>
              </w:tc>
              <w:tc>
                <w:tcPr>
                  <w:tcW w:w="1260" w:type="dxa"/>
                </w:tcPr>
                <w:p w14:paraId="6D711023">
                  <w:pPr>
                    <w:spacing w:line="280" w:lineRule="exact"/>
                    <w:rPr>
                      <w:color w:val="000000" w:themeColor="text1"/>
                      <w:szCs w:val="21"/>
                      <w:highlight w:val="none"/>
                      <w14:textFill>
                        <w14:solidFill>
                          <w14:schemeClr w14:val="tx1"/>
                        </w14:solidFill>
                      </w14:textFill>
                    </w:rPr>
                  </w:pPr>
                </w:p>
              </w:tc>
              <w:tc>
                <w:tcPr>
                  <w:tcW w:w="931" w:type="dxa"/>
                </w:tcPr>
                <w:p w14:paraId="65AB82F4">
                  <w:pPr>
                    <w:spacing w:line="280" w:lineRule="exact"/>
                    <w:rPr>
                      <w:color w:val="000000" w:themeColor="text1"/>
                      <w:szCs w:val="21"/>
                      <w:highlight w:val="none"/>
                      <w14:textFill>
                        <w14:solidFill>
                          <w14:schemeClr w14:val="tx1"/>
                        </w14:solidFill>
                      </w14:textFill>
                    </w:rPr>
                  </w:pPr>
                </w:p>
              </w:tc>
            </w:tr>
            <w:tr w14:paraId="2D79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BAFAD93">
                  <w:pPr>
                    <w:spacing w:line="280" w:lineRule="exact"/>
                    <w:jc w:val="center"/>
                    <w:rPr>
                      <w:color w:val="000000" w:themeColor="text1"/>
                      <w:szCs w:val="21"/>
                      <w:highlight w:val="none"/>
                      <w14:textFill>
                        <w14:solidFill>
                          <w14:schemeClr w14:val="tx1"/>
                        </w14:solidFill>
                      </w14:textFill>
                    </w:rPr>
                  </w:pPr>
                </w:p>
              </w:tc>
              <w:tc>
                <w:tcPr>
                  <w:tcW w:w="3340" w:type="dxa"/>
                </w:tcPr>
                <w:p w14:paraId="6E67FACC">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0A32CCE2">
                  <w:pPr>
                    <w:spacing w:line="280" w:lineRule="exact"/>
                    <w:rPr>
                      <w:color w:val="000000" w:themeColor="text1"/>
                      <w:szCs w:val="21"/>
                      <w:highlight w:val="none"/>
                      <w14:textFill>
                        <w14:solidFill>
                          <w14:schemeClr w14:val="tx1"/>
                        </w14:solidFill>
                      </w14:textFill>
                    </w:rPr>
                  </w:pPr>
                </w:p>
              </w:tc>
              <w:tc>
                <w:tcPr>
                  <w:tcW w:w="1440" w:type="dxa"/>
                </w:tcPr>
                <w:p w14:paraId="348E3966">
                  <w:pPr>
                    <w:spacing w:line="280" w:lineRule="exact"/>
                    <w:rPr>
                      <w:color w:val="000000" w:themeColor="text1"/>
                      <w:szCs w:val="21"/>
                      <w:highlight w:val="none"/>
                      <w14:textFill>
                        <w14:solidFill>
                          <w14:schemeClr w14:val="tx1"/>
                        </w14:solidFill>
                      </w14:textFill>
                    </w:rPr>
                  </w:pPr>
                </w:p>
              </w:tc>
              <w:tc>
                <w:tcPr>
                  <w:tcW w:w="1260" w:type="dxa"/>
                </w:tcPr>
                <w:p w14:paraId="2A20010B">
                  <w:pPr>
                    <w:spacing w:line="280" w:lineRule="exact"/>
                    <w:rPr>
                      <w:color w:val="000000" w:themeColor="text1"/>
                      <w:szCs w:val="21"/>
                      <w:highlight w:val="none"/>
                      <w14:textFill>
                        <w14:solidFill>
                          <w14:schemeClr w14:val="tx1"/>
                        </w14:solidFill>
                      </w14:textFill>
                    </w:rPr>
                  </w:pPr>
                </w:p>
              </w:tc>
              <w:tc>
                <w:tcPr>
                  <w:tcW w:w="931" w:type="dxa"/>
                </w:tcPr>
                <w:p w14:paraId="3A87F1C2">
                  <w:pPr>
                    <w:spacing w:line="280" w:lineRule="exact"/>
                    <w:rPr>
                      <w:color w:val="000000" w:themeColor="text1"/>
                      <w:szCs w:val="21"/>
                      <w:highlight w:val="none"/>
                      <w14:textFill>
                        <w14:solidFill>
                          <w14:schemeClr w14:val="tx1"/>
                        </w14:solidFill>
                      </w14:textFill>
                    </w:rPr>
                  </w:pPr>
                </w:p>
              </w:tc>
            </w:tr>
            <w:tr w14:paraId="30963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8C914D6">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340" w:type="dxa"/>
                </w:tcPr>
                <w:p w14:paraId="2537CFF5">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本周期应扣减的金额</w:t>
                  </w:r>
                </w:p>
              </w:tc>
              <w:tc>
                <w:tcPr>
                  <w:tcW w:w="1340" w:type="dxa"/>
                </w:tcPr>
                <w:p w14:paraId="479EA89B">
                  <w:pPr>
                    <w:spacing w:line="280" w:lineRule="exact"/>
                    <w:rPr>
                      <w:color w:val="000000" w:themeColor="text1"/>
                      <w:szCs w:val="21"/>
                      <w:highlight w:val="none"/>
                      <w14:textFill>
                        <w14:solidFill>
                          <w14:schemeClr w14:val="tx1"/>
                        </w14:solidFill>
                      </w14:textFill>
                    </w:rPr>
                  </w:pPr>
                </w:p>
              </w:tc>
              <w:tc>
                <w:tcPr>
                  <w:tcW w:w="1440" w:type="dxa"/>
                </w:tcPr>
                <w:p w14:paraId="36D40FAA">
                  <w:pPr>
                    <w:spacing w:line="280" w:lineRule="exact"/>
                    <w:rPr>
                      <w:color w:val="000000" w:themeColor="text1"/>
                      <w:szCs w:val="21"/>
                      <w:highlight w:val="none"/>
                      <w14:textFill>
                        <w14:solidFill>
                          <w14:schemeClr w14:val="tx1"/>
                        </w14:solidFill>
                      </w14:textFill>
                    </w:rPr>
                  </w:pPr>
                </w:p>
              </w:tc>
              <w:tc>
                <w:tcPr>
                  <w:tcW w:w="1260" w:type="dxa"/>
                </w:tcPr>
                <w:p w14:paraId="42D6BB53">
                  <w:pPr>
                    <w:spacing w:line="280" w:lineRule="exact"/>
                    <w:rPr>
                      <w:color w:val="000000" w:themeColor="text1"/>
                      <w:szCs w:val="21"/>
                      <w:highlight w:val="none"/>
                      <w14:textFill>
                        <w14:solidFill>
                          <w14:schemeClr w14:val="tx1"/>
                        </w14:solidFill>
                      </w14:textFill>
                    </w:rPr>
                  </w:pPr>
                </w:p>
              </w:tc>
              <w:tc>
                <w:tcPr>
                  <w:tcW w:w="931" w:type="dxa"/>
                </w:tcPr>
                <w:p w14:paraId="38F93735">
                  <w:pPr>
                    <w:spacing w:line="280" w:lineRule="exact"/>
                    <w:rPr>
                      <w:color w:val="000000" w:themeColor="text1"/>
                      <w:szCs w:val="21"/>
                      <w:highlight w:val="none"/>
                      <w14:textFill>
                        <w14:solidFill>
                          <w14:schemeClr w14:val="tx1"/>
                        </w14:solidFill>
                      </w14:textFill>
                    </w:rPr>
                  </w:pPr>
                </w:p>
              </w:tc>
            </w:tr>
            <w:tr w14:paraId="421C0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1BC8A5F9">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4.1</w:t>
                  </w:r>
                </w:p>
              </w:tc>
              <w:tc>
                <w:tcPr>
                  <w:tcW w:w="3340" w:type="dxa"/>
                </w:tcPr>
                <w:p w14:paraId="42000E97">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本周期实际应抵扣的预付款</w:t>
                  </w:r>
                </w:p>
              </w:tc>
              <w:tc>
                <w:tcPr>
                  <w:tcW w:w="1340" w:type="dxa"/>
                </w:tcPr>
                <w:p w14:paraId="114D7503">
                  <w:pPr>
                    <w:spacing w:line="280" w:lineRule="exact"/>
                    <w:rPr>
                      <w:color w:val="000000" w:themeColor="text1"/>
                      <w:szCs w:val="21"/>
                      <w:highlight w:val="none"/>
                      <w14:textFill>
                        <w14:solidFill>
                          <w14:schemeClr w14:val="tx1"/>
                        </w14:solidFill>
                      </w14:textFill>
                    </w:rPr>
                  </w:pPr>
                </w:p>
              </w:tc>
              <w:tc>
                <w:tcPr>
                  <w:tcW w:w="1440" w:type="dxa"/>
                </w:tcPr>
                <w:p w14:paraId="41EB7B6C">
                  <w:pPr>
                    <w:spacing w:line="280" w:lineRule="exact"/>
                    <w:rPr>
                      <w:color w:val="000000" w:themeColor="text1"/>
                      <w:szCs w:val="21"/>
                      <w:highlight w:val="none"/>
                      <w14:textFill>
                        <w14:solidFill>
                          <w14:schemeClr w14:val="tx1"/>
                        </w14:solidFill>
                      </w14:textFill>
                    </w:rPr>
                  </w:pPr>
                </w:p>
              </w:tc>
              <w:tc>
                <w:tcPr>
                  <w:tcW w:w="1260" w:type="dxa"/>
                </w:tcPr>
                <w:p w14:paraId="668F866D">
                  <w:pPr>
                    <w:spacing w:line="280" w:lineRule="exact"/>
                    <w:rPr>
                      <w:color w:val="000000" w:themeColor="text1"/>
                      <w:szCs w:val="21"/>
                      <w:highlight w:val="none"/>
                      <w14:textFill>
                        <w14:solidFill>
                          <w14:schemeClr w14:val="tx1"/>
                        </w14:solidFill>
                      </w14:textFill>
                    </w:rPr>
                  </w:pPr>
                </w:p>
              </w:tc>
              <w:tc>
                <w:tcPr>
                  <w:tcW w:w="931" w:type="dxa"/>
                </w:tcPr>
                <w:p w14:paraId="11508D2D">
                  <w:pPr>
                    <w:spacing w:line="280" w:lineRule="exact"/>
                    <w:rPr>
                      <w:color w:val="000000" w:themeColor="text1"/>
                      <w:szCs w:val="21"/>
                      <w:highlight w:val="none"/>
                      <w14:textFill>
                        <w14:solidFill>
                          <w14:schemeClr w14:val="tx1"/>
                        </w14:solidFill>
                      </w14:textFill>
                    </w:rPr>
                  </w:pPr>
                </w:p>
              </w:tc>
            </w:tr>
            <w:tr w14:paraId="7475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CC68E9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4.2</w:t>
                  </w:r>
                </w:p>
              </w:tc>
              <w:tc>
                <w:tcPr>
                  <w:tcW w:w="3340" w:type="dxa"/>
                </w:tcPr>
                <w:p w14:paraId="5A446D0F">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本周期应扣减的金额</w:t>
                  </w:r>
                </w:p>
              </w:tc>
              <w:tc>
                <w:tcPr>
                  <w:tcW w:w="1340" w:type="dxa"/>
                </w:tcPr>
                <w:p w14:paraId="586C9456">
                  <w:pPr>
                    <w:spacing w:line="280" w:lineRule="exact"/>
                    <w:rPr>
                      <w:color w:val="000000" w:themeColor="text1"/>
                      <w:szCs w:val="21"/>
                      <w:highlight w:val="none"/>
                      <w14:textFill>
                        <w14:solidFill>
                          <w14:schemeClr w14:val="tx1"/>
                        </w14:solidFill>
                      </w14:textFill>
                    </w:rPr>
                  </w:pPr>
                </w:p>
              </w:tc>
              <w:tc>
                <w:tcPr>
                  <w:tcW w:w="1440" w:type="dxa"/>
                </w:tcPr>
                <w:p w14:paraId="1AB8A70F">
                  <w:pPr>
                    <w:spacing w:line="280" w:lineRule="exact"/>
                    <w:rPr>
                      <w:color w:val="000000" w:themeColor="text1"/>
                      <w:szCs w:val="21"/>
                      <w:highlight w:val="none"/>
                      <w14:textFill>
                        <w14:solidFill>
                          <w14:schemeClr w14:val="tx1"/>
                        </w14:solidFill>
                      </w14:textFill>
                    </w:rPr>
                  </w:pPr>
                </w:p>
              </w:tc>
              <w:tc>
                <w:tcPr>
                  <w:tcW w:w="1260" w:type="dxa"/>
                </w:tcPr>
                <w:p w14:paraId="0BFEC833">
                  <w:pPr>
                    <w:spacing w:line="280" w:lineRule="exact"/>
                    <w:rPr>
                      <w:color w:val="000000" w:themeColor="text1"/>
                      <w:szCs w:val="21"/>
                      <w:highlight w:val="none"/>
                      <w14:textFill>
                        <w14:solidFill>
                          <w14:schemeClr w14:val="tx1"/>
                        </w14:solidFill>
                      </w14:textFill>
                    </w:rPr>
                  </w:pPr>
                </w:p>
              </w:tc>
              <w:tc>
                <w:tcPr>
                  <w:tcW w:w="931" w:type="dxa"/>
                </w:tcPr>
                <w:p w14:paraId="342B6425">
                  <w:pPr>
                    <w:spacing w:line="280" w:lineRule="exact"/>
                    <w:rPr>
                      <w:color w:val="000000" w:themeColor="text1"/>
                      <w:szCs w:val="21"/>
                      <w:highlight w:val="none"/>
                      <w14:textFill>
                        <w14:solidFill>
                          <w14:schemeClr w14:val="tx1"/>
                        </w14:solidFill>
                      </w14:textFill>
                    </w:rPr>
                  </w:pPr>
                </w:p>
              </w:tc>
            </w:tr>
            <w:tr w14:paraId="37CD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448B871">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5</w:t>
                  </w:r>
                </w:p>
              </w:tc>
              <w:tc>
                <w:tcPr>
                  <w:tcW w:w="3340" w:type="dxa"/>
                </w:tcPr>
                <w:p w14:paraId="65822441">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本周期应支付的合同价款</w:t>
                  </w:r>
                </w:p>
              </w:tc>
              <w:tc>
                <w:tcPr>
                  <w:tcW w:w="1340" w:type="dxa"/>
                </w:tcPr>
                <w:p w14:paraId="30168BCF">
                  <w:pPr>
                    <w:spacing w:line="280" w:lineRule="exact"/>
                    <w:rPr>
                      <w:color w:val="000000" w:themeColor="text1"/>
                      <w:szCs w:val="21"/>
                      <w:highlight w:val="none"/>
                      <w14:textFill>
                        <w14:solidFill>
                          <w14:schemeClr w14:val="tx1"/>
                        </w14:solidFill>
                      </w14:textFill>
                    </w:rPr>
                  </w:pPr>
                </w:p>
              </w:tc>
              <w:tc>
                <w:tcPr>
                  <w:tcW w:w="1440" w:type="dxa"/>
                </w:tcPr>
                <w:p w14:paraId="75DAC214">
                  <w:pPr>
                    <w:spacing w:line="280" w:lineRule="exact"/>
                    <w:rPr>
                      <w:color w:val="000000" w:themeColor="text1"/>
                      <w:szCs w:val="21"/>
                      <w:highlight w:val="none"/>
                      <w14:textFill>
                        <w14:solidFill>
                          <w14:schemeClr w14:val="tx1"/>
                        </w14:solidFill>
                      </w14:textFill>
                    </w:rPr>
                  </w:pPr>
                </w:p>
              </w:tc>
              <w:tc>
                <w:tcPr>
                  <w:tcW w:w="1260" w:type="dxa"/>
                </w:tcPr>
                <w:p w14:paraId="4AF90D70">
                  <w:pPr>
                    <w:spacing w:line="280" w:lineRule="exact"/>
                    <w:rPr>
                      <w:color w:val="000000" w:themeColor="text1"/>
                      <w:szCs w:val="21"/>
                      <w:highlight w:val="none"/>
                      <w14:textFill>
                        <w14:solidFill>
                          <w14:schemeClr w14:val="tx1"/>
                        </w14:solidFill>
                      </w14:textFill>
                    </w:rPr>
                  </w:pPr>
                </w:p>
              </w:tc>
              <w:tc>
                <w:tcPr>
                  <w:tcW w:w="931" w:type="dxa"/>
                </w:tcPr>
                <w:p w14:paraId="2A973888">
                  <w:pPr>
                    <w:spacing w:line="280" w:lineRule="exact"/>
                    <w:rPr>
                      <w:color w:val="000000" w:themeColor="text1"/>
                      <w:szCs w:val="21"/>
                      <w:highlight w:val="none"/>
                      <w14:textFill>
                        <w14:solidFill>
                          <w14:schemeClr w14:val="tx1"/>
                        </w14:solidFill>
                      </w14:textFill>
                    </w:rPr>
                  </w:pPr>
                </w:p>
              </w:tc>
            </w:tr>
            <w:tr w14:paraId="541E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F1E6B35">
                  <w:pPr>
                    <w:spacing w:line="280" w:lineRule="exact"/>
                    <w:jc w:val="center"/>
                    <w:rPr>
                      <w:color w:val="000000" w:themeColor="text1"/>
                      <w:szCs w:val="21"/>
                      <w:highlight w:val="none"/>
                      <w14:textFill>
                        <w14:solidFill>
                          <w14:schemeClr w14:val="tx1"/>
                        </w14:solidFill>
                      </w14:textFill>
                    </w:rPr>
                  </w:pPr>
                </w:p>
              </w:tc>
              <w:tc>
                <w:tcPr>
                  <w:tcW w:w="3340" w:type="dxa"/>
                </w:tcPr>
                <w:p w14:paraId="1C9EBB51">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其中：人工费</w:t>
                  </w:r>
                </w:p>
              </w:tc>
              <w:tc>
                <w:tcPr>
                  <w:tcW w:w="1340" w:type="dxa"/>
                </w:tcPr>
                <w:p w14:paraId="3A193597">
                  <w:pPr>
                    <w:spacing w:line="280" w:lineRule="exact"/>
                    <w:rPr>
                      <w:color w:val="000000" w:themeColor="text1"/>
                      <w:szCs w:val="21"/>
                      <w:highlight w:val="none"/>
                      <w14:textFill>
                        <w14:solidFill>
                          <w14:schemeClr w14:val="tx1"/>
                        </w14:solidFill>
                      </w14:textFill>
                    </w:rPr>
                  </w:pPr>
                </w:p>
              </w:tc>
              <w:tc>
                <w:tcPr>
                  <w:tcW w:w="1440" w:type="dxa"/>
                </w:tcPr>
                <w:p w14:paraId="23DB02A6">
                  <w:pPr>
                    <w:spacing w:line="280" w:lineRule="exact"/>
                    <w:rPr>
                      <w:color w:val="000000" w:themeColor="text1"/>
                      <w:szCs w:val="21"/>
                      <w:highlight w:val="none"/>
                      <w14:textFill>
                        <w14:solidFill>
                          <w14:schemeClr w14:val="tx1"/>
                        </w14:solidFill>
                      </w14:textFill>
                    </w:rPr>
                  </w:pPr>
                </w:p>
              </w:tc>
              <w:tc>
                <w:tcPr>
                  <w:tcW w:w="1260" w:type="dxa"/>
                </w:tcPr>
                <w:p w14:paraId="0F38EE15">
                  <w:pPr>
                    <w:spacing w:line="280" w:lineRule="exact"/>
                    <w:rPr>
                      <w:color w:val="000000" w:themeColor="text1"/>
                      <w:szCs w:val="21"/>
                      <w:highlight w:val="none"/>
                      <w14:textFill>
                        <w14:solidFill>
                          <w14:schemeClr w14:val="tx1"/>
                        </w14:solidFill>
                      </w14:textFill>
                    </w:rPr>
                  </w:pPr>
                </w:p>
              </w:tc>
              <w:tc>
                <w:tcPr>
                  <w:tcW w:w="931" w:type="dxa"/>
                </w:tcPr>
                <w:p w14:paraId="78E087BA">
                  <w:pPr>
                    <w:spacing w:line="280" w:lineRule="exact"/>
                    <w:rPr>
                      <w:color w:val="000000" w:themeColor="text1"/>
                      <w:szCs w:val="21"/>
                      <w:highlight w:val="none"/>
                      <w14:textFill>
                        <w14:solidFill>
                          <w14:schemeClr w14:val="tx1"/>
                        </w14:solidFill>
                      </w14:textFill>
                    </w:rPr>
                  </w:pPr>
                </w:p>
              </w:tc>
            </w:tr>
          </w:tbl>
          <w:p w14:paraId="2F8F7587">
            <w:pPr>
              <w:wordWrap w:val="0"/>
              <w:spacing w:line="400" w:lineRule="exact"/>
              <w:ind w:right="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附：上述3、4详见附件清单。</w:t>
            </w:r>
          </w:p>
          <w:p w14:paraId="2472F578">
            <w:pPr>
              <w:wordWrap w:val="0"/>
              <w:spacing w:line="400" w:lineRule="exact"/>
              <w:ind w:right="42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4691A37E">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51B4A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2" w:hRule="atLeast"/>
          <w:jc w:val="center"/>
        </w:trPr>
        <w:tc>
          <w:tcPr>
            <w:tcW w:w="4520" w:type="dxa"/>
          </w:tcPr>
          <w:p w14:paraId="4E4D49A2">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1BF33F68">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□与实际施工情况不相符，修改意见见附件。</w:t>
            </w:r>
          </w:p>
          <w:p w14:paraId="30C4AFC1">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□与实际施工情况相符，具体金额由造价工程师复核。</w:t>
            </w:r>
          </w:p>
          <w:p w14:paraId="21415EFD">
            <w:pPr>
              <w:spacing w:line="360" w:lineRule="exact"/>
              <w:ind w:firstLine="435"/>
              <w:jc w:val="right"/>
              <w:rPr>
                <w:color w:val="000000" w:themeColor="text1"/>
                <w:szCs w:val="21"/>
                <w:highlight w:val="none"/>
                <w14:textFill>
                  <w14:solidFill>
                    <w14:schemeClr w14:val="tx1"/>
                  </w14:solidFill>
                </w14:textFill>
              </w:rPr>
            </w:pPr>
          </w:p>
          <w:p w14:paraId="66150E33">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4834B49A">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552" w:type="dxa"/>
          </w:tcPr>
          <w:p w14:paraId="07B9D879">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0DA1FEE0">
            <w:pPr>
              <w:spacing w:line="36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你方提出的支付申请经复核，本周期已完成工程价款为(大写)元，（小写）</w:t>
            </w:r>
          </w:p>
          <w:p w14:paraId="3347BE16">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元，本期间应支付金额为（大写）</w:t>
            </w:r>
          </w:p>
          <w:p w14:paraId="7652B8EC">
            <w:pPr>
              <w:spacing w:line="360" w:lineRule="exac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元，（小写）元。</w:t>
            </w:r>
          </w:p>
          <w:p w14:paraId="26B609B5">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5A41FCBF">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r w14:paraId="6619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78960F7A">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2B618229">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7A3D374B">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4729AC44">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0DC9A586">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7B779390">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203C6901">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70D081F9">
      <w:pPr>
        <w:spacing w:before="156" w:beforeLines="50"/>
        <w:ind w:left="720" w:hanging="720" w:hangingChars="4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10257006">
      <w:pPr>
        <w:jc w:val="left"/>
        <w:rPr>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附件12</w:t>
      </w:r>
    </w:p>
    <w:p w14:paraId="22DD48BB">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竣工结算款支付申请（核准）表</w:t>
      </w:r>
    </w:p>
    <w:p w14:paraId="7ACCE7A1">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51DB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0" w:hRule="atLeast"/>
          <w:jc w:val="center"/>
        </w:trPr>
        <w:tc>
          <w:tcPr>
            <w:tcW w:w="9072" w:type="dxa"/>
            <w:gridSpan w:val="2"/>
          </w:tcPr>
          <w:p w14:paraId="225BA5AA">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5B7F653E">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我方于至期间已完成了合同约定的工作，根据施工合同的约定，现申请支付竣工结算的工程款额为(大写)元，(小写)元，请予核准。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2BA7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1139018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420" w:type="dxa"/>
                  <w:vAlign w:val="center"/>
                </w:tcPr>
                <w:p w14:paraId="7C552335">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620" w:type="dxa"/>
                  <w:vAlign w:val="center"/>
                </w:tcPr>
                <w:p w14:paraId="5E0BCCF9">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1620" w:type="dxa"/>
                  <w:vAlign w:val="center"/>
                </w:tcPr>
                <w:p w14:paraId="1F9F0C38">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1651" w:type="dxa"/>
                  <w:vAlign w:val="center"/>
                </w:tcPr>
                <w:p w14:paraId="7FD2966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369BE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02AA8D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420" w:type="dxa"/>
                </w:tcPr>
                <w:p w14:paraId="7C76CACA">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竣工结算合同价款总额</w:t>
                  </w:r>
                </w:p>
              </w:tc>
              <w:tc>
                <w:tcPr>
                  <w:tcW w:w="1620" w:type="dxa"/>
                </w:tcPr>
                <w:p w14:paraId="2F816128">
                  <w:pPr>
                    <w:spacing w:line="280" w:lineRule="exact"/>
                    <w:rPr>
                      <w:color w:val="000000" w:themeColor="text1"/>
                      <w:szCs w:val="21"/>
                      <w:highlight w:val="none"/>
                      <w14:textFill>
                        <w14:solidFill>
                          <w14:schemeClr w14:val="tx1"/>
                        </w14:solidFill>
                      </w14:textFill>
                    </w:rPr>
                  </w:pPr>
                </w:p>
              </w:tc>
              <w:tc>
                <w:tcPr>
                  <w:tcW w:w="1620" w:type="dxa"/>
                </w:tcPr>
                <w:p w14:paraId="425FA5EE">
                  <w:pPr>
                    <w:spacing w:line="280" w:lineRule="exact"/>
                    <w:rPr>
                      <w:color w:val="000000" w:themeColor="text1"/>
                      <w:szCs w:val="21"/>
                      <w:highlight w:val="none"/>
                      <w14:textFill>
                        <w14:solidFill>
                          <w14:schemeClr w14:val="tx1"/>
                        </w14:solidFill>
                      </w14:textFill>
                    </w:rPr>
                  </w:pPr>
                </w:p>
              </w:tc>
              <w:tc>
                <w:tcPr>
                  <w:tcW w:w="1651" w:type="dxa"/>
                </w:tcPr>
                <w:p w14:paraId="30CFA91A">
                  <w:pPr>
                    <w:spacing w:line="280" w:lineRule="exact"/>
                    <w:rPr>
                      <w:color w:val="000000" w:themeColor="text1"/>
                      <w:szCs w:val="21"/>
                      <w:highlight w:val="none"/>
                      <w14:textFill>
                        <w14:solidFill>
                          <w14:schemeClr w14:val="tx1"/>
                        </w14:solidFill>
                      </w14:textFill>
                    </w:rPr>
                  </w:pPr>
                </w:p>
              </w:tc>
            </w:tr>
            <w:tr w14:paraId="7B666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CFD7E34">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420" w:type="dxa"/>
                </w:tcPr>
                <w:p w14:paraId="73509FA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累计已实际支付的合同价款</w:t>
                  </w:r>
                </w:p>
              </w:tc>
              <w:tc>
                <w:tcPr>
                  <w:tcW w:w="1620" w:type="dxa"/>
                </w:tcPr>
                <w:p w14:paraId="6D1EAEA0">
                  <w:pPr>
                    <w:spacing w:line="280" w:lineRule="exact"/>
                    <w:rPr>
                      <w:color w:val="000000" w:themeColor="text1"/>
                      <w:szCs w:val="21"/>
                      <w:highlight w:val="none"/>
                      <w14:textFill>
                        <w14:solidFill>
                          <w14:schemeClr w14:val="tx1"/>
                        </w14:solidFill>
                      </w14:textFill>
                    </w:rPr>
                  </w:pPr>
                </w:p>
              </w:tc>
              <w:tc>
                <w:tcPr>
                  <w:tcW w:w="1620" w:type="dxa"/>
                </w:tcPr>
                <w:p w14:paraId="29F5FA54">
                  <w:pPr>
                    <w:spacing w:line="280" w:lineRule="exact"/>
                    <w:rPr>
                      <w:color w:val="000000" w:themeColor="text1"/>
                      <w:szCs w:val="21"/>
                      <w:highlight w:val="none"/>
                      <w14:textFill>
                        <w14:solidFill>
                          <w14:schemeClr w14:val="tx1"/>
                        </w14:solidFill>
                      </w14:textFill>
                    </w:rPr>
                  </w:pPr>
                </w:p>
              </w:tc>
              <w:tc>
                <w:tcPr>
                  <w:tcW w:w="1651" w:type="dxa"/>
                </w:tcPr>
                <w:p w14:paraId="439C322D">
                  <w:pPr>
                    <w:spacing w:line="280" w:lineRule="exact"/>
                    <w:rPr>
                      <w:color w:val="000000" w:themeColor="text1"/>
                      <w:szCs w:val="21"/>
                      <w:highlight w:val="none"/>
                      <w14:textFill>
                        <w14:solidFill>
                          <w14:schemeClr w14:val="tx1"/>
                        </w14:solidFill>
                      </w14:textFill>
                    </w:rPr>
                  </w:pPr>
                </w:p>
              </w:tc>
            </w:tr>
            <w:tr w14:paraId="0B42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98327A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420" w:type="dxa"/>
                </w:tcPr>
                <w:p w14:paraId="3B0BDD9B">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应预留的质量保证金</w:t>
                  </w:r>
                </w:p>
              </w:tc>
              <w:tc>
                <w:tcPr>
                  <w:tcW w:w="1620" w:type="dxa"/>
                </w:tcPr>
                <w:p w14:paraId="14EF4FE6">
                  <w:pPr>
                    <w:spacing w:line="280" w:lineRule="exact"/>
                    <w:rPr>
                      <w:color w:val="000000" w:themeColor="text1"/>
                      <w:szCs w:val="21"/>
                      <w:highlight w:val="none"/>
                      <w14:textFill>
                        <w14:solidFill>
                          <w14:schemeClr w14:val="tx1"/>
                        </w14:solidFill>
                      </w14:textFill>
                    </w:rPr>
                  </w:pPr>
                </w:p>
              </w:tc>
              <w:tc>
                <w:tcPr>
                  <w:tcW w:w="1620" w:type="dxa"/>
                </w:tcPr>
                <w:p w14:paraId="4FA4048B">
                  <w:pPr>
                    <w:spacing w:line="280" w:lineRule="exact"/>
                    <w:rPr>
                      <w:color w:val="000000" w:themeColor="text1"/>
                      <w:szCs w:val="21"/>
                      <w:highlight w:val="none"/>
                      <w14:textFill>
                        <w14:solidFill>
                          <w14:schemeClr w14:val="tx1"/>
                        </w14:solidFill>
                      </w14:textFill>
                    </w:rPr>
                  </w:pPr>
                </w:p>
              </w:tc>
              <w:tc>
                <w:tcPr>
                  <w:tcW w:w="1651" w:type="dxa"/>
                </w:tcPr>
                <w:p w14:paraId="585DEF70">
                  <w:pPr>
                    <w:spacing w:line="280" w:lineRule="exact"/>
                    <w:rPr>
                      <w:color w:val="000000" w:themeColor="text1"/>
                      <w:szCs w:val="21"/>
                      <w:highlight w:val="none"/>
                      <w14:textFill>
                        <w14:solidFill>
                          <w14:schemeClr w14:val="tx1"/>
                        </w14:solidFill>
                      </w14:textFill>
                    </w:rPr>
                  </w:pPr>
                </w:p>
              </w:tc>
            </w:tr>
            <w:tr w14:paraId="3999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9DC733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420" w:type="dxa"/>
                </w:tcPr>
                <w:p w14:paraId="2AF33B92">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应支付的竣工结算款金额</w:t>
                  </w:r>
                </w:p>
              </w:tc>
              <w:tc>
                <w:tcPr>
                  <w:tcW w:w="1620" w:type="dxa"/>
                </w:tcPr>
                <w:p w14:paraId="29DD6A62">
                  <w:pPr>
                    <w:spacing w:line="280" w:lineRule="exact"/>
                    <w:rPr>
                      <w:color w:val="000000" w:themeColor="text1"/>
                      <w:szCs w:val="21"/>
                      <w:highlight w:val="none"/>
                      <w14:textFill>
                        <w14:solidFill>
                          <w14:schemeClr w14:val="tx1"/>
                        </w14:solidFill>
                      </w14:textFill>
                    </w:rPr>
                  </w:pPr>
                </w:p>
              </w:tc>
              <w:tc>
                <w:tcPr>
                  <w:tcW w:w="1620" w:type="dxa"/>
                </w:tcPr>
                <w:p w14:paraId="12F79C97">
                  <w:pPr>
                    <w:spacing w:line="280" w:lineRule="exact"/>
                    <w:rPr>
                      <w:color w:val="000000" w:themeColor="text1"/>
                      <w:szCs w:val="21"/>
                      <w:highlight w:val="none"/>
                      <w14:textFill>
                        <w14:solidFill>
                          <w14:schemeClr w14:val="tx1"/>
                        </w14:solidFill>
                      </w14:textFill>
                    </w:rPr>
                  </w:pPr>
                </w:p>
              </w:tc>
              <w:tc>
                <w:tcPr>
                  <w:tcW w:w="1651" w:type="dxa"/>
                </w:tcPr>
                <w:p w14:paraId="7DA91BA9">
                  <w:pPr>
                    <w:spacing w:line="280" w:lineRule="exact"/>
                    <w:rPr>
                      <w:color w:val="000000" w:themeColor="text1"/>
                      <w:szCs w:val="21"/>
                      <w:highlight w:val="none"/>
                      <w14:textFill>
                        <w14:solidFill>
                          <w14:schemeClr w14:val="tx1"/>
                        </w14:solidFill>
                      </w14:textFill>
                    </w:rPr>
                  </w:pPr>
                </w:p>
              </w:tc>
            </w:tr>
            <w:tr w14:paraId="4647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4063F5B0">
                  <w:pPr>
                    <w:spacing w:line="280" w:lineRule="exact"/>
                    <w:jc w:val="center"/>
                    <w:rPr>
                      <w:color w:val="000000" w:themeColor="text1"/>
                      <w:szCs w:val="21"/>
                      <w:highlight w:val="none"/>
                      <w14:textFill>
                        <w14:solidFill>
                          <w14:schemeClr w14:val="tx1"/>
                        </w14:solidFill>
                      </w14:textFill>
                    </w:rPr>
                  </w:pPr>
                </w:p>
              </w:tc>
              <w:tc>
                <w:tcPr>
                  <w:tcW w:w="3420" w:type="dxa"/>
                </w:tcPr>
                <w:p w14:paraId="0DC73D2B">
                  <w:pPr>
                    <w:spacing w:line="280" w:lineRule="exact"/>
                    <w:rPr>
                      <w:color w:val="000000" w:themeColor="text1"/>
                      <w:szCs w:val="21"/>
                      <w:highlight w:val="none"/>
                      <w14:textFill>
                        <w14:solidFill>
                          <w14:schemeClr w14:val="tx1"/>
                        </w14:solidFill>
                      </w14:textFill>
                    </w:rPr>
                  </w:pPr>
                </w:p>
              </w:tc>
              <w:tc>
                <w:tcPr>
                  <w:tcW w:w="1620" w:type="dxa"/>
                </w:tcPr>
                <w:p w14:paraId="409D1B85">
                  <w:pPr>
                    <w:spacing w:line="280" w:lineRule="exact"/>
                    <w:rPr>
                      <w:color w:val="000000" w:themeColor="text1"/>
                      <w:szCs w:val="21"/>
                      <w:highlight w:val="none"/>
                      <w14:textFill>
                        <w14:solidFill>
                          <w14:schemeClr w14:val="tx1"/>
                        </w14:solidFill>
                      </w14:textFill>
                    </w:rPr>
                  </w:pPr>
                </w:p>
              </w:tc>
              <w:tc>
                <w:tcPr>
                  <w:tcW w:w="1620" w:type="dxa"/>
                </w:tcPr>
                <w:p w14:paraId="48F31448">
                  <w:pPr>
                    <w:spacing w:line="280" w:lineRule="exact"/>
                    <w:rPr>
                      <w:color w:val="000000" w:themeColor="text1"/>
                      <w:szCs w:val="21"/>
                      <w:highlight w:val="none"/>
                      <w14:textFill>
                        <w14:solidFill>
                          <w14:schemeClr w14:val="tx1"/>
                        </w14:solidFill>
                      </w14:textFill>
                    </w:rPr>
                  </w:pPr>
                </w:p>
              </w:tc>
              <w:tc>
                <w:tcPr>
                  <w:tcW w:w="1651" w:type="dxa"/>
                </w:tcPr>
                <w:p w14:paraId="31A7889D">
                  <w:pPr>
                    <w:spacing w:line="280" w:lineRule="exact"/>
                    <w:rPr>
                      <w:color w:val="000000" w:themeColor="text1"/>
                      <w:szCs w:val="21"/>
                      <w:highlight w:val="none"/>
                      <w14:textFill>
                        <w14:solidFill>
                          <w14:schemeClr w14:val="tx1"/>
                        </w14:solidFill>
                      </w14:textFill>
                    </w:rPr>
                  </w:pPr>
                </w:p>
              </w:tc>
            </w:tr>
            <w:tr w14:paraId="5384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3B568DE">
                  <w:pPr>
                    <w:spacing w:line="280" w:lineRule="exact"/>
                    <w:jc w:val="center"/>
                    <w:rPr>
                      <w:color w:val="000000" w:themeColor="text1"/>
                      <w:szCs w:val="21"/>
                      <w:highlight w:val="none"/>
                      <w14:textFill>
                        <w14:solidFill>
                          <w14:schemeClr w14:val="tx1"/>
                        </w14:solidFill>
                      </w14:textFill>
                    </w:rPr>
                  </w:pPr>
                </w:p>
              </w:tc>
              <w:tc>
                <w:tcPr>
                  <w:tcW w:w="3420" w:type="dxa"/>
                </w:tcPr>
                <w:p w14:paraId="1F95F0C1">
                  <w:pPr>
                    <w:spacing w:line="280" w:lineRule="exact"/>
                    <w:rPr>
                      <w:color w:val="000000" w:themeColor="text1"/>
                      <w:szCs w:val="21"/>
                      <w:highlight w:val="none"/>
                      <w14:textFill>
                        <w14:solidFill>
                          <w14:schemeClr w14:val="tx1"/>
                        </w14:solidFill>
                      </w14:textFill>
                    </w:rPr>
                  </w:pPr>
                </w:p>
              </w:tc>
              <w:tc>
                <w:tcPr>
                  <w:tcW w:w="1620" w:type="dxa"/>
                </w:tcPr>
                <w:p w14:paraId="110B776A">
                  <w:pPr>
                    <w:spacing w:line="280" w:lineRule="exact"/>
                    <w:rPr>
                      <w:color w:val="000000" w:themeColor="text1"/>
                      <w:szCs w:val="21"/>
                      <w:highlight w:val="none"/>
                      <w14:textFill>
                        <w14:solidFill>
                          <w14:schemeClr w14:val="tx1"/>
                        </w14:solidFill>
                      </w14:textFill>
                    </w:rPr>
                  </w:pPr>
                </w:p>
              </w:tc>
              <w:tc>
                <w:tcPr>
                  <w:tcW w:w="1620" w:type="dxa"/>
                </w:tcPr>
                <w:p w14:paraId="5DF6D7A5">
                  <w:pPr>
                    <w:spacing w:line="280" w:lineRule="exact"/>
                    <w:rPr>
                      <w:color w:val="000000" w:themeColor="text1"/>
                      <w:szCs w:val="21"/>
                      <w:highlight w:val="none"/>
                      <w14:textFill>
                        <w14:solidFill>
                          <w14:schemeClr w14:val="tx1"/>
                        </w14:solidFill>
                      </w14:textFill>
                    </w:rPr>
                  </w:pPr>
                </w:p>
              </w:tc>
              <w:tc>
                <w:tcPr>
                  <w:tcW w:w="1651" w:type="dxa"/>
                </w:tcPr>
                <w:p w14:paraId="5D3DB79F">
                  <w:pPr>
                    <w:spacing w:line="280" w:lineRule="exact"/>
                    <w:rPr>
                      <w:color w:val="000000" w:themeColor="text1"/>
                      <w:szCs w:val="21"/>
                      <w:highlight w:val="none"/>
                      <w14:textFill>
                        <w14:solidFill>
                          <w14:schemeClr w14:val="tx1"/>
                        </w14:solidFill>
                      </w14:textFill>
                    </w:rPr>
                  </w:pPr>
                </w:p>
              </w:tc>
            </w:tr>
            <w:tr w14:paraId="560F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66029B7">
                  <w:pPr>
                    <w:spacing w:line="280" w:lineRule="exact"/>
                    <w:jc w:val="center"/>
                    <w:rPr>
                      <w:color w:val="000000" w:themeColor="text1"/>
                      <w:szCs w:val="21"/>
                      <w:highlight w:val="none"/>
                      <w14:textFill>
                        <w14:solidFill>
                          <w14:schemeClr w14:val="tx1"/>
                        </w14:solidFill>
                      </w14:textFill>
                    </w:rPr>
                  </w:pPr>
                </w:p>
              </w:tc>
              <w:tc>
                <w:tcPr>
                  <w:tcW w:w="3420" w:type="dxa"/>
                </w:tcPr>
                <w:p w14:paraId="413E9AFC">
                  <w:pPr>
                    <w:spacing w:line="280" w:lineRule="exact"/>
                    <w:rPr>
                      <w:color w:val="000000" w:themeColor="text1"/>
                      <w:szCs w:val="21"/>
                      <w:highlight w:val="none"/>
                      <w14:textFill>
                        <w14:solidFill>
                          <w14:schemeClr w14:val="tx1"/>
                        </w14:solidFill>
                      </w14:textFill>
                    </w:rPr>
                  </w:pPr>
                </w:p>
              </w:tc>
              <w:tc>
                <w:tcPr>
                  <w:tcW w:w="1620" w:type="dxa"/>
                </w:tcPr>
                <w:p w14:paraId="4ECE73A6">
                  <w:pPr>
                    <w:spacing w:line="280" w:lineRule="exact"/>
                    <w:rPr>
                      <w:color w:val="000000" w:themeColor="text1"/>
                      <w:szCs w:val="21"/>
                      <w:highlight w:val="none"/>
                      <w14:textFill>
                        <w14:solidFill>
                          <w14:schemeClr w14:val="tx1"/>
                        </w14:solidFill>
                      </w14:textFill>
                    </w:rPr>
                  </w:pPr>
                </w:p>
              </w:tc>
              <w:tc>
                <w:tcPr>
                  <w:tcW w:w="1620" w:type="dxa"/>
                </w:tcPr>
                <w:p w14:paraId="78FB371A">
                  <w:pPr>
                    <w:spacing w:line="280" w:lineRule="exact"/>
                    <w:rPr>
                      <w:color w:val="000000" w:themeColor="text1"/>
                      <w:szCs w:val="21"/>
                      <w:highlight w:val="none"/>
                      <w14:textFill>
                        <w14:solidFill>
                          <w14:schemeClr w14:val="tx1"/>
                        </w14:solidFill>
                      </w14:textFill>
                    </w:rPr>
                  </w:pPr>
                </w:p>
              </w:tc>
              <w:tc>
                <w:tcPr>
                  <w:tcW w:w="1651" w:type="dxa"/>
                </w:tcPr>
                <w:p w14:paraId="6A346D33">
                  <w:pPr>
                    <w:spacing w:line="280" w:lineRule="exact"/>
                    <w:rPr>
                      <w:color w:val="000000" w:themeColor="text1"/>
                      <w:szCs w:val="21"/>
                      <w:highlight w:val="none"/>
                      <w14:textFill>
                        <w14:solidFill>
                          <w14:schemeClr w14:val="tx1"/>
                        </w14:solidFill>
                      </w14:textFill>
                    </w:rPr>
                  </w:pPr>
                </w:p>
              </w:tc>
            </w:tr>
            <w:tr w14:paraId="75A1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F9692A0">
                  <w:pPr>
                    <w:spacing w:line="280" w:lineRule="exact"/>
                    <w:jc w:val="center"/>
                    <w:rPr>
                      <w:color w:val="000000" w:themeColor="text1"/>
                      <w:szCs w:val="21"/>
                      <w:highlight w:val="none"/>
                      <w14:textFill>
                        <w14:solidFill>
                          <w14:schemeClr w14:val="tx1"/>
                        </w14:solidFill>
                      </w14:textFill>
                    </w:rPr>
                  </w:pPr>
                </w:p>
              </w:tc>
              <w:tc>
                <w:tcPr>
                  <w:tcW w:w="3420" w:type="dxa"/>
                </w:tcPr>
                <w:p w14:paraId="0591FFA2">
                  <w:pPr>
                    <w:spacing w:line="280" w:lineRule="exact"/>
                    <w:rPr>
                      <w:color w:val="000000" w:themeColor="text1"/>
                      <w:szCs w:val="21"/>
                      <w:highlight w:val="none"/>
                      <w14:textFill>
                        <w14:solidFill>
                          <w14:schemeClr w14:val="tx1"/>
                        </w14:solidFill>
                      </w14:textFill>
                    </w:rPr>
                  </w:pPr>
                </w:p>
              </w:tc>
              <w:tc>
                <w:tcPr>
                  <w:tcW w:w="1620" w:type="dxa"/>
                </w:tcPr>
                <w:p w14:paraId="65DFF116">
                  <w:pPr>
                    <w:spacing w:line="280" w:lineRule="exact"/>
                    <w:rPr>
                      <w:color w:val="000000" w:themeColor="text1"/>
                      <w:szCs w:val="21"/>
                      <w:highlight w:val="none"/>
                      <w14:textFill>
                        <w14:solidFill>
                          <w14:schemeClr w14:val="tx1"/>
                        </w14:solidFill>
                      </w14:textFill>
                    </w:rPr>
                  </w:pPr>
                </w:p>
              </w:tc>
              <w:tc>
                <w:tcPr>
                  <w:tcW w:w="1620" w:type="dxa"/>
                </w:tcPr>
                <w:p w14:paraId="133386DD">
                  <w:pPr>
                    <w:spacing w:line="280" w:lineRule="exact"/>
                    <w:rPr>
                      <w:color w:val="000000" w:themeColor="text1"/>
                      <w:szCs w:val="21"/>
                      <w:highlight w:val="none"/>
                      <w14:textFill>
                        <w14:solidFill>
                          <w14:schemeClr w14:val="tx1"/>
                        </w14:solidFill>
                      </w14:textFill>
                    </w:rPr>
                  </w:pPr>
                </w:p>
              </w:tc>
              <w:tc>
                <w:tcPr>
                  <w:tcW w:w="1651" w:type="dxa"/>
                </w:tcPr>
                <w:p w14:paraId="527332A4">
                  <w:pPr>
                    <w:spacing w:line="280" w:lineRule="exact"/>
                    <w:rPr>
                      <w:color w:val="000000" w:themeColor="text1"/>
                      <w:szCs w:val="21"/>
                      <w:highlight w:val="none"/>
                      <w14:textFill>
                        <w14:solidFill>
                          <w14:schemeClr w14:val="tx1"/>
                        </w14:solidFill>
                      </w14:textFill>
                    </w:rPr>
                  </w:pPr>
                </w:p>
              </w:tc>
            </w:tr>
            <w:tr w14:paraId="534B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56544F4C">
                  <w:pPr>
                    <w:spacing w:line="280" w:lineRule="exact"/>
                    <w:jc w:val="center"/>
                    <w:rPr>
                      <w:color w:val="000000" w:themeColor="text1"/>
                      <w:szCs w:val="21"/>
                      <w:highlight w:val="none"/>
                      <w14:textFill>
                        <w14:solidFill>
                          <w14:schemeClr w14:val="tx1"/>
                        </w14:solidFill>
                      </w14:textFill>
                    </w:rPr>
                  </w:pPr>
                </w:p>
              </w:tc>
              <w:tc>
                <w:tcPr>
                  <w:tcW w:w="3420" w:type="dxa"/>
                </w:tcPr>
                <w:p w14:paraId="254211F3">
                  <w:pPr>
                    <w:spacing w:line="280" w:lineRule="exact"/>
                    <w:rPr>
                      <w:color w:val="000000" w:themeColor="text1"/>
                      <w:szCs w:val="21"/>
                      <w:highlight w:val="none"/>
                      <w14:textFill>
                        <w14:solidFill>
                          <w14:schemeClr w14:val="tx1"/>
                        </w14:solidFill>
                      </w14:textFill>
                    </w:rPr>
                  </w:pPr>
                </w:p>
              </w:tc>
              <w:tc>
                <w:tcPr>
                  <w:tcW w:w="1620" w:type="dxa"/>
                </w:tcPr>
                <w:p w14:paraId="4C1FC2BB">
                  <w:pPr>
                    <w:spacing w:line="280" w:lineRule="exact"/>
                    <w:rPr>
                      <w:color w:val="000000" w:themeColor="text1"/>
                      <w:szCs w:val="21"/>
                      <w:highlight w:val="none"/>
                      <w14:textFill>
                        <w14:solidFill>
                          <w14:schemeClr w14:val="tx1"/>
                        </w14:solidFill>
                      </w14:textFill>
                    </w:rPr>
                  </w:pPr>
                </w:p>
              </w:tc>
              <w:tc>
                <w:tcPr>
                  <w:tcW w:w="1620" w:type="dxa"/>
                </w:tcPr>
                <w:p w14:paraId="604E9967">
                  <w:pPr>
                    <w:spacing w:line="280" w:lineRule="exact"/>
                    <w:rPr>
                      <w:color w:val="000000" w:themeColor="text1"/>
                      <w:szCs w:val="21"/>
                      <w:highlight w:val="none"/>
                      <w14:textFill>
                        <w14:solidFill>
                          <w14:schemeClr w14:val="tx1"/>
                        </w14:solidFill>
                      </w14:textFill>
                    </w:rPr>
                  </w:pPr>
                </w:p>
              </w:tc>
              <w:tc>
                <w:tcPr>
                  <w:tcW w:w="1651" w:type="dxa"/>
                </w:tcPr>
                <w:p w14:paraId="4F8587EA">
                  <w:pPr>
                    <w:spacing w:line="280" w:lineRule="exact"/>
                    <w:rPr>
                      <w:color w:val="000000" w:themeColor="text1"/>
                      <w:szCs w:val="21"/>
                      <w:highlight w:val="none"/>
                      <w14:textFill>
                        <w14:solidFill>
                          <w14:schemeClr w14:val="tx1"/>
                        </w14:solidFill>
                      </w14:textFill>
                    </w:rPr>
                  </w:pPr>
                </w:p>
              </w:tc>
            </w:tr>
          </w:tbl>
          <w:p w14:paraId="735DAFBB">
            <w:pPr>
              <w:spacing w:line="400" w:lineRule="exact"/>
              <w:ind w:right="420" w:firstLine="435"/>
              <w:jc w:val="center"/>
              <w:rPr>
                <w:color w:val="000000" w:themeColor="text1"/>
                <w:szCs w:val="21"/>
                <w:highlight w:val="none"/>
                <w14:textFill>
                  <w14:solidFill>
                    <w14:schemeClr w14:val="tx1"/>
                  </w14:solidFill>
                </w14:textFill>
              </w:rPr>
            </w:pPr>
          </w:p>
          <w:p w14:paraId="79CE1780">
            <w:pPr>
              <w:spacing w:line="400" w:lineRule="exact"/>
              <w:ind w:right="420"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452FEF41">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310E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7E9EF13D">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71D290F0">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□与实际施工情况不相符，修改意见见附件。</w:t>
            </w:r>
          </w:p>
          <w:p w14:paraId="72CA68D3">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□与实际施工情况相符，具体金额由造价工程师复核。</w:t>
            </w:r>
          </w:p>
          <w:p w14:paraId="3D01D846">
            <w:pPr>
              <w:spacing w:line="360" w:lineRule="exact"/>
              <w:ind w:firstLine="435"/>
              <w:jc w:val="right"/>
              <w:rPr>
                <w:color w:val="000000" w:themeColor="text1"/>
                <w:szCs w:val="21"/>
                <w:highlight w:val="none"/>
                <w14:textFill>
                  <w14:solidFill>
                    <w14:schemeClr w14:val="tx1"/>
                  </w14:solidFill>
                </w14:textFill>
              </w:rPr>
            </w:pPr>
          </w:p>
          <w:p w14:paraId="1BA1E880">
            <w:pPr>
              <w:spacing w:line="360" w:lineRule="exact"/>
              <w:ind w:firstLine="435"/>
              <w:jc w:val="right"/>
              <w:rPr>
                <w:color w:val="000000" w:themeColor="text1"/>
                <w:szCs w:val="21"/>
                <w:highlight w:val="none"/>
                <w14:textFill>
                  <w14:solidFill>
                    <w14:schemeClr w14:val="tx1"/>
                  </w14:solidFill>
                </w14:textFill>
              </w:rPr>
            </w:pPr>
          </w:p>
          <w:p w14:paraId="3277BA75">
            <w:pPr>
              <w:spacing w:line="360" w:lineRule="exact"/>
              <w:ind w:firstLine="435"/>
              <w:jc w:val="center"/>
              <w:rPr>
                <w:color w:val="000000" w:themeColor="text1"/>
                <w:szCs w:val="21"/>
                <w:highlight w:val="none"/>
                <w14:textFill>
                  <w14:solidFill>
                    <w14:schemeClr w14:val="tx1"/>
                  </w14:solidFill>
                </w14:textFill>
              </w:rPr>
            </w:pPr>
          </w:p>
          <w:p w14:paraId="31DA99AC">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5626CDF1">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533" w:type="dxa"/>
          </w:tcPr>
          <w:p w14:paraId="6D55939D">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2543A3C0">
            <w:pPr>
              <w:spacing w:line="360" w:lineRule="exact"/>
              <w:ind w:firstLine="435"/>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你方提出的竣工结算支付申请经复核，竣工结算款总额为(大写)元，（小写） 元，扣除前期支付以及质量保证金后应支付金额为（大写）元，（小写）元。</w:t>
            </w:r>
          </w:p>
          <w:p w14:paraId="149CC90B">
            <w:pPr>
              <w:spacing w:line="360" w:lineRule="exact"/>
              <w:ind w:firstLine="435"/>
              <w:jc w:val="center"/>
              <w:rPr>
                <w:color w:val="000000" w:themeColor="text1"/>
                <w:szCs w:val="21"/>
                <w:highlight w:val="none"/>
                <w14:textFill>
                  <w14:solidFill>
                    <w14:schemeClr w14:val="tx1"/>
                  </w14:solidFill>
                </w14:textFill>
              </w:rPr>
            </w:pPr>
          </w:p>
          <w:p w14:paraId="7AAEFA22">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2E8F3FAB">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r w14:paraId="4A39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499271AA">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5665C618">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02F6CDA6">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20D9B723">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597A8B54">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07897E72">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2085AFCE">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注：1.在选择栏中的“□”内作标识“√”。 </w:t>
      </w:r>
    </w:p>
    <w:p w14:paraId="0E058B1D">
      <w:pPr>
        <w:spacing w:before="156" w:beforeLines="50"/>
        <w:ind w:left="720" w:hanging="720" w:hangingChars="4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69C8F5A5">
      <w:pPr>
        <w:jc w:val="left"/>
        <w:rPr>
          <w:b/>
          <w:color w:val="000000" w:themeColor="text1"/>
          <w:sz w:val="30"/>
          <w:szCs w:val="30"/>
          <w:highlight w:val="none"/>
          <w14:textFill>
            <w14:solidFill>
              <w14:schemeClr w14:val="tx1"/>
            </w14:solidFill>
          </w14:textFill>
        </w:rPr>
      </w:pPr>
      <w:r>
        <w:rPr>
          <w:rFonts w:hint="eastAsia" w:hAnsi="宋体" w:cs="宋体"/>
          <w:color w:val="000000" w:themeColor="text1"/>
          <w:sz w:val="30"/>
          <w:szCs w:val="30"/>
          <w:highlight w:val="none"/>
          <w14:textFill>
            <w14:solidFill>
              <w14:schemeClr w14:val="tx1"/>
            </w14:solidFill>
          </w14:textFill>
        </w:rPr>
        <w:t>附件13：</w:t>
      </w:r>
    </w:p>
    <w:p w14:paraId="7A0A9C7B">
      <w:pPr>
        <w:jc w:val="center"/>
        <w:rPr>
          <w:b/>
          <w:color w:val="000000" w:themeColor="text1"/>
          <w:sz w:val="36"/>
          <w:szCs w:val="36"/>
          <w:highlight w:val="none"/>
          <w14:textFill>
            <w14:solidFill>
              <w14:schemeClr w14:val="tx1"/>
            </w14:solidFill>
          </w14:textFill>
        </w:rPr>
      </w:pPr>
      <w:r>
        <w:rPr>
          <w:rFonts w:hint="eastAsia"/>
          <w:b/>
          <w:color w:val="000000" w:themeColor="text1"/>
          <w:sz w:val="36"/>
          <w:szCs w:val="36"/>
          <w:highlight w:val="none"/>
          <w14:textFill>
            <w14:solidFill>
              <w14:schemeClr w14:val="tx1"/>
            </w14:solidFill>
          </w14:textFill>
        </w:rPr>
        <w:t>最终结算款支付申请（核准）表</w:t>
      </w:r>
    </w:p>
    <w:p w14:paraId="3273F9F2">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工程名称：                                             编号：</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9"/>
        <w:gridCol w:w="4533"/>
      </w:tblGrid>
      <w:tr w14:paraId="5B82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4" w:hRule="atLeast"/>
          <w:jc w:val="center"/>
        </w:trPr>
        <w:tc>
          <w:tcPr>
            <w:tcW w:w="9072" w:type="dxa"/>
            <w:gridSpan w:val="2"/>
          </w:tcPr>
          <w:p w14:paraId="567D0548">
            <w:pPr>
              <w:spacing w:line="480" w:lineRule="exact"/>
              <w:ind w:left="525" w:leftChars="149" w:hanging="212" w:hangingChars="101"/>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致：</w:t>
            </w:r>
            <w:r>
              <w:rPr>
                <w:rFonts w:hint="eastAsia"/>
                <w:color w:val="000000" w:themeColor="text1"/>
                <w:szCs w:val="21"/>
                <w:highlight w:val="none"/>
                <w:u w:val="single"/>
                <w14:textFill>
                  <w14:solidFill>
                    <w14:schemeClr w14:val="tx1"/>
                  </w14:solidFill>
                </w14:textFill>
              </w:rPr>
              <w:t xml:space="preserve">                                   （发包人全称）</w:t>
            </w:r>
          </w:p>
          <w:p w14:paraId="38DA6ED9">
            <w:pPr>
              <w:spacing w:line="400" w:lineRule="exact"/>
              <w:ind w:left="-4" w:leftChars="-2" w:firstLine="315" w:firstLineChars="15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我方于至期间已完成了缺陷修复工作，根据施工合同的约定，现申请支付最终结清合同款额为(大写)元，(小写)元，请予核准。</w:t>
            </w:r>
          </w:p>
          <w:tbl>
            <w:tblPr>
              <w:tblStyle w:val="44"/>
              <w:tblpPr w:leftFromText="180" w:rightFromText="180" w:vertAnchor="page" w:horzAnchor="margin" w:tblpY="13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3420"/>
              <w:gridCol w:w="1620"/>
              <w:gridCol w:w="1620"/>
              <w:gridCol w:w="1651"/>
            </w:tblGrid>
            <w:tr w14:paraId="361A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35" w:type="dxa"/>
                  <w:vAlign w:val="center"/>
                </w:tcPr>
                <w:p w14:paraId="7A47EB07">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序号</w:t>
                  </w:r>
                </w:p>
              </w:tc>
              <w:tc>
                <w:tcPr>
                  <w:tcW w:w="3420" w:type="dxa"/>
                  <w:vAlign w:val="center"/>
                </w:tcPr>
                <w:p w14:paraId="51264F6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名      称</w:t>
                  </w:r>
                </w:p>
              </w:tc>
              <w:tc>
                <w:tcPr>
                  <w:tcW w:w="1620" w:type="dxa"/>
                  <w:vAlign w:val="center"/>
                </w:tcPr>
                <w:p w14:paraId="3E1CFDD4">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申请金额（元）</w:t>
                  </w:r>
                </w:p>
              </w:tc>
              <w:tc>
                <w:tcPr>
                  <w:tcW w:w="1620" w:type="dxa"/>
                  <w:vAlign w:val="center"/>
                </w:tcPr>
                <w:p w14:paraId="2F5CF863">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复核金额（元）</w:t>
                  </w:r>
                </w:p>
              </w:tc>
              <w:tc>
                <w:tcPr>
                  <w:tcW w:w="1651" w:type="dxa"/>
                  <w:vAlign w:val="center"/>
                </w:tcPr>
                <w:p w14:paraId="7490A626">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备注</w:t>
                  </w:r>
                </w:p>
              </w:tc>
            </w:tr>
            <w:tr w14:paraId="3D56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030A98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p>
              </w:tc>
              <w:tc>
                <w:tcPr>
                  <w:tcW w:w="3420" w:type="dxa"/>
                </w:tcPr>
                <w:p w14:paraId="68781BF0">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已预留的质量保证金</w:t>
                  </w:r>
                </w:p>
              </w:tc>
              <w:tc>
                <w:tcPr>
                  <w:tcW w:w="1620" w:type="dxa"/>
                </w:tcPr>
                <w:p w14:paraId="76405523">
                  <w:pPr>
                    <w:spacing w:line="280" w:lineRule="exact"/>
                    <w:rPr>
                      <w:color w:val="000000" w:themeColor="text1"/>
                      <w:szCs w:val="21"/>
                      <w:highlight w:val="none"/>
                      <w14:textFill>
                        <w14:solidFill>
                          <w14:schemeClr w14:val="tx1"/>
                        </w14:solidFill>
                      </w14:textFill>
                    </w:rPr>
                  </w:pPr>
                </w:p>
              </w:tc>
              <w:tc>
                <w:tcPr>
                  <w:tcW w:w="1620" w:type="dxa"/>
                </w:tcPr>
                <w:p w14:paraId="4AC72513">
                  <w:pPr>
                    <w:spacing w:line="280" w:lineRule="exact"/>
                    <w:rPr>
                      <w:color w:val="000000" w:themeColor="text1"/>
                      <w:szCs w:val="21"/>
                      <w:highlight w:val="none"/>
                      <w14:textFill>
                        <w14:solidFill>
                          <w14:schemeClr w14:val="tx1"/>
                        </w14:solidFill>
                      </w14:textFill>
                    </w:rPr>
                  </w:pPr>
                </w:p>
              </w:tc>
              <w:tc>
                <w:tcPr>
                  <w:tcW w:w="1651" w:type="dxa"/>
                </w:tcPr>
                <w:p w14:paraId="0DCAF222">
                  <w:pPr>
                    <w:spacing w:line="280" w:lineRule="exact"/>
                    <w:rPr>
                      <w:color w:val="000000" w:themeColor="text1"/>
                      <w:szCs w:val="21"/>
                      <w:highlight w:val="none"/>
                      <w14:textFill>
                        <w14:solidFill>
                          <w14:schemeClr w14:val="tx1"/>
                        </w14:solidFill>
                      </w14:textFill>
                    </w:rPr>
                  </w:pPr>
                </w:p>
              </w:tc>
            </w:tr>
            <w:tr w14:paraId="0DE4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1233F72">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w:t>
                  </w:r>
                </w:p>
              </w:tc>
              <w:tc>
                <w:tcPr>
                  <w:tcW w:w="3420" w:type="dxa"/>
                </w:tcPr>
                <w:p w14:paraId="42CC99DA">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应增加因发包人原因造成缺陷的修复金额</w:t>
                  </w:r>
                </w:p>
              </w:tc>
              <w:tc>
                <w:tcPr>
                  <w:tcW w:w="1620" w:type="dxa"/>
                </w:tcPr>
                <w:p w14:paraId="34B5135F">
                  <w:pPr>
                    <w:spacing w:line="280" w:lineRule="exact"/>
                    <w:rPr>
                      <w:color w:val="000000" w:themeColor="text1"/>
                      <w:szCs w:val="21"/>
                      <w:highlight w:val="none"/>
                      <w14:textFill>
                        <w14:solidFill>
                          <w14:schemeClr w14:val="tx1"/>
                        </w14:solidFill>
                      </w14:textFill>
                    </w:rPr>
                  </w:pPr>
                </w:p>
              </w:tc>
              <w:tc>
                <w:tcPr>
                  <w:tcW w:w="1620" w:type="dxa"/>
                </w:tcPr>
                <w:p w14:paraId="03EA31FC">
                  <w:pPr>
                    <w:spacing w:line="280" w:lineRule="exact"/>
                    <w:rPr>
                      <w:color w:val="000000" w:themeColor="text1"/>
                      <w:szCs w:val="21"/>
                      <w:highlight w:val="none"/>
                      <w14:textFill>
                        <w14:solidFill>
                          <w14:schemeClr w14:val="tx1"/>
                        </w14:solidFill>
                      </w14:textFill>
                    </w:rPr>
                  </w:pPr>
                </w:p>
              </w:tc>
              <w:tc>
                <w:tcPr>
                  <w:tcW w:w="1651" w:type="dxa"/>
                </w:tcPr>
                <w:p w14:paraId="13C703F5">
                  <w:pPr>
                    <w:spacing w:line="280" w:lineRule="exact"/>
                    <w:rPr>
                      <w:color w:val="000000" w:themeColor="text1"/>
                      <w:szCs w:val="21"/>
                      <w:highlight w:val="none"/>
                      <w14:textFill>
                        <w14:solidFill>
                          <w14:schemeClr w14:val="tx1"/>
                        </w14:solidFill>
                      </w14:textFill>
                    </w:rPr>
                  </w:pPr>
                </w:p>
              </w:tc>
            </w:tr>
            <w:tr w14:paraId="644C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2EBF9D8C">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w:t>
                  </w:r>
                </w:p>
              </w:tc>
              <w:tc>
                <w:tcPr>
                  <w:tcW w:w="3420" w:type="dxa"/>
                </w:tcPr>
                <w:p w14:paraId="5C63775E">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应扣减承包人不修复缺陷、发包人组织修复的金额</w:t>
                  </w:r>
                </w:p>
              </w:tc>
              <w:tc>
                <w:tcPr>
                  <w:tcW w:w="1620" w:type="dxa"/>
                </w:tcPr>
                <w:p w14:paraId="7C7228A7">
                  <w:pPr>
                    <w:spacing w:line="280" w:lineRule="exact"/>
                    <w:rPr>
                      <w:color w:val="000000" w:themeColor="text1"/>
                      <w:szCs w:val="21"/>
                      <w:highlight w:val="none"/>
                      <w14:textFill>
                        <w14:solidFill>
                          <w14:schemeClr w14:val="tx1"/>
                        </w14:solidFill>
                      </w14:textFill>
                    </w:rPr>
                  </w:pPr>
                </w:p>
              </w:tc>
              <w:tc>
                <w:tcPr>
                  <w:tcW w:w="1620" w:type="dxa"/>
                </w:tcPr>
                <w:p w14:paraId="05128A61">
                  <w:pPr>
                    <w:spacing w:line="280" w:lineRule="exact"/>
                    <w:rPr>
                      <w:color w:val="000000" w:themeColor="text1"/>
                      <w:szCs w:val="21"/>
                      <w:highlight w:val="none"/>
                      <w14:textFill>
                        <w14:solidFill>
                          <w14:schemeClr w14:val="tx1"/>
                        </w14:solidFill>
                      </w14:textFill>
                    </w:rPr>
                  </w:pPr>
                </w:p>
              </w:tc>
              <w:tc>
                <w:tcPr>
                  <w:tcW w:w="1651" w:type="dxa"/>
                </w:tcPr>
                <w:p w14:paraId="25B95E26">
                  <w:pPr>
                    <w:spacing w:line="280" w:lineRule="exact"/>
                    <w:rPr>
                      <w:color w:val="000000" w:themeColor="text1"/>
                      <w:szCs w:val="21"/>
                      <w:highlight w:val="none"/>
                      <w14:textFill>
                        <w14:solidFill>
                          <w14:schemeClr w14:val="tx1"/>
                        </w14:solidFill>
                      </w14:textFill>
                    </w:rPr>
                  </w:pPr>
                </w:p>
              </w:tc>
            </w:tr>
            <w:tr w14:paraId="0FD78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7F051E8D">
                  <w:pPr>
                    <w:spacing w:line="280" w:lineRule="exact"/>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w:t>
                  </w:r>
                </w:p>
              </w:tc>
              <w:tc>
                <w:tcPr>
                  <w:tcW w:w="3420" w:type="dxa"/>
                </w:tcPr>
                <w:p w14:paraId="268F4C47">
                  <w:pPr>
                    <w:spacing w:line="28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最终应支付的合同价款</w:t>
                  </w:r>
                </w:p>
              </w:tc>
              <w:tc>
                <w:tcPr>
                  <w:tcW w:w="1620" w:type="dxa"/>
                </w:tcPr>
                <w:p w14:paraId="3C44AC0F">
                  <w:pPr>
                    <w:spacing w:line="280" w:lineRule="exact"/>
                    <w:rPr>
                      <w:color w:val="000000" w:themeColor="text1"/>
                      <w:szCs w:val="21"/>
                      <w:highlight w:val="none"/>
                      <w14:textFill>
                        <w14:solidFill>
                          <w14:schemeClr w14:val="tx1"/>
                        </w14:solidFill>
                      </w14:textFill>
                    </w:rPr>
                  </w:pPr>
                </w:p>
              </w:tc>
              <w:tc>
                <w:tcPr>
                  <w:tcW w:w="1620" w:type="dxa"/>
                </w:tcPr>
                <w:p w14:paraId="602FCE97">
                  <w:pPr>
                    <w:spacing w:line="280" w:lineRule="exact"/>
                    <w:rPr>
                      <w:color w:val="000000" w:themeColor="text1"/>
                      <w:szCs w:val="21"/>
                      <w:highlight w:val="none"/>
                      <w14:textFill>
                        <w14:solidFill>
                          <w14:schemeClr w14:val="tx1"/>
                        </w14:solidFill>
                      </w14:textFill>
                    </w:rPr>
                  </w:pPr>
                </w:p>
              </w:tc>
              <w:tc>
                <w:tcPr>
                  <w:tcW w:w="1651" w:type="dxa"/>
                </w:tcPr>
                <w:p w14:paraId="1A788FDB">
                  <w:pPr>
                    <w:spacing w:line="280" w:lineRule="exact"/>
                    <w:rPr>
                      <w:color w:val="000000" w:themeColor="text1"/>
                      <w:szCs w:val="21"/>
                      <w:highlight w:val="none"/>
                      <w14:textFill>
                        <w14:solidFill>
                          <w14:schemeClr w14:val="tx1"/>
                        </w14:solidFill>
                      </w14:textFill>
                    </w:rPr>
                  </w:pPr>
                </w:p>
              </w:tc>
            </w:tr>
            <w:tr w14:paraId="57FA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0FEE1E6">
                  <w:pPr>
                    <w:spacing w:line="280" w:lineRule="exact"/>
                    <w:jc w:val="center"/>
                    <w:rPr>
                      <w:color w:val="000000" w:themeColor="text1"/>
                      <w:szCs w:val="21"/>
                      <w:highlight w:val="none"/>
                      <w14:textFill>
                        <w14:solidFill>
                          <w14:schemeClr w14:val="tx1"/>
                        </w14:solidFill>
                      </w14:textFill>
                    </w:rPr>
                  </w:pPr>
                </w:p>
              </w:tc>
              <w:tc>
                <w:tcPr>
                  <w:tcW w:w="3420" w:type="dxa"/>
                </w:tcPr>
                <w:p w14:paraId="7E9E9C08">
                  <w:pPr>
                    <w:spacing w:line="280" w:lineRule="exact"/>
                    <w:rPr>
                      <w:color w:val="000000" w:themeColor="text1"/>
                      <w:szCs w:val="21"/>
                      <w:highlight w:val="none"/>
                      <w14:textFill>
                        <w14:solidFill>
                          <w14:schemeClr w14:val="tx1"/>
                        </w14:solidFill>
                      </w14:textFill>
                    </w:rPr>
                  </w:pPr>
                </w:p>
              </w:tc>
              <w:tc>
                <w:tcPr>
                  <w:tcW w:w="1620" w:type="dxa"/>
                </w:tcPr>
                <w:p w14:paraId="43E00FF3">
                  <w:pPr>
                    <w:spacing w:line="280" w:lineRule="exact"/>
                    <w:rPr>
                      <w:color w:val="000000" w:themeColor="text1"/>
                      <w:szCs w:val="21"/>
                      <w:highlight w:val="none"/>
                      <w14:textFill>
                        <w14:solidFill>
                          <w14:schemeClr w14:val="tx1"/>
                        </w14:solidFill>
                      </w14:textFill>
                    </w:rPr>
                  </w:pPr>
                </w:p>
              </w:tc>
              <w:tc>
                <w:tcPr>
                  <w:tcW w:w="1620" w:type="dxa"/>
                </w:tcPr>
                <w:p w14:paraId="0F27E3D9">
                  <w:pPr>
                    <w:spacing w:line="280" w:lineRule="exact"/>
                    <w:rPr>
                      <w:color w:val="000000" w:themeColor="text1"/>
                      <w:szCs w:val="21"/>
                      <w:highlight w:val="none"/>
                      <w14:textFill>
                        <w14:solidFill>
                          <w14:schemeClr w14:val="tx1"/>
                        </w14:solidFill>
                      </w14:textFill>
                    </w:rPr>
                  </w:pPr>
                </w:p>
              </w:tc>
              <w:tc>
                <w:tcPr>
                  <w:tcW w:w="1651" w:type="dxa"/>
                </w:tcPr>
                <w:p w14:paraId="0C104713">
                  <w:pPr>
                    <w:spacing w:line="280" w:lineRule="exact"/>
                    <w:rPr>
                      <w:color w:val="000000" w:themeColor="text1"/>
                      <w:szCs w:val="21"/>
                      <w:highlight w:val="none"/>
                      <w14:textFill>
                        <w14:solidFill>
                          <w14:schemeClr w14:val="tx1"/>
                        </w14:solidFill>
                      </w14:textFill>
                    </w:rPr>
                  </w:pPr>
                </w:p>
              </w:tc>
            </w:tr>
            <w:tr w14:paraId="6A23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386D48B2">
                  <w:pPr>
                    <w:spacing w:line="280" w:lineRule="exact"/>
                    <w:jc w:val="center"/>
                    <w:rPr>
                      <w:color w:val="000000" w:themeColor="text1"/>
                      <w:szCs w:val="21"/>
                      <w:highlight w:val="none"/>
                      <w14:textFill>
                        <w14:solidFill>
                          <w14:schemeClr w14:val="tx1"/>
                        </w14:solidFill>
                      </w14:textFill>
                    </w:rPr>
                  </w:pPr>
                </w:p>
              </w:tc>
              <w:tc>
                <w:tcPr>
                  <w:tcW w:w="3420" w:type="dxa"/>
                </w:tcPr>
                <w:p w14:paraId="293A8DA5">
                  <w:pPr>
                    <w:spacing w:line="280" w:lineRule="exact"/>
                    <w:rPr>
                      <w:color w:val="000000" w:themeColor="text1"/>
                      <w:szCs w:val="21"/>
                      <w:highlight w:val="none"/>
                      <w14:textFill>
                        <w14:solidFill>
                          <w14:schemeClr w14:val="tx1"/>
                        </w14:solidFill>
                      </w14:textFill>
                    </w:rPr>
                  </w:pPr>
                </w:p>
              </w:tc>
              <w:tc>
                <w:tcPr>
                  <w:tcW w:w="1620" w:type="dxa"/>
                </w:tcPr>
                <w:p w14:paraId="505FD9CE">
                  <w:pPr>
                    <w:spacing w:line="280" w:lineRule="exact"/>
                    <w:rPr>
                      <w:color w:val="000000" w:themeColor="text1"/>
                      <w:szCs w:val="21"/>
                      <w:highlight w:val="none"/>
                      <w14:textFill>
                        <w14:solidFill>
                          <w14:schemeClr w14:val="tx1"/>
                        </w14:solidFill>
                      </w14:textFill>
                    </w:rPr>
                  </w:pPr>
                </w:p>
              </w:tc>
              <w:tc>
                <w:tcPr>
                  <w:tcW w:w="1620" w:type="dxa"/>
                </w:tcPr>
                <w:p w14:paraId="7B8C3BE0">
                  <w:pPr>
                    <w:spacing w:line="280" w:lineRule="exact"/>
                    <w:rPr>
                      <w:color w:val="000000" w:themeColor="text1"/>
                      <w:szCs w:val="21"/>
                      <w:highlight w:val="none"/>
                      <w14:textFill>
                        <w14:solidFill>
                          <w14:schemeClr w14:val="tx1"/>
                        </w14:solidFill>
                      </w14:textFill>
                    </w:rPr>
                  </w:pPr>
                </w:p>
              </w:tc>
              <w:tc>
                <w:tcPr>
                  <w:tcW w:w="1651" w:type="dxa"/>
                </w:tcPr>
                <w:p w14:paraId="34FC6936">
                  <w:pPr>
                    <w:spacing w:line="280" w:lineRule="exact"/>
                    <w:rPr>
                      <w:color w:val="000000" w:themeColor="text1"/>
                      <w:szCs w:val="21"/>
                      <w:highlight w:val="none"/>
                      <w14:textFill>
                        <w14:solidFill>
                          <w14:schemeClr w14:val="tx1"/>
                        </w14:solidFill>
                      </w14:textFill>
                    </w:rPr>
                  </w:pPr>
                </w:p>
              </w:tc>
            </w:tr>
            <w:tr w14:paraId="0787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05D366B6">
                  <w:pPr>
                    <w:spacing w:line="280" w:lineRule="exact"/>
                    <w:jc w:val="center"/>
                    <w:rPr>
                      <w:color w:val="000000" w:themeColor="text1"/>
                      <w:szCs w:val="21"/>
                      <w:highlight w:val="none"/>
                      <w14:textFill>
                        <w14:solidFill>
                          <w14:schemeClr w14:val="tx1"/>
                        </w14:solidFill>
                      </w14:textFill>
                    </w:rPr>
                  </w:pPr>
                </w:p>
              </w:tc>
              <w:tc>
                <w:tcPr>
                  <w:tcW w:w="3420" w:type="dxa"/>
                </w:tcPr>
                <w:p w14:paraId="1FF59D94">
                  <w:pPr>
                    <w:spacing w:line="280" w:lineRule="exact"/>
                    <w:rPr>
                      <w:color w:val="000000" w:themeColor="text1"/>
                      <w:szCs w:val="21"/>
                      <w:highlight w:val="none"/>
                      <w14:textFill>
                        <w14:solidFill>
                          <w14:schemeClr w14:val="tx1"/>
                        </w14:solidFill>
                      </w14:textFill>
                    </w:rPr>
                  </w:pPr>
                </w:p>
              </w:tc>
              <w:tc>
                <w:tcPr>
                  <w:tcW w:w="1620" w:type="dxa"/>
                </w:tcPr>
                <w:p w14:paraId="7B4E3062">
                  <w:pPr>
                    <w:spacing w:line="280" w:lineRule="exact"/>
                    <w:rPr>
                      <w:color w:val="000000" w:themeColor="text1"/>
                      <w:szCs w:val="21"/>
                      <w:highlight w:val="none"/>
                      <w14:textFill>
                        <w14:solidFill>
                          <w14:schemeClr w14:val="tx1"/>
                        </w14:solidFill>
                      </w14:textFill>
                    </w:rPr>
                  </w:pPr>
                </w:p>
              </w:tc>
              <w:tc>
                <w:tcPr>
                  <w:tcW w:w="1620" w:type="dxa"/>
                </w:tcPr>
                <w:p w14:paraId="74986753">
                  <w:pPr>
                    <w:spacing w:line="280" w:lineRule="exact"/>
                    <w:rPr>
                      <w:color w:val="000000" w:themeColor="text1"/>
                      <w:szCs w:val="21"/>
                      <w:highlight w:val="none"/>
                      <w14:textFill>
                        <w14:solidFill>
                          <w14:schemeClr w14:val="tx1"/>
                        </w14:solidFill>
                      </w14:textFill>
                    </w:rPr>
                  </w:pPr>
                </w:p>
              </w:tc>
              <w:tc>
                <w:tcPr>
                  <w:tcW w:w="1651" w:type="dxa"/>
                </w:tcPr>
                <w:p w14:paraId="50BAC29F">
                  <w:pPr>
                    <w:spacing w:line="280" w:lineRule="exact"/>
                    <w:rPr>
                      <w:color w:val="000000" w:themeColor="text1"/>
                      <w:szCs w:val="21"/>
                      <w:highlight w:val="none"/>
                      <w14:textFill>
                        <w14:solidFill>
                          <w14:schemeClr w14:val="tx1"/>
                        </w14:solidFill>
                      </w14:textFill>
                    </w:rPr>
                  </w:pPr>
                </w:p>
              </w:tc>
            </w:tr>
            <w:tr w14:paraId="2CFF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5" w:type="dxa"/>
                </w:tcPr>
                <w:p w14:paraId="62808C63">
                  <w:pPr>
                    <w:spacing w:line="280" w:lineRule="exact"/>
                    <w:jc w:val="center"/>
                    <w:rPr>
                      <w:color w:val="000000" w:themeColor="text1"/>
                      <w:szCs w:val="21"/>
                      <w:highlight w:val="none"/>
                      <w14:textFill>
                        <w14:solidFill>
                          <w14:schemeClr w14:val="tx1"/>
                        </w14:solidFill>
                      </w14:textFill>
                    </w:rPr>
                  </w:pPr>
                </w:p>
              </w:tc>
              <w:tc>
                <w:tcPr>
                  <w:tcW w:w="3420" w:type="dxa"/>
                </w:tcPr>
                <w:p w14:paraId="2E5E604E">
                  <w:pPr>
                    <w:spacing w:line="280" w:lineRule="exact"/>
                    <w:rPr>
                      <w:color w:val="000000" w:themeColor="text1"/>
                      <w:szCs w:val="21"/>
                      <w:highlight w:val="none"/>
                      <w14:textFill>
                        <w14:solidFill>
                          <w14:schemeClr w14:val="tx1"/>
                        </w14:solidFill>
                      </w14:textFill>
                    </w:rPr>
                  </w:pPr>
                </w:p>
              </w:tc>
              <w:tc>
                <w:tcPr>
                  <w:tcW w:w="1620" w:type="dxa"/>
                </w:tcPr>
                <w:p w14:paraId="4BEFA909">
                  <w:pPr>
                    <w:spacing w:line="280" w:lineRule="exact"/>
                    <w:rPr>
                      <w:color w:val="000000" w:themeColor="text1"/>
                      <w:szCs w:val="21"/>
                      <w:highlight w:val="none"/>
                      <w14:textFill>
                        <w14:solidFill>
                          <w14:schemeClr w14:val="tx1"/>
                        </w14:solidFill>
                      </w14:textFill>
                    </w:rPr>
                  </w:pPr>
                </w:p>
              </w:tc>
              <w:tc>
                <w:tcPr>
                  <w:tcW w:w="1620" w:type="dxa"/>
                </w:tcPr>
                <w:p w14:paraId="39049D31">
                  <w:pPr>
                    <w:spacing w:line="280" w:lineRule="exact"/>
                    <w:rPr>
                      <w:color w:val="000000" w:themeColor="text1"/>
                      <w:szCs w:val="21"/>
                      <w:highlight w:val="none"/>
                      <w14:textFill>
                        <w14:solidFill>
                          <w14:schemeClr w14:val="tx1"/>
                        </w14:solidFill>
                      </w14:textFill>
                    </w:rPr>
                  </w:pPr>
                </w:p>
              </w:tc>
              <w:tc>
                <w:tcPr>
                  <w:tcW w:w="1651" w:type="dxa"/>
                </w:tcPr>
                <w:p w14:paraId="08BF5A63">
                  <w:pPr>
                    <w:spacing w:line="280" w:lineRule="exact"/>
                    <w:rPr>
                      <w:color w:val="000000" w:themeColor="text1"/>
                      <w:szCs w:val="21"/>
                      <w:highlight w:val="none"/>
                      <w14:textFill>
                        <w14:solidFill>
                          <w14:schemeClr w14:val="tx1"/>
                        </w14:solidFill>
                      </w14:textFill>
                    </w:rPr>
                  </w:pPr>
                </w:p>
              </w:tc>
            </w:tr>
          </w:tbl>
          <w:p w14:paraId="75D36A93">
            <w:pPr>
              <w:spacing w:line="400" w:lineRule="exact"/>
              <w:ind w:right="420"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承包人（章）             </w:t>
            </w:r>
          </w:p>
          <w:p w14:paraId="47F3746E">
            <w:pPr>
              <w:spacing w:line="400" w:lineRule="exact"/>
              <w:ind w:right="420"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造价人员承包人代表日      期</w:t>
            </w:r>
          </w:p>
        </w:tc>
      </w:tr>
      <w:tr w14:paraId="5AAB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jc w:val="center"/>
        </w:trPr>
        <w:tc>
          <w:tcPr>
            <w:tcW w:w="4539" w:type="dxa"/>
          </w:tcPr>
          <w:p w14:paraId="3E187497">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3E4021C3">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□与实际施工情况不相符，修改意见见附件。</w:t>
            </w:r>
          </w:p>
          <w:p w14:paraId="7B4C439E">
            <w:pPr>
              <w:spacing w:line="360" w:lineRule="exact"/>
              <w:ind w:firstLine="312"/>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□与实际施工情况相符，具体金额由造价工程师复核。</w:t>
            </w:r>
          </w:p>
          <w:p w14:paraId="7678E70F">
            <w:pPr>
              <w:spacing w:line="360" w:lineRule="exact"/>
              <w:ind w:firstLine="435"/>
              <w:jc w:val="right"/>
              <w:rPr>
                <w:color w:val="000000" w:themeColor="text1"/>
                <w:szCs w:val="21"/>
                <w:highlight w:val="none"/>
                <w14:textFill>
                  <w14:solidFill>
                    <w14:schemeClr w14:val="tx1"/>
                  </w14:solidFill>
                </w14:textFill>
              </w:rPr>
            </w:pPr>
          </w:p>
          <w:p w14:paraId="2875AE86">
            <w:pPr>
              <w:spacing w:line="360" w:lineRule="exact"/>
              <w:ind w:firstLine="435"/>
              <w:jc w:val="right"/>
              <w:rPr>
                <w:color w:val="000000" w:themeColor="text1"/>
                <w:szCs w:val="21"/>
                <w:highlight w:val="none"/>
                <w14:textFill>
                  <w14:solidFill>
                    <w14:schemeClr w14:val="tx1"/>
                  </w14:solidFill>
                </w14:textFill>
              </w:rPr>
            </w:pPr>
          </w:p>
          <w:p w14:paraId="3EE2E316">
            <w:pPr>
              <w:spacing w:line="360" w:lineRule="exact"/>
              <w:ind w:firstLine="435"/>
              <w:jc w:val="center"/>
              <w:rPr>
                <w:color w:val="000000" w:themeColor="text1"/>
                <w:szCs w:val="21"/>
                <w:highlight w:val="none"/>
                <w14:textFill>
                  <w14:solidFill>
                    <w14:schemeClr w14:val="tx1"/>
                  </w14:solidFill>
                </w14:textFill>
              </w:rPr>
            </w:pPr>
          </w:p>
          <w:p w14:paraId="49C48024">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监理工程师</w:t>
            </w:r>
          </w:p>
          <w:p w14:paraId="5ED9A11B">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c>
          <w:tcPr>
            <w:tcW w:w="4533" w:type="dxa"/>
          </w:tcPr>
          <w:p w14:paraId="0A72B4A8">
            <w:pPr>
              <w:spacing w:line="36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复核意见：</w:t>
            </w:r>
          </w:p>
          <w:p w14:paraId="6C2CF718">
            <w:pPr>
              <w:spacing w:line="360" w:lineRule="exact"/>
              <w:ind w:firstLine="435"/>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你方提出的支付申请经复核，最终应支付金额为（大写）元，（小写）  元。</w:t>
            </w:r>
          </w:p>
          <w:p w14:paraId="30717694">
            <w:pPr>
              <w:spacing w:line="360" w:lineRule="exact"/>
              <w:ind w:firstLine="435"/>
              <w:jc w:val="center"/>
              <w:rPr>
                <w:color w:val="000000" w:themeColor="text1"/>
                <w:szCs w:val="21"/>
                <w:highlight w:val="none"/>
                <w14:textFill>
                  <w14:solidFill>
                    <w14:schemeClr w14:val="tx1"/>
                  </w14:solidFill>
                </w14:textFill>
              </w:rPr>
            </w:pPr>
          </w:p>
          <w:p w14:paraId="6046EC04">
            <w:pPr>
              <w:spacing w:line="360" w:lineRule="exact"/>
              <w:ind w:firstLine="435"/>
              <w:jc w:val="center"/>
              <w:rPr>
                <w:color w:val="000000" w:themeColor="text1"/>
                <w:szCs w:val="21"/>
                <w:highlight w:val="none"/>
                <w14:textFill>
                  <w14:solidFill>
                    <w14:schemeClr w14:val="tx1"/>
                  </w14:solidFill>
                </w14:textFill>
              </w:rPr>
            </w:pPr>
          </w:p>
          <w:p w14:paraId="5895D270">
            <w:pPr>
              <w:spacing w:line="360" w:lineRule="exact"/>
              <w:ind w:firstLine="435"/>
              <w:jc w:val="center"/>
              <w:rPr>
                <w:color w:val="000000" w:themeColor="text1"/>
                <w:szCs w:val="21"/>
                <w:highlight w:val="none"/>
                <w14:textFill>
                  <w14:solidFill>
                    <w14:schemeClr w14:val="tx1"/>
                  </w14:solidFill>
                </w14:textFill>
              </w:rPr>
            </w:pPr>
          </w:p>
          <w:p w14:paraId="199453D5">
            <w:pPr>
              <w:spacing w:line="360" w:lineRule="exact"/>
              <w:ind w:firstLine="435"/>
              <w:jc w:val="center"/>
              <w:rPr>
                <w:color w:val="000000" w:themeColor="text1"/>
                <w:szCs w:val="21"/>
                <w:highlight w:val="none"/>
                <w14:textFill>
                  <w14:solidFill>
                    <w14:schemeClr w14:val="tx1"/>
                  </w14:solidFill>
                </w14:textFill>
              </w:rPr>
            </w:pPr>
          </w:p>
          <w:p w14:paraId="5FB5835C">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造价工程师</w:t>
            </w:r>
          </w:p>
          <w:p w14:paraId="384C9402">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r w14:paraId="0020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9072" w:type="dxa"/>
            <w:gridSpan w:val="2"/>
          </w:tcPr>
          <w:p w14:paraId="519BCC24">
            <w:pPr>
              <w:spacing w:line="400" w:lineRule="exac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审核意见：</w:t>
            </w:r>
          </w:p>
          <w:p w14:paraId="0A972781">
            <w:pPr>
              <w:spacing w:line="400" w:lineRule="exact"/>
              <w:ind w:firstLine="435"/>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□不同意。</w:t>
            </w:r>
          </w:p>
          <w:p w14:paraId="646866E4">
            <w:pPr>
              <w:spacing w:line="400" w:lineRule="exact"/>
              <w:ind w:firstLine="420" w:firstLineChars="2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□同意，支付时间为本表签发后的15天内。</w:t>
            </w:r>
          </w:p>
          <w:p w14:paraId="1D934434">
            <w:pPr>
              <w:wordWrap w:val="0"/>
              <w:spacing w:line="400" w:lineRule="exact"/>
              <w:ind w:firstLine="420" w:firstLineChars="200"/>
              <w:jc w:val="right"/>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发包人（章）           </w:t>
            </w:r>
          </w:p>
          <w:p w14:paraId="4DEAF32E">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发包人代表</w:t>
            </w:r>
          </w:p>
          <w:p w14:paraId="4A81C07C">
            <w:pPr>
              <w:wordWrap w:val="0"/>
              <w:spacing w:line="400" w:lineRule="exact"/>
              <w:ind w:firstLine="420" w:firstLineChars="200"/>
              <w:jc w:val="right"/>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日      期</w:t>
            </w:r>
          </w:p>
        </w:tc>
      </w:tr>
    </w:tbl>
    <w:p w14:paraId="03EFA081">
      <w:pPr>
        <w:spacing w:before="156" w:beforeLines="50"/>
        <w:ind w:firstLine="360" w:firstLineChars="2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注：1.在选择栏中的“□”内作标识“√”。 如监理人已退场，监理工程师栏可空缺。</w:t>
      </w:r>
    </w:p>
    <w:p w14:paraId="03EE38E6">
      <w:pPr>
        <w:spacing w:before="156" w:beforeLines="50"/>
        <w:ind w:left="720" w:hanging="720" w:hangingChars="400"/>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 xml:space="preserve">  2.本表一式四份，由承包人填报，发包人、监理人、造价咨询人、承包人各存一份。</w:t>
      </w:r>
    </w:p>
    <w:p w14:paraId="38BA5B32">
      <w:pPr>
        <w:spacing w:line="360" w:lineRule="auto"/>
        <w:jc w:val="left"/>
        <w:rPr>
          <w:rFonts w:hAnsi="宋体" w:cs="宋体"/>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附件14：</w:t>
      </w:r>
    </w:p>
    <w:p w14:paraId="22EE9967">
      <w:pPr>
        <w:spacing w:line="360" w:lineRule="auto"/>
        <w:ind w:firstLine="720" w:firstLineChars="200"/>
        <w:jc w:val="center"/>
        <w:rPr>
          <w:rFonts w:ascii="宋体" w:hAnsi="宋体" w:cs="宋体"/>
          <w:color w:val="000000" w:themeColor="text1"/>
          <w:kern w:val="0"/>
          <w:sz w:val="36"/>
          <w:szCs w:val="36"/>
          <w:highlight w:val="none"/>
          <w14:textFill>
            <w14:solidFill>
              <w14:schemeClr w14:val="tx1"/>
            </w14:solidFill>
          </w14:textFill>
        </w:rPr>
      </w:pPr>
      <w:r>
        <w:rPr>
          <w:rFonts w:hint="eastAsia" w:ascii="宋体" w:hAnsi="宋体" w:cs="宋体"/>
          <w:color w:val="000000" w:themeColor="text1"/>
          <w:kern w:val="0"/>
          <w:sz w:val="36"/>
          <w:szCs w:val="36"/>
          <w:highlight w:val="none"/>
          <w14:textFill>
            <w14:solidFill>
              <w14:schemeClr w14:val="tx1"/>
            </w14:solidFill>
          </w14:textFill>
        </w:rPr>
        <w:t>总价合同进度款支付分解表</w:t>
      </w:r>
    </w:p>
    <w:p w14:paraId="37B02F36">
      <w:pPr>
        <w:spacing w:line="360" w:lineRule="auto"/>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工程名称：</w:t>
      </w:r>
    </w:p>
    <w:tbl>
      <w:tblPr>
        <w:tblStyle w:val="44"/>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
        <w:gridCol w:w="1417"/>
        <w:gridCol w:w="3119"/>
        <w:gridCol w:w="675"/>
        <w:gridCol w:w="2268"/>
        <w:gridCol w:w="1276"/>
      </w:tblGrid>
      <w:tr w14:paraId="7060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1B15C335">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进度款期次</w:t>
            </w:r>
          </w:p>
        </w:tc>
        <w:tc>
          <w:tcPr>
            <w:tcW w:w="3794" w:type="dxa"/>
            <w:gridSpan w:val="2"/>
          </w:tcPr>
          <w:p w14:paraId="352A4E6B">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形象进度</w:t>
            </w:r>
          </w:p>
        </w:tc>
        <w:tc>
          <w:tcPr>
            <w:tcW w:w="2268" w:type="dxa"/>
          </w:tcPr>
          <w:p w14:paraId="42F69D84">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进度款付款金额（元）</w:t>
            </w:r>
          </w:p>
        </w:tc>
        <w:tc>
          <w:tcPr>
            <w:tcW w:w="1276" w:type="dxa"/>
          </w:tcPr>
          <w:p w14:paraId="5AE881F8">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备注</w:t>
            </w:r>
          </w:p>
        </w:tc>
      </w:tr>
      <w:tr w14:paraId="727B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0F88E72F">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第一期</w:t>
            </w:r>
          </w:p>
        </w:tc>
        <w:tc>
          <w:tcPr>
            <w:tcW w:w="3794" w:type="dxa"/>
            <w:gridSpan w:val="2"/>
          </w:tcPr>
          <w:p w14:paraId="5C4134C0">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2C986588">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01797FA0">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0167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1D957370">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第二期</w:t>
            </w:r>
          </w:p>
        </w:tc>
        <w:tc>
          <w:tcPr>
            <w:tcW w:w="3794" w:type="dxa"/>
            <w:gridSpan w:val="2"/>
          </w:tcPr>
          <w:p w14:paraId="33DA5105">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334C7DFF">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678DF19E">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3025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136F0328">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第三期</w:t>
            </w:r>
          </w:p>
        </w:tc>
        <w:tc>
          <w:tcPr>
            <w:tcW w:w="3794" w:type="dxa"/>
            <w:gridSpan w:val="2"/>
          </w:tcPr>
          <w:p w14:paraId="6ED7A9A7">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3C96CAF2">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29AF4075">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1516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4" w:type="dxa"/>
        </w:trPr>
        <w:tc>
          <w:tcPr>
            <w:tcW w:w="1417" w:type="dxa"/>
          </w:tcPr>
          <w:p w14:paraId="53AD2844">
            <w:pPr>
              <w:spacing w:line="360" w:lineRule="auto"/>
              <w:jc w:val="center"/>
              <w:rPr>
                <w:rFonts w:ascii="宋体" w:hAnsi="宋体" w:cs="宋体"/>
                <w:color w:val="000000" w:themeColor="text1"/>
                <w:kern w:val="0"/>
                <w:szCs w:val="21"/>
                <w:highlight w:val="none"/>
                <w14:textFill>
                  <w14:solidFill>
                    <w14:schemeClr w14:val="tx1"/>
                  </w14:solidFill>
                </w14:textFill>
              </w:rPr>
            </w:pPr>
            <w:r>
              <w:rPr>
                <w:rFonts w:ascii="宋体" w:hAnsi="宋体" w:cs="宋体"/>
                <w:color w:val="000000" w:themeColor="text1"/>
                <w:kern w:val="0"/>
                <w:szCs w:val="21"/>
                <w:highlight w:val="none"/>
                <w14:textFill>
                  <w14:solidFill>
                    <w14:schemeClr w14:val="tx1"/>
                  </w14:solidFill>
                </w14:textFill>
              </w:rPr>
              <w:t>……</w:t>
            </w:r>
          </w:p>
        </w:tc>
        <w:tc>
          <w:tcPr>
            <w:tcW w:w="3794" w:type="dxa"/>
            <w:gridSpan w:val="2"/>
          </w:tcPr>
          <w:p w14:paraId="71D9A3FD">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2268" w:type="dxa"/>
          </w:tcPr>
          <w:p w14:paraId="0A3A8BBD">
            <w:pPr>
              <w:spacing w:line="360" w:lineRule="auto"/>
              <w:jc w:val="center"/>
              <w:rPr>
                <w:rFonts w:ascii="宋体" w:hAnsi="宋体" w:cs="宋体"/>
                <w:color w:val="000000" w:themeColor="text1"/>
                <w:kern w:val="0"/>
                <w:szCs w:val="21"/>
                <w:highlight w:val="none"/>
                <w14:textFill>
                  <w14:solidFill>
                    <w14:schemeClr w14:val="tx1"/>
                  </w14:solidFill>
                </w14:textFill>
              </w:rPr>
            </w:pPr>
          </w:p>
        </w:tc>
        <w:tc>
          <w:tcPr>
            <w:tcW w:w="1276" w:type="dxa"/>
          </w:tcPr>
          <w:p w14:paraId="3D6B7066">
            <w:pPr>
              <w:spacing w:line="360" w:lineRule="auto"/>
              <w:jc w:val="center"/>
              <w:rPr>
                <w:rFonts w:ascii="宋体" w:hAnsi="宋体" w:cs="宋体"/>
                <w:color w:val="000000" w:themeColor="text1"/>
                <w:kern w:val="0"/>
                <w:szCs w:val="21"/>
                <w:highlight w:val="none"/>
                <w14:textFill>
                  <w14:solidFill>
                    <w14:schemeClr w14:val="tx1"/>
                  </w14:solidFill>
                </w14:textFill>
              </w:rPr>
            </w:pPr>
          </w:p>
        </w:tc>
      </w:tr>
      <w:tr w14:paraId="5941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0" w:hRule="atLeast"/>
        </w:trPr>
        <w:tc>
          <w:tcPr>
            <w:tcW w:w="4570" w:type="dxa"/>
            <w:gridSpan w:val="3"/>
          </w:tcPr>
          <w:p w14:paraId="4B85392E">
            <w:pPr>
              <w:spacing w:line="360" w:lineRule="exact"/>
              <w:ind w:firstLine="435"/>
              <w:jc w:val="right"/>
              <w:rPr>
                <w:color w:val="000000" w:themeColor="text1"/>
                <w:szCs w:val="21"/>
                <w:highlight w:val="none"/>
                <w14:textFill>
                  <w14:solidFill>
                    <w14:schemeClr w14:val="tx1"/>
                  </w14:solidFill>
                </w14:textFill>
              </w:rPr>
            </w:pPr>
          </w:p>
          <w:p w14:paraId="58FC2E27">
            <w:pPr>
              <w:spacing w:line="360" w:lineRule="exact"/>
              <w:ind w:firstLine="435"/>
              <w:jc w:val="center"/>
              <w:rPr>
                <w:color w:val="000000" w:themeColor="text1"/>
                <w:szCs w:val="21"/>
                <w:highlight w:val="none"/>
                <w14:textFill>
                  <w14:solidFill>
                    <w14:schemeClr w14:val="tx1"/>
                  </w14:solidFill>
                </w14:textFill>
              </w:rPr>
            </w:pPr>
          </w:p>
          <w:p w14:paraId="02D40091">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发包人代表签字：</w:t>
            </w:r>
          </w:p>
          <w:p w14:paraId="3992CDD6">
            <w:pPr>
              <w:spacing w:line="360" w:lineRule="exact"/>
              <w:ind w:firstLine="435"/>
              <w:jc w:val="center"/>
              <w:rPr>
                <w:color w:val="000000" w:themeColor="text1"/>
                <w:szCs w:val="21"/>
                <w:highlight w:val="none"/>
                <w14:textFill>
                  <w14:solidFill>
                    <w14:schemeClr w14:val="tx1"/>
                  </w14:solidFill>
                </w14:textFill>
              </w:rPr>
            </w:pPr>
          </w:p>
          <w:p w14:paraId="7858031A">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发包人（盖公章）</w:t>
            </w:r>
          </w:p>
          <w:p w14:paraId="10F72966">
            <w:pPr>
              <w:spacing w:line="360" w:lineRule="exact"/>
              <w:ind w:firstLine="435"/>
              <w:jc w:val="center"/>
              <w:rPr>
                <w:color w:val="000000" w:themeColor="text1"/>
                <w:szCs w:val="21"/>
                <w:highlight w:val="none"/>
                <w14:textFill>
                  <w14:solidFill>
                    <w14:schemeClr w14:val="tx1"/>
                  </w14:solidFill>
                </w14:textFill>
              </w:rPr>
            </w:pPr>
          </w:p>
          <w:p w14:paraId="7D558CFA">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        </w:t>
            </w:r>
          </w:p>
        </w:tc>
        <w:tc>
          <w:tcPr>
            <w:tcW w:w="4219" w:type="dxa"/>
            <w:gridSpan w:val="3"/>
          </w:tcPr>
          <w:p w14:paraId="5C3D55EE">
            <w:pPr>
              <w:spacing w:line="360" w:lineRule="exact"/>
              <w:ind w:firstLine="435"/>
              <w:jc w:val="center"/>
              <w:rPr>
                <w:color w:val="000000" w:themeColor="text1"/>
                <w:szCs w:val="21"/>
                <w:highlight w:val="none"/>
                <w14:textFill>
                  <w14:solidFill>
                    <w14:schemeClr w14:val="tx1"/>
                  </w14:solidFill>
                </w14:textFill>
              </w:rPr>
            </w:pPr>
          </w:p>
          <w:p w14:paraId="0B3B6578">
            <w:pPr>
              <w:spacing w:line="360" w:lineRule="exact"/>
              <w:ind w:firstLine="435"/>
              <w:jc w:val="center"/>
              <w:rPr>
                <w:color w:val="000000" w:themeColor="text1"/>
                <w:szCs w:val="21"/>
                <w:highlight w:val="none"/>
                <w:u w:val="single"/>
                <w14:textFill>
                  <w14:solidFill>
                    <w14:schemeClr w14:val="tx1"/>
                  </w14:solidFill>
                </w14:textFill>
              </w:rPr>
            </w:pPr>
          </w:p>
          <w:p w14:paraId="11373548">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承包人代表签字：</w:t>
            </w:r>
          </w:p>
          <w:p w14:paraId="7F2CA4A2">
            <w:pPr>
              <w:spacing w:line="360" w:lineRule="exact"/>
              <w:ind w:firstLine="435"/>
              <w:jc w:val="center"/>
              <w:rPr>
                <w:color w:val="000000" w:themeColor="text1"/>
                <w:szCs w:val="21"/>
                <w:highlight w:val="none"/>
                <w14:textFill>
                  <w14:solidFill>
                    <w14:schemeClr w14:val="tx1"/>
                  </w14:solidFill>
                </w14:textFill>
              </w:rPr>
            </w:pPr>
          </w:p>
          <w:p w14:paraId="50945373">
            <w:pPr>
              <w:spacing w:line="360" w:lineRule="exact"/>
              <w:ind w:firstLine="435"/>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承包人（盖公章）</w:t>
            </w:r>
          </w:p>
          <w:p w14:paraId="2AB729A2">
            <w:pPr>
              <w:spacing w:line="360" w:lineRule="exact"/>
              <w:ind w:firstLine="435"/>
              <w:jc w:val="center"/>
              <w:rPr>
                <w:color w:val="000000" w:themeColor="text1"/>
                <w:szCs w:val="21"/>
                <w:highlight w:val="none"/>
                <w14:textFill>
                  <w14:solidFill>
                    <w14:schemeClr w14:val="tx1"/>
                  </w14:solidFill>
                </w14:textFill>
              </w:rPr>
            </w:pPr>
          </w:p>
          <w:p w14:paraId="5C5C7E1A">
            <w:pPr>
              <w:spacing w:line="360" w:lineRule="exact"/>
              <w:ind w:firstLine="435"/>
              <w:jc w:val="center"/>
              <w:rPr>
                <w:color w:val="000000" w:themeColor="text1"/>
                <w:szCs w:val="21"/>
                <w:highlight w:val="none"/>
                <w:u w:val="single"/>
                <w14:textFill>
                  <w14:solidFill>
                    <w14:schemeClr w14:val="tx1"/>
                  </w14:solidFill>
                </w14:textFill>
              </w:rPr>
            </w:pPr>
            <w:r>
              <w:rPr>
                <w:rFonts w:hint="eastAsia"/>
                <w:color w:val="000000" w:themeColor="text1"/>
                <w:szCs w:val="21"/>
                <w:highlight w:val="none"/>
                <w14:textFill>
                  <w14:solidFill>
                    <w14:schemeClr w14:val="tx1"/>
                  </w14:solidFill>
                </w14:textFill>
              </w:rPr>
              <w:t xml:space="preserve">    日      期</w:t>
            </w:r>
          </w:p>
        </w:tc>
      </w:tr>
    </w:tbl>
    <w:p w14:paraId="5096322E">
      <w:pPr>
        <w:spacing w:line="360" w:lineRule="auto"/>
        <w:rPr>
          <w:rFonts w:ascii="宋体"/>
          <w:color w:val="000000" w:themeColor="text1"/>
          <w:szCs w:val="21"/>
          <w:highlight w:val="none"/>
          <w14:textFill>
            <w14:solidFill>
              <w14:schemeClr w14:val="tx1"/>
            </w14:solidFill>
          </w14:textFill>
        </w:rPr>
      </w:pPr>
    </w:p>
    <w:p w14:paraId="7E450009">
      <w:pPr>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br w:type="page"/>
      </w:r>
    </w:p>
    <w:p w14:paraId="35CC2B96">
      <w:pPr>
        <w:pStyle w:val="26"/>
        <w:spacing w:line="360" w:lineRule="auto"/>
        <w:jc w:val="center"/>
        <w:outlineLvl w:val="0"/>
        <w:rPr>
          <w:rFonts w:hint="eastAsia" w:asciiTheme="minorEastAsia" w:hAnsiTheme="minorEastAsia" w:eastAsiaTheme="minorEastAsia" w:cstheme="minorEastAsia"/>
          <w:b/>
          <w:bCs/>
          <w:color w:val="auto"/>
          <w:sz w:val="44"/>
          <w:szCs w:val="44"/>
          <w:highlight w:val="none"/>
        </w:rPr>
      </w:pPr>
      <w:r>
        <w:rPr>
          <w:rFonts w:hint="eastAsia" w:asciiTheme="minorEastAsia" w:hAnsiTheme="minorEastAsia" w:eastAsiaTheme="minorEastAsia" w:cstheme="minorEastAsia"/>
          <w:b/>
          <w:bCs/>
          <w:color w:val="auto"/>
          <w:sz w:val="44"/>
          <w:szCs w:val="44"/>
          <w:highlight w:val="none"/>
        </w:rPr>
        <w:t>第九章    质疑、投诉材料格式</w:t>
      </w:r>
      <w:bookmarkEnd w:id="79"/>
    </w:p>
    <w:p w14:paraId="242A61D5">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质疑函（格式）</w:t>
      </w:r>
    </w:p>
    <w:p w14:paraId="105D9CFA">
      <w:pPr>
        <w:pStyle w:val="26"/>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344DE919">
      <w:pPr>
        <w:pStyle w:val="26"/>
        <w:spacing w:line="360" w:lineRule="auto"/>
        <w:ind w:firstLine="480" w:firstLineChars="200"/>
        <w:contextualSpacing/>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3821FA9">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0D1940FC">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0DDA813">
      <w:pPr>
        <w:pStyle w:val="26"/>
        <w:spacing w:line="360" w:lineRule="auto"/>
        <w:ind w:firstLine="480" w:firstLineChars="200"/>
        <w:contextualSpacing/>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3798F350">
      <w:pPr>
        <w:pStyle w:val="26"/>
        <w:spacing w:line="360" w:lineRule="auto"/>
        <w:ind w:firstLine="480" w:firstLineChars="200"/>
        <w:contextualSpacing/>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4B6DAD9">
      <w:pPr>
        <w:pStyle w:val="26"/>
        <w:spacing w:line="360" w:lineRule="auto"/>
        <w:ind w:firstLine="480" w:firstLineChars="200"/>
        <w:contextualSpacing/>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0A3A49B">
      <w:pPr>
        <w:pStyle w:val="26"/>
        <w:spacing w:line="360" w:lineRule="auto"/>
        <w:ind w:firstLine="482" w:firstLineChars="200"/>
        <w:contextualSpacing/>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44F287D3">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D421F58">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030AFF4B">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3ABEB07">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w:t>
      </w:r>
    </w:p>
    <w:p w14:paraId="7DD49544">
      <w:pPr>
        <w:pStyle w:val="2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□采购文件   采购文件获取日期：</w:t>
      </w:r>
      <w:r>
        <w:rPr>
          <w:rFonts w:hint="eastAsia" w:hAnsi="宋体"/>
          <w:bCs/>
          <w:color w:val="auto"/>
          <w:sz w:val="24"/>
          <w:szCs w:val="24"/>
          <w:highlight w:val="none"/>
          <w:u w:val="single"/>
        </w:rPr>
        <w:t xml:space="preserve">                                   </w:t>
      </w:r>
    </w:p>
    <w:p w14:paraId="1367C308">
      <w:pPr>
        <w:pStyle w:val="26"/>
        <w:spacing w:line="360" w:lineRule="auto"/>
        <w:ind w:left="25" w:leftChars="12" w:firstLine="352" w:firstLineChars="147"/>
        <w:contextualSpacing/>
        <w:rPr>
          <w:rFonts w:hint="eastAsia" w:hAnsi="宋体"/>
          <w:color w:val="auto"/>
          <w:sz w:val="24"/>
          <w:szCs w:val="24"/>
          <w:highlight w:val="none"/>
        </w:rPr>
      </w:pPr>
      <w:r>
        <w:rPr>
          <w:rFonts w:hint="eastAsia" w:hAnsi="宋体"/>
          <w:color w:val="auto"/>
          <w:sz w:val="24"/>
          <w:szCs w:val="24"/>
          <w:highlight w:val="none"/>
        </w:rPr>
        <w:t xml:space="preserve">□采购过程   </w:t>
      </w:r>
    </w:p>
    <w:p w14:paraId="63D7465D">
      <w:pPr>
        <w:pStyle w:val="26"/>
        <w:spacing w:line="360" w:lineRule="auto"/>
        <w:ind w:left="25" w:leftChars="12" w:firstLine="352" w:firstLineChars="147"/>
        <w:contextualSpacing/>
        <w:rPr>
          <w:rFonts w:hint="eastAsia" w:hAnsi="宋体"/>
          <w:bCs/>
          <w:color w:val="auto"/>
          <w:sz w:val="24"/>
          <w:szCs w:val="24"/>
          <w:highlight w:val="none"/>
          <w:u w:val="single"/>
        </w:rPr>
      </w:pPr>
      <w:r>
        <w:rPr>
          <w:rFonts w:hint="eastAsia" w:hAnsi="宋体"/>
          <w:color w:val="auto"/>
          <w:sz w:val="24"/>
          <w:szCs w:val="24"/>
          <w:highlight w:val="none"/>
        </w:rPr>
        <w:t xml:space="preserve">□成交结果   </w:t>
      </w:r>
    </w:p>
    <w:p w14:paraId="00D53E3A">
      <w:pPr>
        <w:pStyle w:val="26"/>
        <w:spacing w:line="360" w:lineRule="auto"/>
        <w:ind w:left="25" w:leftChars="12" w:firstLine="472" w:firstLineChars="196"/>
        <w:contextualSpacing/>
        <w:rPr>
          <w:rFonts w:hint="eastAsia" w:hAnsi="宋体"/>
          <w:b/>
          <w:color w:val="auto"/>
          <w:sz w:val="24"/>
          <w:szCs w:val="24"/>
          <w:highlight w:val="none"/>
        </w:rPr>
      </w:pPr>
      <w:r>
        <w:rPr>
          <w:rFonts w:hint="eastAsia" w:hAnsi="宋体"/>
          <w:b/>
          <w:color w:val="auto"/>
          <w:sz w:val="24"/>
          <w:szCs w:val="24"/>
          <w:highlight w:val="none"/>
        </w:rPr>
        <w:t>三、质疑事项具体内容</w:t>
      </w:r>
    </w:p>
    <w:p w14:paraId="55001D86">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366756E6">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5B9208A1">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65D66C6C">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质疑事项2</w:t>
      </w:r>
    </w:p>
    <w:p w14:paraId="4D2FA920">
      <w:pPr>
        <w:pStyle w:val="26"/>
        <w:spacing w:line="360" w:lineRule="auto"/>
        <w:ind w:left="25" w:leftChars="12" w:firstLine="472" w:firstLineChars="197"/>
        <w:contextualSpacing/>
        <w:rPr>
          <w:rFonts w:hint="eastAsia" w:hAnsi="宋体"/>
          <w:color w:val="auto"/>
          <w:sz w:val="24"/>
          <w:szCs w:val="24"/>
          <w:highlight w:val="none"/>
        </w:rPr>
      </w:pPr>
      <w:r>
        <w:rPr>
          <w:rFonts w:hAnsi="宋体"/>
          <w:color w:val="auto"/>
          <w:sz w:val="24"/>
          <w:szCs w:val="24"/>
          <w:highlight w:val="none"/>
        </w:rPr>
        <w:t>……</w:t>
      </w:r>
    </w:p>
    <w:p w14:paraId="58D9FF62">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4EA91492">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EE9CE70">
      <w:pPr>
        <w:pStyle w:val="26"/>
        <w:spacing w:line="360" w:lineRule="auto"/>
        <w:ind w:left="25" w:leftChars="12" w:firstLine="352" w:firstLineChars="147"/>
        <w:contextualSpacing/>
        <w:rPr>
          <w:rFonts w:hint="eastAsia" w:hAnsi="宋体"/>
          <w:color w:val="auto"/>
          <w:sz w:val="24"/>
          <w:szCs w:val="24"/>
          <w:highlight w:val="none"/>
        </w:rPr>
      </w:pPr>
    </w:p>
    <w:p w14:paraId="18586261">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签字（签章）：                                       公章：</w:t>
      </w:r>
    </w:p>
    <w:p w14:paraId="3904BDEE">
      <w:pPr>
        <w:pStyle w:val="26"/>
        <w:spacing w:line="360" w:lineRule="auto"/>
        <w:ind w:left="25" w:leftChars="12" w:firstLine="352" w:firstLineChars="147"/>
        <w:contextualSpacing/>
        <w:rPr>
          <w:rFonts w:hint="eastAsia" w:hAnsi="宋体"/>
          <w:color w:val="auto"/>
          <w:sz w:val="24"/>
          <w:szCs w:val="24"/>
          <w:highlight w:val="none"/>
        </w:rPr>
      </w:pPr>
    </w:p>
    <w:p w14:paraId="54426C53">
      <w:pPr>
        <w:pStyle w:val="26"/>
        <w:spacing w:line="360" w:lineRule="auto"/>
        <w:ind w:left="25" w:leftChars="12" w:firstLine="472" w:firstLineChars="197"/>
        <w:contextualSpacing/>
        <w:rPr>
          <w:rFonts w:hint="eastAsia" w:hAnsi="宋体"/>
          <w:color w:val="auto"/>
          <w:sz w:val="24"/>
          <w:szCs w:val="24"/>
          <w:highlight w:val="none"/>
        </w:rPr>
      </w:pPr>
      <w:r>
        <w:rPr>
          <w:rFonts w:hint="eastAsia" w:hAnsi="宋体"/>
          <w:color w:val="auto"/>
          <w:sz w:val="24"/>
          <w:szCs w:val="24"/>
          <w:highlight w:val="none"/>
        </w:rPr>
        <w:t>日期：</w:t>
      </w:r>
    </w:p>
    <w:p w14:paraId="0B1ABBE0">
      <w:pPr>
        <w:pStyle w:val="26"/>
        <w:spacing w:line="360" w:lineRule="auto"/>
        <w:contextualSpacing/>
        <w:rPr>
          <w:rFonts w:hint="eastAsia" w:hAnsi="宋体"/>
          <w:b/>
          <w:color w:val="auto"/>
          <w:sz w:val="24"/>
          <w:szCs w:val="24"/>
          <w:highlight w:val="none"/>
        </w:rPr>
      </w:pPr>
      <w:r>
        <w:rPr>
          <w:rFonts w:hint="eastAsia" w:hAnsi="宋体"/>
          <w:b/>
          <w:color w:val="auto"/>
          <w:sz w:val="24"/>
          <w:szCs w:val="24"/>
          <w:highlight w:val="none"/>
        </w:rPr>
        <w:t>说明：</w:t>
      </w:r>
    </w:p>
    <w:p w14:paraId="713F0B4D">
      <w:pPr>
        <w:pStyle w:val="26"/>
        <w:spacing w:line="360" w:lineRule="auto"/>
        <w:ind w:left="25" w:leftChars="12" w:firstLine="354" w:firstLineChars="147"/>
        <w:contextualSpacing/>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6F755629">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EDF0327">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847C4A6">
      <w:pPr>
        <w:pStyle w:val="26"/>
        <w:spacing w:line="360" w:lineRule="auto"/>
        <w:ind w:left="25" w:leftChars="12" w:firstLine="354" w:firstLineChars="147"/>
        <w:contextualSpacing/>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7EBF1228">
      <w:pPr>
        <w:pStyle w:val="26"/>
        <w:spacing w:line="360" w:lineRule="auto"/>
        <w:ind w:left="25" w:leftChars="12" w:firstLine="354" w:firstLineChars="147"/>
        <w:contextualSpacing/>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0728F743">
      <w:pPr>
        <w:pStyle w:val="26"/>
        <w:snapToGrid w:val="0"/>
        <w:rPr>
          <w:b/>
          <w:color w:val="auto"/>
          <w:sz w:val="24"/>
          <w:szCs w:val="24"/>
          <w:highlight w:val="none"/>
        </w:rPr>
      </w:pPr>
    </w:p>
    <w:p w14:paraId="39F4030D">
      <w:pPr>
        <w:spacing w:line="460" w:lineRule="exact"/>
        <w:jc w:val="center"/>
        <w:rPr>
          <w:rFonts w:eastAsia="隶书"/>
          <w:color w:val="auto"/>
          <w:sz w:val="44"/>
          <w:highlight w:val="none"/>
        </w:rPr>
      </w:pPr>
      <w:r>
        <w:rPr>
          <w:rFonts w:eastAsia="隶书"/>
          <w:color w:val="auto"/>
          <w:sz w:val="44"/>
          <w:highlight w:val="none"/>
        </w:rPr>
        <w:br w:type="page"/>
      </w:r>
    </w:p>
    <w:p w14:paraId="133BDEC9">
      <w:pPr>
        <w:spacing w:line="360" w:lineRule="auto"/>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投诉书（格式）</w:t>
      </w:r>
    </w:p>
    <w:p w14:paraId="0ACB2313">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42C20C11">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1158472E">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73C2F3E">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189E85B2">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11393E59">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10804176">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7C7FD610">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2978F23">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被投诉人1：</w:t>
      </w:r>
    </w:p>
    <w:p w14:paraId="59A7FAE5">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8C7BB1B">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1AE8E7A">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54339394">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被投诉人2：</w:t>
      </w:r>
    </w:p>
    <w:p w14:paraId="7EA76325">
      <w:pPr>
        <w:pStyle w:val="26"/>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w:t>
      </w:r>
    </w:p>
    <w:p w14:paraId="6D7F33E6">
      <w:pPr>
        <w:pStyle w:val="26"/>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43A8183F">
      <w:pPr>
        <w:pStyle w:val="26"/>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212D9B27">
      <w:pPr>
        <w:pStyle w:val="26"/>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13D46EE">
      <w:pPr>
        <w:pStyle w:val="26"/>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6C55DD9">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00EC79D3">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777B5891">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8D40424">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2DE1A206">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4AB8585C">
      <w:pPr>
        <w:pStyle w:val="26"/>
        <w:spacing w:line="360" w:lineRule="auto"/>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55E0394">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65EEB29">
      <w:pPr>
        <w:pStyle w:val="26"/>
        <w:spacing w:line="360" w:lineRule="auto"/>
        <w:ind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6B9987F4">
      <w:pPr>
        <w:pStyle w:val="26"/>
        <w:spacing w:line="360" w:lineRule="auto"/>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A2603AA">
      <w:pPr>
        <w:pStyle w:val="26"/>
        <w:spacing w:line="360" w:lineRule="auto"/>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3F8A0640">
      <w:pPr>
        <w:pStyle w:val="26"/>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46629A5C">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35DC9A24">
      <w:pPr>
        <w:pStyle w:val="26"/>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5602BA4D">
      <w:pPr>
        <w:pStyle w:val="2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23D64B6C">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08D5CF74">
      <w:pPr>
        <w:pStyle w:val="26"/>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39331A8C">
      <w:pPr>
        <w:pStyle w:val="26"/>
        <w:spacing w:line="360" w:lineRule="auto"/>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73CDDBC6">
      <w:pPr>
        <w:pStyle w:val="26"/>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669F5C8D">
      <w:pPr>
        <w:pStyle w:val="26"/>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20C7AC50">
      <w:pPr>
        <w:pStyle w:val="26"/>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7C54EE53">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1A9D18C9">
      <w:pPr>
        <w:pStyle w:val="26"/>
        <w:spacing w:line="360" w:lineRule="auto"/>
        <w:ind w:left="25" w:leftChars="12" w:firstLine="352" w:firstLineChars="147"/>
        <w:rPr>
          <w:rFonts w:hint="eastAsia" w:hAnsi="宋体"/>
          <w:color w:val="auto"/>
          <w:sz w:val="24"/>
          <w:szCs w:val="24"/>
          <w:highlight w:val="none"/>
        </w:rPr>
      </w:pPr>
    </w:p>
    <w:p w14:paraId="5676D3DC">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E45AFCF">
      <w:pPr>
        <w:pStyle w:val="26"/>
        <w:spacing w:line="360" w:lineRule="auto"/>
        <w:ind w:left="25" w:leftChars="12" w:firstLine="352" w:firstLineChars="147"/>
        <w:rPr>
          <w:rFonts w:hint="eastAsia" w:hAnsi="宋体"/>
          <w:color w:val="auto"/>
          <w:sz w:val="24"/>
          <w:szCs w:val="24"/>
          <w:highlight w:val="none"/>
        </w:rPr>
      </w:pPr>
    </w:p>
    <w:p w14:paraId="5E2E03DB">
      <w:pPr>
        <w:pStyle w:val="26"/>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2C150C4E">
      <w:pPr>
        <w:pStyle w:val="26"/>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0E4799B3">
      <w:pPr>
        <w:pStyle w:val="26"/>
        <w:snapToGrid w:val="0"/>
        <w:spacing w:line="360" w:lineRule="auto"/>
        <w:rPr>
          <w:rFonts w:hint="eastAsia" w:hAnsi="宋体"/>
          <w:b/>
          <w:color w:val="auto"/>
          <w:sz w:val="24"/>
          <w:szCs w:val="24"/>
          <w:highlight w:val="none"/>
        </w:rPr>
      </w:pPr>
    </w:p>
    <w:p w14:paraId="59B30F48">
      <w:pPr>
        <w:pStyle w:val="26"/>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07CE344C">
      <w:pPr>
        <w:pStyle w:val="26"/>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25D0109E">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B32527E">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223BAE15">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2F4DC0E4">
      <w:pPr>
        <w:pStyle w:val="26"/>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409930C7">
      <w:pPr>
        <w:rPr>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bookmarkEnd w:id="17"/>
      <w:bookmarkEnd w:id="29"/>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E886C8-5368-43E8-A67E-8ED896624873}"/>
  </w:font>
  <w:font w:name="黑体">
    <w:panose1 w:val="02010609060101010101"/>
    <w:charset w:val="86"/>
    <w:family w:val="auto"/>
    <w:pitch w:val="default"/>
    <w:sig w:usb0="800002BF" w:usb1="38CF7CFA" w:usb2="00000016" w:usb3="00000000" w:csb0="00040001" w:csb1="00000000"/>
    <w:embedRegular r:id="rId2" w:fontKey="{5F897D24-E731-44C7-A579-8B5F6728BF08}"/>
  </w:font>
  <w:font w:name="Courier New">
    <w:panose1 w:val="02070309020205020404"/>
    <w:charset w:val="01"/>
    <w:family w:val="modern"/>
    <w:pitch w:val="default"/>
    <w:sig w:usb0="E0002EFF" w:usb1="C0007843" w:usb2="00000009" w:usb3="00000000" w:csb0="400001FF" w:csb1="FFFF0000"/>
    <w:embedRegular r:id="rId3" w:fontKey="{E3905792-3D45-4AD6-86A4-0F75DB6A423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5408EEB-F266-45E2-897C-A885E82D7527}"/>
  </w:font>
  <w:font w:name="理德小标宋简">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5" w:fontKey="{68169A13-2E4E-48B3-9BAC-E5A34F1993BB}"/>
  </w:font>
  <w:font w:name="楷体_GB2312">
    <w:panose1 w:val="02010609030101010101"/>
    <w:charset w:val="86"/>
    <w:family w:val="modern"/>
    <w:pitch w:val="default"/>
    <w:sig w:usb0="00000001" w:usb1="080E0000" w:usb2="00000000" w:usb3="00000000" w:csb0="00040000" w:csb1="00000000"/>
    <w:embedRegular r:id="rId6" w:fontKey="{5808DE3F-FEA1-4918-9B54-8A204AEED08D}"/>
  </w:font>
  <w:font w:name="monospac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7" w:fontKey="{1DCFDE65-DC06-49C6-BF04-7695728FD4F6}"/>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方正美黑简体">
    <w:altName w:val="黑体"/>
    <w:panose1 w:val="00000000000000000000"/>
    <w:charset w:val="86"/>
    <w:family w:val="script"/>
    <w:pitch w:val="default"/>
    <w:sig w:usb0="00000000" w:usb1="00000000" w:usb2="00000000" w:usb3="00000000" w:csb0="00040000" w:csb1="00000000"/>
    <w:embedRegular r:id="rId8" w:fontKey="{3E192A34-260B-4469-9B74-29AA7B6324BB}"/>
  </w:font>
  <w:font w:name="汉仪魏碑简">
    <w:altName w:val="宋体"/>
    <w:panose1 w:val="00000000000000000000"/>
    <w:charset w:val="86"/>
    <w:family w:val="modern"/>
    <w:pitch w:val="default"/>
    <w:sig w:usb0="00000000" w:usb1="00000000" w:usb2="00000012" w:usb3="00000000" w:csb0="00040000" w:csb1="00000000"/>
    <w:embedRegular r:id="rId9" w:fontKey="{2DF58F29-3897-4ECE-9708-FAD131E44FB1}"/>
  </w:font>
  <w:font w:name="幼圆">
    <w:panose1 w:val="02010509060101010101"/>
    <w:charset w:val="86"/>
    <w:family w:val="modern"/>
    <w:pitch w:val="default"/>
    <w:sig w:usb0="00000001" w:usb1="080E0000" w:usb2="00000000" w:usb3="00000000" w:csb0="00040000" w:csb1="00000000"/>
    <w:embedRegular r:id="rId10" w:fontKey="{676CD4A2-F23C-40FB-9553-3EA7462B84B6}"/>
  </w:font>
  <w:font w:name="微软雅黑">
    <w:panose1 w:val="020B0503020204020204"/>
    <w:charset w:val="86"/>
    <w:family w:val="swiss"/>
    <w:pitch w:val="default"/>
    <w:sig w:usb0="80000287" w:usb1="2ACF3C50" w:usb2="00000016" w:usb3="00000000" w:csb0="0004001F" w:csb1="00000000"/>
    <w:embedRegular r:id="rId11" w:fontKey="{2576FF0C-EB19-42BD-B6E2-440D362E488A}"/>
  </w:font>
  <w:font w:name="仿宋">
    <w:panose1 w:val="02010609060101010101"/>
    <w:charset w:val="86"/>
    <w:family w:val="modern"/>
    <w:pitch w:val="default"/>
    <w:sig w:usb0="800002BF" w:usb1="38CF7CFA" w:usb2="00000016" w:usb3="00000000" w:csb0="00040001" w:csb1="00000000"/>
    <w:embedRegular r:id="rId12" w:fontKey="{FBDBCAE7-C534-432F-89FD-FD803EE28863}"/>
  </w:font>
  <w:font w:name="Helvetica">
    <w:altName w:val="Arial"/>
    <w:panose1 w:val="020B0504020202030204"/>
    <w:charset w:val="00"/>
    <w:family w:val="swiss"/>
    <w:pitch w:val="default"/>
    <w:sig w:usb0="00000000" w:usb1="00000000" w:usb2="00000000" w:usb3="00000000" w:csb0="00000093" w:csb1="00000000"/>
    <w:embedRegular r:id="rId13" w:fontKey="{C9B24639-7F96-4FF0-89C1-4FBC3573108E}"/>
  </w:font>
  <w:font w:name="方正小标宋简体">
    <w:panose1 w:val="03000509000000000000"/>
    <w:charset w:val="86"/>
    <w:family w:val="script"/>
    <w:pitch w:val="default"/>
    <w:sig w:usb0="00000001" w:usb1="080E0000" w:usb2="00000000" w:usb3="00000000" w:csb0="00040000" w:csb1="00000000"/>
    <w:embedRegular r:id="rId14" w:fontKey="{82D56592-CEC0-426C-8F16-579053E04843}"/>
  </w:font>
  <w:font w:name="金山简黑体">
    <w:altName w:val="宋体"/>
    <w:panose1 w:val="00000000000000000000"/>
    <w:charset w:val="86"/>
    <w:family w:val="modern"/>
    <w:pitch w:val="default"/>
    <w:sig w:usb0="00000000" w:usb1="00000000" w:usb2="00000010" w:usb3="00000000" w:csb0="00040000" w:csb1="00000000"/>
    <w:embedRegular r:id="rId15" w:fontKey="{AF27E711-D0CB-4988-93B8-2DBA584A289A}"/>
  </w:font>
  <w:font w:name="MS Mincho">
    <w:altName w:val="Yu Gothic UI"/>
    <w:panose1 w:val="02020609040205080304"/>
    <w:charset w:val="80"/>
    <w:family w:val="modern"/>
    <w:pitch w:val="default"/>
    <w:sig w:usb0="00000000" w:usb1="00000000" w:usb2="08000012" w:usb3="00000000" w:csb0="0002009F" w:csb1="00000000"/>
    <w:embedRegular r:id="rId16" w:fontKey="{18F4A46E-7739-4B0B-A1FC-C568DA01BAF3}"/>
  </w:font>
  <w:font w:name="Yu Gothic UI">
    <w:panose1 w:val="020B0500000000000000"/>
    <w:charset w:val="80"/>
    <w:family w:val="auto"/>
    <w:pitch w:val="default"/>
    <w:sig w:usb0="E00002FF" w:usb1="2AC7FDFF" w:usb2="00000016" w:usb3="00000000" w:csb0="2002009F" w:csb1="00000000"/>
  </w:font>
  <w:font w:name="WPSEMBED11">
    <w:panose1 w:val="02010609030101010101"/>
    <w:charset w:val="86"/>
    <w:family w:val="auto"/>
    <w:pitch w:val="default"/>
    <w:sig w:usb0="00000001" w:usb1="080E0000" w:usb2="00000000" w:usb3="00000000" w:csb0="00040000" w:csb1="00000000"/>
  </w:font>
  <w:font w:name="WPSEMBED12">
    <w:panose1 w:val="02010609030101010101"/>
    <w:charset w:val="86"/>
    <w:family w:val="auto"/>
    <w:pitch w:val="default"/>
    <w:sig w:usb0="00000001" w:usb1="080E0000" w:usb2="00000000" w:usb3="00000000" w:csb0="00040000" w:csb1="00000000"/>
  </w:font>
  <w:font w:name="WPSEMBED13">
    <w:panose1 w:val="02010509060101010101"/>
    <w:charset w:val="86"/>
    <w:family w:val="auto"/>
    <w:pitch w:val="default"/>
    <w:sig w:usb0="00000001" w:usb1="080E0000" w:usb2="00000000" w:usb3="00000000" w:csb0="00040000" w:csb1="00000000"/>
  </w:font>
  <w:font w:name="WPSEMBED14">
    <w:panose1 w:val="03000509000000000000"/>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embedRegular r:id="rId17" w:fontKey="{1BF22C5E-8EB6-4D68-90A2-8ADE91498A8D}"/>
  </w:font>
  <w:font w:name="Tahoma">
    <w:panose1 w:val="020B0604030504040204"/>
    <w:charset w:val="00"/>
    <w:family w:val="auto"/>
    <w:pitch w:val="default"/>
    <w:sig w:usb0="E1002EFF" w:usb1="C000605B" w:usb2="00000029" w:usb3="00000000" w:csb0="200101FF" w:csb1="20280000"/>
  </w:font>
  <w:font w:name="WPSEMBED15">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9CED4">
    <w:pPr>
      <w:pStyle w:val="31"/>
      <w:jc w:val="center"/>
      <w:rPr>
        <w:rFonts w:cs="Times New Roman"/>
      </w:rPr>
    </w:pPr>
  </w:p>
  <w:p w14:paraId="4120563A">
    <w:pPr>
      <w:pStyle w:val="31"/>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7B989">
    <w:pPr>
      <w:pStyle w:val="31"/>
      <w:jc w:val="center"/>
      <w:rPr>
        <w:rFonts w:cs="Times New Roman"/>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254CB9">
                          <w:pPr>
                            <w:pStyle w:val="3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F254CB9">
                    <w:pPr>
                      <w:pStyle w:val="31"/>
                    </w:pPr>
                    <w:r>
                      <w:fldChar w:fldCharType="begin"/>
                    </w:r>
                    <w:r>
                      <w:instrText xml:space="preserve"> PAGE  \* MERGEFORMAT </w:instrText>
                    </w:r>
                    <w:r>
                      <w:fldChar w:fldCharType="separate"/>
                    </w:r>
                    <w:r>
                      <w:t>1</w:t>
                    </w:r>
                    <w:r>
                      <w:fldChar w:fldCharType="end"/>
                    </w:r>
                  </w:p>
                </w:txbxContent>
              </v:textbox>
            </v:shape>
          </w:pict>
        </mc:Fallback>
      </mc:AlternateContent>
    </w:r>
  </w:p>
  <w:p w14:paraId="4BDE505B">
    <w:pPr>
      <w:pStyle w:val="31"/>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59E40">
    <w:pPr>
      <w:snapToGrid w:val="0"/>
      <w:jc w:val="left"/>
      <w:rPr>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B7EEA">
                          <w:pPr>
                            <w:pStyle w:val="3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63B7EEA">
                    <w:pPr>
                      <w:pStyle w:val="31"/>
                    </w:pPr>
                    <w:r>
                      <w:fldChar w:fldCharType="begin"/>
                    </w:r>
                    <w:r>
                      <w:instrText xml:space="preserve"> PAGE  \* MERGEFORMAT </w:instrText>
                    </w:r>
                    <w:r>
                      <w:fldChar w:fldCharType="separate"/>
                    </w:r>
                    <w:r>
                      <w:t>52</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ACE1FA">
                          <w:pPr>
                            <w:snapToGrid w:val="0"/>
                            <w:jc w:val="left"/>
                          </w:pPr>
                        </w:p>
                        <w:p w14:paraId="5A19A14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CACE1FA">
                    <w:pPr>
                      <w:snapToGrid w:val="0"/>
                      <w:jc w:val="left"/>
                    </w:pPr>
                  </w:p>
                  <w:p w14:paraId="5A19A143"/>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7EAB1">
    <w:pPr>
      <w:framePr w:wrap="around" w:vAnchor="text" w:hAnchor="margin" w:xAlign="center" w:y="1"/>
      <w:snapToGrid w:val="0"/>
      <w:jc w:val="left"/>
      <w:rPr>
        <w:rStyle w:val="48"/>
        <w:kern w:val="0"/>
        <w:sz w:val="18"/>
        <w:szCs w:val="18"/>
      </w:rPr>
    </w:pPr>
    <w:r>
      <w:rPr>
        <w:rStyle w:val="48"/>
        <w:kern w:val="0"/>
        <w:sz w:val="18"/>
        <w:szCs w:val="18"/>
      </w:rPr>
      <w:fldChar w:fldCharType="begin"/>
    </w:r>
    <w:r>
      <w:rPr>
        <w:rStyle w:val="48"/>
        <w:kern w:val="0"/>
        <w:sz w:val="18"/>
        <w:szCs w:val="18"/>
      </w:rPr>
      <w:instrText xml:space="preserve">PAGE  </w:instrText>
    </w:r>
    <w:r>
      <w:rPr>
        <w:rStyle w:val="48"/>
        <w:kern w:val="0"/>
        <w:sz w:val="18"/>
        <w:szCs w:val="18"/>
      </w:rPr>
      <w:fldChar w:fldCharType="end"/>
    </w:r>
  </w:p>
  <w:p w14:paraId="69FF0634">
    <w:pPr>
      <w:snapToGrid w:val="0"/>
      <w:jc w:val="left"/>
      <w:rPr>
        <w:kern w:val="0"/>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D1656">
    <w:pPr>
      <w:snapToGrid w:val="0"/>
      <w:jc w:val="center"/>
      <w:rPr>
        <w:kern w:val="0"/>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D0FD42">
                          <w:pPr>
                            <w:pStyle w:val="3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7D0FD42">
                    <w:pPr>
                      <w:pStyle w:val="31"/>
                    </w:pPr>
                    <w:r>
                      <w:fldChar w:fldCharType="begin"/>
                    </w:r>
                    <w:r>
                      <w:instrText xml:space="preserve"> PAGE  \* MERGEFORMAT </w:instrText>
                    </w:r>
                    <w:r>
                      <w:fldChar w:fldCharType="separate"/>
                    </w:r>
                    <w:r>
                      <w:t>51</w:t>
                    </w:r>
                    <w:r>
                      <w:fldChar w:fldCharType="end"/>
                    </w:r>
                  </w:p>
                </w:txbxContent>
              </v:textbox>
            </v:shape>
          </w:pict>
        </mc:Fallback>
      </mc:AlternateContent>
    </w:r>
  </w:p>
  <w:p w14:paraId="3C8E0495">
    <w:pPr>
      <w:snapToGrid w:val="0"/>
      <w:jc w:val="left"/>
      <w:rPr>
        <w:kern w:val="0"/>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F016C">
    <w:pPr>
      <w:pStyle w:val="3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894D45">
                          <w:pPr>
                            <w:pStyle w:val="31"/>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9894D45">
                    <w:pPr>
                      <w:pStyle w:val="31"/>
                    </w:pPr>
                    <w:r>
                      <w:fldChar w:fldCharType="begin"/>
                    </w:r>
                    <w:r>
                      <w:instrText xml:space="preserve"> PAGE  \* MERGEFORMAT </w:instrText>
                    </w:r>
                    <w:r>
                      <w:fldChar w:fldCharType="separate"/>
                    </w:r>
                    <w:r>
                      <w:t>77</w:t>
                    </w:r>
                    <w: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C38E3">
                          <w:pPr>
                            <w:pStyle w:val="31"/>
                          </w:pPr>
                        </w:p>
                        <w:p w14:paraId="667A8AB9"/>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DC38E3">
                    <w:pPr>
                      <w:pStyle w:val="31"/>
                    </w:pPr>
                  </w:p>
                  <w:p w14:paraId="667A8AB9"/>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CE318">
    <w:pPr>
      <w:pStyle w:val="31"/>
      <w:jc w:val="center"/>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900AAD">
                          <w:pPr>
                            <w:pStyle w:val="31"/>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pRB4NyQEAAJkDAAAOAAAAAAAAAAEAIAAAAB4BAABkcnMvZTJvRG9j&#10;LnhtbFBLBQYAAAAABgAGAFkBAABZBQAAAAA=&#10;">
              <v:fill on="f" focussize="0,0"/>
              <v:stroke on="f"/>
              <v:imagedata o:title=""/>
              <o:lock v:ext="edit" aspectratio="f"/>
              <v:textbox inset="0mm,0mm,0mm,0mm" style="mso-fit-shape-to-text:t;">
                <w:txbxContent>
                  <w:p w14:paraId="2C900AAD">
                    <w:pPr>
                      <w:pStyle w:val="31"/>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rPr>
                      <w:t>0</w:t>
                    </w:r>
                    <w:r>
                      <w:rPr>
                        <w:rFonts w:cs="Times New Roman"/>
                      </w:rPr>
                      <w:fldChar w:fldCharType="end"/>
                    </w:r>
                  </w:p>
                </w:txbxContent>
              </v:textbox>
            </v:shape>
          </w:pict>
        </mc:Fallback>
      </mc:AlternateContent>
    </w:r>
  </w:p>
  <w:p w14:paraId="2317926B">
    <w:pPr>
      <w:pStyle w:val="31"/>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2F394">
    <w:pPr>
      <w:snapToGrid w:val="0"/>
      <w:jc w:val="center"/>
      <w:rPr>
        <w:kern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F0D9">
    <w:pPr>
      <w:pStyle w:val="32"/>
    </w:pPr>
    <w:r>
      <w:rPr>
        <w:rFonts w:hint="eastAsia" w:asciiTheme="minorEastAsia" w:hAnsiTheme="minorEastAsia" w:eastAsiaTheme="minorEastAsia" w:cstheme="minorEastAsia"/>
        <w:bCs/>
        <w:lang w:eastAsia="zh-CN"/>
      </w:rPr>
      <w:t>广西建设工程机电设备招标中心有限公司</w:t>
    </w:r>
    <w:r>
      <w:rPr>
        <w:rFonts w:ascii="宋体" w:hAnsi="宋体" w:cs="宋体"/>
        <w:bCs/>
      </w:rPr>
      <w:t xml:space="preserve"> </w:t>
    </w:r>
    <w:r>
      <w:rPr>
        <w:rFonts w:hint="eastAsia"/>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E9FF1"/>
    <w:multiLevelType w:val="singleLevel"/>
    <w:tmpl w:val="8EEE9FF1"/>
    <w:lvl w:ilvl="0" w:tentative="0">
      <w:start w:val="2"/>
      <w:numFmt w:val="chineseCounting"/>
      <w:suff w:val="nothing"/>
      <w:lvlText w:val="%1、"/>
      <w:lvlJc w:val="left"/>
      <w:pPr>
        <w:ind w:left="451" w:firstLine="0"/>
      </w:pPr>
      <w:rPr>
        <w:rFonts w:hint="eastAsia"/>
      </w:rPr>
    </w:lvl>
  </w:abstractNum>
  <w:abstractNum w:abstractNumId="1">
    <w:nsid w:val="B350DA37"/>
    <w:multiLevelType w:val="singleLevel"/>
    <w:tmpl w:val="B350DA37"/>
    <w:lvl w:ilvl="0" w:tentative="0">
      <w:start w:val="10"/>
      <w:numFmt w:val="decimal"/>
      <w:suff w:val="nothing"/>
      <w:lvlText w:val="（%1）"/>
      <w:lvlJc w:val="left"/>
    </w:lvl>
  </w:abstractNum>
  <w:abstractNum w:abstractNumId="2">
    <w:nsid w:val="CC594CB6"/>
    <w:multiLevelType w:val="singleLevel"/>
    <w:tmpl w:val="CC594CB6"/>
    <w:lvl w:ilvl="0" w:tentative="0">
      <w:start w:val="1"/>
      <w:numFmt w:val="decimal"/>
      <w:suff w:val="nothing"/>
      <w:lvlText w:val="%1、"/>
      <w:lvlJc w:val="left"/>
    </w:lvl>
  </w:abstractNum>
  <w:abstractNum w:abstractNumId="3">
    <w:nsid w:val="E1283F72"/>
    <w:multiLevelType w:val="singleLevel"/>
    <w:tmpl w:val="E1283F72"/>
    <w:lvl w:ilvl="0" w:tentative="0">
      <w:start w:val="3"/>
      <w:numFmt w:val="chineseCounting"/>
      <w:suff w:val="nothing"/>
      <w:lvlText w:val="%1、"/>
      <w:lvlJc w:val="left"/>
      <w:rPr>
        <w:rFonts w:hint="eastAsia"/>
      </w:rPr>
    </w:lvl>
  </w:abstractNum>
  <w:abstractNum w:abstractNumId="4">
    <w:nsid w:val="EB8CEB78"/>
    <w:multiLevelType w:val="singleLevel"/>
    <w:tmpl w:val="EB8CEB78"/>
    <w:lvl w:ilvl="0" w:tentative="0">
      <w:start w:val="3"/>
      <w:numFmt w:val="chineseCounting"/>
      <w:suff w:val="space"/>
      <w:lvlText w:val="第%1章"/>
      <w:lvlJc w:val="left"/>
      <w:rPr>
        <w:rFonts w:hint="eastAsia"/>
      </w:rPr>
    </w:lvl>
  </w:abstractNum>
  <w:abstractNum w:abstractNumId="5">
    <w:nsid w:val="F6C43966"/>
    <w:multiLevelType w:val="singleLevel"/>
    <w:tmpl w:val="F6C43966"/>
    <w:lvl w:ilvl="0" w:tentative="0">
      <w:start w:val="1"/>
      <w:numFmt w:val="decimal"/>
      <w:suff w:val="nothing"/>
      <w:lvlText w:val="（%1）"/>
      <w:lvlJc w:val="left"/>
    </w:lvl>
  </w:abstractNum>
  <w:abstractNum w:abstractNumId="6">
    <w:nsid w:val="049E55D1"/>
    <w:multiLevelType w:val="multilevel"/>
    <w:tmpl w:val="049E55D1"/>
    <w:lvl w:ilvl="0" w:tentative="0">
      <w:start w:val="1"/>
      <w:numFmt w:val="decimal"/>
      <w:pStyle w:val="130"/>
      <w:lvlText w:val="%1."/>
      <w:lvlJc w:val="left"/>
      <w:pPr>
        <w:tabs>
          <w:tab w:val="left" w:pos="624"/>
        </w:tabs>
        <w:ind w:left="624" w:hanging="624"/>
      </w:pPr>
      <w:rPr>
        <w:rFonts w:hint="default" w:ascii="Arial" w:hAnsi="Arial" w:cs="Arial"/>
        <w:b/>
        <w:bCs/>
        <w:i w:val="0"/>
        <w:iCs w:val="0"/>
        <w:sz w:val="24"/>
        <w:szCs w:val="24"/>
      </w:rPr>
    </w:lvl>
    <w:lvl w:ilvl="1" w:tentative="0">
      <w:start w:val="1"/>
      <w:numFmt w:val="decimal"/>
      <w:pStyle w:val="151"/>
      <w:lvlText w:val="%1.%2"/>
      <w:lvlJc w:val="left"/>
      <w:pPr>
        <w:tabs>
          <w:tab w:val="left" w:pos="624"/>
        </w:tabs>
        <w:ind w:left="624" w:hanging="624"/>
      </w:pPr>
      <w:rPr>
        <w:rFonts w:hint="default" w:ascii="Arial" w:hAnsi="Arial" w:cs="Arial"/>
        <w:b w:val="0"/>
        <w:bCs w:val="0"/>
        <w:i w:val="0"/>
        <w:iCs w:val="0"/>
        <w:sz w:val="24"/>
        <w:szCs w:val="24"/>
      </w:rPr>
    </w:lvl>
    <w:lvl w:ilvl="2" w:tentative="0">
      <w:start w:val="1"/>
      <w:numFmt w:val="decimal"/>
      <w:pStyle w:val="148"/>
      <w:lvlText w:val="(%3)"/>
      <w:lvlJc w:val="left"/>
      <w:pPr>
        <w:tabs>
          <w:tab w:val="left" w:pos="624"/>
        </w:tabs>
        <w:ind w:left="624" w:hanging="624"/>
      </w:pPr>
      <w:rPr>
        <w:rFonts w:hint="default" w:ascii="Arial" w:hAnsi="Arial" w:cs="Arial"/>
        <w:b w:val="0"/>
        <w:bCs w:val="0"/>
        <w:i w:val="0"/>
        <w:iCs w:val="0"/>
        <w:sz w:val="24"/>
        <w:szCs w:val="24"/>
      </w:rPr>
    </w:lvl>
    <w:lvl w:ilvl="3" w:tentative="0">
      <w:start w:val="1"/>
      <w:numFmt w:val="decimal"/>
      <w:pStyle w:val="135"/>
      <w:lvlText w:val="%1.%2.%4"/>
      <w:lvlJc w:val="left"/>
      <w:pPr>
        <w:tabs>
          <w:tab w:val="left" w:pos="1361"/>
        </w:tabs>
        <w:ind w:left="1361" w:hanging="737"/>
      </w:pPr>
      <w:rPr>
        <w:rFonts w:hint="default" w:ascii="Arial" w:hAnsi="Arial" w:cs="Arial"/>
        <w:b w:val="0"/>
        <w:bCs w:val="0"/>
        <w:i w:val="0"/>
        <w:iCs w:val="0"/>
        <w:sz w:val="24"/>
        <w:szCs w:val="24"/>
      </w:rPr>
    </w:lvl>
    <w:lvl w:ilvl="4" w:tentative="0">
      <w:start w:val="1"/>
      <w:numFmt w:val="lowerLetter"/>
      <w:pStyle w:val="134"/>
      <w:lvlText w:val="(%5)"/>
      <w:lvlJc w:val="left"/>
      <w:pPr>
        <w:tabs>
          <w:tab w:val="left" w:pos="1361"/>
        </w:tabs>
        <w:ind w:left="1361" w:hanging="737"/>
      </w:pPr>
      <w:rPr>
        <w:rFonts w:hint="default" w:ascii="Arial" w:hAnsi="Arial" w:cs="Arial"/>
        <w:b w:val="0"/>
        <w:bCs w:val="0"/>
        <w:i w:val="0"/>
        <w:iCs w:val="0"/>
        <w:sz w:val="20"/>
        <w:szCs w:val="20"/>
      </w:rPr>
    </w:lvl>
    <w:lvl w:ilvl="5" w:tentative="0">
      <w:start w:val="1"/>
      <w:numFmt w:val="lowerRoman"/>
      <w:pStyle w:val="140"/>
      <w:lvlText w:val="(%6)"/>
      <w:lvlJc w:val="left"/>
      <w:pPr>
        <w:tabs>
          <w:tab w:val="left" w:pos="2041"/>
        </w:tabs>
        <w:ind w:left="2041" w:hanging="680"/>
      </w:pPr>
      <w:rPr>
        <w:rFonts w:hint="default" w:ascii="Arial" w:hAnsi="Arial" w:cs="Arial"/>
        <w:b w:val="0"/>
        <w:bCs w:val="0"/>
        <w:i w:val="0"/>
        <w:iCs w:val="0"/>
        <w:sz w:val="20"/>
        <w:szCs w:val="20"/>
      </w:rPr>
    </w:lvl>
    <w:lvl w:ilvl="6" w:tentative="0">
      <w:start w:val="1"/>
      <w:numFmt w:val="upperLetter"/>
      <w:pStyle w:val="141"/>
      <w:lvlText w:val="(%7)"/>
      <w:lvlJc w:val="left"/>
      <w:pPr>
        <w:tabs>
          <w:tab w:val="left" w:pos="2041"/>
        </w:tabs>
        <w:ind w:left="2041" w:hanging="680"/>
      </w:pPr>
      <w:rPr>
        <w:rFonts w:hint="default" w:ascii="Arial" w:hAnsi="Arial" w:cs="Arial"/>
        <w:b w:val="0"/>
        <w:bCs w:val="0"/>
        <w:i w:val="0"/>
        <w:iCs w:val="0"/>
        <w:sz w:val="20"/>
        <w:szCs w:val="20"/>
      </w:rPr>
    </w:lvl>
    <w:lvl w:ilvl="7" w:tentative="0">
      <w:start w:val="1"/>
      <w:numFmt w:val="upperLetter"/>
      <w:pStyle w:val="131"/>
      <w:lvlText w:val="(%8)"/>
      <w:lvlJc w:val="left"/>
      <w:pPr>
        <w:tabs>
          <w:tab w:val="left" w:pos="2722"/>
        </w:tabs>
        <w:ind w:left="2722" w:hanging="681"/>
      </w:pPr>
      <w:rPr>
        <w:rFonts w:hint="default" w:ascii="Arial" w:hAnsi="Arial" w:cs="Arial"/>
        <w:b w:val="0"/>
        <w:bCs w:val="0"/>
        <w:i w:val="0"/>
        <w:iCs w:val="0"/>
        <w:sz w:val="20"/>
        <w:szCs w:val="20"/>
      </w:rPr>
    </w:lvl>
    <w:lvl w:ilvl="8" w:tentative="0">
      <w:start w:val="1"/>
      <w:numFmt w:val="none"/>
      <w:lvlText w:val=""/>
      <w:lvlJc w:val="left"/>
      <w:pPr>
        <w:tabs>
          <w:tab w:val="left" w:pos="4320"/>
        </w:tabs>
        <w:ind w:left="4320" w:hanging="1440"/>
      </w:pPr>
      <w:rPr>
        <w:rFonts w:hint="eastAsia"/>
      </w:rPr>
    </w:lvl>
  </w:abstractNum>
  <w:abstractNum w:abstractNumId="7">
    <w:nsid w:val="0C48645C"/>
    <w:multiLevelType w:val="multilevel"/>
    <w:tmpl w:val="0C48645C"/>
    <w:lvl w:ilvl="0" w:tentative="0">
      <w:start w:val="1"/>
      <w:numFmt w:val="decimal"/>
      <w:pStyle w:val="133"/>
      <w:lvlText w:val="(%1)"/>
      <w:lvlJc w:val="left"/>
      <w:pPr>
        <w:tabs>
          <w:tab w:val="left" w:pos="680"/>
        </w:tabs>
        <w:ind w:left="680" w:hanging="680"/>
      </w:pPr>
      <w:rPr>
        <w:rFonts w:hint="default"/>
        <w:b/>
        <w:bCs/>
        <w:i w:val="0"/>
        <w:iCs w:val="0"/>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
    <w:nsid w:val="0F44714D"/>
    <w:multiLevelType w:val="singleLevel"/>
    <w:tmpl w:val="0F44714D"/>
    <w:lvl w:ilvl="0" w:tentative="0">
      <w:start w:val="1"/>
      <w:numFmt w:val="chineseCounting"/>
      <w:suff w:val="nothing"/>
      <w:lvlText w:val="%1、"/>
      <w:lvlJc w:val="left"/>
      <w:rPr>
        <w:rFonts w:hint="eastAsia"/>
      </w:rPr>
    </w:lvl>
  </w:abstractNum>
  <w:abstractNum w:abstractNumId="9">
    <w:nsid w:val="14EF5680"/>
    <w:multiLevelType w:val="singleLevel"/>
    <w:tmpl w:val="14EF5680"/>
    <w:lvl w:ilvl="0" w:tentative="0">
      <w:start w:val="1"/>
      <w:numFmt w:val="decimal"/>
      <w:pStyle w:val="143"/>
      <w:lvlText w:val="%1."/>
      <w:lvlJc w:val="left"/>
      <w:pPr>
        <w:tabs>
          <w:tab w:val="left" w:pos="480"/>
        </w:tabs>
        <w:ind w:left="480" w:hanging="480"/>
      </w:pPr>
      <w:rPr>
        <w:rFonts w:hint="default"/>
        <w:sz w:val="23"/>
        <w:szCs w:val="23"/>
      </w:rPr>
    </w:lvl>
  </w:abstractNum>
  <w:abstractNum w:abstractNumId="10">
    <w:nsid w:val="15B4BF49"/>
    <w:multiLevelType w:val="singleLevel"/>
    <w:tmpl w:val="15B4BF49"/>
    <w:lvl w:ilvl="0" w:tentative="0">
      <w:start w:val="6"/>
      <w:numFmt w:val="chineseCounting"/>
      <w:suff w:val="nothing"/>
      <w:lvlText w:val="%1、"/>
      <w:lvlJc w:val="left"/>
      <w:rPr>
        <w:rFonts w:hint="eastAsia"/>
      </w:rPr>
    </w:lvl>
  </w:abstractNum>
  <w:abstractNum w:abstractNumId="11">
    <w:nsid w:val="17C1A060"/>
    <w:multiLevelType w:val="singleLevel"/>
    <w:tmpl w:val="17C1A060"/>
    <w:lvl w:ilvl="0" w:tentative="0">
      <w:start w:val="7"/>
      <w:numFmt w:val="chineseCounting"/>
      <w:suff w:val="nothing"/>
      <w:lvlText w:val="%1、"/>
      <w:lvlJc w:val="left"/>
      <w:rPr>
        <w:rFonts w:hint="eastAsia"/>
      </w:rPr>
    </w:lvl>
  </w:abstractNum>
  <w:abstractNum w:abstractNumId="12">
    <w:nsid w:val="29481282"/>
    <w:multiLevelType w:val="singleLevel"/>
    <w:tmpl w:val="29481282"/>
    <w:lvl w:ilvl="0" w:tentative="0">
      <w:start w:val="1"/>
      <w:numFmt w:val="decimal"/>
      <w:suff w:val="nothing"/>
      <w:lvlText w:val="%1、"/>
      <w:lvlJc w:val="left"/>
    </w:lvl>
  </w:abstractNum>
  <w:abstractNum w:abstractNumId="13">
    <w:nsid w:val="447EFA92"/>
    <w:multiLevelType w:val="singleLevel"/>
    <w:tmpl w:val="447EFA92"/>
    <w:lvl w:ilvl="0" w:tentative="0">
      <w:start w:val="1"/>
      <w:numFmt w:val="decimal"/>
      <w:suff w:val="space"/>
      <w:lvlText w:val="(%1)"/>
      <w:lvlJc w:val="left"/>
      <w:rPr>
        <w:rFonts w:hint="default"/>
        <w:b w:val="0"/>
        <w:bCs w:val="0"/>
      </w:rPr>
    </w:lvl>
  </w:abstractNum>
  <w:abstractNum w:abstractNumId="14">
    <w:nsid w:val="5498E193"/>
    <w:multiLevelType w:val="singleLevel"/>
    <w:tmpl w:val="5498E193"/>
    <w:lvl w:ilvl="0" w:tentative="0">
      <w:start w:val="11"/>
      <w:numFmt w:val="decimal"/>
      <w:suff w:val="space"/>
      <w:lvlText w:val="%1."/>
      <w:lvlJc w:val="left"/>
    </w:lvl>
  </w:abstractNum>
  <w:abstractNum w:abstractNumId="15">
    <w:nsid w:val="57EC4BDC"/>
    <w:multiLevelType w:val="multilevel"/>
    <w:tmpl w:val="57EC4BDC"/>
    <w:lvl w:ilvl="0" w:tentative="0">
      <w:start w:val="1"/>
      <w:numFmt w:val="chineseCountingThousand"/>
      <w:pStyle w:val="2"/>
      <w:lvlText w:val="第%1条."/>
      <w:lvlJc w:val="left"/>
      <w:pPr>
        <w:tabs>
          <w:tab w:val="left" w:pos="1080"/>
        </w:tabs>
      </w:pPr>
    </w:lvl>
    <w:lvl w:ilvl="1" w:tentative="0">
      <w:start w:val="1"/>
      <w:numFmt w:val="decimal"/>
      <w:lvlText w:val="3.%2."/>
      <w:lvlJc w:val="left"/>
      <w:pPr>
        <w:tabs>
          <w:tab w:val="left" w:pos="1140"/>
        </w:tabs>
        <w:ind w:left="420"/>
      </w:pPr>
      <w:rPr>
        <w:rFonts w:hint="eastAsia"/>
        <w:b/>
        <w:bCs/>
        <w:i w:val="0"/>
        <w:iCs w:val="0"/>
        <w:caps w:val="0"/>
        <w:strike w:val="0"/>
        <w:dstrike w:val="0"/>
        <w:vanish w:val="0"/>
        <w:sz w:val="24"/>
        <w:szCs w:val="24"/>
        <w:vertAlign w:val="baseline"/>
        <w14:shadow w14:blurRad="0" w14:dist="0" w14:dir="0" w14:sx="0" w14:sy="0" w14:kx="0" w14:ky="0" w14:algn="none">
          <w14:srgbClr w14:val="000000"/>
        </w14:shadow>
      </w:rPr>
    </w:lvl>
    <w:lvl w:ilvl="2" w:tentative="0">
      <w:start w:val="1"/>
      <w:numFmt w:val="decimal"/>
      <w:lvlText w:val="4.%3."/>
      <w:lvlJc w:val="left"/>
      <w:pPr>
        <w:tabs>
          <w:tab w:val="left" w:pos="1560"/>
        </w:tabs>
        <w:ind w:left="84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3" w:tentative="0">
      <w:start w:val="1"/>
      <w:numFmt w:val="decimal"/>
      <w:lvlText w:val="6.%4."/>
      <w:lvlJc w:val="left"/>
      <w:pPr>
        <w:tabs>
          <w:tab w:val="left" w:pos="1980"/>
        </w:tabs>
        <w:ind w:left="126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4" w:tentative="0">
      <w:start w:val="1"/>
      <w:numFmt w:val="decimal"/>
      <w:lvlText w:val="12.%5."/>
      <w:lvlJc w:val="left"/>
      <w:pPr>
        <w:tabs>
          <w:tab w:val="left" w:pos="2400"/>
        </w:tabs>
        <w:ind w:left="1680"/>
      </w:pPr>
      <w:rPr>
        <w:rFonts w:hint="eastAsia" w:ascii="宋体" w:eastAsia="宋体"/>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0"/>
      <w:numFmt w:val="decimal"/>
      <w:lvlText w:val="%6．"/>
      <w:lvlJc w:val="left"/>
      <w:pPr>
        <w:tabs>
          <w:tab w:val="left" w:pos="2820"/>
        </w:tabs>
        <w:ind w:left="2820" w:hanging="720"/>
      </w:pPr>
      <w:rPr>
        <w:rFonts w:hint="default"/>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6B5030ED"/>
    <w:multiLevelType w:val="singleLevel"/>
    <w:tmpl w:val="6B5030ED"/>
    <w:lvl w:ilvl="0" w:tentative="0">
      <w:start w:val="1"/>
      <w:numFmt w:val="decimal"/>
      <w:pStyle w:val="145"/>
      <w:lvlText w:val="(%1)"/>
      <w:lvlJc w:val="left"/>
      <w:pPr>
        <w:tabs>
          <w:tab w:val="left" w:pos="567"/>
        </w:tabs>
        <w:ind w:left="567" w:hanging="567"/>
      </w:pPr>
      <w:rPr>
        <w:rFonts w:hint="eastAsia"/>
        <w:b/>
        <w:bCs/>
        <w:i w:val="0"/>
        <w:iCs w:val="0"/>
        <w:sz w:val="23"/>
        <w:szCs w:val="23"/>
      </w:rPr>
    </w:lvl>
  </w:abstractNum>
  <w:abstractNum w:abstractNumId="17">
    <w:nsid w:val="6EDD6598"/>
    <w:multiLevelType w:val="multilevel"/>
    <w:tmpl w:val="6EDD6598"/>
    <w:lvl w:ilvl="0" w:tentative="0">
      <w:start w:val="1"/>
      <w:numFmt w:val="decimal"/>
      <w:suff w:val="space"/>
      <w:lvlText w:val="%1."/>
      <w:lvlJc w:val="left"/>
      <w:rPr>
        <w:rFonts w:cs="Times New Roman"/>
      </w:rPr>
    </w:lvl>
    <w:lvl w:ilvl="1" w:tentative="0">
      <w:start w:val="1"/>
      <w:numFmt w:val="lowerLetter"/>
      <w:lvlText w:val="%2)"/>
      <w:lvlJc w:val="left"/>
      <w:pPr>
        <w:tabs>
          <w:tab w:val="left" w:pos="1170"/>
        </w:tabs>
        <w:ind w:left="1170" w:hanging="420"/>
      </w:pPr>
      <w:rPr>
        <w:rFonts w:hint="default" w:ascii="Times New Roman" w:hAnsi="Times New Roman" w:cs="Times New Roman"/>
      </w:rPr>
    </w:lvl>
    <w:lvl w:ilvl="2" w:tentative="0">
      <w:start w:val="1"/>
      <w:numFmt w:val="lowerRoman"/>
      <w:lvlText w:val="%3."/>
      <w:lvlJc w:val="right"/>
      <w:pPr>
        <w:tabs>
          <w:tab w:val="left" w:pos="1590"/>
        </w:tabs>
        <w:ind w:left="1590" w:hanging="420"/>
      </w:pPr>
      <w:rPr>
        <w:rFonts w:hint="default" w:ascii="Times New Roman" w:hAnsi="Times New Roman" w:cs="Times New Roman"/>
      </w:rPr>
    </w:lvl>
    <w:lvl w:ilvl="3" w:tentative="0">
      <w:start w:val="1"/>
      <w:numFmt w:val="decimal"/>
      <w:lvlText w:val="%4."/>
      <w:lvlJc w:val="left"/>
      <w:pPr>
        <w:tabs>
          <w:tab w:val="left" w:pos="2010"/>
        </w:tabs>
        <w:ind w:left="2010" w:hanging="420"/>
      </w:pPr>
      <w:rPr>
        <w:rFonts w:hint="default" w:ascii="Times New Roman" w:hAnsi="Times New Roman" w:cs="Times New Roman"/>
      </w:rPr>
    </w:lvl>
    <w:lvl w:ilvl="4" w:tentative="0">
      <w:start w:val="1"/>
      <w:numFmt w:val="lowerLetter"/>
      <w:lvlText w:val="%5)"/>
      <w:lvlJc w:val="left"/>
      <w:pPr>
        <w:tabs>
          <w:tab w:val="left" w:pos="2430"/>
        </w:tabs>
        <w:ind w:left="2430" w:hanging="420"/>
      </w:pPr>
      <w:rPr>
        <w:rFonts w:hint="default" w:ascii="Times New Roman" w:hAnsi="Times New Roman" w:cs="Times New Roman"/>
      </w:rPr>
    </w:lvl>
    <w:lvl w:ilvl="5" w:tentative="0">
      <w:start w:val="1"/>
      <w:numFmt w:val="lowerRoman"/>
      <w:lvlText w:val="%6."/>
      <w:lvlJc w:val="right"/>
      <w:pPr>
        <w:tabs>
          <w:tab w:val="left" w:pos="2850"/>
        </w:tabs>
        <w:ind w:left="2850" w:hanging="420"/>
      </w:pPr>
      <w:rPr>
        <w:rFonts w:hint="default" w:ascii="Times New Roman" w:hAnsi="Times New Roman" w:cs="Times New Roman"/>
      </w:rPr>
    </w:lvl>
    <w:lvl w:ilvl="6" w:tentative="0">
      <w:start w:val="1"/>
      <w:numFmt w:val="decimal"/>
      <w:lvlText w:val="%7."/>
      <w:lvlJc w:val="left"/>
      <w:pPr>
        <w:tabs>
          <w:tab w:val="left" w:pos="3270"/>
        </w:tabs>
        <w:ind w:left="3270" w:hanging="420"/>
      </w:pPr>
      <w:rPr>
        <w:rFonts w:hint="default" w:ascii="Times New Roman" w:hAnsi="Times New Roman" w:cs="Times New Roman"/>
      </w:rPr>
    </w:lvl>
    <w:lvl w:ilvl="7" w:tentative="0">
      <w:start w:val="1"/>
      <w:numFmt w:val="lowerLetter"/>
      <w:lvlText w:val="%8)"/>
      <w:lvlJc w:val="left"/>
      <w:pPr>
        <w:tabs>
          <w:tab w:val="left" w:pos="3690"/>
        </w:tabs>
        <w:ind w:left="3690" w:hanging="420"/>
      </w:pPr>
      <w:rPr>
        <w:rFonts w:hint="default" w:ascii="Times New Roman" w:hAnsi="Times New Roman" w:cs="Times New Roman"/>
      </w:rPr>
    </w:lvl>
    <w:lvl w:ilvl="8" w:tentative="0">
      <w:start w:val="1"/>
      <w:numFmt w:val="lowerRoman"/>
      <w:lvlText w:val="%9."/>
      <w:lvlJc w:val="right"/>
      <w:pPr>
        <w:tabs>
          <w:tab w:val="left" w:pos="4110"/>
        </w:tabs>
        <w:ind w:left="4110" w:hanging="420"/>
      </w:pPr>
      <w:rPr>
        <w:rFonts w:hint="default" w:ascii="Times New Roman" w:hAnsi="Times New Roman" w:cs="Times New Roman"/>
      </w:rPr>
    </w:lvl>
  </w:abstractNum>
  <w:num w:numId="1">
    <w:abstractNumId w:val="15"/>
  </w:num>
  <w:num w:numId="2">
    <w:abstractNumId w:val="6"/>
  </w:num>
  <w:num w:numId="3">
    <w:abstractNumId w:val="7"/>
  </w:num>
  <w:num w:numId="4">
    <w:abstractNumId w:val="9"/>
  </w:num>
  <w:num w:numId="5">
    <w:abstractNumId w:val="16"/>
  </w:num>
  <w:num w:numId="6">
    <w:abstractNumId w:val="11"/>
  </w:num>
  <w:num w:numId="7">
    <w:abstractNumId w:val="13"/>
  </w:num>
  <w:num w:numId="8">
    <w:abstractNumId w:val="4"/>
  </w:num>
  <w:num w:numId="9">
    <w:abstractNumId w:val="3"/>
  </w:num>
  <w:num w:numId="10">
    <w:abstractNumId w:val="0"/>
  </w:num>
  <w:num w:numId="11">
    <w:abstractNumId w:val="10"/>
  </w:num>
  <w:num w:numId="12">
    <w:abstractNumId w:val="2"/>
  </w:num>
  <w:num w:numId="13">
    <w:abstractNumId w:val="12"/>
  </w:num>
  <w:num w:numId="14">
    <w:abstractNumId w:val="8"/>
  </w:num>
  <w:num w:numId="15">
    <w:abstractNumId w:val="1"/>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FmOGQyNWI4YTk0YzdlODRkYzlkM2Y4OWUwYzRhYTYifQ=="/>
  </w:docVars>
  <w:rsids>
    <w:rsidRoot w:val="002418ED"/>
    <w:rsid w:val="00023AB5"/>
    <w:rsid w:val="00024C49"/>
    <w:rsid w:val="00043493"/>
    <w:rsid w:val="00065D5A"/>
    <w:rsid w:val="0007799F"/>
    <w:rsid w:val="00080BAD"/>
    <w:rsid w:val="000D0C9B"/>
    <w:rsid w:val="000E54DB"/>
    <w:rsid w:val="001104B7"/>
    <w:rsid w:val="00134256"/>
    <w:rsid w:val="00136896"/>
    <w:rsid w:val="00137881"/>
    <w:rsid w:val="001820E4"/>
    <w:rsid w:val="001A10A0"/>
    <w:rsid w:val="001C30E0"/>
    <w:rsid w:val="001C315D"/>
    <w:rsid w:val="001D4F53"/>
    <w:rsid w:val="001D7D62"/>
    <w:rsid w:val="001F238E"/>
    <w:rsid w:val="002418ED"/>
    <w:rsid w:val="002472F6"/>
    <w:rsid w:val="00250BF0"/>
    <w:rsid w:val="00256659"/>
    <w:rsid w:val="00273957"/>
    <w:rsid w:val="002A4CB1"/>
    <w:rsid w:val="002B2944"/>
    <w:rsid w:val="002D5F2A"/>
    <w:rsid w:val="002E0B07"/>
    <w:rsid w:val="00346547"/>
    <w:rsid w:val="00364622"/>
    <w:rsid w:val="00376C37"/>
    <w:rsid w:val="00395214"/>
    <w:rsid w:val="003B3FC0"/>
    <w:rsid w:val="003B7696"/>
    <w:rsid w:val="003C4C7D"/>
    <w:rsid w:val="003D6638"/>
    <w:rsid w:val="003D6A75"/>
    <w:rsid w:val="003E7C9C"/>
    <w:rsid w:val="00407E53"/>
    <w:rsid w:val="00412721"/>
    <w:rsid w:val="00460FCD"/>
    <w:rsid w:val="004B604B"/>
    <w:rsid w:val="004E49D5"/>
    <w:rsid w:val="005228CA"/>
    <w:rsid w:val="0052705D"/>
    <w:rsid w:val="00543553"/>
    <w:rsid w:val="005518BE"/>
    <w:rsid w:val="00560684"/>
    <w:rsid w:val="005B1167"/>
    <w:rsid w:val="005C115F"/>
    <w:rsid w:val="005F1F68"/>
    <w:rsid w:val="005F5881"/>
    <w:rsid w:val="006058D3"/>
    <w:rsid w:val="00652ABA"/>
    <w:rsid w:val="00652F80"/>
    <w:rsid w:val="006635C9"/>
    <w:rsid w:val="006A436E"/>
    <w:rsid w:val="006B03BA"/>
    <w:rsid w:val="006D659F"/>
    <w:rsid w:val="006F1267"/>
    <w:rsid w:val="006F5836"/>
    <w:rsid w:val="0072738E"/>
    <w:rsid w:val="00743C85"/>
    <w:rsid w:val="0075003A"/>
    <w:rsid w:val="00751256"/>
    <w:rsid w:val="00753396"/>
    <w:rsid w:val="00753809"/>
    <w:rsid w:val="007615EE"/>
    <w:rsid w:val="00782175"/>
    <w:rsid w:val="007938AA"/>
    <w:rsid w:val="007A140A"/>
    <w:rsid w:val="007A7DEF"/>
    <w:rsid w:val="007E64F6"/>
    <w:rsid w:val="0080091A"/>
    <w:rsid w:val="00820E2E"/>
    <w:rsid w:val="00834A26"/>
    <w:rsid w:val="008431F4"/>
    <w:rsid w:val="00860D24"/>
    <w:rsid w:val="0086353C"/>
    <w:rsid w:val="008716B9"/>
    <w:rsid w:val="00875725"/>
    <w:rsid w:val="00876637"/>
    <w:rsid w:val="0088518E"/>
    <w:rsid w:val="0089756E"/>
    <w:rsid w:val="008B261F"/>
    <w:rsid w:val="008B349F"/>
    <w:rsid w:val="008D0BA6"/>
    <w:rsid w:val="008E7C49"/>
    <w:rsid w:val="009029B3"/>
    <w:rsid w:val="0091575E"/>
    <w:rsid w:val="009335C6"/>
    <w:rsid w:val="00935851"/>
    <w:rsid w:val="0095169E"/>
    <w:rsid w:val="00966C54"/>
    <w:rsid w:val="009737F6"/>
    <w:rsid w:val="00981FA4"/>
    <w:rsid w:val="009A149D"/>
    <w:rsid w:val="009B0695"/>
    <w:rsid w:val="009D0CA6"/>
    <w:rsid w:val="009E2495"/>
    <w:rsid w:val="009F6ACD"/>
    <w:rsid w:val="00A2664D"/>
    <w:rsid w:val="00A70478"/>
    <w:rsid w:val="00A85F5F"/>
    <w:rsid w:val="00A868C8"/>
    <w:rsid w:val="00A97810"/>
    <w:rsid w:val="00AB474E"/>
    <w:rsid w:val="00AB5084"/>
    <w:rsid w:val="00AD42E3"/>
    <w:rsid w:val="00AD484B"/>
    <w:rsid w:val="00AD5794"/>
    <w:rsid w:val="00AE79DF"/>
    <w:rsid w:val="00AF2A5F"/>
    <w:rsid w:val="00B56EC4"/>
    <w:rsid w:val="00B64527"/>
    <w:rsid w:val="00B87D3E"/>
    <w:rsid w:val="00BB49F0"/>
    <w:rsid w:val="00BB57D2"/>
    <w:rsid w:val="00BC15D4"/>
    <w:rsid w:val="00BC2F68"/>
    <w:rsid w:val="00BE7250"/>
    <w:rsid w:val="00C07893"/>
    <w:rsid w:val="00C27508"/>
    <w:rsid w:val="00C36B54"/>
    <w:rsid w:val="00C373E9"/>
    <w:rsid w:val="00C4570F"/>
    <w:rsid w:val="00C5149B"/>
    <w:rsid w:val="00C53BA4"/>
    <w:rsid w:val="00C637D5"/>
    <w:rsid w:val="00C679A7"/>
    <w:rsid w:val="00C82081"/>
    <w:rsid w:val="00C84926"/>
    <w:rsid w:val="00CB276A"/>
    <w:rsid w:val="00CB3531"/>
    <w:rsid w:val="00CC5159"/>
    <w:rsid w:val="00D02750"/>
    <w:rsid w:val="00D201D6"/>
    <w:rsid w:val="00D4142A"/>
    <w:rsid w:val="00D4339C"/>
    <w:rsid w:val="00D56432"/>
    <w:rsid w:val="00D865C8"/>
    <w:rsid w:val="00D977C1"/>
    <w:rsid w:val="00DB7935"/>
    <w:rsid w:val="00DD2337"/>
    <w:rsid w:val="00DE0F24"/>
    <w:rsid w:val="00DF2D8B"/>
    <w:rsid w:val="00DF6FDB"/>
    <w:rsid w:val="00E0024B"/>
    <w:rsid w:val="00E23A8D"/>
    <w:rsid w:val="00E46A09"/>
    <w:rsid w:val="00E501BB"/>
    <w:rsid w:val="00E56710"/>
    <w:rsid w:val="00E66BAF"/>
    <w:rsid w:val="00E97D0D"/>
    <w:rsid w:val="00EC03AA"/>
    <w:rsid w:val="00EE2B69"/>
    <w:rsid w:val="00EE7999"/>
    <w:rsid w:val="00EF0908"/>
    <w:rsid w:val="00EF3F80"/>
    <w:rsid w:val="00F11741"/>
    <w:rsid w:val="00F16F62"/>
    <w:rsid w:val="00F24E46"/>
    <w:rsid w:val="00F30444"/>
    <w:rsid w:val="00F30914"/>
    <w:rsid w:val="00F409AE"/>
    <w:rsid w:val="00F52AEE"/>
    <w:rsid w:val="00F85C8C"/>
    <w:rsid w:val="00F91A84"/>
    <w:rsid w:val="00FB07AC"/>
    <w:rsid w:val="00FD283A"/>
    <w:rsid w:val="00FE0856"/>
    <w:rsid w:val="01175BCB"/>
    <w:rsid w:val="012704DB"/>
    <w:rsid w:val="01382BBC"/>
    <w:rsid w:val="0139304C"/>
    <w:rsid w:val="014E272B"/>
    <w:rsid w:val="015213F3"/>
    <w:rsid w:val="015F2C67"/>
    <w:rsid w:val="01912C7E"/>
    <w:rsid w:val="01B662AB"/>
    <w:rsid w:val="01C5649C"/>
    <w:rsid w:val="01C64722"/>
    <w:rsid w:val="01D87538"/>
    <w:rsid w:val="02116542"/>
    <w:rsid w:val="027B5769"/>
    <w:rsid w:val="02942239"/>
    <w:rsid w:val="035C50E4"/>
    <w:rsid w:val="036A1B82"/>
    <w:rsid w:val="03A23D72"/>
    <w:rsid w:val="043339C7"/>
    <w:rsid w:val="04603590"/>
    <w:rsid w:val="046F4A1C"/>
    <w:rsid w:val="04C11DAF"/>
    <w:rsid w:val="04CC2DBB"/>
    <w:rsid w:val="053077A7"/>
    <w:rsid w:val="05A1670A"/>
    <w:rsid w:val="05B647A2"/>
    <w:rsid w:val="06092301"/>
    <w:rsid w:val="06286C23"/>
    <w:rsid w:val="063F6AB5"/>
    <w:rsid w:val="06656BA3"/>
    <w:rsid w:val="066E56DC"/>
    <w:rsid w:val="06712922"/>
    <w:rsid w:val="067773D8"/>
    <w:rsid w:val="06931366"/>
    <w:rsid w:val="06A33F12"/>
    <w:rsid w:val="06A660EC"/>
    <w:rsid w:val="06C75D86"/>
    <w:rsid w:val="06ED33FD"/>
    <w:rsid w:val="06F56226"/>
    <w:rsid w:val="06FF48E3"/>
    <w:rsid w:val="07147872"/>
    <w:rsid w:val="07311744"/>
    <w:rsid w:val="073B11D3"/>
    <w:rsid w:val="073D2D23"/>
    <w:rsid w:val="07547C1F"/>
    <w:rsid w:val="07691A5B"/>
    <w:rsid w:val="07757DDA"/>
    <w:rsid w:val="078B414B"/>
    <w:rsid w:val="078E10B9"/>
    <w:rsid w:val="0790322D"/>
    <w:rsid w:val="07F20CD1"/>
    <w:rsid w:val="07F43F19"/>
    <w:rsid w:val="082E72A2"/>
    <w:rsid w:val="083E4D1A"/>
    <w:rsid w:val="0850050D"/>
    <w:rsid w:val="08513BC1"/>
    <w:rsid w:val="085813CF"/>
    <w:rsid w:val="08946407"/>
    <w:rsid w:val="089A2898"/>
    <w:rsid w:val="08A15A7D"/>
    <w:rsid w:val="08AB6853"/>
    <w:rsid w:val="08C66D55"/>
    <w:rsid w:val="08CC0F44"/>
    <w:rsid w:val="08D86398"/>
    <w:rsid w:val="090C2FAE"/>
    <w:rsid w:val="091F15F9"/>
    <w:rsid w:val="0920008D"/>
    <w:rsid w:val="094A6649"/>
    <w:rsid w:val="096A33EB"/>
    <w:rsid w:val="097F19A1"/>
    <w:rsid w:val="098707BD"/>
    <w:rsid w:val="098B07D2"/>
    <w:rsid w:val="099E47B2"/>
    <w:rsid w:val="09A456FA"/>
    <w:rsid w:val="09E0573E"/>
    <w:rsid w:val="0A11609A"/>
    <w:rsid w:val="0A1F7F92"/>
    <w:rsid w:val="0A552A4D"/>
    <w:rsid w:val="0A8C7FBE"/>
    <w:rsid w:val="0ACD22CC"/>
    <w:rsid w:val="0AE7615F"/>
    <w:rsid w:val="0B517A40"/>
    <w:rsid w:val="0B6B1C7A"/>
    <w:rsid w:val="0B7620DE"/>
    <w:rsid w:val="0B7A3777"/>
    <w:rsid w:val="0C23191C"/>
    <w:rsid w:val="0C28394A"/>
    <w:rsid w:val="0C2A23F3"/>
    <w:rsid w:val="0C342609"/>
    <w:rsid w:val="0C44289D"/>
    <w:rsid w:val="0C640755"/>
    <w:rsid w:val="0CCC31A1"/>
    <w:rsid w:val="0CEA6115"/>
    <w:rsid w:val="0CFD1BFF"/>
    <w:rsid w:val="0D8D4779"/>
    <w:rsid w:val="0D9D0734"/>
    <w:rsid w:val="0DB05F76"/>
    <w:rsid w:val="0DE63B13"/>
    <w:rsid w:val="0DF50BDD"/>
    <w:rsid w:val="0E1B0D75"/>
    <w:rsid w:val="0E265FE7"/>
    <w:rsid w:val="0EA20B2D"/>
    <w:rsid w:val="0EAF6A38"/>
    <w:rsid w:val="0EC042B5"/>
    <w:rsid w:val="0EE76800"/>
    <w:rsid w:val="0EF00994"/>
    <w:rsid w:val="0F276495"/>
    <w:rsid w:val="0F3D0F1E"/>
    <w:rsid w:val="0F4E5716"/>
    <w:rsid w:val="0F637AD6"/>
    <w:rsid w:val="0F661772"/>
    <w:rsid w:val="0F66581A"/>
    <w:rsid w:val="0F820C13"/>
    <w:rsid w:val="0F995C92"/>
    <w:rsid w:val="0FC050BF"/>
    <w:rsid w:val="0FC213B9"/>
    <w:rsid w:val="0FD50FE4"/>
    <w:rsid w:val="0FF97E65"/>
    <w:rsid w:val="10017E03"/>
    <w:rsid w:val="10034449"/>
    <w:rsid w:val="103B201E"/>
    <w:rsid w:val="1055197E"/>
    <w:rsid w:val="1055546D"/>
    <w:rsid w:val="106107D3"/>
    <w:rsid w:val="1092405F"/>
    <w:rsid w:val="10977040"/>
    <w:rsid w:val="10D47C31"/>
    <w:rsid w:val="10EB09A2"/>
    <w:rsid w:val="111660D6"/>
    <w:rsid w:val="111862C5"/>
    <w:rsid w:val="11273C7A"/>
    <w:rsid w:val="112A3BF4"/>
    <w:rsid w:val="1186305E"/>
    <w:rsid w:val="119A2177"/>
    <w:rsid w:val="11B952BC"/>
    <w:rsid w:val="11C526FC"/>
    <w:rsid w:val="120342EE"/>
    <w:rsid w:val="120B5580"/>
    <w:rsid w:val="12321836"/>
    <w:rsid w:val="12396C23"/>
    <w:rsid w:val="123E5E9E"/>
    <w:rsid w:val="124E7809"/>
    <w:rsid w:val="127B3BFD"/>
    <w:rsid w:val="12907D3B"/>
    <w:rsid w:val="12AF277F"/>
    <w:rsid w:val="12B44D00"/>
    <w:rsid w:val="12BC5320"/>
    <w:rsid w:val="12EB3DFA"/>
    <w:rsid w:val="12F6524A"/>
    <w:rsid w:val="131613DB"/>
    <w:rsid w:val="13345C6A"/>
    <w:rsid w:val="134B6BA7"/>
    <w:rsid w:val="137E0131"/>
    <w:rsid w:val="13AA66C2"/>
    <w:rsid w:val="13B82254"/>
    <w:rsid w:val="13D8738A"/>
    <w:rsid w:val="13E40610"/>
    <w:rsid w:val="13EA0D88"/>
    <w:rsid w:val="14007EBA"/>
    <w:rsid w:val="14087FF7"/>
    <w:rsid w:val="14391CA5"/>
    <w:rsid w:val="149D3865"/>
    <w:rsid w:val="149F13F6"/>
    <w:rsid w:val="14B206E4"/>
    <w:rsid w:val="14D61ED0"/>
    <w:rsid w:val="153D1748"/>
    <w:rsid w:val="1546633F"/>
    <w:rsid w:val="15665530"/>
    <w:rsid w:val="156A5EA6"/>
    <w:rsid w:val="156B5174"/>
    <w:rsid w:val="158208D0"/>
    <w:rsid w:val="1582215A"/>
    <w:rsid w:val="158B3902"/>
    <w:rsid w:val="15AD2CD0"/>
    <w:rsid w:val="15E423DB"/>
    <w:rsid w:val="1614723C"/>
    <w:rsid w:val="16265B7D"/>
    <w:rsid w:val="162B0E36"/>
    <w:rsid w:val="16372183"/>
    <w:rsid w:val="16376D26"/>
    <w:rsid w:val="165970AF"/>
    <w:rsid w:val="167232D9"/>
    <w:rsid w:val="16A65282"/>
    <w:rsid w:val="16AC3528"/>
    <w:rsid w:val="16C7506F"/>
    <w:rsid w:val="16DB614A"/>
    <w:rsid w:val="16EF2001"/>
    <w:rsid w:val="17231A63"/>
    <w:rsid w:val="173C240D"/>
    <w:rsid w:val="174313FB"/>
    <w:rsid w:val="17577EAA"/>
    <w:rsid w:val="177314DB"/>
    <w:rsid w:val="177939B3"/>
    <w:rsid w:val="177B2D33"/>
    <w:rsid w:val="179B5CE4"/>
    <w:rsid w:val="17BD2942"/>
    <w:rsid w:val="17F10E40"/>
    <w:rsid w:val="17FC48F2"/>
    <w:rsid w:val="1838591D"/>
    <w:rsid w:val="1845264B"/>
    <w:rsid w:val="1874237E"/>
    <w:rsid w:val="18C515BD"/>
    <w:rsid w:val="18E01BF7"/>
    <w:rsid w:val="18FC73F7"/>
    <w:rsid w:val="19014799"/>
    <w:rsid w:val="19257BA0"/>
    <w:rsid w:val="195474DB"/>
    <w:rsid w:val="198C11E1"/>
    <w:rsid w:val="199018BB"/>
    <w:rsid w:val="19A9778D"/>
    <w:rsid w:val="19AC242B"/>
    <w:rsid w:val="19C544DB"/>
    <w:rsid w:val="1A472154"/>
    <w:rsid w:val="1A60344F"/>
    <w:rsid w:val="1A645DFC"/>
    <w:rsid w:val="1A72516B"/>
    <w:rsid w:val="1A7A15D6"/>
    <w:rsid w:val="1A947E2C"/>
    <w:rsid w:val="1ABE4E06"/>
    <w:rsid w:val="1AD75285"/>
    <w:rsid w:val="1AFA1194"/>
    <w:rsid w:val="1AFF6991"/>
    <w:rsid w:val="1B0B1AAD"/>
    <w:rsid w:val="1B334CA0"/>
    <w:rsid w:val="1B4D40AA"/>
    <w:rsid w:val="1B7549F6"/>
    <w:rsid w:val="1B7B72B6"/>
    <w:rsid w:val="1B8608C6"/>
    <w:rsid w:val="1B883914"/>
    <w:rsid w:val="1B9054B2"/>
    <w:rsid w:val="1BB83E58"/>
    <w:rsid w:val="1BC1303B"/>
    <w:rsid w:val="1BD109CD"/>
    <w:rsid w:val="1BE33FB8"/>
    <w:rsid w:val="1C1339FE"/>
    <w:rsid w:val="1C5D337B"/>
    <w:rsid w:val="1C7D3C0B"/>
    <w:rsid w:val="1CA170E3"/>
    <w:rsid w:val="1CF00880"/>
    <w:rsid w:val="1D012F61"/>
    <w:rsid w:val="1D370BBE"/>
    <w:rsid w:val="1D5E7090"/>
    <w:rsid w:val="1D994B9E"/>
    <w:rsid w:val="1DB624A7"/>
    <w:rsid w:val="1DB943F8"/>
    <w:rsid w:val="1DBC657F"/>
    <w:rsid w:val="1DD677BD"/>
    <w:rsid w:val="1DF16B20"/>
    <w:rsid w:val="1DF23CCF"/>
    <w:rsid w:val="1E320A08"/>
    <w:rsid w:val="1E3A0907"/>
    <w:rsid w:val="1E46352B"/>
    <w:rsid w:val="1E6C79D2"/>
    <w:rsid w:val="1E975487"/>
    <w:rsid w:val="1E996666"/>
    <w:rsid w:val="1EAB264C"/>
    <w:rsid w:val="1EBC5C1A"/>
    <w:rsid w:val="1EC820C5"/>
    <w:rsid w:val="1F142B6A"/>
    <w:rsid w:val="1F1E00D2"/>
    <w:rsid w:val="1F7E221A"/>
    <w:rsid w:val="1FB92215"/>
    <w:rsid w:val="1FC00772"/>
    <w:rsid w:val="1FC078D5"/>
    <w:rsid w:val="1FC07FC4"/>
    <w:rsid w:val="1FFC2322"/>
    <w:rsid w:val="20021EFA"/>
    <w:rsid w:val="20061553"/>
    <w:rsid w:val="200A1243"/>
    <w:rsid w:val="202309F2"/>
    <w:rsid w:val="20481362"/>
    <w:rsid w:val="206D1FC6"/>
    <w:rsid w:val="207D33CF"/>
    <w:rsid w:val="20A37A60"/>
    <w:rsid w:val="20C42A93"/>
    <w:rsid w:val="20CB7035"/>
    <w:rsid w:val="20CF15F8"/>
    <w:rsid w:val="20DC3C0C"/>
    <w:rsid w:val="20E84E57"/>
    <w:rsid w:val="210F6034"/>
    <w:rsid w:val="21194C9A"/>
    <w:rsid w:val="21357D6F"/>
    <w:rsid w:val="214A249A"/>
    <w:rsid w:val="21694EC3"/>
    <w:rsid w:val="216C663D"/>
    <w:rsid w:val="217726A5"/>
    <w:rsid w:val="21926B87"/>
    <w:rsid w:val="21A2168C"/>
    <w:rsid w:val="21C21C74"/>
    <w:rsid w:val="21D32A70"/>
    <w:rsid w:val="21D7200F"/>
    <w:rsid w:val="21E62BCC"/>
    <w:rsid w:val="21EA03E6"/>
    <w:rsid w:val="21F92A28"/>
    <w:rsid w:val="22332171"/>
    <w:rsid w:val="22436A29"/>
    <w:rsid w:val="226E3D8A"/>
    <w:rsid w:val="228A73A4"/>
    <w:rsid w:val="229C7A75"/>
    <w:rsid w:val="22D015F2"/>
    <w:rsid w:val="22E93444"/>
    <w:rsid w:val="22F8223D"/>
    <w:rsid w:val="231A66FE"/>
    <w:rsid w:val="234D561B"/>
    <w:rsid w:val="23545B67"/>
    <w:rsid w:val="23566F63"/>
    <w:rsid w:val="2387666F"/>
    <w:rsid w:val="238D6ED9"/>
    <w:rsid w:val="23A00766"/>
    <w:rsid w:val="23D1545F"/>
    <w:rsid w:val="23DE19FA"/>
    <w:rsid w:val="23E568B3"/>
    <w:rsid w:val="24027E09"/>
    <w:rsid w:val="241237D2"/>
    <w:rsid w:val="241A5C0D"/>
    <w:rsid w:val="24423C1E"/>
    <w:rsid w:val="24500F4B"/>
    <w:rsid w:val="245B2595"/>
    <w:rsid w:val="247A3560"/>
    <w:rsid w:val="24FE2F03"/>
    <w:rsid w:val="25095948"/>
    <w:rsid w:val="250A4587"/>
    <w:rsid w:val="254C35EC"/>
    <w:rsid w:val="25637E26"/>
    <w:rsid w:val="25945D95"/>
    <w:rsid w:val="25A51464"/>
    <w:rsid w:val="25B047EA"/>
    <w:rsid w:val="25D926D3"/>
    <w:rsid w:val="25E55ADC"/>
    <w:rsid w:val="25FC46DF"/>
    <w:rsid w:val="267D63AF"/>
    <w:rsid w:val="267F4E5D"/>
    <w:rsid w:val="2680332A"/>
    <w:rsid w:val="26827207"/>
    <w:rsid w:val="26A96F57"/>
    <w:rsid w:val="26AA761F"/>
    <w:rsid w:val="26AB78AC"/>
    <w:rsid w:val="26AF08B4"/>
    <w:rsid w:val="270F1EFD"/>
    <w:rsid w:val="2722113C"/>
    <w:rsid w:val="27483067"/>
    <w:rsid w:val="276C31F9"/>
    <w:rsid w:val="276D2F7B"/>
    <w:rsid w:val="277512D3"/>
    <w:rsid w:val="28116D6C"/>
    <w:rsid w:val="2832268C"/>
    <w:rsid w:val="28357391"/>
    <w:rsid w:val="28833F3B"/>
    <w:rsid w:val="288528F2"/>
    <w:rsid w:val="28932FED"/>
    <w:rsid w:val="28B3117F"/>
    <w:rsid w:val="28DA4003"/>
    <w:rsid w:val="28E0470F"/>
    <w:rsid w:val="28F62B07"/>
    <w:rsid w:val="28FB65E3"/>
    <w:rsid w:val="290D51B5"/>
    <w:rsid w:val="292D6C55"/>
    <w:rsid w:val="2930367A"/>
    <w:rsid w:val="293161DA"/>
    <w:rsid w:val="294C5246"/>
    <w:rsid w:val="295C2DFA"/>
    <w:rsid w:val="295F6257"/>
    <w:rsid w:val="296D65CD"/>
    <w:rsid w:val="29BE3D54"/>
    <w:rsid w:val="29D7610E"/>
    <w:rsid w:val="29E52707"/>
    <w:rsid w:val="29EB62D0"/>
    <w:rsid w:val="29F23B96"/>
    <w:rsid w:val="29F536D8"/>
    <w:rsid w:val="2A0973AB"/>
    <w:rsid w:val="2A0E5216"/>
    <w:rsid w:val="2A3672FD"/>
    <w:rsid w:val="2A5967CA"/>
    <w:rsid w:val="2A612C1D"/>
    <w:rsid w:val="2AA2141C"/>
    <w:rsid w:val="2AA46C97"/>
    <w:rsid w:val="2ADE38AE"/>
    <w:rsid w:val="2B257C36"/>
    <w:rsid w:val="2B2F29A0"/>
    <w:rsid w:val="2B577D1D"/>
    <w:rsid w:val="2BA8115C"/>
    <w:rsid w:val="2C0B3750"/>
    <w:rsid w:val="2C0B73C8"/>
    <w:rsid w:val="2C187CC6"/>
    <w:rsid w:val="2C4E1D94"/>
    <w:rsid w:val="2C7A42A4"/>
    <w:rsid w:val="2C880CFA"/>
    <w:rsid w:val="2C8F222E"/>
    <w:rsid w:val="2CED089D"/>
    <w:rsid w:val="2D09034B"/>
    <w:rsid w:val="2D31727E"/>
    <w:rsid w:val="2D7E77E3"/>
    <w:rsid w:val="2D931E76"/>
    <w:rsid w:val="2DA26DDD"/>
    <w:rsid w:val="2DB74F53"/>
    <w:rsid w:val="2DDB2E87"/>
    <w:rsid w:val="2DEA396C"/>
    <w:rsid w:val="2DF93A69"/>
    <w:rsid w:val="2E077529"/>
    <w:rsid w:val="2E0D3E8E"/>
    <w:rsid w:val="2E157B6F"/>
    <w:rsid w:val="2E1B14D5"/>
    <w:rsid w:val="2E5D30E7"/>
    <w:rsid w:val="2E6801AF"/>
    <w:rsid w:val="2E9469D9"/>
    <w:rsid w:val="2E9E3053"/>
    <w:rsid w:val="2F0D723B"/>
    <w:rsid w:val="2F0E72A2"/>
    <w:rsid w:val="2F1A43C9"/>
    <w:rsid w:val="2F367926"/>
    <w:rsid w:val="2F4475BF"/>
    <w:rsid w:val="2F543264"/>
    <w:rsid w:val="2F9E1627"/>
    <w:rsid w:val="2FA200F5"/>
    <w:rsid w:val="2FAB6C88"/>
    <w:rsid w:val="2FF762B7"/>
    <w:rsid w:val="30183F1E"/>
    <w:rsid w:val="301A0C96"/>
    <w:rsid w:val="3023482F"/>
    <w:rsid w:val="303845C1"/>
    <w:rsid w:val="303E047C"/>
    <w:rsid w:val="30BD5A4F"/>
    <w:rsid w:val="30C47229"/>
    <w:rsid w:val="30E066B8"/>
    <w:rsid w:val="30EC7B53"/>
    <w:rsid w:val="30EF5A83"/>
    <w:rsid w:val="30F37830"/>
    <w:rsid w:val="30F902EA"/>
    <w:rsid w:val="310846E5"/>
    <w:rsid w:val="31451072"/>
    <w:rsid w:val="31885096"/>
    <w:rsid w:val="318B18EE"/>
    <w:rsid w:val="31B71E96"/>
    <w:rsid w:val="31E37053"/>
    <w:rsid w:val="32011C0F"/>
    <w:rsid w:val="321E3175"/>
    <w:rsid w:val="3271444E"/>
    <w:rsid w:val="328738CD"/>
    <w:rsid w:val="32B34592"/>
    <w:rsid w:val="32C862AF"/>
    <w:rsid w:val="32CD524A"/>
    <w:rsid w:val="32D05BEE"/>
    <w:rsid w:val="32D7238D"/>
    <w:rsid w:val="32E744DB"/>
    <w:rsid w:val="32F3504D"/>
    <w:rsid w:val="333A4A31"/>
    <w:rsid w:val="337218E7"/>
    <w:rsid w:val="338E34A8"/>
    <w:rsid w:val="33955F91"/>
    <w:rsid w:val="33DE475E"/>
    <w:rsid w:val="33E52369"/>
    <w:rsid w:val="33EC6631"/>
    <w:rsid w:val="33FA05BB"/>
    <w:rsid w:val="34135560"/>
    <w:rsid w:val="34290B77"/>
    <w:rsid w:val="34464E61"/>
    <w:rsid w:val="34512615"/>
    <w:rsid w:val="348A76E8"/>
    <w:rsid w:val="34B47F8E"/>
    <w:rsid w:val="34BB4D2A"/>
    <w:rsid w:val="35194817"/>
    <w:rsid w:val="35202BA4"/>
    <w:rsid w:val="352525E4"/>
    <w:rsid w:val="358838F4"/>
    <w:rsid w:val="358E6188"/>
    <w:rsid w:val="35987D28"/>
    <w:rsid w:val="35A50C49"/>
    <w:rsid w:val="35A87AF3"/>
    <w:rsid w:val="35C847FA"/>
    <w:rsid w:val="35E1140A"/>
    <w:rsid w:val="35F53705"/>
    <w:rsid w:val="36063E9A"/>
    <w:rsid w:val="36203281"/>
    <w:rsid w:val="36211EDA"/>
    <w:rsid w:val="36233036"/>
    <w:rsid w:val="362753B4"/>
    <w:rsid w:val="36301896"/>
    <w:rsid w:val="368B3B0A"/>
    <w:rsid w:val="36ED4BFB"/>
    <w:rsid w:val="37443FF0"/>
    <w:rsid w:val="377A5D71"/>
    <w:rsid w:val="37826A6B"/>
    <w:rsid w:val="378E64BD"/>
    <w:rsid w:val="37B655F7"/>
    <w:rsid w:val="37C438F0"/>
    <w:rsid w:val="37F35C3D"/>
    <w:rsid w:val="37FA2D45"/>
    <w:rsid w:val="380610A9"/>
    <w:rsid w:val="38224922"/>
    <w:rsid w:val="384B11BC"/>
    <w:rsid w:val="386E0C9B"/>
    <w:rsid w:val="386F62B8"/>
    <w:rsid w:val="3882414D"/>
    <w:rsid w:val="38A35835"/>
    <w:rsid w:val="38A4662A"/>
    <w:rsid w:val="38AF2BBC"/>
    <w:rsid w:val="38DF671D"/>
    <w:rsid w:val="38F332B8"/>
    <w:rsid w:val="391D7E0B"/>
    <w:rsid w:val="39361971"/>
    <w:rsid w:val="39460A64"/>
    <w:rsid w:val="39660497"/>
    <w:rsid w:val="399B13E6"/>
    <w:rsid w:val="39BB5D97"/>
    <w:rsid w:val="39C711D1"/>
    <w:rsid w:val="39CA6372"/>
    <w:rsid w:val="3A1738C4"/>
    <w:rsid w:val="3A1F10B5"/>
    <w:rsid w:val="3AB44127"/>
    <w:rsid w:val="3ACC10C7"/>
    <w:rsid w:val="3AEC683B"/>
    <w:rsid w:val="3AEE18C1"/>
    <w:rsid w:val="3B117EE8"/>
    <w:rsid w:val="3B1D47DF"/>
    <w:rsid w:val="3B441E0D"/>
    <w:rsid w:val="3B4516B4"/>
    <w:rsid w:val="3B62491D"/>
    <w:rsid w:val="3B7E5B2B"/>
    <w:rsid w:val="3B895BC8"/>
    <w:rsid w:val="3B8B169C"/>
    <w:rsid w:val="3BA76847"/>
    <w:rsid w:val="3BAF0F71"/>
    <w:rsid w:val="3BE53167"/>
    <w:rsid w:val="3C1F67E1"/>
    <w:rsid w:val="3C3263F5"/>
    <w:rsid w:val="3C4A1E61"/>
    <w:rsid w:val="3C4B35E8"/>
    <w:rsid w:val="3C4D3B52"/>
    <w:rsid w:val="3C667DC0"/>
    <w:rsid w:val="3C6D639F"/>
    <w:rsid w:val="3CFF7E02"/>
    <w:rsid w:val="3D4071C1"/>
    <w:rsid w:val="3D4225DB"/>
    <w:rsid w:val="3D716F95"/>
    <w:rsid w:val="3D841FF4"/>
    <w:rsid w:val="3DB801A1"/>
    <w:rsid w:val="3DD362C5"/>
    <w:rsid w:val="3DF121EB"/>
    <w:rsid w:val="3DF75341"/>
    <w:rsid w:val="3E114431"/>
    <w:rsid w:val="3E78202C"/>
    <w:rsid w:val="3E885FA9"/>
    <w:rsid w:val="3E944B39"/>
    <w:rsid w:val="3EBE6EF2"/>
    <w:rsid w:val="3EC266DA"/>
    <w:rsid w:val="3EC63C56"/>
    <w:rsid w:val="3ECD2927"/>
    <w:rsid w:val="3F0C02D1"/>
    <w:rsid w:val="3F131C8D"/>
    <w:rsid w:val="3F164A3D"/>
    <w:rsid w:val="3F194038"/>
    <w:rsid w:val="3F5D102F"/>
    <w:rsid w:val="3F6A5356"/>
    <w:rsid w:val="3F7F0829"/>
    <w:rsid w:val="3FBB5466"/>
    <w:rsid w:val="3FC24DBD"/>
    <w:rsid w:val="3FFE5A34"/>
    <w:rsid w:val="40157C88"/>
    <w:rsid w:val="402121C3"/>
    <w:rsid w:val="402A2267"/>
    <w:rsid w:val="403A1C8F"/>
    <w:rsid w:val="408A49C4"/>
    <w:rsid w:val="408D1A72"/>
    <w:rsid w:val="40901060"/>
    <w:rsid w:val="40BF3481"/>
    <w:rsid w:val="40C43710"/>
    <w:rsid w:val="40D379EC"/>
    <w:rsid w:val="40E03EDC"/>
    <w:rsid w:val="40E93F24"/>
    <w:rsid w:val="41283D86"/>
    <w:rsid w:val="416E1291"/>
    <w:rsid w:val="419D2D01"/>
    <w:rsid w:val="41BA1BF0"/>
    <w:rsid w:val="41E77E27"/>
    <w:rsid w:val="42335445"/>
    <w:rsid w:val="423558AD"/>
    <w:rsid w:val="428E0425"/>
    <w:rsid w:val="42A76A5F"/>
    <w:rsid w:val="42AB020C"/>
    <w:rsid w:val="42CD50FE"/>
    <w:rsid w:val="42D04EB0"/>
    <w:rsid w:val="42FA1CF4"/>
    <w:rsid w:val="430E77E0"/>
    <w:rsid w:val="432D0403"/>
    <w:rsid w:val="43320581"/>
    <w:rsid w:val="434404B8"/>
    <w:rsid w:val="43673AC6"/>
    <w:rsid w:val="43AC70E5"/>
    <w:rsid w:val="43AD7D73"/>
    <w:rsid w:val="43B83EED"/>
    <w:rsid w:val="43EA5DFC"/>
    <w:rsid w:val="43F63E43"/>
    <w:rsid w:val="4406358E"/>
    <w:rsid w:val="4411751E"/>
    <w:rsid w:val="44207664"/>
    <w:rsid w:val="44304265"/>
    <w:rsid w:val="443C3C76"/>
    <w:rsid w:val="449C3E2A"/>
    <w:rsid w:val="44CE0635"/>
    <w:rsid w:val="44DD08CC"/>
    <w:rsid w:val="44E5153B"/>
    <w:rsid w:val="44ED72D0"/>
    <w:rsid w:val="44F7735C"/>
    <w:rsid w:val="44F817CA"/>
    <w:rsid w:val="45434DFE"/>
    <w:rsid w:val="45582CE4"/>
    <w:rsid w:val="458D76F7"/>
    <w:rsid w:val="45EE72E3"/>
    <w:rsid w:val="45FC78B1"/>
    <w:rsid w:val="46161B84"/>
    <w:rsid w:val="46187956"/>
    <w:rsid w:val="46502178"/>
    <w:rsid w:val="465075EA"/>
    <w:rsid w:val="466047EF"/>
    <w:rsid w:val="467557CF"/>
    <w:rsid w:val="46832EC4"/>
    <w:rsid w:val="468334EF"/>
    <w:rsid w:val="46EC3CCB"/>
    <w:rsid w:val="46F727B9"/>
    <w:rsid w:val="47103E84"/>
    <w:rsid w:val="47162F74"/>
    <w:rsid w:val="471D2D20"/>
    <w:rsid w:val="474C0240"/>
    <w:rsid w:val="47B70069"/>
    <w:rsid w:val="47B9016C"/>
    <w:rsid w:val="47BA5346"/>
    <w:rsid w:val="47CC1EE8"/>
    <w:rsid w:val="47F74E44"/>
    <w:rsid w:val="47FD2A3E"/>
    <w:rsid w:val="47FD4A05"/>
    <w:rsid w:val="481257DB"/>
    <w:rsid w:val="48177CEE"/>
    <w:rsid w:val="48402A51"/>
    <w:rsid w:val="48551578"/>
    <w:rsid w:val="48651A7F"/>
    <w:rsid w:val="487123E0"/>
    <w:rsid w:val="48CB6925"/>
    <w:rsid w:val="48DC67EF"/>
    <w:rsid w:val="48E254E3"/>
    <w:rsid w:val="492055D0"/>
    <w:rsid w:val="492D638D"/>
    <w:rsid w:val="49405B43"/>
    <w:rsid w:val="495719EC"/>
    <w:rsid w:val="49656870"/>
    <w:rsid w:val="498A34DB"/>
    <w:rsid w:val="49A10856"/>
    <w:rsid w:val="4A210409"/>
    <w:rsid w:val="4A736BF8"/>
    <w:rsid w:val="4A8218F9"/>
    <w:rsid w:val="4A854500"/>
    <w:rsid w:val="4AB54369"/>
    <w:rsid w:val="4B1352A9"/>
    <w:rsid w:val="4B15559C"/>
    <w:rsid w:val="4B201F64"/>
    <w:rsid w:val="4B210482"/>
    <w:rsid w:val="4B31495A"/>
    <w:rsid w:val="4B3D74C1"/>
    <w:rsid w:val="4B791924"/>
    <w:rsid w:val="4B9B1400"/>
    <w:rsid w:val="4BE9028E"/>
    <w:rsid w:val="4BE94B06"/>
    <w:rsid w:val="4C357668"/>
    <w:rsid w:val="4C503513"/>
    <w:rsid w:val="4C596654"/>
    <w:rsid w:val="4C9B62BB"/>
    <w:rsid w:val="4CDB5179"/>
    <w:rsid w:val="4D02062E"/>
    <w:rsid w:val="4D1678EF"/>
    <w:rsid w:val="4D255941"/>
    <w:rsid w:val="4D4011A6"/>
    <w:rsid w:val="4D7C1275"/>
    <w:rsid w:val="4DCF5796"/>
    <w:rsid w:val="4E3046D1"/>
    <w:rsid w:val="4E46382D"/>
    <w:rsid w:val="4E816CDB"/>
    <w:rsid w:val="4EA722D0"/>
    <w:rsid w:val="4EA7301B"/>
    <w:rsid w:val="4EBC3EF5"/>
    <w:rsid w:val="4EEC68B2"/>
    <w:rsid w:val="4F1204ED"/>
    <w:rsid w:val="4F392B9B"/>
    <w:rsid w:val="4F7C41D4"/>
    <w:rsid w:val="4F994A0F"/>
    <w:rsid w:val="4FB7012D"/>
    <w:rsid w:val="4FEC1056"/>
    <w:rsid w:val="4FF03193"/>
    <w:rsid w:val="4FF97D5B"/>
    <w:rsid w:val="500F77C7"/>
    <w:rsid w:val="50AC6291"/>
    <w:rsid w:val="50B10D36"/>
    <w:rsid w:val="510F6FF3"/>
    <w:rsid w:val="511B0BB5"/>
    <w:rsid w:val="512A5408"/>
    <w:rsid w:val="51417324"/>
    <w:rsid w:val="51447C0E"/>
    <w:rsid w:val="514E3444"/>
    <w:rsid w:val="515B2D5B"/>
    <w:rsid w:val="51BB2A6F"/>
    <w:rsid w:val="521468B3"/>
    <w:rsid w:val="521C3F67"/>
    <w:rsid w:val="528D4ADB"/>
    <w:rsid w:val="52962737"/>
    <w:rsid w:val="529A52D7"/>
    <w:rsid w:val="52C72EFE"/>
    <w:rsid w:val="52D723B2"/>
    <w:rsid w:val="52E6502D"/>
    <w:rsid w:val="53234805"/>
    <w:rsid w:val="53612DE6"/>
    <w:rsid w:val="538074FC"/>
    <w:rsid w:val="53C725AE"/>
    <w:rsid w:val="53E23C48"/>
    <w:rsid w:val="54153B2A"/>
    <w:rsid w:val="541D77BD"/>
    <w:rsid w:val="54217D71"/>
    <w:rsid w:val="54434E54"/>
    <w:rsid w:val="54444C5E"/>
    <w:rsid w:val="54A77464"/>
    <w:rsid w:val="54B71354"/>
    <w:rsid w:val="54BD2153"/>
    <w:rsid w:val="54E447C7"/>
    <w:rsid w:val="54EE6E71"/>
    <w:rsid w:val="54F860F5"/>
    <w:rsid w:val="550211AF"/>
    <w:rsid w:val="55025FEA"/>
    <w:rsid w:val="551A0823"/>
    <w:rsid w:val="55216902"/>
    <w:rsid w:val="55481377"/>
    <w:rsid w:val="556C4241"/>
    <w:rsid w:val="55701C2A"/>
    <w:rsid w:val="55724C5B"/>
    <w:rsid w:val="55907F8D"/>
    <w:rsid w:val="5593070C"/>
    <w:rsid w:val="559D2D4D"/>
    <w:rsid w:val="559D44BF"/>
    <w:rsid w:val="55AB4717"/>
    <w:rsid w:val="55B179A0"/>
    <w:rsid w:val="55E75FFB"/>
    <w:rsid w:val="56312035"/>
    <w:rsid w:val="566A4013"/>
    <w:rsid w:val="566C4A16"/>
    <w:rsid w:val="566C593F"/>
    <w:rsid w:val="567E7EB5"/>
    <w:rsid w:val="56897873"/>
    <w:rsid w:val="56C9677C"/>
    <w:rsid w:val="56D653C3"/>
    <w:rsid w:val="56E13C90"/>
    <w:rsid w:val="571409EE"/>
    <w:rsid w:val="57276637"/>
    <w:rsid w:val="574D346B"/>
    <w:rsid w:val="57603931"/>
    <w:rsid w:val="578F4217"/>
    <w:rsid w:val="57A816B5"/>
    <w:rsid w:val="57AA2216"/>
    <w:rsid w:val="57D84F42"/>
    <w:rsid w:val="57F47EB1"/>
    <w:rsid w:val="57F56196"/>
    <w:rsid w:val="57FD3876"/>
    <w:rsid w:val="5815258B"/>
    <w:rsid w:val="581E0235"/>
    <w:rsid w:val="582279EA"/>
    <w:rsid w:val="583152CE"/>
    <w:rsid w:val="5832626C"/>
    <w:rsid w:val="583D784D"/>
    <w:rsid w:val="58430452"/>
    <w:rsid w:val="586065FA"/>
    <w:rsid w:val="589B1FA6"/>
    <w:rsid w:val="58CA48C1"/>
    <w:rsid w:val="58DA1FEF"/>
    <w:rsid w:val="59102496"/>
    <w:rsid w:val="5913345A"/>
    <w:rsid w:val="59204367"/>
    <w:rsid w:val="592D1629"/>
    <w:rsid w:val="593F72E6"/>
    <w:rsid w:val="596367FF"/>
    <w:rsid w:val="59CE0147"/>
    <w:rsid w:val="59D26CF7"/>
    <w:rsid w:val="5A076430"/>
    <w:rsid w:val="5A373B7A"/>
    <w:rsid w:val="5A406ED7"/>
    <w:rsid w:val="5A407735"/>
    <w:rsid w:val="5A425CB4"/>
    <w:rsid w:val="5A434A7B"/>
    <w:rsid w:val="5A4420E9"/>
    <w:rsid w:val="5A7E375D"/>
    <w:rsid w:val="5A8D6BFD"/>
    <w:rsid w:val="5A8D7133"/>
    <w:rsid w:val="5ADA6297"/>
    <w:rsid w:val="5AEA6513"/>
    <w:rsid w:val="5B1669C9"/>
    <w:rsid w:val="5B3D7DA1"/>
    <w:rsid w:val="5B5B5090"/>
    <w:rsid w:val="5B754EAE"/>
    <w:rsid w:val="5BC92FE2"/>
    <w:rsid w:val="5BE03C01"/>
    <w:rsid w:val="5BEC60DC"/>
    <w:rsid w:val="5BEF6D29"/>
    <w:rsid w:val="5C1325F5"/>
    <w:rsid w:val="5C187F3C"/>
    <w:rsid w:val="5C1B12E8"/>
    <w:rsid w:val="5CC8442B"/>
    <w:rsid w:val="5CE345F1"/>
    <w:rsid w:val="5CE820E5"/>
    <w:rsid w:val="5D6A14D2"/>
    <w:rsid w:val="5D6B3030"/>
    <w:rsid w:val="5D772B57"/>
    <w:rsid w:val="5DAF3045"/>
    <w:rsid w:val="5DB864EC"/>
    <w:rsid w:val="5E033A59"/>
    <w:rsid w:val="5E1C4DEE"/>
    <w:rsid w:val="5E2B4D2B"/>
    <w:rsid w:val="5E7005D8"/>
    <w:rsid w:val="5E994F2F"/>
    <w:rsid w:val="5E9F1EB9"/>
    <w:rsid w:val="5EB272D1"/>
    <w:rsid w:val="5EBA601D"/>
    <w:rsid w:val="5EDD3BAF"/>
    <w:rsid w:val="5F0F4C34"/>
    <w:rsid w:val="5F3C21BB"/>
    <w:rsid w:val="5F4C4D8C"/>
    <w:rsid w:val="5F506A56"/>
    <w:rsid w:val="5F656BBE"/>
    <w:rsid w:val="5F703D10"/>
    <w:rsid w:val="5F7D0273"/>
    <w:rsid w:val="5F8A08C7"/>
    <w:rsid w:val="5F9C44BD"/>
    <w:rsid w:val="5FBD7995"/>
    <w:rsid w:val="5FCB78B7"/>
    <w:rsid w:val="5FF81911"/>
    <w:rsid w:val="603622AE"/>
    <w:rsid w:val="605A3842"/>
    <w:rsid w:val="609965FC"/>
    <w:rsid w:val="60AE3960"/>
    <w:rsid w:val="60C11ADB"/>
    <w:rsid w:val="60D27D19"/>
    <w:rsid w:val="60DC0432"/>
    <w:rsid w:val="60F26278"/>
    <w:rsid w:val="60FA77A8"/>
    <w:rsid w:val="616425BD"/>
    <w:rsid w:val="61703C27"/>
    <w:rsid w:val="61784C47"/>
    <w:rsid w:val="617E5D5F"/>
    <w:rsid w:val="61815B25"/>
    <w:rsid w:val="619607DF"/>
    <w:rsid w:val="61CD250B"/>
    <w:rsid w:val="61D4758A"/>
    <w:rsid w:val="61E514C9"/>
    <w:rsid w:val="62244B6F"/>
    <w:rsid w:val="622D64F2"/>
    <w:rsid w:val="625B0771"/>
    <w:rsid w:val="62A268BB"/>
    <w:rsid w:val="62A57B4D"/>
    <w:rsid w:val="62A72D5C"/>
    <w:rsid w:val="62C70F10"/>
    <w:rsid w:val="62D91D86"/>
    <w:rsid w:val="631D12A7"/>
    <w:rsid w:val="633E564D"/>
    <w:rsid w:val="634818B2"/>
    <w:rsid w:val="6377033D"/>
    <w:rsid w:val="639C03E7"/>
    <w:rsid w:val="63A36368"/>
    <w:rsid w:val="63A46D27"/>
    <w:rsid w:val="63E14ED8"/>
    <w:rsid w:val="63EF49BB"/>
    <w:rsid w:val="63F16FB9"/>
    <w:rsid w:val="63FE6D67"/>
    <w:rsid w:val="640338E6"/>
    <w:rsid w:val="640706A3"/>
    <w:rsid w:val="642721E0"/>
    <w:rsid w:val="6442442C"/>
    <w:rsid w:val="6451160C"/>
    <w:rsid w:val="64564356"/>
    <w:rsid w:val="646B5C3B"/>
    <w:rsid w:val="6470257C"/>
    <w:rsid w:val="648C2BF5"/>
    <w:rsid w:val="64A5151D"/>
    <w:rsid w:val="64C00328"/>
    <w:rsid w:val="64C02546"/>
    <w:rsid w:val="64C71494"/>
    <w:rsid w:val="64C8752F"/>
    <w:rsid w:val="64E07CE0"/>
    <w:rsid w:val="64E268AD"/>
    <w:rsid w:val="64E70B16"/>
    <w:rsid w:val="64EA3DF2"/>
    <w:rsid w:val="64FA01E9"/>
    <w:rsid w:val="6512265A"/>
    <w:rsid w:val="65194AE2"/>
    <w:rsid w:val="6577337E"/>
    <w:rsid w:val="65914422"/>
    <w:rsid w:val="65983C9F"/>
    <w:rsid w:val="659E7E60"/>
    <w:rsid w:val="65E15826"/>
    <w:rsid w:val="65FF6A10"/>
    <w:rsid w:val="66020763"/>
    <w:rsid w:val="666C7DEF"/>
    <w:rsid w:val="667F69B7"/>
    <w:rsid w:val="66A42511"/>
    <w:rsid w:val="66D93A20"/>
    <w:rsid w:val="670A3D2E"/>
    <w:rsid w:val="670E064B"/>
    <w:rsid w:val="67152740"/>
    <w:rsid w:val="67550DBE"/>
    <w:rsid w:val="6759544A"/>
    <w:rsid w:val="678C42CF"/>
    <w:rsid w:val="681B3B74"/>
    <w:rsid w:val="68241258"/>
    <w:rsid w:val="6829456B"/>
    <w:rsid w:val="683F6A51"/>
    <w:rsid w:val="68654188"/>
    <w:rsid w:val="686D231A"/>
    <w:rsid w:val="688F42E7"/>
    <w:rsid w:val="68AD23E2"/>
    <w:rsid w:val="68BA4779"/>
    <w:rsid w:val="68DA102D"/>
    <w:rsid w:val="68EE34D3"/>
    <w:rsid w:val="690430FB"/>
    <w:rsid w:val="69490C6B"/>
    <w:rsid w:val="695B05B8"/>
    <w:rsid w:val="695E1B81"/>
    <w:rsid w:val="696B2119"/>
    <w:rsid w:val="697241B5"/>
    <w:rsid w:val="699F29DF"/>
    <w:rsid w:val="69AB140F"/>
    <w:rsid w:val="69AB4E06"/>
    <w:rsid w:val="69B961FD"/>
    <w:rsid w:val="69DA7267"/>
    <w:rsid w:val="6A244106"/>
    <w:rsid w:val="6A764D12"/>
    <w:rsid w:val="6A905372"/>
    <w:rsid w:val="6A9A1FF3"/>
    <w:rsid w:val="6A9E29F4"/>
    <w:rsid w:val="6AAA66BD"/>
    <w:rsid w:val="6AAF0A00"/>
    <w:rsid w:val="6AB701CA"/>
    <w:rsid w:val="6ABF6F65"/>
    <w:rsid w:val="6ACE1FD7"/>
    <w:rsid w:val="6AEA47AB"/>
    <w:rsid w:val="6B227368"/>
    <w:rsid w:val="6B4952B1"/>
    <w:rsid w:val="6B561170"/>
    <w:rsid w:val="6B80566A"/>
    <w:rsid w:val="6B8E482F"/>
    <w:rsid w:val="6BAD72D0"/>
    <w:rsid w:val="6BD95B27"/>
    <w:rsid w:val="6BFA2EE6"/>
    <w:rsid w:val="6C2D5C19"/>
    <w:rsid w:val="6C5B408D"/>
    <w:rsid w:val="6C915E88"/>
    <w:rsid w:val="6C930236"/>
    <w:rsid w:val="6CBA1B4C"/>
    <w:rsid w:val="6CC200BE"/>
    <w:rsid w:val="6CC77E3B"/>
    <w:rsid w:val="6CCB77F4"/>
    <w:rsid w:val="6CF34041"/>
    <w:rsid w:val="6D1E4468"/>
    <w:rsid w:val="6D243A13"/>
    <w:rsid w:val="6D251D1D"/>
    <w:rsid w:val="6D293AB8"/>
    <w:rsid w:val="6D323E92"/>
    <w:rsid w:val="6D4A67DD"/>
    <w:rsid w:val="6D604217"/>
    <w:rsid w:val="6D633BFB"/>
    <w:rsid w:val="6D725D15"/>
    <w:rsid w:val="6D732E5A"/>
    <w:rsid w:val="6D921676"/>
    <w:rsid w:val="6D95176A"/>
    <w:rsid w:val="6D9B441B"/>
    <w:rsid w:val="6DBE538E"/>
    <w:rsid w:val="6DCF1E00"/>
    <w:rsid w:val="6DCF266C"/>
    <w:rsid w:val="6E361CC3"/>
    <w:rsid w:val="6E553249"/>
    <w:rsid w:val="6E7D2BC3"/>
    <w:rsid w:val="6EA27D34"/>
    <w:rsid w:val="6EAC575D"/>
    <w:rsid w:val="6ECD076F"/>
    <w:rsid w:val="6EE97134"/>
    <w:rsid w:val="6F0324B8"/>
    <w:rsid w:val="6F091190"/>
    <w:rsid w:val="6F2D032F"/>
    <w:rsid w:val="6F361F10"/>
    <w:rsid w:val="6F3B2C38"/>
    <w:rsid w:val="6F690A79"/>
    <w:rsid w:val="6FBC061A"/>
    <w:rsid w:val="6FDC2C0C"/>
    <w:rsid w:val="6FED062B"/>
    <w:rsid w:val="6FF04672"/>
    <w:rsid w:val="6FFF58CF"/>
    <w:rsid w:val="70003AAC"/>
    <w:rsid w:val="70147DF3"/>
    <w:rsid w:val="701B3AAA"/>
    <w:rsid w:val="705D7638"/>
    <w:rsid w:val="706F2B70"/>
    <w:rsid w:val="707A7ECE"/>
    <w:rsid w:val="7080699B"/>
    <w:rsid w:val="70837300"/>
    <w:rsid w:val="708A63FB"/>
    <w:rsid w:val="7092760F"/>
    <w:rsid w:val="70B2124A"/>
    <w:rsid w:val="70B83C40"/>
    <w:rsid w:val="714802B0"/>
    <w:rsid w:val="71583C9A"/>
    <w:rsid w:val="71791D68"/>
    <w:rsid w:val="71876B0B"/>
    <w:rsid w:val="71A4258C"/>
    <w:rsid w:val="71A861A9"/>
    <w:rsid w:val="71B479B2"/>
    <w:rsid w:val="71B62E6D"/>
    <w:rsid w:val="71C00BCE"/>
    <w:rsid w:val="71C5500F"/>
    <w:rsid w:val="71E35283"/>
    <w:rsid w:val="71F33A73"/>
    <w:rsid w:val="722166C3"/>
    <w:rsid w:val="723E400B"/>
    <w:rsid w:val="724F743B"/>
    <w:rsid w:val="72580F09"/>
    <w:rsid w:val="7276287E"/>
    <w:rsid w:val="72A14B92"/>
    <w:rsid w:val="72AE160F"/>
    <w:rsid w:val="72B5273C"/>
    <w:rsid w:val="72D75E82"/>
    <w:rsid w:val="73084648"/>
    <w:rsid w:val="731E7FAE"/>
    <w:rsid w:val="73215E84"/>
    <w:rsid w:val="735E58C0"/>
    <w:rsid w:val="73610D33"/>
    <w:rsid w:val="73695E9E"/>
    <w:rsid w:val="7383596D"/>
    <w:rsid w:val="74221C9A"/>
    <w:rsid w:val="74314DD6"/>
    <w:rsid w:val="744045FF"/>
    <w:rsid w:val="74604020"/>
    <w:rsid w:val="74846C36"/>
    <w:rsid w:val="74895097"/>
    <w:rsid w:val="74A673D4"/>
    <w:rsid w:val="74F24C72"/>
    <w:rsid w:val="7542223F"/>
    <w:rsid w:val="758B3078"/>
    <w:rsid w:val="75A53860"/>
    <w:rsid w:val="75B4584F"/>
    <w:rsid w:val="75EB4BA5"/>
    <w:rsid w:val="760463E6"/>
    <w:rsid w:val="762E4504"/>
    <w:rsid w:val="76316D8C"/>
    <w:rsid w:val="76346CF4"/>
    <w:rsid w:val="764E542E"/>
    <w:rsid w:val="765B5D07"/>
    <w:rsid w:val="769E6C67"/>
    <w:rsid w:val="76A12B58"/>
    <w:rsid w:val="76A376B3"/>
    <w:rsid w:val="76C17980"/>
    <w:rsid w:val="76C773CF"/>
    <w:rsid w:val="76CB0669"/>
    <w:rsid w:val="77302EC9"/>
    <w:rsid w:val="776C5A44"/>
    <w:rsid w:val="7785743E"/>
    <w:rsid w:val="779276DF"/>
    <w:rsid w:val="77962B28"/>
    <w:rsid w:val="779B402E"/>
    <w:rsid w:val="77A16947"/>
    <w:rsid w:val="77D724A8"/>
    <w:rsid w:val="77E61423"/>
    <w:rsid w:val="78403C53"/>
    <w:rsid w:val="78644BC3"/>
    <w:rsid w:val="786C0C1A"/>
    <w:rsid w:val="7885526B"/>
    <w:rsid w:val="789062B1"/>
    <w:rsid w:val="78C50B82"/>
    <w:rsid w:val="78F13856"/>
    <w:rsid w:val="792D15E4"/>
    <w:rsid w:val="79491CC5"/>
    <w:rsid w:val="79645594"/>
    <w:rsid w:val="7972250A"/>
    <w:rsid w:val="797B18FD"/>
    <w:rsid w:val="79CF60CB"/>
    <w:rsid w:val="79F701DE"/>
    <w:rsid w:val="79FA77BE"/>
    <w:rsid w:val="7A036672"/>
    <w:rsid w:val="7A1140B3"/>
    <w:rsid w:val="7A1C7560"/>
    <w:rsid w:val="7A3A17F7"/>
    <w:rsid w:val="7A4866D6"/>
    <w:rsid w:val="7A6C46FD"/>
    <w:rsid w:val="7A784FAA"/>
    <w:rsid w:val="7A7D5F38"/>
    <w:rsid w:val="7AB777C7"/>
    <w:rsid w:val="7ABB474E"/>
    <w:rsid w:val="7ABC0EF6"/>
    <w:rsid w:val="7AFE2664"/>
    <w:rsid w:val="7B032E6F"/>
    <w:rsid w:val="7B287973"/>
    <w:rsid w:val="7B296605"/>
    <w:rsid w:val="7B3A2533"/>
    <w:rsid w:val="7B745BE2"/>
    <w:rsid w:val="7B7C688E"/>
    <w:rsid w:val="7BC50A86"/>
    <w:rsid w:val="7BC614A9"/>
    <w:rsid w:val="7BD03BF0"/>
    <w:rsid w:val="7C093CE8"/>
    <w:rsid w:val="7C6D2B65"/>
    <w:rsid w:val="7C7044AF"/>
    <w:rsid w:val="7C8810B1"/>
    <w:rsid w:val="7C8E04B5"/>
    <w:rsid w:val="7C981F95"/>
    <w:rsid w:val="7CBB2E8C"/>
    <w:rsid w:val="7CBD2A6C"/>
    <w:rsid w:val="7CC7057A"/>
    <w:rsid w:val="7CEF33DA"/>
    <w:rsid w:val="7CF56BE1"/>
    <w:rsid w:val="7D094D05"/>
    <w:rsid w:val="7D291FA0"/>
    <w:rsid w:val="7D334242"/>
    <w:rsid w:val="7D40058A"/>
    <w:rsid w:val="7D90557F"/>
    <w:rsid w:val="7DC60192"/>
    <w:rsid w:val="7DEB340E"/>
    <w:rsid w:val="7E607661"/>
    <w:rsid w:val="7E7A2986"/>
    <w:rsid w:val="7E7F1AD5"/>
    <w:rsid w:val="7E9F72B9"/>
    <w:rsid w:val="7EAE7190"/>
    <w:rsid w:val="7EB03566"/>
    <w:rsid w:val="7EE21C55"/>
    <w:rsid w:val="7EE3162A"/>
    <w:rsid w:val="7F155026"/>
    <w:rsid w:val="7F1A56DC"/>
    <w:rsid w:val="7F273959"/>
    <w:rsid w:val="7F4D71F3"/>
    <w:rsid w:val="7F5923A2"/>
    <w:rsid w:val="7F85704F"/>
    <w:rsid w:val="7F8855EB"/>
    <w:rsid w:val="7FAA399B"/>
    <w:rsid w:val="7FE03D04"/>
    <w:rsid w:val="7FE231CE"/>
    <w:rsid w:val="7FFD120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ocked="1"/>
    <w:lsdException w:uiPriority="99" w:name="index 2" w:locked="1"/>
    <w:lsdException w:uiPriority="99" w:name="index 3" w:locked="1"/>
    <w:lsdException w:qFormat="1" w:unhideWhenUsed="0" w:uiPriority="99" w:name="index 4"/>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qFormat="1" w:unhideWhenUsed="0" w:uiPriority="0" w:semiHidden="0" w:name="envelope return" w:locked="1"/>
    <w:lsdException w:uiPriority="99" w:name="footnote reference" w:locked="1"/>
    <w:lsdException w:qFormat="1" w:unhideWhenUsed="0" w:uiPriority="0"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sdException w:qFormat="1" w:unhideWhenUsed="0" w:uiPriority="99" w:name="Salutation"/>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99" w:name="Note Heading"/>
    <w:lsdException w:uiPriority="99"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ocked="1"/>
    <w:lsdException w:qFormat="1" w:unhideWhenUsed="0" w:uiPriority="99" w:name="Document Map"/>
    <w:lsdException w:qFormat="1" w:unhideWhenUsed="0" w:uiPriority="0"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39" w:semiHidden="0" w:name="Table Grid"/>
    <w:lsdException w:uiPriority="99"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qFormat="1"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63"/>
    <w:qFormat/>
    <w:uiPriority w:val="99"/>
    <w:pPr>
      <w:numPr>
        <w:ilvl w:val="0"/>
        <w:numId w:val="1"/>
      </w:numPr>
      <w:overflowPunct w:val="0"/>
      <w:autoSpaceDE w:val="0"/>
      <w:autoSpaceDN w:val="0"/>
      <w:adjustRightInd w:val="0"/>
      <w:snapToGrid w:val="0"/>
      <w:spacing w:before="120" w:line="360" w:lineRule="auto"/>
      <w:textAlignment w:val="baseline"/>
      <w:outlineLvl w:val="0"/>
    </w:pPr>
    <w:rPr>
      <w:rFonts w:eastAsia="理德小标宋简"/>
      <w:b/>
      <w:bCs/>
      <w:kern w:val="44"/>
      <w:sz w:val="28"/>
      <w:szCs w:val="28"/>
    </w:rPr>
  </w:style>
  <w:style w:type="paragraph" w:styleId="3">
    <w:name w:val="heading 2"/>
    <w:basedOn w:val="1"/>
    <w:next w:val="1"/>
    <w:link w:val="64"/>
    <w:qFormat/>
    <w:uiPriority w:val="99"/>
    <w:pPr>
      <w:keepNext/>
      <w:keepLines/>
      <w:spacing w:before="260" w:after="260" w:line="416" w:lineRule="auto"/>
      <w:outlineLvl w:val="1"/>
    </w:pPr>
    <w:rPr>
      <w:rFonts w:ascii="Cambria" w:hAnsi="Cambria" w:cs="Cambria"/>
      <w:b/>
      <w:bCs/>
      <w:sz w:val="32"/>
      <w:szCs w:val="32"/>
    </w:rPr>
  </w:style>
  <w:style w:type="paragraph" w:styleId="4">
    <w:name w:val="heading 3"/>
    <w:basedOn w:val="1"/>
    <w:next w:val="1"/>
    <w:link w:val="65"/>
    <w:qFormat/>
    <w:uiPriority w:val="99"/>
    <w:pPr>
      <w:keepNext/>
      <w:keepLines/>
      <w:spacing w:before="260" w:after="260" w:line="416" w:lineRule="auto"/>
      <w:outlineLvl w:val="2"/>
    </w:pPr>
    <w:rPr>
      <w:b/>
      <w:bCs/>
      <w:sz w:val="32"/>
      <w:szCs w:val="32"/>
    </w:rPr>
  </w:style>
  <w:style w:type="paragraph" w:styleId="5">
    <w:name w:val="heading 4"/>
    <w:basedOn w:val="1"/>
    <w:next w:val="1"/>
    <w:link w:val="66"/>
    <w:qFormat/>
    <w:uiPriority w:val="99"/>
    <w:pPr>
      <w:keepNext/>
      <w:keepLines/>
      <w:spacing w:line="360" w:lineRule="auto"/>
      <w:jc w:val="center"/>
      <w:outlineLvl w:val="3"/>
    </w:pPr>
    <w:rPr>
      <w:rFonts w:ascii="Cambria" w:hAnsi="Cambria" w:cs="Cambria"/>
      <w:b/>
      <w:bCs/>
      <w:sz w:val="28"/>
      <w:szCs w:val="28"/>
    </w:rPr>
  </w:style>
  <w:style w:type="paragraph" w:styleId="6">
    <w:name w:val="heading 5"/>
    <w:basedOn w:val="1"/>
    <w:next w:val="7"/>
    <w:link w:val="67"/>
    <w:qFormat/>
    <w:uiPriority w:val="99"/>
    <w:pPr>
      <w:keepNext/>
      <w:keepLines/>
      <w:spacing w:before="280" w:after="290" w:line="376" w:lineRule="auto"/>
      <w:outlineLvl w:val="4"/>
    </w:pPr>
    <w:rPr>
      <w:b/>
      <w:bCs/>
      <w:sz w:val="28"/>
      <w:szCs w:val="28"/>
    </w:rPr>
  </w:style>
  <w:style w:type="paragraph" w:styleId="8">
    <w:name w:val="heading 6"/>
    <w:basedOn w:val="1"/>
    <w:next w:val="1"/>
    <w:link w:val="68"/>
    <w:qFormat/>
    <w:uiPriority w:val="9"/>
    <w:pPr>
      <w:keepNext/>
      <w:keepLines/>
      <w:spacing w:before="240" w:after="64" w:line="316" w:lineRule="auto"/>
      <w:outlineLvl w:val="5"/>
    </w:pPr>
    <w:rPr>
      <w:rFonts w:ascii="Cambria" w:hAnsi="Cambria" w:cs="Cambria"/>
      <w:b/>
      <w:bCs/>
      <w:sz w:val="24"/>
      <w:szCs w:val="24"/>
    </w:rPr>
  </w:style>
  <w:style w:type="paragraph" w:styleId="9">
    <w:name w:val="heading 7"/>
    <w:basedOn w:val="1"/>
    <w:next w:val="1"/>
    <w:link w:val="69"/>
    <w:qFormat/>
    <w:uiPriority w:val="9"/>
    <w:pPr>
      <w:keepNext/>
      <w:keepLines/>
      <w:spacing w:before="240" w:after="64" w:line="316" w:lineRule="auto"/>
      <w:outlineLvl w:val="6"/>
    </w:pPr>
    <w:rPr>
      <w:rFonts w:ascii="Calibri" w:hAnsi="Calibri" w:cs="Calibri"/>
      <w:b/>
      <w:bCs/>
      <w:sz w:val="24"/>
      <w:szCs w:val="24"/>
    </w:rPr>
  </w:style>
  <w:style w:type="paragraph" w:styleId="10">
    <w:name w:val="heading 8"/>
    <w:basedOn w:val="1"/>
    <w:next w:val="1"/>
    <w:link w:val="70"/>
    <w:qFormat/>
    <w:uiPriority w:val="9"/>
    <w:pPr>
      <w:keepNext/>
      <w:keepLines/>
      <w:spacing w:before="240" w:after="64" w:line="316" w:lineRule="auto"/>
      <w:outlineLvl w:val="7"/>
    </w:pPr>
    <w:rPr>
      <w:rFonts w:ascii="Cambria" w:hAnsi="Cambria" w:cs="Cambria"/>
      <w:sz w:val="24"/>
      <w:szCs w:val="24"/>
    </w:rPr>
  </w:style>
  <w:style w:type="paragraph" w:styleId="11">
    <w:name w:val="heading 9"/>
    <w:basedOn w:val="1"/>
    <w:next w:val="1"/>
    <w:link w:val="71"/>
    <w:qFormat/>
    <w:uiPriority w:val="9"/>
    <w:pPr>
      <w:keepNext/>
      <w:keepLines/>
      <w:spacing w:before="240" w:after="64" w:line="316" w:lineRule="auto"/>
      <w:outlineLvl w:val="8"/>
    </w:pPr>
    <w:rPr>
      <w:rFonts w:ascii="Cambria" w:hAnsi="Cambria" w:cs="Cambria"/>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99"/>
    <w:pPr>
      <w:widowControl/>
      <w:ind w:firstLine="420"/>
      <w:jc w:val="left"/>
    </w:pPr>
    <w:rPr>
      <w:sz w:val="20"/>
      <w:szCs w:val="20"/>
    </w:rPr>
  </w:style>
  <w:style w:type="paragraph" w:styleId="12">
    <w:name w:val="toc 7"/>
    <w:basedOn w:val="1"/>
    <w:next w:val="1"/>
    <w:qFormat/>
    <w:uiPriority w:val="39"/>
    <w:pPr>
      <w:adjustRightInd w:val="0"/>
      <w:spacing w:line="312" w:lineRule="atLeast"/>
      <w:ind w:left="1260"/>
      <w:jc w:val="left"/>
      <w:textAlignment w:val="baseline"/>
    </w:pPr>
    <w:rPr>
      <w:kern w:val="0"/>
      <w:sz w:val="18"/>
      <w:szCs w:val="18"/>
    </w:rPr>
  </w:style>
  <w:style w:type="paragraph" w:styleId="13">
    <w:name w:val="Note Heading"/>
    <w:basedOn w:val="1"/>
    <w:next w:val="1"/>
    <w:link w:val="72"/>
    <w:semiHidden/>
    <w:qFormat/>
    <w:uiPriority w:val="99"/>
    <w:pPr>
      <w:spacing w:beforeLines="20" w:afterLines="50"/>
      <w:jc w:val="center"/>
    </w:pPr>
    <w:rPr>
      <w:rFonts w:ascii="Calibri" w:hAnsi="Calibri" w:cs="Calibri"/>
      <w:kern w:val="0"/>
      <w:sz w:val="24"/>
      <w:szCs w:val="24"/>
    </w:rPr>
  </w:style>
  <w:style w:type="paragraph" w:styleId="14">
    <w:name w:val="caption"/>
    <w:basedOn w:val="1"/>
    <w:next w:val="1"/>
    <w:qFormat/>
    <w:uiPriority w:val="99"/>
    <w:pPr>
      <w:spacing w:before="152" w:after="160"/>
    </w:pPr>
    <w:rPr>
      <w:rFonts w:ascii="Arial" w:hAnsi="Arial" w:eastAsia="黑体" w:cs="Arial"/>
      <w:sz w:val="20"/>
      <w:szCs w:val="20"/>
    </w:rPr>
  </w:style>
  <w:style w:type="paragraph" w:styleId="15">
    <w:name w:val="Document Map"/>
    <w:basedOn w:val="1"/>
    <w:link w:val="73"/>
    <w:semiHidden/>
    <w:qFormat/>
    <w:uiPriority w:val="99"/>
    <w:pPr>
      <w:adjustRightInd w:val="0"/>
      <w:spacing w:line="312" w:lineRule="atLeast"/>
      <w:textAlignment w:val="baseline"/>
    </w:pPr>
    <w:rPr>
      <w:rFonts w:ascii="宋体" w:hAnsi="Calibri" w:cs="宋体"/>
      <w:kern w:val="0"/>
      <w:sz w:val="18"/>
      <w:szCs w:val="18"/>
    </w:rPr>
  </w:style>
  <w:style w:type="paragraph" w:styleId="16">
    <w:name w:val="annotation text"/>
    <w:basedOn w:val="1"/>
    <w:link w:val="74"/>
    <w:qFormat/>
    <w:uiPriority w:val="99"/>
    <w:pPr>
      <w:adjustRightInd w:val="0"/>
      <w:spacing w:line="312" w:lineRule="atLeast"/>
      <w:jc w:val="left"/>
      <w:textAlignment w:val="baseline"/>
    </w:pPr>
    <w:rPr>
      <w:rFonts w:ascii="Calibri" w:hAnsi="Calibri" w:cs="Calibri"/>
    </w:rPr>
  </w:style>
  <w:style w:type="paragraph" w:styleId="17">
    <w:name w:val="Salutation"/>
    <w:basedOn w:val="1"/>
    <w:next w:val="1"/>
    <w:link w:val="75"/>
    <w:semiHidden/>
    <w:qFormat/>
    <w:uiPriority w:val="99"/>
    <w:rPr>
      <w:rFonts w:ascii="Calibri" w:hAnsi="Calibri" w:cs="Calibri"/>
      <w:kern w:val="0"/>
      <w:sz w:val="24"/>
      <w:szCs w:val="24"/>
    </w:rPr>
  </w:style>
  <w:style w:type="paragraph" w:styleId="18">
    <w:name w:val="Body Text"/>
    <w:basedOn w:val="1"/>
    <w:next w:val="19"/>
    <w:link w:val="76"/>
    <w:qFormat/>
    <w:uiPriority w:val="99"/>
    <w:pPr>
      <w:adjustRightInd w:val="0"/>
      <w:spacing w:line="312" w:lineRule="atLeast"/>
      <w:jc w:val="center"/>
      <w:textAlignment w:val="baseline"/>
    </w:pPr>
    <w:rPr>
      <w:rFonts w:ascii="楷体_GB2312" w:hAnsi="Calibri" w:eastAsia="楷体_GB2312" w:cs="楷体_GB2312"/>
      <w:b/>
      <w:bCs/>
      <w:kern w:val="0"/>
      <w:sz w:val="48"/>
      <w:szCs w:val="48"/>
    </w:rPr>
  </w:style>
  <w:style w:type="paragraph" w:styleId="19">
    <w:name w:val="Body Text First Indent 2"/>
    <w:basedOn w:val="20"/>
    <w:next w:val="22"/>
    <w:qFormat/>
    <w:locked/>
    <w:uiPriority w:val="0"/>
    <w:pPr>
      <w:autoSpaceDE w:val="0"/>
      <w:autoSpaceDN w:val="0"/>
      <w:spacing w:line="360" w:lineRule="auto"/>
      <w:ind w:left="420" w:leftChars="200" w:firstLine="420" w:firstLineChars="200"/>
    </w:pPr>
  </w:style>
  <w:style w:type="paragraph" w:styleId="20">
    <w:name w:val="Body Text Indent"/>
    <w:basedOn w:val="1"/>
    <w:next w:val="21"/>
    <w:link w:val="77"/>
    <w:qFormat/>
    <w:uiPriority w:val="99"/>
    <w:pPr>
      <w:ind w:left="420" w:leftChars="200"/>
      <w:jc w:val="left"/>
    </w:pPr>
    <w:rPr>
      <w:rFonts w:ascii="Calibri" w:hAnsi="Calibri" w:cs="Calibri"/>
      <w:kern w:val="0"/>
      <w:sz w:val="24"/>
      <w:szCs w:val="24"/>
    </w:rPr>
  </w:style>
  <w:style w:type="paragraph" w:styleId="21">
    <w:name w:val="envelope return"/>
    <w:basedOn w:val="1"/>
    <w:qFormat/>
    <w:locked/>
    <w:uiPriority w:val="0"/>
    <w:pPr>
      <w:snapToGrid w:val="0"/>
    </w:pPr>
    <w:rPr>
      <w:rFonts w:ascii="Arial" w:hAnsi="Arial"/>
    </w:rPr>
  </w:style>
  <w:style w:type="paragraph" w:styleId="22">
    <w:name w:val="Body Text First Indent"/>
    <w:basedOn w:val="18"/>
    <w:next w:val="1"/>
    <w:qFormat/>
    <w:locked/>
    <w:uiPriority w:val="0"/>
    <w:pPr>
      <w:adjustRightInd/>
      <w:spacing w:after="120" w:line="240" w:lineRule="auto"/>
      <w:ind w:firstLine="420" w:firstLineChars="100"/>
      <w:jc w:val="both"/>
    </w:pPr>
    <w:rPr>
      <w:rFonts w:ascii="Times New Roman"/>
      <w:szCs w:val="24"/>
    </w:rPr>
  </w:style>
  <w:style w:type="paragraph" w:styleId="23">
    <w:name w:val="index 4"/>
    <w:basedOn w:val="1"/>
    <w:next w:val="1"/>
    <w:semiHidden/>
    <w:qFormat/>
    <w:uiPriority w:val="99"/>
    <w:pPr>
      <w:ind w:left="600" w:leftChars="600"/>
    </w:pPr>
  </w:style>
  <w:style w:type="paragraph" w:styleId="24">
    <w:name w:val="toc 5"/>
    <w:basedOn w:val="1"/>
    <w:next w:val="1"/>
    <w:qFormat/>
    <w:uiPriority w:val="39"/>
    <w:pPr>
      <w:adjustRightInd w:val="0"/>
      <w:spacing w:line="312" w:lineRule="atLeast"/>
      <w:ind w:left="840"/>
      <w:jc w:val="left"/>
      <w:textAlignment w:val="baseline"/>
    </w:pPr>
    <w:rPr>
      <w:kern w:val="0"/>
      <w:sz w:val="18"/>
      <w:szCs w:val="18"/>
    </w:rPr>
  </w:style>
  <w:style w:type="paragraph" w:styleId="25">
    <w:name w:val="toc 3"/>
    <w:basedOn w:val="1"/>
    <w:next w:val="1"/>
    <w:qFormat/>
    <w:uiPriority w:val="39"/>
    <w:pPr>
      <w:adjustRightInd w:val="0"/>
      <w:spacing w:line="312" w:lineRule="atLeast"/>
      <w:ind w:left="420"/>
      <w:jc w:val="left"/>
      <w:textAlignment w:val="baseline"/>
    </w:pPr>
    <w:rPr>
      <w:i/>
      <w:iCs/>
      <w:kern w:val="0"/>
      <w:sz w:val="20"/>
      <w:szCs w:val="20"/>
    </w:rPr>
  </w:style>
  <w:style w:type="paragraph" w:styleId="26">
    <w:name w:val="Plain Text"/>
    <w:basedOn w:val="1"/>
    <w:next w:val="5"/>
    <w:link w:val="78"/>
    <w:qFormat/>
    <w:uiPriority w:val="0"/>
    <w:rPr>
      <w:rFonts w:ascii="宋体" w:hAnsi="Courier New" w:cs="宋体"/>
      <w:kern w:val="0"/>
      <w:sz w:val="20"/>
      <w:szCs w:val="20"/>
    </w:rPr>
  </w:style>
  <w:style w:type="paragraph" w:styleId="27">
    <w:name w:val="toc 8"/>
    <w:basedOn w:val="1"/>
    <w:next w:val="1"/>
    <w:qFormat/>
    <w:uiPriority w:val="39"/>
    <w:pPr>
      <w:adjustRightInd w:val="0"/>
      <w:spacing w:line="312" w:lineRule="atLeast"/>
      <w:ind w:left="1470"/>
      <w:jc w:val="left"/>
      <w:textAlignment w:val="baseline"/>
    </w:pPr>
    <w:rPr>
      <w:kern w:val="0"/>
      <w:sz w:val="18"/>
      <w:szCs w:val="18"/>
    </w:rPr>
  </w:style>
  <w:style w:type="paragraph" w:styleId="28">
    <w:name w:val="Date"/>
    <w:basedOn w:val="1"/>
    <w:next w:val="1"/>
    <w:link w:val="106"/>
    <w:qFormat/>
    <w:uiPriority w:val="99"/>
    <w:pPr>
      <w:ind w:left="100" w:leftChars="2500"/>
    </w:pPr>
    <w:rPr>
      <w:rFonts w:ascii="Calibri" w:hAnsi="Calibri" w:cs="Calibri"/>
    </w:rPr>
  </w:style>
  <w:style w:type="paragraph" w:styleId="29">
    <w:name w:val="Body Text Indent 2"/>
    <w:basedOn w:val="1"/>
    <w:link w:val="99"/>
    <w:qFormat/>
    <w:uiPriority w:val="99"/>
    <w:pPr>
      <w:spacing w:after="120" w:line="480" w:lineRule="auto"/>
      <w:ind w:left="420" w:leftChars="200"/>
    </w:pPr>
    <w:rPr>
      <w:rFonts w:ascii="Calibri" w:hAnsi="Calibri" w:cs="Calibri"/>
    </w:rPr>
  </w:style>
  <w:style w:type="paragraph" w:styleId="30">
    <w:name w:val="Balloon Text"/>
    <w:basedOn w:val="1"/>
    <w:link w:val="81"/>
    <w:semiHidden/>
    <w:qFormat/>
    <w:uiPriority w:val="99"/>
    <w:rPr>
      <w:rFonts w:ascii="Calibri" w:hAnsi="Calibri" w:cs="Calibri"/>
      <w:kern w:val="0"/>
      <w:sz w:val="18"/>
      <w:szCs w:val="18"/>
    </w:rPr>
  </w:style>
  <w:style w:type="paragraph" w:styleId="31">
    <w:name w:val="footer"/>
    <w:basedOn w:val="1"/>
    <w:link w:val="82"/>
    <w:qFormat/>
    <w:uiPriority w:val="99"/>
    <w:pPr>
      <w:tabs>
        <w:tab w:val="center" w:pos="4153"/>
        <w:tab w:val="right" w:pos="8306"/>
      </w:tabs>
      <w:snapToGrid w:val="0"/>
      <w:jc w:val="left"/>
    </w:pPr>
    <w:rPr>
      <w:rFonts w:ascii="Calibri" w:hAnsi="Calibri" w:cs="Calibri"/>
      <w:kern w:val="0"/>
      <w:sz w:val="18"/>
      <w:szCs w:val="18"/>
    </w:rPr>
  </w:style>
  <w:style w:type="paragraph" w:styleId="32">
    <w:name w:val="header"/>
    <w:basedOn w:val="1"/>
    <w:link w:val="83"/>
    <w:qFormat/>
    <w:uiPriority w:val="99"/>
    <w:pPr>
      <w:pBdr>
        <w:bottom w:val="single" w:color="auto" w:sz="6" w:space="1"/>
      </w:pBdr>
      <w:tabs>
        <w:tab w:val="center" w:pos="4153"/>
        <w:tab w:val="right" w:pos="8306"/>
      </w:tabs>
      <w:snapToGrid w:val="0"/>
      <w:jc w:val="center"/>
    </w:pPr>
    <w:rPr>
      <w:rFonts w:ascii="Calibri" w:hAnsi="Calibri" w:cs="Calibri"/>
      <w:kern w:val="0"/>
      <w:sz w:val="18"/>
      <w:szCs w:val="18"/>
    </w:rPr>
  </w:style>
  <w:style w:type="paragraph" w:styleId="33">
    <w:name w:val="toc 1"/>
    <w:basedOn w:val="1"/>
    <w:next w:val="1"/>
    <w:qFormat/>
    <w:uiPriority w:val="39"/>
    <w:pPr>
      <w:adjustRightInd w:val="0"/>
      <w:spacing w:before="120" w:after="120" w:line="312" w:lineRule="atLeast"/>
      <w:jc w:val="left"/>
      <w:textAlignment w:val="baseline"/>
    </w:pPr>
    <w:rPr>
      <w:b/>
      <w:bCs/>
      <w:caps/>
      <w:kern w:val="0"/>
      <w:sz w:val="20"/>
      <w:szCs w:val="20"/>
    </w:rPr>
  </w:style>
  <w:style w:type="paragraph" w:styleId="34">
    <w:name w:val="toc 4"/>
    <w:basedOn w:val="1"/>
    <w:next w:val="1"/>
    <w:qFormat/>
    <w:uiPriority w:val="39"/>
    <w:pPr>
      <w:adjustRightInd w:val="0"/>
      <w:spacing w:line="312" w:lineRule="atLeast"/>
      <w:ind w:left="630"/>
      <w:jc w:val="left"/>
      <w:textAlignment w:val="baseline"/>
    </w:pPr>
    <w:rPr>
      <w:kern w:val="0"/>
      <w:sz w:val="18"/>
      <w:szCs w:val="18"/>
    </w:rPr>
  </w:style>
  <w:style w:type="paragraph" w:styleId="35">
    <w:name w:val="Subtitle"/>
    <w:basedOn w:val="1"/>
    <w:next w:val="1"/>
    <w:link w:val="112"/>
    <w:qFormat/>
    <w:uiPriority w:val="11"/>
    <w:pPr>
      <w:spacing w:before="240" w:after="60" w:line="312" w:lineRule="auto"/>
      <w:jc w:val="center"/>
      <w:outlineLvl w:val="1"/>
    </w:pPr>
    <w:rPr>
      <w:rFonts w:ascii="Cambria" w:hAnsi="Cambria" w:cs="Cambria"/>
      <w:b/>
      <w:bCs/>
      <w:kern w:val="28"/>
      <w:sz w:val="32"/>
      <w:szCs w:val="32"/>
    </w:rPr>
  </w:style>
  <w:style w:type="paragraph" w:styleId="36">
    <w:name w:val="footnote text"/>
    <w:basedOn w:val="1"/>
    <w:link w:val="90"/>
    <w:semiHidden/>
    <w:qFormat/>
    <w:uiPriority w:val="99"/>
    <w:pPr>
      <w:adjustRightInd w:val="0"/>
      <w:spacing w:line="312" w:lineRule="atLeast"/>
      <w:jc w:val="left"/>
    </w:pPr>
    <w:rPr>
      <w:rFonts w:ascii="Calibri" w:hAnsi="Calibri" w:cs="Calibri"/>
      <w:sz w:val="18"/>
      <w:szCs w:val="18"/>
    </w:rPr>
  </w:style>
  <w:style w:type="paragraph" w:styleId="37">
    <w:name w:val="toc 6"/>
    <w:basedOn w:val="1"/>
    <w:next w:val="1"/>
    <w:qFormat/>
    <w:uiPriority w:val="39"/>
    <w:pPr>
      <w:adjustRightInd w:val="0"/>
      <w:spacing w:line="312" w:lineRule="atLeast"/>
      <w:ind w:left="1050"/>
      <w:jc w:val="left"/>
      <w:textAlignment w:val="baseline"/>
    </w:pPr>
    <w:rPr>
      <w:kern w:val="0"/>
      <w:sz w:val="18"/>
      <w:szCs w:val="18"/>
    </w:rPr>
  </w:style>
  <w:style w:type="paragraph" w:styleId="38">
    <w:name w:val="Body Text Indent 3"/>
    <w:basedOn w:val="1"/>
    <w:link w:val="86"/>
    <w:qFormat/>
    <w:uiPriority w:val="99"/>
    <w:pPr>
      <w:adjustRightInd w:val="0"/>
      <w:spacing w:line="360" w:lineRule="auto"/>
      <w:ind w:firstLine="480"/>
      <w:textAlignment w:val="baseline"/>
    </w:pPr>
    <w:rPr>
      <w:rFonts w:ascii="宋体" w:hAnsi="Calibri" w:cs="宋体"/>
      <w:kern w:val="0"/>
      <w:sz w:val="28"/>
      <w:szCs w:val="28"/>
    </w:rPr>
  </w:style>
  <w:style w:type="paragraph" w:styleId="39">
    <w:name w:val="toc 2"/>
    <w:basedOn w:val="1"/>
    <w:next w:val="1"/>
    <w:qFormat/>
    <w:uiPriority w:val="39"/>
    <w:pPr>
      <w:adjustRightInd w:val="0"/>
      <w:spacing w:line="312" w:lineRule="atLeast"/>
      <w:ind w:left="210"/>
      <w:jc w:val="left"/>
      <w:textAlignment w:val="baseline"/>
    </w:pPr>
    <w:rPr>
      <w:smallCaps/>
      <w:kern w:val="0"/>
      <w:sz w:val="20"/>
      <w:szCs w:val="20"/>
    </w:rPr>
  </w:style>
  <w:style w:type="paragraph" w:styleId="40">
    <w:name w:val="toc 9"/>
    <w:basedOn w:val="1"/>
    <w:next w:val="1"/>
    <w:qFormat/>
    <w:uiPriority w:val="39"/>
    <w:pPr>
      <w:adjustRightInd w:val="0"/>
      <w:spacing w:line="312" w:lineRule="atLeast"/>
      <w:ind w:left="1680"/>
      <w:jc w:val="left"/>
      <w:textAlignment w:val="baseline"/>
    </w:pPr>
    <w:rPr>
      <w:kern w:val="0"/>
      <w:sz w:val="18"/>
      <w:szCs w:val="18"/>
    </w:rPr>
  </w:style>
  <w:style w:type="paragraph" w:styleId="4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2">
    <w:name w:val="Title"/>
    <w:basedOn w:val="1"/>
    <w:next w:val="1"/>
    <w:link w:val="87"/>
    <w:qFormat/>
    <w:uiPriority w:val="99"/>
    <w:pPr>
      <w:spacing w:before="240" w:after="60"/>
      <w:jc w:val="center"/>
      <w:outlineLvl w:val="0"/>
    </w:pPr>
    <w:rPr>
      <w:rFonts w:ascii="Arial" w:hAnsi="Arial" w:cs="Arial"/>
      <w:b/>
      <w:bCs/>
      <w:kern w:val="0"/>
      <w:sz w:val="44"/>
      <w:szCs w:val="44"/>
    </w:rPr>
  </w:style>
  <w:style w:type="paragraph" w:styleId="43">
    <w:name w:val="annotation subject"/>
    <w:basedOn w:val="16"/>
    <w:next w:val="16"/>
    <w:link w:val="88"/>
    <w:semiHidden/>
    <w:qFormat/>
    <w:uiPriority w:val="99"/>
    <w:rPr>
      <w:b/>
      <w:bCs/>
      <w:kern w:val="0"/>
      <w:sz w:val="20"/>
      <w:szCs w:val="20"/>
    </w:rPr>
  </w:style>
  <w:style w:type="table" w:styleId="45">
    <w:name w:val="Table Grid"/>
    <w:basedOn w:val="44"/>
    <w:qFormat/>
    <w:uiPriority w:val="39"/>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7">
    <w:name w:val="Strong"/>
    <w:basedOn w:val="46"/>
    <w:qFormat/>
    <w:uiPriority w:val="22"/>
    <w:rPr>
      <w:b/>
      <w:bCs/>
    </w:rPr>
  </w:style>
  <w:style w:type="character" w:styleId="48">
    <w:name w:val="page number"/>
    <w:basedOn w:val="46"/>
    <w:qFormat/>
    <w:uiPriority w:val="99"/>
  </w:style>
  <w:style w:type="character" w:styleId="49">
    <w:name w:val="FollowedHyperlink"/>
    <w:basedOn w:val="46"/>
    <w:qFormat/>
    <w:uiPriority w:val="99"/>
    <w:rPr>
      <w:color w:val="auto"/>
      <w:u w:val="none"/>
    </w:rPr>
  </w:style>
  <w:style w:type="character" w:styleId="50">
    <w:name w:val="Emphasis"/>
    <w:qFormat/>
    <w:locked/>
    <w:uiPriority w:val="99"/>
    <w:rPr>
      <w:i/>
      <w:iCs/>
    </w:rPr>
  </w:style>
  <w:style w:type="character" w:styleId="51">
    <w:name w:val="HTML Definition"/>
    <w:basedOn w:val="46"/>
    <w:qFormat/>
    <w:uiPriority w:val="99"/>
  </w:style>
  <w:style w:type="character" w:styleId="52">
    <w:name w:val="HTML Typewriter"/>
    <w:basedOn w:val="46"/>
    <w:qFormat/>
    <w:uiPriority w:val="99"/>
    <w:rPr>
      <w:rFonts w:ascii="monospace" w:hAnsi="monospace" w:eastAsia="Times New Roman" w:cs="monospace"/>
      <w:sz w:val="20"/>
      <w:szCs w:val="20"/>
    </w:rPr>
  </w:style>
  <w:style w:type="character" w:styleId="53">
    <w:name w:val="HTML Acronym"/>
    <w:basedOn w:val="46"/>
    <w:qFormat/>
    <w:uiPriority w:val="99"/>
  </w:style>
  <w:style w:type="character" w:styleId="54">
    <w:name w:val="HTML Variable"/>
    <w:basedOn w:val="46"/>
    <w:qFormat/>
    <w:uiPriority w:val="99"/>
  </w:style>
  <w:style w:type="character" w:styleId="55">
    <w:name w:val="Hyperlink"/>
    <w:basedOn w:val="46"/>
    <w:qFormat/>
    <w:uiPriority w:val="99"/>
    <w:rPr>
      <w:color w:val="auto"/>
      <w:u w:val="none"/>
    </w:rPr>
  </w:style>
  <w:style w:type="character" w:styleId="56">
    <w:name w:val="HTML Code"/>
    <w:basedOn w:val="46"/>
    <w:qFormat/>
    <w:uiPriority w:val="99"/>
    <w:rPr>
      <w:rFonts w:ascii="monospace" w:hAnsi="monospace" w:eastAsia="Times New Roman" w:cs="monospace"/>
      <w:sz w:val="20"/>
      <w:szCs w:val="20"/>
    </w:rPr>
  </w:style>
  <w:style w:type="character" w:styleId="57">
    <w:name w:val="annotation reference"/>
    <w:basedOn w:val="46"/>
    <w:qFormat/>
    <w:uiPriority w:val="0"/>
    <w:rPr>
      <w:sz w:val="21"/>
      <w:szCs w:val="21"/>
    </w:rPr>
  </w:style>
  <w:style w:type="character" w:styleId="58">
    <w:name w:val="HTML Cite"/>
    <w:basedOn w:val="46"/>
    <w:qFormat/>
    <w:uiPriority w:val="99"/>
  </w:style>
  <w:style w:type="character" w:styleId="59">
    <w:name w:val="HTML Keyboard"/>
    <w:basedOn w:val="46"/>
    <w:qFormat/>
    <w:uiPriority w:val="99"/>
    <w:rPr>
      <w:rFonts w:ascii="monospace" w:hAnsi="monospace" w:eastAsia="Times New Roman" w:cs="monospace"/>
      <w:sz w:val="20"/>
      <w:szCs w:val="20"/>
    </w:rPr>
  </w:style>
  <w:style w:type="character" w:styleId="60">
    <w:name w:val="HTML Sample"/>
    <w:basedOn w:val="46"/>
    <w:qFormat/>
    <w:uiPriority w:val="99"/>
    <w:rPr>
      <w:rFonts w:ascii="monospace" w:hAnsi="monospace" w:eastAsia="Times New Roman" w:cs="monospace"/>
    </w:rPr>
  </w:style>
  <w:style w:type="paragraph" w:customStyle="1" w:styleId="61">
    <w:name w:val="正文1"/>
    <w:basedOn w:val="1"/>
    <w:qFormat/>
    <w:uiPriority w:val="0"/>
    <w:pPr>
      <w:adjustRightInd w:val="0"/>
      <w:spacing w:line="318" w:lineRule="atLeast"/>
      <w:ind w:left="369" w:firstLine="369"/>
      <w:textAlignment w:val="baseline"/>
    </w:pPr>
    <w:rPr>
      <w:szCs w:val="20"/>
    </w:rPr>
  </w:style>
  <w:style w:type="paragraph" w:customStyle="1" w:styleId="62">
    <w:name w:val="Default"/>
    <w:basedOn w:val="42"/>
    <w:next w:val="2"/>
    <w:qFormat/>
    <w:uiPriority w:val="99"/>
    <w:pPr>
      <w:autoSpaceDE w:val="0"/>
      <w:autoSpaceDN w:val="0"/>
      <w:adjustRightInd w:val="0"/>
    </w:pPr>
    <w:rPr>
      <w:rFonts w:ascii="宋体" w:hAnsi="Times New Roman" w:cs="宋体"/>
      <w:color w:val="000000"/>
      <w:sz w:val="24"/>
      <w:szCs w:val="24"/>
    </w:rPr>
  </w:style>
  <w:style w:type="character" w:customStyle="1" w:styleId="63">
    <w:name w:val="标题 1 字符"/>
    <w:basedOn w:val="46"/>
    <w:link w:val="2"/>
    <w:qFormat/>
    <w:locked/>
    <w:uiPriority w:val="99"/>
    <w:rPr>
      <w:rFonts w:ascii="Times New Roman" w:hAnsi="Times New Roman" w:eastAsia="理德小标宋简" w:cs="Times New Roman"/>
      <w:b/>
      <w:bCs/>
      <w:kern w:val="44"/>
      <w:sz w:val="44"/>
      <w:szCs w:val="44"/>
    </w:rPr>
  </w:style>
  <w:style w:type="character" w:customStyle="1" w:styleId="64">
    <w:name w:val="标题 2 字符"/>
    <w:basedOn w:val="46"/>
    <w:link w:val="3"/>
    <w:qFormat/>
    <w:locked/>
    <w:uiPriority w:val="99"/>
    <w:rPr>
      <w:rFonts w:ascii="Cambria" w:hAnsi="Cambria" w:eastAsia="宋体" w:cs="Cambria"/>
      <w:b/>
      <w:bCs/>
      <w:sz w:val="32"/>
      <w:szCs w:val="32"/>
    </w:rPr>
  </w:style>
  <w:style w:type="character" w:customStyle="1" w:styleId="65">
    <w:name w:val="标题 3 字符"/>
    <w:basedOn w:val="46"/>
    <w:link w:val="4"/>
    <w:qFormat/>
    <w:locked/>
    <w:uiPriority w:val="99"/>
    <w:rPr>
      <w:rFonts w:ascii="Times New Roman" w:hAnsi="Times New Roman" w:eastAsia="宋体" w:cs="Times New Roman"/>
      <w:b/>
      <w:bCs/>
      <w:sz w:val="32"/>
      <w:szCs w:val="32"/>
    </w:rPr>
  </w:style>
  <w:style w:type="character" w:customStyle="1" w:styleId="66">
    <w:name w:val="标题 4 字符"/>
    <w:basedOn w:val="46"/>
    <w:link w:val="5"/>
    <w:qFormat/>
    <w:locked/>
    <w:uiPriority w:val="99"/>
    <w:rPr>
      <w:rFonts w:ascii="Cambria" w:hAnsi="Cambria" w:eastAsia="宋体" w:cs="Cambria"/>
      <w:b/>
      <w:bCs/>
      <w:sz w:val="36"/>
      <w:szCs w:val="36"/>
    </w:rPr>
  </w:style>
  <w:style w:type="character" w:customStyle="1" w:styleId="67">
    <w:name w:val="标题 5 字符"/>
    <w:basedOn w:val="46"/>
    <w:link w:val="6"/>
    <w:qFormat/>
    <w:locked/>
    <w:uiPriority w:val="99"/>
    <w:rPr>
      <w:rFonts w:ascii="Times New Roman" w:hAnsi="Times New Roman" w:eastAsia="宋体" w:cs="Times New Roman"/>
      <w:b/>
      <w:bCs/>
      <w:sz w:val="28"/>
      <w:szCs w:val="28"/>
    </w:rPr>
  </w:style>
  <w:style w:type="character" w:customStyle="1" w:styleId="68">
    <w:name w:val="标题 6 字符"/>
    <w:basedOn w:val="46"/>
    <w:link w:val="8"/>
    <w:qFormat/>
    <w:locked/>
    <w:uiPriority w:val="9"/>
    <w:rPr>
      <w:rFonts w:ascii="Cambria" w:hAnsi="Cambria" w:eastAsia="宋体" w:cs="Cambria"/>
      <w:b/>
      <w:bCs/>
      <w:sz w:val="24"/>
      <w:szCs w:val="24"/>
    </w:rPr>
  </w:style>
  <w:style w:type="character" w:customStyle="1" w:styleId="69">
    <w:name w:val="标题 7 字符"/>
    <w:basedOn w:val="46"/>
    <w:link w:val="9"/>
    <w:qFormat/>
    <w:locked/>
    <w:uiPriority w:val="9"/>
    <w:rPr>
      <w:rFonts w:ascii="Calibri" w:hAnsi="Calibri" w:eastAsia="宋体" w:cs="Calibri"/>
      <w:b/>
      <w:bCs/>
      <w:sz w:val="24"/>
      <w:szCs w:val="24"/>
    </w:rPr>
  </w:style>
  <w:style w:type="character" w:customStyle="1" w:styleId="70">
    <w:name w:val="标题 8 字符"/>
    <w:basedOn w:val="46"/>
    <w:link w:val="10"/>
    <w:qFormat/>
    <w:locked/>
    <w:uiPriority w:val="9"/>
    <w:rPr>
      <w:rFonts w:ascii="Cambria" w:hAnsi="Cambria" w:eastAsia="宋体" w:cs="Cambria"/>
      <w:sz w:val="24"/>
      <w:szCs w:val="24"/>
    </w:rPr>
  </w:style>
  <w:style w:type="character" w:customStyle="1" w:styleId="71">
    <w:name w:val="标题 9 字符"/>
    <w:basedOn w:val="46"/>
    <w:link w:val="11"/>
    <w:qFormat/>
    <w:locked/>
    <w:uiPriority w:val="9"/>
    <w:rPr>
      <w:rFonts w:ascii="Cambria" w:hAnsi="Cambria" w:eastAsia="宋体" w:cs="Cambria"/>
      <w:sz w:val="21"/>
      <w:szCs w:val="21"/>
    </w:rPr>
  </w:style>
  <w:style w:type="character" w:customStyle="1" w:styleId="72">
    <w:name w:val="注释标题 字符"/>
    <w:basedOn w:val="46"/>
    <w:link w:val="13"/>
    <w:semiHidden/>
    <w:qFormat/>
    <w:locked/>
    <w:uiPriority w:val="99"/>
    <w:rPr>
      <w:rFonts w:ascii="Times New Roman" w:hAnsi="Times New Roman" w:eastAsia="宋体" w:cs="Times New Roman"/>
    </w:rPr>
  </w:style>
  <w:style w:type="character" w:customStyle="1" w:styleId="73">
    <w:name w:val="文档结构图 字符"/>
    <w:basedOn w:val="46"/>
    <w:link w:val="15"/>
    <w:semiHidden/>
    <w:qFormat/>
    <w:locked/>
    <w:uiPriority w:val="99"/>
    <w:rPr>
      <w:rFonts w:ascii="宋体" w:hAnsi="Times New Roman" w:eastAsia="宋体" w:cs="宋体"/>
      <w:sz w:val="18"/>
      <w:szCs w:val="18"/>
    </w:rPr>
  </w:style>
  <w:style w:type="character" w:customStyle="1" w:styleId="74">
    <w:name w:val="批注文字 字符"/>
    <w:basedOn w:val="46"/>
    <w:link w:val="16"/>
    <w:qFormat/>
    <w:locked/>
    <w:uiPriority w:val="99"/>
    <w:rPr>
      <w:rFonts w:ascii="Times New Roman" w:hAnsi="Times New Roman" w:eastAsia="宋体" w:cs="Times New Roman"/>
    </w:rPr>
  </w:style>
  <w:style w:type="character" w:customStyle="1" w:styleId="75">
    <w:name w:val="称呼 字符"/>
    <w:basedOn w:val="46"/>
    <w:link w:val="17"/>
    <w:semiHidden/>
    <w:qFormat/>
    <w:locked/>
    <w:uiPriority w:val="99"/>
    <w:rPr>
      <w:rFonts w:ascii="Times New Roman" w:hAnsi="Times New Roman" w:eastAsia="宋体" w:cs="Times New Roman"/>
    </w:rPr>
  </w:style>
  <w:style w:type="character" w:customStyle="1" w:styleId="76">
    <w:name w:val="正文文本 字符"/>
    <w:basedOn w:val="46"/>
    <w:link w:val="18"/>
    <w:qFormat/>
    <w:locked/>
    <w:uiPriority w:val="99"/>
    <w:rPr>
      <w:rFonts w:ascii="Times New Roman" w:hAnsi="Times New Roman" w:eastAsia="宋体" w:cs="Times New Roman"/>
    </w:rPr>
  </w:style>
  <w:style w:type="character" w:customStyle="1" w:styleId="77">
    <w:name w:val="正文文本缩进 字符"/>
    <w:basedOn w:val="46"/>
    <w:link w:val="20"/>
    <w:qFormat/>
    <w:locked/>
    <w:uiPriority w:val="99"/>
    <w:rPr>
      <w:rFonts w:ascii="Times New Roman" w:hAnsi="Times New Roman" w:eastAsia="宋体" w:cs="Times New Roman"/>
    </w:rPr>
  </w:style>
  <w:style w:type="character" w:customStyle="1" w:styleId="78">
    <w:name w:val="纯文本 字符"/>
    <w:basedOn w:val="46"/>
    <w:link w:val="26"/>
    <w:qFormat/>
    <w:locked/>
    <w:uiPriority w:val="0"/>
    <w:rPr>
      <w:rFonts w:ascii="宋体" w:hAnsi="Courier New" w:eastAsia="宋体" w:cs="宋体"/>
      <w:sz w:val="21"/>
      <w:szCs w:val="21"/>
    </w:rPr>
  </w:style>
  <w:style w:type="character" w:customStyle="1" w:styleId="79">
    <w:name w:val="Date Char"/>
    <w:basedOn w:val="46"/>
    <w:qFormat/>
    <w:locked/>
    <w:uiPriority w:val="99"/>
    <w:rPr>
      <w:rFonts w:ascii="Times New Roman" w:hAnsi="Times New Roman" w:eastAsia="宋体" w:cs="Times New Roman"/>
    </w:rPr>
  </w:style>
  <w:style w:type="character" w:customStyle="1" w:styleId="80">
    <w:name w:val="Body Text Indent 2 Char"/>
    <w:basedOn w:val="46"/>
    <w:qFormat/>
    <w:locked/>
    <w:uiPriority w:val="99"/>
    <w:rPr>
      <w:rFonts w:ascii="Times New Roman" w:hAnsi="Times New Roman" w:eastAsia="宋体" w:cs="Times New Roman"/>
    </w:rPr>
  </w:style>
  <w:style w:type="character" w:customStyle="1" w:styleId="81">
    <w:name w:val="批注框文本 字符"/>
    <w:basedOn w:val="46"/>
    <w:link w:val="30"/>
    <w:semiHidden/>
    <w:qFormat/>
    <w:locked/>
    <w:uiPriority w:val="99"/>
    <w:rPr>
      <w:rFonts w:ascii="Times New Roman" w:hAnsi="Times New Roman" w:eastAsia="宋体" w:cs="Times New Roman"/>
      <w:sz w:val="18"/>
      <w:szCs w:val="18"/>
    </w:rPr>
  </w:style>
  <w:style w:type="character" w:customStyle="1" w:styleId="82">
    <w:name w:val="页脚 字符"/>
    <w:basedOn w:val="46"/>
    <w:link w:val="31"/>
    <w:qFormat/>
    <w:locked/>
    <w:uiPriority w:val="99"/>
    <w:rPr>
      <w:rFonts w:ascii="Times New Roman" w:hAnsi="Times New Roman" w:eastAsia="宋体" w:cs="Times New Roman"/>
      <w:sz w:val="18"/>
      <w:szCs w:val="18"/>
    </w:rPr>
  </w:style>
  <w:style w:type="character" w:customStyle="1" w:styleId="83">
    <w:name w:val="页眉 字符"/>
    <w:basedOn w:val="46"/>
    <w:link w:val="32"/>
    <w:qFormat/>
    <w:locked/>
    <w:uiPriority w:val="99"/>
    <w:rPr>
      <w:rFonts w:ascii="Times New Roman" w:hAnsi="Times New Roman" w:eastAsia="宋体" w:cs="Times New Roman"/>
      <w:sz w:val="18"/>
      <w:szCs w:val="18"/>
    </w:rPr>
  </w:style>
  <w:style w:type="character" w:customStyle="1" w:styleId="84">
    <w:name w:val="Subtitle Char"/>
    <w:basedOn w:val="46"/>
    <w:qFormat/>
    <w:locked/>
    <w:uiPriority w:val="99"/>
    <w:rPr>
      <w:rFonts w:ascii="Cambria" w:hAnsi="Cambria" w:eastAsia="宋体" w:cs="Cambria"/>
      <w:b/>
      <w:bCs/>
      <w:kern w:val="28"/>
      <w:sz w:val="32"/>
      <w:szCs w:val="32"/>
    </w:rPr>
  </w:style>
  <w:style w:type="character" w:customStyle="1" w:styleId="85">
    <w:name w:val="Footnote Text Char"/>
    <w:basedOn w:val="46"/>
    <w:qFormat/>
    <w:locked/>
    <w:uiPriority w:val="99"/>
    <w:rPr>
      <w:rFonts w:ascii="Times New Roman" w:hAnsi="Times New Roman" w:eastAsia="宋体" w:cs="Times New Roman"/>
      <w:sz w:val="18"/>
      <w:szCs w:val="18"/>
    </w:rPr>
  </w:style>
  <w:style w:type="character" w:customStyle="1" w:styleId="86">
    <w:name w:val="正文文本缩进 3 字符"/>
    <w:basedOn w:val="46"/>
    <w:link w:val="38"/>
    <w:semiHidden/>
    <w:qFormat/>
    <w:locked/>
    <w:uiPriority w:val="99"/>
    <w:rPr>
      <w:rFonts w:ascii="Times New Roman" w:hAnsi="Times New Roman" w:eastAsia="宋体" w:cs="Times New Roman"/>
      <w:sz w:val="16"/>
      <w:szCs w:val="16"/>
    </w:rPr>
  </w:style>
  <w:style w:type="character" w:customStyle="1" w:styleId="87">
    <w:name w:val="标题 字符"/>
    <w:basedOn w:val="46"/>
    <w:link w:val="42"/>
    <w:qFormat/>
    <w:locked/>
    <w:uiPriority w:val="99"/>
    <w:rPr>
      <w:rFonts w:ascii="Cambria" w:hAnsi="Cambria" w:eastAsia="宋体" w:cs="Cambria"/>
      <w:b/>
      <w:bCs/>
      <w:sz w:val="32"/>
      <w:szCs w:val="32"/>
    </w:rPr>
  </w:style>
  <w:style w:type="character" w:customStyle="1" w:styleId="88">
    <w:name w:val="批注主题 字符"/>
    <w:basedOn w:val="74"/>
    <w:link w:val="43"/>
    <w:semiHidden/>
    <w:qFormat/>
    <w:locked/>
    <w:uiPriority w:val="99"/>
    <w:rPr>
      <w:rFonts w:ascii="Times New Roman" w:hAnsi="Times New Roman" w:eastAsia="宋体" w:cs="Times New Roman"/>
      <w:b/>
      <w:bCs/>
    </w:rPr>
  </w:style>
  <w:style w:type="character" w:customStyle="1" w:styleId="89">
    <w:name w:val="正文文本 Char"/>
    <w:qFormat/>
    <w:uiPriority w:val="99"/>
    <w:rPr>
      <w:rFonts w:ascii="楷体_GB2312" w:eastAsia="楷体_GB2312" w:cs="楷体_GB2312"/>
      <w:b/>
      <w:bCs/>
      <w:sz w:val="48"/>
      <w:szCs w:val="48"/>
    </w:rPr>
  </w:style>
  <w:style w:type="character" w:customStyle="1" w:styleId="90">
    <w:name w:val="脚注文本 字符"/>
    <w:basedOn w:val="46"/>
    <w:link w:val="36"/>
    <w:qFormat/>
    <w:locked/>
    <w:uiPriority w:val="99"/>
    <w:rPr>
      <w:sz w:val="18"/>
      <w:szCs w:val="18"/>
    </w:rPr>
  </w:style>
  <w:style w:type="character" w:customStyle="1" w:styleId="91">
    <w:name w:val="明显引用 Char1"/>
    <w:basedOn w:val="46"/>
    <w:qFormat/>
    <w:locked/>
    <w:uiPriority w:val="99"/>
    <w:rPr>
      <w:b/>
      <w:bCs/>
      <w:i/>
      <w:iCs/>
      <w:color w:val="4F81BD"/>
    </w:rPr>
  </w:style>
  <w:style w:type="paragraph" w:styleId="92">
    <w:name w:val="Intense Quote"/>
    <w:basedOn w:val="1"/>
    <w:next w:val="1"/>
    <w:link w:val="93"/>
    <w:qFormat/>
    <w:uiPriority w:val="99"/>
    <w:pPr>
      <w:pBdr>
        <w:bottom w:val="single" w:color="4F81BD" w:sz="4" w:space="4"/>
      </w:pBdr>
      <w:spacing w:before="200" w:after="280"/>
      <w:ind w:left="936" w:right="936"/>
    </w:pPr>
    <w:rPr>
      <w:rFonts w:ascii="Calibri" w:hAnsi="Calibri" w:cs="Calibri"/>
      <w:b/>
      <w:bCs/>
      <w:i/>
      <w:iCs/>
      <w:color w:val="4F81BD"/>
    </w:rPr>
  </w:style>
  <w:style w:type="character" w:customStyle="1" w:styleId="93">
    <w:name w:val="明显引用 字符"/>
    <w:basedOn w:val="46"/>
    <w:link w:val="92"/>
    <w:qFormat/>
    <w:locked/>
    <w:uiPriority w:val="99"/>
    <w:rPr>
      <w:rFonts w:ascii="Times New Roman" w:hAnsi="Times New Roman" w:eastAsia="宋体" w:cs="Times New Roman"/>
      <w:b/>
      <w:bCs/>
      <w:i/>
      <w:iCs/>
      <w:color w:val="4F81BD"/>
    </w:rPr>
  </w:style>
  <w:style w:type="character" w:customStyle="1" w:styleId="94">
    <w:name w:val="页眉 Char"/>
    <w:qFormat/>
    <w:uiPriority w:val="99"/>
    <w:rPr>
      <w:sz w:val="18"/>
      <w:szCs w:val="18"/>
    </w:rPr>
  </w:style>
  <w:style w:type="character" w:customStyle="1" w:styleId="95">
    <w:name w:val="批注框文本 Char"/>
    <w:qFormat/>
    <w:uiPriority w:val="99"/>
    <w:rPr>
      <w:sz w:val="18"/>
      <w:szCs w:val="18"/>
    </w:rPr>
  </w:style>
  <w:style w:type="character" w:customStyle="1" w:styleId="96">
    <w:name w:val="l2"/>
    <w:basedOn w:val="46"/>
    <w:qFormat/>
    <w:uiPriority w:val="99"/>
  </w:style>
  <w:style w:type="character" w:customStyle="1" w:styleId="97">
    <w:name w:val="文档结构图 Char"/>
    <w:qFormat/>
    <w:uiPriority w:val="99"/>
    <w:rPr>
      <w:rFonts w:ascii="宋体" w:cs="宋体"/>
      <w:sz w:val="18"/>
      <w:szCs w:val="18"/>
    </w:rPr>
  </w:style>
  <w:style w:type="character" w:customStyle="1" w:styleId="98">
    <w:name w:val="正文文本 Char1"/>
    <w:basedOn w:val="46"/>
    <w:qFormat/>
    <w:locked/>
    <w:uiPriority w:val="99"/>
    <w:rPr>
      <w:kern w:val="2"/>
      <w:sz w:val="22"/>
      <w:szCs w:val="22"/>
    </w:rPr>
  </w:style>
  <w:style w:type="character" w:customStyle="1" w:styleId="99">
    <w:name w:val="正文文本缩进 2 字符"/>
    <w:basedOn w:val="46"/>
    <w:link w:val="29"/>
    <w:qFormat/>
    <w:locked/>
    <w:uiPriority w:val="99"/>
    <w:rPr>
      <w:sz w:val="24"/>
      <w:szCs w:val="24"/>
    </w:rPr>
  </w:style>
  <w:style w:type="character" w:customStyle="1" w:styleId="100">
    <w:name w:val="正文文本缩进 2 Char"/>
    <w:basedOn w:val="46"/>
    <w:qFormat/>
    <w:uiPriority w:val="99"/>
    <w:rPr>
      <w:kern w:val="2"/>
      <w:sz w:val="22"/>
      <w:szCs w:val="22"/>
    </w:rPr>
  </w:style>
  <w:style w:type="character" w:customStyle="1" w:styleId="101">
    <w:name w:val="r2"/>
    <w:basedOn w:val="46"/>
    <w:qFormat/>
    <w:uiPriority w:val="99"/>
  </w:style>
  <w:style w:type="character" w:customStyle="1" w:styleId="102">
    <w:name w:val="批注主题 Char"/>
    <w:qFormat/>
    <w:uiPriority w:val="99"/>
    <w:rPr>
      <w:b/>
      <w:bCs/>
    </w:rPr>
  </w:style>
  <w:style w:type="character" w:customStyle="1" w:styleId="103">
    <w:name w:val="副标题 Char"/>
    <w:basedOn w:val="46"/>
    <w:qFormat/>
    <w:uiPriority w:val="11"/>
    <w:rPr>
      <w:rFonts w:ascii="Cambria" w:hAnsi="Cambria" w:cs="Cambria"/>
      <w:b/>
      <w:bCs/>
      <w:kern w:val="28"/>
      <w:sz w:val="32"/>
      <w:szCs w:val="32"/>
    </w:rPr>
  </w:style>
  <w:style w:type="character" w:customStyle="1" w:styleId="104">
    <w:name w:val="明显引用 Char"/>
    <w:basedOn w:val="46"/>
    <w:link w:val="105"/>
    <w:qFormat/>
    <w:uiPriority w:val="99"/>
    <w:rPr>
      <w:b/>
      <w:bCs/>
      <w:i/>
      <w:iCs/>
      <w:color w:val="4F81BD"/>
      <w:kern w:val="2"/>
      <w:sz w:val="22"/>
      <w:szCs w:val="22"/>
    </w:rPr>
  </w:style>
  <w:style w:type="paragraph" w:customStyle="1" w:styleId="105">
    <w:name w:val="明显引用1"/>
    <w:basedOn w:val="1"/>
    <w:next w:val="1"/>
    <w:link w:val="104"/>
    <w:qFormat/>
    <w:uiPriority w:val="99"/>
    <w:pPr>
      <w:pBdr>
        <w:bottom w:val="single" w:color="4F81BD" w:sz="4" w:space="4"/>
      </w:pBdr>
      <w:spacing w:before="200" w:after="280"/>
      <w:ind w:left="936" w:right="936"/>
    </w:pPr>
    <w:rPr>
      <w:b/>
      <w:bCs/>
      <w:i/>
      <w:iCs/>
      <w:color w:val="4F81BD"/>
      <w:sz w:val="22"/>
      <w:szCs w:val="22"/>
    </w:rPr>
  </w:style>
  <w:style w:type="character" w:customStyle="1" w:styleId="106">
    <w:name w:val="日期 字符"/>
    <w:basedOn w:val="46"/>
    <w:link w:val="28"/>
    <w:qFormat/>
    <w:locked/>
    <w:uiPriority w:val="99"/>
  </w:style>
  <w:style w:type="character" w:customStyle="1" w:styleId="107">
    <w:name w:val="引用 Char1"/>
    <w:basedOn w:val="46"/>
    <w:qFormat/>
    <w:locked/>
    <w:uiPriority w:val="99"/>
    <w:rPr>
      <w:i/>
      <w:iCs/>
      <w:color w:val="000000"/>
    </w:rPr>
  </w:style>
  <w:style w:type="paragraph" w:styleId="108">
    <w:name w:val="Quote"/>
    <w:basedOn w:val="1"/>
    <w:next w:val="1"/>
    <w:link w:val="109"/>
    <w:qFormat/>
    <w:uiPriority w:val="99"/>
    <w:rPr>
      <w:rFonts w:ascii="Calibri" w:hAnsi="Calibri" w:cs="Calibri"/>
      <w:i/>
      <w:iCs/>
      <w:color w:val="000000"/>
    </w:rPr>
  </w:style>
  <w:style w:type="character" w:customStyle="1" w:styleId="109">
    <w:name w:val="引用 字符"/>
    <w:basedOn w:val="46"/>
    <w:link w:val="108"/>
    <w:qFormat/>
    <w:locked/>
    <w:uiPriority w:val="99"/>
    <w:rPr>
      <w:rFonts w:ascii="Times New Roman" w:hAnsi="Times New Roman" w:eastAsia="宋体" w:cs="Times New Roman"/>
      <w:i/>
      <w:iCs/>
      <w:color w:val="000000"/>
    </w:rPr>
  </w:style>
  <w:style w:type="character" w:customStyle="1" w:styleId="110">
    <w:name w:val="注释标题 Char"/>
    <w:semiHidden/>
    <w:qFormat/>
    <w:uiPriority w:val="99"/>
    <w:rPr>
      <w:sz w:val="24"/>
      <w:szCs w:val="24"/>
    </w:rPr>
  </w:style>
  <w:style w:type="character" w:customStyle="1" w:styleId="111">
    <w:name w:val="正文文本缩进 3 Char"/>
    <w:qFormat/>
    <w:uiPriority w:val="99"/>
    <w:rPr>
      <w:rFonts w:ascii="宋体" w:cs="宋体"/>
      <w:sz w:val="28"/>
      <w:szCs w:val="28"/>
    </w:rPr>
  </w:style>
  <w:style w:type="character" w:customStyle="1" w:styleId="112">
    <w:name w:val="副标题 字符"/>
    <w:basedOn w:val="46"/>
    <w:link w:val="35"/>
    <w:qFormat/>
    <w:locked/>
    <w:uiPriority w:val="11"/>
    <w:rPr>
      <w:rFonts w:ascii="Cambria" w:hAnsi="Cambria" w:cs="Cambria"/>
      <w:b/>
      <w:bCs/>
      <w:kern w:val="28"/>
      <w:sz w:val="32"/>
      <w:szCs w:val="32"/>
    </w:rPr>
  </w:style>
  <w:style w:type="character" w:customStyle="1" w:styleId="113">
    <w:name w:val="称呼 Char"/>
    <w:semiHidden/>
    <w:qFormat/>
    <w:uiPriority w:val="99"/>
    <w:rPr>
      <w:sz w:val="24"/>
      <w:szCs w:val="24"/>
    </w:rPr>
  </w:style>
  <w:style w:type="character" w:customStyle="1" w:styleId="114">
    <w:name w:val="批注文字 Char"/>
    <w:qFormat/>
    <w:uiPriority w:val="99"/>
  </w:style>
  <w:style w:type="character" w:customStyle="1" w:styleId="115">
    <w:name w:val="纯文本 Char2"/>
    <w:qFormat/>
    <w:uiPriority w:val="99"/>
    <w:rPr>
      <w:rFonts w:ascii="宋体" w:hAnsi="Courier New" w:cs="宋体"/>
      <w:kern w:val="2"/>
      <w:sz w:val="21"/>
      <w:szCs w:val="21"/>
    </w:rPr>
  </w:style>
  <w:style w:type="character" w:customStyle="1" w:styleId="116">
    <w:name w:val="标题4 Char Char"/>
    <w:link w:val="117"/>
    <w:qFormat/>
    <w:locked/>
    <w:uiPriority w:val="99"/>
    <w:rPr>
      <w:rFonts w:ascii="Arial" w:hAnsi="Arial" w:cs="Arial"/>
      <w:b/>
      <w:bCs/>
      <w:sz w:val="32"/>
      <w:szCs w:val="32"/>
    </w:rPr>
  </w:style>
  <w:style w:type="paragraph" w:customStyle="1" w:styleId="117">
    <w:name w:val="标题4"/>
    <w:basedOn w:val="3"/>
    <w:next w:val="23"/>
    <w:link w:val="116"/>
    <w:qFormat/>
    <w:uiPriority w:val="99"/>
    <w:pPr>
      <w:spacing w:before="60" w:after="60" w:line="412" w:lineRule="auto"/>
    </w:pPr>
    <w:rPr>
      <w:rFonts w:ascii="Arial" w:hAnsi="Arial" w:cs="Arial"/>
      <w:kern w:val="0"/>
      <w:sz w:val="24"/>
      <w:szCs w:val="24"/>
    </w:rPr>
  </w:style>
  <w:style w:type="character" w:customStyle="1" w:styleId="118">
    <w:name w:val="标题5 Char Char"/>
    <w:link w:val="119"/>
    <w:qFormat/>
    <w:locked/>
    <w:uiPriority w:val="99"/>
    <w:rPr>
      <w:rFonts w:ascii="Arial" w:hAnsi="Arial" w:cs="Arial"/>
      <w:b/>
      <w:bCs/>
      <w:sz w:val="32"/>
      <w:szCs w:val="32"/>
    </w:rPr>
  </w:style>
  <w:style w:type="paragraph" w:customStyle="1" w:styleId="119">
    <w:name w:val="标题5"/>
    <w:basedOn w:val="4"/>
    <w:link w:val="118"/>
    <w:qFormat/>
    <w:uiPriority w:val="99"/>
    <w:pPr>
      <w:spacing w:line="412" w:lineRule="auto"/>
    </w:pPr>
    <w:rPr>
      <w:rFonts w:ascii="Arial" w:hAnsi="Arial" w:cs="Arial"/>
      <w:kern w:val="0"/>
      <w:sz w:val="24"/>
      <w:szCs w:val="24"/>
    </w:rPr>
  </w:style>
  <w:style w:type="character" w:customStyle="1" w:styleId="120">
    <w:name w:val="纯文本 Char"/>
    <w:qFormat/>
    <w:uiPriority w:val="0"/>
    <w:rPr>
      <w:rFonts w:ascii="宋体" w:hAnsi="Courier New" w:cs="宋体"/>
      <w:sz w:val="21"/>
      <w:szCs w:val="21"/>
    </w:rPr>
  </w:style>
  <w:style w:type="character" w:customStyle="1" w:styleId="121">
    <w:name w:val="页脚 Char"/>
    <w:qFormat/>
    <w:uiPriority w:val="99"/>
    <w:rPr>
      <w:sz w:val="18"/>
      <w:szCs w:val="18"/>
    </w:rPr>
  </w:style>
  <w:style w:type="character" w:customStyle="1" w:styleId="122">
    <w:name w:val="标题 Char"/>
    <w:qFormat/>
    <w:uiPriority w:val="99"/>
    <w:rPr>
      <w:rFonts w:ascii="Arial" w:hAnsi="Arial" w:cs="Arial"/>
      <w:b/>
      <w:bCs/>
      <w:sz w:val="32"/>
      <w:szCs w:val="32"/>
    </w:rPr>
  </w:style>
  <w:style w:type="character" w:customStyle="1" w:styleId="123">
    <w:name w:val="脚注文本 Char"/>
    <w:basedOn w:val="46"/>
    <w:qFormat/>
    <w:uiPriority w:val="99"/>
    <w:rPr>
      <w:kern w:val="2"/>
      <w:sz w:val="18"/>
      <w:szCs w:val="18"/>
    </w:rPr>
  </w:style>
  <w:style w:type="character" w:customStyle="1" w:styleId="124">
    <w:name w:val="正文文本缩进 Char"/>
    <w:qFormat/>
    <w:uiPriority w:val="99"/>
    <w:rPr>
      <w:sz w:val="24"/>
      <w:szCs w:val="24"/>
    </w:rPr>
  </w:style>
  <w:style w:type="character" w:customStyle="1" w:styleId="125">
    <w:name w:val="纯文本 Char1"/>
    <w:qFormat/>
    <w:uiPriority w:val="99"/>
    <w:rPr>
      <w:rFonts w:ascii="宋体" w:hAnsi="Courier New" w:eastAsia="宋体" w:cs="宋体"/>
      <w:sz w:val="20"/>
      <w:szCs w:val="20"/>
    </w:rPr>
  </w:style>
  <w:style w:type="character" w:customStyle="1" w:styleId="126">
    <w:name w:val="引用 Char"/>
    <w:basedOn w:val="46"/>
    <w:link w:val="127"/>
    <w:qFormat/>
    <w:uiPriority w:val="99"/>
    <w:rPr>
      <w:i/>
      <w:iCs/>
      <w:color w:val="000000"/>
      <w:kern w:val="2"/>
      <w:sz w:val="22"/>
      <w:szCs w:val="22"/>
    </w:rPr>
  </w:style>
  <w:style w:type="paragraph" w:customStyle="1" w:styleId="127">
    <w:name w:val="引用1"/>
    <w:basedOn w:val="1"/>
    <w:next w:val="1"/>
    <w:link w:val="126"/>
    <w:qFormat/>
    <w:uiPriority w:val="99"/>
    <w:rPr>
      <w:i/>
      <w:iCs/>
      <w:color w:val="000000"/>
      <w:sz w:val="22"/>
      <w:szCs w:val="22"/>
    </w:rPr>
  </w:style>
  <w:style w:type="character" w:customStyle="1" w:styleId="128">
    <w:name w:val="普通文字 Char Char2"/>
    <w:qFormat/>
    <w:uiPriority w:val="99"/>
    <w:rPr>
      <w:rFonts w:ascii="宋体" w:hAnsi="Courier New" w:eastAsia="宋体" w:cs="宋体"/>
      <w:kern w:val="2"/>
      <w:sz w:val="21"/>
      <w:szCs w:val="21"/>
      <w:lang w:val="en-US" w:eastAsia="zh-CN"/>
    </w:rPr>
  </w:style>
  <w:style w:type="paragraph" w:customStyle="1" w:styleId="129">
    <w:name w:val="Table Paragraph"/>
    <w:basedOn w:val="1"/>
    <w:qFormat/>
    <w:uiPriority w:val="99"/>
    <w:pPr>
      <w:autoSpaceDE w:val="0"/>
      <w:autoSpaceDN w:val="0"/>
      <w:adjustRightInd w:val="0"/>
      <w:jc w:val="left"/>
    </w:pPr>
    <w:rPr>
      <w:rFonts w:ascii="黑体" w:eastAsia="黑体" w:cs="黑体"/>
      <w:kern w:val="0"/>
      <w:sz w:val="24"/>
      <w:szCs w:val="24"/>
    </w:rPr>
  </w:style>
  <w:style w:type="paragraph" w:customStyle="1" w:styleId="130">
    <w:name w:val="Level 1"/>
    <w:basedOn w:val="1"/>
    <w:next w:val="1"/>
    <w:qFormat/>
    <w:uiPriority w:val="99"/>
    <w:pPr>
      <w:keepNext/>
      <w:widowControl/>
      <w:numPr>
        <w:ilvl w:val="0"/>
        <w:numId w:val="2"/>
      </w:numPr>
      <w:spacing w:line="360" w:lineRule="auto"/>
      <w:outlineLvl w:val="0"/>
    </w:pPr>
    <w:rPr>
      <w:rFonts w:ascii="Arial" w:hAnsi="Arial" w:eastAsia="黑体" w:cs="Arial"/>
      <w:b/>
      <w:bCs/>
      <w:caps/>
      <w:w w:val="105"/>
      <w:kern w:val="20"/>
      <w:sz w:val="24"/>
      <w:szCs w:val="24"/>
      <w:lang w:val="en-GB" w:eastAsia="en-US"/>
    </w:rPr>
  </w:style>
  <w:style w:type="paragraph" w:customStyle="1" w:styleId="131">
    <w:name w:val="Level 8"/>
    <w:basedOn w:val="1"/>
    <w:qFormat/>
    <w:uiPriority w:val="99"/>
    <w:pPr>
      <w:widowControl/>
      <w:numPr>
        <w:ilvl w:val="7"/>
        <w:numId w:val="2"/>
      </w:numPr>
      <w:spacing w:after="120" w:line="336" w:lineRule="auto"/>
      <w:outlineLvl w:val="7"/>
    </w:pPr>
    <w:rPr>
      <w:rFonts w:ascii="Arial" w:hAnsi="Arial" w:cs="Arial"/>
      <w:w w:val="105"/>
      <w:kern w:val="20"/>
      <w:sz w:val="24"/>
      <w:szCs w:val="24"/>
      <w:lang w:val="en-GB" w:eastAsia="en-US"/>
    </w:rPr>
  </w:style>
  <w:style w:type="paragraph" w:customStyle="1" w:styleId="132">
    <w:name w:val="05 Body"/>
    <w:basedOn w:val="1"/>
    <w:qFormat/>
    <w:uiPriority w:val="99"/>
    <w:pPr>
      <w:widowControl/>
      <w:spacing w:line="290" w:lineRule="auto"/>
    </w:pPr>
    <w:rPr>
      <w:rFonts w:ascii="Arial" w:hAnsi="Arial" w:cs="Arial"/>
      <w:kern w:val="20"/>
      <w:sz w:val="24"/>
      <w:szCs w:val="24"/>
      <w:lang w:val="en-GB" w:eastAsia="en-US"/>
    </w:rPr>
  </w:style>
  <w:style w:type="paragraph" w:customStyle="1" w:styleId="133">
    <w:name w:val="Parties"/>
    <w:basedOn w:val="1"/>
    <w:qFormat/>
    <w:uiPriority w:val="99"/>
    <w:pPr>
      <w:widowControl/>
      <w:numPr>
        <w:ilvl w:val="0"/>
        <w:numId w:val="3"/>
      </w:numPr>
      <w:spacing w:after="140" w:line="290" w:lineRule="auto"/>
    </w:pPr>
    <w:rPr>
      <w:rFonts w:ascii="Arial" w:hAnsi="Arial" w:cs="Arial"/>
      <w:kern w:val="20"/>
      <w:sz w:val="20"/>
      <w:szCs w:val="20"/>
      <w:lang w:val="en-GB" w:eastAsia="en-US"/>
    </w:rPr>
  </w:style>
  <w:style w:type="paragraph" w:customStyle="1" w:styleId="134">
    <w:name w:val="Level 5"/>
    <w:basedOn w:val="135"/>
    <w:qFormat/>
    <w:uiPriority w:val="99"/>
    <w:pPr>
      <w:numPr>
        <w:ilvl w:val="4"/>
      </w:numPr>
      <w:tabs>
        <w:tab w:val="left" w:pos="1361"/>
      </w:tabs>
      <w:outlineLvl w:val="4"/>
    </w:pPr>
  </w:style>
  <w:style w:type="paragraph" w:customStyle="1" w:styleId="135">
    <w:name w:val="Level 4"/>
    <w:basedOn w:val="1"/>
    <w:qFormat/>
    <w:uiPriority w:val="99"/>
    <w:pPr>
      <w:numPr>
        <w:ilvl w:val="3"/>
        <w:numId w:val="2"/>
      </w:numPr>
      <w:spacing w:after="120" w:line="336" w:lineRule="auto"/>
      <w:outlineLvl w:val="3"/>
    </w:pPr>
    <w:rPr>
      <w:rFonts w:ascii="Arial" w:hAnsi="Arial" w:cs="Arial"/>
      <w:w w:val="105"/>
      <w:kern w:val="20"/>
      <w:sz w:val="24"/>
      <w:szCs w:val="24"/>
      <w:lang w:val="en-GB" w:eastAsia="en-US"/>
    </w:rPr>
  </w:style>
  <w:style w:type="paragraph" w:customStyle="1" w:styleId="136">
    <w:name w:val="Body"/>
    <w:basedOn w:val="1"/>
    <w:qFormat/>
    <w:uiPriority w:val="99"/>
    <w:pPr>
      <w:widowControl/>
      <w:spacing w:after="140" w:line="290" w:lineRule="auto"/>
    </w:pPr>
    <w:rPr>
      <w:rFonts w:ascii="Arial" w:hAnsi="Arial" w:cs="Arial"/>
      <w:kern w:val="20"/>
      <w:sz w:val="20"/>
      <w:szCs w:val="20"/>
      <w:lang w:val="en-GB" w:eastAsia="en-US"/>
    </w:rPr>
  </w:style>
  <w:style w:type="paragraph" w:customStyle="1" w:styleId="137">
    <w:name w:val="Char"/>
    <w:basedOn w:val="1"/>
    <w:qFormat/>
    <w:uiPriority w:val="99"/>
    <w:pPr>
      <w:snapToGrid w:val="0"/>
      <w:spacing w:line="440" w:lineRule="atLeast"/>
    </w:pPr>
    <w:rPr>
      <w:rFonts w:ascii="宋体" w:cs="宋体"/>
      <w:sz w:val="24"/>
      <w:szCs w:val="24"/>
    </w:rPr>
  </w:style>
  <w:style w:type="paragraph" w:customStyle="1" w:styleId="138">
    <w:name w:val="样式 标题 2 + Times New Roman 四号 非加粗 段前: 5 磅 段后: 0 磅 行距: 固定值 20..."/>
    <w:basedOn w:val="3"/>
    <w:next w:val="1"/>
    <w:qFormat/>
    <w:uiPriority w:val="99"/>
    <w:pPr>
      <w:spacing w:before="100" w:after="0" w:line="400" w:lineRule="exact"/>
    </w:pPr>
    <w:rPr>
      <w:rFonts w:ascii="Times New Roman" w:hAnsi="Times New Roman" w:eastAsia="黑体" w:cs="Times New Roman"/>
      <w:b w:val="0"/>
      <w:bCs w:val="0"/>
      <w:sz w:val="28"/>
      <w:szCs w:val="28"/>
    </w:rPr>
  </w:style>
  <w:style w:type="paragraph" w:customStyle="1" w:styleId="139">
    <w:name w:val="03 Wheras"/>
    <w:basedOn w:val="1"/>
    <w:qFormat/>
    <w:uiPriority w:val="99"/>
    <w:pPr>
      <w:widowControl/>
      <w:spacing w:line="290" w:lineRule="auto"/>
    </w:pPr>
    <w:rPr>
      <w:rFonts w:ascii="Arial" w:hAnsi="Arial" w:eastAsia="黑体" w:cs="Arial"/>
      <w:b/>
      <w:bCs/>
      <w:kern w:val="20"/>
      <w:sz w:val="24"/>
      <w:szCs w:val="24"/>
      <w:lang w:val="en-GB" w:eastAsia="en-US"/>
    </w:rPr>
  </w:style>
  <w:style w:type="paragraph" w:customStyle="1" w:styleId="140">
    <w:name w:val="Level 6"/>
    <w:basedOn w:val="134"/>
    <w:qFormat/>
    <w:uiPriority w:val="99"/>
    <w:pPr>
      <w:numPr>
        <w:ilvl w:val="5"/>
      </w:numPr>
      <w:outlineLvl w:val="5"/>
    </w:pPr>
  </w:style>
  <w:style w:type="paragraph" w:customStyle="1" w:styleId="141">
    <w:name w:val="Level 7"/>
    <w:basedOn w:val="1"/>
    <w:qFormat/>
    <w:uiPriority w:val="99"/>
    <w:pPr>
      <w:widowControl/>
      <w:numPr>
        <w:ilvl w:val="6"/>
        <w:numId w:val="2"/>
      </w:numPr>
      <w:spacing w:after="120" w:line="336" w:lineRule="auto"/>
      <w:outlineLvl w:val="6"/>
    </w:pPr>
    <w:rPr>
      <w:rFonts w:ascii="Arial" w:hAnsi="Arial" w:cs="Arial"/>
      <w:w w:val="105"/>
      <w:kern w:val="20"/>
      <w:sz w:val="24"/>
      <w:szCs w:val="24"/>
      <w:lang w:val="en-GB" w:eastAsia="en-US"/>
    </w:rPr>
  </w:style>
  <w:style w:type="paragraph" w:customStyle="1" w:styleId="142">
    <w:name w:val="WPSOffice手动目录 1"/>
    <w:qFormat/>
    <w:uiPriority w:val="99"/>
    <w:rPr>
      <w:rFonts w:ascii="Times New Roman" w:hAnsi="Times New Roman" w:eastAsia="宋体" w:cs="Times New Roman"/>
      <w:lang w:val="en-US" w:eastAsia="zh-CN" w:bidi="ar-SA"/>
    </w:rPr>
  </w:style>
  <w:style w:type="paragraph" w:customStyle="1" w:styleId="143">
    <w:name w:val="04 Recitals"/>
    <w:basedOn w:val="132"/>
    <w:qFormat/>
    <w:uiPriority w:val="99"/>
    <w:pPr>
      <w:numPr>
        <w:ilvl w:val="0"/>
        <w:numId w:val="4"/>
      </w:numPr>
    </w:pPr>
  </w:style>
  <w:style w:type="paragraph" w:customStyle="1" w:styleId="144">
    <w:name w:val="zFSNarrative"/>
    <w:basedOn w:val="1"/>
    <w:qFormat/>
    <w:uiPriority w:val="99"/>
    <w:pPr>
      <w:widowControl/>
      <w:spacing w:before="120" w:after="120" w:line="290" w:lineRule="auto"/>
      <w:jc w:val="center"/>
    </w:pPr>
    <w:rPr>
      <w:rFonts w:ascii="Arial" w:hAnsi="Arial" w:cs="Arial"/>
      <w:kern w:val="20"/>
      <w:sz w:val="20"/>
      <w:szCs w:val="20"/>
      <w:lang w:val="en-GB" w:eastAsia="en-US"/>
    </w:rPr>
  </w:style>
  <w:style w:type="paragraph" w:customStyle="1" w:styleId="145">
    <w:name w:val="02 Parties"/>
    <w:basedOn w:val="1"/>
    <w:qFormat/>
    <w:uiPriority w:val="99"/>
    <w:pPr>
      <w:widowControl/>
      <w:numPr>
        <w:ilvl w:val="0"/>
        <w:numId w:val="5"/>
      </w:numPr>
      <w:spacing w:line="290" w:lineRule="auto"/>
    </w:pPr>
    <w:rPr>
      <w:rFonts w:ascii="Arial" w:hAnsi="Arial" w:cs="Arial"/>
      <w:kern w:val="20"/>
      <w:sz w:val="24"/>
      <w:szCs w:val="24"/>
      <w:lang w:val="en-GB" w:eastAsia="en-US"/>
    </w:rPr>
  </w:style>
  <w:style w:type="paragraph" w:customStyle="1" w:styleId="146">
    <w:name w:val="修订1"/>
    <w:qFormat/>
    <w:uiPriority w:val="99"/>
    <w:rPr>
      <w:rFonts w:ascii="Times New Roman" w:hAnsi="Times New Roman" w:eastAsia="宋体" w:cs="Times New Roman"/>
      <w:kern w:val="2"/>
      <w:sz w:val="21"/>
      <w:szCs w:val="21"/>
      <w:lang w:val="en-US" w:eastAsia="zh-CN" w:bidi="ar-SA"/>
    </w:rPr>
  </w:style>
  <w:style w:type="paragraph" w:customStyle="1" w:styleId="147">
    <w:name w:val="Char Char Char Char Char Char Char"/>
    <w:basedOn w:val="1"/>
    <w:qFormat/>
    <w:uiPriority w:val="99"/>
    <w:rPr>
      <w:rFonts w:ascii="仿宋_GB2312" w:eastAsia="仿宋_GB2312" w:cs="仿宋_GB2312"/>
      <w:spacing w:val="-4"/>
      <w:sz w:val="32"/>
      <w:szCs w:val="32"/>
    </w:rPr>
  </w:style>
  <w:style w:type="paragraph" w:customStyle="1" w:styleId="148">
    <w:name w:val="Level 3"/>
    <w:basedOn w:val="1"/>
    <w:qFormat/>
    <w:uiPriority w:val="99"/>
    <w:pPr>
      <w:numPr>
        <w:ilvl w:val="2"/>
        <w:numId w:val="2"/>
      </w:numPr>
      <w:spacing w:after="120" w:line="336" w:lineRule="auto"/>
      <w:outlineLvl w:val="2"/>
    </w:pPr>
    <w:rPr>
      <w:rFonts w:ascii="Arial" w:hAnsi="Arial" w:cs="Arial"/>
      <w:w w:val="105"/>
      <w:kern w:val="20"/>
      <w:sz w:val="24"/>
      <w:szCs w:val="24"/>
      <w:lang w:val="en-GB" w:eastAsia="en-US"/>
    </w:rPr>
  </w:style>
  <w:style w:type="paragraph" w:styleId="149">
    <w:name w:val="List Paragraph"/>
    <w:basedOn w:val="1"/>
    <w:qFormat/>
    <w:uiPriority w:val="99"/>
    <w:pPr>
      <w:ind w:firstLine="420" w:firstLineChars="200"/>
    </w:pPr>
  </w:style>
  <w:style w:type="paragraph" w:customStyle="1" w:styleId="150">
    <w:name w:val="zFSco-names"/>
    <w:basedOn w:val="1"/>
    <w:next w:val="1"/>
    <w:qFormat/>
    <w:uiPriority w:val="99"/>
    <w:pPr>
      <w:widowControl/>
      <w:spacing w:before="120" w:after="120" w:line="290" w:lineRule="auto"/>
      <w:jc w:val="center"/>
    </w:pPr>
    <w:rPr>
      <w:rFonts w:ascii="Arial" w:hAnsi="Arial" w:cs="Arial"/>
      <w:kern w:val="24"/>
      <w:sz w:val="24"/>
      <w:szCs w:val="24"/>
      <w:lang w:val="en-GB" w:eastAsia="en-US"/>
    </w:rPr>
  </w:style>
  <w:style w:type="paragraph" w:customStyle="1" w:styleId="151">
    <w:name w:val="Level 2"/>
    <w:basedOn w:val="1"/>
    <w:next w:val="1"/>
    <w:qFormat/>
    <w:uiPriority w:val="99"/>
    <w:pPr>
      <w:numPr>
        <w:ilvl w:val="1"/>
        <w:numId w:val="2"/>
      </w:numPr>
      <w:spacing w:line="360" w:lineRule="auto"/>
      <w:outlineLvl w:val="1"/>
    </w:pPr>
    <w:rPr>
      <w:rFonts w:ascii="Arial" w:hAnsi="Arial" w:cs="Arial"/>
      <w:w w:val="105"/>
      <w:kern w:val="20"/>
      <w:sz w:val="24"/>
      <w:szCs w:val="24"/>
      <w:lang w:val="en-GB" w:eastAsia="en-US"/>
    </w:rPr>
  </w:style>
  <w:style w:type="paragraph" w:customStyle="1" w:styleId="152">
    <w:name w:val="PT-WZ"/>
    <w:qFormat/>
    <w:uiPriority w:val="99"/>
    <w:pPr>
      <w:widowControl w:val="0"/>
      <w:adjustRightInd w:val="0"/>
      <w:snapToGrid w:val="0"/>
      <w:spacing w:line="5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53">
    <w:name w:val="Heading 81"/>
    <w:basedOn w:val="1"/>
    <w:qFormat/>
    <w:uiPriority w:val="99"/>
    <w:pPr>
      <w:autoSpaceDE w:val="0"/>
      <w:autoSpaceDN w:val="0"/>
      <w:ind w:left="765"/>
      <w:jc w:val="left"/>
      <w:outlineLvl w:val="8"/>
    </w:pPr>
    <w:rPr>
      <w:rFonts w:ascii="宋体" w:hAnsi="宋体" w:cs="宋体"/>
      <w:b/>
      <w:bCs/>
      <w:kern w:val="0"/>
      <w:lang w:val="zh-CN"/>
    </w:rPr>
  </w:style>
  <w:style w:type="paragraph" w:customStyle="1" w:styleId="154">
    <w:name w:val="标题 81"/>
    <w:basedOn w:val="1"/>
    <w:qFormat/>
    <w:uiPriority w:val="1"/>
    <w:pPr>
      <w:autoSpaceDE w:val="0"/>
      <w:autoSpaceDN w:val="0"/>
      <w:ind w:left="765"/>
      <w:jc w:val="left"/>
      <w:outlineLvl w:val="8"/>
    </w:pPr>
    <w:rPr>
      <w:rFonts w:ascii="宋体" w:hAnsi="宋体" w:cs="宋体"/>
      <w:b/>
      <w:bCs/>
      <w:kern w:val="0"/>
      <w:lang w:val="zh-CN" w:bidi="zh-CN"/>
    </w:rPr>
  </w:style>
  <w:style w:type="character" w:customStyle="1" w:styleId="155">
    <w:name w:val="fontstyle01"/>
    <w:qFormat/>
    <w:uiPriority w:val="0"/>
    <w:rPr>
      <w:rFonts w:hint="default" w:ascii="Times New Roman" w:hAnsi="Times New Roman" w:eastAsia="宋体" w:cs="Times New Roman"/>
      <w:color w:val="000000"/>
      <w:sz w:val="22"/>
      <w:szCs w:val="22"/>
    </w:rPr>
  </w:style>
  <w:style w:type="paragraph" w:customStyle="1" w:styleId="156">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57">
    <w:name w:val="1"/>
    <w:basedOn w:val="1"/>
    <w:next w:val="26"/>
    <w:qFormat/>
    <w:uiPriority w:val="99"/>
    <w:rPr>
      <w:rFonts w:ascii="宋体" w:hAnsi="Courier New"/>
      <w:szCs w:val="20"/>
    </w:rPr>
  </w:style>
  <w:style w:type="paragraph" w:customStyle="1" w:styleId="158">
    <w:name w:val="2"/>
    <w:basedOn w:val="1"/>
    <w:next w:val="26"/>
    <w:qFormat/>
    <w:uiPriority w:val="0"/>
    <w:rPr>
      <w:rFonts w:ascii="宋体" w:hAnsi="Courier New"/>
      <w:szCs w:val="20"/>
    </w:rPr>
  </w:style>
  <w:style w:type="paragraph" w:customStyle="1" w:styleId="159">
    <w:name w:val="标题 1_0"/>
    <w:basedOn w:val="160"/>
    <w:next w:val="160"/>
    <w:qFormat/>
    <w:uiPriority w:val="0"/>
    <w:pPr>
      <w:keepNext/>
      <w:keepLines/>
      <w:spacing w:line="360" w:lineRule="auto"/>
      <w:outlineLvl w:val="0"/>
    </w:pPr>
    <w:rPr>
      <w:rFonts w:ascii="Times New Roman" w:hAnsi="Times New Roman" w:eastAsia="黑体" w:cs="Times New Roman"/>
      <w:b/>
      <w:bCs/>
      <w:kern w:val="44"/>
      <w:sz w:val="32"/>
      <w:szCs w:val="32"/>
    </w:rPr>
  </w:style>
  <w:style w:type="paragraph" w:customStyle="1" w:styleId="160">
    <w:name w:val="正文_2"/>
    <w:basedOn w:val="161"/>
    <w:next w:val="163"/>
    <w:qFormat/>
    <w:uiPriority w:val="0"/>
    <w:rPr>
      <w:szCs w:val="22"/>
    </w:rPr>
  </w:style>
  <w:style w:type="paragraph" w:customStyle="1" w:styleId="161">
    <w:name w:val="正文_3"/>
    <w:basedOn w:val="162"/>
    <w:qFormat/>
    <w:uiPriority w:val="0"/>
    <w:rPr>
      <w:rFonts w:cs="宋体"/>
      <w:szCs w:val="21"/>
    </w:rPr>
  </w:style>
  <w:style w:type="paragraph" w:customStyle="1" w:styleId="162">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标题 4_0"/>
    <w:basedOn w:val="164"/>
    <w:next w:val="160"/>
    <w:qFormat/>
    <w:uiPriority w:val="0"/>
    <w:pPr>
      <w:keepNext/>
      <w:keepLines/>
      <w:spacing w:line="360" w:lineRule="auto"/>
      <w:outlineLvl w:val="3"/>
    </w:pPr>
    <w:rPr>
      <w:rFonts w:ascii="Arial" w:hAnsi="Arial"/>
      <w:b/>
      <w:bCs/>
      <w:szCs w:val="28"/>
    </w:rPr>
  </w:style>
  <w:style w:type="paragraph" w:customStyle="1" w:styleId="16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65">
    <w:name w:val="正文_2_0"/>
    <w:basedOn w:val="161"/>
    <w:qFormat/>
    <w:uiPriority w:val="0"/>
  </w:style>
  <w:style w:type="paragraph" w:customStyle="1" w:styleId="166">
    <w:name w:val="正文_1"/>
    <w:qFormat/>
    <w:uiPriority w:val="99"/>
    <w:pPr>
      <w:widowControl w:val="0"/>
      <w:jc w:val="both"/>
    </w:pPr>
    <w:rPr>
      <w:rFonts w:ascii="Times New Roman" w:hAnsi="Times New Roman" w:eastAsia="宋体" w:cs="Times New Roman"/>
      <w:kern w:val="2"/>
      <w:sz w:val="21"/>
      <w:szCs w:val="21"/>
      <w:lang w:val="en-US" w:eastAsia="zh-CN" w:bidi="ar-SA"/>
    </w:rPr>
  </w:style>
  <w:style w:type="paragraph" w:styleId="16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无间隔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69">
    <w:name w:val="List Paragraph1"/>
    <w:basedOn w:val="1"/>
    <w:qFormat/>
    <w:uiPriority w:val="0"/>
    <w:pPr>
      <w:widowControl/>
      <w:spacing w:after="200" w:line="276" w:lineRule="auto"/>
      <w:ind w:left="720"/>
      <w:jc w:val="left"/>
    </w:pPr>
    <w:rPr>
      <w:rFonts w:ascii="Calibri" w:hAnsi="Calibri"/>
      <w:kern w:val="0"/>
      <w:sz w:val="22"/>
      <w:szCs w:val="22"/>
    </w:rPr>
  </w:style>
  <w:style w:type="character" w:customStyle="1" w:styleId="170">
    <w:name w:val="NormalCharacter"/>
    <w:qFormat/>
    <w:uiPriority w:val="0"/>
  </w:style>
  <w:style w:type="paragraph" w:customStyle="1" w:styleId="171">
    <w:name w:val="p0"/>
    <w:basedOn w:val="1"/>
    <w:qFormat/>
    <w:uiPriority w:val="99"/>
    <w:pPr>
      <w:widowControl/>
    </w:pPr>
    <w:rPr>
      <w:kern w:val="0"/>
    </w:rPr>
  </w:style>
  <w:style w:type="paragraph" w:customStyle="1" w:styleId="172">
    <w:name w:val="正文2"/>
    <w:basedOn w:val="1"/>
    <w:qFormat/>
    <w:uiPriority w:val="0"/>
    <w:pPr>
      <w:adjustRightInd w:val="0"/>
      <w:spacing w:before="156" w:line="360" w:lineRule="auto"/>
      <w:ind w:firstLine="510" w:firstLineChars="200"/>
    </w:pPr>
    <w:rPr>
      <w:kern w:val="0"/>
      <w:sz w:val="24"/>
      <w:szCs w:val="20"/>
    </w:rPr>
  </w:style>
  <w:style w:type="paragraph" w:customStyle="1" w:styleId="173">
    <w:name w:val="正文文本_0"/>
    <w:basedOn w:val="160"/>
    <w:link w:val="292"/>
    <w:qFormat/>
    <w:uiPriority w:val="0"/>
    <w:pPr>
      <w:adjustRightInd w:val="0"/>
      <w:spacing w:after="60" w:line="360" w:lineRule="atLeast"/>
      <w:ind w:left="72" w:leftChars="30" w:right="30" w:rightChars="30"/>
      <w:jc w:val="center"/>
      <w:textAlignment w:val="baseline"/>
    </w:pPr>
  </w:style>
  <w:style w:type="paragraph" w:customStyle="1" w:styleId="174">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5">
    <w:name w:val="UserStyle_106"/>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176">
    <w:name w:val="标题 2_1"/>
    <w:basedOn w:val="165"/>
    <w:next w:val="165"/>
    <w:semiHidden/>
    <w:qFormat/>
    <w:uiPriority w:val="0"/>
    <w:pPr>
      <w:keepNext/>
      <w:keepLines/>
      <w:spacing w:before="260" w:after="260" w:line="415" w:lineRule="auto"/>
      <w:outlineLvl w:val="1"/>
    </w:pPr>
    <w:rPr>
      <w:rFonts w:ascii="Cambria" w:hAnsi="Cambria"/>
      <w:b/>
      <w:bCs/>
      <w:sz w:val="32"/>
      <w:szCs w:val="32"/>
    </w:rPr>
  </w:style>
  <w:style w:type="paragraph" w:customStyle="1" w:styleId="177">
    <w:name w:val="标题 3_0"/>
    <w:basedOn w:val="160"/>
    <w:next w:val="165"/>
    <w:qFormat/>
    <w:uiPriority w:val="99"/>
    <w:pPr>
      <w:keepNext/>
      <w:keepLines/>
      <w:spacing w:line="360" w:lineRule="auto"/>
      <w:outlineLvl w:val="2"/>
    </w:pPr>
    <w:rPr>
      <w:rFonts w:eastAsia="黑体"/>
      <w:b/>
      <w:bCs/>
      <w:szCs w:val="32"/>
    </w:rPr>
  </w:style>
  <w:style w:type="paragraph" w:customStyle="1" w:styleId="178">
    <w:name w:val="正文_2_0_0"/>
    <w:basedOn w:val="179"/>
    <w:qFormat/>
    <w:uiPriority w:val="0"/>
  </w:style>
  <w:style w:type="paragraph" w:customStyle="1" w:styleId="179">
    <w:name w:val="正文_2_1"/>
    <w:basedOn w:val="180"/>
    <w:qFormat/>
    <w:uiPriority w:val="0"/>
  </w:style>
  <w:style w:type="paragraph" w:customStyle="1" w:styleId="180">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1">
    <w:name w:val="批注文字_0"/>
    <w:basedOn w:val="161"/>
    <w:unhideWhenUsed/>
    <w:qFormat/>
    <w:uiPriority w:val="0"/>
    <w:pPr>
      <w:jc w:val="left"/>
    </w:pPr>
    <w:rPr>
      <w:rFonts w:ascii="Times New Roman" w:hAnsi="Times New Roman"/>
    </w:rPr>
  </w:style>
  <w:style w:type="paragraph" w:customStyle="1" w:styleId="182">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8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4">
    <w:name w:val="标题 2 Char_1"/>
    <w:link w:val="185"/>
    <w:qFormat/>
    <w:uiPriority w:val="0"/>
    <w:rPr>
      <w:rFonts w:ascii="Cambria" w:hAnsi="Cambria"/>
      <w:b/>
      <w:bCs/>
      <w:kern w:val="0"/>
      <w:sz w:val="32"/>
      <w:szCs w:val="32"/>
    </w:rPr>
  </w:style>
  <w:style w:type="paragraph" w:customStyle="1" w:styleId="185">
    <w:name w:val="标题 2_2"/>
    <w:basedOn w:val="160"/>
    <w:next w:val="160"/>
    <w:link w:val="184"/>
    <w:qFormat/>
    <w:uiPriority w:val="0"/>
    <w:pPr>
      <w:keepNext/>
      <w:keepLines/>
      <w:spacing w:before="260" w:after="260" w:line="416" w:lineRule="auto"/>
      <w:outlineLvl w:val="1"/>
    </w:pPr>
    <w:rPr>
      <w:rFonts w:ascii="Cambria" w:hAnsi="Cambria"/>
      <w:b/>
      <w:bCs/>
      <w:kern w:val="0"/>
      <w:sz w:val="32"/>
      <w:szCs w:val="32"/>
    </w:rPr>
  </w:style>
  <w:style w:type="paragraph" w:customStyle="1" w:styleId="186">
    <w:name w:val="Normal_1"/>
    <w:qFormat/>
    <w:uiPriority w:val="0"/>
    <w:rPr>
      <w:rFonts w:ascii="Times New Roman" w:hAnsi="Times New Roman" w:eastAsia="Times New Roman" w:cs="Times New Roman"/>
      <w:sz w:val="24"/>
      <w:szCs w:val="24"/>
      <w:lang w:val="en-US" w:eastAsia="zh-CN" w:bidi="ar-SA"/>
    </w:rPr>
  </w:style>
  <w:style w:type="paragraph" w:customStyle="1" w:styleId="187">
    <w:name w:val="首行缩进"/>
    <w:basedOn w:val="1"/>
    <w:qFormat/>
    <w:uiPriority w:val="0"/>
    <w:pPr>
      <w:ind w:firstLine="480" w:firstLineChars="200"/>
    </w:pPr>
  </w:style>
  <w:style w:type="paragraph" w:customStyle="1" w:styleId="188">
    <w:name w:val="正文呀2"/>
    <w:basedOn w:val="189"/>
    <w:link w:val="290"/>
    <w:qFormat/>
    <w:uiPriority w:val="0"/>
    <w:rPr>
      <w:rFonts w:ascii="Times New Roman" w:hAnsi="Times New Roman"/>
    </w:rPr>
  </w:style>
  <w:style w:type="paragraph" w:customStyle="1" w:styleId="189">
    <w:name w:val="正文呀"/>
    <w:basedOn w:val="1"/>
    <w:qFormat/>
    <w:uiPriority w:val="0"/>
    <w:pPr>
      <w:spacing w:line="420" w:lineRule="exact"/>
      <w:ind w:firstLine="420" w:firstLineChars="200"/>
    </w:pPr>
    <w:rPr>
      <w:rFonts w:ascii="宋体" w:hAnsi="宋体"/>
    </w:rPr>
  </w:style>
  <w:style w:type="paragraph" w:customStyle="1" w:styleId="190">
    <w:name w:val="_Style 5_0"/>
    <w:qFormat/>
    <w:uiPriority w:val="1"/>
    <w:rPr>
      <w:rFonts w:ascii="Times New Roman" w:hAnsi="Times New Roman" w:eastAsia="宋体" w:cs="Times New Roman"/>
      <w:sz w:val="22"/>
      <w:szCs w:val="22"/>
      <w:lang w:val="en-US" w:eastAsia="zh-CN" w:bidi="ar-SA"/>
    </w:rPr>
  </w:style>
  <w:style w:type="paragraph" w:customStyle="1" w:styleId="191">
    <w:name w:val="目录 21"/>
    <w:basedOn w:val="1"/>
    <w:next w:val="1"/>
    <w:qFormat/>
    <w:uiPriority w:val="0"/>
    <w:pPr>
      <w:spacing w:before="100" w:beforeAutospacing="1" w:after="100" w:afterAutospacing="1"/>
      <w:ind w:left="420" w:leftChars="200"/>
    </w:pPr>
  </w:style>
  <w:style w:type="character" w:customStyle="1" w:styleId="192">
    <w:name w:val="Char Char18"/>
    <w:qFormat/>
    <w:uiPriority w:val="99"/>
    <w:rPr>
      <w:rFonts w:ascii="Times New Roman" w:hAnsi="Times New Roman" w:eastAsia="宋体" w:cs="Times New Roman"/>
      <w:b/>
      <w:bCs/>
      <w:sz w:val="28"/>
      <w:szCs w:val="28"/>
    </w:rPr>
  </w:style>
  <w:style w:type="character" w:customStyle="1" w:styleId="193">
    <w:name w:val="Char Char23"/>
    <w:qFormat/>
    <w:uiPriority w:val="99"/>
    <w:rPr>
      <w:rFonts w:eastAsia="宋体"/>
      <w:b/>
      <w:bCs/>
      <w:kern w:val="44"/>
      <w:sz w:val="44"/>
      <w:szCs w:val="44"/>
      <w:lang w:val="en-US" w:eastAsia="zh-CN"/>
    </w:rPr>
  </w:style>
  <w:style w:type="character" w:customStyle="1" w:styleId="194">
    <w:name w:val="副标题 Char1"/>
    <w:qFormat/>
    <w:uiPriority w:val="11"/>
    <w:rPr>
      <w:rFonts w:ascii="等线 Light" w:hAnsi="等线 Light" w:eastAsia="宋体" w:cs="Times New Roman"/>
      <w:b/>
      <w:bCs/>
      <w:kern w:val="28"/>
      <w:sz w:val="32"/>
      <w:szCs w:val="32"/>
    </w:rPr>
  </w:style>
  <w:style w:type="character" w:customStyle="1" w:styleId="195">
    <w:name w:val="Heading 3 Char1"/>
    <w:qFormat/>
    <w:uiPriority w:val="99"/>
    <w:rPr>
      <w:rFonts w:eastAsia="宋体"/>
      <w:b/>
      <w:bCs/>
      <w:kern w:val="2"/>
      <w:sz w:val="32"/>
      <w:szCs w:val="32"/>
      <w:lang w:val="en-US" w:eastAsia="zh-CN"/>
    </w:rPr>
  </w:style>
  <w:style w:type="character" w:customStyle="1" w:styleId="196">
    <w:name w:val="文档结构图 Char2"/>
    <w:semiHidden/>
    <w:qFormat/>
    <w:uiPriority w:val="99"/>
    <w:rPr>
      <w:rFonts w:ascii="宋体" w:hAnsi="Times New Roman" w:eastAsia="宋体" w:cs="Times New Roman"/>
      <w:sz w:val="18"/>
      <w:szCs w:val="18"/>
    </w:rPr>
  </w:style>
  <w:style w:type="character" w:customStyle="1" w:styleId="197">
    <w:name w:val="标题 Char2"/>
    <w:qFormat/>
    <w:uiPriority w:val="99"/>
    <w:rPr>
      <w:rFonts w:ascii="Cambria" w:hAnsi="Cambria" w:eastAsia="宋体" w:cs="Cambria"/>
      <w:b/>
      <w:bCs/>
      <w:sz w:val="32"/>
      <w:szCs w:val="32"/>
    </w:rPr>
  </w:style>
  <w:style w:type="character" w:customStyle="1" w:styleId="198">
    <w:name w:val="脚注文本 Char1"/>
    <w:semiHidden/>
    <w:qFormat/>
    <w:uiPriority w:val="99"/>
    <w:rPr>
      <w:rFonts w:ascii="Times New Roman" w:hAnsi="Times New Roman" w:eastAsia="宋体" w:cs="Times New Roman"/>
      <w:sz w:val="18"/>
      <w:szCs w:val="18"/>
    </w:rPr>
  </w:style>
  <w:style w:type="character" w:customStyle="1" w:styleId="199">
    <w:name w:val="Comment Text Char1"/>
    <w:qFormat/>
    <w:uiPriority w:val="99"/>
    <w:rPr>
      <w:sz w:val="24"/>
      <w:szCs w:val="24"/>
    </w:rPr>
  </w:style>
  <w:style w:type="character" w:customStyle="1" w:styleId="200">
    <w:name w:val="Comment Subject Char"/>
    <w:qFormat/>
    <w:uiPriority w:val="99"/>
    <w:rPr>
      <w:b/>
      <w:bCs/>
      <w:sz w:val="24"/>
      <w:szCs w:val="24"/>
    </w:rPr>
  </w:style>
  <w:style w:type="character" w:customStyle="1" w:styleId="201">
    <w:name w:val="标题 Char4"/>
    <w:qFormat/>
    <w:uiPriority w:val="10"/>
    <w:rPr>
      <w:rFonts w:ascii="Cambria" w:hAnsi="Cambria" w:eastAsia="宋体" w:cs="Times New Roman"/>
      <w:b/>
      <w:bCs/>
      <w:sz w:val="32"/>
      <w:szCs w:val="32"/>
    </w:rPr>
  </w:style>
  <w:style w:type="character" w:customStyle="1" w:styleId="202">
    <w:name w:val="标题 Char3"/>
    <w:qFormat/>
    <w:uiPriority w:val="10"/>
    <w:rPr>
      <w:rFonts w:ascii="等线 Light" w:hAnsi="等线 Light" w:eastAsia="宋体" w:cs="Times New Roman"/>
      <w:b/>
      <w:bCs/>
      <w:sz w:val="32"/>
      <w:szCs w:val="32"/>
    </w:rPr>
  </w:style>
  <w:style w:type="character" w:customStyle="1" w:styleId="203">
    <w:name w:val="Balloon Text Char"/>
    <w:qFormat/>
    <w:uiPriority w:val="99"/>
    <w:rPr>
      <w:sz w:val="18"/>
      <w:szCs w:val="18"/>
    </w:rPr>
  </w:style>
  <w:style w:type="character" w:customStyle="1" w:styleId="204">
    <w:name w:val="批注框文本 Char2"/>
    <w:semiHidden/>
    <w:qFormat/>
    <w:uiPriority w:val="99"/>
    <w:rPr>
      <w:rFonts w:ascii="Times New Roman" w:hAnsi="Times New Roman" w:eastAsia="宋体" w:cs="Times New Roman"/>
      <w:sz w:val="18"/>
      <w:szCs w:val="18"/>
    </w:rPr>
  </w:style>
  <w:style w:type="character" w:customStyle="1" w:styleId="205">
    <w:name w:val="批注主题 Char1"/>
    <w:qFormat/>
    <w:uiPriority w:val="99"/>
    <w:rPr>
      <w:rFonts w:ascii="Times New Roman" w:hAnsi="Times New Roman" w:eastAsia="宋体" w:cs="Times New Roman"/>
      <w:b/>
      <w:bCs/>
      <w:sz w:val="24"/>
      <w:szCs w:val="24"/>
    </w:rPr>
  </w:style>
  <w:style w:type="character" w:customStyle="1" w:styleId="206">
    <w:name w:val="Char Char91"/>
    <w:qFormat/>
    <w:uiPriority w:val="99"/>
    <w:rPr>
      <w:rFonts w:eastAsia="宋体"/>
      <w:b/>
      <w:bCs/>
      <w:kern w:val="44"/>
      <w:sz w:val="44"/>
      <w:szCs w:val="44"/>
      <w:lang w:val="en-US" w:eastAsia="zh-CN"/>
    </w:rPr>
  </w:style>
  <w:style w:type="character" w:customStyle="1" w:styleId="207">
    <w:name w:val="Document Map Char"/>
    <w:qFormat/>
    <w:uiPriority w:val="99"/>
    <w:rPr>
      <w:rFonts w:eastAsia="宋体"/>
      <w:kern w:val="2"/>
      <w:sz w:val="24"/>
      <w:szCs w:val="24"/>
      <w:lang w:val="en-US" w:eastAsia="zh-CN"/>
    </w:rPr>
  </w:style>
  <w:style w:type="character" w:customStyle="1" w:styleId="208">
    <w:name w:val="Char Char21"/>
    <w:qFormat/>
    <w:uiPriority w:val="99"/>
    <w:rPr>
      <w:rFonts w:ascii="Arial" w:hAnsi="Arial" w:eastAsia="黑体" w:cs="Arial"/>
      <w:b/>
      <w:bCs/>
      <w:sz w:val="32"/>
      <w:szCs w:val="32"/>
    </w:rPr>
  </w:style>
  <w:style w:type="character" w:customStyle="1" w:styleId="209">
    <w:name w:val="Char Char9"/>
    <w:qFormat/>
    <w:uiPriority w:val="99"/>
    <w:rPr>
      <w:rFonts w:eastAsia="宋体"/>
      <w:b/>
      <w:bCs/>
      <w:kern w:val="44"/>
      <w:sz w:val="44"/>
      <w:szCs w:val="44"/>
      <w:lang w:val="en-US" w:eastAsia="zh-CN"/>
    </w:rPr>
  </w:style>
  <w:style w:type="character" w:customStyle="1" w:styleId="210">
    <w:name w:val="明显参考1"/>
    <w:qFormat/>
    <w:uiPriority w:val="99"/>
    <w:rPr>
      <w:b/>
      <w:bCs/>
      <w:smallCaps/>
      <w:color w:val="auto"/>
      <w:spacing w:val="5"/>
      <w:u w:val="single"/>
    </w:rPr>
  </w:style>
  <w:style w:type="character" w:customStyle="1" w:styleId="211">
    <w:name w:val="副标题 Char2"/>
    <w:qFormat/>
    <w:uiPriority w:val="11"/>
    <w:rPr>
      <w:rFonts w:ascii="Cambria" w:hAnsi="Cambria" w:eastAsia="宋体" w:cs="Times New Roman"/>
      <w:b/>
      <w:bCs/>
      <w:kern w:val="28"/>
      <w:sz w:val="32"/>
      <w:szCs w:val="32"/>
    </w:rPr>
  </w:style>
  <w:style w:type="character" w:customStyle="1" w:styleId="212">
    <w:name w:val="标题 Char1"/>
    <w:qFormat/>
    <w:uiPriority w:val="99"/>
    <w:rPr>
      <w:rFonts w:ascii="Cambria" w:hAnsi="Cambria" w:eastAsia="宋体" w:cs="Cambria"/>
      <w:b/>
      <w:bCs/>
      <w:sz w:val="32"/>
      <w:szCs w:val="32"/>
    </w:rPr>
  </w:style>
  <w:style w:type="character" w:customStyle="1" w:styleId="213">
    <w:name w:val="不明显参考1"/>
    <w:qFormat/>
    <w:uiPriority w:val="99"/>
    <w:rPr>
      <w:smallCaps/>
      <w:color w:val="auto"/>
      <w:u w:val="single"/>
    </w:rPr>
  </w:style>
  <w:style w:type="character" w:customStyle="1" w:styleId="214">
    <w:name w:val="批注主题 Char2"/>
    <w:semiHidden/>
    <w:qFormat/>
    <w:uiPriority w:val="99"/>
    <w:rPr>
      <w:rFonts w:ascii="Times New Roman" w:hAnsi="Times New Roman" w:eastAsia="宋体" w:cs="Times New Roman"/>
      <w:b/>
      <w:bCs/>
      <w:szCs w:val="21"/>
    </w:rPr>
  </w:style>
  <w:style w:type="character" w:customStyle="1" w:styleId="215">
    <w:name w:val="日期 Char2"/>
    <w:semiHidden/>
    <w:qFormat/>
    <w:uiPriority w:val="99"/>
    <w:rPr>
      <w:rFonts w:ascii="Times New Roman" w:hAnsi="Times New Roman" w:eastAsia="宋体" w:cs="Times New Roman"/>
      <w:szCs w:val="21"/>
    </w:rPr>
  </w:style>
  <w:style w:type="character" w:customStyle="1" w:styleId="216">
    <w:name w:val="正文文本 Char2"/>
    <w:semiHidden/>
    <w:qFormat/>
    <w:uiPriority w:val="99"/>
    <w:rPr>
      <w:rFonts w:ascii="Times New Roman" w:hAnsi="Times New Roman" w:eastAsia="宋体" w:cs="Times New Roman"/>
      <w:szCs w:val="21"/>
    </w:rPr>
  </w:style>
  <w:style w:type="character" w:customStyle="1" w:styleId="217">
    <w:name w:val="Char Char6"/>
    <w:qFormat/>
    <w:uiPriority w:val="99"/>
    <w:rPr>
      <w:rFonts w:eastAsia="宋体"/>
      <w:b/>
      <w:bCs/>
      <w:kern w:val="44"/>
      <w:sz w:val="44"/>
      <w:szCs w:val="44"/>
      <w:lang w:val="en-US" w:eastAsia="zh-CN"/>
    </w:rPr>
  </w:style>
  <w:style w:type="character" w:customStyle="1" w:styleId="218">
    <w:name w:val="明显强调1"/>
    <w:qFormat/>
    <w:uiPriority w:val="99"/>
    <w:rPr>
      <w:b/>
      <w:bCs/>
      <w:i/>
      <w:iCs/>
      <w:color w:val="4F81BD"/>
    </w:rPr>
  </w:style>
  <w:style w:type="character" w:customStyle="1" w:styleId="219">
    <w:name w:val="Heading 4 Char"/>
    <w:qFormat/>
    <w:uiPriority w:val="99"/>
    <w:rPr>
      <w:rFonts w:ascii="Arial" w:hAnsi="Arial" w:eastAsia="宋体" w:cs="Arial"/>
      <w:b/>
      <w:bCs/>
      <w:kern w:val="2"/>
      <w:sz w:val="28"/>
      <w:szCs w:val="28"/>
      <w:lang w:val="en-US" w:eastAsia="zh-CN"/>
    </w:rPr>
  </w:style>
  <w:style w:type="character" w:customStyle="1" w:styleId="220">
    <w:name w:val="Heading 3 Char"/>
    <w:qFormat/>
    <w:uiPriority w:val="99"/>
    <w:rPr>
      <w:b/>
      <w:bCs/>
      <w:kern w:val="2"/>
      <w:sz w:val="32"/>
      <w:szCs w:val="32"/>
    </w:rPr>
  </w:style>
  <w:style w:type="character" w:customStyle="1" w:styleId="221">
    <w:name w:val="Comment Text Char"/>
    <w:qFormat/>
    <w:uiPriority w:val="99"/>
    <w:rPr>
      <w:sz w:val="24"/>
      <w:szCs w:val="24"/>
    </w:rPr>
  </w:style>
  <w:style w:type="character" w:customStyle="1" w:styleId="222">
    <w:name w:val="Heading 1 Char"/>
    <w:qFormat/>
    <w:uiPriority w:val="99"/>
    <w:rPr>
      <w:rFonts w:eastAsia="宋体"/>
      <w:b/>
      <w:bCs/>
      <w:kern w:val="44"/>
      <w:sz w:val="44"/>
      <w:szCs w:val="44"/>
      <w:lang w:val="en-US" w:eastAsia="zh-CN"/>
    </w:rPr>
  </w:style>
  <w:style w:type="character" w:customStyle="1" w:styleId="223">
    <w:name w:val="Footer Char"/>
    <w:qFormat/>
    <w:uiPriority w:val="99"/>
    <w:rPr>
      <w:rFonts w:eastAsia="宋体"/>
      <w:kern w:val="2"/>
      <w:sz w:val="18"/>
      <w:szCs w:val="18"/>
      <w:lang w:val="en-US" w:eastAsia="zh-CN"/>
    </w:rPr>
  </w:style>
  <w:style w:type="character" w:customStyle="1" w:styleId="224">
    <w:name w:val="textcontents"/>
    <w:qFormat/>
    <w:uiPriority w:val="99"/>
  </w:style>
  <w:style w:type="character" w:customStyle="1" w:styleId="225">
    <w:name w:val="Char Char181"/>
    <w:qFormat/>
    <w:uiPriority w:val="99"/>
    <w:rPr>
      <w:b/>
      <w:bCs/>
      <w:kern w:val="44"/>
      <w:sz w:val="44"/>
      <w:szCs w:val="44"/>
    </w:rPr>
  </w:style>
  <w:style w:type="character" w:customStyle="1" w:styleId="226">
    <w:name w:val="Header Char"/>
    <w:qFormat/>
    <w:uiPriority w:val="99"/>
    <w:rPr>
      <w:rFonts w:eastAsia="宋体"/>
      <w:kern w:val="2"/>
      <w:sz w:val="18"/>
      <w:szCs w:val="18"/>
      <w:lang w:val="en-US" w:eastAsia="zh-CN"/>
    </w:rPr>
  </w:style>
  <w:style w:type="character" w:customStyle="1" w:styleId="227">
    <w:name w:val="Body Text Indent Char"/>
    <w:qFormat/>
    <w:uiPriority w:val="99"/>
    <w:rPr>
      <w:rFonts w:ascii="宋体" w:hAnsi="宋体" w:eastAsia="宋体" w:cs="宋体"/>
      <w:kern w:val="2"/>
      <w:sz w:val="21"/>
      <w:szCs w:val="21"/>
      <w:lang w:val="en-US" w:eastAsia="zh-CN"/>
    </w:rPr>
  </w:style>
  <w:style w:type="character" w:customStyle="1" w:styleId="228">
    <w:name w:val="批注框文本 Char1"/>
    <w:qFormat/>
    <w:uiPriority w:val="99"/>
    <w:rPr>
      <w:rFonts w:ascii="Times New Roman" w:hAnsi="Times New Roman" w:eastAsia="宋体" w:cs="Times New Roman"/>
      <w:sz w:val="18"/>
      <w:szCs w:val="18"/>
    </w:rPr>
  </w:style>
  <w:style w:type="character" w:customStyle="1" w:styleId="229">
    <w:name w:val="文档结构图 Char1"/>
    <w:qFormat/>
    <w:uiPriority w:val="99"/>
    <w:rPr>
      <w:rFonts w:ascii="宋体" w:hAnsi="Times New Roman" w:eastAsia="宋体" w:cs="宋体"/>
      <w:sz w:val="18"/>
      <w:szCs w:val="18"/>
    </w:rPr>
  </w:style>
  <w:style w:type="character" w:customStyle="1" w:styleId="230">
    <w:name w:val="正文文本缩进 Char1"/>
    <w:semiHidden/>
    <w:qFormat/>
    <w:uiPriority w:val="99"/>
    <w:rPr>
      <w:rFonts w:ascii="Times New Roman" w:hAnsi="Times New Roman" w:eastAsia="宋体" w:cs="Times New Roman"/>
      <w:szCs w:val="21"/>
    </w:rPr>
  </w:style>
  <w:style w:type="character" w:customStyle="1" w:styleId="231">
    <w:name w:val="Plain Text Char"/>
    <w:qFormat/>
    <w:uiPriority w:val="99"/>
    <w:rPr>
      <w:rFonts w:ascii="宋体" w:hAnsi="Courier New" w:eastAsia="宋体" w:cs="宋体"/>
      <w:sz w:val="24"/>
      <w:szCs w:val="24"/>
    </w:rPr>
  </w:style>
  <w:style w:type="character" w:customStyle="1" w:styleId="232">
    <w:name w:val="Heading 2 Char"/>
    <w:qFormat/>
    <w:uiPriority w:val="99"/>
    <w:rPr>
      <w:rFonts w:ascii="Arial" w:hAnsi="Arial" w:eastAsia="黑体" w:cs="Arial"/>
      <w:b/>
      <w:bCs/>
      <w:kern w:val="2"/>
      <w:sz w:val="32"/>
      <w:szCs w:val="32"/>
      <w:lang w:val="en-US" w:eastAsia="zh-CN"/>
    </w:rPr>
  </w:style>
  <w:style w:type="character" w:customStyle="1" w:styleId="233">
    <w:name w:val="书籍标题1"/>
    <w:qFormat/>
    <w:uiPriority w:val="99"/>
    <w:rPr>
      <w:b/>
      <w:bCs/>
      <w:smallCaps/>
      <w:spacing w:val="5"/>
    </w:rPr>
  </w:style>
  <w:style w:type="character" w:customStyle="1" w:styleId="234">
    <w:name w:val="Heading 5 Char"/>
    <w:qFormat/>
    <w:uiPriority w:val="99"/>
    <w:rPr>
      <w:rFonts w:eastAsia="宋体"/>
      <w:b/>
      <w:bCs/>
      <w:kern w:val="2"/>
      <w:sz w:val="28"/>
      <w:szCs w:val="28"/>
      <w:lang w:val="en-US" w:eastAsia="zh-CN"/>
    </w:rPr>
  </w:style>
  <w:style w:type="character" w:customStyle="1" w:styleId="235">
    <w:name w:val="批注文字 Char Char"/>
    <w:qFormat/>
    <w:uiPriority w:val="99"/>
    <w:rPr>
      <w:rFonts w:ascii="宋体" w:hAnsi="Times New Roman" w:eastAsia="宋体" w:cs="宋体"/>
      <w:sz w:val="20"/>
      <w:szCs w:val="20"/>
    </w:rPr>
  </w:style>
  <w:style w:type="character" w:customStyle="1" w:styleId="236">
    <w:name w:val="Title Char"/>
    <w:qFormat/>
    <w:uiPriority w:val="99"/>
    <w:rPr>
      <w:rFonts w:ascii="Cambria" w:hAnsi="Cambria" w:cs="Cambria"/>
      <w:b/>
      <w:bCs/>
      <w:sz w:val="32"/>
      <w:szCs w:val="32"/>
    </w:rPr>
  </w:style>
  <w:style w:type="character" w:customStyle="1" w:styleId="237">
    <w:name w:val="批注文字 Char1"/>
    <w:qFormat/>
    <w:uiPriority w:val="99"/>
    <w:rPr>
      <w:rFonts w:ascii="Times New Roman" w:hAnsi="Times New Roman" w:eastAsia="宋体" w:cs="Times New Roman"/>
      <w:sz w:val="24"/>
      <w:szCs w:val="24"/>
    </w:rPr>
  </w:style>
  <w:style w:type="character" w:customStyle="1" w:styleId="238">
    <w:name w:val="Char Char20"/>
    <w:qFormat/>
    <w:uiPriority w:val="99"/>
    <w:rPr>
      <w:rFonts w:ascii="Times New Roman" w:hAnsi="Times New Roman" w:eastAsia="宋体" w:cs="Times New Roman"/>
      <w:b/>
      <w:bCs/>
      <w:sz w:val="32"/>
      <w:szCs w:val="32"/>
    </w:rPr>
  </w:style>
  <w:style w:type="character" w:customStyle="1" w:styleId="239">
    <w:name w:val="页脚 Char1"/>
    <w:semiHidden/>
    <w:qFormat/>
    <w:uiPriority w:val="99"/>
    <w:rPr>
      <w:rFonts w:ascii="Times New Roman" w:hAnsi="Times New Roman" w:eastAsia="宋体" w:cs="Times New Roman"/>
      <w:sz w:val="18"/>
      <w:szCs w:val="18"/>
    </w:rPr>
  </w:style>
  <w:style w:type="character" w:customStyle="1" w:styleId="240">
    <w:name w:val="批注文字 Char2"/>
    <w:qFormat/>
    <w:locked/>
    <w:uiPriority w:val="0"/>
    <w:rPr>
      <w:rFonts w:eastAsia="宋体"/>
      <w:kern w:val="2"/>
      <w:sz w:val="24"/>
      <w:szCs w:val="24"/>
      <w:lang w:val="en-US" w:eastAsia="zh-CN"/>
    </w:rPr>
  </w:style>
  <w:style w:type="character" w:customStyle="1" w:styleId="241">
    <w:name w:val="页眉 Char1"/>
    <w:semiHidden/>
    <w:qFormat/>
    <w:uiPriority w:val="99"/>
    <w:rPr>
      <w:rFonts w:ascii="Times New Roman" w:hAnsi="Times New Roman" w:eastAsia="宋体" w:cs="Times New Roman"/>
      <w:sz w:val="18"/>
      <w:szCs w:val="18"/>
    </w:rPr>
  </w:style>
  <w:style w:type="character" w:customStyle="1" w:styleId="242">
    <w:name w:val="不明显强调1"/>
    <w:qFormat/>
    <w:uiPriority w:val="99"/>
    <w:rPr>
      <w:i/>
      <w:iCs/>
      <w:color w:val="808080"/>
    </w:rPr>
  </w:style>
  <w:style w:type="character" w:customStyle="1" w:styleId="243">
    <w:name w:val="Char Char24"/>
    <w:qFormat/>
    <w:uiPriority w:val="99"/>
    <w:rPr>
      <w:rFonts w:eastAsia="宋体"/>
      <w:b/>
      <w:bCs/>
      <w:kern w:val="44"/>
      <w:sz w:val="44"/>
      <w:szCs w:val="44"/>
      <w:lang w:val="en-US" w:eastAsia="zh-CN"/>
    </w:rPr>
  </w:style>
  <w:style w:type="character" w:customStyle="1" w:styleId="244">
    <w:name w:val="Char Char19"/>
    <w:qFormat/>
    <w:uiPriority w:val="99"/>
    <w:rPr>
      <w:rFonts w:ascii="Arial" w:hAnsi="Arial" w:eastAsia="宋体" w:cs="Arial"/>
      <w:b/>
      <w:bCs/>
      <w:sz w:val="28"/>
      <w:szCs w:val="28"/>
    </w:rPr>
  </w:style>
  <w:style w:type="character" w:customStyle="1" w:styleId="245">
    <w:name w:val="日期 Char1"/>
    <w:qFormat/>
    <w:uiPriority w:val="99"/>
    <w:rPr>
      <w:rFonts w:ascii="Times New Roman" w:hAnsi="Times New Roman" w:eastAsia="宋体" w:cs="Times New Roman"/>
      <w:sz w:val="24"/>
      <w:szCs w:val="24"/>
    </w:rPr>
  </w:style>
  <w:style w:type="character" w:customStyle="1" w:styleId="246">
    <w:name w:val="Char Char22"/>
    <w:qFormat/>
    <w:uiPriority w:val="99"/>
    <w:rPr>
      <w:rFonts w:ascii="Times New Roman" w:hAnsi="Times New Roman" w:eastAsia="宋体" w:cs="Times New Roman"/>
      <w:b/>
      <w:bCs/>
      <w:kern w:val="44"/>
      <w:sz w:val="44"/>
      <w:szCs w:val="44"/>
    </w:rPr>
  </w:style>
  <w:style w:type="character" w:customStyle="1" w:styleId="247">
    <w:name w:val="正文文本缩进 2 Char1"/>
    <w:semiHidden/>
    <w:qFormat/>
    <w:uiPriority w:val="99"/>
    <w:rPr>
      <w:rFonts w:ascii="Times New Roman" w:hAnsi="Times New Roman" w:eastAsia="宋体" w:cs="Times New Roman"/>
      <w:szCs w:val="21"/>
    </w:rPr>
  </w:style>
  <w:style w:type="paragraph" w:customStyle="1" w:styleId="248">
    <w:name w:val="列出段落1"/>
    <w:basedOn w:val="1"/>
    <w:qFormat/>
    <w:uiPriority w:val="0"/>
    <w:pPr>
      <w:ind w:left="424" w:firstLine="480"/>
    </w:pPr>
  </w:style>
  <w:style w:type="paragraph" w:customStyle="1" w:styleId="249">
    <w:name w:val="空半行"/>
    <w:basedOn w:val="1"/>
    <w:qFormat/>
    <w:uiPriority w:val="99"/>
    <w:pPr>
      <w:adjustRightInd w:val="0"/>
      <w:spacing w:line="120" w:lineRule="exact"/>
      <w:textAlignment w:val="baseline"/>
    </w:pPr>
    <w:rPr>
      <w:rFonts w:eastAsia="仿宋_GB2312"/>
      <w:color w:val="FFFFFF"/>
      <w:kern w:val="0"/>
      <w:sz w:val="30"/>
      <w:szCs w:val="30"/>
    </w:rPr>
  </w:style>
  <w:style w:type="paragraph" w:customStyle="1" w:styleId="250">
    <w:name w:val="样式 标题 3 + (中文) 黑体 小四 非加粗 段前: 7.8 磅 段后: 0 磅 行距: 固定值 20 磅"/>
    <w:basedOn w:val="4"/>
    <w:qFormat/>
    <w:uiPriority w:val="99"/>
    <w:pPr>
      <w:spacing w:before="0" w:after="120" w:line="400" w:lineRule="exact"/>
      <w:ind w:left="200" w:leftChars="200"/>
    </w:pPr>
    <w:rPr>
      <w:b w:val="0"/>
      <w:bCs w:val="0"/>
      <w:sz w:val="21"/>
      <w:lang w:val="zh-CN"/>
    </w:rPr>
  </w:style>
  <w:style w:type="paragraph" w:customStyle="1" w:styleId="251">
    <w:name w:val="_Style 5"/>
    <w:qFormat/>
    <w:uiPriority w:val="1"/>
    <w:rPr>
      <w:rFonts w:ascii="Times New Roman" w:hAnsi="Times New Roman" w:eastAsia="宋体" w:cs="Times New Roman"/>
      <w:sz w:val="22"/>
      <w:szCs w:val="22"/>
      <w:lang w:val="en-US" w:eastAsia="zh-CN" w:bidi="ar-SA"/>
    </w:rPr>
  </w:style>
  <w:style w:type="paragraph" w:customStyle="1" w:styleId="252">
    <w:name w:val="Char Char Char Char"/>
    <w:basedOn w:val="1"/>
    <w:qFormat/>
    <w:uiPriority w:val="99"/>
    <w:pPr>
      <w:widowControl/>
      <w:spacing w:line="500" w:lineRule="exact"/>
      <w:outlineLvl w:val="2"/>
    </w:pPr>
    <w:rPr>
      <w:rFonts w:ascii="黑体" w:hAnsi="Verdana" w:eastAsia="黑体" w:cs="黑体"/>
      <w:kern w:val="0"/>
      <w:sz w:val="28"/>
      <w:szCs w:val="28"/>
      <w:lang w:eastAsia="en-US"/>
    </w:rPr>
  </w:style>
  <w:style w:type="paragraph" w:customStyle="1" w:styleId="253">
    <w:name w:val="_Style 37"/>
    <w:basedOn w:val="1"/>
    <w:next w:val="1"/>
    <w:qFormat/>
    <w:uiPriority w:val="99"/>
  </w:style>
  <w:style w:type="paragraph" w:customStyle="1" w:styleId="254">
    <w:name w:val="列出段落2"/>
    <w:basedOn w:val="1"/>
    <w:qFormat/>
    <w:uiPriority w:val="99"/>
    <w:pPr>
      <w:ind w:firstLine="420" w:firstLineChars="200"/>
    </w:pPr>
    <w:rPr>
      <w:rFonts w:ascii="Calibri" w:hAnsi="Calibri" w:cs="Calibri"/>
    </w:rPr>
  </w:style>
  <w:style w:type="paragraph" w:customStyle="1" w:styleId="255">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6">
    <w:name w:val="TOC 标题1"/>
    <w:basedOn w:val="2"/>
    <w:next w:val="1"/>
    <w:qFormat/>
    <w:uiPriority w:val="99"/>
    <w:pPr>
      <w:keepNext/>
      <w:keepLines/>
      <w:numPr>
        <w:numId w:val="0"/>
      </w:numPr>
      <w:tabs>
        <w:tab w:val="clear" w:pos="1080"/>
      </w:tabs>
      <w:overflowPunct/>
      <w:autoSpaceDE/>
      <w:autoSpaceDN/>
      <w:adjustRightInd/>
      <w:snapToGrid/>
      <w:spacing w:before="340" w:after="330" w:line="576" w:lineRule="auto"/>
      <w:textAlignment w:val="auto"/>
      <w:outlineLvl w:val="9"/>
    </w:pPr>
    <w:rPr>
      <w:rFonts w:ascii="Calibri" w:hAnsi="Calibri" w:eastAsia="黑体" w:cs="Calibri"/>
      <w:sz w:val="44"/>
      <w:szCs w:val="44"/>
      <w:lang w:val="zh-CN"/>
    </w:rPr>
  </w:style>
  <w:style w:type="paragraph" w:customStyle="1" w:styleId="257">
    <w:name w:val="列出段落11"/>
    <w:basedOn w:val="1"/>
    <w:qFormat/>
    <w:uiPriority w:val="99"/>
    <w:pPr>
      <w:ind w:firstLine="420" w:firstLineChars="200"/>
    </w:pPr>
    <w:rPr>
      <w:rFonts w:ascii="Calibri" w:hAnsi="Calibri" w:cs="Calibri"/>
    </w:rPr>
  </w:style>
  <w:style w:type="paragraph" w:customStyle="1" w:styleId="258">
    <w:name w:val="_Style 70"/>
    <w:next w:val="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25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60">
    <w:name w:val="_Style 6"/>
    <w:basedOn w:val="2"/>
    <w:next w:val="1"/>
    <w:qFormat/>
    <w:uiPriority w:val="0"/>
    <w:pPr>
      <w:keepNext/>
      <w:keepLines/>
      <w:numPr>
        <w:numId w:val="0"/>
      </w:numPr>
      <w:tabs>
        <w:tab w:val="clear" w:pos="1080"/>
      </w:tabs>
      <w:overflowPunct/>
      <w:autoSpaceDE/>
      <w:autoSpaceDN/>
      <w:adjustRightInd/>
      <w:snapToGrid/>
      <w:spacing w:before="0"/>
      <w:textAlignment w:val="auto"/>
      <w:outlineLvl w:val="9"/>
    </w:pPr>
    <w:rPr>
      <w:rFonts w:eastAsia="黑体"/>
      <w:sz w:val="44"/>
      <w:szCs w:val="44"/>
      <w:lang w:val="zh-CN"/>
    </w:rPr>
  </w:style>
  <w:style w:type="paragraph" w:customStyle="1" w:styleId="261">
    <w:name w:val="p16"/>
    <w:basedOn w:val="1"/>
    <w:qFormat/>
    <w:uiPriority w:val="0"/>
    <w:pPr>
      <w:widowControl/>
    </w:pPr>
    <w:rPr>
      <w:kern w:val="0"/>
    </w:rPr>
  </w:style>
  <w:style w:type="paragraph" w:customStyle="1" w:styleId="262">
    <w:name w:val="样式1"/>
    <w:basedOn w:val="1"/>
    <w:next w:val="5"/>
    <w:qFormat/>
    <w:uiPriority w:val="99"/>
    <w:pPr>
      <w:spacing w:line="360" w:lineRule="auto"/>
      <w:ind w:firstLine="420" w:firstLineChars="200"/>
    </w:pPr>
    <w:rPr>
      <w:rFonts w:ascii="宋体" w:hAnsi="宋体" w:cs="宋体"/>
    </w:rPr>
  </w:style>
  <w:style w:type="paragraph" w:customStyle="1" w:styleId="263">
    <w:name w:val="2-2ji"/>
    <w:basedOn w:val="3"/>
    <w:qFormat/>
    <w:uiPriority w:val="99"/>
    <w:pPr>
      <w:spacing w:before="0" w:after="0" w:line="360" w:lineRule="auto"/>
      <w:jc w:val="center"/>
    </w:pPr>
    <w:rPr>
      <w:rFonts w:ascii="宋体" w:hAnsi="宋体" w:cs="宋体"/>
      <w:kern w:val="0"/>
      <w:sz w:val="36"/>
      <w:szCs w:val="36"/>
      <w:lang w:val="zh-CN"/>
    </w:rPr>
  </w:style>
  <w:style w:type="paragraph" w:customStyle="1" w:styleId="264">
    <w:name w:val="flNote"/>
    <w:basedOn w:val="1"/>
    <w:qFormat/>
    <w:uiPriority w:val="99"/>
    <w:pPr>
      <w:adjustRightInd w:val="0"/>
      <w:spacing w:before="320" w:after="160" w:line="360" w:lineRule="atLeast"/>
      <w:jc w:val="center"/>
      <w:textAlignment w:val="baseline"/>
    </w:pPr>
    <w:rPr>
      <w:rFonts w:ascii="Arial" w:eastAsia="黑体" w:cs="Arial"/>
      <w:kern w:val="0"/>
      <w:sz w:val="30"/>
      <w:szCs w:val="30"/>
    </w:rPr>
  </w:style>
  <w:style w:type="paragraph" w:customStyle="1" w:styleId="265">
    <w:name w:val="Char1"/>
    <w:basedOn w:val="1"/>
    <w:qFormat/>
    <w:uiPriority w:val="99"/>
    <w:pPr>
      <w:widowControl/>
      <w:spacing w:after="160" w:line="240" w:lineRule="exact"/>
      <w:jc w:val="left"/>
    </w:pPr>
  </w:style>
  <w:style w:type="paragraph" w:customStyle="1" w:styleId="266">
    <w:name w:val="列出段落3"/>
    <w:basedOn w:val="1"/>
    <w:qFormat/>
    <w:uiPriority w:val="34"/>
    <w:pPr>
      <w:ind w:firstLine="420" w:firstLineChars="200"/>
    </w:pPr>
  </w:style>
  <w:style w:type="character" w:customStyle="1" w:styleId="267">
    <w:name w:val="标题 3 Char"/>
    <w:qFormat/>
    <w:locked/>
    <w:uiPriority w:val="99"/>
    <w:rPr>
      <w:rFonts w:eastAsia="黑体"/>
      <w:b/>
      <w:bCs/>
      <w:kern w:val="2"/>
      <w:sz w:val="32"/>
      <w:szCs w:val="32"/>
      <w:lang w:val="zh-CN" w:eastAsia="zh-CN"/>
    </w:rPr>
  </w:style>
  <w:style w:type="character" w:customStyle="1" w:styleId="268">
    <w:name w:val="标题 9 Char"/>
    <w:semiHidden/>
    <w:qFormat/>
    <w:uiPriority w:val="9"/>
    <w:rPr>
      <w:rFonts w:ascii="Cambria" w:hAnsi="Cambria" w:eastAsia="宋体" w:cs="Times New Roman"/>
      <w:szCs w:val="21"/>
    </w:rPr>
  </w:style>
  <w:style w:type="character" w:customStyle="1" w:styleId="269">
    <w:name w:val="first-child"/>
    <w:qFormat/>
    <w:uiPriority w:val="0"/>
  </w:style>
  <w:style w:type="character" w:customStyle="1" w:styleId="270">
    <w:name w:val="layui-layer-tabnow"/>
    <w:qFormat/>
    <w:uiPriority w:val="0"/>
    <w:rPr>
      <w:bdr w:val="single" w:color="CCCCCC" w:sz="6" w:space="0"/>
      <w:shd w:val="clear" w:color="auto" w:fill="FFFFFF"/>
    </w:rPr>
  </w:style>
  <w:style w:type="character" w:customStyle="1" w:styleId="271">
    <w:name w:val="标题 8 Char"/>
    <w:semiHidden/>
    <w:qFormat/>
    <w:uiPriority w:val="9"/>
    <w:rPr>
      <w:rFonts w:ascii="Cambria" w:hAnsi="Cambria" w:eastAsia="宋体" w:cs="Times New Roman"/>
      <w:sz w:val="24"/>
      <w:szCs w:val="24"/>
    </w:rPr>
  </w:style>
  <w:style w:type="character" w:customStyle="1" w:styleId="272">
    <w:name w:val="标题 5 Char"/>
    <w:qFormat/>
    <w:locked/>
    <w:uiPriority w:val="99"/>
    <w:rPr>
      <w:rFonts w:eastAsia="宋体"/>
      <w:b/>
      <w:bCs/>
      <w:kern w:val="2"/>
      <w:sz w:val="28"/>
      <w:szCs w:val="28"/>
      <w:lang w:val="en-US" w:eastAsia="zh-CN"/>
    </w:rPr>
  </w:style>
  <w:style w:type="character" w:customStyle="1" w:styleId="273">
    <w:name w:val="日期 Char"/>
    <w:qFormat/>
    <w:locked/>
    <w:uiPriority w:val="99"/>
    <w:rPr>
      <w:kern w:val="2"/>
      <w:sz w:val="24"/>
      <w:szCs w:val="24"/>
    </w:rPr>
  </w:style>
  <w:style w:type="character" w:customStyle="1" w:styleId="274">
    <w:name w:val="标题 7 Char"/>
    <w:semiHidden/>
    <w:qFormat/>
    <w:uiPriority w:val="9"/>
    <w:rPr>
      <w:b/>
      <w:bCs/>
      <w:sz w:val="24"/>
      <w:szCs w:val="24"/>
    </w:rPr>
  </w:style>
  <w:style w:type="character" w:customStyle="1" w:styleId="275">
    <w:name w:val="标题 1 Char"/>
    <w:qFormat/>
    <w:locked/>
    <w:uiPriority w:val="99"/>
    <w:rPr>
      <w:rFonts w:eastAsia="黑体"/>
      <w:b/>
      <w:bCs/>
      <w:kern w:val="44"/>
      <w:sz w:val="44"/>
      <w:szCs w:val="44"/>
      <w:lang w:val="zh-CN" w:eastAsia="zh-CN"/>
    </w:rPr>
  </w:style>
  <w:style w:type="character" w:customStyle="1" w:styleId="276">
    <w:name w:val="标题 4 Char"/>
    <w:qFormat/>
    <w:locked/>
    <w:uiPriority w:val="99"/>
    <w:rPr>
      <w:rFonts w:ascii="Arial" w:hAnsi="Arial" w:eastAsia="宋体" w:cs="Arial"/>
      <w:b/>
      <w:bCs/>
      <w:kern w:val="2"/>
      <w:sz w:val="28"/>
      <w:szCs w:val="28"/>
      <w:lang w:val="en-US" w:eastAsia="zh-CN"/>
    </w:rPr>
  </w:style>
  <w:style w:type="character" w:customStyle="1" w:styleId="277">
    <w:name w:val="标题 2 Char"/>
    <w:qFormat/>
    <w:locked/>
    <w:uiPriority w:val="99"/>
    <w:rPr>
      <w:rFonts w:ascii="Arial" w:hAnsi="Arial" w:eastAsia="黑体" w:cs="Arial"/>
      <w:b/>
      <w:bCs/>
      <w:kern w:val="2"/>
      <w:sz w:val="32"/>
      <w:szCs w:val="32"/>
      <w:lang w:val="zh-CN" w:eastAsia="zh-CN"/>
    </w:rPr>
  </w:style>
  <w:style w:type="character" w:customStyle="1" w:styleId="278">
    <w:name w:val="标题 6 Char"/>
    <w:semiHidden/>
    <w:qFormat/>
    <w:uiPriority w:val="9"/>
    <w:rPr>
      <w:rFonts w:ascii="Cambria" w:hAnsi="Cambria" w:eastAsia="宋体" w:cs="Times New Roman"/>
      <w:b/>
      <w:bCs/>
      <w:sz w:val="24"/>
      <w:szCs w:val="24"/>
    </w:rPr>
  </w:style>
  <w:style w:type="paragraph" w:customStyle="1" w:styleId="279">
    <w:name w:val="正文文本_1"/>
    <w:basedOn w:val="162"/>
    <w:qFormat/>
    <w:uiPriority w:val="99"/>
    <w:pPr>
      <w:adjustRightInd w:val="0"/>
      <w:spacing w:after="60" w:line="360" w:lineRule="atLeast"/>
      <w:ind w:left="72" w:leftChars="30" w:right="30" w:rightChars="30"/>
      <w:jc w:val="center"/>
      <w:textAlignment w:val="baseline"/>
    </w:pPr>
    <w:rPr>
      <w:rFonts w:ascii="Times New Roman" w:hAnsi="Times New Roman"/>
      <w:kern w:val="0"/>
      <w:sz w:val="22"/>
      <w:szCs w:val="20"/>
    </w:rPr>
  </w:style>
  <w:style w:type="paragraph" w:customStyle="1" w:styleId="280">
    <w:name w:val="_Style 212"/>
    <w:semiHidden/>
    <w:qFormat/>
    <w:uiPriority w:val="99"/>
    <w:rPr>
      <w:rFonts w:ascii="Times New Roman" w:hAnsi="Times New Roman" w:eastAsia="宋体" w:cs="Times New Roman"/>
      <w:kern w:val="2"/>
      <w:sz w:val="21"/>
      <w:szCs w:val="21"/>
      <w:lang w:val="en-US" w:eastAsia="zh-CN" w:bidi="ar-SA"/>
    </w:rPr>
  </w:style>
  <w:style w:type="paragraph" w:customStyle="1" w:styleId="281">
    <w:name w:val="正文呀2_0"/>
    <w:basedOn w:val="282"/>
    <w:qFormat/>
    <w:uiPriority w:val="0"/>
    <w:rPr>
      <w:rFonts w:ascii="Times New Roman" w:hAnsi="Times New Roman"/>
    </w:rPr>
  </w:style>
  <w:style w:type="paragraph" w:customStyle="1" w:styleId="282">
    <w:name w:val="正文呀_0"/>
    <w:basedOn w:val="166"/>
    <w:qFormat/>
    <w:uiPriority w:val="0"/>
    <w:pPr>
      <w:spacing w:line="420" w:lineRule="exact"/>
      <w:ind w:firstLine="420" w:firstLineChars="200"/>
    </w:pPr>
    <w:rPr>
      <w:rFonts w:ascii="宋体" w:hAnsi="宋体"/>
    </w:rPr>
  </w:style>
  <w:style w:type="paragraph" w:customStyle="1" w:styleId="283">
    <w:name w:val="_Style 5_1"/>
    <w:qFormat/>
    <w:uiPriority w:val="1"/>
    <w:rPr>
      <w:rFonts w:ascii="Times New Roman" w:hAnsi="Times New Roman" w:eastAsia="宋体" w:cs="Times New Roman"/>
      <w:sz w:val="22"/>
      <w:szCs w:val="22"/>
      <w:lang w:val="en-US" w:eastAsia="zh-CN" w:bidi="ar-SA"/>
    </w:rPr>
  </w:style>
  <w:style w:type="paragraph" w:customStyle="1" w:styleId="284">
    <w:name w:val="正文呀_0_0"/>
    <w:basedOn w:val="285"/>
    <w:qFormat/>
    <w:uiPriority w:val="0"/>
    <w:pPr>
      <w:spacing w:line="420" w:lineRule="exact"/>
      <w:ind w:firstLine="420" w:firstLineChars="200"/>
    </w:pPr>
    <w:rPr>
      <w:rFonts w:hAnsi="宋体"/>
      <w:szCs w:val="21"/>
    </w:rPr>
  </w:style>
  <w:style w:type="paragraph" w:customStyle="1" w:styleId="285">
    <w:name w:val="正文11"/>
    <w:basedOn w:val="286"/>
    <w:qFormat/>
    <w:uiPriority w:val="0"/>
    <w:pPr>
      <w:adjustRightInd w:val="0"/>
      <w:spacing w:line="410" w:lineRule="atLeast"/>
      <w:jc w:val="left"/>
      <w:textAlignment w:val="baseline"/>
    </w:pPr>
    <w:rPr>
      <w:rFonts w:ascii="宋体" w:hAnsi="Times New Roman"/>
      <w:kern w:val="0"/>
      <w:sz w:val="24"/>
      <w:szCs w:val="20"/>
    </w:rPr>
  </w:style>
  <w:style w:type="paragraph" w:customStyle="1" w:styleId="286">
    <w:name w:val="正文_0_0"/>
    <w:qFormat/>
    <w:uiPriority w:val="0"/>
    <w:pPr>
      <w:widowControl w:val="0"/>
      <w:jc w:val="both"/>
    </w:pPr>
    <w:rPr>
      <w:rFonts w:ascii="等线" w:hAnsi="等线" w:eastAsia="等线" w:cs="Times New Roman"/>
      <w:kern w:val="2"/>
      <w:sz w:val="21"/>
      <w:szCs w:val="24"/>
      <w:lang w:val="en-US" w:eastAsia="zh-CN" w:bidi="ar-SA"/>
    </w:rPr>
  </w:style>
  <w:style w:type="paragraph" w:customStyle="1" w:styleId="287">
    <w:name w:val="xl30"/>
    <w:basedOn w:val="1"/>
    <w:qFormat/>
    <w:uiPriority w:val="0"/>
    <w:pPr>
      <w:widowControl/>
      <w:spacing w:before="100" w:after="100"/>
      <w:jc w:val="center"/>
      <w:textAlignment w:val="center"/>
    </w:pPr>
    <w:rPr>
      <w:rFonts w:hint="eastAsia" w:ascii="仿宋_GB2312" w:hAnsi="宋体" w:eastAsia="仿宋_GB2312"/>
      <w:kern w:val="0"/>
      <w:sz w:val="24"/>
      <w:szCs w:val="20"/>
    </w:rPr>
  </w:style>
  <w:style w:type="paragraph" w:customStyle="1" w:styleId="288">
    <w:name w:val="正文呀2_0_0"/>
    <w:basedOn w:val="284"/>
    <w:qFormat/>
    <w:uiPriority w:val="0"/>
    <w:rPr>
      <w:rFonts w:ascii="Times New Roman" w:hAnsi="Times New Roman" w:eastAsia="宋体"/>
    </w:rPr>
  </w:style>
  <w:style w:type="paragraph" w:customStyle="1" w:styleId="289">
    <w:name w:val="正文_1_0_0"/>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90">
    <w:name w:val="正文呀2 Char Char"/>
    <w:link w:val="188"/>
    <w:qFormat/>
    <w:uiPriority w:val="0"/>
    <w:rPr>
      <w:kern w:val="2"/>
      <w:sz w:val="21"/>
      <w:szCs w:val="21"/>
    </w:rPr>
  </w:style>
  <w:style w:type="paragraph" w:customStyle="1" w:styleId="291">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292">
    <w:name w:val="正文文本 Char_0"/>
    <w:link w:val="173"/>
    <w:qFormat/>
    <w:uiPriority w:val="0"/>
    <w:rPr>
      <w:rFonts w:ascii="Calibri" w:hAnsi="Calibri" w:cs="宋体"/>
      <w:kern w:val="2"/>
      <w:sz w:val="21"/>
      <w:szCs w:val="22"/>
    </w:rPr>
  </w:style>
  <w:style w:type="paragraph" w:customStyle="1" w:styleId="293">
    <w:name w:val="修订2"/>
    <w:hidden/>
    <w:unhideWhenUsed/>
    <w:qFormat/>
    <w:uiPriority w:val="99"/>
    <w:rPr>
      <w:rFonts w:ascii="Times New Roman" w:hAnsi="Times New Roman" w:eastAsia="宋体" w:cs="Times New Roman"/>
      <w:kern w:val="2"/>
      <w:sz w:val="21"/>
      <w:szCs w:val="21"/>
      <w:lang w:val="en-US" w:eastAsia="zh-CN" w:bidi="ar-SA"/>
    </w:rPr>
  </w:style>
  <w:style w:type="table" w:customStyle="1" w:styleId="29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4782b0f3-0b6e-4cc5-a8f4-a3f68c6b61c6</errorID>
      <errorWord>采 购 项 目 </errorWord>
      <group>L1_AI</group>
      <groupName>深度校对</groupName>
      <ability>L2_AI_Grammar</ability>
      <abilityName>语法纠错</abilityName>
      <candidateList>
        <item>采购项目</item>
      </candidateList>
      <explain/>
      <paraID>48A15349</paraID>
      <start>51</start>
      <end>59</end>
      <status>unmodified</status>
      <modifiedWord/>
      <trackRevisions>false</trackRevisions>
    </reviewItem>
    <reviewItem>
      <errorID>7fca2495-080c-4510-bcf3-55dcc04efaa9</errorID>
      <errorWord> 潜 在 供 应 商 </errorWord>
      <group>L1_AI</group>
      <groupName>深度校对</groupName>
      <ability>L2_AI_Grammar</ability>
      <abilityName>语法纠错</abilityName>
      <candidateList>
        <item>潜在供应商</item>
      </candidateList>
      <explain/>
      <paraID>48A15349</paraID>
      <start>60</start>
      <end>71</end>
      <status>unmodified</status>
      <modifiedWord/>
      <trackRevisions>false</trackRevisions>
    </reviewItem>
    <reviewItem>
      <errorID>f1fa0ea9-cd89-4ce8-9a3f-3ef97b9dbcf6</errorID>
      <errorWord> </errorWord>
      <group>L1_AI</group>
      <groupName>深度校对</groupName>
      <ability>L2_AI_Punc</ability>
      <abilityName>标点纠错</abilityName>
      <candidateList>
        <item/>
      </candidateList>
      <explain>此处空格冗余，建议删除。</explain>
      <paraID>48A15349</paraID>
      <start>72</start>
      <end>73</end>
      <status>unmodified</status>
      <modifiedWord/>
      <trackRevisions>false</trackRevisions>
    </reviewItem>
    <reviewItem>
      <errorID>0dd41908-bd72-4f60-a17e-a397130b4870</errorID>
      <errorWord>(下载) 获取</errorWord>
      <group>L1_AI</group>
      <groupName>深度校对</groupName>
      <ability>L2_AI_Punc</ability>
      <abilityName>标点纠错</abilityName>
      <candidateList>
        <item>（下载）</item>
      </candidateList>
      <explain/>
      <paraID>48A15349</paraID>
      <start>120</start>
      <end>127</end>
      <status>unmodified</status>
      <modifiedWord/>
      <trackRevisions>false</trackRevisions>
    </reviewItem>
    <reviewItem>
      <errorID>6e6ed5d1-231c-43bd-9e12-b2a19a16b529</errorID>
      <errorWord> </errorWord>
      <group>L1_AI</group>
      <groupName>深度校对</groupName>
      <ability>L2_AI_Punc</ability>
      <abilityName>标点纠错</abilityName>
      <candidateList>
        <item/>
      </candidateList>
      <explain>此处空格冗余，建议删除。</explain>
      <paraID>48A15349</paraID>
      <start>142</start>
      <end>143</end>
      <status>unmodified</status>
      <modifiedWord/>
      <trackRevisions>false</trackRevisions>
    </reviewItem>
    <reviewItem>
      <errorID>4e1eca7b-c274-4970-8f3b-ed1443eec572</errorID>
      <errorWord>(北京时间)</errorWord>
      <group>L1_AI</group>
      <groupName>深度校对</groupName>
      <ability>L2_AI_Punc</ability>
      <abilityName>标点纠错</abilityName>
      <candidateList>
        <item>（北京时间）</item>
      </candidateList>
      <explain/>
      <paraID>48A15349</paraID>
      <start>155</start>
      <end>161</end>
      <status>unmodified</status>
      <modifiedWord/>
      <trackRevisions>false</trackRevisions>
    </reviewItem>
    <reviewItem>
      <errorID>e356edc5-5fd6-4adc-8ea1-56145d541276</errorID>
      <errorWord>)</errorWord>
      <group>L1_Format</group>
      <groupName>格式问题</groupName>
      <ability>L2_HalfPunc</ability>
      <abilityName>全半角检查</abilityName>
      <candidateList>
        <item>）</item>
      </candidateList>
      <explain>文本全半角错误。</explain>
      <paraID>48A15349</paraID>
      <start>160</start>
      <end>161</end>
      <status>unmodified</status>
      <modifiedWord/>
      <trackRevisions>false</trackRevisions>
    </reviewItem>
    <reviewItem>
      <errorID>a5eceab1-cd73-443c-bb73-87e3975157b9</errorID>
      <errorWord>[2025]</errorWord>
      <group>L1_Punc</group>
      <groupName>标点问题</groupName>
      <ability>L2_Punc</ability>
      <abilityName>标点符号检查</abilityName>
      <candidateList>
        <item>〔2025〕</item>
      </candidateList>
      <explain/>
      <paraID>2B877916</paraID>
      <start>13</start>
      <end>19</end>
      <status>unmodified</status>
      <modifiedWord/>
      <trackRevisions>false</trackRevisions>
    </reviewItem>
    <reviewItem>
      <errorID>96dd0a6d-baca-4111-a9ed-b3a836ef994a</errorID>
      <errorWord>:</errorWord>
      <group>L1_Format</group>
      <groupName>格式问题</groupName>
      <ability>L2_HalfPunc</ability>
      <abilityName>全半角检查</abilityName>
      <candidateList>
        <item>：</item>
      </candidateList>
      <explain>文本全半角错误。</explain>
      <paraID>3C039B0E</paraID>
      <start>4</start>
      <end>5</end>
      <status>unmodified</status>
      <modifiedWord/>
      <trackRevisions>false</trackRevisions>
    </reviewItem>
    <reviewItem>
      <errorID>c43f4ec8-5c48-4aa5-9913-8216bbc73185</errorID>
      <errorWord>:</errorWord>
      <group>L1_Format</group>
      <groupName>格式问题</groupName>
      <ability>L2_HalfPunc</ability>
      <abilityName>全半角检查</abilityName>
      <candidateList>
        <item>：</item>
      </candidateList>
      <explain>文本全半角错误。</explain>
      <paraID>68570C0B</paraID>
      <start>2</start>
      <end>3</end>
      <status>unmodified</status>
      <modifiedWord/>
      <trackRevisions>false</trackRevisions>
    </reviewItem>
    <reviewItem>
      <errorID>92462aff-6b65-41cc-9d30-024a75adcf0c</errorID>
      <errorWord>:</errorWord>
      <group>L1_Format</group>
      <groupName>格式问题</groupName>
      <ability>L2_HalfPunc</ability>
      <abilityName>全半角检查</abilityName>
      <candidateList>
        <item>：</item>
      </candidateList>
      <explain>文本全半角错误。</explain>
      <paraID> 3801E1E</paraID>
      <start>7</start>
      <end>8</end>
      <status>unmodified</status>
      <modifiedWord/>
      <trackRevisions>false</trackRevisions>
    </reviewItem>
    <reviewItem>
      <errorID>69dd7c20-f457-4adf-9102-f7805329b4fb</errorID>
      <errorWord>平</errorWord>
      <group>L1_Word</group>
      <groupName>字词问题</groupName>
      <ability>L2_Typo</ability>
      <abilityName>字词错误</abilityName>
      <candidateList>
        <item>平方</item>
      </candidateList>
      <explain/>
      <paraID>6550B825</paraID>
      <start>30</start>
      <end>33</end>
      <status>modified</status>
      <modifiedWord>平方</modifiedWord>
      <trackRevisions>true</trackRevisions>
    </reviewItem>
    <reviewItem>
      <errorID>67ed4c7e-37b8-4697-9851-f838379f6c6d</errorID>
      <errorWord>最</errorWord>
      <group>L1_Word</group>
      <groupName>字词问题</groupName>
      <ability>L2_Typo</ability>
      <abilityName>字词错误</abilityName>
      <candidateList>
        <item>最后</item>
      </candidateList>
      <explain>〈名〉在时间上或次序上在所有别的之后：～胜利一定属于我们｜这是全书的～一章。</explain>
      <paraID>124A4C1B</paraID>
      <start>111</start>
      <end>114</end>
      <status>modified</status>
      <modifiedWord>最后</modifiedWord>
      <trackRevisions>true</trackRevisions>
    </reviewItem>
    <reviewItem>
      <errorID>7b8d520e-dcea-4bc1-9d2c-d63c0b8fb737</errorID>
      <errorWord>区域度</errorWord>
      <group>L1_AI</group>
      <groupName>深度校对</groupName>
      <ability>L2_AI_Grammar</ability>
      <abilityName>语法纠错</abilityName>
      <candidateList>
        <item>区域</item>
      </candidateList>
      <explain/>
      <paraID>124A4C1B</paraID>
      <start>160</start>
      <end>163</end>
      <status>unmodified</status>
      <modifiedWord/>
      <trackRevisions>false</trackRevisions>
    </reviewItem>
    <reviewItem>
      <errorID>f0a9fbbf-e432-43cd-a882-d6ad5910b2f4</errorID>
      <errorWord>20 mm</errorWord>
      <group>L1_AI</group>
      <groupName>深度校对</groupName>
      <ability>L2_AI_Grammar</ability>
      <abilityName>语法纠错</abilityName>
      <candidateList>
        <item>20mm</item>
      </candidateList>
      <explain/>
      <paraID>124A4C1B</paraID>
      <start>171</start>
      <end>176</end>
      <status>unmodified</status>
      <modifiedWord/>
      <trackRevisions>false</trackRevisions>
    </reviewItem>
    <reviewItem>
      <errorID>eaa00671-2583-40f3-a160-797cdf9a276a</errorID>
      <errorWord>订</errorWord>
      <group>L1_Word</group>
      <groupName>字词问题</groupName>
      <ability>L2_Typo</ability>
      <abilityName>字词错误</abilityName>
      <candidateList>
        <item>订之</item>
      </candidateList>
      <explain/>
      <paraID> 22B3A19</paraID>
      <start>15</start>
      <end>18</end>
      <status>modified</status>
      <modifiedWord>订之</modifiedWord>
      <trackRevisions>true</trackRevisions>
    </reviewItem>
    <reviewItem>
      <errorID>b1a4653a-386c-4b79-945c-661ee50f7279</errorID>
      <errorWord>：/</errorWord>
      <group>L1_Punc</group>
      <groupName>标点问题</groupName>
      <ability>L2_Punc</ability>
      <abilityName>标点符号检查</abilityName>
      <candidateList>
        <item>：</item>
      </candidateList>
      <explain/>
      <paraID>3F2C378F</paraID>
      <start>2</start>
      <end>4</end>
      <status>unmodified</status>
      <modifiedWord/>
      <trackRevisions>false</trackRevisions>
    </reviewItem>
    <reviewItem>
      <errorID>882c2e4c-150d-4945-9847-0c9126615434</errorID>
      <errorWord>)</errorWord>
      <group>L1_Format</group>
      <groupName>格式问题</groupName>
      <ability>L2_HalfPunc</ability>
      <abilityName>全半角检查</abilityName>
      <candidateList>
        <item>）</item>
      </candidateList>
      <explain>文本全半角错误。</explain>
      <paraID>588A044F</paraID>
      <start>49</start>
      <end>50</end>
      <status>unmodified</status>
      <modifiedWord/>
      <trackRevisions>false</trackRevisions>
    </reviewItem>
    <reviewItem>
      <errorID>1e37958e-11e3-4da4-8efa-2f9745dd95b2</errorID>
      <errorWord>(</errorWord>
      <group>L1_Format</group>
      <groupName>格式问题</groupName>
      <ability>L2_HalfPunc</ability>
      <abilityName>全半角检查</abilityName>
      <candidateList>
        <item>（</item>
      </candidateList>
      <explain>文本全半角错误。</explain>
      <paraID>7F4B2E47</paraID>
      <start>13</start>
      <end>14</end>
      <status>unmodified</status>
      <modifiedWord/>
      <trackRevisions>false</trackRevisions>
    </reviewItem>
    <reviewItem>
      <errorID>82362465-dfe4-4c69-be89-059a9183f593</errorID>
      <errorWord>)</errorWord>
      <group>L1_Format</group>
      <groupName>格式问题</groupName>
      <ability>L2_HalfPunc</ability>
      <abilityName>全半角检查</abilityName>
      <candidateList>
        <item>）</item>
      </candidateList>
      <explain>文本全半角错误。</explain>
      <paraID>7F4B2E47</paraID>
      <start>36</start>
      <end>37</end>
      <status>unmodified</status>
      <modifiedWord/>
      <trackRevisions>false</trackRevisions>
    </reviewItem>
    <reviewItem>
      <errorID>ad0b876d-3a11-4525-ad01-68eb8f9c252e</errorID>
      <errorWord>(</errorWord>
      <group>L1_Format</group>
      <groupName>格式问题</groupName>
      <ability>L2_HalfPunc</ability>
      <abilityName>全半角检查</abilityName>
      <candidateList>
        <item>（</item>
      </candidateList>
      <explain>文本全半角错误。</explain>
      <paraID>7F4B2E47</paraID>
      <start>46</start>
      <end>47</end>
      <status>unmodified</status>
      <modifiedWord/>
      <trackRevisions>false</trackRevisions>
    </reviewItem>
    <reviewItem>
      <errorID>7db19818-863f-4946-aca7-024811a6d5a9</errorID>
      <errorWord>)</errorWord>
      <group>L1_Format</group>
      <groupName>格式问题</groupName>
      <ability>L2_HalfPunc</ability>
      <abilityName>全半角检查</abilityName>
      <candidateList>
        <item>）</item>
      </candidateList>
      <explain>文本全半角错误。</explain>
      <paraID>7F4B2E47</paraID>
      <start>62</start>
      <end>63</end>
      <status>unmodified</status>
      <modifiedWord/>
      <trackRevisions>false</trackRevisions>
    </reviewItem>
    <reviewItem>
      <errorID>e2eac3ab-0e42-48fe-9379-8ea8f0d852a6</errorID>
      <errorWord>上午00:00</errorWord>
      <group>L1_Knowledge</group>
      <groupName>知识性问题</groupName>
      <ability>L2_Time</ability>
      <abilityName>日期时间</abilityName>
      <candidateList/>
      <explain>时间与前缀不匹配，可能的时间前缀有“下午、晚上、凌晨、午夜”。</explain>
      <paraID>6B97A423</paraID>
      <start>55</start>
      <end>62</end>
      <status>unmodified</status>
      <modifiedWord/>
      <trackRevisions>false</trackRevisions>
    </reviewItem>
    <reviewItem>
      <errorID>1a77db74-0a44-4c8a-b272-20264ca187c1</errorID>
      <errorWord>-</errorWord>
      <group>L1_Format</group>
      <groupName>格式问题</groupName>
      <ability>L2_HalfPunc</ability>
      <abilityName>全半角检查</abilityName>
      <candidateList>
        <item>－</item>
      </candidateList>
      <explain>文本全半角错误。</explain>
      <paraID>33ACFCD1</paraID>
      <start>85</start>
      <end>86</end>
      <status>unmodified</status>
      <modifiedWord/>
      <trackRevisions>false</trackRevisions>
    </reviewItem>
    <reviewItem>
      <errorID>708fa8f7-b254-43a7-a35b-45d3241651c6</errorID>
      <errorWord>-</errorWord>
      <group>L1_Format</group>
      <groupName>格式问题</groupName>
      <ability>L2_HalfPunc</ability>
      <abilityName>全半角检查</abilityName>
      <candidateList>
        <item>－</item>
      </candidateList>
      <explain>文本全半角错误。</explain>
      <paraID>33ACFCD1</paraID>
      <start>138</start>
      <end>139</end>
      <status>unmodified</status>
      <modifiedWord/>
      <trackRevisions>false</trackRevisions>
    </reviewItem>
    <reviewItem>
      <errorID>316eaf64-bdb1-4a8e-b45c-602de0a9b818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4751D49F</paraID>
      <start>0</start>
      <end>2</end>
      <status>unmodified</status>
      <modifiedWord/>
      <trackRevisions>false</trackRevisions>
    </reviewItem>
    <reviewItem>
      <errorID>75926063-0972-4e68-9bc2-6c6952f02662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417AC688</paraID>
      <start>0</start>
      <end>2</end>
      <status>unmodified</status>
      <modifiedWord/>
      <trackRevisions>false</trackRevisions>
    </reviewItem>
    <reviewItem>
      <errorID>22e6b129-3aa4-40a3-bc19-d932b02ebebe</errorID>
      <errorWord>操作合</errorWord>
      <group>L1_Word</group>
      <groupName>字词问题</groupName>
      <ability>L2_Typo</ability>
      <abilityName>字词错误</abilityName>
      <candidateList>
        <item>操作台</item>
      </candidateList>
      <explain/>
      <paraID> 68D3AEF</paraID>
      <start>8</start>
      <end>11</end>
      <status>unmodified</status>
      <modifiedWord/>
      <trackRevisions>false</trackRevisions>
    </reviewItem>
    <reviewItem>
      <errorID>59229974-a0d6-4905-a146-9f06c4084b58</errorID>
      <errorWord>，</errorWord>
      <group>L1_Word</group>
      <groupName>字词问题</groupName>
      <ability>L2_Typo</ability>
      <abilityName>字词错误</abilityName>
      <candidateList>
        <item>，在</item>
      </candidateList>
      <explain/>
      <paraID>4F2E7F0A</paraID>
      <start>35</start>
      <end>36</end>
      <status>unmodified</status>
      <modifiedWord/>
      <trackRevisions>false</trackRevisions>
    </reviewItem>
    <reviewItem>
      <errorID>3d760913-ffd5-4d59-84f5-4b29a7c2fd6d</errorID>
      <errorWord>可以</errorWord>
      <group>L1_AI</group>
      <groupName>深度校对</groupName>
      <ability>L2_AI_Grammar</ability>
      <abilityName>语法纠错</abilityName>
      <candidateList>
        <item>，供应商可以</item>
      </candidateList>
      <explain/>
      <paraID>4F2E7F0A</paraID>
      <start>47</start>
      <end>49</end>
      <status>unmodified</status>
      <modifiedWord/>
      <trackRevisions>false</trackRevisions>
    </reviewItem>
    <reviewItem>
      <errorID>1399c24a-0c12-4414-a9fa-19b297578baf</errorID>
      <errorWord>上传递交</errorWord>
      <group>L1_AI</group>
      <groupName>深度校对</groupName>
      <ability>L2_AI_Grammar</ability>
      <abilityName>语法纠错</abilityName>
      <candidateList>
        <item>上传</item>
      </candidateList>
      <explain/>
      <paraID>4F2E7F0A</paraID>
      <start>137</start>
      <end>141</end>
      <status>unmodified</status>
      <modifiedWord/>
      <trackRevisions>false</trackRevisions>
    </reviewItem>
    <reviewItem>
      <errorID>5bb5c803-13dd-4d76-8f3e-4c0cc44b7d16</errorID>
      <errorWord>文件的</errorWord>
      <group>L1_AI</group>
      <groupName>深度校对</groupName>
      <ability>L2_AI_Grammar</ability>
      <abilityName>语法纠错</abilityName>
      <candidateList>
        <item>文件</item>
      </candidateList>
      <explain/>
      <paraID>4F2E7F0A</paraID>
      <start>144</start>
      <end>147</end>
      <status>unmodified</status>
      <modifiedWord/>
      <trackRevisions>false</trackRevisions>
    </reviewItem>
    <reviewItem>
      <errorID>f6956f13-2b22-40bf-aff4-9d843a49865b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794EC567</paraID>
      <start>0</start>
      <end>2</end>
      <status>unmodified</status>
      <modifiedWord/>
      <trackRevisions>false</trackRevisions>
    </reviewItem>
    <reviewItem>
      <errorID>ec06269f-5b4b-4cb6-b759-67703a99239e</errorID>
      <errorWord>须要</errorWord>
      <group>L1_Word</group>
      <groupName>字词问题</groupName>
      <ability>L2_Typo</ability>
      <abilityName>字词错误</abilityName>
      <candidateList>
        <item>需要</item>
      </candidateList>
      <explain>存在发音相同字词的误用。</explain>
      <paraID>794EC567</paraID>
      <start>21</start>
      <end>23</end>
      <status>unmodified</status>
      <modifiedWord/>
      <trackRevisions>false</trackRevisions>
    </reviewItem>
    <reviewItem>
      <errorID>bc212624-088c-4196-b47e-ed3264d9fbfb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50194D18</paraID>
      <start>0</start>
      <end>2</end>
      <status>unmodified</status>
      <modifiedWord/>
      <trackRevisions>false</trackRevisions>
    </reviewItem>
    <reviewItem>
      <errorID>e28d98e9-084e-4aeb-917c-23fa7156f2bf</errorID>
      <errorWord>具备有</errorWord>
      <group>L1_Word</group>
      <groupName>字词问题</groupName>
      <ability>L2_Typo</ability>
      <abilityName>字词错误</abilityName>
      <candidateList>
        <item>具备</item>
      </candidateList>
      <explain/>
      <paraID>50194D18</paraID>
      <start>8</start>
      <end>11</end>
      <status>unmodified</status>
      <modifiedWord/>
      <trackRevisions>false</trackRevisions>
    </reviewItem>
    <reviewItem>
      <errorID>b8167bd7-4d59-4389-a21f-52d09e433804</errorID>
      <errorWord>（</errorWord>
      <group>L1_Punc</group>
      <groupName>标点问题</groupName>
      <ability>L2_Punc</ability>
      <abilityName>标点符号检查</abilityName>
      <candidateList/>
      <explain>同一形式括号套用。</explain>
      <paraID> C2210B8</paraID>
      <start>51</start>
      <end>52</end>
      <status>unmodified</status>
      <modifiedWord/>
      <trackRevisions>false</trackRevisions>
    </reviewItem>
    <reviewItem>
      <errorID>9245daae-8117-42ac-a534-34ca07d4616e</errorID>
      <errorWord>）</errorWord>
      <group>L1_Punc</group>
      <groupName>标点问题</groupName>
      <ability>L2_Punc</ability>
      <abilityName>标点符号检查</abilityName>
      <candidateList/>
      <explain>同一形式括号套用。</explain>
      <paraID> C2210B8</paraID>
      <start>55</start>
      <end>56</end>
      <status>unmodified</status>
      <modifiedWord/>
      <trackRevisions>false</trackRevisions>
    </reviewItem>
    <reviewItem>
      <errorID>57e75ba5-414d-413d-832d-a48237b52c21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615B9BCC</paraID>
      <start>0</start>
      <end>2</end>
      <status>unmodified</status>
      <modifiedWord/>
      <trackRevisions>false</trackRevisions>
    </reviewItem>
    <reviewItem>
      <errorID>ad630819-d8ee-42c0-abee-59153c8eaf48</errorID>
      <errorWord>-</errorWord>
      <group>L1_Format</group>
      <groupName>格式问题</groupName>
      <ability>L2_HalfPunc</ability>
      <abilityName>全半角检查</abilityName>
      <candidateList>
        <item>－</item>
      </candidateList>
      <explain>文本全半角错误。</explain>
      <paraID> B7F3691</paraID>
      <start>66</start>
      <end>67</end>
      <status>unmodified</status>
      <modifiedWord/>
      <trackRevisions>false</trackRevisions>
    </reviewItem>
    <reviewItem>
      <errorID>c0106a0f-cf30-405d-86f3-b0a8b60043a1</errorID>
      <errorWord>操作合</errorWord>
      <group>L1_Word</group>
      <groupName>字词问题</groupName>
      <ability>L2_Typo</ability>
      <abilityName>字词错误</abilityName>
      <candidateList>
        <item>操作台</item>
      </candidateList>
      <explain/>
      <paraID>76ED12F8</paraID>
      <start>8</start>
      <end>11</end>
      <status>unmodified</status>
      <modifiedWord/>
      <trackRevisions>false</trackRevisions>
    </reviewItem>
    <reviewItem>
      <errorID>5660b2d0-951b-46c3-8b3b-74c1a9acd20d</errorID>
      <errorWord>，</errorWord>
      <group>L1_Word</group>
      <groupName>字词问题</groupName>
      <ability>L2_Typo</ability>
      <abilityName>字词错误</abilityName>
      <candidateList>
        <item>，在</item>
      </candidateList>
      <explain/>
      <paraID>489694C9</paraID>
      <start>117</start>
      <end>118</end>
      <status>unmodified</status>
      <modifiedWord/>
      <trackRevisions>false</trackRevisions>
    </reviewItem>
    <reviewItem>
      <errorID>6e850575-5393-473a-8936-f93c2a4c2709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47409B2</paraID>
      <start>0</start>
      <end>2</end>
      <status>unmodified</status>
      <modifiedWord/>
      <trackRevisions>false</trackRevisions>
    </reviewItem>
    <reviewItem>
      <errorID>b8e21c5f-43cc-4bf9-92bb-4aaf78badf44</errorID>
      <errorWord>(</errorWord>
      <group>L1_Format</group>
      <groupName>格式问题</groupName>
      <ability>L2_HalfPunc</ability>
      <abilityName>全半角检查</abilityName>
      <candidateList>
        <item>（</item>
      </candidateList>
      <explain>文本全半角错误。</explain>
      <paraID>6139F3D3</paraID>
      <start>4</start>
      <end>5</end>
      <status>unmodified</status>
      <modifiedWord/>
      <trackRevisions>false</trackRevisions>
    </reviewItem>
    <reviewItem>
      <errorID>3032eb13-4fb8-415d-b2c4-a0a451460908</errorID>
      <errorWord>)</errorWord>
      <group>L1_Format</group>
      <groupName>格式问题</groupName>
      <ability>L2_HalfPunc</ability>
      <abilityName>全半角检查</abilityName>
      <candidateList>
        <item>）</item>
      </candidateList>
      <explain>文本全半角错误。</explain>
      <paraID>6139F3D3</paraID>
      <start>9</start>
      <end>10</end>
      <status>unmodified</status>
      <modifiedWord/>
      <trackRevisions>false</trackRevisions>
    </reviewItem>
    <reviewItem>
      <errorID>0c69e650-741b-4575-bfdf-15af6e2e1bd7</errorID>
      <errorWord>[2025]</errorWord>
      <group>L1_Punc</group>
      <groupName>标点问题</groupName>
      <ability>L2_Punc</ability>
      <abilityName>标点符号检查</abilityName>
      <candidateList>
        <item>〔2025〕</item>
      </candidateList>
      <explain/>
      <paraID>182E99AA</paraID>
      <start>13</start>
      <end>19</end>
      <status>unmodified</status>
      <modifiedWord/>
      <trackRevisions>false</trackRevisions>
    </reviewItem>
    <reviewItem>
      <errorID>242176c4-90a0-46be-8cc5-b475d2ee2179</errorID>
      <errorWord>平</errorWord>
      <group>L1_Word</group>
      <groupName>字词问题</groupName>
      <ability>L2_Typo</ability>
      <abilityName>字词错误</abilityName>
      <candidateList>
        <item>平方</item>
      </candidateList>
      <explain/>
      <paraID>56305F8B</paraID>
      <start>40</start>
      <end>43</end>
      <status>modified</status>
      <modifiedWord>平方</modifiedWord>
      <trackRevisions>true</trackRevisions>
    </reviewItem>
    <reviewItem>
      <errorID>09abd995-b56b-4d5a-b7c8-de35aa90d87f</errorID>
      <errorWord>最</errorWord>
      <group>L1_Word</group>
      <groupName>字词问题</groupName>
      <ability>L2_Typo</ability>
      <abilityName>字词错误</abilityName>
      <candidateList>
        <item>最后</item>
      </candidateList>
      <explain>〈名〉在时间上或次序上在所有别的之后：～胜利一定属于我们｜这是全书的～一章。</explain>
      <paraID> C675D3B</paraID>
      <start>111</start>
      <end>114</end>
      <status>modified</status>
      <modifiedWord>最后</modifiedWord>
      <trackRevisions>true</trackRevisions>
    </reviewItem>
    <reviewItem>
      <errorID>8041cd50-017b-4b9c-a62a-599ba21b7c06</errorID>
      <errorWord>区域度</errorWord>
      <group>L1_Word</group>
      <groupName>字词问题</groupName>
      <ability>L2_Typo</ability>
      <abilityName>字词错误</abilityName>
      <candidateList>
        <item>区域</item>
      </candidateList>
      <explain/>
      <paraID> C675D3B</paraID>
      <start>160</start>
      <end>163</end>
      <status>unmodified</status>
      <modifiedWord/>
      <trackRevisions>false</trackRevisions>
    </reviewItem>
    <reviewItem>
      <errorID>65fd3547-89d2-4f27-995d-d9c9745d0b06</errorID>
      <errorWord>订</errorWord>
      <group>L1_Word</group>
      <groupName>字词问题</groupName>
      <ability>L2_Typo</ability>
      <abilityName>字词错误</abilityName>
      <candidateList>
        <item>订之</item>
      </candidateList>
      <explain/>
      <paraID>6C669AE4</paraID>
      <start>11</start>
      <end>14</end>
      <status>modified</status>
      <modifiedWord>订之</modifiedWord>
      <trackRevisions>true</trackRevisions>
    </reviewItem>
    <reviewItem>
      <errorID>ac9a0030-25a2-4549-9ec7-267e4b859567</errorID>
      <errorWord>)</errorWord>
      <group>L1_Format</group>
      <groupName>格式问题</groupName>
      <ability>L2_HalfPunc</ability>
      <abilityName>全半角检查</abilityName>
      <candidateList>
        <item>）</item>
      </candidateList>
      <explain>文本全半角错误。</explain>
      <paraID>2B939D33</paraID>
      <start>49</start>
      <end>50</end>
      <status>unmodified</status>
      <modifiedWord/>
      <trackRevisions>false</trackRevisions>
    </reviewItem>
    <reviewItem>
      <errorID>41cdf840-2ffc-47e3-adc4-5b2f1282996a</errorID>
      <errorWord>(</errorWord>
      <group>L1_Format</group>
      <groupName>格式问题</groupName>
      <ability>L2_HalfPunc</ability>
      <abilityName>全半角检查</abilityName>
      <candidateList>
        <item>（</item>
      </candidateList>
      <explain>文本全半角错误。</explain>
      <paraID>6F85B658</paraID>
      <start>13</start>
      <end>14</end>
      <status>unmodified</status>
      <modifiedWord/>
      <trackRevisions>false</trackRevisions>
    </reviewItem>
    <reviewItem>
      <errorID>df83b124-1da8-4f7e-b547-e8785ffc06bc</errorID>
      <errorWord>)</errorWord>
      <group>L1_Format</group>
      <groupName>格式问题</groupName>
      <ability>L2_HalfPunc</ability>
      <abilityName>全半角检查</abilityName>
      <candidateList>
        <item>）</item>
      </candidateList>
      <explain>文本全半角错误。</explain>
      <paraID>6F85B658</paraID>
      <start>36</start>
      <end>37</end>
      <status>unmodified</status>
      <modifiedWord/>
      <trackRevisions>false</trackRevisions>
    </reviewItem>
    <reviewItem>
      <errorID>38ad6f13-14e8-4925-8c17-c6f0fec22198</errorID>
      <errorWord>(</errorWord>
      <group>L1_Format</group>
      <groupName>格式问题</groupName>
      <ability>L2_HalfPunc</ability>
      <abilityName>全半角检查</abilityName>
      <candidateList>
        <item>（</item>
      </candidateList>
      <explain>文本全半角错误。</explain>
      <paraID>6F85B658</paraID>
      <start>46</start>
      <end>47</end>
      <status>unmodified</status>
      <modifiedWord/>
      <trackRevisions>false</trackRevisions>
    </reviewItem>
    <reviewItem>
      <errorID>45801e46-8e33-4d54-90d6-2e50dac8fd5e</errorID>
      <errorWord>)</errorWord>
      <group>L1_Format</group>
      <groupName>格式问题</groupName>
      <ability>L2_HalfPunc</ability>
      <abilityName>全半角检查</abilityName>
      <candidateList>
        <item>）</item>
      </candidateList>
      <explain>文本全半角错误。</explain>
      <paraID>6F85B658</paraID>
      <start>62</start>
      <end>63</end>
      <status>unmodified</status>
      <modifiedWord/>
      <trackRevisions>false</trackRevisions>
    </reviewItem>
    <reviewItem>
      <errorID>9fddfc92-eabf-4a15-bd52-1946bae74b80</errorID>
      <errorWord>:</errorWord>
      <group>L1_Format</group>
      <groupName>格式问题</groupName>
      <ability>L2_HalfPunc</ability>
      <abilityName>全半角检查</abilityName>
      <candidateList>
        <item>：</item>
      </candidateList>
      <explain>文本全半角错误。</explain>
      <paraID>4F7451F3</paraID>
      <start>7</start>
      <end>8</end>
      <status>unmodified</status>
      <modifiedWord/>
      <trackRevisions>false</trackRevisions>
    </reviewItem>
    <reviewItem>
      <errorID>c3946567-ffed-4b1f-aecb-71cf6ef3e036</errorID>
      <errorWord>(</errorWord>
      <group>L1_Format</group>
      <groupName>格式问题</groupName>
      <ability>L2_HalfPunc</ability>
      <abilityName>全半角检查</abilityName>
      <candidateList>
        <item>（</item>
      </candidateList>
      <explain>文本全半角错误。</explain>
      <paraID>4A6BE4A6</paraID>
      <start>33</start>
      <end>34</end>
      <status>unmodified</status>
      <modifiedWord/>
      <trackRevisions>false</trackRevisions>
    </reviewItem>
    <reviewItem>
      <errorID>ea9d3977-ef6a-493c-96bd-2d9d5fd2d10b</errorID>
      <errorWord>)</errorWord>
      <group>L1_Format</group>
      <groupName>格式问题</groupName>
      <ability>L2_HalfPunc</ability>
      <abilityName>全半角检查</abilityName>
      <candidateList>
        <item>）</item>
      </candidateList>
      <explain>文本全半角错误。</explain>
      <paraID>4A6BE4A6</paraID>
      <start>36</start>
      <end>37</end>
      <status>unmodified</status>
      <modifiedWord/>
      <trackRevisions>false</trackRevisions>
    </reviewItem>
    <reviewItem>
      <errorID>3cd40bc0-4c54-41ea-9ab6-31509d01bdd6</errorID>
      <errorWord>(</errorWord>
      <group>L1_Format</group>
      <groupName>格式问题</groupName>
      <ability>L2_HalfPunc</ability>
      <abilityName>全半角检查</abilityName>
      <candidateList>
        <item>（</item>
      </candidateList>
      <explain>文本全半角错误。</explain>
      <paraID>289CF302</paraID>
      <start>10</start>
      <end>11</end>
      <status>unmodified</status>
      <modifiedWord/>
      <trackRevisions>false</trackRevisions>
    </reviewItem>
    <reviewItem>
      <errorID>a5ada7de-fc4e-4013-97af-b417ca570a6e</errorID>
      <errorWord>)</errorWord>
      <group>L1_Format</group>
      <groupName>格式问题</groupName>
      <ability>L2_HalfPunc</ability>
      <abilityName>全半角检查</abilityName>
      <candidateList>
        <item>）</item>
      </candidateList>
      <explain>文本全半角错误。</explain>
      <paraID>289CF302</paraID>
      <start>21</start>
      <end>22</end>
      <status>unmodified</status>
      <modifiedWord/>
      <trackRevisions>false</trackRevisions>
    </reviewItem>
    <reviewItem>
      <errorID>06f3121c-afe7-47a0-afd7-9e9d9905a5c5</errorID>
      <errorWord>)</errorWord>
      <group>L1_Format</group>
      <groupName>格式问题</groupName>
      <ability>L2_HalfPunc</ability>
      <abilityName>全半角检查</abilityName>
      <candidateList>
        <item>）</item>
      </candidateList>
      <explain>文本全半角错误。</explain>
      <paraID>79862312</paraID>
      <start>39</start>
      <end>40</end>
      <status>unmodified</status>
      <modifiedWord/>
      <trackRevisions>false</trackRevisions>
    </reviewItem>
    <reviewItem>
      <errorID>db6662ed-861c-4375-ab55-e6c041d79c39</errorID>
      <errorWord>(</errorWord>
      <group>L1_Format</group>
      <groupName>格式问题</groupName>
      <ability>L2_HalfPunc</ability>
      <abilityName>全半角检查</abilityName>
      <candidateList>
        <item>（</item>
      </candidateList>
      <explain>文本全半角错误。</explain>
      <paraID>2121CF2E</paraID>
      <start>31</start>
      <end>32</end>
      <status>unmodified</status>
      <modifiedWord/>
      <trackRevisions>false</trackRevisions>
    </reviewItem>
    <reviewItem>
      <errorID>41fb12b3-dcdc-4d09-9be1-704652553e05</errorID>
      <errorWord>)</errorWord>
      <group>L1_Format</group>
      <groupName>格式问题</groupName>
      <ability>L2_HalfPunc</ability>
      <abilityName>全半角检查</abilityName>
      <candidateList>
        <item>）</item>
      </candidateList>
      <explain>文本全半角错误。</explain>
      <paraID>2121CF2E</paraID>
      <start>42</start>
      <end>43</end>
      <status>unmodified</status>
      <modifiedWord/>
      <trackRevisions>false</trackRevisions>
    </reviewItem>
    <reviewItem>
      <errorID>1788ebf3-25bd-4d9c-a75d-9d45ffede09a</errorID>
      <errorWord>(</errorWord>
      <group>L1_Format</group>
      <groupName>格式问题</groupName>
      <ability>L2_HalfPunc</ability>
      <abilityName>全半角检查</abilityName>
      <candidateList>
        <item>（</item>
      </candidateList>
      <explain>文本全半角错误。</explain>
      <paraID>65E24DCB</paraID>
      <start>27</start>
      <end>28</end>
      <status>unmodified</status>
      <modifiedWord/>
      <trackRevisions>false</trackRevisions>
    </reviewItem>
    <reviewItem>
      <errorID>ab69f670-adec-4389-b51b-3b667974a5fc</errorID>
      <errorWord>)</errorWord>
      <group>L1_Format</group>
      <groupName>格式问题</groupName>
      <ability>L2_HalfPunc</ability>
      <abilityName>全半角检查</abilityName>
      <candidateList>
        <item>）</item>
      </candidateList>
      <explain>文本全半角错误。</explain>
      <paraID>65E24DCB</paraID>
      <start>38</start>
      <end>39</end>
      <status>unmodified</status>
      <modifiedWord/>
      <trackRevisions>false</trackRevisions>
    </reviewItem>
    <reviewItem>
      <errorID>64d297b4-4591-4c98-b8cc-39bf6ba18e29</errorID>
      <errorWord>(</errorWord>
      <group>L1_Format</group>
      <groupName>格式问题</groupName>
      <ability>L2_HalfPunc</ability>
      <abilityName>全半角检查</abilityName>
      <candidateList>
        <item>（</item>
      </candidateList>
      <explain>文本全半角错误。</explain>
      <paraID>41BE74FE</paraID>
      <start>8</start>
      <end>9</end>
      <status>unmodified</status>
      <modifiedWord/>
      <trackRevisions>false</trackRevisions>
    </reviewItem>
    <reviewItem>
      <errorID>d491c910-4650-4203-9cc0-24633f7af62e</errorID>
      <errorWord>)</errorWord>
      <group>L1_Format</group>
      <groupName>格式问题</groupName>
      <ability>L2_HalfPunc</ability>
      <abilityName>全半角检查</abilityName>
      <candidateList>
        <item>）</item>
      </candidateList>
      <explain>文本全半角错误。</explain>
      <paraID>41BE74FE</paraID>
      <start>19</start>
      <end>20</end>
      <status>unmodified</status>
      <modifiedWord/>
      <trackRevisions>false</trackRevisions>
    </reviewItem>
    <reviewItem>
      <errorID>3bc99f2b-8447-473a-a300-4cf403924027</errorID>
      <errorWord>(</errorWord>
      <group>L1_Format</group>
      <groupName>格式问题</groupName>
      <ability>L2_HalfPunc</ability>
      <abilityName>全半角检查</abilityName>
      <candidateList>
        <item>（</item>
      </candidateList>
      <explain>文本全半角错误。</explain>
      <paraID>34D6B48D</paraID>
      <start>19</start>
      <end>20</end>
      <status>unmodified</status>
      <modifiedWord/>
      <trackRevisions>false</trackRevisions>
    </reviewItem>
    <reviewItem>
      <errorID>ffa3dbde-c53e-4cbe-9f12-f384f6207b41</errorID>
      <errorWord>)</errorWord>
      <group>L1_Format</group>
      <groupName>格式问题</groupName>
      <ability>L2_HalfPunc</ability>
      <abilityName>全半角检查</abilityName>
      <candidateList>
        <item>）</item>
      </candidateList>
      <explain>文本全半角错误。</explain>
      <paraID>34D6B48D</paraID>
      <start>43</start>
      <end>44</end>
      <status>unmodified</status>
      <modifiedWord/>
      <trackRevisions>false</trackRevisions>
    </reviewItem>
    <reviewItem>
      <errorID>718a7e8a-a4a8-42d8-9388-aeaa183ca0b7</errorID>
      <errorWord>件</errorWord>
      <group>L1_Word</group>
      <groupName>字词问题</groupName>
      <ability>L2_Typo</ability>
      <abilityName>字词错误</abilityName>
      <candidateList>
        <item>件中</item>
      </candidateList>
      <explain/>
      <paraID> F6C78A1</paraID>
      <start>87</start>
      <end>88</end>
      <status>unmodified</status>
      <modifiedWord/>
      <trackRevisions>false</trackRevisions>
    </reviewItem>
    <reviewItem>
      <errorID>cda907eb-0578-49bb-ab0e-c9cd67d0e964</errorID>
      <errorWord>其它</errorWord>
      <group>L1_Word</group>
      <groupName>字词问题</groupName>
      <ability>L2_Alias</ability>
      <abilityName>也作/曾用词</abilityName>
      <candidateList>
        <item>其他</item>
      </candidateList>
      <explain>词汇[其它]为不规范表述或旧称，其规范书面表述为[其他]。</explain>
      <paraID> F6C78A1</paraID>
      <start>88</start>
      <end>90</end>
      <status>unmodified</status>
      <modifiedWord/>
      <trackRevisions>false</trackRevisions>
    </reviewItem>
    <reviewItem>
      <errorID>0875b250-df89-4813-a8d5-88fb258c5d5a</errorID>
      <errorWord>的的</errorWord>
      <group>L1_Word</group>
      <groupName>字词问题</groupName>
      <ability>L2_Typo</ability>
      <abilityName>字词错误</abilityName>
      <candidateList>
        <item>的</item>
      </candidateList>
      <explain>置于形容词、名词后，用于修饰事物的形态。</explain>
      <paraID>5B27C8A1</paraID>
      <start>16</start>
      <end>18</end>
      <status>unmodified</status>
      <modifiedWord/>
      <trackRevisions>false</trackRevisions>
    </reviewItem>
    <reviewItem>
      <errorID>2cca53a3-5ea4-49d3-965c-47587bc1399d</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 64C9FFB</paraID>
      <start>81</start>
      <end>83</end>
      <status>unmodified</status>
      <modifiedWord/>
      <trackRevisions>false</trackRevisions>
    </reviewItem>
    <reviewItem>
      <errorID>f8c27e84-dd41-4513-9c1d-c08cca16a1a6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1CA64081</paraID>
      <start>0</start>
      <end>2</end>
      <status>unmodified</status>
      <modifiedWord/>
      <trackRevisions>false</trackRevisions>
    </reviewItem>
    <reviewItem>
      <errorID>4b06bf9d-7341-480f-8b74-8d2a88790350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562B8483</paraID>
      <start>0</start>
      <end>2</end>
      <status>unmodified</status>
      <modifiedWord/>
      <trackRevisions>false</trackRevisions>
    </reviewItem>
    <reviewItem>
      <errorID>589500bc-5077-41d5-b7de-ac7da8b56072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5034DC91</paraID>
      <start>0</start>
      <end>2</end>
      <status>unmodified</status>
      <modifiedWord/>
      <trackRevisions>false</trackRevisions>
    </reviewItem>
    <reviewItem>
      <errorID>9a39de25-f0b5-46f3-ab19-d21f3f524abd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7F97859A</paraID>
      <start>0</start>
      <end>2</end>
      <status>unmodified</status>
      <modifiedWord/>
      <trackRevisions>false</trackRevisions>
    </reviewItem>
    <reviewItem>
      <errorID>3257bb19-3cb5-404d-9e15-218b2cadd2ab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3077A7DE</paraID>
      <start>0</start>
      <end>2</end>
      <status>unmodified</status>
      <modifiedWord/>
      <trackRevisions>false</trackRevisions>
    </reviewItem>
    <reviewItem>
      <errorID>b9fcdedf-1113-45ad-9049-5710168a7e46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3DADEC55</paraID>
      <start>0</start>
      <end>2</end>
      <status>unmodified</status>
      <modifiedWord/>
      <trackRevisions>false</trackRevisions>
    </reviewItem>
    <reviewItem>
      <errorID>e18d1999-9312-4da5-9cbf-9b921d93c845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7C5668A1</paraID>
      <start>0</start>
      <end>2</end>
      <status>unmodified</status>
      <modifiedWord/>
      <trackRevisions>false</trackRevisions>
    </reviewItem>
    <reviewItem>
      <errorID>e7ce9505-cc28-4ce1-8b9d-7839400e3b3a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4CCAB59B</paraID>
      <start>0</start>
      <end>2</end>
      <status>unmodified</status>
      <modifiedWord/>
      <trackRevisions>false</trackRevisions>
    </reviewItem>
    <reviewItem>
      <errorID>ce6e36a1-71fc-4fce-9297-98c24ceeab21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F7EF34B</paraID>
      <start>0</start>
      <end>2</end>
      <status>unmodified</status>
      <modifiedWord/>
      <trackRevisions>false</trackRevisions>
    </reviewItem>
    <reviewItem>
      <errorID>6895cc9c-9ae8-4808-a585-b91d07fba6c0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2107C065</paraID>
      <start>0</start>
      <end>2</end>
      <status>unmodified</status>
      <modifiedWord/>
      <trackRevisions>false</trackRevisions>
    </reviewItem>
    <reviewItem>
      <errorID>2b5bce13-ddd7-4fd2-be6a-abab060f9f5b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78BC24A3</paraID>
      <start>0</start>
      <end>2</end>
      <status>unmodified</status>
      <modifiedWord/>
      <trackRevisions>false</trackRevisions>
    </reviewItem>
    <reviewItem>
      <errorID>3f42a088-9612-46c1-b4c2-97051ef979a5</errorID>
      <errorWord>-</errorWord>
      <group>L1_Format</group>
      <groupName>格式问题</groupName>
      <ability>L2_HalfPunc</ability>
      <abilityName>全半角检查</abilityName>
      <candidateList>
        <item>－</item>
      </candidateList>
      <explain>文本全半角错误。</explain>
      <paraID>1F8807EA</paraID>
      <start>35</start>
      <end>36</end>
      <status>unmodified</status>
      <modifiedWord/>
      <trackRevisions>false</trackRevisions>
    </reviewItem>
    <reviewItem>
      <errorID>cd58472d-70ad-4604-b5ba-007334dd9cb8</errorID>
      <errorWord>件件</errorWord>
      <group>L1_Word</group>
      <groupName>字词问题</groupName>
      <ability>L2_Typo</ability>
      <abilityName>字词错误</abilityName>
      <candidateList>
        <item>件</item>
      </candidateList>
      <explain/>
      <paraID>1F8807EA</paraID>
      <start>104</start>
      <end>106</end>
      <status>unmodified</status>
      <modifiedWord/>
      <trackRevisions>false</trackRevisions>
    </reviewItem>
    <reviewItem>
      <errorID>bdbd57c0-9e0f-49ac-a2c7-51f9047d4906</errorID>
      <errorWord>，</errorWord>
      <group>L1_Word</group>
      <groupName>字词问题</groupName>
      <ability>L2_Typo</ability>
      <abilityName>字词错误</abilityName>
      <candidateList>
        <item>，在</item>
      </candidateList>
      <explain/>
      <paraID>608924DA</paraID>
      <start>22</start>
      <end>23</end>
      <status>unmodified</status>
      <modifiedWord/>
      <trackRevisions>false</trackRevisions>
    </reviewItem>
    <reviewItem>
      <errorID>54b067b7-5f22-45ad-93ff-d7bbad2f7c2b</errorID>
      <errorWord>现场勘察</errorWord>
      <group>L1_Word</group>
      <groupName>字词问题</groupName>
      <ability>L2_Typo</ability>
      <abilityName>字词错误</abilityName>
      <candidateList>
        <item>现场勘查</item>
      </candidateList>
      <explain/>
      <paraID>248AA7C7</paraID>
      <start>0</start>
      <end>4</end>
      <status>unmodified</status>
      <modifiedWord/>
      <trackRevisions>false</trackRevisions>
    </reviewItem>
    <reviewItem>
      <errorID>70a8d228-a716-4863-9bd7-2fd24770a53f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45</start>
      <end>48</end>
      <status>unmodified</status>
      <modifiedWord/>
      <trackRevisions>false</trackRevisions>
    </reviewItem>
    <reviewItem>
      <errorID>dd9e24f5-0684-4e1c-a777-76de62dc6f01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64</start>
      <end>67</end>
      <status>unmodified</status>
      <modifiedWord/>
      <trackRevisions>false</trackRevisions>
    </reviewItem>
    <reviewItem>
      <errorID>f46799ed-265d-442f-b767-d3b1425d2e8d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352E3361</paraID>
      <start>86</start>
      <end>89</end>
      <status>unmodified</status>
      <modifiedWord/>
      <trackRevisions>false</trackRevisions>
    </reviewItem>
    <reviewItem>
      <errorID>9fba95af-7d42-40c9-9f25-932104964f03</errorID>
      <errorWord>法律、法规</errorWord>
      <group>L1_Word</group>
      <groupName>字词问题</groupName>
      <ability>L2_Typo</ability>
      <abilityName>字词错误</abilityName>
      <candidateList>
        <item>法律法规</item>
      </candidateList>
      <explain/>
      <paraID>5EFB63FF</paraID>
      <start>38</start>
      <end>43</end>
      <status>unmodified</status>
      <modifiedWord/>
      <trackRevisions>false</trackRevisions>
    </reviewItem>
    <reviewItem>
      <errorID>c7d2520c-1291-403d-81c6-4a7e264f3b72</errorID>
      <errorWord>不能负</errorWord>
      <group>L1_Word</group>
      <groupName>字词问题</groupName>
      <ability>L2_Typo</ability>
      <abilityName>字词错误</abilityName>
      <candidateList>
        <item>不能</item>
      </candidateList>
      <explain/>
      <paraID> B47857B</paraID>
      <start>42</start>
      <end>45</end>
      <status>unmodified</status>
      <modifiedWord/>
      <trackRevisions>false</trackRevisions>
    </reviewItem>
    <reviewItem>
      <errorID>e83c220b-d8b7-434d-adff-c8bfbd5e7411</errorID>
      <errorWord>[2020]46号</errorWord>
      <group>L1_Knowledge</group>
      <groupName>知识性问题</groupName>
      <ability>L2_Knowledge</ability>
      <abilityName>其他知识</abilityName>
      <candidateList>
        <item>〔2020〕46号</item>
      </candidateList>
      <explain>发文字号格式错误</explain>
      <paraID>2F269D36</paraID>
      <start>26</start>
      <end>35</end>
      <status>unmodified</status>
      <modifiedWord/>
      <trackRevisions>false</trackRevisions>
    </reviewItem>
    <reviewItem>
      <errorID>ce21e461-9c62-45ed-b08e-e1911fa9ae10</errorID>
      <errorWord>-</errorWord>
      <group>L1_Knowledge</group>
      <groupName>知识性问题</groupName>
      <ability>L2_Knowledge</ability>
      <abilityName>其他知识</abilityName>
      <candidateList>
        <item>～</item>
      </candidateList>
      <explain>连接号使用不恰当</explain>
      <paraID>2F269D36</paraID>
      <start>121</start>
      <end>122</end>
      <status>unmodified</status>
      <modifiedWord/>
      <trackRevisions>false</trackRevisions>
    </reviewItem>
    <reviewItem>
      <errorID>f5fdf98b-3333-4954-ad60-288c9111f22a</errorID>
      <errorWord>—</errorWord>
      <group>L1_Knowledge</group>
      <groupName>知识性问题</groupName>
      <ability>L2_Knowledge</ability>
      <abilityName>其他知识</abilityName>
      <candidateList>
        <item>～</item>
      </candidateList>
      <explain>连接号使用不恰当</explain>
      <paraID>2F269D36</paraID>
      <start>133</start>
      <end>134</end>
      <status>unmodified</status>
      <modifiedWord/>
      <trackRevisions>false</trackRevisions>
    </reviewItem>
    <reviewItem>
      <errorID>ebdf2b82-fe33-4489-ac46-cbfdfe3c7a58</errorID>
      <errorWord>[2020]46号</errorWord>
      <group>L1_Knowledge</group>
      <groupName>知识性问题</groupName>
      <ability>L2_Knowledge</ability>
      <abilityName>其他知识</abilityName>
      <candidateList>
        <item>〔2020〕46号</item>
      </candidateList>
      <explain>发文字号格式错误</explain>
      <paraID>7BDFD568</paraID>
      <start>26</start>
      <end>35</end>
      <status>unmodified</status>
      <modifiedWord/>
      <trackRevisions>false</trackRevisions>
    </reviewItem>
    <reviewItem>
      <errorID>f5355a43-b742-4beb-9fe1-2c571017f038</errorID>
      <errorWord>-</errorWord>
      <group>L1_Knowledge</group>
      <groupName>知识性问题</groupName>
      <ability>L2_Knowledge</ability>
      <abilityName>其他知识</abilityName>
      <candidateList>
        <item>～</item>
      </candidateList>
      <explain>连接号使用不恰当</explain>
      <paraID>7BDFD568</paraID>
      <start>128</start>
      <end>129</end>
      <status>unmodified</status>
      <modifiedWord/>
      <trackRevisions>false</trackRevisions>
    </reviewItem>
    <reviewItem>
      <errorID>a1b1bcb1-a424-441e-af89-e489c5a233b9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703202D9</paraID>
      <start>0</start>
      <end>2</end>
      <status>unmodified</status>
      <modifiedWord/>
      <trackRevisions>false</trackRevisions>
    </reviewItem>
    <reviewItem>
      <errorID>cf8b1315-641c-4545-b3bc-8973cf668991</errorID>
      <errorWord>供应商尽</errorWord>
      <group>L1_Word</group>
      <groupName>字词问题</groupName>
      <ability>L2_Typo</ability>
      <abilityName>字词错误</abilityName>
      <candidateList>
        <item>供应商</item>
      </candidateList>
      <explain/>
      <paraID>3A87754C</paraID>
      <start>48</start>
      <end>52</end>
      <status>unmodified</status>
      <modifiedWord/>
      <trackRevisions>false</trackRevisions>
    </reviewItem>
    <reviewItem>
      <errorID>f580930d-df80-47e8-b4a4-41f4e2938d11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1AFAF292</paraID>
      <start>0</start>
      <end>3</end>
      <status>unmodified</status>
      <modifiedWord/>
      <trackRevisions>false</trackRevisions>
    </reviewItem>
    <reviewItem>
      <errorID>af4c5430-dbb5-4723-b2d1-1d48e8e71dd9</errorID>
      <errorWord>-</errorWord>
      <group>L1_Format</group>
      <groupName>格式问题</groupName>
      <ability>L2_HalfPunc</ability>
      <abilityName>全半角检查</abilityName>
      <candidateList>
        <item>－</item>
      </candidateList>
      <explain>文本全半角错误。</explain>
      <paraID>1A1A7FA1</paraID>
      <start>70</start>
      <end>71</end>
      <status>unmodified</status>
      <modifiedWord/>
      <trackRevisions>false</trackRevisions>
    </reviewItem>
    <reviewItem>
      <errorID>6db0cc20-4ffb-40bc-959d-97eda705ee9e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3484C969</paraID>
      <start>0</start>
      <end>3</end>
      <status>unmodified</status>
      <modifiedWord/>
      <trackRevisions>false</trackRevisions>
    </reviewItem>
    <reviewItem>
      <errorID>a95fd18e-4ccc-451a-b9c2-9f888da82d66</errorID>
      <errorWord>、</errorWord>
      <group>L1_Word</group>
      <groupName>字词问题</groupName>
      <ability>L2_Typo</ability>
      <abilityName>字词错误</abilityName>
      <candidateList>
        <item>、具</item>
      </candidateList>
      <explain/>
      <paraID>77F37716</paraID>
      <start>27</start>
      <end>28</end>
      <status>unmodified</status>
      <modifiedWord/>
      <trackRevisions>false</trackRevisions>
    </reviewItem>
    <reviewItem>
      <errorID>56c0f5ac-eab8-410d-b1d9-8735df784023</errorID>
      <errorWord>付</errorWord>
      <group>L1_Word</group>
      <groupName>字词问题</groupName>
      <ability>L2_Typo</ability>
      <abilityName>字词错误</abilityName>
      <candidateList>
        <item>付金</item>
      </candidateList>
      <explain/>
      <paraID>22BC96FE</paraID>
      <start>163</start>
      <end>164</end>
      <status>unmodified</status>
      <modifiedWord/>
      <trackRevisions>false</trackRevisions>
    </reviewItem>
    <reviewItem>
      <errorID>df2f498d-595a-496f-9ea7-4a1442155bfd</errorID>
      <errorWord>己</errorWord>
      <group>L1_Word</group>
      <groupName>字词问题</groupName>
      <ability>L2_Typo</ability>
      <abilityName>字词错误</abilityName>
      <candidateList>
        <item>已</item>
      </candidateList>
      <explain>存在字形相近字词的误用。</explain>
      <paraID>6B06134F</paraID>
      <start>34</start>
      <end>36</end>
      <status>modified</status>
      <modifiedWord>已</modifiedWord>
      <trackRevisions>true</trackRevisions>
    </reviewItem>
    <reviewItem>
      <errorID>c1c68937-573e-49bc-a112-ff0c414d9149</errorID>
      <errorWord>总额</errorWord>
      <group>L1_Word</group>
      <groupName>字词问题</groupName>
      <ability>L2_Typo</ability>
      <abilityName>字词错误</abilityName>
      <candidateList>
        <item>总</item>
      </candidateList>
      <explain/>
      <paraID> 2AA2523</paraID>
      <start>57</start>
      <end>59</end>
      <status>unmodified</status>
      <modifiedWord/>
      <trackRevisions>false</trackRevisions>
    </reviewItem>
    <reviewItem>
      <errorID>c48d64a8-9838-4c8c-a895-d48e17016a8e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4BA652FF</paraID>
      <start>46</start>
      <end>49</end>
      <status>unmodified</status>
      <modifiedWord/>
      <trackRevisions>false</trackRevisions>
    </reviewItem>
    <reviewItem>
      <errorID>a26d4d72-acba-4eba-a04c-ccd695926953</errorID>
      <errorWord>房</errorWord>
      <group>L1_Word</group>
      <groupName>字词问题</groupName>
      <ability>L2_Typo</ability>
      <abilityName>字词错误</abilityName>
      <candidateList>
        <item>房和</item>
      </candidateList>
      <explain/>
      <paraID>6C47285F</paraID>
      <start>7</start>
      <end>10</end>
      <status>modified</status>
      <modifiedWord>房和</modifiedWord>
      <trackRevisions>true</trackRevisions>
    </reviewItem>
    <reviewItem>
      <errorID>821286a7-8012-4817-87f3-58e09b5c444b</errorID>
      <errorWord>:</errorWord>
      <group>L1_Format</group>
      <groupName>格式问题</groupName>
      <ability>L2_HalfPunc</ability>
      <abilityName>全半角检查</abilityName>
      <candidateList>
        <item>：</item>
      </candidateList>
      <explain>文本全半角错误。</explain>
      <paraID>4EF0E6B7</paraID>
      <start>4</start>
      <end>5</end>
      <status>unmodified</status>
      <modifiedWord/>
      <trackRevisions>false</trackRevisions>
    </reviewItem>
    <reviewItem>
      <errorID>cf8f54e7-b7aa-477b-8e46-a3bea696e6c0</errorID>
      <errorWord>标价</errorWord>
      <group>L1_Word</group>
      <groupName>字词问题</groupName>
      <ability>L2_Typo</ability>
      <abilityName>字词错误</abilityName>
      <candidateList>
        <item>报价</item>
      </candidateList>
      <explain/>
      <paraID>36359D3E</paraID>
      <start>39</start>
      <end>41</end>
      <status>unmodified</status>
      <modifiedWord/>
      <trackRevisions>false</trackRevisions>
    </reviewItem>
    <reviewItem>
      <errorID>7aeca71e-1d3b-46a0-95bd-027cd0a659c6</errorID>
      <errorWord>做</errorWord>
      <group>L1_Word</group>
      <groupName>字词问题</groupName>
      <ability>L2_Typo</ability>
      <abilityName>字词错误</abilityName>
      <candidateList>
        <item>作</item>
      </candidateList>
      <explain>存在发音相同字词的误用。</explain>
      <paraID>36359D3E</paraID>
      <start>191</start>
      <end>192</end>
      <status>unmodified</status>
      <modifiedWord/>
      <trackRevisions>false</trackRevisions>
    </reviewItem>
    <reviewItem>
      <errorID>439db04a-ecf4-4153-920e-fd673dc317cb</errorID>
      <errorWord>件</errorWord>
      <group>L1_Word</group>
      <groupName>字词问题</groupName>
      <ability>L2_Typo</ability>
      <abilityName>字词错误</abilityName>
      <candidateList>
        <item>件中</item>
      </candidateList>
      <explain/>
      <paraID> CC474B2</paraID>
      <start>97</start>
      <end>98</end>
      <status>unmodified</status>
      <modifiedWord/>
      <trackRevisions>false</trackRevisions>
    </reviewItem>
    <reviewItem>
      <errorID>a53ac7cd-dd91-4c3d-8c34-89b38fb8245f</errorID>
      <errorWord>其它</errorWord>
      <group>L1_Word</group>
      <groupName>字词问题</groupName>
      <ability>L2_Alias</ability>
      <abilityName>也作/曾用词</abilityName>
      <candidateList>
        <item>其他</item>
      </candidateList>
      <explain>词汇[其它]为不规范表述或旧称，其规范书面表述为[其他]。</explain>
      <paraID> CC474B2</paraID>
      <start>98</start>
      <end>100</end>
      <status>unmodified</status>
      <modifiedWord/>
      <trackRevisions>false</trackRevisions>
    </reviewItem>
    <reviewItem>
      <errorID>9ad243c6-68f6-4b46-a7d8-bc5d2f38ff6f</errorID>
      <errorWord>的的</errorWord>
      <group>L1_Word</group>
      <groupName>字词问题</groupName>
      <ability>L2_Typo</ability>
      <abilityName>字词错误</abilityName>
      <candidateList>
        <item>的</item>
      </candidateList>
      <explain>置于形容词、名词后，用于修饰事物的形态。</explain>
      <paraID>248B93F4</paraID>
      <start>16</start>
      <end>18</end>
      <status>unmodified</status>
      <modifiedWord/>
      <trackRevisions>false</trackRevisions>
    </reviewItem>
    <reviewItem>
      <errorID>b0fe5399-0f5e-4a3a-989b-5919d30364de</errorID>
      <errorWord>-</errorWord>
      <group>L1_Format</group>
      <groupName>格式问题</groupName>
      <ability>L2_HalfPunc</ability>
      <abilityName>全半角检查</abilityName>
      <candidateList>
        <item>－</item>
      </candidateList>
      <explain>文本全半角错误。</explain>
      <paraID>1DF526C5</paraID>
      <start>52</start>
      <end>53</end>
      <status>unmodified</status>
      <modifiedWord/>
      <trackRevisions>false</trackRevisions>
    </reviewItem>
    <reviewItem>
      <errorID>55241f0b-6872-4a86-98a7-252f7921b683</errorID>
      <errorWord>在按</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1DF526C5</paraID>
      <start>237</start>
      <end>239</end>
      <status>unmodified</status>
      <modifiedWord/>
      <trackRevisions>false</trackRevisions>
    </reviewItem>
    <reviewItem>
      <errorID>b3d25cc4-5915-4660-b9ed-eaa89721c680</errorID>
      <errorWord>操作合</errorWord>
      <group>L1_Word</group>
      <groupName>字词问题</groupName>
      <ability>L2_Typo</ability>
      <abilityName>字词错误</abilityName>
      <candidateList>
        <item>操作台</item>
      </candidateList>
      <explain/>
      <paraID>43EA6240</paraID>
      <start>9</start>
      <end>12</end>
      <status>unmodified</status>
      <modifiedWord/>
      <trackRevisions>false</trackRevisions>
    </reviewItem>
    <reviewItem>
      <errorID>80a95335-8c57-45ce-9f02-4ee1a6761484</errorID>
      <errorWord>，</errorWord>
      <group>L1_Word</group>
      <groupName>字词问题</groupName>
      <ability>L2_Typo</ability>
      <abilityName>字词错误</abilityName>
      <candidateList>
        <item>，在</item>
      </candidateList>
      <explain/>
      <paraID>236B91FD</paraID>
      <start>51</start>
      <end>52</end>
      <status>unmodified</status>
      <modifiedWord/>
      <trackRevisions>false</trackRevisions>
    </reviewItem>
    <reviewItem>
      <errorID>3de4252b-76e6-4b97-8ba5-07e1fb2b2d5b</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65F47E82</paraID>
      <start>117</start>
      <end>121</end>
      <status>unmodified</status>
      <modifiedWord/>
      <trackRevisions>false</trackRevisions>
    </reviewItem>
    <reviewItem>
      <errorID>bc353069-21a4-4a5f-bed0-75e999778e40</errorID>
      <errorWord>项</errorWord>
      <group>L1_Word</group>
      <groupName>字词问题</groupName>
      <ability>L2_Typo</ability>
      <abilityName>字词错误</abilityName>
      <candidateList>
        <item>项目</item>
      </candidateList>
      <explain>〈名〉事物分成的门类：服务～｜体育～｜建设～。</explain>
      <paraID>72024CD5</paraID>
      <start>97</start>
      <end>98</end>
      <status>unmodified</status>
      <modifiedWord/>
      <trackRevisions>false</trackRevisions>
    </reviewItem>
    <reviewItem>
      <errorID>a499b711-3b6c-4cc4-83df-afe7a171bc59</errorID>
      <errorWord>(</errorWord>
      <group>L1_Format</group>
      <groupName>格式问题</groupName>
      <ability>L2_HalfPunc</ability>
      <abilityName>全半角检查</abilityName>
      <candidateList>
        <item>（</item>
      </candidateList>
      <explain>文本全半角错误。</explain>
      <paraID>4B0ABD9E</paraID>
      <start>75</start>
      <end>76</end>
      <status>unmodified</status>
      <modifiedWord/>
      <trackRevisions>false</trackRevisions>
    </reviewItem>
    <reviewItem>
      <errorID>b7602afb-e731-4c2b-bf10-52cfe25e0e9d</errorID>
      <errorWord>)</errorWord>
      <group>L1_Format</group>
      <groupName>格式问题</groupName>
      <ability>L2_HalfPunc</ability>
      <abilityName>全半角检查</abilityName>
      <candidateList>
        <item>）</item>
      </candidateList>
      <explain>文本全半角错误。</explain>
      <paraID>4B0ABD9E</paraID>
      <start>83</start>
      <end>84</end>
      <status>unmodified</status>
      <modifiedWord/>
      <trackRevisions>false</trackRevisions>
    </reviewItem>
    <reviewItem>
      <errorID>5a291326-758f-4db2-becc-7e19142e979d</errorID>
      <errorWord>（</errorWord>
      <group>L1_Punc</group>
      <groupName>标点问题</groupName>
      <ability>L2_Punc</ability>
      <abilityName>标点符号检查</abilityName>
      <candidateList/>
      <explain>同一形式括号套用。</explain>
      <paraID>7203D73C</paraID>
      <start>76</start>
      <end>77</end>
      <status>unmodified</status>
      <modifiedWord/>
      <trackRevisions>false</trackRevisions>
    </reviewItem>
    <reviewItem>
      <errorID>5aa86408-583e-42bd-bd31-54e6c3908377</errorID>
      <errorWord>）</errorWord>
      <group>L1_Punc</group>
      <groupName>标点问题</groupName>
      <ability>L2_Punc</ability>
      <abilityName>标点符号检查</abilityName>
      <candidateList/>
      <explain>同一形式括号套用。</explain>
      <paraID>7203D73C</paraID>
      <start>83</start>
      <end>84</end>
      <status>unmodified</status>
      <modifiedWord/>
      <trackRevisions>false</trackRevisions>
    </reviewItem>
    <reviewItem>
      <errorID>7d638812-f022-45cd-9834-c04156680b41</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682F0B23</paraID>
      <start>204</start>
      <end>208</end>
      <status>unmodified</status>
      <modifiedWord/>
      <trackRevisions>false</trackRevisions>
    </reviewItem>
    <reviewItem>
      <errorID>36962ebd-ee71-46fc-bc4d-b0e91b5bf074</errorID>
      <errorWord>，</errorWord>
      <group>L1_Word</group>
      <groupName>字词问题</groupName>
      <ability>L2_Typo</ability>
      <abilityName>字词错误</abilityName>
      <candidateList>
        <item>，在</item>
      </candidateList>
      <explain/>
      <paraID>4AA98839</paraID>
      <start>50</start>
      <end>51</end>
      <status>unmodified</status>
      <modifiedWord/>
      <trackRevisions>false</trackRevisions>
    </reviewItem>
    <reviewItem>
      <errorID>2f725c95-5ab4-493d-8f32-5aa235e237a4</errorID>
      <errorWord>重新重新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488D2C40</paraID>
      <start>112</start>
      <end>116</end>
      <status>unmodified</status>
      <modifiedWord/>
      <trackRevisions>false</trackRevisions>
    </reviewItem>
    <reviewItem>
      <errorID>85d365af-a49f-4a4f-b7d1-b3c41b8be83b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30</start>
      <end>33</end>
      <status>unmodified</status>
      <modifiedWord/>
      <trackRevisions>false</trackRevisions>
    </reviewItem>
    <reviewItem>
      <errorID>1c1183e0-8aa6-407e-9926-01f56345fddc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49</start>
      <end>52</end>
      <status>unmodified</status>
      <modifiedWord/>
      <trackRevisions>false</trackRevisions>
    </reviewItem>
    <reviewItem>
      <errorID>b51325b4-72d8-4db9-a900-544354b01ec0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1C534C53</paraID>
      <start>71</start>
      <end>74</end>
      <status>unmodified</status>
      <modifiedWord/>
      <trackRevisions>false</trackRevisions>
    </reviewItem>
    <reviewItem>
      <errorID>3b20c9c0-2ac9-4c49-a5ac-0db88964e52b</errorID>
      <errorWord>属</errorWord>
      <group>L1_Word</group>
      <groupName>字词问题</groupName>
      <ability>L2_Typo</ability>
      <abilityName>字词错误</abilityName>
      <candidateList>
        <item>属于</item>
      </candidateList>
      <explain/>
      <paraID>1C534C53</paraID>
      <start>133</start>
      <end>134</end>
      <status>unmodified</status>
      <modifiedWord/>
      <trackRevisions>false</trackRevisions>
    </reviewItem>
    <reviewItem>
      <errorID>ebfeb97e-0b9c-453c-95a5-3fd8a8c8644f</errorID>
      <errorWord>100～500万</errorWord>
      <group>L1_Knowledge</group>
      <groupName>知识性问题</groupName>
      <ability>L2_Knowledge</ability>
      <abilityName>其他知识</abilityName>
      <candidateList>
        <item>100万～500万</item>
      </candidateList>
      <explain>“100～500万”中的单位“万”仅出现在后一个数字上，容易引起歧义；根据《现代汉语标点符号数字用法规范手册》，数字表示范围两边需要使用统一的格式。</explain>
      <paraID> 7B1EC6D</paraID>
      <start>0</start>
      <end>8</end>
      <status>unmodified</status>
      <modifiedWord/>
      <trackRevisions>false</trackRevisions>
    </reviewItem>
    <reviewItem>
      <errorID>a55f0a66-6874-4129-967a-6f0ad2f8ef9d</errorID>
      <errorWord>500～1000万</errorWord>
      <group>L1_Knowledge</group>
      <groupName>知识性问题</groupName>
      <ability>L2_Knowledge</ability>
      <abilityName>其他知识</abilityName>
      <candidateList>
        <item>500万～1000万</item>
      </candidateList>
      <explain>“500～1000万”中的单位“万”仅出现在后一个数字上，容易引起歧义；根据《现代汉语标点符号数字用法规范手册》，数字表示范围两边需要使用统一的格式。</explain>
      <paraID>3FF4006F</paraID>
      <start>0</start>
      <end>9</end>
      <status>unmodified</status>
      <modifiedWord/>
      <trackRevisions>false</trackRevisions>
    </reviewItem>
    <reviewItem>
      <errorID>34ebf611-0b9b-4264-8452-aedb9540bd19</errorID>
      <errorWord>1000～5000万</errorWord>
      <group>L1_Knowledge</group>
      <groupName>知识性问题</groupName>
      <ability>L2_Knowledge</ability>
      <abilityName>其他知识</abilityName>
      <candidateList>
        <item>1000万～5000万</item>
      </candidateList>
      <explain>“1000～5000万”中的单位“万”仅出现在后一个数字上，容易引起歧义；根据《现代汉语标点符号数字用法规范手册》，数字表示范围两边需要使用统一的格式。</explain>
      <paraID>539F043A</paraID>
      <start>0</start>
      <end>10</end>
      <status>unmodified</status>
      <modifiedWord/>
      <trackRevisions>false</trackRevisions>
    </reviewItem>
    <reviewItem>
      <errorID>0c3faa57-9d2c-4e23-a373-4147ba4135ab</errorID>
      <errorWord>1～5亿</errorWord>
      <group>L1_Knowledge</group>
      <groupName>知识性问题</groupName>
      <ability>L2_Knowledge</ability>
      <abilityName>其他知识</abilityName>
      <candidateList>
        <item>1亿～5亿</item>
      </candidateList>
      <explain>“1～5亿”中的单位“亿”仅出现在后一个数字上，容易引起歧义；根据《现代汉语标点符号数字用法规范手册》，数字表示范围两边需要使用统一的格式。</explain>
      <paraID>3DB39226</paraID>
      <start>0</start>
      <end>4</end>
      <status>unmodified</status>
      <modifiedWord/>
      <trackRevisions>false</trackRevisions>
    </reviewItem>
    <reviewItem>
      <errorID>12c2cb18-ec45-4e28-8202-98ade8f0d39e</errorID>
      <errorWord>5～10亿</errorWord>
      <group>L1_Knowledge</group>
      <groupName>知识性问题</groupName>
      <ability>L2_Knowledge</ability>
      <abilityName>其他知识</abilityName>
      <candidateList>
        <item>5亿～10亿</item>
      </candidateList>
      <explain>“5～10亿”中的单位“亿”仅出现在后一个数字上，容易引起歧义；根据《现代汉语标点符号数字用法规范手册》，数字表示范围两边需要使用统一的格式。</explain>
      <paraID>340F83F0</paraID>
      <start>0</start>
      <end>5</end>
      <status>unmodified</status>
      <modifiedWord/>
      <trackRevisions>false</trackRevisions>
    </reviewItem>
    <reviewItem>
      <errorID>2ef4f2b4-afe8-4aa5-bc44-6ac16e07333d</errorID>
      <errorWord>10～50亿</errorWord>
      <group>L1_Knowledge</group>
      <groupName>知识性问题</groupName>
      <ability>L2_Knowledge</ability>
      <abilityName>其他知识</abilityName>
      <candidateList>
        <item>10亿～50亿</item>
      </candidateList>
      <explain>“10～50亿”中的单位“亿”仅出现在后一个数字上，容易引起歧义；根据《现代汉语标点符号数字用法规范手册》，数字表示范围两边需要使用统一的格式。</explain>
      <paraID> C623CE3</paraID>
      <start>0</start>
      <end>6</end>
      <status>unmodified</status>
      <modifiedWord/>
      <trackRevisions>false</trackRevisions>
    </reviewItem>
    <reviewItem>
      <errorID>ae5eecab-7a59-4825-ac8b-b68bd8096256</errorID>
      <errorWord>50～100亿</errorWord>
      <group>L1_Knowledge</group>
      <groupName>知识性问题</groupName>
      <ability>L2_Knowledge</ability>
      <abilityName>其他知识</abilityName>
      <candidateList>
        <item>50亿～100亿</item>
      </candidateList>
      <explain>“50～100亿”中的单位“亿”仅出现在后一个数字上，容易引起歧义；根据《现代汉语标点符号数字用法规范手册》，数字表示范围两边需要使用统一的格式。</explain>
      <paraID>53373E61</paraID>
      <start>0</start>
      <end>7</end>
      <status>unmodified</status>
      <modifiedWord/>
      <trackRevisions>false</trackRevisions>
    </reviewItem>
    <reviewItem>
      <errorID>cade8e8e-eaeb-4f69-8401-2caf029cbf6d</errorID>
      <errorWord>(</errorWord>
      <group>L1_Format</group>
      <groupName>格式问题</groupName>
      <ability>L2_HalfPunc</ability>
      <abilityName>全半角检查</abilityName>
      <candidateList>
        <item>（</item>
      </candidateList>
      <explain>文本全半角错误。</explain>
      <paraID> 56156E7</paraID>
      <start>66</start>
      <end>67</end>
      <status>unmodified</status>
      <modifiedWord/>
      <trackRevisions>false</trackRevisions>
    </reviewItem>
    <reviewItem>
      <errorID>e2a37102-54d8-4385-a76d-20612ef0520f</errorID>
      <errorWord>)</errorWord>
      <group>L1_Format</group>
      <groupName>格式问题</groupName>
      <ability>L2_HalfPunc</ability>
      <abilityName>全半角检查</abilityName>
      <candidateList>
        <item>）</item>
      </candidateList>
      <explain>文本全半角错误。</explain>
      <paraID> 56156E7</paraID>
      <start>72</start>
      <end>73</end>
      <status>unmodified</status>
      <modifiedWord/>
      <trackRevisions>false</trackRevisions>
    </reviewItem>
    <reviewItem>
      <errorID>efdfb6f7-656d-47ed-8aa7-1a32c6fe0cd0</errorID>
      <errorWord>强</errorWord>
      <group>L1_Word</group>
      <groupName>字词问题</groupName>
      <ability>L2_Typo</ability>
      <abilityName>字词错误</abilityName>
      <candidateList>
        <item>强度</item>
      </candidateList>
      <explain/>
      <paraID> 56156E7</paraID>
      <start>78</start>
      <end>81</end>
      <status>modified</status>
      <modifiedWord>强度</modifiedWord>
      <trackRevisions>true</trackRevisions>
    </reviewItem>
    <reviewItem>
      <errorID>f0f9b059-b285-443f-bdfe-f91f666a3d8d</errorID>
      <errorWord>;</errorWord>
      <group>L1_Format</group>
      <groupName>格式问题</groupName>
      <ability>L2_HalfPunc</ability>
      <abilityName>全半角检查</abilityName>
      <candidateList>
        <item>；</item>
      </candidateList>
      <explain>文本全半角错误。</explain>
      <paraID> 56156E7</paraID>
      <start>103</start>
      <end>104</end>
      <status>unmodified</status>
      <modifiedWord/>
      <trackRevisions>false</trackRevisions>
    </reviewItem>
    <reviewItem>
      <errorID>920133a1-259c-45fb-8ad8-a0ac3f995cbe</errorID>
      <errorWord>(</errorWord>
      <group>L1_Format</group>
      <groupName>格式问题</groupName>
      <ability>L2_HalfPunc</ability>
      <abilityName>全半角检查</abilityName>
      <candidateList>
        <item>（</item>
      </candidateList>
      <explain>文本全半角错误。</explain>
      <paraID>356AAAAA</paraID>
      <start>22</start>
      <end>23</end>
      <status>unmodified</status>
      <modifiedWord/>
      <trackRevisions>false</trackRevisions>
    </reviewItem>
    <reviewItem>
      <errorID>9c4161dc-dfca-4c82-926c-4f1ee88a3236</errorID>
      <errorWord>)</errorWord>
      <group>L1_Format</group>
      <groupName>格式问题</groupName>
      <ability>L2_HalfPunc</ability>
      <abilityName>全半角检查</abilityName>
      <candidateList>
        <item>）</item>
      </candidateList>
      <explain>文本全半角错误。</explain>
      <paraID>356AAAAA</paraID>
      <start>26</start>
      <end>27</end>
      <status>unmodified</status>
      <modifiedWord/>
      <trackRevisions>false</trackRevisions>
    </reviewItem>
    <reviewItem>
      <errorID>2a832d34-13a9-43a1-aea7-08784bb840fd</errorID>
      <errorWord>(</errorWord>
      <group>L1_Format</group>
      <groupName>格式问题</groupName>
      <ability>L2_HalfPunc</ability>
      <abilityName>全半角检查</abilityName>
      <candidateList>
        <item>（</item>
      </candidateList>
      <explain>文本全半角错误。</explain>
      <paraID>356AAAAA</paraID>
      <start>36</start>
      <end>37</end>
      <status>unmodified</status>
      <modifiedWord/>
      <trackRevisions>false</trackRevisions>
    </reviewItem>
    <reviewItem>
      <errorID>a64487e1-da9a-46c6-95f7-ae6d0f112ea6</errorID>
      <errorWord>)</errorWord>
      <group>L1_Format</group>
      <groupName>格式问题</groupName>
      <ability>L2_HalfPunc</ability>
      <abilityName>全半角检查</abilityName>
      <candidateList>
        <item>）</item>
      </candidateList>
      <explain>文本全半角错误。</explain>
      <paraID>356AAAAA</paraID>
      <start>39</start>
      <end>40</end>
      <status>unmodified</status>
      <modifiedWord/>
      <trackRevisions>false</trackRevisions>
    </reviewItem>
    <reviewItem>
      <errorID>7f7b78a2-58dd-4c2e-84d0-6e01ba7a7502</errorID>
      <errorWord>(</errorWord>
      <group>L1_Format</group>
      <groupName>格式问题</groupName>
      <ability>L2_HalfPunc</ability>
      <abilityName>全半角检查</abilityName>
      <candidateList>
        <item>（</item>
      </candidateList>
      <explain>文本全半角错误。</explain>
      <paraID>356AAAAA</paraID>
      <start>45</start>
      <end>46</end>
      <status>unmodified</status>
      <modifiedWord/>
      <trackRevisions>false</trackRevisions>
    </reviewItem>
    <reviewItem>
      <errorID>58ed6e76-7621-44d9-91c7-328fa74eed02</errorID>
      <errorWord>)</errorWord>
      <group>L1_Format</group>
      <groupName>格式问题</groupName>
      <ability>L2_HalfPunc</ability>
      <abilityName>全半角检查</abilityName>
      <candidateList>
        <item>）</item>
      </candidateList>
      <explain>文本全半角错误。</explain>
      <paraID>356AAAAA</paraID>
      <start>52</start>
      <end>53</end>
      <status>unmodified</status>
      <modifiedWord/>
      <trackRevisions>false</trackRevisions>
    </reviewItem>
    <reviewItem>
      <errorID>5a09d863-daa3-46ba-93bd-6a784d64dabb</errorID>
      <errorWord>满</errorWord>
      <group>L1_Word</group>
      <groupName>字词问题</groupName>
      <ability>L2_Typo</ability>
      <abilityName>字词错误</abilityName>
      <candidateList>
        <item>满足</item>
      </candidateList>
      <explain/>
      <paraID>356AAAAA</paraID>
      <start>69</start>
      <end>72</end>
      <status>modified</status>
      <modifiedWord>满足</modifiedWord>
      <trackRevisions>true</trackRevisions>
    </reviewItem>
    <reviewItem>
      <errorID>6f039b4f-c46c-4add-b86c-802c1705f23b</errorID>
      <errorWord>(</errorWord>
      <group>L1_Format</group>
      <groupName>格式问题</groupName>
      <ability>L2_HalfPunc</ability>
      <abilityName>全半角检查</abilityName>
      <candidateList>
        <item>（</item>
      </candidateList>
      <explain>文本全半角错误。</explain>
      <paraID> 98479DA</paraID>
      <start>19</start>
      <end>20</end>
      <status>unmodified</status>
      <modifiedWord/>
      <trackRevisions>false</trackRevisions>
    </reviewItem>
    <reviewItem>
      <errorID>7dd8c404-fc2b-421f-a4e2-92c1990e4950</errorID>
      <errorWord>)</errorWord>
      <group>L1_Format</group>
      <groupName>格式问题</groupName>
      <ability>L2_HalfPunc</ability>
      <abilityName>全半角检查</abilityName>
      <candidateList>
        <item>）</item>
      </candidateList>
      <explain>文本全半角错误。</explain>
      <paraID> 98479DA</paraID>
      <start>33</start>
      <end>34</end>
      <status>unmodified</status>
      <modifiedWord/>
      <trackRevisions>false</trackRevisions>
    </reviewItem>
    <reviewItem>
      <errorID>b82df9bd-27cb-4bef-9886-1c3482990988</errorID>
      <errorWord>(</errorWord>
      <group>L1_Format</group>
      <groupName>格式问题</groupName>
      <ability>L2_HalfPunc</ability>
      <abilityName>全半角检查</abilityName>
      <candidateList>
        <item>（</item>
      </candidateList>
      <explain>文本全半角错误。</explain>
      <paraID> 636CE87</paraID>
      <start>27</start>
      <end>28</end>
      <status>unmodified</status>
      <modifiedWord/>
      <trackRevisions>false</trackRevisions>
    </reviewItem>
    <reviewItem>
      <errorID>c94776d7-c2e2-4b30-8abb-c1694bd9e110</errorID>
      <errorWord>)</errorWord>
      <group>L1_Format</group>
      <groupName>格式问题</groupName>
      <ability>L2_HalfPunc</ability>
      <abilityName>全半角检查</abilityName>
      <candidateList>
        <item>）</item>
      </candidateList>
      <explain>文本全半角错误。</explain>
      <paraID> 636CE87</paraID>
      <start>95</start>
      <end>96</end>
      <status>unmodified</status>
      <modifiedWord/>
      <trackRevisions>false</trackRevisions>
    </reviewItem>
    <reviewItem>
      <errorID>6d0a39c4-ea1f-4d48-b124-f4c3d9f531bb</errorID>
      <errorWord>(</errorWord>
      <group>L1_Format</group>
      <groupName>格式问题</groupName>
      <ability>L2_HalfPunc</ability>
      <abilityName>全半角检查</abilityName>
      <candidateList>
        <item>（</item>
      </candidateList>
      <explain>文本全半角错误。</explain>
      <paraID> 636CE87</paraID>
      <start>105</start>
      <end>106</end>
      <status>unmodified</status>
      <modifiedWord/>
      <trackRevisions>false</trackRevisions>
    </reviewItem>
    <reviewItem>
      <errorID>69ac52ca-92ec-4c65-abe0-c98f9c8a3b81</errorID>
      <errorWord>)</errorWord>
      <group>L1_Format</group>
      <groupName>格式问题</groupName>
      <ability>L2_HalfPunc</ability>
      <abilityName>全半角检查</abilityName>
      <candidateList>
        <item>）</item>
      </candidateList>
      <explain>文本全半角错误。</explain>
      <paraID> 636CE87</paraID>
      <start>159</start>
      <end>160</end>
      <status>unmodified</status>
      <modifiedWord/>
      <trackRevisions>false</trackRevisions>
    </reviewItem>
    <reviewItem>
      <errorID>df44f0d2-a9f7-4e86-9096-ffc8d3840e07</errorID>
      <errorWord>(</errorWord>
      <group>L1_Format</group>
      <groupName>格式问题</groupName>
      <ability>L2_HalfPunc</ability>
      <abilityName>全半角检查</abilityName>
      <candidateList>
        <item>（</item>
      </candidateList>
      <explain>文本全半角错误。</explain>
      <paraID> B163945</paraID>
      <start>22</start>
      <end>23</end>
      <status>unmodified</status>
      <modifiedWord/>
      <trackRevisions>false</trackRevisions>
    </reviewItem>
    <reviewItem>
      <errorID>84acacc0-f037-4759-abd8-9af31fb24c5e</errorID>
      <errorWord>)</errorWord>
      <group>L1_Format</group>
      <groupName>格式问题</groupName>
      <ability>L2_HalfPunc</ability>
      <abilityName>全半角检查</abilityName>
      <candidateList>
        <item>）</item>
      </candidateList>
      <explain>文本全半角错误。</explain>
      <paraID> B163945</paraID>
      <start>45</start>
      <end>46</end>
      <status>unmodified</status>
      <modifiedWord/>
      <trackRevisions>false</trackRevisions>
    </reviewItem>
    <reviewItem>
      <errorID>3e8f9a4a-5c95-41f2-a66f-22957bf6ae88</errorID>
      <errorWord>(</errorWord>
      <group>L1_Format</group>
      <groupName>格式问题</groupName>
      <ability>L2_HalfPunc</ability>
      <abilityName>全半角检查</abilityName>
      <candidateList>
        <item>（</item>
      </candidateList>
      <explain>文本全半角错误。</explain>
      <paraID> B163945</paraID>
      <start>55</start>
      <end>56</end>
      <status>unmodified</status>
      <modifiedWord/>
      <trackRevisions>false</trackRevisions>
    </reviewItem>
    <reviewItem>
      <errorID>8632070c-47dd-41a8-bdeb-7011622be2ba</errorID>
      <errorWord>)</errorWord>
      <group>L1_Format</group>
      <groupName>格式问题</groupName>
      <ability>L2_HalfPunc</ability>
      <abilityName>全半角检查</abilityName>
      <candidateList>
        <item>）</item>
      </candidateList>
      <explain>文本全半角错误。</explain>
      <paraID> B163945</paraID>
      <start>71</start>
      <end>72</end>
      <status>unmodified</status>
      <modifiedWord/>
      <trackRevisions>false</trackRevisions>
    </reviewItem>
    <reviewItem>
      <errorID>fcbe0b89-d98b-41d5-9a59-753fd271803b</errorID>
      <errorWord>已</errorWord>
      <group>L1_Word</group>
      <groupName>字词问题</groupName>
      <ability>L2_Typo</ability>
      <abilityName>字词错误</abilityName>
      <candidateList>
        <item>以</item>
      </candidateList>
      <explain>用在单纯的方位词前，组成合成的方位词或方位结构，表示时间、方位、数量的界限：～前｜～上｜三日～后｜县级～上｜长江～南｜五千～内｜二十岁～下。</explain>
      <paraID>3BA00A80</paraID>
      <start>53</start>
      <end>54</end>
      <status>unmodified</status>
      <modifiedWord/>
      <trackRevisions>false</trackRevisions>
    </reviewItem>
    <reviewItem>
      <errorID>f97b5625-915e-4f2b-a925-6764eef13015</errorID>
      <errorWord>-</errorWord>
      <group>L1_Format</group>
      <groupName>格式问题</groupName>
      <ability>L2_HalfPunc</ability>
      <abilityName>全半角检查</abilityName>
      <candidateList>
        <item>－</item>
      </candidateList>
      <explain>文本全半角错误。</explain>
      <paraID> 5E919C8</paraID>
      <start>20</start>
      <end>21</end>
      <status>unmodified</status>
      <modifiedWord/>
      <trackRevisions>false</trackRevisions>
    </reviewItem>
    <reviewItem>
      <errorID>9557a9ed-ba18-42a8-8221-98766d701366</errorID>
      <errorWord>法律、法规</errorWord>
      <group>L1_Word</group>
      <groupName>字词问题</groupName>
      <ability>L2_Typo</ability>
      <abilityName>字词错误</abilityName>
      <candidateList>
        <item>法律法规</item>
      </candidateList>
      <explain/>
      <paraID>3E639B46</paraID>
      <start>3</start>
      <end>8</end>
      <status>unmodified</status>
      <modifiedWord/>
      <trackRevisions>false</trackRevisions>
    </reviewItem>
    <reviewItem>
      <errorID>276a38aa-28a8-4a60-81be-6752b2c65c2e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488D78F1</paraID>
      <start>0</start>
      <end>2</end>
      <status>unmodified</status>
      <modifiedWord/>
      <trackRevisions>false</trackRevisions>
    </reviewItem>
    <reviewItem>
      <errorID>acd17797-de59-4950-9a39-0a86ada34995</errorID>
      <errorWord>，</errorWord>
      <group>L1_Word</group>
      <groupName>字词问题</groupName>
      <ability>L2_Typo</ability>
      <abilityName>字词错误</abilityName>
      <candidateList>
        <item>，对</item>
      </candidateList>
      <explain/>
      <paraID>2013410A</paraID>
      <start>114</start>
      <end>115</end>
      <status>unmodified</status>
      <modifiedWord/>
      <trackRevisions>false</trackRevisions>
    </reviewItem>
    <reviewItem>
      <errorID>05ee72d4-94b2-4e26-899d-fc5816bce7b2</errorID>
      <errorWord>去掉</errorWord>
      <group>L1_Word</group>
      <groupName>字词问题</groupName>
      <ability>L2_Typo</ability>
      <abilityName>字词错误</abilityName>
      <candidateList>
        <item>取消</item>
      </candidateList>
      <explain/>
      <paraID>4CF5C4F1</paraID>
      <start>43</start>
      <end>45</end>
      <status>unmodified</status>
      <modifiedWord/>
      <trackRevisions>false</trackRevisions>
    </reviewItem>
    <reviewItem>
      <errorID>942fca35-7cd9-4777-8f3a-1f7b94248e88</errorID>
      <errorWord>【2022】30号</errorWord>
      <group>L1_Knowledge</group>
      <groupName>知识性问题</groupName>
      <ability>L2_Knowledge</ability>
      <abilityName>其他知识</abilityName>
      <candidateList>
        <item>〔2022〕30号</item>
      </candidateList>
      <explain>发文字号格式错误</explain>
      <paraID>753FFF97</paraID>
      <start>77</start>
      <end>86</end>
      <status>unmodified</status>
      <modifiedWord/>
      <trackRevisions>false</trackRevisions>
    </reviewItem>
    <reviewItem>
      <errorID>dfdef5d8-a248-40a3-ae4e-27336cdbf6c3</errorID>
      <errorWord>(</errorWord>
      <group>L1_Format</group>
      <groupName>格式问题</groupName>
      <ability>L2_HalfPunc</ability>
      <abilityName>全半角检查</abilityName>
      <candidateList>
        <item>（</item>
      </candidateList>
      <explain>文本全半角错误。</explain>
      <paraID>5C6BA26A</paraID>
      <start>131</start>
      <end>132</end>
      <status>unmodified</status>
      <modifiedWord/>
      <trackRevisions>false</trackRevisions>
    </reviewItem>
    <reviewItem>
      <errorID>0fe1d451-f0f3-41c9-8b88-4db7aa18d04e</errorID>
      <errorWord>)</errorWord>
      <group>L1_Format</group>
      <groupName>格式问题</groupName>
      <ability>L2_HalfPunc</ability>
      <abilityName>全半角检查</abilityName>
      <candidateList>
        <item>）</item>
      </candidateList>
      <explain>文本全半角错误。</explain>
      <paraID>5C6BA26A</paraID>
      <start>141</start>
      <end>142</end>
      <status>unmodified</status>
      <modifiedWord/>
      <trackRevisions>false</trackRevisions>
    </reviewItem>
    <reviewItem>
      <errorID>c359be1f-d05f-4d07-b564-4fb4ca417ef5</errorID>
      <errorWord>-</errorWord>
      <group>L1_Knowledge</group>
      <groupName>知识性问题</groupName>
      <ability>L2_Knowledge</ability>
      <abilityName>其他知识</abilityName>
      <candidateList>
        <item>%～</item>
      </candidateList>
      <explain>百分号用法检查</explain>
      <paraID>4356866D</paraID>
      <start>94</start>
      <end>95</end>
      <status>unmodified</status>
      <modifiedWord/>
      <trackRevisions>false</trackRevisions>
    </reviewItem>
    <reviewItem>
      <errorID>9568f227-9bf0-458c-bd7f-a680d78bde70</errorID>
      <errorWord>占到</errorWord>
      <group>L1_Word</group>
      <groupName>字词问题</groupName>
      <ability>L2_Typo</ability>
      <abilityName>字词错误</abilityName>
      <candidateList>
        <item>占</item>
      </candidateList>
      <explain/>
      <paraID>4356866D</paraID>
      <start>159</start>
      <end>161</end>
      <status>unmodified</status>
      <modifiedWord/>
      <trackRevisions>false</trackRevisions>
    </reviewItem>
    <reviewItem>
      <errorID>5bdfea84-04df-4716-975e-f43273bd8187</errorID>
      <errorWord>(</errorWord>
      <group>L1_Format</group>
      <groupName>格式问题</groupName>
      <ability>L2_HalfPunc</ability>
      <abilityName>全半角检查</abilityName>
      <candidateList>
        <item>（</item>
      </candidateList>
      <explain>文本全半角错误。</explain>
      <paraID>55576219</paraID>
      <start>15</start>
      <end>16</end>
      <status>unmodified</status>
      <modifiedWord/>
      <trackRevisions>false</trackRevisions>
    </reviewItem>
    <reviewItem>
      <errorID>cf7a4761-bdde-47e2-a505-8055ba348896</errorID>
      <errorWord>)</errorWord>
      <group>L1_Format</group>
      <groupName>格式问题</groupName>
      <ability>L2_HalfPunc</ability>
      <abilityName>全半角检查</abilityName>
      <candidateList>
        <item>）</item>
      </candidateList>
      <explain>文本全半角错误。</explain>
      <paraID>55576219</paraID>
      <start>26</start>
      <end>27</end>
      <status>unmodified</status>
      <modifiedWord/>
      <trackRevisions>false</trackRevisions>
    </reviewItem>
    <reviewItem>
      <errorID>9aa211d1-9638-4b3b-b2dd-42531f913a61</errorID>
      <errorWord>(</errorWord>
      <group>L1_Format</group>
      <groupName>格式问题</groupName>
      <ability>L2_HalfPunc</ability>
      <abilityName>全半角检查</abilityName>
      <candidateList>
        <item>（</item>
      </candidateList>
      <explain>文本全半角错误。</explain>
      <paraID>12AAE0F5</paraID>
      <start>1</start>
      <end>2</end>
      <status>unmodified</status>
      <modifiedWord/>
      <trackRevisions>false</trackRevisions>
    </reviewItem>
    <reviewItem>
      <errorID>cc33231a-d801-4ab7-b8a1-5f101fab2584</errorID>
      <errorWord>)</errorWord>
      <group>L1_Format</group>
      <groupName>格式问题</groupName>
      <ability>L2_HalfPunc</ability>
      <abilityName>全半角检查</abilityName>
      <candidateList>
        <item>）</item>
      </candidateList>
      <explain>文本全半角错误。</explain>
      <paraID>12AAE0F5</paraID>
      <start>4</start>
      <end>5</end>
      <status>unmodified</status>
      <modifiedWord/>
      <trackRevisions>false</trackRevisions>
    </reviewItem>
    <reviewItem>
      <errorID>35dd9695-561d-4190-9856-4c5bceab069d</errorID>
      <errorWord>(</errorWord>
      <group>L1_Format</group>
      <groupName>格式问题</groupName>
      <ability>L2_HalfPunc</ability>
      <abilityName>全半角检查</abilityName>
      <candidateList>
        <item>（</item>
      </candidateList>
      <explain>文本全半角错误。</explain>
      <paraID>651FE3E4</paraID>
      <start>1</start>
      <end>2</end>
      <status>unmodified</status>
      <modifiedWord/>
      <trackRevisions>false</trackRevisions>
    </reviewItem>
    <reviewItem>
      <errorID>f2987af7-d7d2-4921-bfd0-daa2ac3b9c2b</errorID>
      <errorWord>)</errorWord>
      <group>L1_Format</group>
      <groupName>格式问题</groupName>
      <ability>L2_HalfPunc</ability>
      <abilityName>全半角检查</abilityName>
      <candidateList>
        <item>）</item>
      </candidateList>
      <explain>文本全半角错误。</explain>
      <paraID>651FE3E4</paraID>
      <start>4</start>
      <end>5</end>
      <status>unmodified</status>
      <modifiedWord/>
      <trackRevisions>false</trackRevisions>
    </reviewItem>
    <reviewItem>
      <errorID>9a14bf10-b4db-49a9-83cb-68d73dbcf2f0</errorID>
      <errorWord>中(</errorWord>
      <group>L1_Word</group>
      <groupName>字词问题</groupName>
      <ability>L2_Typo</ability>
      <abilityName>字词错误</abilityName>
      <candidateList>
        <item>(</item>
      </candidateList>
      <explain/>
      <paraID>612A1579</paraID>
      <start>0</start>
      <end>2</end>
      <status>unmodified</status>
      <modifiedWord/>
      <trackRevisions>false</trackRevisions>
    </reviewItem>
    <reviewItem>
      <errorID>bbcafe50-0d26-428e-b78f-7fa941f59536</errorID>
      <errorWord>)</errorWord>
      <group>L1_Format</group>
      <groupName>格式问题</groupName>
      <ability>L2_HalfPunc</ability>
      <abilityName>全半角检查</abilityName>
      <candidateList>
        <item>）</item>
      </candidateList>
      <explain>文本全半角错误。</explain>
      <paraID>612A1579</paraID>
      <start>4</start>
      <end>5</end>
      <status>unmodified</status>
      <modifiedWord/>
      <trackRevisions>false</trackRevisions>
    </reviewItem>
    <reviewItem>
      <errorID>03f34335-46f8-4ccf-92e5-60cec1c4162f</errorID>
      <errorWord>(</errorWord>
      <group>L1_Format</group>
      <groupName>格式问题</groupName>
      <ability>L2_HalfPunc</ability>
      <abilityName>全半角检查</abilityName>
      <candidateList>
        <item>（</item>
      </candidateList>
      <explain>文本全半角错误。</explain>
      <paraID>3AAE2B14</paraID>
      <start>1</start>
      <end>2</end>
      <status>unmodified</status>
      <modifiedWord/>
      <trackRevisions>false</trackRevisions>
    </reviewItem>
    <reviewItem>
      <errorID>baa44fb5-ea3e-46f0-8d5b-533febbd52f1</errorID>
      <errorWord>)</errorWord>
      <group>L1_Format</group>
      <groupName>格式问题</groupName>
      <ability>L2_HalfPunc</ability>
      <abilityName>全半角检查</abilityName>
      <candidateList>
        <item>）</item>
      </candidateList>
      <explain>文本全半角错误。</explain>
      <paraID>3AAE2B14</paraID>
      <start>4</start>
      <end>5</end>
      <status>unmodified</status>
      <modifiedWord/>
      <trackRevisions>false</trackRevisions>
    </reviewItem>
    <reviewItem>
      <errorID>6d885f55-7ce0-4c64-a67e-ae851fd97946</errorID>
      <errorWord>认为的</errorWord>
      <group>L1_Word</group>
      <groupName>字词问题</groupName>
      <ability>L2_Typo</ability>
      <abilityName>字词错误</abilityName>
      <candidateList>
        <item>认为</item>
      </candidateList>
      <explain/>
      <paraID>439DABE4</paraID>
      <start>16</start>
      <end>19</end>
      <status>unmodified</status>
      <modifiedWord/>
      <trackRevisions>false</trackRevisions>
    </reviewItem>
    <reviewItem>
      <errorID>fb8bdbf5-4a95-43ea-a1b5-c68f9e3c74be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380BBDF0</paraID>
      <start>58</start>
      <end>59</end>
      <status>unmodified</status>
      <modifiedWord/>
      <trackRevisions>false</trackRevisions>
    </reviewItem>
    <reviewItem>
      <errorID>72da2deb-8b79-417f-9156-6f5842d0668b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15185085</paraID>
      <start>59</start>
      <end>60</end>
      <status>unmodified</status>
      <modifiedWord/>
      <trackRevisions>false</trackRevisions>
    </reviewItem>
    <reviewItem>
      <errorID>96ed007f-06eb-49c0-9e7d-e15865dc7216</errorID>
      <errorWord>(</errorWord>
      <group>L1_Format</group>
      <groupName>格式问题</groupName>
      <ability>L2_HalfPunc</ability>
      <abilityName>全半角检查</abilityName>
      <candidateList>
        <item>（</item>
      </candidateList>
      <explain>文本全半角错误。</explain>
      <paraID>291BCB01</paraID>
      <start>1</start>
      <end>2</end>
      <status>unmodified</status>
      <modifiedWord/>
      <trackRevisions>false</trackRevisions>
    </reviewItem>
    <reviewItem>
      <errorID>8304cf2d-c6f3-4b08-bf7b-541d4ecfc282</errorID>
      <errorWord>)</errorWord>
      <group>L1_Format</group>
      <groupName>格式问题</groupName>
      <ability>L2_HalfPunc</ability>
      <abilityName>全半角检查</abilityName>
      <candidateList>
        <item>）</item>
      </candidateList>
      <explain>文本全半角错误。</explain>
      <paraID>291BCB01</paraID>
      <start>4</start>
      <end>5</end>
      <status>unmodified</status>
      <modifiedWord/>
      <trackRevisions>false</trackRevisions>
    </reviewItem>
    <reviewItem>
      <errorID>9bb31052-ad81-49cf-b72e-c0eb09d98241</errorID>
      <errorWord>(</errorWord>
      <group>L1_Format</group>
      <groupName>格式问题</groupName>
      <ability>L2_HalfPunc</ability>
      <abilityName>全半角检查</abilityName>
      <candidateList>
        <item>（</item>
      </candidateList>
      <explain>文本全半角错误。</explain>
      <paraID>5C006FFA</paraID>
      <start>1</start>
      <end>2</end>
      <status>unmodified</status>
      <modifiedWord/>
      <trackRevisions>false</trackRevisions>
    </reviewItem>
    <reviewItem>
      <errorID>3860c57a-7149-4f07-b65a-75e7389f0766</errorID>
      <errorWord>)</errorWord>
      <group>L1_Format</group>
      <groupName>格式问题</groupName>
      <ability>L2_HalfPunc</ability>
      <abilityName>全半角检查</abilityName>
      <candidateList>
        <item>）</item>
      </candidateList>
      <explain>文本全半角错误。</explain>
      <paraID>5C006FFA</paraID>
      <start>4</start>
      <end>5</end>
      <status>unmodified</status>
      <modifiedWord/>
      <trackRevisions>false</trackRevisions>
    </reviewItem>
    <reviewItem>
      <errorID>199d189b-a292-485b-8a36-daea92aee8a0</errorID>
      <errorWord>中(</errorWord>
      <group>L1_Word</group>
      <groupName>字词问题</groupName>
      <ability>L2_Typo</ability>
      <abilityName>字词错误</abilityName>
      <candidateList>
        <item>(</item>
      </candidateList>
      <explain/>
      <paraID>106EA487</paraID>
      <start>0</start>
      <end>2</end>
      <status>unmodified</status>
      <modifiedWord/>
      <trackRevisions>false</trackRevisions>
    </reviewItem>
    <reviewItem>
      <errorID>f771e859-8ee8-47ee-a1e5-c0573e7f8be2</errorID>
      <errorWord>)</errorWord>
      <group>L1_Format</group>
      <groupName>格式问题</groupName>
      <ability>L2_HalfPunc</ability>
      <abilityName>全半角检查</abilityName>
      <candidateList>
        <item>）</item>
      </candidateList>
      <explain>文本全半角错误。</explain>
      <paraID>106EA487</paraID>
      <start>4</start>
      <end>5</end>
      <status>unmodified</status>
      <modifiedWord/>
      <trackRevisions>false</trackRevisions>
    </reviewItem>
    <reviewItem>
      <errorID>49444070-3916-4834-9181-43a355117167</errorID>
      <errorWord>(</errorWord>
      <group>L1_Format</group>
      <groupName>格式问题</groupName>
      <ability>L2_HalfPunc</ability>
      <abilityName>全半角检查</abilityName>
      <candidateList>
        <item>（</item>
      </candidateList>
      <explain>文本全半角错误。</explain>
      <paraID>45651A07</paraID>
      <start>1</start>
      <end>2</end>
      <status>unmodified</status>
      <modifiedWord/>
      <trackRevisions>false</trackRevisions>
    </reviewItem>
    <reviewItem>
      <errorID>435ca740-36d0-4eba-812b-962fef99c799</errorID>
      <errorWord>)</errorWord>
      <group>L1_Format</group>
      <groupName>格式问题</groupName>
      <ability>L2_HalfPunc</ability>
      <abilityName>全半角检查</abilityName>
      <candidateList>
        <item>）</item>
      </candidateList>
      <explain>文本全半角错误。</explain>
      <paraID>45651A07</paraID>
      <start>4</start>
      <end>5</end>
      <status>unmodified</status>
      <modifiedWord/>
      <trackRevisions>false</trackRevisions>
    </reviewItem>
    <reviewItem>
      <errorID>d5315845-7a7e-4657-94b9-11d4c9eccc18</errorID>
      <errorWord>(</errorWord>
      <group>L1_Format</group>
      <groupName>格式问题</groupName>
      <ability>L2_HalfPunc</ability>
      <abilityName>全半角检查</abilityName>
      <candidateList>
        <item>（</item>
      </candidateList>
      <explain>文本全半角错误。</explain>
      <paraID>71363AA2</paraID>
      <start>1</start>
      <end>2</end>
      <status>unmodified</status>
      <modifiedWord/>
      <trackRevisions>false</trackRevisions>
    </reviewItem>
    <reviewItem>
      <errorID>ab4d598a-1e74-4130-ab56-e67d30db05b0</errorID>
      <errorWord>)</errorWord>
      <group>L1_Format</group>
      <groupName>格式问题</groupName>
      <ability>L2_HalfPunc</ability>
      <abilityName>全半角检查</abilityName>
      <candidateList>
        <item>）</item>
      </candidateList>
      <explain>文本全半角错误。</explain>
      <paraID>71363AA2</paraID>
      <start>5</start>
      <end>6</end>
      <status>unmodified</status>
      <modifiedWord/>
      <trackRevisions>false</trackRevisions>
    </reviewItem>
    <reviewItem>
      <errorID>8ac4cc4f-e8d6-4367-969e-3b4df003f27b</errorID>
      <errorWord>(</errorWord>
      <group>L1_Format</group>
      <groupName>格式问题</groupName>
      <ability>L2_HalfPunc</ability>
      <abilityName>全半角检查</abilityName>
      <candidateList>
        <item>（</item>
      </candidateList>
      <explain>文本全半角错误。</explain>
      <paraID>5DFD3A59</paraID>
      <start>1</start>
      <end>2</end>
      <status>unmodified</status>
      <modifiedWord/>
      <trackRevisions>false</trackRevisions>
    </reviewItem>
    <reviewItem>
      <errorID>953327e2-7c2a-4a04-a2a4-7dc5fa27534a</errorID>
      <errorWord>)</errorWord>
      <group>L1_Format</group>
      <groupName>格式问题</groupName>
      <ability>L2_HalfPunc</ability>
      <abilityName>全半角检查</abilityName>
      <candidateList>
        <item>）</item>
      </candidateList>
      <explain>文本全半角错误。</explain>
      <paraID>5DFD3A59</paraID>
      <start>4</start>
      <end>5</end>
      <status>unmodified</status>
      <modifiedWord/>
      <trackRevisions>false</trackRevisions>
    </reviewItem>
    <reviewItem>
      <errorID>3e34952e-62e1-4554-91a8-e8b58342a035</errorID>
      <errorWord>(</errorWord>
      <group>L1_Format</group>
      <groupName>格式问题</groupName>
      <ability>L2_HalfPunc</ability>
      <abilityName>全半角检查</abilityName>
      <candidateList>
        <item>（</item>
      </candidateList>
      <explain>文本全半角错误。</explain>
      <paraID>5D8E5D38</paraID>
      <start>1</start>
      <end>2</end>
      <status>unmodified</status>
      <modifiedWord/>
      <trackRevisions>false</trackRevisions>
    </reviewItem>
    <reviewItem>
      <errorID>b7f12200-50fd-402a-a30e-0c8956fad71c</errorID>
      <errorWord>)</errorWord>
      <group>L1_Format</group>
      <groupName>格式问题</groupName>
      <ability>L2_HalfPunc</ability>
      <abilityName>全半角检查</abilityName>
      <candidateList>
        <item>）</item>
      </candidateList>
      <explain>文本全半角错误。</explain>
      <paraID>5D8E5D38</paraID>
      <start>4</start>
      <end>5</end>
      <status>unmodified</status>
      <modifiedWord/>
      <trackRevisions>false</trackRevisions>
    </reviewItem>
    <reviewItem>
      <errorID>245f86d9-ae38-4b1f-826e-d2c75dd9ced0</errorID>
      <errorWord>(</errorWord>
      <group>L1_Format</group>
      <groupName>格式问题</groupName>
      <ability>L2_HalfPunc</ability>
      <abilityName>全半角检查</abilityName>
      <candidateList>
        <item>（</item>
      </candidateList>
      <explain>文本全半角错误。</explain>
      <paraID>6507E97A</paraID>
      <start>1</start>
      <end>2</end>
      <status>unmodified</status>
      <modifiedWord/>
      <trackRevisions>false</trackRevisions>
    </reviewItem>
    <reviewItem>
      <errorID>9e857c27-44d6-4076-a016-9db1afe3cd42</errorID>
      <errorWord>)</errorWord>
      <group>L1_Format</group>
      <groupName>格式问题</groupName>
      <ability>L2_HalfPunc</ability>
      <abilityName>全半角检查</abilityName>
      <candidateList>
        <item>）</item>
      </candidateList>
      <explain>文本全半角错误。</explain>
      <paraID>6507E97A</paraID>
      <start>4</start>
      <end>5</end>
      <status>unmodified</status>
      <modifiedWord/>
      <trackRevisions>false</trackRevisions>
    </reviewItem>
    <reviewItem>
      <errorID>1fd6c6ff-5cf9-4fc4-b4f4-85dcdad6fb78</errorID>
      <errorWord>(</errorWord>
      <group>L1_Format</group>
      <groupName>格式问题</groupName>
      <ability>L2_HalfPunc</ability>
      <abilityName>全半角检查</abilityName>
      <candidateList>
        <item>（</item>
      </candidateList>
      <explain>文本全半角错误。</explain>
      <paraID>673E5187</paraID>
      <start>1</start>
      <end>2</end>
      <status>unmodified</status>
      <modifiedWord/>
      <trackRevisions>false</trackRevisions>
    </reviewItem>
    <reviewItem>
      <errorID>1847f274-408c-4aa6-bf2f-876e3b604de9</errorID>
      <errorWord>)</errorWord>
      <group>L1_Format</group>
      <groupName>格式问题</groupName>
      <ability>L2_HalfPunc</ability>
      <abilityName>全半角检查</abilityName>
      <candidateList>
        <item>）</item>
      </candidateList>
      <explain>文本全半角错误。</explain>
      <paraID>673E5187</paraID>
      <start>5</start>
      <end>6</end>
      <status>unmodified</status>
      <modifiedWord/>
      <trackRevisions>false</trackRevisions>
    </reviewItem>
    <reviewItem>
      <errorID>de2b2295-3298-4755-8535-3357a2effb6e</errorID>
      <errorWord>(</errorWord>
      <group>L1_Format</group>
      <groupName>格式问题</groupName>
      <ability>L2_HalfPunc</ability>
      <abilityName>全半角检查</abilityName>
      <candidateList>
        <item>（</item>
      </candidateList>
      <explain>文本全半角错误。</explain>
      <paraID> BDC7C75</paraID>
      <start>1</start>
      <end>2</end>
      <status>unmodified</status>
      <modifiedWord/>
      <trackRevisions>false</trackRevisions>
    </reviewItem>
    <reviewItem>
      <errorID>eb6a6fb3-418e-4694-af45-03701cdccb61</errorID>
      <errorWord>)</errorWord>
      <group>L1_Format</group>
      <groupName>格式问题</groupName>
      <ability>L2_HalfPunc</ability>
      <abilityName>全半角检查</abilityName>
      <candidateList>
        <item>）</item>
      </candidateList>
      <explain>文本全半角错误。</explain>
      <paraID> BDC7C75</paraID>
      <start>4</start>
      <end>5</end>
      <status>unmodified</status>
      <modifiedWord/>
      <trackRevisions>false</trackRevisions>
    </reviewItem>
    <reviewItem>
      <errorID>8b80ab3a-0bb9-400b-a1a1-c11807854835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BDC7C75</paraID>
      <start>36</start>
      <end>37</end>
      <status>unmodified</status>
      <modifiedWord/>
      <trackRevisions>false</trackRevisions>
    </reviewItem>
    <reviewItem>
      <errorID>63c8de9f-e6c5-407a-bb28-f50685196fe1</errorID>
      <errorWord>(</errorWord>
      <group>L1_Format</group>
      <groupName>格式问题</groupName>
      <ability>L2_HalfPunc</ability>
      <abilityName>全半角检查</abilityName>
      <candidateList>
        <item>（</item>
      </candidateList>
      <explain>文本全半角错误。</explain>
      <paraID>6A409059</paraID>
      <start>1</start>
      <end>2</end>
      <status>unmodified</status>
      <modifiedWord/>
      <trackRevisions>false</trackRevisions>
    </reviewItem>
    <reviewItem>
      <errorID>0772ba49-a6e2-4dfa-9c1d-f54035bed886</errorID>
      <errorWord>)</errorWord>
      <group>L1_Format</group>
      <groupName>格式问题</groupName>
      <ability>L2_HalfPunc</ability>
      <abilityName>全半角检查</abilityName>
      <candidateList>
        <item>）</item>
      </candidateList>
      <explain>文本全半角错误。</explain>
      <paraID>6A409059</paraID>
      <start>4</start>
      <end>5</end>
      <status>unmodified</status>
      <modifiedWord/>
      <trackRevisions>false</trackRevisions>
    </reviewItem>
    <reviewItem>
      <errorID>27f2f83e-dfd1-4a77-a188-f3ba39ba9f0a</errorID>
      <errorWord>(</errorWord>
      <group>L1_Format</group>
      <groupName>格式问题</groupName>
      <ability>L2_HalfPunc</ability>
      <abilityName>全半角检查</abilityName>
      <candidateList>
        <item>（</item>
      </candidateList>
      <explain>文本全半角错误。</explain>
      <paraID>5729B621</paraID>
      <start>1</start>
      <end>2</end>
      <status>unmodified</status>
      <modifiedWord/>
      <trackRevisions>false</trackRevisions>
    </reviewItem>
    <reviewItem>
      <errorID>77fec605-5735-49ae-88b6-7b55f1d7ea9d</errorID>
      <errorWord>)</errorWord>
      <group>L1_Format</group>
      <groupName>格式问题</groupName>
      <ability>L2_HalfPunc</ability>
      <abilityName>全半角检查</abilityName>
      <candidateList>
        <item>）</item>
      </candidateList>
      <explain>文本全半角错误。</explain>
      <paraID>5729B621</paraID>
      <start>4</start>
      <end>5</end>
      <status>unmodified</status>
      <modifiedWord/>
      <trackRevisions>false</trackRevisions>
    </reviewItem>
    <reviewItem>
      <errorID>5f7923a5-fdfe-4d5a-8f10-ec944ebb1f93</errorID>
      <errorWord>(</errorWord>
      <group>L1_Format</group>
      <groupName>格式问题</groupName>
      <ability>L2_HalfPunc</ability>
      <abilityName>全半角检查</abilityName>
      <candidateList>
        <item>（</item>
      </candidateList>
      <explain>文本全半角错误。</explain>
      <paraID>2ADED4D4</paraID>
      <start>1</start>
      <end>2</end>
      <status>unmodified</status>
      <modifiedWord/>
      <trackRevisions>false</trackRevisions>
    </reviewItem>
    <reviewItem>
      <errorID>9270cc9f-f2fc-4e52-b2c7-c164f185bafc</errorID>
      <errorWord>)</errorWord>
      <group>L1_Format</group>
      <groupName>格式问题</groupName>
      <ability>L2_HalfPunc</ability>
      <abilityName>全半角检查</abilityName>
      <candidateList>
        <item>）</item>
      </candidateList>
      <explain>文本全半角错误。</explain>
      <paraID>2ADED4D4</paraID>
      <start>4</start>
      <end>5</end>
      <status>unmodified</status>
      <modifiedWord/>
      <trackRevisions>false</trackRevisions>
    </reviewItem>
    <reviewItem>
      <errorID>82180d5a-3d83-42bd-9ba4-e1d905289c35</errorID>
      <errorWord>，</errorWord>
      <group>L1_Word</group>
      <groupName>字词问题</groupName>
      <ability>L2_Typo</ability>
      <abilityName>字词错误</abilityName>
      <candidateList>
        <item>，具</item>
      </candidateList>
      <explain/>
      <paraID>2ADED4D4</paraID>
      <start>15</start>
      <end>16</end>
      <status>unmodified</status>
      <modifiedWord/>
      <trackRevisions>false</trackRevisions>
    </reviewItem>
    <reviewItem>
      <errorID>7f1761ed-70f1-44da-abe4-322055957eb8</errorID>
      <errorWord>(</errorWord>
      <group>L1_Format</group>
      <groupName>格式问题</groupName>
      <ability>L2_HalfPunc</ability>
      <abilityName>全半角检查</abilityName>
      <candidateList>
        <item>（</item>
      </candidateList>
      <explain>文本全半角错误。</explain>
      <paraID>2ADED4D4</paraID>
      <start>53</start>
      <end>54</end>
      <status>unmodified</status>
      <modifiedWord/>
      <trackRevisions>false</trackRevisions>
    </reviewItem>
    <reviewItem>
      <errorID>6f5ecc9b-b81e-43f4-b709-8828e1523450</errorID>
      <errorWord>(</errorWord>
      <group>L1_Format</group>
      <groupName>格式问题</groupName>
      <ability>L2_HalfPunc</ability>
      <abilityName>全半角检查</abilityName>
      <candidateList>
        <item>（</item>
      </candidateList>
      <explain>文本全半角错误。</explain>
      <paraID>23A2D0E3</paraID>
      <start>1</start>
      <end>2</end>
      <status>unmodified</status>
      <modifiedWord/>
      <trackRevisions>false</trackRevisions>
    </reviewItem>
    <reviewItem>
      <errorID>99f1aebf-5c3a-4849-8815-19904e04fe72</errorID>
      <errorWord>)</errorWord>
      <group>L1_Format</group>
      <groupName>格式问题</groupName>
      <ability>L2_HalfPunc</ability>
      <abilityName>全半角检查</abilityName>
      <candidateList>
        <item>）</item>
      </candidateList>
      <explain>文本全半角错误。</explain>
      <paraID>23A2D0E3</paraID>
      <start>4</start>
      <end>5</end>
      <status>unmodified</status>
      <modifiedWord/>
      <trackRevisions>false</trackRevisions>
    </reviewItem>
    <reviewItem>
      <errorID>ea3f5ca3-04a3-4f21-9367-0b3b09f515b9</errorID>
      <errorWord>，</errorWord>
      <group>L1_Word</group>
      <groupName>字词问题</groupName>
      <ability>L2_Typo</ability>
      <abilityName>字词错误</abilityName>
      <candidateList>
        <item>，具</item>
      </candidateList>
      <explain/>
      <paraID>23A2D0E3</paraID>
      <start>15</start>
      <end>16</end>
      <status>unmodified</status>
      <modifiedWord/>
      <trackRevisions>false</trackRevisions>
    </reviewItem>
    <reviewItem>
      <errorID>467bb2ab-53df-49ce-8bf5-728a0ef4b7ac</errorID>
      <errorWord>(</errorWord>
      <group>L1_Format</group>
      <groupName>格式问题</groupName>
      <ability>L2_HalfPunc</ability>
      <abilityName>全半角检查</abilityName>
      <candidateList>
        <item>（</item>
      </candidateList>
      <explain>文本全半角错误。</explain>
      <paraID>23A2D0E3</paraID>
      <start>54</start>
      <end>55</end>
      <status>unmodified</status>
      <modifiedWord/>
      <trackRevisions>false</trackRevisions>
    </reviewItem>
    <reviewItem>
      <errorID>52073921-b818-46fe-9999-aeebd043491c</errorID>
      <errorWord>(</errorWord>
      <group>L1_Format</group>
      <groupName>格式问题</groupName>
      <ability>L2_HalfPunc</ability>
      <abilityName>全半角检查</abilityName>
      <candidateList>
        <item>（</item>
      </candidateList>
      <explain>文本全半角错误。</explain>
      <paraID>37210D6B</paraID>
      <start>1</start>
      <end>2</end>
      <status>unmodified</status>
      <modifiedWord/>
      <trackRevisions>false</trackRevisions>
    </reviewItem>
    <reviewItem>
      <errorID>8d388ae2-b743-42f3-95b4-52207ce01e70</errorID>
      <errorWord>)</errorWord>
      <group>L1_Format</group>
      <groupName>格式问题</groupName>
      <ability>L2_HalfPunc</ability>
      <abilityName>全半角检查</abilityName>
      <candidateList>
        <item>）</item>
      </candidateList>
      <explain>文本全半角错误。</explain>
      <paraID>37210D6B</paraID>
      <start>4</start>
      <end>5</end>
      <status>unmodified</status>
      <modifiedWord/>
      <trackRevisions>false</trackRevisions>
    </reviewItem>
    <reviewItem>
      <errorID>51bb712a-d16e-4ddb-b08b-cb66810140c7</errorID>
      <errorWord>，</errorWord>
      <group>L1_Word</group>
      <groupName>字词问题</groupName>
      <ability>L2_Typo</ability>
      <abilityName>字词错误</abilityName>
      <candidateList>
        <item>，具</item>
      </candidateList>
      <explain/>
      <paraID>37210D6B</paraID>
      <start>15</start>
      <end>16</end>
      <status>unmodified</status>
      <modifiedWord/>
      <trackRevisions>false</trackRevisions>
    </reviewItem>
    <reviewItem>
      <errorID>49443439-25e6-4789-ba76-23a114a31a2f</errorID>
      <errorWord>(</errorWord>
      <group>L1_Format</group>
      <groupName>格式问题</groupName>
      <ability>L2_HalfPunc</ability>
      <abilityName>全半角检查</abilityName>
      <candidateList>
        <item>（</item>
      </candidateList>
      <explain>文本全半角错误。</explain>
      <paraID>37210D6B</paraID>
      <start>54</start>
      <end>55</end>
      <status>unmodified</status>
      <modifiedWord/>
      <trackRevisions>false</trackRevisions>
    </reviewItem>
    <reviewItem>
      <errorID>60358aa6-ebd8-41ae-a6e8-f24f2e26ed6d</errorID>
      <errorWord>(</errorWord>
      <group>L1_Format</group>
      <groupName>格式问题</groupName>
      <ability>L2_HalfPunc</ability>
      <abilityName>全半角检查</abilityName>
      <candidateList>
        <item>（</item>
      </candidateList>
      <explain>文本全半角错误。</explain>
      <paraID>7FC49AA9</paraID>
      <start>1</start>
      <end>2</end>
      <status>unmodified</status>
      <modifiedWord/>
      <trackRevisions>false</trackRevisions>
    </reviewItem>
    <reviewItem>
      <errorID>d6fc98f1-f340-414a-93d5-c75c987dde70</errorID>
      <errorWord>)</errorWord>
      <group>L1_Format</group>
      <groupName>格式问题</groupName>
      <ability>L2_HalfPunc</ability>
      <abilityName>全半角检查</abilityName>
      <candidateList>
        <item>）</item>
      </candidateList>
      <explain>文本全半角错误。</explain>
      <paraID>7FC49AA9</paraID>
      <start>4</start>
      <end>5</end>
      <status>unmodified</status>
      <modifiedWord/>
      <trackRevisions>false</trackRevisions>
    </reviewItem>
    <reviewItem>
      <errorID>9a4f8bf2-1d86-4379-855b-50f7f6d2a9d4</errorID>
      <errorWord>(</errorWord>
      <group>L1_Format</group>
      <groupName>格式问题</groupName>
      <ability>L2_HalfPunc</ability>
      <abilityName>全半角检查</abilityName>
      <candidateList>
        <item>（</item>
      </candidateList>
      <explain>文本全半角错误。</explain>
      <paraID>7FC49AA9</paraID>
      <start>54</start>
      <end>55</end>
      <status>unmodified</status>
      <modifiedWord/>
      <trackRevisions>false</trackRevisions>
    </reviewItem>
    <reviewItem>
      <errorID>24f392f8-bc18-4c19-a341-965ca0278f4c</errorID>
      <errorWord>认为的</errorWord>
      <group>L1_Word</group>
      <groupName>字词问题</groupName>
      <ability>L2_Typo</ability>
      <abilityName>字词错误</abilityName>
      <candidateList>
        <item>认为</item>
      </candidateList>
      <explain/>
      <paraID>233DC4DF</paraID>
      <start>37</start>
      <end>40</end>
      <status>unmodified</status>
      <modifiedWord/>
      <trackRevisions>false</trackRevisions>
    </reviewItem>
    <reviewItem>
      <errorID>e70cabf3-8f88-4802-9b8f-b72949a9a6b0</errorID>
      <errorWord>(</errorWord>
      <group>L1_Format</group>
      <groupName>格式问题</groupName>
      <ability>L2_HalfPunc</ability>
      <abilityName>全半角检查</abilityName>
      <candidateList>
        <item>（</item>
      </candidateList>
      <explain>文本全半角错误。</explain>
      <paraID>556A62A0</paraID>
      <start>1</start>
      <end>2</end>
      <status>unmodified</status>
      <modifiedWord/>
      <trackRevisions>false</trackRevisions>
    </reviewItem>
    <reviewItem>
      <errorID>7f194bf2-e0b2-47db-bb37-39ce324113c0</errorID>
      <errorWord>)</errorWord>
      <group>L1_Format</group>
      <groupName>格式问题</groupName>
      <ability>L2_HalfPunc</ability>
      <abilityName>全半角检查</abilityName>
      <candidateList>
        <item>）</item>
      </candidateList>
      <explain>文本全半角错误。</explain>
      <paraID>556A62A0</paraID>
      <start>4</start>
      <end>5</end>
      <status>unmodified</status>
      <modifiedWord/>
      <trackRevisions>false</trackRevisions>
    </reviewItem>
    <reviewItem>
      <errorID>84dcbf04-86b0-4328-a4d3-ffc6dabcfe30</errorID>
      <errorWord>(</errorWord>
      <group>L1_Format</group>
      <groupName>格式问题</groupName>
      <ability>L2_HalfPunc</ability>
      <abilityName>全半角检查</abilityName>
      <candidateList>
        <item>（</item>
      </candidateList>
      <explain>文本全半角错误。</explain>
      <paraID>21AE060C</paraID>
      <start>1</start>
      <end>2</end>
      <status>unmodified</status>
      <modifiedWord/>
      <trackRevisions>false</trackRevisions>
    </reviewItem>
    <reviewItem>
      <errorID>789f6afb-fd3c-4962-8247-e28d902c6a1b</errorID>
      <errorWord>)</errorWord>
      <group>L1_Format</group>
      <groupName>格式问题</groupName>
      <ability>L2_HalfPunc</ability>
      <abilityName>全半角检查</abilityName>
      <candidateList>
        <item>）</item>
      </candidateList>
      <explain>文本全半角错误。</explain>
      <paraID>21AE060C</paraID>
      <start>4</start>
      <end>5</end>
      <status>unmodified</status>
      <modifiedWord/>
      <trackRevisions>false</trackRevisions>
    </reviewItem>
    <reviewItem>
      <errorID>76997b0f-dad1-4b1b-92eb-597dd12f8cae</errorID>
      <errorWord>中(</errorWord>
      <group>L1_Word</group>
      <groupName>字词问题</groupName>
      <ability>L2_Typo</ability>
      <abilityName>字词错误</abilityName>
      <candidateList>
        <item>(</item>
      </candidateList>
      <explain/>
      <paraID>31249173</paraID>
      <start>0</start>
      <end>2</end>
      <status>unmodified</status>
      <modifiedWord/>
      <trackRevisions>false</trackRevisions>
    </reviewItem>
    <reviewItem>
      <errorID>b027fd11-786e-43bd-9fc1-8777ec0d58fe</errorID>
      <errorWord>)</errorWord>
      <group>L1_Format</group>
      <groupName>格式问题</groupName>
      <ability>L2_HalfPunc</ability>
      <abilityName>全半角检查</abilityName>
      <candidateList>
        <item>）</item>
      </candidateList>
      <explain>文本全半角错误。</explain>
      <paraID>31249173</paraID>
      <start>4</start>
      <end>5</end>
      <status>unmodified</status>
      <modifiedWord/>
      <trackRevisions>false</trackRevisions>
    </reviewItem>
    <reviewItem>
      <errorID>ed34b960-5ae7-4e2a-b1dd-94d521f7cab2</errorID>
      <errorWord>(</errorWord>
      <group>L1_Format</group>
      <groupName>格式问题</groupName>
      <ability>L2_HalfPunc</ability>
      <abilityName>全半角检查</abilityName>
      <candidateList>
        <item>（</item>
      </candidateList>
      <explain>文本全半角错误。</explain>
      <paraID>18050DF3</paraID>
      <start>1</start>
      <end>2</end>
      <status>unmodified</status>
      <modifiedWord/>
      <trackRevisions>false</trackRevisions>
    </reviewItem>
    <reviewItem>
      <errorID>ae77f97d-1277-4670-8ffd-05cf5e6ac06e</errorID>
      <errorWord>)</errorWord>
      <group>L1_Format</group>
      <groupName>格式问题</groupName>
      <ability>L2_HalfPunc</ability>
      <abilityName>全半角检查</abilityName>
      <candidateList>
        <item>）</item>
      </candidateList>
      <explain>文本全半角错误。</explain>
      <paraID>18050DF3</paraID>
      <start>4</start>
      <end>5</end>
      <status>unmodified</status>
      <modifiedWord/>
      <trackRevisions>false</trackRevisions>
    </reviewItem>
    <reviewItem>
      <errorID>df0deb26-9831-4f65-8261-baac3ff5c333</errorID>
      <errorWord>认为的</errorWord>
      <group>L1_Word</group>
      <groupName>字词问题</groupName>
      <ability>L2_Typo</ability>
      <abilityName>字词错误</abilityName>
      <candidateList>
        <item>认为</item>
      </candidateList>
      <explain/>
      <paraID>3F362021</paraID>
      <start>67</start>
      <end>70</end>
      <status>unmodified</status>
      <modifiedWord/>
      <trackRevisions>false</trackRevisions>
    </reviewItem>
    <reviewItem>
      <errorID>8f5f2d1b-2b17-4b8c-8f33-d32953a5746e</errorID>
      <errorWord>以来年</errorWord>
      <group>L1_Word</group>
      <groupName>字词问题</groupName>
      <ability>L2_Typo</ability>
      <abilityName>字词错误</abilityName>
      <candidateList>
        <item>以来</item>
      </candidateList>
      <explain/>
      <paraID>501CD050</paraID>
      <start>7</start>
      <end>10</end>
      <status>unmodified</status>
      <modifiedWord/>
      <trackRevisions>false</trackRevisions>
    </reviewItem>
    <reviewItem>
      <errorID>d080ee1e-e267-466d-aca9-728498c162bd</errorID>
      <errorWord>,</errorWord>
      <group>L1_Format</group>
      <groupName>格式问题</groupName>
      <ability>L2_HalfPunc</ability>
      <abilityName>全半角检查</abilityName>
      <candidateList>
        <item>，</item>
      </candidateList>
      <explain>文本全半角错误。</explain>
      <paraID>4376B2D2</paraID>
      <start>39</start>
      <end>40</end>
      <status>unmodified</status>
      <modifiedWord/>
      <trackRevisions>false</trackRevisions>
    </reviewItem>
    <reviewItem>
      <errorID>2553728e-6f5d-4681-9b56-5a938b013ee0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A30CF1A</paraID>
      <start>124</start>
      <end>127</end>
      <status>unmodified</status>
      <modifiedWord/>
      <trackRevisions>false</trackRevisions>
    </reviewItem>
    <reviewItem>
      <errorID>0679e80c-7ec1-44ee-b82c-94ee50044656</errorID>
      <errorWord>房</errorWord>
      <group>L1_Word</group>
      <groupName>字词问题</groupName>
      <ability>L2_Typo</ability>
      <abilityName>字词错误</abilityName>
      <candidateList>
        <item>房和</item>
      </candidateList>
      <explain/>
      <paraID> A30CF1A</paraID>
      <start>247</start>
      <end>250</end>
      <status>modified</status>
      <modifiedWord>房和</modifiedWord>
      <trackRevisions>true</trackRevisions>
    </reviewItem>
    <reviewItem>
      <errorID>9866b986-8c01-423b-96f7-274ea801c817</errorID>
      <errorWord>其它</errorWord>
      <group>L1_Word</group>
      <groupName>字词问题</groupName>
      <ability>L2_Alias</ability>
      <abilityName>也作/曾用词</abilityName>
      <candidateList>
        <item>其他</item>
      </candidateList>
      <explain>词汇[其它]为不规范表述或旧称，其规范书面表述为[其他]。</explain>
      <paraID>1FCEAD22</paraID>
      <start>5</start>
      <end>7</end>
      <status>unmodified</status>
      <modifiedWord/>
      <trackRevisions>false</trackRevisions>
    </reviewItem>
    <reviewItem>
      <errorID>996d1074-1e1b-4d7e-b2f6-d771fb5a1c92</errorID>
      <errorWord>费</errorWord>
      <group>L1_Word</group>
      <groupName>字词问题</groupName>
      <ability>L2_Typo</ability>
      <abilityName>字词错误</abilityName>
      <candidateList>
        <item>费用</item>
      </candidateList>
      <explain/>
      <paraID>5E2500AD</paraID>
      <start>14</start>
      <end>15</end>
      <status>unmodified</status>
      <modifiedWord/>
      <trackRevisions>false</trackRevisions>
    </reviewItem>
    <reviewItem>
      <errorID>9dc9d67a-beec-4610-a909-ce6d3b13081c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7377927A</paraID>
      <start>46</start>
      <end>49</end>
      <status>unmodified</status>
      <modifiedWord/>
      <trackRevisions>false</trackRevisions>
    </reviewItem>
    <reviewItem>
      <errorID>baebac05-3ea7-4879-ae04-b80d2ba3b5d1</errorID>
      <errorWord>房</errorWord>
      <group>L1_Word</group>
      <groupName>字词问题</groupName>
      <ability>L2_Typo</ability>
      <abilityName>字词错误</abilityName>
      <candidateList>
        <item>房和</item>
      </candidateList>
      <explain/>
      <paraID>398AD6BF</paraID>
      <start>7</start>
      <end>8</end>
      <status>unmodified</status>
      <modifiedWord/>
      <trackRevisions>false</trackRevisions>
    </reviewItem>
    <reviewItem>
      <errorID>6c57ada1-750c-49db-ac58-23bd8e6d6d9a</errorID>
      <errorWord>:</errorWord>
      <group>L1_Format</group>
      <groupName>格式问题</groupName>
      <ability>L2_HalfPunc</ability>
      <abilityName>全半角检查</abilityName>
      <candidateList>
        <item>：</item>
      </candidateList>
      <explain>文本全半角错误。</explain>
      <paraID>55597F8C</paraID>
      <start>4</start>
      <end>5</end>
      <status>unmodified</status>
      <modifiedWord/>
      <trackRevisions>false</trackRevisions>
    </reviewItem>
    <reviewItem>
      <errorID>936b9abb-cad9-4b4e-aee7-a1bb7e0d938b</errorID>
      <errorWord>》</errorWord>
      <group>L1_Word</group>
      <groupName>字词问题</groupName>
      <ability>L2_Typo</ability>
      <abilityName>字词错误</abilityName>
      <candidateList>
        <item>》等</item>
      </candidateList>
      <explain/>
      <paraID> DD6812C</paraID>
      <start>40</start>
      <end>41</end>
      <status>unmodified</status>
      <modifiedWord/>
      <trackRevisions>false</trackRevisions>
    </reviewItem>
    <reviewItem>
      <errorID>556f3d01-e2bd-46a0-aad4-f9fb5363e27f</errorID>
      <errorWord>房</errorWord>
      <group>L1_Word</group>
      <groupName>字词问题</groupName>
      <ability>L2_Typo</ability>
      <abilityName>字词错误</abilityName>
      <candidateList>
        <item>房和</item>
      </candidateList>
      <explain/>
      <paraID>633629AB</paraID>
      <start>31</start>
      <end>34</end>
      <status>modified</status>
      <modifiedWord>房和</modifiedWord>
      <trackRevisions>true</trackRevisions>
    </reviewItem>
    <reviewItem>
      <errorID>d90b3e3c-afa6-4e7b-a6fc-cd2601352ed6</errorID>
      <errorWord>其它</errorWord>
      <group>L1_Word</group>
      <groupName>字词问题</groupName>
      <ability>L2_Alias</ability>
      <abilityName>也作/曾用词</abilityName>
      <candidateList>
        <item>其他</item>
      </candidateList>
      <explain>词汇[其它]为不规范表述或旧称，其规范书面表述为[其他]。</explain>
      <paraID>6C098E9F</paraID>
      <start>4</start>
      <end>6</end>
      <status>unmodified</status>
      <modifiedWord/>
      <trackRevisions>false</trackRevisions>
    </reviewItem>
    <reviewItem>
      <errorID>463aeeea-10bf-4704-9d24-6b08f2e1b71a</errorID>
      <errorWord>间</errorWord>
      <group>L1_Word</group>
      <groupName>字词问题</groupName>
      <ability>L2_Typo</ability>
      <abilityName>字词错误</abilityName>
      <candidateList>
        <item>间之</item>
      </candidateList>
      <explain/>
      <paraID>728B2012</paraID>
      <start>11</start>
      <end>12</end>
      <status>unmodified</status>
      <modifiedWord/>
      <trackRevisions>false</trackRevisions>
    </reviewItem>
    <reviewItem>
      <errorID>a58205bd-a182-4847-901f-6bb45c9d3adc</errorID>
      <errorWord>:</errorWord>
      <group>L1_Format</group>
      <groupName>格式问题</groupName>
      <ability>L2_HalfPunc</ability>
      <abilityName>全半角检查</abilityName>
      <candidateList>
        <item>：</item>
      </candidateList>
      <explain>文本全半角错误。</explain>
      <paraID>3A4C4A7E</paraID>
      <start>6</start>
      <end>7</end>
      <status>unmodified</status>
      <modifiedWord/>
      <trackRevisions>false</trackRevisions>
    </reviewItem>
    <reviewItem>
      <errorID>9edb173b-7ae3-4a61-84cb-fa4e75cc28e0</errorID>
      <errorWord>(</errorWord>
      <group>L1_Format</group>
      <groupName>格式问题</groupName>
      <ability>L2_HalfPunc</ability>
      <abilityName>全半角检查</abilityName>
      <candidateList>
        <item>（</item>
      </candidateList>
      <explain>文本全半角错误。</explain>
      <paraID>44FFB560</paraID>
      <start>32</start>
      <end>33</end>
      <status>unmodified</status>
      <modifiedWord/>
      <trackRevisions>false</trackRevisions>
    </reviewItem>
    <reviewItem>
      <errorID>fece7ac1-d139-49ef-ab2b-13830f4c6aca</errorID>
      <errorWord>)</errorWord>
      <group>L1_Format</group>
      <groupName>格式问题</groupName>
      <ability>L2_HalfPunc</ability>
      <abilityName>全半角检查</abilityName>
      <candidateList>
        <item>）</item>
      </candidateList>
      <explain>文本全半角错误。</explain>
      <paraID>44FFB560</paraID>
      <start>35</start>
      <end>36</end>
      <status>unmodified</status>
      <modifiedWord/>
      <trackRevisions>false</trackRevisions>
    </reviewItem>
    <reviewItem>
      <errorID>b78f1da6-81f5-4c2f-8e73-6977f6da0951</errorID>
      <errorWord>…………</errorWord>
      <group>L1_Punc</group>
      <groupName>标点问题</groupName>
      <ability>L2_Punc</ability>
      <abilityName>标点符号检查</abilityName>
      <candidateList>
        <item>…</item>
      </candidateList>
      <explain/>
      <paraID>57A0CACE</paraID>
      <start>123</start>
      <end>127</end>
      <status>unmodified</status>
      <modifiedWord/>
      <trackRevisions>false</trackRevisions>
    </reviewItem>
    <reviewItem>
      <errorID>bc37429f-d8ec-4571-bd3a-217ca1c4a0d9</errorID>
      <errorWord>…………</errorWord>
      <group>L1_Punc</group>
      <groupName>标点问题</groupName>
      <ability>L2_Punc</ability>
      <abilityName>标点符号检查</abilityName>
      <candidateList>
        <item>…</item>
      </candidateList>
      <explain/>
      <paraID> 215797D</paraID>
      <start>168</start>
      <end>172</end>
      <status>unmodified</status>
      <modifiedWord/>
      <trackRevisions>false</trackRevisions>
    </reviewItem>
    <reviewItem>
      <errorID>9256a19c-bb11-4f24-80f0-9135252e83d5</errorID>
      <errorWord>…………</errorWord>
      <group>L1_Punc</group>
      <groupName>标点问题</groupName>
      <ability>L2_Punc</ability>
      <abilityName>标点符号检查</abilityName>
      <candidateList>
        <item>…</item>
      </candidateList>
      <explain/>
      <paraID>24DDC042</paraID>
      <start>131</start>
      <end>135</end>
      <status>unmodified</status>
      <modifiedWord/>
      <trackRevisions>false</trackRevisions>
    </reviewItem>
    <reviewItem>
      <errorID>d8b8fa8d-b974-4cd5-891f-996d403aae4f</errorID>
      <errorWord>:</errorWord>
      <group>L1_Format</group>
      <groupName>格式问题</groupName>
      <ability>L2_HalfPunc</ability>
      <abilityName>全半角检查</abilityName>
      <candidateList>
        <item>：</item>
      </candidateList>
      <explain>文本全半角错误。</explain>
      <paraID> F22A605</paraID>
      <start>6</start>
      <end>7</end>
      <status>unmodified</status>
      <modifiedWord/>
      <trackRevisions>false</trackRevisions>
    </reviewItem>
    <reviewItem>
      <errorID>7911fd38-62bd-4b7a-aca6-f0dae2355100</errorID>
      <errorWord>(</errorWord>
      <group>L1_Format</group>
      <groupName>格式问题</groupName>
      <ability>L2_HalfPunc</ability>
      <abilityName>全半角检查</abilityName>
      <candidateList>
        <item>（</item>
      </candidateList>
      <explain>文本全半角错误。</explain>
      <paraID>69C40585</paraID>
      <start>32</start>
      <end>33</end>
      <status>unmodified</status>
      <modifiedWord/>
      <trackRevisions>false</trackRevisions>
    </reviewItem>
    <reviewItem>
      <errorID>d48b62b2-15d7-4b63-afd8-5e643ddda0ae</errorID>
      <errorWord>)</errorWord>
      <group>L1_Format</group>
      <groupName>格式问题</groupName>
      <ability>L2_HalfPunc</ability>
      <abilityName>全半角检查</abilityName>
      <candidateList>
        <item>）</item>
      </candidateList>
      <explain>文本全半角错误。</explain>
      <paraID>69C40585</paraID>
      <start>35</start>
      <end>36</end>
      <status>unmodified</status>
      <modifiedWord/>
      <trackRevisions>false</trackRevisions>
    </reviewItem>
    <reviewItem>
      <errorID>d2451002-b752-40ef-96c6-02f95e65a669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29A84B78</paraID>
      <start>2</start>
      <end>4</end>
      <status>unmodified</status>
      <modifiedWord/>
      <trackRevisions>false</trackRevisions>
    </reviewItem>
    <reviewItem>
      <errorID>1320f1a0-6fb2-4343-b478-28787f3708bb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2DDE29BE</paraID>
      <start>2</start>
      <end>4</end>
      <status>unmodified</status>
      <modifiedWord/>
      <trackRevisions>false</trackRevisions>
    </reviewItem>
    <reviewItem>
      <errorID>696f4af6-7411-4aaf-8de1-8d84656c4f12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56F5901C</paraID>
      <start>2</start>
      <end>4</end>
      <status>unmodified</status>
      <modifiedWord/>
      <trackRevisions>false</trackRevisions>
    </reviewItem>
    <reviewItem>
      <errorID>63467a54-f64b-490b-b661-8b61eaac4812</errorID>
      <errorWord>的</errorWord>
      <group>L1_Word</group>
      <groupName>字词问题</groupName>
      <ability>L2_Typo</ability>
      <abilityName>字词错误</abilityName>
      <candidateList>
        <item/>
      </candidateList>
      <explain/>
      <paraID>4D34361B</paraID>
      <start>79</start>
      <end>80</end>
      <status>unmodified</status>
      <modifiedWord/>
      <trackRevisions>false</trackRevisions>
    </reviewItem>
    <reviewItem>
      <errorID>003807cd-b561-4e7c-bda6-8cbbf7abab15</errorID>
      <errorWord>[2009]50号</errorWord>
      <group>L1_Knowledge</group>
      <groupName>知识性问题</groupName>
      <ability>L2_Knowledge</ability>
      <abilityName>其他知识</abilityName>
      <candidateList>
        <item>〔2009〕50号</item>
      </candidateList>
      <explain>发文字号格式错误</explain>
      <paraID>379336F4</paraID>
      <start>66</start>
      <end>75</end>
      <status>unmodified</status>
      <modifiedWord/>
      <trackRevisions>false</trackRevisions>
    </reviewItem>
    <reviewItem>
      <errorID>680f37a1-b642-457e-8c7a-b8835b88940a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CFC7308</paraID>
      <start>0</start>
      <end>2</end>
      <status>unmodified</status>
      <modifiedWord/>
      <trackRevisions>false</trackRevisions>
    </reviewItem>
    <reviewItem>
      <errorID>2c47527a-2a6e-47b9-8a8b-d53564d0123f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57EBFD07</paraID>
      <start>0</start>
      <end>2</end>
      <status>unmodified</status>
      <modifiedWord/>
      <trackRevisions>false</trackRevisions>
    </reviewItem>
    <reviewItem>
      <errorID>5991da26-f98d-4625-9ec1-733ff7b68a69</errorID>
      <errorWord>存入指定帐户</errorWord>
      <group>L1_Word</group>
      <groupName>字词问题</groupName>
      <ability>L2_Alias</ability>
      <abilityName>也作/曾用词</abilityName>
      <candidateList>
        <item>存入指定账户</item>
      </candidateList>
      <explain>词汇[存入指定帐户]为不规范表述或旧称，其规范书面表述为[存入指定账户]。</explain>
      <paraID>57EBFD07</paraID>
      <start>70</start>
      <end>76</end>
      <status>unmodified</status>
      <modifiedWord/>
      <trackRevisions>false</trackRevisions>
    </reviewItem>
    <reviewItem>
      <errorID>873c51b8-5845-4411-8204-5d23bddcd798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2339D9F1</paraID>
      <start>0</start>
      <end>2</end>
      <status>unmodified</status>
      <modifiedWord/>
      <trackRevisions>false</trackRevisions>
    </reviewItem>
    <reviewItem>
      <errorID>4d997978-fd88-42ec-a4bd-66f1647cd57f</errorID>
      <errorWord>其它</errorWord>
      <group>L1_Word</group>
      <groupName>字词问题</groupName>
      <ability>L2_Alias</ability>
      <abilityName>也作/曾用词</abilityName>
      <candidateList>
        <item>其他</item>
      </candidateList>
      <explain>词汇[其它]为不规范表述或旧称，其规范书面表述为[其他]。</explain>
      <paraID>2339D9F1</paraID>
      <start>43</start>
      <end>45</end>
      <status>unmodified</status>
      <modifiedWord/>
      <trackRevisions>false</trackRevisions>
    </reviewItem>
    <reviewItem>
      <errorID>4b51cc78-770f-4981-83fd-f689d4fbd637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70BD16AB</paraID>
      <start>0</start>
      <end>2</end>
      <status>unmodified</status>
      <modifiedWord/>
      <trackRevisions>false</trackRevisions>
    </reviewItem>
    <reviewItem>
      <errorID>7fb2ebb2-6278-48f3-bd83-0835040296dc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544349F9</paraID>
      <start>0</start>
      <end>2</end>
      <status>unmodified</status>
      <modifiedWord/>
      <trackRevisions>false</trackRevisions>
    </reviewItem>
    <reviewItem>
      <errorID>f501c704-953b-4801-ad8f-94335a9c9841</errorID>
      <errorWord>房</errorWord>
      <group>L1_Word</group>
      <groupName>字词问题</groupName>
      <ability>L2_Typo</ability>
      <abilityName>字词错误</abilityName>
      <candidateList>
        <item>房和</item>
      </candidateList>
      <explain/>
      <paraID>544349F9</paraID>
      <start>97</start>
      <end>100</end>
      <status>modified</status>
      <modifiedWord>房和</modifiedWord>
      <trackRevisions>true</trackRevisions>
    </reviewItem>
    <reviewItem>
      <errorID>cd1ce10a-78b1-436e-a2bc-c1b426c55d81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2E12A5DB</paraID>
      <start>0</start>
      <end>2</end>
      <status>unmodified</status>
      <modifiedWord/>
      <trackRevisions>false</trackRevisions>
    </reviewItem>
    <reviewItem>
      <errorID>2bb65089-11fd-447c-8680-d11953c906ab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44F540D5</paraID>
      <start>0</start>
      <end>2</end>
      <status>unmodified</status>
      <modifiedWord/>
      <trackRevisions>false</trackRevisions>
    </reviewItem>
    <reviewItem>
      <errorID>2a2df4cc-6cbf-42d9-ad46-0244f886a211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201FFC4A</paraID>
      <start>0</start>
      <end>2</end>
      <status>unmodified</status>
      <modifiedWord/>
      <trackRevisions>false</trackRevisions>
    </reviewItem>
    <reviewItem>
      <errorID>8e8a9d0f-02eb-4efa-a291-d2263301f257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5F6E5F4F</paraID>
      <start>0</start>
      <end>2</end>
      <status>unmodified</status>
      <modifiedWord/>
      <trackRevisions>false</trackRevisions>
    </reviewItem>
    <reviewItem>
      <errorID>d112d45f-7228-47c3-bfe5-2606c6fae566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21329070</paraID>
      <start>0</start>
      <end>2</end>
      <status>unmodified</status>
      <modifiedWord/>
      <trackRevisions>false</trackRevisions>
    </reviewItem>
    <reviewItem>
      <errorID>0c61a0fd-e881-48c0-bcbc-8e157d35dc47</errorID>
      <errorWord>噪音</errorWord>
      <group>L1_Word</group>
      <groupName>字词问题</groupName>
      <ability>L2_Alias</ability>
      <abilityName>也作/曾用词</abilityName>
      <candidateList>
        <item>噪声</item>
      </candidateList>
      <explain>词汇[噪音]为不规范表述或旧称，其规范书面表述为[噪声]。</explain>
      <paraID>21329070</paraID>
      <start>156</start>
      <end>158</end>
      <status>unmodified</status>
      <modifiedWord/>
      <trackRevisions>false</trackRevisions>
    </reviewItem>
    <reviewItem>
      <errorID>6f56dd9b-9ec3-42b4-aaea-645ace3bc0c5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7DC3D87F</paraID>
      <start>0</start>
      <end>2</end>
      <status>unmodified</status>
      <modifiedWord/>
      <trackRevisions>false</trackRevisions>
    </reviewItem>
    <reviewItem>
      <errorID>58c437b9-6040-4e59-9f55-b143da15c18a</errorID>
      <errorWord>（</errorWord>
      <group>L1_Format</group>
      <groupName>格式问题</groupName>
      <ability>L2_HalfPunc</ability>
      <abilityName>全半角检查</abilityName>
      <candidateList>
        <item>(</item>
      </candidateList>
      <explain>文本全半角错误。</explain>
      <paraID>3153B306</paraID>
      <start>0</start>
      <end>1</end>
      <status>unmodified</status>
      <modifiedWord/>
      <trackRevisions>false</trackRevisions>
    </reviewItem>
    <reviewItem>
      <errorID>028cff4d-486e-4be1-b63f-54d599a544d7</errorID>
      <errorWord>KW</errorWord>
      <group>L1_Word</group>
      <groupName>字词问题</groupName>
      <ability>L2_Typo</ability>
      <abilityName>字词错误</abilityName>
      <candidateList>
        <item>kW</item>
      </candidateList>
      <explain/>
      <paraID>3153B306</paraID>
      <start>1</start>
      <end>3</end>
      <status>unmodified</status>
      <modifiedWord/>
      <trackRevisions>false</trackRevisions>
    </reviewItem>
    <reviewItem>
      <errorID>b56bb7fe-88aa-4982-a29c-0264c46189a5</errorID>
      <errorWord>）</errorWord>
      <group>L1_Format</group>
      <groupName>格式问题</groupName>
      <ability>L2_HalfPunc</ability>
      <abilityName>全半角检查</abilityName>
      <candidateList>
        <item>)</item>
      </candidateList>
      <explain>文本全半角错误。</explain>
      <paraID>3153B306</paraID>
      <start>3</start>
      <end>4</end>
      <status>unmodified</status>
      <modifiedWord/>
      <trackRevisions>false</trackRevisions>
    </reviewItem>
    <reviewItem>
      <errorID>c75d5c1e-98b0-49b2-bcd2-548471714829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6113EA2D</paraID>
      <start>0</start>
      <end>2</end>
      <status>unmodified</status>
      <modifiedWord/>
      <trackRevisions>false</trackRevisions>
    </reviewItem>
    <reviewItem>
      <errorID>0f677f6a-d360-4ac5-a5bd-c252e6d1ec07</errorID>
      <errorWord>。】</errorWord>
      <group>L1_Punc</group>
      <groupName>标点问题</groupName>
      <ability>L2_Punc</ability>
      <abilityName>标点符号检查</abilityName>
      <candidateList>
        <item>】</item>
      </candidateList>
      <explain/>
      <paraID>38918147</paraID>
      <start>22</start>
      <end>24</end>
      <status>unmodified</status>
      <modifiedWord/>
      <trackRevisions>false</trackRevisions>
    </reviewItem>
    <reviewItem>
      <errorID>37a17f8d-1a2a-42c2-83e7-0074c3095ed7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7121B39F</paraID>
      <start>0</start>
      <end>2</end>
      <status>unmodified</status>
      <modifiedWord/>
      <trackRevisions>false</trackRevisions>
    </reviewItem>
    <reviewItem>
      <errorID>9dd3ae46-493c-4b4c-99e1-ac41574dbde7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1CA459D3</paraID>
      <start>0</start>
      <end>2</end>
      <status>unmodified</status>
      <modifiedWord/>
      <trackRevisions>false</trackRevisions>
    </reviewItem>
    <reviewItem>
      <errorID>6d04af54-976d-4cf9-985c-859156e27f8e</errorID>
      <errorWord>以来年</errorWord>
      <group>L1_Word</group>
      <groupName>字词问题</groupName>
      <ability>L2_Typo</ability>
      <abilityName>字词错误</abilityName>
      <candidateList>
        <item>以来</item>
      </candidateList>
      <explain/>
      <paraID> D9BD69F</paraID>
      <start>7</start>
      <end>10</end>
      <status>unmodified</status>
      <modifiedWord/>
      <trackRevisions>false</trackRevisions>
    </reviewItem>
    <reviewItem>
      <errorID>b3c5623a-de6c-4567-904b-71018df96b1c</errorID>
      <errorWord>以来年</errorWord>
      <group>L1_Word</group>
      <groupName>字词问题</groupName>
      <ability>L2_Typo</ability>
      <abilityName>字词错误</abilityName>
      <candidateList>
        <item>以来</item>
      </candidateList>
      <explain/>
      <paraID>2995FEB6</paraID>
      <start>10</start>
      <end>13</end>
      <status>unmodified</status>
      <modifiedWord/>
      <trackRevisions>false</trackRevisions>
    </reviewItem>
    <reviewItem>
      <errorID>c7c4c8b5-1025-443d-9e02-ac526f2032f4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4F24334B</paraID>
      <start>0</start>
      <end>2</end>
      <status>unmodified</status>
      <modifiedWord/>
      <trackRevisions>false</trackRevisions>
    </reviewItem>
    <reviewItem>
      <errorID>f640b685-b51f-4ffd-91c9-caf37c3d92e3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5EE21689</paraID>
      <start>0</start>
      <end>2</end>
      <status>unmodified</status>
      <modifiedWord/>
      <trackRevisions>false</trackRevisions>
    </reviewItem>
    <reviewItem>
      <errorID>292c012c-5dba-49b9-85ed-c9599931256a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7897E188</paraID>
      <start>5</start>
      <end>7</end>
      <status>unmodified</status>
      <modifiedWord/>
      <trackRevisions>false</trackRevisions>
    </reviewItem>
    <reviewItem>
      <errorID>3a64af65-3496-4b94-b2df-4cf491db1796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23FAB645</paraID>
      <start>0</start>
      <end>2</end>
      <status>unmodified</status>
      <modifiedWord/>
      <trackRevisions>false</trackRevisions>
    </reviewItem>
    <reviewItem>
      <errorID>d3ea1e52-698b-45db-a69e-7ee6e10a8b51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47CB349D</paraID>
      <start>0</start>
      <end>2</end>
      <status>unmodified</status>
      <modifiedWord/>
      <trackRevisions>false</trackRevisions>
    </reviewItem>
    <reviewItem>
      <errorID>2ab9fb3c-190a-402f-ba44-8f7b502740a8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7C5AEC1E</paraID>
      <start>0</start>
      <end>2</end>
      <status>unmodified</status>
      <modifiedWord/>
      <trackRevisions>false</trackRevisions>
    </reviewItem>
    <reviewItem>
      <errorID>9bb59b52-9fe4-4214-a4a9-b3e0f63ebd31</errorID>
      <errorWord>(</errorWord>
      <group>L1_Format</group>
      <groupName>格式问题</groupName>
      <ability>L2_HalfPunc</ability>
      <abilityName>全半角检查</abilityName>
      <candidateList>
        <item>（</item>
      </candidateList>
      <explain>文本全半角错误。</explain>
      <paraID>3ACFAD2F</paraID>
      <start>6</start>
      <end>7</end>
      <status>unmodified</status>
      <modifiedWord/>
      <trackRevisions>false</trackRevisions>
    </reviewItem>
    <reviewItem>
      <errorID>f8f5e5a7-1875-4588-9475-81e2680370cb</errorID>
      <errorWord>)</errorWord>
      <group>L1_Format</group>
      <groupName>格式问题</groupName>
      <ability>L2_HalfPunc</ability>
      <abilityName>全半角检查</abilityName>
      <candidateList>
        <item>）</item>
      </candidateList>
      <explain>文本全半角错误。</explain>
      <paraID>3ACFAD2F</paraID>
      <start>9</start>
      <end>10</end>
      <status>unmodified</status>
      <modifiedWord/>
      <trackRevisions>false</trackRevisions>
    </reviewItem>
    <reviewItem>
      <errorID>60b1b5fa-5d01-43e2-a9db-b6136c26c58e</errorID>
      <errorWord>(</errorWord>
      <group>L1_Format</group>
      <groupName>格式问题</groupName>
      <ability>L2_HalfPunc</ability>
      <abilityName>全半角检查</abilityName>
      <candidateList>
        <item>（</item>
      </candidateList>
      <explain>文本全半角错误。</explain>
      <paraID>274E590B</paraID>
      <start>6</start>
      <end>7</end>
      <status>unmodified</status>
      <modifiedWord/>
      <trackRevisions>false</trackRevisions>
    </reviewItem>
    <reviewItem>
      <errorID>df0e8de6-af2a-40d4-a905-e7ac09163fc9</errorID>
      <errorWord>)</errorWord>
      <group>L1_Format</group>
      <groupName>格式问题</groupName>
      <ability>L2_HalfPunc</ability>
      <abilityName>全半角检查</abilityName>
      <candidateList>
        <item>）</item>
      </candidateList>
      <explain>文本全半角错误。</explain>
      <paraID>274E590B</paraID>
      <start>12</start>
      <end>13</end>
      <status>unmodified</status>
      <modifiedWord/>
      <trackRevisions>false</trackRevisions>
    </reviewItem>
    <reviewItem>
      <errorID>9aedeff1-6c2d-40f5-bd29-3f28534bb2e4</errorID>
      <errorWord>:</errorWord>
      <group>L1_Format</group>
      <groupName>格式问题</groupName>
      <ability>L2_HalfPunc</ability>
      <abilityName>全半角检查</abilityName>
      <candidateList>
        <item>：</item>
      </candidateList>
      <explain>文本全半角错误。</explain>
      <paraID> FD9C2E4</paraID>
      <start>12</start>
      <end>13</end>
      <status>unmodified</status>
      <modifiedWord/>
      <trackRevisions>false</trackRevisions>
    </reviewItem>
    <reviewItem>
      <errorID>5987dd42-14c1-40bc-96be-43216cfb32dc</errorID>
      <errorWord>(</errorWord>
      <group>L1_Format</group>
      <groupName>格式问题</groupName>
      <ability>L2_HalfPunc</ability>
      <abilityName>全半角检查</abilityName>
      <candidateList>
        <item>（</item>
      </candidateList>
      <explain>文本全半角错误。</explain>
      <paraID>22D86078</paraID>
      <start>25</start>
      <end>26</end>
      <status>unmodified</status>
      <modifiedWord/>
      <trackRevisions>false</trackRevisions>
    </reviewItem>
    <reviewItem>
      <errorID>a3302b40-172a-4d72-9a34-3efa6aabd2fb</errorID>
      <errorWord>)</errorWord>
      <group>L1_Format</group>
      <groupName>格式问题</groupName>
      <ability>L2_HalfPunc</ability>
      <abilityName>全半角检查</abilityName>
      <candidateList>
        <item>）</item>
      </candidateList>
      <explain>文本全半角错误。</explain>
      <paraID>22D86078</paraID>
      <start>38</start>
      <end>39</end>
      <status>unmodified</status>
      <modifiedWord/>
      <trackRevisions>false</trackRevisions>
    </reviewItem>
    <reviewItem>
      <errorID>866e73f2-9c09-432f-b005-3aed9ab88dab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22D86078</paraID>
      <start>64</start>
      <end>67</end>
      <status>unmodified</status>
      <modifiedWord/>
      <trackRevisions>false</trackRevisions>
    </reviewItem>
    <reviewItem>
      <errorID>bd1c9bf6-fa06-4217-b6ed-6f26cb3e6626</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5CD2E40C</paraID>
      <start>33</start>
      <end>35</end>
      <status>unmodified</status>
      <modifiedWord/>
      <trackRevisions>false</trackRevisions>
    </reviewItem>
    <reviewItem>
      <errorID>190c16f4-ab26-47ac-8906-d64be7bdcac1</errorID>
      <errorWord>件</errorWord>
      <group>L1_Word</group>
      <groupName>字词问题</groupName>
      <ability>L2_Typo</ability>
      <abilityName>字词错误</abilityName>
      <candidateList>
        <item>件和</item>
      </candidateList>
      <explain/>
      <paraID>74A5B779</paraID>
      <start>31</start>
      <end>32</end>
      <status>unmodified</status>
      <modifiedWord/>
      <trackRevisions>false</trackRevisions>
    </reviewItem>
    <reviewItem>
      <errorID>4b6fd680-bf51-4615-a27b-9fcc316c5333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5E29909B</paraID>
      <start>0</start>
      <end>2</end>
      <status>unmodified</status>
      <modifiedWord/>
      <trackRevisions>false</trackRevisions>
    </reviewItem>
    <reviewItem>
      <errorID>1ae34580-27e6-4ee6-9b40-8120add31932</errorID>
      <errorWord>[2020]46号</errorWord>
      <group>L1_Knowledge</group>
      <groupName>知识性问题</groupName>
      <ability>L2_Knowledge</ability>
      <abilityName>其他知识</abilityName>
      <candidateList>
        <item>〔2020〕46号</item>
      </candidateList>
      <explain>发文字号格式错误</explain>
      <paraID>247BF468</paraID>
      <start>31</start>
      <end>40</end>
      <status>unmodified</status>
      <modifiedWord/>
      <trackRevisions>false</trackRevisions>
    </reviewItem>
    <reviewItem>
      <errorID>a8de5822-6641-4a26-b991-24b0a9d5d848</errorID>
      <errorWord>＜</errorWord>
      <group>L1_Format</group>
      <groupName>格式问题</groupName>
      <ability>L2_HalfPunc</ability>
      <abilityName>全半角检查</abilityName>
      <candidateList>
        <item>&lt;</item>
      </candidateList>
      <explain>文本全半角错误。</explain>
      <paraID>5FE4C83D</paraID>
      <start>5</start>
      <end>6</end>
      <status>unmodified</status>
      <modifiedWord/>
      <trackRevisions>false</trackRevisions>
    </reviewItem>
    <reviewItem>
      <errorID>0893e8b6-d9ef-4de7-929d-8e31c9797e05</errorID>
      <errorWord>＜</errorWord>
      <group>L1_Format</group>
      <groupName>格式问题</groupName>
      <ability>L2_HalfPunc</ability>
      <abilityName>全半角检查</abilityName>
      <candidateList>
        <item>&lt;</item>
      </candidateList>
      <explain>文本全半角错误。</explain>
      <paraID> 5ED62C7</paraID>
      <start>4</start>
      <end>5</end>
      <status>unmodified</status>
      <modifiedWord/>
      <trackRevisions>false</trackRevisions>
    </reviewItem>
    <reviewItem>
      <errorID>a833f6f7-68fb-48a7-8a28-7a4cc08abf54</errorID>
      <errorWord>＜</errorWord>
      <group>L1_Format</group>
      <groupName>格式问题</groupName>
      <ability>L2_HalfPunc</ability>
      <abilityName>全半角检查</abilityName>
      <candidateList>
        <item>&lt;</item>
      </candidateList>
      <explain>文本全半角错误。</explain>
      <paraID> F048F8A</paraID>
      <start>1</start>
      <end>2</end>
      <status>unmodified</status>
      <modifiedWord/>
      <trackRevisions>false</trackRevisions>
    </reviewItem>
    <reviewItem>
      <errorID>b89b4e30-778b-4982-b0eb-0314f43ceb72</errorID>
      <errorWord>＜</errorWord>
      <group>L1_Format</group>
      <groupName>格式问题</groupName>
      <ability>L2_HalfPunc</ability>
      <abilityName>全半角检查</abilityName>
      <candidateList>
        <item>&lt;</item>
      </candidateList>
      <explain>文本全半角错误。</explain>
      <paraID>36D32B32</paraID>
      <start>5</start>
      <end>6</end>
      <status>unmodified</status>
      <modifiedWord/>
      <trackRevisions>false</trackRevisions>
    </reviewItem>
    <reviewItem>
      <errorID>1dbe68b2-1dc2-41d9-a740-e6ed72f38a39</errorID>
      <errorWord>＜</errorWord>
      <group>L1_Format</group>
      <groupName>格式问题</groupName>
      <ability>L2_HalfPunc</ability>
      <abilityName>全半角检查</abilityName>
      <candidateList>
        <item>&lt;</item>
      </candidateList>
      <explain>文本全半角错误。</explain>
      <paraID>51898D0E</paraID>
      <start>4</start>
      <end>5</end>
      <status>unmodified</status>
      <modifiedWord/>
      <trackRevisions>false</trackRevisions>
    </reviewItem>
    <reviewItem>
      <errorID>e711df2b-3ba7-4478-82df-95d547e07045</errorID>
      <errorWord>＜</errorWord>
      <group>L1_Format</group>
      <groupName>格式问题</groupName>
      <ability>L2_HalfPunc</ability>
      <abilityName>全半角检查</abilityName>
      <candidateList>
        <item>&lt;</item>
      </candidateList>
      <explain>文本全半角错误。</explain>
      <paraID> 2D5D00D</paraID>
      <start>1</start>
      <end>2</end>
      <status>unmodified</status>
      <modifiedWord/>
      <trackRevisions>false</trackRevisions>
    </reviewItem>
    <reviewItem>
      <errorID>b1ad7789-8550-4c26-9f12-fe97aa24c127</errorID>
      <errorWord>＜</errorWord>
      <group>L1_Format</group>
      <groupName>格式问题</groupName>
      <ability>L2_HalfPunc</ability>
      <abilityName>全半角检查</abilityName>
      <candidateList>
        <item>&lt;</item>
      </candidateList>
      <explain>文本全半角错误。</explain>
      <paraID>55BEF103</paraID>
      <start>6</start>
      <end>7</end>
      <status>unmodified</status>
      <modifiedWord/>
      <trackRevisions>false</trackRevisions>
    </reviewItem>
    <reviewItem>
      <errorID>f71fc733-76d5-45ea-b19e-e1b44019bfc7</errorID>
      <errorWord>＜</errorWord>
      <group>L1_Format</group>
      <groupName>格式问题</groupName>
      <ability>L2_HalfPunc</ability>
      <abilityName>全半角检查</abilityName>
      <candidateList>
        <item>&lt;</item>
      </candidateList>
      <explain>文本全半角错误。</explain>
      <paraID>69DEF9D5</paraID>
      <start>5</start>
      <end>6</end>
      <status>unmodified</status>
      <modifiedWord/>
      <trackRevisions>false</trackRevisions>
    </reviewItem>
    <reviewItem>
      <errorID>175f327e-9b9d-4233-9f7d-75bdbff43f4b</errorID>
      <errorWord>＜</errorWord>
      <group>L1_Format</group>
      <groupName>格式问题</groupName>
      <ability>L2_HalfPunc</ability>
      <abilityName>全半角检查</abilityName>
      <candidateList>
        <item>&lt;</item>
      </candidateList>
      <explain>文本全半角错误。</explain>
      <paraID>46691786</paraID>
      <start>1</start>
      <end>2</end>
      <status>unmodified</status>
      <modifiedWord/>
      <trackRevisions>false</trackRevisions>
    </reviewItem>
    <reviewItem>
      <errorID>5323b238-35dd-4c6d-96c9-537f20ff7dd1</errorID>
      <errorWord>＜</errorWord>
      <group>L1_Format</group>
      <groupName>格式问题</groupName>
      <ability>L2_HalfPunc</ability>
      <abilityName>全半角检查</abilityName>
      <candidateList>
        <item>&lt;</item>
      </candidateList>
      <explain>文本全半角错误。</explain>
      <paraID>10AFBF81</paraID>
      <start>6</start>
      <end>7</end>
      <status>unmodified</status>
      <modifiedWord/>
      <trackRevisions>false</trackRevisions>
    </reviewItem>
    <reviewItem>
      <errorID>45fa5cb9-178e-468a-91ab-5fd0cea7b4e6</errorID>
      <errorWord>＜</errorWord>
      <group>L1_Format</group>
      <groupName>格式问题</groupName>
      <ability>L2_HalfPunc</ability>
      <abilityName>全半角检查</abilityName>
      <candidateList>
        <item>&lt;</item>
      </candidateList>
      <explain>文本全半角错误。</explain>
      <paraID>228E840E</paraID>
      <start>5</start>
      <end>6</end>
      <status>unmodified</status>
      <modifiedWord/>
      <trackRevisions>false</trackRevisions>
    </reviewItem>
    <reviewItem>
      <errorID>f90df9ba-2890-44ee-93e0-bda180cc8693</errorID>
      <errorWord>＜</errorWord>
      <group>L1_Format</group>
      <groupName>格式问题</groupName>
      <ability>L2_HalfPunc</ability>
      <abilityName>全半角检查</abilityName>
      <candidateList>
        <item>&lt;</item>
      </candidateList>
      <explain>文本全半角错误。</explain>
      <paraID> 932F2BC</paraID>
      <start>1</start>
      <end>2</end>
      <status>unmodified</status>
      <modifiedWord/>
      <trackRevisions>false</trackRevisions>
    </reviewItem>
    <reviewItem>
      <errorID>8fd798f0-8077-4c16-be7b-da50d9a264d7</errorID>
      <errorWord>＜</errorWord>
      <group>L1_Format</group>
      <groupName>格式问题</groupName>
      <ability>L2_HalfPunc</ability>
      <abilityName>全半角检查</abilityName>
      <candidateList>
        <item>&lt;</item>
      </candidateList>
      <explain>文本全半角错误。</explain>
      <paraID>50CB5386</paraID>
      <start>6</start>
      <end>7</end>
      <status>unmodified</status>
      <modifiedWord/>
      <trackRevisions>false</trackRevisions>
    </reviewItem>
    <reviewItem>
      <errorID>173f5ba4-9647-4396-bba5-b2caa0cb6fee</errorID>
      <errorWord>＜</errorWord>
      <group>L1_Format</group>
      <groupName>格式问题</groupName>
      <ability>L2_HalfPunc</ability>
      <abilityName>全半角检查</abilityName>
      <candidateList>
        <item>&lt;</item>
      </candidateList>
      <explain>文本全半角错误。</explain>
      <paraID>3730B80F</paraID>
      <start>5</start>
      <end>6</end>
      <status>unmodified</status>
      <modifiedWord/>
      <trackRevisions>false</trackRevisions>
    </reviewItem>
    <reviewItem>
      <errorID>171942a8-29bf-4db9-ad86-ab6599f4e46d</errorID>
      <errorWord>＜</errorWord>
      <group>L1_Format</group>
      <groupName>格式问题</groupName>
      <ability>L2_HalfPunc</ability>
      <abilityName>全半角检查</abilityName>
      <candidateList>
        <item>&lt;</item>
      </candidateList>
      <explain>文本全半角错误。</explain>
      <paraID>3702C77D</paraID>
      <start>1</start>
      <end>2</end>
      <status>unmodified</status>
      <modifiedWord/>
      <trackRevisions>false</trackRevisions>
    </reviewItem>
    <reviewItem>
      <errorID>b3700041-7cc8-4184-84a6-48b2132fb378</errorID>
      <errorWord>＜</errorWord>
      <group>L1_Format</group>
      <groupName>格式问题</groupName>
      <ability>L2_HalfPunc</ability>
      <abilityName>全半角检查</abilityName>
      <candidateList>
        <item>&lt;</item>
      </candidateList>
      <explain>文本全半角错误。</explain>
      <paraID>2B6F1F95</paraID>
      <start>4</start>
      <end>5</end>
      <status>unmodified</status>
      <modifiedWord/>
      <trackRevisions>false</trackRevisions>
    </reviewItem>
    <reviewItem>
      <errorID>7a0e578c-1890-4a8c-ac08-36c6d8afacf4</errorID>
      <errorWord>＜</errorWord>
      <group>L1_Format</group>
      <groupName>格式问题</groupName>
      <ability>L2_HalfPunc</ability>
      <abilityName>全半角检查</abilityName>
      <candidateList>
        <item>&lt;</item>
      </candidateList>
      <explain>文本全半角错误。</explain>
      <paraID>7CE64D93</paraID>
      <start>3</start>
      <end>4</end>
      <status>unmodified</status>
      <modifiedWord/>
      <trackRevisions>false</trackRevisions>
    </reviewItem>
    <reviewItem>
      <errorID>0a8bb763-6880-4f7b-8bed-b04cd8632857</errorID>
      <errorWord>＜</errorWord>
      <group>L1_Format</group>
      <groupName>格式问题</groupName>
      <ability>L2_HalfPunc</ability>
      <abilityName>全半角检查</abilityName>
      <candidateList>
        <item>&lt;</item>
      </candidateList>
      <explain>文本全半角错误。</explain>
      <paraID>34812F74</paraID>
      <start>1</start>
      <end>2</end>
      <status>unmodified</status>
      <modifiedWord/>
      <trackRevisions>false</trackRevisions>
    </reviewItem>
    <reviewItem>
      <errorID>e47bbc43-332a-4d3b-87ef-799fd2f9b39c</errorID>
      <errorWord>＜</errorWord>
      <group>L1_Format</group>
      <groupName>格式问题</groupName>
      <ability>L2_HalfPunc</ability>
      <abilityName>全半角检查</abilityName>
      <candidateList>
        <item>&lt;</item>
      </candidateList>
      <explain>文本全半角错误。</explain>
      <paraID>10869E57</paraID>
      <start>6</start>
      <end>7</end>
      <status>unmodified</status>
      <modifiedWord/>
      <trackRevisions>false</trackRevisions>
    </reviewItem>
    <reviewItem>
      <errorID>a574eb03-b30c-4a54-848b-c4582002c7ea</errorID>
      <errorWord>＜</errorWord>
      <group>L1_Format</group>
      <groupName>格式问题</groupName>
      <ability>L2_HalfPunc</ability>
      <abilityName>全半角检查</abilityName>
      <candidateList>
        <item>&lt;</item>
      </candidateList>
      <explain>文本全半角错误。</explain>
      <paraID>1FB9F486</paraID>
      <start>6</start>
      <end>7</end>
      <status>unmodified</status>
      <modifiedWord/>
      <trackRevisions>false</trackRevisions>
    </reviewItem>
    <reviewItem>
      <errorID>9c362472-c844-4ac7-bbec-c642b3455529</errorID>
      <errorWord>＜</errorWord>
      <group>L1_Format</group>
      <groupName>格式问题</groupName>
      <ability>L2_HalfPunc</ability>
      <abilityName>全半角检查</abilityName>
      <candidateList>
        <item>&lt;</item>
      </candidateList>
      <explain>文本全半角错误。</explain>
      <paraID> D7A01F8</paraID>
      <start>1</start>
      <end>2</end>
      <status>unmodified</status>
      <modifiedWord/>
      <trackRevisions>false</trackRevisions>
    </reviewItem>
    <reviewItem>
      <errorID>93194a65-3841-421b-89cf-2fd902c0a2f2</errorID>
      <errorWord>＜</errorWord>
      <group>L1_Format</group>
      <groupName>格式问题</groupName>
      <ability>L2_HalfPunc</ability>
      <abilityName>全半角检查</abilityName>
      <candidateList>
        <item>&lt;</item>
      </candidateList>
      <explain>文本全半角错误。</explain>
      <paraID>4D9781B2</paraID>
      <start>4</start>
      <end>5</end>
      <status>unmodified</status>
      <modifiedWord/>
      <trackRevisions>false</trackRevisions>
    </reviewItem>
    <reviewItem>
      <errorID>f2af713a-d0da-4138-91d4-1ec2b22a3f99</errorID>
      <errorWord>＜</errorWord>
      <group>L1_Format</group>
      <groupName>格式问题</groupName>
      <ability>L2_HalfPunc</ability>
      <abilityName>全半角检查</abilityName>
      <candidateList>
        <item>&lt;</item>
      </candidateList>
      <explain>文本全半角错误。</explain>
      <paraID>5548FA77</paraID>
      <start>4</start>
      <end>5</end>
      <status>unmodified</status>
      <modifiedWord/>
      <trackRevisions>false</trackRevisions>
    </reviewItem>
    <reviewItem>
      <errorID>e335a3f8-0c7f-4c4c-9219-29e357118df3</errorID>
      <errorWord>＜</errorWord>
      <group>L1_Format</group>
      <groupName>格式问题</groupName>
      <ability>L2_HalfPunc</ability>
      <abilityName>全半角检查</abilityName>
      <candidateList>
        <item>&lt;</item>
      </candidateList>
      <explain>文本全半角错误。</explain>
      <paraID>328E7EA8</paraID>
      <start>1</start>
      <end>2</end>
      <status>unmodified</status>
      <modifiedWord/>
      <trackRevisions>false</trackRevisions>
    </reviewItem>
    <reviewItem>
      <errorID>9a143a8b-0bc0-49a7-b940-6f6f2cbeebc0</errorID>
      <errorWord>＜</errorWord>
      <group>L1_Format</group>
      <groupName>格式问题</groupName>
      <ability>L2_HalfPunc</ability>
      <abilityName>全半角检查</abilityName>
      <candidateList>
        <item>&lt;</item>
      </candidateList>
      <explain>文本全半角错误。</explain>
      <paraID> EA6209B</paraID>
      <start>5</start>
      <end>6</end>
      <status>unmodified</status>
      <modifiedWord/>
      <trackRevisions>false</trackRevisions>
    </reviewItem>
    <reviewItem>
      <errorID>a6134223-358c-47ab-b889-dbeafff05e17</errorID>
      <errorWord>＜</errorWord>
      <group>L1_Format</group>
      <groupName>格式问题</groupName>
      <ability>L2_HalfPunc</ability>
      <abilityName>全半角检查</abilityName>
      <candidateList>
        <item>&lt;</item>
      </candidateList>
      <explain>文本全半角错误。</explain>
      <paraID>57D79F18</paraID>
      <start>5</start>
      <end>6</end>
      <status>unmodified</status>
      <modifiedWord/>
      <trackRevisions>false</trackRevisions>
    </reviewItem>
    <reviewItem>
      <errorID>76e4d42a-34ae-442e-b30d-2a90ad9759b3</errorID>
      <errorWord>＜</errorWord>
      <group>L1_Format</group>
      <groupName>格式问题</groupName>
      <ability>L2_HalfPunc</ability>
      <abilityName>全半角检查</abilityName>
      <candidateList>
        <item>&lt;</item>
      </candidateList>
      <explain>文本全半角错误。</explain>
      <paraID>1D51E28D</paraID>
      <start>1</start>
      <end>2</end>
      <status>unmodified</status>
      <modifiedWord/>
      <trackRevisions>false</trackRevisions>
    </reviewItem>
    <reviewItem>
      <errorID>603060a8-afd7-4d05-9070-f05aae4ede76</errorID>
      <errorWord>＜</errorWord>
      <group>L1_Format</group>
      <groupName>格式问题</groupName>
      <ability>L2_HalfPunc</ability>
      <abilityName>全半角检查</abilityName>
      <candidateList>
        <item>&lt;</item>
      </candidateList>
      <explain>文本全半角错误。</explain>
      <paraID>738DDCE8</paraID>
      <start>5</start>
      <end>6</end>
      <status>unmodified</status>
      <modifiedWord/>
      <trackRevisions>false</trackRevisions>
    </reviewItem>
    <reviewItem>
      <errorID>ef1b7d1b-bf40-4596-bbab-bfe94a168127</errorID>
      <errorWord>＜</errorWord>
      <group>L1_Format</group>
      <groupName>格式问题</groupName>
      <ability>L2_HalfPunc</ability>
      <abilityName>全半角检查</abilityName>
      <candidateList>
        <item>&lt;</item>
      </candidateList>
      <explain>文本全半角错误。</explain>
      <paraID>4E0F9B9F</paraID>
      <start>4</start>
      <end>5</end>
      <status>unmodified</status>
      <modifiedWord/>
      <trackRevisions>false</trackRevisions>
    </reviewItem>
    <reviewItem>
      <errorID>0dd1d0cd-73f4-4d7e-9a45-9b87a03f7bc2</errorID>
      <errorWord>＜</errorWord>
      <group>L1_Format</group>
      <groupName>格式问题</groupName>
      <ability>L2_HalfPunc</ability>
      <abilityName>全半角检查</abilityName>
      <candidateList>
        <item>&lt;</item>
      </candidateList>
      <explain>文本全半角错误。</explain>
      <paraID>2BF133A7</paraID>
      <start>1</start>
      <end>2</end>
      <status>unmodified</status>
      <modifiedWord/>
      <trackRevisions>false</trackRevisions>
    </reviewItem>
    <reviewItem>
      <errorID>fbdfbc03-799d-44a6-a247-5b062b5047ee</errorID>
      <errorWord>＜</errorWord>
      <group>L1_Format</group>
      <groupName>格式问题</groupName>
      <ability>L2_HalfPunc</ability>
      <abilityName>全半角检查</abilityName>
      <candidateList>
        <item>&lt;</item>
      </candidateList>
      <explain>文本全半角错误。</explain>
      <paraID>4F86E7FB</paraID>
      <start>6</start>
      <end>7</end>
      <status>unmodified</status>
      <modifiedWord/>
      <trackRevisions>false</trackRevisions>
    </reviewItem>
    <reviewItem>
      <errorID>442e4d32-241e-4b66-8eb7-37713e184363</errorID>
      <errorWord>＜</errorWord>
      <group>L1_Format</group>
      <groupName>格式问题</groupName>
      <ability>L2_HalfPunc</ability>
      <abilityName>全半角检查</abilityName>
      <candidateList>
        <item>&lt;</item>
      </candidateList>
      <explain>文本全半角错误。</explain>
      <paraID>1D9D30EF</paraID>
      <start>5</start>
      <end>6</end>
      <status>unmodified</status>
      <modifiedWord/>
      <trackRevisions>false</trackRevisions>
    </reviewItem>
    <reviewItem>
      <errorID>38e7d788-fc2a-43fc-8388-091732449751</errorID>
      <errorWord>＜</errorWord>
      <group>L1_Format</group>
      <groupName>格式问题</groupName>
      <ability>L2_HalfPunc</ability>
      <abilityName>全半角检查</abilityName>
      <candidateList>
        <item>&lt;</item>
      </candidateList>
      <explain>文本全半角错误。</explain>
      <paraID>14D80260</paraID>
      <start>1</start>
      <end>2</end>
      <status>unmodified</status>
      <modifiedWord/>
      <trackRevisions>false</trackRevisions>
    </reviewItem>
    <reviewItem>
      <errorID>57d37ad7-642e-47fc-aca1-402cebdb8866</errorID>
      <errorWord>＜</errorWord>
      <group>L1_Format</group>
      <groupName>格式问题</groupName>
      <ability>L2_HalfPunc</ability>
      <abilityName>全半角检查</abilityName>
      <candidateList>
        <item>&lt;</item>
      </candidateList>
      <explain>文本全半角错误。</explain>
      <paraID>1A8C1DB0</paraID>
      <start>5</start>
      <end>6</end>
      <status>unmodified</status>
      <modifiedWord/>
      <trackRevisions>false</trackRevisions>
    </reviewItem>
    <reviewItem>
      <errorID>7e19eb47-ecf9-4c02-8315-acfd70c46e94</errorID>
      <errorWord>＜</errorWord>
      <group>L1_Format</group>
      <groupName>格式问题</groupName>
      <ability>L2_HalfPunc</ability>
      <abilityName>全半角检查</abilityName>
      <candidateList>
        <item>&lt;</item>
      </candidateList>
      <explain>文本全半角错误。</explain>
      <paraID>54731A8F</paraID>
      <start>4</start>
      <end>5</end>
      <status>unmodified</status>
      <modifiedWord/>
      <trackRevisions>false</trackRevisions>
    </reviewItem>
    <reviewItem>
      <errorID>baefd8e8-90e0-4a95-95ef-b404dedf8b08</errorID>
      <errorWord>＜</errorWord>
      <group>L1_Format</group>
      <groupName>格式问题</groupName>
      <ability>L2_HalfPunc</ability>
      <abilityName>全半角检查</abilityName>
      <candidateList>
        <item>&lt;</item>
      </candidateList>
      <explain>文本全半角错误。</explain>
      <paraID>452755D7</paraID>
      <start>1</start>
      <end>2</end>
      <status>unmodified</status>
      <modifiedWord/>
      <trackRevisions>false</trackRevisions>
    </reviewItem>
    <reviewItem>
      <errorID>5c25d395-178c-489d-9ed7-d311f97f281c</errorID>
      <errorWord>＜</errorWord>
      <group>L1_Format</group>
      <groupName>格式问题</groupName>
      <ability>L2_HalfPunc</ability>
      <abilityName>全半角检查</abilityName>
      <candidateList>
        <item>&lt;</item>
      </candidateList>
      <explain>文本全半角错误。</explain>
      <paraID>37A12F5B</paraID>
      <start>6</start>
      <end>7</end>
      <status>unmodified</status>
      <modifiedWord/>
      <trackRevisions>false</trackRevisions>
    </reviewItem>
    <reviewItem>
      <errorID>031043b4-e04c-494c-9975-c458b45cf4b2</errorID>
      <errorWord>＜</errorWord>
      <group>L1_Format</group>
      <groupName>格式问题</groupName>
      <ability>L2_HalfPunc</ability>
      <abilityName>全半角检查</abilityName>
      <candidateList>
        <item>&lt;</item>
      </candidateList>
      <explain>文本全半角错误。</explain>
      <paraID>42A32D0E</paraID>
      <start>5</start>
      <end>6</end>
      <status>unmodified</status>
      <modifiedWord/>
      <trackRevisions>false</trackRevisions>
    </reviewItem>
    <reviewItem>
      <errorID>5e18c00d-8278-4d3c-b484-aba826354d30</errorID>
      <errorWord>＜</errorWord>
      <group>L1_Format</group>
      <groupName>格式问题</groupName>
      <ability>L2_HalfPunc</ability>
      <abilityName>全半角检查</abilityName>
      <candidateList>
        <item>&lt;</item>
      </candidateList>
      <explain>文本全半角错误。</explain>
      <paraID>62852074</paraID>
      <start>1</start>
      <end>2</end>
      <status>unmodified</status>
      <modifiedWord/>
      <trackRevisions>false</trackRevisions>
    </reviewItem>
    <reviewItem>
      <errorID>b972d6a0-fa38-4307-bc1b-a9cbe376fbe2</errorID>
      <errorWord>＜</errorWord>
      <group>L1_Format</group>
      <groupName>格式问题</groupName>
      <ability>L2_HalfPunc</ability>
      <abilityName>全半角检查</abilityName>
      <candidateList>
        <item>&lt;</item>
      </candidateList>
      <explain>文本全半角错误。</explain>
      <paraID>7BEAE613</paraID>
      <start>5</start>
      <end>6</end>
      <status>unmodified</status>
      <modifiedWord/>
      <trackRevisions>false</trackRevisions>
    </reviewItem>
    <reviewItem>
      <errorID>1dbc1ae4-c967-4e51-bf5f-ddf040592208</errorID>
      <errorWord>＜</errorWord>
      <group>L1_Format</group>
      <groupName>格式问题</groupName>
      <ability>L2_HalfPunc</ability>
      <abilityName>全半角检查</abilityName>
      <candidateList>
        <item>&lt;</item>
      </candidateList>
      <explain>文本全半角错误。</explain>
      <paraID>251D66CF</paraID>
      <start>4</start>
      <end>5</end>
      <status>unmodified</status>
      <modifiedWord/>
      <trackRevisions>false</trackRevisions>
    </reviewItem>
    <reviewItem>
      <errorID>46ca6c13-62f9-4eb6-aee1-749d958ed174</errorID>
      <errorWord>＜</errorWord>
      <group>L1_Format</group>
      <groupName>格式问题</groupName>
      <ability>L2_HalfPunc</ability>
      <abilityName>全半角检查</abilityName>
      <candidateList>
        <item>&lt;</item>
      </candidateList>
      <explain>文本全半角错误。</explain>
      <paraID>6FFA6EE3</paraID>
      <start>1</start>
      <end>2</end>
      <status>unmodified</status>
      <modifiedWord/>
      <trackRevisions>false</trackRevisions>
    </reviewItem>
    <reviewItem>
      <errorID>98d38e2b-a4ef-43a1-be56-77006dac8976</errorID>
      <errorWord>＜</errorWord>
      <group>L1_Format</group>
      <groupName>格式问题</groupName>
      <ability>L2_HalfPunc</ability>
      <abilityName>全半角检查</abilityName>
      <candidateList>
        <item>&lt;</item>
      </candidateList>
      <explain>文本全半角错误。</explain>
      <paraID>2E3FBD5B</paraID>
      <start>6</start>
      <end>7</end>
      <status>unmodified</status>
      <modifiedWord/>
      <trackRevisions>false</trackRevisions>
    </reviewItem>
    <reviewItem>
      <errorID>11c09475-37e1-416e-b47e-f9d2babf7580</errorID>
      <errorWord>＜</errorWord>
      <group>L1_Format</group>
      <groupName>格式问题</groupName>
      <ability>L2_HalfPunc</ability>
      <abilityName>全半角检查</abilityName>
      <candidateList>
        <item>&lt;</item>
      </candidateList>
      <explain>文本全半角错误。</explain>
      <paraID>15B6C9AB</paraID>
      <start>5</start>
      <end>6</end>
      <status>unmodified</status>
      <modifiedWord/>
      <trackRevisions>false</trackRevisions>
    </reviewItem>
    <reviewItem>
      <errorID>e325ef40-f59d-4c00-9428-aa655d49f40c</errorID>
      <errorWord>＜</errorWord>
      <group>L1_Format</group>
      <groupName>格式问题</groupName>
      <ability>L2_HalfPunc</ability>
      <abilityName>全半角检查</abilityName>
      <candidateList>
        <item>&lt;</item>
      </candidateList>
      <explain>文本全半角错误。</explain>
      <paraID>37EDF6F6</paraID>
      <start>1</start>
      <end>2</end>
      <status>unmodified</status>
      <modifiedWord/>
      <trackRevisions>false</trackRevisions>
    </reviewItem>
    <reviewItem>
      <errorID>991b6761-faf5-4651-b27c-e143c3e39cf7</errorID>
      <errorWord>＜</errorWord>
      <group>L1_Format</group>
      <groupName>格式问题</groupName>
      <ability>L2_HalfPunc</ability>
      <abilityName>全半角检查</abilityName>
      <candidateList>
        <item>&lt;</item>
      </candidateList>
      <explain>文本全半角错误。</explain>
      <paraID>4D31F402</paraID>
      <start>5</start>
      <end>6</end>
      <status>unmodified</status>
      <modifiedWord/>
      <trackRevisions>false</trackRevisions>
    </reviewItem>
    <reviewItem>
      <errorID>d0b28e38-67f0-4495-9bc4-c3b53ca4f729</errorID>
      <errorWord>＜</errorWord>
      <group>L1_Format</group>
      <groupName>格式问题</groupName>
      <ability>L2_HalfPunc</ability>
      <abilityName>全半角检查</abilityName>
      <candidateList>
        <item>&lt;</item>
      </candidateList>
      <explain>文本全半角错误。</explain>
      <paraID>1D126272</paraID>
      <start>4</start>
      <end>5</end>
      <status>unmodified</status>
      <modifiedWord/>
      <trackRevisions>false</trackRevisions>
    </reviewItem>
    <reviewItem>
      <errorID>f641be7a-34ee-408b-95be-77af486e9da5</errorID>
      <errorWord>＜</errorWord>
      <group>L1_Format</group>
      <groupName>格式问题</groupName>
      <ability>L2_HalfPunc</ability>
      <abilityName>全半角检查</abilityName>
      <candidateList>
        <item>&lt;</item>
      </candidateList>
      <explain>文本全半角错误。</explain>
      <paraID>4B849FFD</paraID>
      <start>1</start>
      <end>2</end>
      <status>unmodified</status>
      <modifiedWord/>
      <trackRevisions>false</trackRevisions>
    </reviewItem>
    <reviewItem>
      <errorID>43c8aac9-461b-4366-a9b3-9608987fdddb</errorID>
      <errorWord>＜</errorWord>
      <group>L1_Format</group>
      <groupName>格式问题</groupName>
      <ability>L2_HalfPunc</ability>
      <abilityName>全半角检查</abilityName>
      <candidateList>
        <item>&lt;</item>
      </candidateList>
      <explain>文本全半角错误。</explain>
      <paraID>792086F0</paraID>
      <start>6</start>
      <end>7</end>
      <status>unmodified</status>
      <modifiedWord/>
      <trackRevisions>false</trackRevisions>
    </reviewItem>
    <reviewItem>
      <errorID>240d1bca-87f5-4cd8-b63b-105e8a5989d3</errorID>
      <errorWord>＜</errorWord>
      <group>L1_Format</group>
      <groupName>格式问题</groupName>
      <ability>L2_HalfPunc</ability>
      <abilityName>全半角检查</abilityName>
      <candidateList>
        <item>&lt;</item>
      </candidateList>
      <explain>文本全半角错误。</explain>
      <paraID>268AA850</paraID>
      <start>5</start>
      <end>6</end>
      <status>unmodified</status>
      <modifiedWord/>
      <trackRevisions>false</trackRevisions>
    </reviewItem>
    <reviewItem>
      <errorID>ed43da8e-45b5-4996-b491-3001163d454d</errorID>
      <errorWord>＜</errorWord>
      <group>L1_Format</group>
      <groupName>格式问题</groupName>
      <ability>L2_HalfPunc</ability>
      <abilityName>全半角检查</abilityName>
      <candidateList>
        <item>&lt;</item>
      </candidateList>
      <explain>文本全半角错误。</explain>
      <paraID>1C19BC2C</paraID>
      <start>1</start>
      <end>2</end>
      <status>unmodified</status>
      <modifiedWord/>
      <trackRevisions>false</trackRevisions>
    </reviewItem>
    <reviewItem>
      <errorID>cf26b3f8-1fa0-4138-b913-2a434e975eb9</errorID>
      <errorWord>＜</errorWord>
      <group>L1_Format</group>
      <groupName>格式问题</groupName>
      <ability>L2_HalfPunc</ability>
      <abilityName>全半角检查</abilityName>
      <candidateList>
        <item>&lt;</item>
      </candidateList>
      <explain>文本全半角错误。</explain>
      <paraID>30AFF490</paraID>
      <start>5</start>
      <end>6</end>
      <status>unmodified</status>
      <modifiedWord/>
      <trackRevisions>false</trackRevisions>
    </reviewItem>
    <reviewItem>
      <errorID>399d7005-f121-4425-9c05-dd15d197a1ce</errorID>
      <errorWord>＜</errorWord>
      <group>L1_Format</group>
      <groupName>格式问题</groupName>
      <ability>L2_HalfPunc</ability>
      <abilityName>全半角检查</abilityName>
      <candidateList>
        <item>&lt;</item>
      </candidateList>
      <explain>文本全半角错误。</explain>
      <paraID> 359DE41</paraID>
      <start>4</start>
      <end>5</end>
      <status>unmodified</status>
      <modifiedWord/>
      <trackRevisions>false</trackRevisions>
    </reviewItem>
    <reviewItem>
      <errorID>e1dc0092-4707-466f-88d9-ee84878348c0</errorID>
      <errorWord>＜</errorWord>
      <group>L1_Format</group>
      <groupName>格式问题</groupName>
      <ability>L2_HalfPunc</ability>
      <abilityName>全半角检查</abilityName>
      <candidateList>
        <item>&lt;</item>
      </candidateList>
      <explain>文本全半角错误。</explain>
      <paraID>72747AED</paraID>
      <start>1</start>
      <end>2</end>
      <status>unmodified</status>
      <modifiedWord/>
      <trackRevisions>false</trackRevisions>
    </reviewItem>
    <reviewItem>
      <errorID>a4a2c614-7011-4b27-9aad-ec715df0279b</errorID>
      <errorWord>＜</errorWord>
      <group>L1_Format</group>
      <groupName>格式问题</groupName>
      <ability>L2_HalfPunc</ability>
      <abilityName>全半角检查</abilityName>
      <candidateList>
        <item>&lt;</item>
      </candidateList>
      <explain>文本全半角错误。</explain>
      <paraID>77F57D7E</paraID>
      <start>6</start>
      <end>7</end>
      <status>unmodified</status>
      <modifiedWord/>
      <trackRevisions>false</trackRevisions>
    </reviewItem>
    <reviewItem>
      <errorID>47d8807c-a6c6-4960-90ea-76dbbeccbf60</errorID>
      <errorWord>＜</errorWord>
      <group>L1_Format</group>
      <groupName>格式问题</groupName>
      <ability>L2_HalfPunc</ability>
      <abilityName>全半角检查</abilityName>
      <candidateList>
        <item>&lt;</item>
      </candidateList>
      <explain>文本全半角错误。</explain>
      <paraID>45A7AB4C</paraID>
      <start>5</start>
      <end>6</end>
      <status>unmodified</status>
      <modifiedWord/>
      <trackRevisions>false</trackRevisions>
    </reviewItem>
    <reviewItem>
      <errorID>198d456a-21f6-4a46-a396-08ca8a3abaff</errorID>
      <errorWord>＜</errorWord>
      <group>L1_Format</group>
      <groupName>格式问题</groupName>
      <ability>L2_HalfPunc</ability>
      <abilityName>全半角检查</abilityName>
      <candidateList>
        <item>&lt;</item>
      </candidateList>
      <explain>文本全半角错误。</explain>
      <paraID>4959312D</paraID>
      <start>1</start>
      <end>2</end>
      <status>unmodified</status>
      <modifiedWord/>
      <trackRevisions>false</trackRevisions>
    </reviewItem>
    <reviewItem>
      <errorID>c3d79f7e-eba8-4e25-8df4-982373636ce9</errorID>
      <errorWord>＜</errorWord>
      <group>L1_Format</group>
      <groupName>格式问题</groupName>
      <ability>L2_HalfPunc</ability>
      <abilityName>全半角检查</abilityName>
      <candidateList>
        <item>&lt;</item>
      </candidateList>
      <explain>文本全半角错误。</explain>
      <paraID>159AEFF5</paraID>
      <start>5</start>
      <end>6</end>
      <status>unmodified</status>
      <modifiedWord/>
      <trackRevisions>false</trackRevisions>
    </reviewItem>
    <reviewItem>
      <errorID>42fc2498-0cf7-4e4a-a769-730fbb2b5886</errorID>
      <errorWord>＜</errorWord>
      <group>L1_Format</group>
      <groupName>格式问题</groupName>
      <ability>L2_HalfPunc</ability>
      <abilityName>全半角检查</abilityName>
      <candidateList>
        <item>&lt;</item>
      </candidateList>
      <explain>文本全半角错误。</explain>
      <paraID>7C8580C0</paraID>
      <start>4</start>
      <end>5</end>
      <status>unmodified</status>
      <modifiedWord/>
      <trackRevisions>false</trackRevisions>
    </reviewItem>
    <reviewItem>
      <errorID>95524f0f-e4d1-4a3f-975f-7257f0061f35</errorID>
      <errorWord>＜</errorWord>
      <group>L1_Format</group>
      <groupName>格式问题</groupName>
      <ability>L2_HalfPunc</ability>
      <abilityName>全半角检查</abilityName>
      <candidateList>
        <item>&lt;</item>
      </candidateList>
      <explain>文本全半角错误。</explain>
      <paraID>18B69EFB</paraID>
      <start>1</start>
      <end>2</end>
      <status>unmodified</status>
      <modifiedWord/>
      <trackRevisions>false</trackRevisions>
    </reviewItem>
    <reviewItem>
      <errorID>919d66f8-dc8e-4235-b763-b4543e5b5109</errorID>
      <errorWord>＜</errorWord>
      <group>L1_Format</group>
      <groupName>格式问题</groupName>
      <ability>L2_HalfPunc</ability>
      <abilityName>全半角检查</abilityName>
      <candidateList>
        <item>&lt;</item>
      </candidateList>
      <explain>文本全半角错误。</explain>
      <paraID>7C7DB68F</paraID>
      <start>6</start>
      <end>7</end>
      <status>unmodified</status>
      <modifiedWord/>
      <trackRevisions>false</trackRevisions>
    </reviewItem>
    <reviewItem>
      <errorID>3215eaa8-c095-4faa-98ea-93da508ddf55</errorID>
      <errorWord>＜</errorWord>
      <group>L1_Format</group>
      <groupName>格式问题</groupName>
      <ability>L2_HalfPunc</ability>
      <abilityName>全半角检查</abilityName>
      <candidateList>
        <item>&lt;</item>
      </candidateList>
      <explain>文本全半角错误。</explain>
      <paraID> 8AC7EA6</paraID>
      <start>5</start>
      <end>6</end>
      <status>unmodified</status>
      <modifiedWord/>
      <trackRevisions>false</trackRevisions>
    </reviewItem>
    <reviewItem>
      <errorID>eb54862e-c651-440d-828f-422cb57a885c</errorID>
      <errorWord>＜</errorWord>
      <group>L1_Format</group>
      <groupName>格式问题</groupName>
      <ability>L2_HalfPunc</ability>
      <abilityName>全半角检查</abilityName>
      <candidateList>
        <item>&lt;</item>
      </candidateList>
      <explain>文本全半角错误。</explain>
      <paraID>18C82E80</paraID>
      <start>1</start>
      <end>2</end>
      <status>unmodified</status>
      <modifiedWord/>
      <trackRevisions>false</trackRevisions>
    </reviewItem>
    <reviewItem>
      <errorID>28f55918-8468-4559-9973-feb75c118aa6</errorID>
      <errorWord>＜</errorWord>
      <group>L1_Format</group>
      <groupName>格式问题</groupName>
      <ability>L2_HalfPunc</ability>
      <abilityName>全半角检查</abilityName>
      <candidateList>
        <item>&lt;</item>
      </candidateList>
      <explain>文本全半角错误。</explain>
      <paraID>6555C1AE</paraID>
      <start>5</start>
      <end>6</end>
      <status>unmodified</status>
      <modifiedWord/>
      <trackRevisions>false</trackRevisions>
    </reviewItem>
    <reviewItem>
      <errorID>89951130-8918-41a7-b780-f37758e85ad3</errorID>
      <errorWord>＜</errorWord>
      <group>L1_Format</group>
      <groupName>格式问题</groupName>
      <ability>L2_HalfPunc</ability>
      <abilityName>全半角检查</abilityName>
      <candidateList>
        <item>&lt;</item>
      </candidateList>
      <explain>文本全半角错误。</explain>
      <paraID>767D0295</paraID>
      <start>4</start>
      <end>5</end>
      <status>unmodified</status>
      <modifiedWord/>
      <trackRevisions>false</trackRevisions>
    </reviewItem>
    <reviewItem>
      <errorID>bdb7cf73-8f59-47fc-84d8-4207f055ca76</errorID>
      <errorWord>＜</errorWord>
      <group>L1_Format</group>
      <groupName>格式问题</groupName>
      <ability>L2_HalfPunc</ability>
      <abilityName>全半角检查</abilityName>
      <candidateList>
        <item>&lt;</item>
      </candidateList>
      <explain>文本全半角错误。</explain>
      <paraID>13F02E82</paraID>
      <start>1</start>
      <end>2</end>
      <status>unmodified</status>
      <modifiedWord/>
      <trackRevisions>false</trackRevisions>
    </reviewItem>
    <reviewItem>
      <errorID>4ed61f5b-23bd-412d-9a71-c542832757f0</errorID>
      <errorWord>＜</errorWord>
      <group>L1_Format</group>
      <groupName>格式问题</groupName>
      <ability>L2_HalfPunc</ability>
      <abilityName>全半角检查</abilityName>
      <candidateList>
        <item>&lt;</item>
      </candidateList>
      <explain>文本全半角错误。</explain>
      <paraID>7FD3422A</paraID>
      <start>6</start>
      <end>7</end>
      <status>unmodified</status>
      <modifiedWord/>
      <trackRevisions>false</trackRevisions>
    </reviewItem>
    <reviewItem>
      <errorID>9bc6efc2-7a54-4095-b9ac-464f0725839b</errorID>
      <errorWord>＜</errorWord>
      <group>L1_Format</group>
      <groupName>格式问题</groupName>
      <ability>L2_HalfPunc</ability>
      <abilityName>全半角检查</abilityName>
      <candidateList>
        <item>&lt;</item>
      </candidateList>
      <explain>文本全半角错误。</explain>
      <paraID>45B5A804</paraID>
      <start>4</start>
      <end>5</end>
      <status>unmodified</status>
      <modifiedWord/>
      <trackRevisions>false</trackRevisions>
    </reviewItem>
    <reviewItem>
      <errorID>61cc9202-d6e3-478e-82f0-62bb103e0ab6</errorID>
      <errorWord>＜</errorWord>
      <group>L1_Format</group>
      <groupName>格式问题</groupName>
      <ability>L2_HalfPunc</ability>
      <abilityName>全半角检查</abilityName>
      <candidateList>
        <item>&lt;</item>
      </candidateList>
      <explain>文本全半角错误。</explain>
      <paraID>57E1DD52</paraID>
      <start>1</start>
      <end>2</end>
      <status>unmodified</status>
      <modifiedWord/>
      <trackRevisions>false</trackRevisions>
    </reviewItem>
    <reviewItem>
      <errorID>88e2d40b-1525-48ed-b7d7-14d9519d6101</errorID>
      <errorWord>＜</errorWord>
      <group>L1_Format</group>
      <groupName>格式问题</groupName>
      <ability>L2_HalfPunc</ability>
      <abilityName>全半角检查</abilityName>
      <candidateList>
        <item>&lt;</item>
      </candidateList>
      <explain>文本全半角错误。</explain>
      <paraID> C63C2E7</paraID>
      <start>6</start>
      <end>7</end>
      <status>unmodified</status>
      <modifiedWord/>
      <trackRevisions>false</trackRevisions>
    </reviewItem>
    <reviewItem>
      <errorID>7ccb7ac7-b00a-49a7-bfdf-e23e7ee49dea</errorID>
      <errorWord>＜</errorWord>
      <group>L1_Format</group>
      <groupName>格式问题</groupName>
      <ability>L2_HalfPunc</ability>
      <abilityName>全半角检查</abilityName>
      <candidateList>
        <item>&lt;</item>
      </candidateList>
      <explain>文本全半角错误。</explain>
      <paraID>5FFE7329</paraID>
      <start>5</start>
      <end>6</end>
      <status>unmodified</status>
      <modifiedWord/>
      <trackRevisions>false</trackRevisions>
    </reviewItem>
    <reviewItem>
      <errorID>af9dbd42-8bfb-43ac-8b48-e72cdcf64d97</errorID>
      <errorWord>＜</errorWord>
      <group>L1_Format</group>
      <groupName>格式问题</groupName>
      <ability>L2_HalfPunc</ability>
      <abilityName>全半角检查</abilityName>
      <candidateList>
        <item>&lt;</item>
      </candidateList>
      <explain>文本全半角错误。</explain>
      <paraID>37BA3637</paraID>
      <start>1</start>
      <end>2</end>
      <status>unmodified</status>
      <modifiedWord/>
      <trackRevisions>false</trackRevisions>
    </reviewItem>
    <reviewItem>
      <errorID>74cd5d63-cf22-4447-be7d-b247d254e727</errorID>
      <errorWord>＜</errorWord>
      <group>L1_Format</group>
      <groupName>格式问题</groupName>
      <ability>L2_HalfPunc</ability>
      <abilityName>全半角检查</abilityName>
      <candidateList>
        <item>&lt;</item>
      </candidateList>
      <explain>文本全半角错误。</explain>
      <paraID>5666B469</paraID>
      <start>6</start>
      <end>7</end>
      <status>unmodified</status>
      <modifiedWord/>
      <trackRevisions>false</trackRevisions>
    </reviewItem>
    <reviewItem>
      <errorID>fbebd413-d855-4b63-8f6a-1f0872844d56</errorID>
      <errorWord>＜</errorWord>
      <group>L1_Format</group>
      <groupName>格式问题</groupName>
      <ability>L2_HalfPunc</ability>
      <abilityName>全半角检查</abilityName>
      <candidateList>
        <item>&lt;</item>
      </candidateList>
      <explain>文本全半角错误。</explain>
      <paraID>4D0D5BA9</paraID>
      <start>6</start>
      <end>7</end>
      <status>unmodified</status>
      <modifiedWord/>
      <trackRevisions>false</trackRevisions>
    </reviewItem>
    <reviewItem>
      <errorID>0d7adbcb-a7f2-4a58-956d-fe51f7a0ce2f</errorID>
      <errorWord>＜</errorWord>
      <group>L1_Format</group>
      <groupName>格式问题</groupName>
      <ability>L2_HalfPunc</ability>
      <abilityName>全半角检查</abilityName>
      <candidateList>
        <item>&lt;</item>
      </candidateList>
      <explain>文本全半角错误。</explain>
      <paraID>2146C366</paraID>
      <start>1</start>
      <end>2</end>
      <status>unmodified</status>
      <modifiedWord/>
      <trackRevisions>false</trackRevisions>
    </reviewItem>
    <reviewItem>
      <errorID>415882e2-6cf5-47e7-b760-a2b757204283</errorID>
      <errorWord>＜</errorWord>
      <group>L1_Format</group>
      <groupName>格式问题</groupName>
      <ability>L2_HalfPunc</ability>
      <abilityName>全半角检查</abilityName>
      <candidateList>
        <item>&lt;</item>
      </candidateList>
      <explain>文本全半角错误。</explain>
      <paraID>5659A7BA</paraID>
      <start>5</start>
      <end>6</end>
      <status>unmodified</status>
      <modifiedWord/>
      <trackRevisions>false</trackRevisions>
    </reviewItem>
    <reviewItem>
      <errorID>044974ff-ba35-4388-a286-5655723e9b18</errorID>
      <errorWord>＜</errorWord>
      <group>L1_Format</group>
      <groupName>格式问题</groupName>
      <ability>L2_HalfPunc</ability>
      <abilityName>全半角检查</abilityName>
      <candidateList>
        <item>&lt;</item>
      </candidateList>
      <explain>文本全半角错误。</explain>
      <paraID>1568F3F4</paraID>
      <start>5</start>
      <end>6</end>
      <status>unmodified</status>
      <modifiedWord/>
      <trackRevisions>false</trackRevisions>
    </reviewItem>
    <reviewItem>
      <errorID>b5444564-de0d-427b-8db9-3bbdabed6c2e</errorID>
      <errorWord>＜</errorWord>
      <group>L1_Format</group>
      <groupName>格式问题</groupName>
      <ability>L2_HalfPunc</ability>
      <abilityName>全半角检查</abilityName>
      <candidateList>
        <item>&lt;</item>
      </candidateList>
      <explain>文本全半角错误。</explain>
      <paraID>6F6B06EE</paraID>
      <start>1</start>
      <end>2</end>
      <status>unmodified</status>
      <modifiedWord/>
      <trackRevisions>false</trackRevisions>
    </reviewItem>
    <reviewItem>
      <errorID>ae34a263-5bf9-4502-83c6-da01a9f9d3d8</errorID>
      <errorWord>＜</errorWord>
      <group>L1_Format</group>
      <groupName>格式问题</groupName>
      <ability>L2_HalfPunc</ability>
      <abilityName>全半角检查</abilityName>
      <candidateList>
        <item>&lt;</item>
      </candidateList>
      <explain>文本全半角错误。</explain>
      <paraID>3A443921</paraID>
      <start>6</start>
      <end>7</end>
      <status>unmodified</status>
      <modifiedWord/>
      <trackRevisions>false</trackRevisions>
    </reviewItem>
    <reviewItem>
      <errorID>3a0e94c8-4500-4e33-9208-dc3937b16ead</errorID>
      <errorWord>＜</errorWord>
      <group>L1_Format</group>
      <groupName>格式问题</groupName>
      <ability>L2_HalfPunc</ability>
      <abilityName>全半角检查</abilityName>
      <candidateList>
        <item>&lt;</item>
      </candidateList>
      <explain>文本全半角错误。</explain>
      <paraID>1F7CFE57</paraID>
      <start>5</start>
      <end>6</end>
      <status>unmodified</status>
      <modifiedWord/>
      <trackRevisions>false</trackRevisions>
    </reviewItem>
    <reviewItem>
      <errorID>d52c6ae2-5913-4819-aa54-ca0532be6077</errorID>
      <errorWord>＜</errorWord>
      <group>L1_Format</group>
      <groupName>格式问题</groupName>
      <ability>L2_HalfPunc</ability>
      <abilityName>全半角检查</abilityName>
      <candidateList>
        <item>&lt;</item>
      </candidateList>
      <explain>文本全半角错误。</explain>
      <paraID>6A5D672C</paraID>
      <start>1</start>
      <end>2</end>
      <status>unmodified</status>
      <modifiedWord/>
      <trackRevisions>false</trackRevisions>
    </reviewItem>
    <reviewItem>
      <errorID>c1fab107-b415-481c-8a92-1f2137d2199c</errorID>
      <errorWord>＜</errorWord>
      <group>L1_Format</group>
      <groupName>格式问题</groupName>
      <ability>L2_HalfPunc</ability>
      <abilityName>全半角检查</abilityName>
      <candidateList>
        <item>&lt;</item>
      </candidateList>
      <explain>文本全半角错误。</explain>
      <paraID>450F1907</paraID>
      <start>5</start>
      <end>6</end>
      <status>unmodified</status>
      <modifiedWord/>
      <trackRevisions>false</trackRevisions>
    </reviewItem>
    <reviewItem>
      <errorID>0848cc8c-e1ec-41bc-a75b-008ae47ef249</errorID>
      <errorWord>＜</errorWord>
      <group>L1_Format</group>
      <groupName>格式问题</groupName>
      <ability>L2_HalfPunc</ability>
      <abilityName>全半角检查</abilityName>
      <candidateList>
        <item>&lt;</item>
      </candidateList>
      <explain>文本全半角错误。</explain>
      <paraID>2CD55DA8</paraID>
      <start>4</start>
      <end>5</end>
      <status>unmodified</status>
      <modifiedWord/>
      <trackRevisions>false</trackRevisions>
    </reviewItem>
    <reviewItem>
      <errorID>8658615b-3f4f-42b3-8f3c-7c8985055874</errorID>
      <errorWord>＜</errorWord>
      <group>L1_Format</group>
      <groupName>格式问题</groupName>
      <ability>L2_HalfPunc</ability>
      <abilityName>全半角检查</abilityName>
      <candidateList>
        <item>&lt;</item>
      </candidateList>
      <explain>文本全半角错误。</explain>
      <paraID>52458014</paraID>
      <start>1</start>
      <end>2</end>
      <status>unmodified</status>
      <modifiedWord/>
      <trackRevisions>false</trackRevisions>
    </reviewItem>
    <reviewItem>
      <errorID>8a31611e-1efd-4a18-a248-f221638a6947</errorID>
      <errorWord>＜</errorWord>
      <group>L1_Format</group>
      <groupName>格式问题</groupName>
      <ability>L2_HalfPunc</ability>
      <abilityName>全半角检查</abilityName>
      <candidateList>
        <item>&lt;</item>
      </candidateList>
      <explain>文本全半角错误。</explain>
      <paraID>167F8ABD</paraID>
      <start>6</start>
      <end>7</end>
      <status>unmodified</status>
      <modifiedWord/>
      <trackRevisions>false</trackRevisions>
    </reviewItem>
    <reviewItem>
      <errorID>06434285-0856-49c5-8b41-6755dcd0b102</errorID>
      <errorWord>＜</errorWord>
      <group>L1_Format</group>
      <groupName>格式问题</groupName>
      <ability>L2_HalfPunc</ability>
      <abilityName>全半角检查</abilityName>
      <candidateList>
        <item>&lt;</item>
      </candidateList>
      <explain>文本全半角错误。</explain>
      <paraID>7E46B238</paraID>
      <start>5</start>
      <end>6</end>
      <status>unmodified</status>
      <modifiedWord/>
      <trackRevisions>false</trackRevisions>
    </reviewItem>
    <reviewItem>
      <errorID>4eaf5c30-c0bc-42da-9732-bcdeb1b9ed0e</errorID>
      <errorWord>＜</errorWord>
      <group>L1_Format</group>
      <groupName>格式问题</groupName>
      <ability>L2_HalfPunc</ability>
      <abilityName>全半角检查</abilityName>
      <candidateList>
        <item>&lt;</item>
      </candidateList>
      <explain>文本全半角错误。</explain>
      <paraID> F3273CB</paraID>
      <start>1</start>
      <end>2</end>
      <status>unmodified</status>
      <modifiedWord/>
      <trackRevisions>false</trackRevisions>
    </reviewItem>
    <reviewItem>
      <errorID>de8e3309-f48f-4706-b88d-6149e8bd5684</errorID>
      <errorWord>＜</errorWord>
      <group>L1_Format</group>
      <groupName>格式问题</groupName>
      <ability>L2_HalfPunc</ability>
      <abilityName>全半角检查</abilityName>
      <candidateList>
        <item>&lt;</item>
      </candidateList>
      <explain>文本全半角错误。</explain>
      <paraID>62403461</paraID>
      <start>5</start>
      <end>6</end>
      <status>unmodified</status>
      <modifiedWord/>
      <trackRevisions>false</trackRevisions>
    </reviewItem>
    <reviewItem>
      <errorID>ba4aa633-5e08-4ac5-9c71-154dafd5fd41</errorID>
      <errorWord>＜</errorWord>
      <group>L1_Format</group>
      <groupName>格式问题</groupName>
      <ability>L2_HalfPunc</ability>
      <abilityName>全半角检查</abilityName>
      <candidateList>
        <item>&lt;</item>
      </candidateList>
      <explain>文本全半角错误。</explain>
      <paraID>2362C63E</paraID>
      <start>4</start>
      <end>5</end>
      <status>unmodified</status>
      <modifiedWord/>
      <trackRevisions>false</trackRevisions>
    </reviewItem>
    <reviewItem>
      <errorID>d0b78fd7-a26f-4415-bd8a-e354ef13b503</errorID>
      <errorWord>＜</errorWord>
      <group>L1_Format</group>
      <groupName>格式问题</groupName>
      <ability>L2_HalfPunc</ability>
      <abilityName>全半角检查</abilityName>
      <candidateList>
        <item>&lt;</item>
      </candidateList>
      <explain>文本全半角错误。</explain>
      <paraID>479672B2</paraID>
      <start>1</start>
      <end>2</end>
      <status>unmodified</status>
      <modifiedWord/>
      <trackRevisions>false</trackRevisions>
    </reviewItem>
    <reviewItem>
      <errorID>162e67ab-c2aa-47fd-b0c6-d0f398e2103b</errorID>
      <errorWord>[2011]300号</errorWord>
      <group>L1_Knowledge</group>
      <groupName>知识性问题</groupName>
      <ability>L2_Knowledge</ability>
      <abilityName>其他知识</abilityName>
      <candidateList>
        <item>〔2011〕300号</item>
      </candidateList>
      <explain>发文字号格式错误</explain>
      <paraID>46379931</paraID>
      <start>35</start>
      <end>45</end>
      <status>unmodified</status>
      <modifiedWord/>
      <trackRevisions>false</trackRevisions>
    </reviewItem>
    <reviewItem>
      <errorID>7892904b-f389-4e94-9f76-78c686bb4e9d</errorID>
      <errorWord>只须</errorWord>
      <group>L1_Word</group>
      <groupName>字词问题</groupName>
      <ability>L2_Typo</ability>
      <abilityName>字词错误</abilityName>
      <candidateList>
        <item>只需</item>
      </candidateList>
      <explain/>
      <paraID>46379931</paraID>
      <start>81</start>
      <end>83</end>
      <status>unmodified</status>
      <modifiedWord/>
      <trackRevisions>false</trackRevisions>
    </reviewItem>
    <reviewItem>
      <errorID>c7fc8522-fa49-4533-98d2-bdaef4fb2a4d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7634C4B7</paraID>
      <start>0</start>
      <end>2</end>
      <status>unmodified</status>
      <modifiedWord/>
      <trackRevisions>false</trackRevisions>
    </reviewItem>
    <reviewItem>
      <errorID>9724bc3e-300b-4282-a45c-0aa3f43a8511</errorID>
      <errorWord>(</errorWord>
      <group>L1_Format</group>
      <groupName>格式问题</groupName>
      <ability>L2_HalfPunc</ability>
      <abilityName>全半角检查</abilityName>
      <candidateList>
        <item>（</item>
      </candidateList>
      <explain>文本全半角错误。</explain>
      <paraID>576640C7</paraID>
      <start>24</start>
      <end>25</end>
      <status>unmodified</status>
      <modifiedWord/>
      <trackRevisions>false</trackRevisions>
    </reviewItem>
    <reviewItem>
      <errorID>5d6171d9-c041-46e2-a568-732517a599d9</errorID>
      <errorWord>[2014]</errorWord>
      <group>L1_Punc</group>
      <groupName>标点问题</groupName>
      <ability>L2_Punc</ability>
      <abilityName>标点符号检查</abilityName>
      <candidateList>
        <item>〔2014〕</item>
      </candidateList>
      <explain/>
      <paraID>576640C7</paraID>
      <start>27</start>
      <end>33</end>
      <status>unmodified</status>
      <modifiedWord/>
      <trackRevisions>false</trackRevisions>
    </reviewItem>
    <reviewItem>
      <errorID>655a87a5-8541-4c13-9804-453e3f963261</errorID>
      <errorWord>)</errorWord>
      <group>L1_Format</group>
      <groupName>格式问题</groupName>
      <ability>L2_HalfPunc</ability>
      <abilityName>全半角检查</abilityName>
      <candidateList>
        <item>）</item>
      </candidateList>
      <explain>文本全半角错误。</explain>
      <paraID>576640C7</paraID>
      <start>37</start>
      <end>38</end>
      <status>unmodified</status>
      <modifiedWord/>
      <trackRevisions>false</trackRevisions>
    </reviewItem>
    <reviewItem>
      <errorID>ee47072a-88d0-4499-8dfe-f41a7a88fc1f</errorID>
      <errorWord>(</errorWord>
      <group>L1_Format</group>
      <groupName>格式问题</groupName>
      <ability>L2_HalfPunc</ability>
      <abilityName>全半角检查</abilityName>
      <candidateList>
        <item>（</item>
      </candidateList>
      <explain>文本全半角错误。</explain>
      <paraID>576640C7</paraID>
      <start>104</start>
      <end>105</end>
      <status>unmodified</status>
      <modifiedWord/>
      <trackRevisions>false</trackRevisions>
    </reviewItem>
    <reviewItem>
      <errorID>dbd6fb8d-3e98-46ac-8b81-c07a2019be96</errorID>
      <errorWord>)</errorWord>
      <group>L1_Format</group>
      <groupName>格式问题</groupName>
      <ability>L2_HalfPunc</ability>
      <abilityName>全半角检查</abilityName>
      <candidateList>
        <item>）</item>
      </candidateList>
      <explain>文本全半角错误。</explain>
      <paraID>576640C7</paraID>
      <start>114</start>
      <end>115</end>
      <status>unmodified</status>
      <modifiedWord/>
      <trackRevisions>false</trackRevisions>
    </reviewItem>
    <reviewItem>
      <errorID>c19b86e6-e652-4aed-91df-a75ce0085ed2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3BCAA1C6</paraID>
      <start>0</start>
      <end>2</end>
      <status>unmodified</status>
      <modifiedWord/>
      <trackRevisions>false</trackRevisions>
    </reviewItem>
    <reviewItem>
      <errorID>9b8f56ec-b009-46b1-9172-e5219b5180b5</errorID>
      <errorWord>:</errorWord>
      <group>L1_Format</group>
      <groupName>格式问题</groupName>
      <ability>L2_HalfPunc</ability>
      <abilityName>全半角检查</abilityName>
      <candidateList>
        <item>：</item>
      </candidateList>
      <explain>文本全半角错误。</explain>
      <paraID>3ADF5109</paraID>
      <start>12</start>
      <end>13</end>
      <status>unmodified</status>
      <modifiedWord/>
      <trackRevisions>false</trackRevisions>
    </reviewItem>
    <reviewItem>
      <errorID>ca724017-5b15-4fc8-bbb0-8cbd70b0f575</errorID>
      <errorWord>标价</errorWord>
      <group>L1_Word</group>
      <groupName>字词问题</groupName>
      <ability>L2_Typo</ability>
      <abilityName>字词错误</abilityName>
      <candidateList>
        <item>报价</item>
      </candidateList>
      <explain/>
      <paraID> 83E00F7</paraID>
      <start>8</start>
      <end>10</end>
      <status>unmodified</status>
      <modifiedWord/>
      <trackRevisions>false</trackRevisions>
    </reviewItem>
    <reviewItem>
      <errorID>59dc9385-663b-403c-ae51-6795f8beb651</errorID>
      <errorWord>(</errorWord>
      <group>L1_Format</group>
      <groupName>格式问题</groupName>
      <ability>L2_HalfPunc</ability>
      <abilityName>全半角检查</abilityName>
      <candidateList>
        <item>（</item>
      </candidateList>
      <explain>文本全半角错误。</explain>
      <paraID>52F4B04B</paraID>
      <start>26</start>
      <end>27</end>
      <status>unmodified</status>
      <modifiedWord/>
      <trackRevisions>false</trackRevisions>
    </reviewItem>
    <reviewItem>
      <errorID>60c422a7-f0a3-4650-851f-5dbd088a292f</errorID>
      <errorWord>)</errorWord>
      <group>L1_Format</group>
      <groupName>格式问题</groupName>
      <ability>L2_HalfPunc</ability>
      <abilityName>全半角检查</abilityName>
      <candidateList>
        <item>）</item>
      </candidateList>
      <explain>文本全半角错误。</explain>
      <paraID>52F4B04B</paraID>
      <start>39</start>
      <end>40</end>
      <status>unmodified</status>
      <modifiedWord/>
      <trackRevisions>false</trackRevisions>
    </reviewItem>
    <reviewItem>
      <errorID>302f7e2a-bac4-49b4-8cac-dd204e0fd4e0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52F4B04B</paraID>
      <start>65</start>
      <end>68</end>
      <status>unmodified</status>
      <modifiedWord/>
      <trackRevisions>false</trackRevisions>
    </reviewItem>
    <reviewItem>
      <errorID>175811a0-6a1f-48d0-b4b9-e0453f2d8f19</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38138C05</paraID>
      <start>33</start>
      <end>35</end>
      <status>unmodified</status>
      <modifiedWord/>
      <trackRevisions>false</trackRevisions>
    </reviewItem>
    <reviewItem>
      <errorID>c64ff2b0-4a04-411d-8450-a8d9c66343c8</errorID>
      <errorWord>件</errorWord>
      <group>L1_Word</group>
      <groupName>字词问题</groupName>
      <ability>L2_Typo</ability>
      <abilityName>字词错误</abilityName>
      <candidateList>
        <item>件和</item>
      </candidateList>
      <explain/>
      <paraID>6303B610</paraID>
      <start>31</start>
      <end>32</end>
      <status>unmodified</status>
      <modifiedWord/>
      <trackRevisions>false</trackRevisions>
    </reviewItem>
    <reviewItem>
      <errorID>d742b186-f3de-49bc-bb9b-5c56d7f09af6</errorID>
      <errorWord>（</errorWord>
      <group>L1_Format</group>
      <groupName>格式问题</groupName>
      <ability>L2_HalfPunc</ability>
      <abilityName>全半角检查</abilityName>
      <candidateList>
        <item>(</item>
      </candidateList>
      <explain>文本全半角错误。</explain>
      <paraID>7C92DF77</paraID>
      <start>0</start>
      <end>1</end>
      <status>unmodified</status>
      <modifiedWord/>
      <trackRevisions>false</trackRevisions>
    </reviewItem>
    <reviewItem>
      <errorID>20f9521e-235f-4ed1-b516-3dd8191b539d</errorID>
      <errorWord>）</errorWord>
      <group>L1_Format</group>
      <groupName>格式问题</groupName>
      <ability>L2_HalfPunc</ability>
      <abilityName>全半角检查</abilityName>
      <candidateList>
        <item>)</item>
      </candidateList>
      <explain>文本全半角错误。</explain>
      <paraID>7C92DF77</paraID>
      <start>13</start>
      <end>14</end>
      <status>unmodified</status>
      <modifiedWord/>
      <trackRevisions>false</trackRevisions>
    </reviewItem>
    <reviewItem>
      <errorID>df5f5afc-27ea-42cd-8222-d416f5ac5a1c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51C90EA5</paraID>
      <start>13</start>
      <end>16</end>
      <status>unmodified</status>
      <modifiedWord/>
      <trackRevisions>false</trackRevisions>
    </reviewItem>
    <reviewItem>
      <errorID>d2af17c0-6ef7-4daa-90fd-1bf7bb7d2adb</errorID>
      <errorWord>：。</errorWord>
      <group>L1_Punc</group>
      <groupName>标点问题</groupName>
      <ability>L2_Punc</ability>
      <abilityName>标点符号检查</abilityName>
      <candidateList>
        <item>：</item>
      </candidateList>
      <explain/>
      <paraID>27A9633B</paraID>
      <start>7</start>
      <end>9</end>
      <status>unmodified</status>
      <modifiedWord/>
      <trackRevisions>false</trackRevisions>
    </reviewItem>
    <reviewItem>
      <errorID>102ab50a-09f7-4794-bef5-1c92d65762e2</errorID>
      <errorWord>：。</errorWord>
      <group>L1_Punc</group>
      <groupName>标点问题</groupName>
      <ability>L2_Punc</ability>
      <abilityName>标点符号检查</abilityName>
      <candidateList>
        <item>：</item>
      </candidateList>
      <explain/>
      <paraID>28508F9F</paraID>
      <start>7</start>
      <end>9</end>
      <status>unmodified</status>
      <modifiedWord/>
      <trackRevisions>false</trackRevisions>
    </reviewItem>
    <reviewItem>
      <errorID>29811a9e-9e14-4360-bc80-50984dfd2f86</errorID>
      <errorWord>：。</errorWord>
      <group>L1_Punc</group>
      <groupName>标点问题</groupName>
      <ability>L2_Punc</ability>
      <abilityName>标点符号检查</abilityName>
      <candidateList>
        <item>：</item>
      </candidateList>
      <explain/>
      <paraID>35A2A1A7</paraID>
      <start>11</start>
      <end>13</end>
      <status>unmodified</status>
      <modifiedWord/>
      <trackRevisions>false</trackRevisions>
    </reviewItem>
    <reviewItem>
      <errorID>9ea926ee-5522-4ffd-bd7d-ea8606a04f77</errorID>
      <errorWord>：。</errorWord>
      <group>L1_Punc</group>
      <groupName>标点问题</groupName>
      <ability>L2_Punc</ability>
      <abilityName>标点符号检查</abilityName>
      <candidateList>
        <item>：</item>
      </candidateList>
      <explain/>
      <paraID>5FD62241</paraID>
      <start>7</start>
      <end>9</end>
      <status>unmodified</status>
      <modifiedWord/>
      <trackRevisions>false</trackRevisions>
    </reviewItem>
    <reviewItem>
      <errorID>7b9ce58e-b713-41f7-b245-e82f1f591c75</errorID>
      <errorWord>：。</errorWord>
      <group>L1_Punc</group>
      <groupName>标点问题</groupName>
      <ability>L2_Punc</ability>
      <abilityName>标点符号检查</abilityName>
      <candidateList>
        <item>：</item>
      </candidateList>
      <explain/>
      <paraID>1D5A770F</paraID>
      <start>9</start>
      <end>11</end>
      <status>unmodified</status>
      <modifiedWord/>
      <trackRevisions>false</trackRevisions>
    </reviewItem>
    <reviewItem>
      <errorID>68aa1349-c8c0-46f9-a3ef-8dce6950b17e</errorID>
      <errorWord>：。</errorWord>
      <group>L1_Punc</group>
      <groupName>标点问题</groupName>
      <ability>L2_Punc</ability>
      <abilityName>标点符号检查</abilityName>
      <candidateList>
        <item>：</item>
      </candidateList>
      <explain/>
      <paraID>47C87F1F</paraID>
      <start>7</start>
      <end>9</end>
      <status>unmodified</status>
      <modifiedWord/>
      <trackRevisions>false</trackRevisions>
    </reviewItem>
    <reviewItem>
      <errorID>47527875-a3e0-4dc3-a410-bd63d739363b</errorID>
      <errorWord>本合同在</errorWord>
      <group>L1_Word</group>
      <groupName>字词问题</groupName>
      <ability>L2_Typo</ability>
      <abilityName>字词错误</abilityName>
      <candidateList>
        <item>本合同</item>
      </candidateList>
      <explain/>
      <paraID>1F8A76E9</paraID>
      <start>0</start>
      <end>4</end>
      <status>unmodified</status>
      <modifiedWord/>
      <trackRevisions>false</trackRevisions>
    </reviewItem>
    <reviewItem>
      <errorID>cfb2bb4b-f24e-4b25-a4b7-ab75bcf0c273</errorID>
      <errorWord>：；</errorWord>
      <group>L1_Punc</group>
      <groupName>标点问题</groupName>
      <ability>L2_Punc</ability>
      <abilityName>标点符号检查</abilityName>
      <candidateList>
        <item>：</item>
      </candidateList>
      <explain/>
      <paraID>37679343</paraID>
      <start>2</start>
      <end>4</end>
      <status>unmodified</status>
      <modifiedWord/>
      <trackRevisions>false</trackRevisions>
    </reviewItem>
    <reviewItem>
      <errorID>f44f8898-f5b7-464d-a7fb-0dca3a495beb</errorID>
      <errorWord>：；</errorWord>
      <group>L1_Punc</group>
      <groupName>标点问题</groupName>
      <ability>L2_Punc</ability>
      <abilityName>标点符号检查</abilityName>
      <candidateList>
        <item>：</item>
      </candidateList>
      <explain/>
      <paraID>1B8948EF</paraID>
      <start>7</start>
      <end>9</end>
      <status>unmodified</status>
      <modifiedWord/>
      <trackRevisions>false</trackRevisions>
    </reviewItem>
    <reviewItem>
      <errorID>264927d6-c928-4727-8715-5f2605e4c6a2</errorID>
      <errorWord>：；</errorWord>
      <group>L1_Punc</group>
      <groupName>标点问题</groupName>
      <ability>L2_Punc</ability>
      <abilityName>标点符号检查</abilityName>
      <candidateList>
        <item>：</item>
      </candidateList>
      <explain/>
      <paraID>7CBFB942</paraID>
      <start>4</start>
      <end>6</end>
      <status>unmodified</status>
      <modifiedWord/>
      <trackRevisions>false</trackRevisions>
    </reviewItem>
    <reviewItem>
      <errorID>31bbc992-1b60-43d6-a536-723227778d2b</errorID>
      <errorWord>：；</errorWord>
      <group>L1_Punc</group>
      <groupName>标点问题</groupName>
      <ability>L2_Punc</ability>
      <abilityName>标点符号检查</abilityName>
      <candidateList>
        <item>：</item>
      </candidateList>
      <explain/>
      <paraID>62332145</paraID>
      <start>4</start>
      <end>6</end>
      <status>unmodified</status>
      <modifiedWord/>
      <trackRevisions>false</trackRevisions>
    </reviewItem>
    <reviewItem>
      <errorID>b810f6ce-c6e6-42d2-9d74-ce3bfa2edff8</errorID>
      <errorWord>：。</errorWord>
      <group>L1_Punc</group>
      <groupName>标点问题</groupName>
      <ability>L2_Punc</ability>
      <abilityName>标点符号检查</abilityName>
      <candidateList>
        <item>：</item>
      </candidateList>
      <explain/>
      <paraID>5E903D7D</paraID>
      <start>4</start>
      <end>6</end>
      <status>unmodified</status>
      <modifiedWord/>
      <trackRevisions>false</trackRevisions>
    </reviewItem>
    <reviewItem>
      <errorID>3e84e541-41bd-470f-aab3-81b534e2869a</errorID>
      <errorWord>：；</errorWord>
      <group>L1_Punc</group>
      <groupName>标点问题</groupName>
      <ability>L2_Punc</ability>
      <abilityName>标点符号检查</abilityName>
      <candidateList>
        <item>：</item>
      </candidateList>
      <explain/>
      <paraID>683AE949</paraID>
      <start>2</start>
      <end>4</end>
      <status>unmodified</status>
      <modifiedWord/>
      <trackRevisions>false</trackRevisions>
    </reviewItem>
    <reviewItem>
      <errorID>5714af75-6cce-411e-b86d-6ac3fc788925</errorID>
      <errorWord>：；</errorWord>
      <group>L1_Punc</group>
      <groupName>标点问题</groupName>
      <ability>L2_Punc</ability>
      <abilityName>标点符号检查</abilityName>
      <candidateList>
        <item>：</item>
      </candidateList>
      <explain/>
      <paraID>37148B4F</paraID>
      <start>7</start>
      <end>9</end>
      <status>unmodified</status>
      <modifiedWord/>
      <trackRevisions>false</trackRevisions>
    </reviewItem>
    <reviewItem>
      <errorID>390e9996-844e-45eb-a2fe-244710c98048</errorID>
      <errorWord>：；</errorWord>
      <group>L1_Punc</group>
      <groupName>标点问题</groupName>
      <ability>L2_Punc</ability>
      <abilityName>标点符号检查</abilityName>
      <candidateList>
        <item>：</item>
      </candidateList>
      <explain/>
      <paraID>2A311DDB</paraID>
      <start>4</start>
      <end>6</end>
      <status>unmodified</status>
      <modifiedWord/>
      <trackRevisions>false</trackRevisions>
    </reviewItem>
    <reviewItem>
      <errorID>513ae1e9-b0c6-4606-a69b-a2f08e674720</errorID>
      <errorWord>：；</errorWord>
      <group>L1_Punc</group>
      <groupName>标点问题</groupName>
      <ability>L2_Punc</ability>
      <abilityName>标点符号检查</abilityName>
      <candidateList>
        <item>：</item>
      </candidateList>
      <explain/>
      <paraID>39533154</paraID>
      <start>4</start>
      <end>6</end>
      <status>unmodified</status>
      <modifiedWord/>
      <trackRevisions>false</trackRevisions>
    </reviewItem>
    <reviewItem>
      <errorID>1c640409-9e42-4810-a254-eae3dedf27df</errorID>
      <errorWord>：。</errorWord>
      <group>L1_Punc</group>
      <groupName>标点问题</groupName>
      <ability>L2_Punc</ability>
      <abilityName>标点符号检查</abilityName>
      <candidateList>
        <item>：</item>
      </candidateList>
      <explain/>
      <paraID>47982407</paraID>
      <start>4</start>
      <end>6</end>
      <status>unmodified</status>
      <modifiedWord/>
      <trackRevisions>false</trackRevisions>
    </reviewItem>
    <reviewItem>
      <errorID>fedbb871-2a54-4340-8499-908ad2538e78</errorID>
      <errorWord>国标</errorWord>
      <group>L1_Word</group>
      <groupName>字词问题</groupName>
      <ability>L2_Typo</ability>
      <abilityName>字词错误</abilityName>
      <candidateList>
        <item>国家</item>
      </candidateList>
      <explain/>
      <paraID>1789BAFE</paraID>
      <start>32</start>
      <end>36</end>
      <status>modified</status>
      <modifiedWord>国家</modifiedWord>
      <trackRevisions>true</trackRevisions>
    </reviewItem>
    <reviewItem>
      <errorID>3ebb0103-20aa-4ecf-b2db-d3436f002376</errorID>
      <errorWord>：</errorWord>
      <group>L1_Word</group>
      <groupName>字词问题</groupName>
      <ability>L2_Typo</ability>
      <abilityName>字词错误</abilityName>
      <candidateList>
        <item>：自</item>
      </candidateList>
      <explain/>
      <paraID>4BC10199</paraID>
      <start>14</start>
      <end>15</end>
      <status>unmodified</status>
      <modifiedWord/>
      <trackRevisions>false</trackRevisions>
    </reviewItem>
    <reviewItem>
      <errorID>b0a0b978-8bde-42d1-b784-bcfdb446d64b</errorID>
      <errorWord>容</errorWord>
      <group>L1_Word</group>
      <groupName>字词问题</groupName>
      <ability>L2_Typo</ability>
      <abilityName>字词错误</abilityName>
      <candidateList>
        <item>容和</item>
      </candidateList>
      <explain/>
      <paraID>20FF5E02</paraID>
      <start>50</start>
      <end>51</end>
      <status>unmodified</status>
      <modifiedWord/>
      <trackRevisions>false</trackRevisions>
    </reviewItem>
    <reviewItem>
      <errorID>81f0bbd3-3137-4aba-9519-8501f048bbdd</errorID>
      <errorWord>：；</errorWord>
      <group>L1_Punc</group>
      <groupName>标点问题</groupName>
      <ability>L2_Punc</ability>
      <abilityName>标点符号检查</abilityName>
      <candidateList>
        <item>：</item>
      </candidateList>
      <explain/>
      <paraID>74E1F960</paraID>
      <start>2</start>
      <end>4</end>
      <status>unmodified</status>
      <modifiedWord/>
      <trackRevisions>false</trackRevisions>
    </reviewItem>
    <reviewItem>
      <errorID>1b43a7ad-c576-479e-9e43-1623211e373a</errorID>
      <errorWord>：；</errorWord>
      <group>L1_Punc</group>
      <groupName>标点问题</groupName>
      <ability>L2_Punc</ability>
      <abilityName>标点符号检查</abilityName>
      <candidateList>
        <item>：</item>
      </candidateList>
      <explain/>
      <paraID>1C28BCF5</paraID>
      <start>4</start>
      <end>6</end>
      <status>unmodified</status>
      <modifiedWord/>
      <trackRevisions>false</trackRevisions>
    </reviewItem>
    <reviewItem>
      <errorID>ae17f8a6-20de-403e-a09e-591bec3a2449</errorID>
      <errorWord>：；</errorWord>
      <group>L1_Punc</group>
      <groupName>标点问题</groupName>
      <ability>L2_Punc</ability>
      <abilityName>标点符号检查</abilityName>
      <candidateList>
        <item>：</item>
      </candidateList>
      <explain/>
      <paraID>61E5B7D4</paraID>
      <start>2</start>
      <end>4</end>
      <status>unmodified</status>
      <modifiedWord/>
      <trackRevisions>false</trackRevisions>
    </reviewItem>
    <reviewItem>
      <errorID>76bb2412-a8f1-41e9-9e6a-2c691400cb2b</errorID>
      <errorWord>：；</errorWord>
      <group>L1_Punc</group>
      <groupName>标点问题</groupName>
      <ability>L2_Punc</ability>
      <abilityName>标点符号检查</abilityName>
      <candidateList>
        <item>：</item>
      </candidateList>
      <explain/>
      <paraID>44CA1C07</paraID>
      <start>4</start>
      <end>6</end>
      <status>unmodified</status>
      <modifiedWord/>
      <trackRevisions>false</trackRevisions>
    </reviewItem>
    <reviewItem>
      <errorID>294bb9ee-a454-4920-8fe9-aee194c3354b</errorID>
      <errorWord>：；</errorWord>
      <group>L1_Punc</group>
      <groupName>标点问题</groupName>
      <ability>L2_Punc</ability>
      <abilityName>标点符号检查</abilityName>
      <candidateList>
        <item>：</item>
      </candidateList>
      <explain/>
      <paraID>18A2147C</paraID>
      <start>4</start>
      <end>6</end>
      <status>unmodified</status>
      <modifiedWord/>
      <trackRevisions>false</trackRevisions>
    </reviewItem>
    <reviewItem>
      <errorID>ff84ebbd-317d-484e-bea1-90ca6c05034b</errorID>
      <errorWord>：。</errorWord>
      <group>L1_Punc</group>
      <groupName>标点问题</groupName>
      <ability>L2_Punc</ability>
      <abilityName>标点符号检查</abilityName>
      <candidateList>
        <item>：</item>
      </candidateList>
      <explain/>
      <paraID>1CF887A8</paraID>
      <start>4</start>
      <end>6</end>
      <status>unmodified</status>
      <modifiedWord/>
      <trackRevisions>false</trackRevisions>
    </reviewItem>
    <reviewItem>
      <errorID>64283a2f-b840-414f-bf9f-8f9659f8d17a</errorID>
      <errorWord>限</errorWord>
      <group>L1_Word</group>
      <groupName>字词问题</groupName>
      <ability>L2_Typo</ability>
      <abilityName>字词错误</abilityName>
      <candidateList>
        <item>限内</item>
      </candidateList>
      <explain/>
      <paraID>7B9ED75D</paraID>
      <start>324</start>
      <end>327</end>
      <status>modified</status>
      <modifiedWord>限内</modifiedWord>
      <trackRevisions>true</trackRevisions>
    </reviewItem>
    <reviewItem>
      <errorID>3b4e89dd-9fdd-4e81-8add-345a18af4b24</errorID>
      <errorWord>座标</errorWord>
      <group>L1_Word</group>
      <groupName>字词问题</groupName>
      <ability>L2_Typo</ability>
      <abilityName>字词错误</abilityName>
      <candidateList>
        <item>坐标</item>
      </candidateList>
      <explain>〈名〉能够确定一个点在空间的位置的一个或一组数，叫做这个点的坐标。通常由这个点到垂直相交的若干条固定的直线的距离来表示。这些直线叫做坐标轴。坐标轴的数目在平面上为2，在空间里为3。</explain>
      <paraID>303245BB</paraID>
      <start>4</start>
      <end>6</end>
      <status>unmodified</status>
      <modifiedWord/>
      <trackRevisions>false</trackRevisions>
    </reviewItem>
    <reviewItem>
      <errorID>e60c2625-e6a8-4698-9197-6d68d535cd87</errorID>
      <errorWord>：/。</errorWord>
      <group>L1_Punc</group>
      <groupName>标点问题</groupName>
      <ability>L2_Punc</ability>
      <abilityName>标点符号检查</abilityName>
      <candidateList>
        <item>：</item>
      </candidateList>
      <explain/>
      <paraID>781F5DC4</paraID>
      <start>16</start>
      <end>19</end>
      <status>unmodified</status>
      <modifiedWord/>
      <trackRevisions>false</trackRevisions>
    </reviewItem>
    <reviewItem>
      <errorID>994e4db3-ebda-4d91-8757-eeb86a24cbd4</errorID>
      <errorWord>。】</errorWord>
      <group>L1_Punc</group>
      <groupName>标点问题</groupName>
      <ability>L2_Punc</ability>
      <abilityName>标点符号检查</abilityName>
      <candidateList>
        <item>】</item>
      </candidateList>
      <explain/>
      <paraID>665D1200</paraID>
      <start>187</start>
      <end>189</end>
      <status>unmodified</status>
      <modifiedWord/>
      <trackRevisions>false</trackRevisions>
    </reviewItem>
    <reviewItem>
      <errorID>f8c6b5f1-5ff6-41da-a165-18ce5f663885</errorID>
      <errorWord>共同协商</errorWord>
      <group>L1_Word</group>
      <groupName>字词问题</groupName>
      <ability>L2_Typo</ability>
      <abilityName>字词错误</abilityName>
      <candidateList>
        <item>协商</item>
      </candidateList>
      <explain/>
      <paraID>5C46B1B0</paraID>
      <start>58</start>
      <end>62</end>
      <status>unmodified</status>
      <modifiedWord/>
      <trackRevisions>false</trackRevisions>
    </reviewItem>
    <reviewItem>
      <errorID>75307411-2f67-43e4-9139-7b96cb90bf9a</errorID>
      <errorWord>作好</errorWord>
      <group>L1_Word</group>
      <groupName>字词问题</groupName>
      <ability>L2_Typo</ability>
      <abilityName>字词错误</abilityName>
      <candidateList>
        <item>做好</item>
      </candidateList>
      <explain/>
      <paraID>773E9E72</paraID>
      <start>8</start>
      <end>10</end>
      <status>unmodified</status>
      <modifiedWord/>
      <trackRevisions>false</trackRevisions>
    </reviewItem>
    <reviewItem>
      <errorID>5606049e-b19f-4258-a0e2-7f90849979d2</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6495E4E8</paraID>
      <start>0</start>
      <end>3</end>
      <status>unmodified</status>
      <modifiedWord/>
      <trackRevisions>false</trackRevisions>
    </reviewItem>
    <reviewItem>
      <errorID>2782199e-7724-4ff6-8d7e-68c9d7d5740f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657B7F9B</paraID>
      <start>16</start>
      <end>19</end>
      <status>unmodified</status>
      <modifiedWord/>
      <trackRevisions>false</trackRevisions>
    </reviewItem>
    <reviewItem>
      <errorID>60dcdcb2-130b-4e44-842a-b8bce7dba0a3</errorID>
      <errorWord>&lt;</errorWord>
      <group>L1_Format</group>
      <groupName>格式问题</groupName>
      <ability>L2_HalfPunc</ability>
      <abilityName>全半角检查</abilityName>
      <candidateList>
        <item>〈</item>
      </candidateList>
      <explain>文本全半角错误。</explain>
      <paraID>657B7F9B</paraID>
      <start>71</start>
      <end>72</end>
      <status>unmodified</status>
      <modifiedWord/>
      <trackRevisions>false</trackRevisions>
    </reviewItem>
    <reviewItem>
      <errorID>84f7954f-7eec-4702-8c73-27002e106125</errorID>
      <errorWord>&gt;</errorWord>
      <group>L1_Format</group>
      <groupName>格式问题</groupName>
      <ability>L2_HalfPunc</ability>
      <abilityName>全半角检查</abilityName>
      <candidateList>
        <item>〉</item>
      </candidateList>
      <explain>文本全半角错误。</explain>
      <paraID>657B7F9B</paraID>
      <start>93</start>
      <end>94</end>
      <status>unmodified</status>
      <modifiedWord/>
      <trackRevisions>false</trackRevisions>
    </reviewItem>
    <reviewItem>
      <errorID>ca178104-7553-41f4-9242-aef1769bc7d6</errorID>
      <errorWord>：；</errorWord>
      <group>L1_Punc</group>
      <groupName>标点问题</groupName>
      <ability>L2_Punc</ability>
      <abilityName>标点符号检查</abilityName>
      <candidateList>
        <item>：</item>
      </candidateList>
      <explain/>
      <paraID>17F412B5</paraID>
      <start>2</start>
      <end>4</end>
      <status>unmodified</status>
      <modifiedWord/>
      <trackRevisions>false</trackRevisions>
    </reviewItem>
    <reviewItem>
      <errorID>2630bc84-382d-48e8-98b2-02a3f4a268a1</errorID>
      <errorWord>：；</errorWord>
      <group>L1_Punc</group>
      <groupName>标点问题</groupName>
      <ability>L2_Punc</ability>
      <abilityName>标点符号检查</abilityName>
      <candidateList>
        <item>：</item>
      </candidateList>
      <explain/>
      <paraID> 97E616E</paraID>
      <start>4</start>
      <end>6</end>
      <status>unmodified</status>
      <modifiedWord/>
      <trackRevisions>false</trackRevisions>
    </reviewItem>
    <reviewItem>
      <errorID>b2e73c75-88e4-44cb-8d09-0a4426f1ee41</errorID>
      <errorWord>：；</errorWord>
      <group>L1_Punc</group>
      <groupName>标点问题</groupName>
      <ability>L2_Punc</ability>
      <abilityName>标点符号检查</abilityName>
      <candidateList>
        <item>：</item>
      </candidateList>
      <explain/>
      <paraID>506C6ADD</paraID>
      <start>9</start>
      <end>11</end>
      <status>unmodified</status>
      <modifiedWord/>
      <trackRevisions>false</trackRevisions>
    </reviewItem>
    <reviewItem>
      <errorID>22d401ff-fac6-41f5-9333-551305972d9b</errorID>
      <errorWord>：；</errorWord>
      <group>L1_Punc</group>
      <groupName>标点问题</groupName>
      <ability>L2_Punc</ability>
      <abilityName>标点符号检查</abilityName>
      <candidateList>
        <item>：</item>
      </candidateList>
      <explain/>
      <paraID>6A4C7913</paraID>
      <start>8</start>
      <end>10</end>
      <status>unmodified</status>
      <modifiedWord/>
      <trackRevisions>false</trackRevisions>
    </reviewItem>
    <reviewItem>
      <errorID>bfa744da-d78b-468a-a96e-a31f7cacc614</errorID>
      <errorWord>：；</errorWord>
      <group>L1_Punc</group>
      <groupName>标点问题</groupName>
      <ability>L2_Punc</ability>
      <abilityName>标点符号检查</abilityName>
      <candidateList>
        <item>：</item>
      </candidateList>
      <explain/>
      <paraID>12CDB11C</paraID>
      <start>11</start>
      <end>13</end>
      <status>unmodified</status>
      <modifiedWord/>
      <trackRevisions>false</trackRevisions>
    </reviewItem>
    <reviewItem>
      <errorID>40aaee50-ef0e-4bb7-83ba-5dc7fd3f68fe</errorID>
      <errorWord>：；</errorWord>
      <group>L1_Punc</group>
      <groupName>标点问题</groupName>
      <ability>L2_Punc</ability>
      <abilityName>标点符号检查</abilityName>
      <candidateList>
        <item>：</item>
      </candidateList>
      <explain/>
      <paraID>78104587</paraID>
      <start>4</start>
      <end>6</end>
      <status>unmodified</status>
      <modifiedWord/>
      <trackRevisions>false</trackRevisions>
    </reviewItem>
    <reviewItem>
      <errorID>8a5e2590-72a8-4ca4-9577-d25dd75d92cd</errorID>
      <errorWord>：；</errorWord>
      <group>L1_Punc</group>
      <groupName>标点问题</groupName>
      <ability>L2_Punc</ability>
      <abilityName>标点符号检查</abilityName>
      <candidateList>
        <item>：</item>
      </candidateList>
      <explain/>
      <paraID>23483B63</paraID>
      <start>4</start>
      <end>6</end>
      <status>unmodified</status>
      <modifiedWord/>
      <trackRevisions>false</trackRevisions>
    </reviewItem>
    <reviewItem>
      <errorID>55830719-6ff4-4513-b60d-4459641fa461</errorID>
      <errorWord>：；</errorWord>
      <group>L1_Punc</group>
      <groupName>标点问题</groupName>
      <ability>L2_Punc</ability>
      <abilityName>标点符号检查</abilityName>
      <candidateList>
        <item>：</item>
      </candidateList>
      <explain/>
      <paraID>251B1BCF</paraID>
      <start>4</start>
      <end>6</end>
      <status>unmodified</status>
      <modifiedWord/>
      <trackRevisions>false</trackRevisions>
    </reviewItem>
    <reviewItem>
      <errorID>726c986b-6209-4658-b604-cda1c162a365</errorID>
      <errorWord>(</errorWord>
      <group>L1_Format</group>
      <groupName>格式问题</groupName>
      <ability>L2_HalfPunc</ability>
      <abilityName>全半角检查</abilityName>
      <candidateList>
        <item>（</item>
      </candidateList>
      <explain>文本全半角错误。</explain>
      <paraID>448F46FD</paraID>
      <start>92</start>
      <end>93</end>
      <status>unmodified</status>
      <modifiedWord/>
      <trackRevisions>false</trackRevisions>
    </reviewItem>
    <reviewItem>
      <errorID>6a78f59e-8418-4683-9735-cb8b388e4a75</errorID>
      <errorWord>)</errorWord>
      <group>L1_Format</group>
      <groupName>格式问题</groupName>
      <ability>L2_HalfPunc</ability>
      <abilityName>全半角检查</abilityName>
      <candidateList>
        <item>）</item>
      </candidateList>
      <explain>文本全半角错误。</explain>
      <paraID>448F46FD</paraID>
      <start>96</start>
      <end>97</end>
      <status>unmodified</status>
      <modifiedWord/>
      <trackRevisions>false</trackRevisions>
    </reviewItem>
    <reviewItem>
      <errorID>73caa717-1597-4c69-8f9d-d19f4053bc17</errorID>
      <errorWord>人</errorWord>
      <group>L1_Word</group>
      <groupName>字词问题</groupName>
      <ability>L2_Typo</ability>
      <abilityName>字词错误</abilityName>
      <candidateList>
        <item>人在</item>
      </candidateList>
      <explain/>
      <paraID>10204D76</paraID>
      <start>35</start>
      <end>36</end>
      <status>unmodified</status>
      <modifiedWord/>
      <trackRevisions>false</trackRevisions>
    </reviewItem>
    <reviewItem>
      <errorID>bc9f75a7-3d25-43c9-8754-85b0f18a38a7</errorID>
      <errorWord>超过工期一半以上</errorWord>
      <group>L1_Word</group>
      <groupName>字词问题</groupName>
      <ability>L2_Typo</ability>
      <abilityName>字词错误</abilityName>
      <candidateList>
        <item>超过工期一半</item>
      </candidateList>
      <explain/>
      <paraID>10204D76</paraID>
      <start>272</start>
      <end>280</end>
      <status>unmodified</status>
      <modifiedWord/>
      <trackRevisions>false</trackRevisions>
    </reviewItem>
    <reviewItem>
      <errorID>2a17e210-86dd-4df4-9ede-ca76bddcf306</errorID>
      <errorWord>交纳</errorWord>
      <group>L1_Word</group>
      <groupName>字词问题</groupName>
      <ability>L2_Typo</ability>
      <abilityName>字词错误</abilityName>
      <candidateList>
        <item>缴纳</item>
      </candidateList>
      <explain>〈动〉交纳：～税款。</explain>
      <paraID>4248642F</paraID>
      <start>69</start>
      <end>71</end>
      <status>unmodified</status>
      <modifiedWord/>
      <trackRevisions>false</trackRevisions>
    </reviewItem>
    <reviewItem>
      <errorID>650b640a-6cb5-4e05-855e-0007395d7ef4</errorID>
      <errorWord>交纳</errorWord>
      <group>L1_Word</group>
      <groupName>字词问题</groupName>
      <ability>L2_Typo</ability>
      <abilityName>字词错误</abilityName>
      <candidateList>
        <item>缴纳</item>
      </candidateList>
      <explain>〈动〉交纳：～税款。</explain>
      <paraID>3F4D6F07</paraID>
      <start>87</start>
      <end>89</end>
      <status>unmodified</status>
      <modifiedWord/>
      <trackRevisions>false</trackRevisions>
    </reviewItem>
    <reviewItem>
      <errorID>9c275a14-f8b6-4b7a-b2dd-7ec8223b4d8a</errorID>
      <errorWord>：：</errorWord>
      <group>L1_Punc</group>
      <groupName>标点问题</groupName>
      <ability>L2_Punc</ability>
      <abilityName>标点符号检查</abilityName>
      <candidateList>
        <item>：</item>
      </candidateList>
      <explain/>
      <paraID>18A94633</paraID>
      <start>28</start>
      <end>30</end>
      <status>unmodified</status>
      <modifiedWord/>
      <trackRevisions>false</trackRevisions>
    </reviewItem>
    <reviewItem>
      <errorID>bc98fb4b-2d84-40b6-a0b2-dab8225ae9a4</errorID>
      <errorWord>其它</errorWord>
      <group>L1_Word</group>
      <groupName>字词问题</groupName>
      <ability>L2_Alias</ability>
      <abilityName>也作/曾用词</abilityName>
      <candidateList>
        <item>其他</item>
      </candidateList>
      <explain>词汇[其它]为不规范表述或旧称，其规范书面表述为[其他]。</explain>
      <paraID>30F6C029</paraID>
      <start>46</start>
      <end>48</end>
      <status>unmodified</status>
      <modifiedWord/>
      <trackRevisions>false</trackRevisions>
    </reviewItem>
    <reviewItem>
      <errorID>2f66c2b3-1408-4aab-b353-cb9794dfcdfe</errorID>
      <errorWord>其它</errorWord>
      <group>L1_Word</group>
      <groupName>字词问题</groupName>
      <ability>L2_Alias</ability>
      <abilityName>也作/曾用词</abilityName>
      <candidateList>
        <item>其他</item>
      </candidateList>
      <explain>词汇[其它]为不规范表述或旧称，其规范书面表述为[其他]。</explain>
      <paraID>30F6C029</paraID>
      <start>133</start>
      <end>135</end>
      <status>unmodified</status>
      <modifiedWord/>
      <trackRevisions>false</trackRevisions>
    </reviewItem>
    <reviewItem>
      <errorID>ef5ddeac-f923-447c-bce5-15222d4f230c</errorID>
      <errorWord>其它</errorWord>
      <group>L1_Word</group>
      <groupName>字词问题</groupName>
      <ability>L2_Alias</ability>
      <abilityName>也作/曾用词</abilityName>
      <candidateList>
        <item>其他</item>
      </candidateList>
      <explain>词汇[其它]为不规范表述或旧称，其规范书面表述为[其他]。</explain>
      <paraID> 536B020</paraID>
      <start>175</start>
      <end>177</end>
      <status>unmodified</status>
      <modifiedWord/>
      <trackRevisions>false</trackRevisions>
    </reviewItem>
    <reviewItem>
      <errorID>79c9dbfb-afac-422e-b182-95f29c2aa0f5</errorID>
      <errorWord>,</errorWord>
      <group>L1_Format</group>
      <groupName>格式问题</groupName>
      <ability>L2_HalfPunc</ability>
      <abilityName>全半角检查</abilityName>
      <candidateList>
        <item>，</item>
      </candidateList>
      <explain>文本全半角错误。</explain>
      <paraID>1E0F7D31</paraID>
      <start>134</start>
      <end>135</end>
      <status>unmodified</status>
      <modifiedWord/>
      <trackRevisions>false</trackRevisions>
    </reviewItem>
    <reviewItem>
      <errorID>4ccf97c3-400c-451a-a06c-107b4a5bd766</errorID>
      <errorWord>发包人的</errorWord>
      <group>L1_Word</group>
      <groupName>字词问题</groupName>
      <ability>L2_Typo</ability>
      <abilityName>字词错误</abilityName>
      <candidateList>
        <item>发包人</item>
      </candidateList>
      <explain/>
      <paraID>1EFFA24C</paraID>
      <start>12</start>
      <end>16</end>
      <status>unmodified</status>
      <modifiedWord/>
      <trackRevisions>false</trackRevisions>
    </reviewItem>
    <reviewItem>
      <errorID>66602ecd-539c-4b5c-ac63-35112b925d94</errorID>
      <errorWord>(</errorWord>
      <group>L1_Format</group>
      <groupName>格式问题</groupName>
      <ability>L2_HalfPunc</ability>
      <abilityName>全半角检查</abilityName>
      <candidateList>
        <item>（</item>
      </candidateList>
      <explain>文本全半角错误。</explain>
      <paraID>35C776E1</paraID>
      <start>60</start>
      <end>61</end>
      <status>unmodified</status>
      <modifiedWord/>
      <trackRevisions>false</trackRevisions>
    </reviewItem>
    <reviewItem>
      <errorID>df53aaa9-bf08-4e0c-8070-fe1fa7eddc76</errorID>
      <errorWord>)</errorWord>
      <group>L1_Format</group>
      <groupName>格式问题</groupName>
      <ability>L2_HalfPunc</ability>
      <abilityName>全半角检查</abilityName>
      <candidateList>
        <item>）</item>
      </candidateList>
      <explain>文本全半角错误。</explain>
      <paraID>35C776E1</paraID>
      <start>62</start>
      <end>63</end>
      <status>unmodified</status>
      <modifiedWord/>
      <trackRevisions>false</trackRevisions>
    </reviewItem>
    <reviewItem>
      <errorID>0ea85387-0643-4a99-9455-a41cf5ee17dc</errorID>
      <errorWord>挂勾</errorWord>
      <group>L1_Word</group>
      <groupName>字词问题</groupName>
      <ability>L2_Typo</ability>
      <abilityName>字词错误</abilityName>
      <candidateList>
        <item>挂钩</item>
      </candidateList>
      <explain>❶（－∥－）〈动〉用钩把两节车厢连接起来。❷（－∥－）〈动〉比喻建立某种联系：企业直接跟原料产地～｜这两个单位早就挂起钩来了。❸〈名〉用来吊起重物或把车厢等连接起来的钩：吊车～｜火车～。</explain>
      <paraID>4E44ABFF</paraID>
      <start>26</start>
      <end>30</end>
      <status>modified</status>
      <modifiedWord>挂钩</modifiedWord>
      <trackRevisions>true</trackRevisions>
    </reviewItem>
    <reviewItem>
      <errorID>9971862d-c2a9-410a-9079-65c6195adf2d</errorID>
      <errorWord>期限的</errorWord>
      <group>L1_Word</group>
      <groupName>字词问题</groupName>
      <ability>L2_Typo</ability>
      <abilityName>字词错误</abilityName>
      <candidateList>
        <item>期限</item>
      </candidateList>
      <explain/>
      <paraID>72CBE644</paraID>
      <start>16</start>
      <end>19</end>
      <status>unmodified</status>
      <modifiedWord/>
      <trackRevisions>false</trackRevisions>
    </reviewItem>
    <reviewItem>
      <errorID>83d627e3-1388-423a-be1c-c85dede22f74</errorID>
      <errorWord>：；</errorWord>
      <group>L1_Punc</group>
      <groupName>标点问题</groupName>
      <ability>L2_Punc</ability>
      <abilityName>标点符号检查</abilityName>
      <candidateList>
        <item>：</item>
      </candidateList>
      <explain/>
      <paraID>4D2E1E23</paraID>
      <start>2</start>
      <end>4</end>
      <status>unmodified</status>
      <modifiedWord/>
      <trackRevisions>false</trackRevisions>
    </reviewItem>
    <reviewItem>
      <errorID>ac5e81ec-3924-4038-a7b3-ec885e814a3d</errorID>
      <errorWord>：；</errorWord>
      <group>L1_Punc</group>
      <groupName>标点问题</groupName>
      <ability>L2_Punc</ability>
      <abilityName>标点符号检查</abilityName>
      <candidateList>
        <item>：</item>
      </candidateList>
      <explain/>
      <paraID>7D46F675</paraID>
      <start>2</start>
      <end>4</end>
      <status>unmodified</status>
      <modifiedWord/>
      <trackRevisions>false</trackRevisions>
    </reviewItem>
    <reviewItem>
      <errorID>28713541-2b40-4703-b1bf-8a146656b9d7</errorID>
      <errorWord>：；</errorWord>
      <group>L1_Punc</group>
      <groupName>标点问题</groupName>
      <ability>L2_Punc</ability>
      <abilityName>标点符号检查</abilityName>
      <candidateList>
        <item>：</item>
      </candidateList>
      <explain/>
      <paraID>2669ED3A</paraID>
      <start>10</start>
      <end>12</end>
      <status>unmodified</status>
      <modifiedWord/>
      <trackRevisions>false</trackRevisions>
    </reviewItem>
    <reviewItem>
      <errorID>c5a021c8-1851-43a9-bb7b-9ce691eee531</errorID>
      <errorWord>：；</errorWord>
      <group>L1_Punc</group>
      <groupName>标点问题</groupName>
      <ability>L2_Punc</ability>
      <abilityName>标点符号检查</abilityName>
      <candidateList>
        <item>：</item>
      </candidateList>
      <explain/>
      <paraID>48BE9453</paraID>
      <start>4</start>
      <end>6</end>
      <status>unmodified</status>
      <modifiedWord/>
      <trackRevisions>false</trackRevisions>
    </reviewItem>
    <reviewItem>
      <errorID>91787216-fcab-4e39-b459-2c82da10bfba</errorID>
      <errorWord>：；</errorWord>
      <group>L1_Punc</group>
      <groupName>标点问题</groupName>
      <ability>L2_Punc</ability>
      <abilityName>标点符号检查</abilityName>
      <candidateList>
        <item>：</item>
      </candidateList>
      <explain/>
      <paraID>524D0E37</paraID>
      <start>4</start>
      <end>6</end>
      <status>unmodified</status>
      <modifiedWord/>
      <trackRevisions>false</trackRevisions>
    </reviewItem>
    <reviewItem>
      <errorID>8cd6c2ea-e396-4d45-ba92-f6c6947e985a</errorID>
      <errorWord>：；</errorWord>
      <group>L1_Punc</group>
      <groupName>标点问题</groupName>
      <ability>L2_Punc</ability>
      <abilityName>标点符号检查</abilityName>
      <candidateList>
        <item>：</item>
      </candidateList>
      <explain/>
      <paraID>71273A8E</paraID>
      <start>4</start>
      <end>6</end>
      <status>unmodified</status>
      <modifiedWord/>
      <trackRevisions>false</trackRevisions>
    </reviewItem>
    <reviewItem>
      <errorID>14fdecf2-a192-452b-9120-0ac0d599e103</errorID>
      <errorWord>有如</errorWord>
      <group>L1_Word</group>
      <groupName>字词问题</groupName>
      <ability>L2_Typo</ability>
      <abilityName>字词错误</abilityName>
      <candidateList>
        <item>有</item>
      </candidateList>
      <explain>〈书〉同“又”▲：三十～八年。</explain>
      <paraID>503C9345</paraID>
      <start>2</start>
      <end>4</end>
      <status>unmodified</status>
      <modifiedWord/>
      <trackRevisions>false</trackRevisions>
    </reviewItem>
    <reviewItem>
      <errorID>d9f2b5d9-96d1-40a8-a34e-96feab499976</errorID>
      <errorWord>,</errorWord>
      <group>L1_Format</group>
      <groupName>格式问题</groupName>
      <ability>L2_HalfPunc</ability>
      <abilityName>全半角检查</abilityName>
      <candidateList>
        <item>，</item>
      </candidateList>
      <explain>文本全半角错误。</explain>
      <paraID>503C9345</paraID>
      <start>124</start>
      <end>125</end>
      <status>unmodified</status>
      <modifiedWord/>
      <trackRevisions>false</trackRevisions>
    </reviewItem>
    <reviewItem>
      <errorID>0d5b2e2b-23a8-45be-b2dc-9abeb555b4af</errorID>
      <errorWord>（</errorWord>
      <group>L1_Format</group>
      <groupName>格式问题</groupName>
      <ability>L2_HalfPunc</ability>
      <abilityName>全半角检查</abilityName>
      <candidateList>
        <item>(</item>
      </candidateList>
      <explain>文本全半角错误。</explain>
      <paraID>18682D7E</paraID>
      <start>0</start>
      <end>1</end>
      <status>unmodified</status>
      <modifiedWord/>
      <trackRevisions>false</trackRevisions>
    </reviewItem>
    <reviewItem>
      <errorID>50f6e0de-a410-4b62-bdda-42e6c53eb9d7</errorID>
      <errorWord>）；</errorWord>
      <group>L1_Format</group>
      <groupName>格式问题</groupName>
      <ability>L2_HalfPunc</ability>
      <abilityName>全半角检查</abilityName>
      <candidateList>
        <item>);</item>
      </candidateList>
      <explain>文本全半角错误。</explain>
      <paraID>18682D7E</paraID>
      <start>2</start>
      <end>4</end>
      <status>unmodified</status>
      <modifiedWord/>
      <trackRevisions>false</trackRevisions>
    </reviewItem>
    <reviewItem>
      <errorID>56b38d63-9c66-453e-bb42-57099d23bb09</errorID>
      <errorWord>（</errorWord>
      <group>L1_Format</group>
      <groupName>格式问题</groupName>
      <ability>L2_HalfPunc</ability>
      <abilityName>全半角检查</abilityName>
      <candidateList>
        <item>(</item>
      </candidateList>
      <explain>文本全半角错误。</explain>
      <paraID>6FA60912</paraID>
      <start>0</start>
      <end>1</end>
      <status>unmodified</status>
      <modifiedWord/>
      <trackRevisions>false</trackRevisions>
    </reviewItem>
    <reviewItem>
      <errorID>a17a6b41-65c9-4f08-a2ae-588f431007ef</errorID>
      <errorWord>）。</errorWord>
      <group>L1_Format</group>
      <groupName>格式问题</groupName>
      <ability>L2_HalfPunc</ability>
      <abilityName>全半角检查</abilityName>
      <candidateList>
        <item>).</item>
      </candidateList>
      <explain>文本全半角错误。</explain>
      <paraID>6FA60912</paraID>
      <start>2</start>
      <end>4</end>
      <status>unmodified</status>
      <modifiedWord/>
      <trackRevisions>false</trackRevisions>
    </reviewItem>
    <reviewItem>
      <errorID>c50712d0-e311-44ed-9a35-6ef358fcf379</errorID>
      <errorWord>(</errorWord>
      <group>L1_Format</group>
      <groupName>格式问题</groupName>
      <ability>L2_HalfPunc</ability>
      <abilityName>全半角检查</abilityName>
      <candidateList>
        <item>（</item>
      </candidateList>
      <explain>文本全半角错误。</explain>
      <paraID>22050B71</paraID>
      <start>89</start>
      <end>90</end>
      <status>unmodified</status>
      <modifiedWord/>
      <trackRevisions>false</trackRevisions>
    </reviewItem>
    <reviewItem>
      <errorID>f2ceb851-6697-41c4-91e8-d4f8db2f023a</errorID>
      <errorWord>[2014]96号</errorWord>
      <group>L1_Knowledge</group>
      <groupName>知识性问题</groupName>
      <ability>L2_Knowledge</ability>
      <abilityName>其他知识</abilityName>
      <candidateList>
        <item>〔2014〕96号</item>
      </candidateList>
      <explain>发文字号格式错误</explain>
      <paraID>22050B71</paraID>
      <start>93</start>
      <end>102</end>
      <status>unmodified</status>
      <modifiedWord/>
      <trackRevisions>false</trackRevisions>
    </reviewItem>
    <reviewItem>
      <errorID>f4b59dae-f1e1-41c9-bbc8-f1b640b88d2d</errorID>
      <errorWord>)</errorWord>
      <group>L1_Format</group>
      <groupName>格式问题</groupName>
      <ability>L2_HalfPunc</ability>
      <abilityName>全半角检查</abilityName>
      <candidateList>
        <item>）</item>
      </candidateList>
      <explain>文本全半角错误。</explain>
      <paraID>22050B71</paraID>
      <start>102</start>
      <end>103</end>
      <status>unmodified</status>
      <modifiedWord/>
      <trackRevisions>false</trackRevisions>
    </reviewItem>
    <reviewItem>
      <errorID>8348cc2d-90d6-4dcf-86be-2f3634608b47</errorID>
      <errorWord>[2014]155号</errorWord>
      <group>L1_Knowledge</group>
      <groupName>知识性问题</groupName>
      <ability>L2_Knowledge</ability>
      <abilityName>其他知识</abilityName>
      <candidateList>
        <item>〔2014〕155号</item>
      </candidateList>
      <explain>发文字号格式错误</explain>
      <paraID>22050B71</paraID>
      <start>147</start>
      <end>157</end>
      <status>unmodified</status>
      <modifiedWord/>
      <trackRevisions>false</trackRevisions>
    </reviewItem>
    <reviewItem>
      <errorID>05c5a5cc-a73a-4911-adf4-8411057d4165</errorID>
      <errorWord>商订</errorWord>
      <group>L1_Word</group>
      <groupName>字词问题</groupName>
      <ability>L2_Typo</ability>
      <abilityName>字词错误</abilityName>
      <candidateList>
        <item>商定</item>
      </candidateList>
      <explain/>
      <paraID>4AE003CA</paraID>
      <start>123</start>
      <end>125</end>
      <status>unmodified</status>
      <modifiedWord/>
      <trackRevisions>false</trackRevisions>
    </reviewItem>
    <reviewItem>
      <errorID>c9a140d6-192b-4de4-a29d-15f43bc67c0a</errorID>
      <errorWord>循序</errorWord>
      <group>L1_Word</group>
      <groupName>字词问题</groupName>
      <ability>L2_Typo</ability>
      <abilityName>字词错误</abilityName>
      <candidateList>
        <item>顺序</item>
      </candidateList>
      <explain/>
      <paraID>4AE003CA</paraID>
      <start>134</start>
      <end>138</end>
      <status>modified</status>
      <modifiedWord>顺序</modifiedWord>
      <trackRevisions>true</trackRevisions>
    </reviewItem>
    <reviewItem>
      <errorID>b8d40abc-2adf-4e22-a9ac-1088141167e4</errorID>
      <errorWord>：</errorWord>
      <group>L1_Word</group>
      <groupName>字词问题</groupName>
      <ability>L2_Typo</ability>
      <abilityName>字词错误</abilityName>
      <candidateList>
        <item>：由</item>
      </candidateList>
      <explain/>
      <paraID>1A9A3A2F</paraID>
      <start>25</start>
      <end>26</end>
      <status>unmodified</status>
      <modifiedWord/>
      <trackRevisions>false</trackRevisions>
    </reviewItem>
    <reviewItem>
      <errorID>b9df4427-db6d-42d9-aa63-4b8ae40cd0d1</errorID>
      <errorWord>，</errorWord>
      <group>L1_Word</group>
      <groupName>字词问题</groupName>
      <ability>L2_Typo</ability>
      <abilityName>字词错误</abilityName>
      <candidateList>
        <item>，在</item>
      </candidateList>
      <explain/>
      <paraID>1A9A3A2F</paraID>
      <start>85</start>
      <end>86</end>
      <status>unmodified</status>
      <modifiedWord/>
      <trackRevisions>false</trackRevisions>
    </reviewItem>
    <reviewItem>
      <errorID>e8b553c9-067f-42ec-983d-318289802fb5</errorID>
      <errorWord>建设工程安全生产管理条件</errorWord>
      <group>L1_Knowledge</group>
      <groupName>知识性问题</groupName>
      <ability>L2_Knowledge</ability>
      <abilityName>其他知识</abilityName>
      <candidateList>
        <item>建设工程安全生产管理条例</item>
      </candidateList>
      <explain>当前法律法规未收录或尚未生效，注意核查是否正确。</explain>
      <paraID>1A9A3A2F</paraID>
      <start>99</start>
      <end>123</end>
      <status>modified</status>
      <modifiedWord>建设工程安全生产管理条例</modifiedWord>
      <trackRevisions>true</trackRevisions>
    </reviewItem>
    <reviewItem>
      <errorID>87aba766-772c-40a0-a08e-58b7ec5ece8e</errorID>
      <errorWord>[2015]16号</errorWord>
      <group>L1_Knowledge</group>
      <groupName>知识性问题</groupName>
      <ability>L2_Knowledge</ability>
      <abilityName>其他知识</abilityName>
      <candidateList>
        <item>〔2015〕16号</item>
      </candidateList>
      <explain>发文字号格式错误</explain>
      <paraID>1A9A3A2F</paraID>
      <start>210</start>
      <end>219</end>
      <status>unmodified</status>
      <modifiedWord/>
      <trackRevisions>false</trackRevisions>
    </reviewItem>
    <reviewItem>
      <errorID>d1be5b48-0139-413a-a453-b9af58d4da94</errorID>
      <errorWord>.。</errorWord>
      <group>L1_Punc</group>
      <groupName>标点问题</groupName>
      <ability>L2_Punc</ability>
      <abilityName>标点符号检查</abilityName>
      <candidateList>
        <item>.</item>
      </candidateList>
      <explain/>
      <paraID>131BACA1</paraID>
      <start>36</start>
      <end>38</end>
      <status>unmodified</status>
      <modifiedWord/>
      <trackRevisions>false</trackRevisions>
    </reviewItem>
    <reviewItem>
      <errorID>301530d7-05ea-4c0e-bbf2-455c49681b64</errorID>
      <errorWord>大气污染防治法</errorWord>
      <group>L1_Knowledge</group>
      <groupName>知识性问题</groupName>
      <ability>L2_Knowledge</ability>
      <abilityName>其他知识</abilityName>
      <candidateList>
        <item>中华人民共和国大气污染防治法</item>
      </candidateList>
      <explain>当前法律法规名称使用简称，请注意是否应当使用全称。</explain>
      <paraID>352F7F26</paraID>
      <start>19</start>
      <end>40</end>
      <status>modified</status>
      <modifiedWord>中华人民共和国大气污染防治法</modifiedWord>
      <trackRevisions>true</trackRevisions>
    </reviewItem>
    <reviewItem>
      <errorID>5398e60b-ba9c-4592-9e18-0bc0ad40dfc6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352F7F26</paraID>
      <start>105</start>
      <end>108</end>
      <status>unmodified</status>
      <modifiedWord/>
      <trackRevisions>false</trackRevisions>
    </reviewItem>
    <reviewItem>
      <errorID>59aa0420-f5f7-4cad-a35a-7d1088f2cc32</errorID>
      <errorWord>必盖</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352F7F26</paraID>
      <start>318</start>
      <end>320</end>
      <status>unmodified</status>
      <modifiedWord/>
      <trackRevisions>false</trackRevisions>
    </reviewItem>
    <reviewItem>
      <errorID>5b9728dc-8ced-41d6-a24b-15798ee2d7b4</errorID>
      <errorWord>（</errorWord>
      <group>L1_Punc</group>
      <groupName>标点问题</groupName>
      <ability>L2_Punc</ability>
      <abilityName>标点符号检查</abilityName>
      <candidateList/>
      <explain/>
      <paraID>6A685722</paraID>
      <start>59</start>
      <end>60</end>
      <status>unmodified</status>
      <modifiedWord/>
      <trackRevisions>false</trackRevisions>
    </reviewItem>
    <reviewItem>
      <errorID>62fca1ee-40a2-44b7-b560-c9573bc8626f</errorID>
      <errorWord>&lt;</errorWord>
      <group>L1_Format</group>
      <groupName>格式问题</groupName>
      <ability>L2_HalfPunc</ability>
      <abilityName>全半角检查</abilityName>
      <candidateList>
        <item>〈</item>
      </candidateList>
      <explain>文本全半角错误。</explain>
      <paraID>6A685722</paraID>
      <start>65</start>
      <end>66</end>
      <status>unmodified</status>
      <modifiedWord/>
      <trackRevisions>false</trackRevisions>
    </reviewItem>
    <reviewItem>
      <errorID>d7b37721-088c-4668-99b0-e2200f6b188f</errorID>
      <errorWord>&gt;的通知》</errorWord>
      <group>L1_Punc</group>
      <groupName>标点问题</groupName>
      <ability>L2_Punc</ability>
      <abilityName>标点符号检查</abilityName>
      <candidateList>
        <item>〉的通知》</item>
      </candidateList>
      <explain/>
      <paraID>6A685722</paraID>
      <start>90</start>
      <end>95</end>
      <status>unmodified</status>
      <modifiedWord/>
      <trackRevisions>false</trackRevisions>
    </reviewItem>
    <reviewItem>
      <errorID>b8f8383e-148f-4a01-af39-768493708d4c</errorID>
      <errorWord>(</errorWord>
      <group>L1_Format</group>
      <groupName>格式问题</groupName>
      <ability>L2_HalfPunc</ability>
      <abilityName>全半角检查</abilityName>
      <candidateList>
        <item>（</item>
      </candidateList>
      <explain>文本全半角错误。</explain>
      <paraID>6A685722</paraID>
      <start>95</start>
      <end>96</end>
      <status>unmodified</status>
      <modifiedWord/>
      <trackRevisions>false</trackRevisions>
    </reviewItem>
    <reviewItem>
      <errorID>63a48770-00e9-46e1-9d6a-6683c10da50c</errorID>
      <errorWord>(2013)22号</errorWord>
      <group>L1_Knowledge</group>
      <groupName>知识性问题</groupName>
      <ability>L2_Knowledge</ability>
      <abilityName>其他知识</abilityName>
      <candidateList>
        <item>〔2013〕22号</item>
      </candidateList>
      <explain>发文字号格式错误</explain>
      <paraID>6A685722</paraID>
      <start>100</start>
      <end>109</end>
      <status>unmodified</status>
      <modifiedWord/>
      <trackRevisions>false</trackRevisions>
    </reviewItem>
    <reviewItem>
      <errorID>c22a00ef-e0c1-412b-8bfb-06655649a710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21F2A062</paraID>
      <start>25</start>
      <end>26</end>
      <status>unmodified</status>
      <modifiedWord/>
      <trackRevisions>false</trackRevisions>
    </reviewItem>
    <reviewItem>
      <errorID>ff12b10a-f89b-42d4-90ae-00383f001ea9</errorID>
      <errorWord>施工总</errorWord>
      <group>L1_Word</group>
      <groupName>字词问题</groupName>
      <ability>L2_Typo</ability>
      <abilityName>字词错误</abilityName>
      <candidateList>
        <item>施工</item>
      </candidateList>
      <explain>〈动〉按照设计的规格和要求建筑房屋、桥梁、道路、水利工程等。</explain>
      <paraID>5E23DAC2</paraID>
      <start>291</start>
      <end>294</end>
      <status>unmodified</status>
      <modifiedWord/>
      <trackRevisions>false</trackRevisions>
    </reviewItem>
    <reviewItem>
      <errorID>c9d2b5f2-da33-4f8c-a942-67cec8ff792f</errorID>
      <errorWord>依次累推</errorWord>
      <group>L1_Knowledge</group>
      <groupName>知识性问题</groupName>
      <ability>L2_Idiom</ability>
      <abilityName>成语和诗歌</abilityName>
      <candidateList>
        <item>依次类推</item>
      </candidateList>
      <explain/>
      <paraID>247B5F41</paraID>
      <start>143</start>
      <end>151</end>
      <status>modified</status>
      <modifiedWord>依次类推</modifiedWord>
      <trackRevisions>true</trackRevisions>
    </reviewItem>
    <reviewItem>
      <errorID>2a0c33a7-acc2-4daf-a738-c4280e7f77d5</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247B5F41</paraID>
      <start>430</start>
      <end>432</end>
      <status>unmodified</status>
      <modifiedWord/>
      <trackRevisions>false</trackRevisions>
    </reviewItem>
    <reviewItem>
      <errorID>9cb703ab-c8df-4e93-ae85-49491c9d14d8</errorID>
      <errorWord>是为</errorWord>
      <group>L1_Word</group>
      <groupName>字词问题</groupName>
      <ability>L2_Typo</ability>
      <abilityName>字词错误</abilityName>
      <candidateList>
        <item>视为</item>
      </candidateList>
      <explain/>
      <paraID>2C021522</paraID>
      <start>91</start>
      <end>95</end>
      <status>modified</status>
      <modifiedWord>视为</modifiedWord>
      <trackRevisions>true</trackRevisions>
    </reviewItem>
    <reviewItem>
      <errorID>de66a69d-ea3e-489f-8f05-750e62e4b3e1</errorID>
      <errorWord>赔款费</errorWord>
      <group>L1_Word</group>
      <groupName>字词问题</groupName>
      <ability>L2_Typo</ability>
      <abilityName>字词错误</abilityName>
      <candidateList>
        <item>赔偿费</item>
      </candidateList>
      <explain/>
      <paraID>2A542179</paraID>
      <start>169</start>
      <end>175</end>
      <status>modified</status>
      <modifiedWord>赔偿费</modifiedWord>
      <trackRevisions>true</trackRevisions>
    </reviewItem>
    <reviewItem>
      <errorID>ca5d6d4e-f7e0-42e7-956c-399bff8d3eb7</errorID>
      <errorWord>暂列金额</errorWord>
      <group>L1_Knowledge</group>
      <groupName>知识性问题</groupName>
      <ability>L2_Term</ability>
      <abilityName>专业术语</abilityName>
      <candidateList>
        <item>暂定金额</item>
      </candidateList>
      <explain/>
      <paraID>7894D833</paraID>
      <start>46</start>
      <end>50</end>
      <status>unmodified</status>
      <modifiedWord/>
      <trackRevisions>false</trackRevisions>
    </reviewItem>
    <reviewItem>
      <errorID>6555b054-1835-4d3c-b4fb-9aafdb065e84</errorID>
      <errorWord>会</errorWord>
      <group>L1_Word</group>
      <groupName>字词问题</groupName>
      <ability>L2_Typo</ability>
      <abilityName>字词错误</abilityName>
      <candidateList>
        <item>会和</item>
      </candidateList>
      <explain/>
      <paraID>3862E5DF</paraID>
      <start>11</start>
      <end>12</end>
      <status>unmodified</status>
      <modifiedWord/>
      <trackRevisions>false</trackRevisions>
    </reviewItem>
    <reviewItem>
      <errorID>73ec1199-b78c-4a52-8ddf-c62940c7d9aa</errorID>
      <errorWord>【2016】1号</errorWord>
      <group>L1_Knowledge</group>
      <groupName>知识性问题</groupName>
      <ability>L2_Knowledge</ability>
      <abilityName>其他知识</abilityName>
      <candidateList>
        <item>〔2016〕1号</item>
      </candidateList>
      <explain>发文字号格式错误</explain>
      <paraID>3862E5DF</paraID>
      <start>77</start>
      <end>85</end>
      <status>unmodified</status>
      <modifiedWord/>
      <trackRevisions>false</trackRevisions>
    </reviewItem>
    <reviewItem>
      <errorID>8963769a-35a8-4c5f-ae57-71cc52cc2795</errorID>
      <errorWord>费</errorWord>
      <group>L1_Word</group>
      <groupName>字词问题</groupName>
      <ability>L2_Typo</ability>
      <abilityName>字词错误</abilityName>
      <candidateList>
        <item>费用</item>
      </candidateList>
      <explain/>
      <paraID>1A90FE86</paraID>
      <start>47</start>
      <end>48</end>
      <status>unmodified</status>
      <modifiedWord/>
      <trackRevisions>false</trackRevisions>
    </reviewItem>
    <reviewItem>
      <errorID>9ebbb90f-9fb5-4897-8152-e3b5c9efa9d1</errorID>
      <errorWord>用</errorWord>
      <group>L1_Word</group>
      <groupName>字词问题</groupName>
      <ability>L2_Typo</ability>
      <abilityName>字词错误</abilityName>
      <candidateList>
        <item>用于</item>
      </candidateList>
      <explain/>
      <paraID>278C9BAA</paraID>
      <start>83</start>
      <end>84</end>
      <status>unmodified</status>
      <modifiedWord/>
      <trackRevisions>false</trackRevisions>
    </reviewItem>
    <reviewItem>
      <errorID>208b3679-98e5-4ba2-8d65-cd27c10336a1</errorID>
      <errorWord>广西壮族自治区建设工程质量检测管理规定</errorWord>
      <group>L1_Knowledge</group>
      <groupName>知识性问题</groupName>
      <ability>L2_Knowledge</ability>
      <abilityName>其他知识</abilityName>
      <candidateList/>
      <explain>当前法律法规未收录或尚未生效，注意核查是否正确。</explain>
      <paraID>7C9DE1E0</paraID>
      <start>30</start>
      <end>49</end>
      <status>unmodified</status>
      <modifiedWord/>
      <trackRevisions>false</trackRevisions>
    </reviewItem>
    <reviewItem>
      <errorID>d1ccc128-92bd-4745-bb23-2e1065070140</errorID>
      <errorWord>变更的</errorWord>
      <group>L1_Word</group>
      <groupName>字词问题</groupName>
      <ability>L2_Typo</ability>
      <abilityName>字词错误</abilityName>
      <candidateList>
        <item>变更</item>
      </candidateList>
      <explain>〈动〉改变；变动：～原定赛程｜修订版的内容有些～。</explain>
      <paraID>6BD3E856</paraID>
      <start>2</start>
      <end>5</end>
      <status>unmodified</status>
      <modifiedWord/>
      <trackRevisions>false</trackRevisions>
    </reviewItem>
    <reviewItem>
      <errorID>7e2dd7d4-f355-4b62-9fd4-ccc26656aed2</errorID>
      <errorWord>(</errorWord>
      <group>L1_Format</group>
      <groupName>格式问题</groupName>
      <ability>L2_HalfPunc</ability>
      <abilityName>全半角检查</abilityName>
      <candidateList>
        <item>（</item>
      </candidateList>
      <explain>文本全半角错误。</explain>
      <paraID>15DB0EAF</paraID>
      <start>0</start>
      <end>1</end>
      <status>unmodified</status>
      <modifiedWord/>
      <trackRevisions>false</trackRevisions>
    </reviewItem>
    <reviewItem>
      <errorID>e7d8065e-437b-4f87-9073-615d4487bfbe</errorID>
      <errorWord>提交的</errorWord>
      <group>L1_Word</group>
      <groupName>字词问题</groupName>
      <ability>L2_Typo</ability>
      <abilityName>字词错误</abilityName>
      <candidateList>
        <item>提交</item>
      </candidateList>
      <explain/>
      <paraID>15DB0EAF</paraID>
      <start>145</start>
      <end>148</end>
      <status>unmodified</status>
      <modifiedWord/>
      <trackRevisions>false</trackRevisions>
    </reviewItem>
    <reviewItem>
      <errorID>67bce2d6-8c89-4161-a255-6c2be9237ac1</errorID>
      <errorWord>(</errorWord>
      <group>L1_Format</group>
      <groupName>格式问题</groupName>
      <ability>L2_HalfPunc</ability>
      <abilityName>全半角检查</abilityName>
      <candidateList>
        <item>（</item>
      </candidateList>
      <explain>文本全半角错误。</explain>
      <paraID> FCF08BF</paraID>
      <start>0</start>
      <end>1</end>
      <status>unmodified</status>
      <modifiedWord/>
      <trackRevisions>false</trackRevisions>
    </reviewItem>
    <reviewItem>
      <errorID>5cb5ddb5-e2ae-4dcb-a3b0-d87ff45b713a</errorID>
      <errorWord>(</errorWord>
      <group>L1_Format</group>
      <groupName>格式问题</groupName>
      <ability>L2_HalfPunc</ability>
      <abilityName>全半角检查</abilityName>
      <candidateList>
        <item>（</item>
      </candidateList>
      <explain>文本全半角错误。</explain>
      <paraID>148F5192</paraID>
      <start>0</start>
      <end>1</end>
      <status>unmodified</status>
      <modifiedWord/>
      <trackRevisions>false</trackRevisions>
    </reviewItem>
    <reviewItem>
      <errorID>0774d0bc-0e2f-4ff6-a9d4-80dabcb12d9a</errorID>
      <errorWord>(</errorWord>
      <group>L1_Format</group>
      <groupName>格式问题</groupName>
      <ability>L2_HalfPunc</ability>
      <abilityName>全半角检查</abilityName>
      <candidateList>
        <item>（</item>
      </candidateList>
      <explain>文本全半角错误。</explain>
      <paraID>5938FAC5</paraID>
      <start>0</start>
      <end>1</end>
      <status>unmodified</status>
      <modifiedWord/>
      <trackRevisions>false</trackRevisions>
    </reviewItem>
    <reviewItem>
      <errorID>370b786d-3e57-4379-aea5-bfb59935cbd9</errorID>
      <errorWord>(</errorWord>
      <group>L1_Format</group>
      <groupName>格式问题</groupName>
      <ability>L2_HalfPunc</ability>
      <abilityName>全半角检查</abilityName>
      <candidateList>
        <item>（</item>
      </candidateList>
      <explain>文本全半角错误。</explain>
      <paraID>6A6FF75A</paraID>
      <start>0</start>
      <end>1</end>
      <status>unmodified</status>
      <modifiedWord/>
      <trackRevisions>false</trackRevisions>
    </reviewItem>
    <reviewItem>
      <errorID>9ac94598-db99-40bb-b626-f7adee06ac19</errorID>
      <errorWord>(</errorWord>
      <group>L1_Format</group>
      <groupName>格式问题</groupName>
      <ability>L2_HalfPunc</ability>
      <abilityName>全半角检查</abilityName>
      <candidateList>
        <item>（</item>
      </candidateList>
      <explain>文本全半角错误。</explain>
      <paraID>64713101</paraID>
      <start>0</start>
      <end>1</end>
      <status>unmodified</status>
      <modifiedWord/>
      <trackRevisions>false</trackRevisions>
    </reviewItem>
    <reviewItem>
      <errorID>a06660aa-359a-443e-b234-e567ddd5398a</errorID>
      <errorWord>及其</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64713101</paraID>
      <start>31</start>
      <end>33</end>
      <status>unmodified</status>
      <modifiedWord/>
      <trackRevisions>false</trackRevisions>
    </reviewItem>
    <reviewItem>
      <errorID>0a887e74-a7c2-43a7-9799-00c7064d779b</errorID>
      <errorWord>[2004]3号</errorWord>
      <group>L1_Knowledge</group>
      <groupName>知识性问题</groupName>
      <ability>L2_Knowledge</ability>
      <abilityName>其他知识</abilityName>
      <candidateList>
        <item>〔2004〕3号</item>
      </candidateList>
      <explain>发文字号格式错误</explain>
      <paraID>5A4A3084</paraID>
      <start>47</start>
      <end>55</end>
      <status>unmodified</status>
      <modifiedWord/>
      <trackRevisions>false</trackRevisions>
    </reviewItem>
    <reviewItem>
      <errorID>35b25ae7-78c2-4d13-bb49-9832031905bf</errorID>
      <errorWord>[2007]66号</errorWord>
      <group>L1_Knowledge</group>
      <groupName>知识性问题</groupName>
      <ability>L2_Knowledge</ability>
      <abilityName>其他知识</abilityName>
      <candidateList>
        <item>〔2007〕66号</item>
      </candidateList>
      <explain>发文字号格式错误</explain>
      <paraID>5A4A3084</paraID>
      <start>81</start>
      <end>90</end>
      <status>unmodified</status>
      <modifiedWord/>
      <trackRevisions>false</trackRevisions>
    </reviewItem>
    <reviewItem>
      <errorID>262a0361-50fa-4e24-a87c-df89eaf9800a</errorID>
      <errorWord>资料送</errorWord>
      <group>L1_Word</group>
      <groupName>字词问题</groupName>
      <ability>L2_Typo</ability>
      <abilityName>字词错误</abilityName>
      <candidateList>
        <item>资料</item>
      </candidateList>
      <explain>〈名〉❶生产、生活中必需的东西：生产～｜生活～。❷用作参考或依据的材料：收集～｜参考～｜统计～｜谈笑的～。</explain>
      <paraID>6B34306F</paraID>
      <start>55</start>
      <end>58</end>
      <status>unmodified</status>
      <modifiedWord/>
      <trackRevisions>false</trackRevisions>
    </reviewItem>
    <reviewItem>
      <errorID>615ec79b-8965-47da-b55e-2a3962d21d19</errorID>
      <errorWord>，</errorWord>
      <group>L1_Word</group>
      <groupName>字词问题</groupName>
      <ability>L2_Typo</ability>
      <abilityName>字词错误</abilityName>
      <candidateList>
        <item>，以</item>
      </candidateList>
      <explain/>
      <paraID> F582F5F</paraID>
      <start>137</start>
      <end>138</end>
      <status>unmodified</status>
      <modifiedWord/>
      <trackRevisions>false</trackRevisions>
    </reviewItem>
    <reviewItem>
      <errorID>83a05fb4-0cc8-4477-a104-b97b211dfdb2</errorID>
      <errorWord>财厅</errorWord>
      <group>L1_Knowledge</group>
      <groupName>知识性问题</groupName>
      <ability>L2_Knowledge</ability>
      <abilityName>其他知识</abilityName>
      <candidateList>
        <item>财政厅</item>
      </candidateList>
      <explain/>
      <paraID> F582F5F</paraID>
      <start>143</start>
      <end>145</end>
      <status>unmodified</status>
      <modifiedWord/>
      <trackRevisions>false</trackRevisions>
    </reviewItem>
    <reviewItem>
      <errorID>fa22e2d0-ec12-458f-877d-b401f049335c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53A4D083</paraID>
      <start>0</start>
      <end>2</end>
      <status>unmodified</status>
      <modifiedWord/>
      <trackRevisions>false</trackRevisions>
    </reviewItem>
    <reviewItem>
      <errorID>e9d598f0-6b54-4ab8-b9eb-972f9a9f5866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74E0208E</paraID>
      <start>0</start>
      <end>2</end>
      <status>unmodified</status>
      <modifiedWord/>
      <trackRevisions>false</trackRevisions>
    </reviewItem>
    <reviewItem>
      <errorID>eb049920-e74e-489f-9e0f-ae719b123f0f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554DE829</paraID>
      <start>0</start>
      <end>2</end>
      <status>unmodified</status>
      <modifiedWord/>
      <trackRevisions>false</trackRevisions>
    </reviewItem>
    <reviewItem>
      <errorID>783e09a6-98e0-4203-afc6-b591621d6e01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28D06169</paraID>
      <start>0</start>
      <end>2</end>
      <status>unmodified</status>
      <modifiedWord/>
      <trackRevisions>false</trackRevisions>
    </reviewItem>
    <reviewItem>
      <errorID>6830e9b1-aa15-4a93-9ece-689aeb7098d8</errorID>
      <errorWord>涉及到</errorWord>
      <group>L1_Word</group>
      <groupName>字词问题</groupName>
      <ability>L2_Typo</ability>
      <abilityName>字词错误</abilityName>
      <candidateList>
        <item>涉及</item>
      </candidateList>
      <explain>〈动〉牵涉到；关联到：案子～好几个人｜这个问题～面很广。</explain>
      <paraID>28D06169</paraID>
      <start>2</start>
      <end>5</end>
      <status>unmodified</status>
      <modifiedWord/>
      <trackRevisions>false</trackRevisions>
    </reviewItem>
    <reviewItem>
      <errorID>25e42c14-b8bb-4a2b-9813-d0859caa2b21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5D35BDED</paraID>
      <start>0</start>
      <end>2</end>
      <status>unmodified</status>
      <modifiedWord/>
      <trackRevisions>false</trackRevisions>
    </reviewItem>
    <reviewItem>
      <errorID>6b453cfa-a0e8-4397-89c6-7260bea1b959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71C4238E</paraID>
      <start>0</start>
      <end>2</end>
      <status>unmodified</status>
      <modifiedWord/>
      <trackRevisions>false</trackRevisions>
    </reviewItem>
    <reviewItem>
      <errorID>d3bb873e-5b4e-416f-b5ea-0a4fcee845f4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C950576</paraID>
      <start>0</start>
      <end>2</end>
      <status>unmodified</status>
      <modifiedWord/>
      <trackRevisions>false</trackRevisions>
    </reviewItem>
    <reviewItem>
      <errorID>71a77bd5-16cf-4dfa-a2e8-2df25f70c860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4BFF318B</paraID>
      <start>0</start>
      <end>2</end>
      <status>unmodified</status>
      <modifiedWord/>
      <trackRevisions>false</trackRevisions>
    </reviewItem>
    <reviewItem>
      <errorID>2ee702f6-08a4-488d-be0e-9a64042fa3de</errorID>
      <errorWord>/。</errorWord>
      <group>L1_Punc</group>
      <groupName>标点问题</groupName>
      <ability>L2_Punc</ability>
      <abilityName>标点符号检查</abilityName>
      <candidateList>
        <item>/</item>
      </candidateList>
      <explain/>
      <paraID>181C8BBF</paraID>
      <start>16</start>
      <end>18</end>
      <status>unmodified</status>
      <modifiedWord/>
      <trackRevisions>false</trackRevisions>
    </reviewItem>
    <reviewItem>
      <errorID>b705f0e1-5a9a-4026-a1fd-de6f3aef4352</errorID>
      <errorWord>:</errorWord>
      <group>L1_Format</group>
      <groupName>格式问题</groupName>
      <ability>L2_HalfPunc</ability>
      <abilityName>全半角检查</abilityName>
      <candidateList>
        <item>：</item>
      </candidateList>
      <explain>文本全半角错误。</explain>
      <paraID>114170B0</paraID>
      <start>9</start>
      <end>10</end>
      <status>unmodified</status>
      <modifiedWord/>
      <trackRevisions>false</trackRevisions>
    </reviewItem>
    <reviewItem>
      <errorID>1cb46ca4-78f3-49b2-9bb7-fed483efcb70</errorID>
      <errorWord>日</errorWord>
      <group>L1_Word</group>
      <groupName>字词问题</groupName>
      <ability>L2_Typo</ability>
      <abilityName>字词错误</abilityName>
      <candidateList>
        <item>日内</item>
      </candidateList>
      <explain/>
      <paraID>45BEC39F</paraID>
      <start>38</start>
      <end>39</end>
      <status>unmodified</status>
      <modifiedWord/>
      <trackRevisions>false</trackRevisions>
    </reviewItem>
    <reviewItem>
      <errorID>954d57f1-cccc-4cc4-ad7c-51699d06dd6e</errorID>
      <errorWord>：；</errorWord>
      <group>L1_Punc</group>
      <groupName>标点问题</groupName>
      <ability>L2_Punc</ability>
      <abilityName>标点符号检查</abilityName>
      <candidateList>
        <item>：</item>
      </candidateList>
      <explain/>
      <paraID>280F3E7A</paraID>
      <start>31</start>
      <end>33</end>
      <status>unmodified</status>
      <modifiedWord/>
      <trackRevisions>false</trackRevisions>
    </reviewItem>
    <reviewItem>
      <errorID>fc61bd4a-7d46-4fbf-86ed-5cb3b8cc4ab4</errorID>
      <errorWord>,</errorWord>
      <group>L1_Format</group>
      <groupName>格式问题</groupName>
      <ability>L2_HalfPunc</ability>
      <abilityName>全半角检查</abilityName>
      <candidateList>
        <item>，</item>
      </candidateList>
      <explain>文本全半角错误。</explain>
      <paraID> 7D924DA</paraID>
      <start>57</start>
      <end>58</end>
      <status>unmodified</status>
      <modifiedWord/>
      <trackRevisions>false</trackRevisions>
    </reviewItem>
    <reviewItem>
      <errorID>1edcff25-cc95-491b-aac5-a0f947e956ab</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5EC06878</paraID>
      <start>11</start>
      <end>26</end>
      <status>modified</status>
      <modifiedWord>住房和城乡建设厅</modifiedWord>
      <trackRevisions>true</trackRevisions>
    </reviewItem>
    <reviewItem>
      <errorID>95dfdb4a-27dc-475c-8686-a286a69200bb</errorID>
      <errorWord>价格价格</errorWord>
      <group>L1_Word</group>
      <groupName>字词问题</groupName>
      <ability>L2_Typo</ability>
      <abilityName>字词错误</abilityName>
      <candidateList>
        <item>价格</item>
      </candidateList>
      <explain/>
      <paraID>1674BEA1</paraID>
      <start>6</start>
      <end>10</end>
      <status>unmodified</status>
      <modifiedWord/>
      <trackRevisions>false</trackRevisions>
    </reviewItem>
    <reviewItem>
      <errorID>8a10e3f4-ca38-4ad2-b896-558a65986d86</errorID>
      <errorWord>其它</errorWord>
      <group>L1_Word</group>
      <groupName>字词问题</groupName>
      <ability>L2_Alias</ability>
      <abilityName>也作/曾用词</abilityName>
      <candidateList>
        <item>其他</item>
      </candidateList>
      <explain>词汇[其它]为不规范表述或旧称，其规范书面表述为[其他]。</explain>
      <paraID> 4495998</paraID>
      <start>1</start>
      <end>3</end>
      <status>unmodified</status>
      <modifiedWord/>
      <trackRevisions>false</trackRevisions>
    </reviewItem>
    <reviewItem>
      <errorID>031480a2-451a-43b3-bef2-495f613d8076</errorID>
      <errorWord>(</errorWord>
      <group>L1_Format</group>
      <groupName>格式问题</groupName>
      <ability>L2_HalfPunc</ability>
      <abilityName>全半角检查</abilityName>
      <candidateList>
        <item>（</item>
      </candidateList>
      <explain>文本全半角错误。</explain>
      <paraID> 4495998</paraID>
      <start>15</start>
      <end>16</end>
      <status>unmodified</status>
      <modifiedWord/>
      <trackRevisions>false</trackRevisions>
    </reviewItem>
    <reviewItem>
      <errorID>ae7e6c35-7570-4054-b9b6-51c380bfb571</errorID>
      <errorWord>)</errorWord>
      <group>L1_Format</group>
      <groupName>格式问题</groupName>
      <ability>L2_HalfPunc</ability>
      <abilityName>全半角检查</abilityName>
      <candidateList>
        <item>）</item>
      </candidateList>
      <explain>文本全半角错误。</explain>
      <paraID> 4495998</paraID>
      <start>28</start>
      <end>29</end>
      <status>unmodified</status>
      <modifiedWord/>
      <trackRevisions>false</trackRevisions>
    </reviewItem>
    <reviewItem>
      <errorID>dc9952fd-c0b9-4cb3-a40a-eeb64b4c1624</errorID>
      <errorWord>-</errorWord>
      <group>L1_Format</group>
      <groupName>格式问题</groupName>
      <ability>L2_HalfPunc</ability>
      <abilityName>全半角检查</abilityName>
      <candidateList>
        <item>－</item>
      </candidateList>
      <explain>文本全半角错误。</explain>
      <paraID> 4495998</paraID>
      <start>42</start>
      <end>43</end>
      <status>unmodified</status>
      <modifiedWord/>
      <trackRevisions>false</trackRevisions>
    </reviewItem>
    <reviewItem>
      <errorID>d2d0bdbd-1dfb-4ca0-9560-da5ce5cc5ba6</errorID>
      <errorWord>》</errorWord>
      <group>L1_Word</group>
      <groupName>字词问题</groupName>
      <ability>L2_Typo</ability>
      <abilityName>字词错误</abilityName>
      <candidateList>
        <item>》等</item>
      </candidateList>
      <explain/>
      <paraID> 4495998</paraID>
      <start>89</start>
      <end>90</end>
      <status>unmodified</status>
      <modifiedWord/>
      <trackRevisions>false</trackRevisions>
    </reviewItem>
    <reviewItem>
      <errorID>318f10d5-3c53-4e0d-81e3-14e47d1fc260</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479017AC</paraID>
      <start>11</start>
      <end>26</end>
      <status>modified</status>
      <modifiedWord>住房和城乡建设厅</modifiedWord>
      <trackRevisions>true</trackRevisions>
    </reviewItem>
    <reviewItem>
      <errorID>758c07d3-3a95-4e8e-89b2-72decc96b49a</errorID>
      <errorWord>其它</errorWord>
      <group>L1_Word</group>
      <groupName>字词问题</groupName>
      <ability>L2_Alias</ability>
      <abilityName>也作/曾用词</abilityName>
      <candidateList>
        <item>其他</item>
      </candidateList>
      <explain>词汇[其它]为不规范表述或旧称，其规范书面表述为[其他]。</explain>
      <paraID>6CAB4015</paraID>
      <start>13</start>
      <end>16</end>
      <status>unmodified</status>
      <modifiedWord/>
      <trackRevisions>false</trackRevisions>
    </reviewItem>
    <reviewItem>
      <errorID>e499a483-5cef-4a55-abd3-cedc028cb83f</errorID>
      <errorWord>：。</errorWord>
      <group>L1_Punc</group>
      <groupName>标点问题</groupName>
      <ability>L2_Punc</ability>
      <abilityName>标点符号检查</abilityName>
      <candidateList>
        <item>：</item>
      </candidateList>
      <explain/>
      <paraID>6CAB4015</paraID>
      <start>16</start>
      <end>18</end>
      <status>unmodified</status>
      <modifiedWord/>
      <trackRevisions>false</trackRevisions>
    </reviewItem>
    <reviewItem>
      <errorID>c4c3a058-23e6-45d4-9043-afdbb611660e</errorID>
      <errorWord>：。</errorWord>
      <group>L1_Punc</group>
      <groupName>标点问题</groupName>
      <ability>L2_Punc</ability>
      <abilityName>标点符号检查</abilityName>
      <candidateList>
        <item>：</item>
      </candidateList>
      <explain/>
      <paraID>  C658F3</paraID>
      <start>9</start>
      <end>11</end>
      <status>unmodified</status>
      <modifiedWord/>
      <trackRevisions>false</trackRevisions>
    </reviewItem>
    <reviewItem>
      <errorID>3fdbc497-2091-4696-86f1-904f0087dffc</errorID>
      <errorWord>，</errorWord>
      <group>L1_Word</group>
      <groupName>字词问题</groupName>
      <ability>L2_Typo</ability>
      <abilityName>字词错误</abilityName>
      <candidateList>
        <item>，在</item>
      </candidateList>
      <explain/>
      <paraID>451ACAB5</paraID>
      <start>24</start>
      <end>25</end>
      <status>unmodified</status>
      <modifiedWord/>
      <trackRevisions>false</trackRevisions>
    </reviewItem>
    <reviewItem>
      <errorID>4c9baadc-2e46-475c-a26f-1b28708c5720</errorID>
      <errorWord>和</errorWord>
      <group>L1_Word</group>
      <groupName>字词问题</groupName>
      <ability>L2_Typo</ability>
      <abilityName>字词错误</abilityName>
      <candidateList>
        <item>和具</item>
      </candidateList>
      <explain/>
      <paraID>41D91DDD</paraID>
      <start>168</start>
      <end>169</end>
      <status>unmodified</status>
      <modifiedWord/>
      <trackRevisions>false</trackRevisions>
    </reviewItem>
    <reviewItem>
      <errorID>4363762a-24d4-487b-9f8f-e39350694464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76D6027A</paraID>
      <start>0</start>
      <end>3</end>
      <status>unmodified</status>
      <modifiedWord/>
      <trackRevisions>false</trackRevisions>
    </reviewItem>
    <reviewItem>
      <errorID>95684399-fc05-488c-8191-b1b6f4efee8f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B29E7ED</paraID>
      <start>0</start>
      <end>3</end>
      <status>unmodified</status>
      <modifiedWord/>
      <trackRevisions>false</trackRevisions>
    </reviewItem>
    <reviewItem>
      <errorID>b423a854-0d49-4e3d-a262-a05ea775fc91</errorID>
      <errorWord>适时地</errorWord>
      <group>L1_Word</group>
      <groupName>字词问题</groupName>
      <ability>L2_Typo</ability>
      <abilityName>字词错误</abilityName>
      <candidateList>
        <item>适时</item>
      </candidateList>
      <explain/>
      <paraID> B29E7ED</paraID>
      <start>78</start>
      <end>81</end>
      <status>unmodified</status>
      <modifiedWord/>
      <trackRevisions>false</trackRevisions>
    </reviewItem>
    <reviewItem>
      <errorID>0240c4c4-98e8-49e6-83e9-26f2f8c4163b</errorID>
      <errorWord>签</errorWord>
      <group>L1_Word</group>
      <groupName>字词问题</groupName>
      <ability>L2_Typo</ability>
      <abilityName>字词错误</abilityName>
      <candidateList>
        <item>签订</item>
      </candidateList>
      <explain>〈动〉订立条约或合同并签字：两国～了贸易议定书和支付协定。</explain>
      <paraID>32029EE7</paraID>
      <start>35</start>
      <end>36</end>
      <status>unmodified</status>
      <modifiedWord/>
      <trackRevisions>false</trackRevisions>
    </reviewItem>
    <reviewItem>
      <errorID>767c1be4-eace-4efa-9f83-d3abb63a9340</errorID>
      <errorWord>：。</errorWord>
      <group>L1_Punc</group>
      <groupName>标点问题</groupName>
      <ability>L2_Punc</ability>
      <abilityName>标点符号检查</abilityName>
      <candidateList>
        <item>：</item>
      </candidateList>
      <explain/>
      <paraID>1759A01B</paraID>
      <start>14</start>
      <end>16</end>
      <status>unmodified</status>
      <modifiedWord/>
      <trackRevisions>false</trackRevisions>
    </reviewItem>
    <reviewItem>
      <errorID>9f967316-59aa-4c50-b884-3ac004421d20</errorID>
      <errorWord>：/。</errorWord>
      <group>L1_Punc</group>
      <groupName>标点问题</groupName>
      <ability>L2_Punc</ability>
      <abilityName>标点符号检查</abilityName>
      <candidateList>
        <item>：</item>
      </candidateList>
      <explain/>
      <paraID>242C68FD</paraID>
      <start>19</start>
      <end>22</end>
      <status>unmodified</status>
      <modifiedWord/>
      <trackRevisions>false</trackRevisions>
    </reviewItem>
    <reviewItem>
      <errorID>531e6081-8749-4e27-8676-d2a6c2880f92</errorID>
      <errorWord>：。</errorWord>
      <group>L1_Punc</group>
      <groupName>标点问题</groupName>
      <ability>L2_Punc</ability>
      <abilityName>标点符号检查</abilityName>
      <candidateList>
        <item>：</item>
      </candidateList>
      <explain/>
      <paraID>56C47F76</paraID>
      <start>23</start>
      <end>25</end>
      <status>unmodified</status>
      <modifiedWord/>
      <trackRevisions>false</trackRevisions>
    </reviewItem>
    <reviewItem>
      <errorID>34aa933f-a96c-4e8b-8564-593a4e87c603</errorID>
      <errorWord>分分</errorWord>
      <group>L1_Word</group>
      <groupName>字词问题</groupName>
      <ability>L2_Typo</ability>
      <abilityName>字词错误</abilityName>
      <candidateList>
        <item>分</item>
      </candidateList>
      <explain/>
      <paraID>57819375</paraID>
      <start>25</start>
      <end>27</end>
      <status>unmodified</status>
      <modifiedWord/>
      <trackRevisions>false</trackRevisions>
    </reviewItem>
    <reviewItem>
      <errorID>9317471c-35d6-41c3-b87e-d7f0c198cd22</errorID>
      <errorWord>，</errorWord>
      <group>L1_Word</group>
      <groupName>字词问题</groupName>
      <ability>L2_Typo</ability>
      <abilityName>字词错误</abilityName>
      <candidateList>
        <item>，由</item>
      </candidateList>
      <explain/>
      <paraID>57819375</paraID>
      <start>47</start>
      <end>48</end>
      <status>unmodified</status>
      <modifiedWord/>
      <trackRevisions>false</trackRevisions>
    </reviewItem>
    <reviewItem>
      <errorID>999ae3b9-260d-48a4-86ee-48bbe0b6231f</errorID>
      <errorWord>(</errorWord>
      <group>L1_Format</group>
      <groupName>格式问题</groupName>
      <ability>L2_HalfPunc</ability>
      <abilityName>全半角检查</abilityName>
      <candidateList>
        <item>（</item>
      </candidateList>
      <explain>文本全半角错误。</explain>
      <paraID>64EF3103</paraID>
      <start>38</start>
      <end>39</end>
      <status>unmodified</status>
      <modifiedWord/>
      <trackRevisions>false</trackRevisions>
    </reviewItem>
    <reviewItem>
      <errorID>cbd0cc5e-6038-43ca-be8a-264de209dff3</errorID>
      <errorWord>)</errorWord>
      <group>L1_Format</group>
      <groupName>格式问题</groupName>
      <ability>L2_HalfPunc</ability>
      <abilityName>全半角检查</abilityName>
      <candidateList>
        <item>）</item>
      </candidateList>
      <explain>文本全半角错误。</explain>
      <paraID>64EF3103</paraID>
      <start>40</start>
      <end>41</end>
      <status>unmodified</status>
      <modifiedWord/>
      <trackRevisions>false</trackRevisions>
    </reviewItem>
    <reviewItem>
      <errorID>11ec7080-ccae-4207-9b6c-1982be988e8c</errorID>
      <errorWord>(</errorWord>
      <group>L1_Format</group>
      <groupName>格式问题</groupName>
      <ability>L2_HalfPunc</ability>
      <abilityName>全半角检查</abilityName>
      <candidateList>
        <item>（</item>
      </candidateList>
      <explain>文本全半角错误。</explain>
      <paraID>64EF3103</paraID>
      <start>109</start>
      <end>110</end>
      <status>unmodified</status>
      <modifiedWord/>
      <trackRevisions>false</trackRevisions>
    </reviewItem>
    <reviewItem>
      <errorID>8239a7f5-244b-4ee9-b5b5-97deb9af3ebc</errorID>
      <errorWord>)</errorWord>
      <group>L1_Format</group>
      <groupName>格式问题</groupName>
      <ability>L2_HalfPunc</ability>
      <abilityName>全半角检查</abilityName>
      <candidateList>
        <item>）</item>
      </candidateList>
      <explain>文本全半角错误。</explain>
      <paraID>64EF3103</paraID>
      <start>123</start>
      <end>124</end>
      <status>unmodified</status>
      <modifiedWord/>
      <trackRevisions>false</trackRevisions>
    </reviewItem>
    <reviewItem>
      <errorID>a795dc44-2469-4ae3-be63-f0c59cb30576</errorID>
      <errorWord>款</errorWord>
      <group>L1_Word</group>
      <groupName>字词问题</groupName>
      <ability>L2_Typo</ability>
      <abilityName>字词错误</abilityName>
      <candidateList>
        <item>款和</item>
      </candidateList>
      <explain/>
      <paraID>6B8BC200</paraID>
      <start>43</start>
      <end>46</end>
      <status>modified</status>
      <modifiedWord>款和</modifiedWord>
      <trackRevisions>true</trackRevisions>
    </reviewItem>
    <reviewItem>
      <errorID>47dc622a-997f-4b35-b5bd-04925fcb26d1</errorID>
      <errorWord>撤除</errorWord>
      <group>L1_Word</group>
      <groupName>字词问题</groupName>
      <ability>L2_Typo</ability>
      <abilityName>字词错误</abilityName>
      <candidateList>
        <item>撤出</item>
      </candidateList>
      <explain>存在发音相同字词的误用。</explain>
      <paraID>6B8BC200</paraID>
      <start>90</start>
      <end>94</end>
      <status>modified</status>
      <modifiedWord>撤出</modifiedWord>
      <trackRevisions>true</trackRevisions>
    </reviewItem>
    <reviewItem>
      <errorID>eec4306e-66be-440f-b537-1e8a8e94917f</errorID>
      <errorWord>档案</errorWord>
      <group>L1_Word</group>
      <groupName>字词问题</groupName>
      <ability>L2_Typo</ability>
      <abilityName>字词错误</abilityName>
      <candidateList>
        <item>档</item>
      </candidateList>
      <explain/>
      <paraID>322B81A0</paraID>
      <start>117</start>
      <end>119</end>
      <status>unmodified</status>
      <modifiedWord/>
      <trackRevisions>false</trackRevisions>
    </reviewItem>
    <reviewItem>
      <errorID>55a770d0-efca-4348-8340-6cdee23011d5</errorID>
      <errorWord>(</errorWord>
      <group>L1_Format</group>
      <groupName>格式问题</groupName>
      <ability>L2_HalfPunc</ability>
      <abilityName>全半角检查</abilityName>
      <candidateList>
        <item>（</item>
      </candidateList>
      <explain>文本全半角错误。</explain>
      <paraID>561C2472</paraID>
      <start>14</start>
      <end>15</end>
      <status>unmodified</status>
      <modifiedWord/>
      <trackRevisions>false</trackRevisions>
    </reviewItem>
    <reviewItem>
      <errorID>5b36c364-c7ac-402d-97d7-03afb2dffa2e</errorID>
      <errorWord>)</errorWord>
      <group>L1_Format</group>
      <groupName>格式问题</groupName>
      <ability>L2_HalfPunc</ability>
      <abilityName>全半角检查</abilityName>
      <candidateList>
        <item>）</item>
      </candidateList>
      <explain>文本全半角错误。</explain>
      <paraID>561C2472</paraID>
      <start>24</start>
      <end>25</end>
      <status>unmodified</status>
      <modifiedWord/>
      <trackRevisions>false</trackRevisions>
    </reviewItem>
    <reviewItem>
      <errorID>6bc3a8a6-0da8-4ba2-a3aa-3db62901d4f0</errorID>
      <errorWord>【2015】70号</errorWord>
      <group>L1_Knowledge</group>
      <groupName>知识性问题</groupName>
      <ability>L2_Knowledge</ability>
      <abilityName>其他知识</abilityName>
      <candidateList>
        <item>〔2015〕70号</item>
      </candidateList>
      <explain>发文字号格式错误</explain>
      <paraID>4634D781</paraID>
      <start>34</start>
      <end>43</end>
      <status>unmodified</status>
      <modifiedWord/>
      <trackRevisions>false</trackRevisions>
    </reviewItem>
    <reviewItem>
      <errorID>b4c5c3f9-ca56-4360-84b7-326f2b86f429</errorID>
      <errorWord>费</errorWord>
      <group>L1_Word</group>
      <groupName>字词问题</groupName>
      <ability>L2_Typo</ability>
      <abilityName>字词错误</abilityName>
      <candidateList>
        <item>费用</item>
      </candidateList>
      <explain/>
      <paraID>743C558A</paraID>
      <start>46</start>
      <end>47</end>
      <status>unmodified</status>
      <modifiedWord/>
      <trackRevisions>false</trackRevisions>
    </reviewItem>
    <reviewItem>
      <errorID>4f7f4353-b6cd-4696-bf5d-717a32942d13</errorID>
      <errorWord>”</errorWord>
      <group>L1_Punc</group>
      <groupName>标点问题</groupName>
      <ability>L2_Punc</ability>
      <abilityName>标点符号检查</abilityName>
      <candidateList/>
      <explain/>
      <paraID>49AA7BA1</paraID>
      <start>65</start>
      <end>66</end>
      <status>unmodified</status>
      <modifiedWord/>
      <trackRevisions>false</trackRevisions>
    </reviewItem>
    <reviewItem>
      <errorID>04a6b34a-0bda-490f-8bb6-e5b7262eed3c</errorID>
      <errorWord>,</errorWord>
      <group>L1_Format</group>
      <groupName>格式问题</groupName>
      <ability>L2_HalfPunc</ability>
      <abilityName>全半角检查</abilityName>
      <candidateList>
        <item>，</item>
      </candidateList>
      <explain>文本全半角错误。</explain>
      <paraID>6D64CC27</paraID>
      <start>35</start>
      <end>36</end>
      <status>unmodified</status>
      <modifiedWord/>
      <trackRevisions>false</trackRevisions>
    </reviewItem>
    <reviewItem>
      <errorID>7f1e29b2-2eba-43f7-b938-30f1cca82f74</errorID>
      <errorWord>,</errorWord>
      <group>L1_Format</group>
      <groupName>格式问题</groupName>
      <ability>L2_HalfPunc</ability>
      <abilityName>全半角检查</abilityName>
      <candidateList>
        <item>，</item>
      </candidateList>
      <explain>文本全半角错误。</explain>
      <paraID>6D64CC27</paraID>
      <start>54</start>
      <end>55</end>
      <status>unmodified</status>
      <modifiedWord/>
      <trackRevisions>false</trackRevisions>
    </reviewItem>
    <reviewItem>
      <errorID>8b1e78e6-975b-42d1-9765-436871cfccae</errorID>
      <errorWord>百分之二</errorWord>
      <group>L1_Knowledge</group>
      <groupName>知识性问题</groupName>
      <ability>L2_Knowledge</ability>
      <abilityName>其他知识</abilityName>
      <candidateList>
        <item>2%</item>
      </candidateList>
      <explain/>
      <paraID>6D64CC27</paraID>
      <start>102</start>
      <end>106</end>
      <status>unmodified</status>
      <modifiedWord/>
      <trackRevisions>false</trackRevisions>
    </reviewItem>
    <reviewItem>
      <errorID>31d775da-942c-43e6-b453-961e329f9c24</errorID>
      <errorWord>（</errorWord>
      <group>L1_Punc</group>
      <groupName>标点问题</groupName>
      <ability>L2_Punc</ability>
      <abilityName>标点符号检查</abilityName>
      <candidateList/>
      <explain>同一形式括号套用。</explain>
      <paraID>29A4C697</paraID>
      <start>68</start>
      <end>69</end>
      <status>unmodified</status>
      <modifiedWord/>
      <trackRevisions>false</trackRevisions>
    </reviewItem>
    <reviewItem>
      <errorID>0a4b0387-2a73-436e-afbe-4e2cd65641e4</errorID>
      <errorWord>）</errorWord>
      <group>L1_Punc</group>
      <groupName>标点问题</groupName>
      <ability>L2_Punc</ability>
      <abilityName>标点符号检查</abilityName>
      <candidateList/>
      <explain>同一形式括号套用。</explain>
      <paraID>29A4C697</paraID>
      <start>96</start>
      <end>97</end>
      <status>unmodified</status>
      <modifiedWord/>
      <trackRevisions>false</trackRevisions>
    </reviewItem>
    <reviewItem>
      <errorID>2bee9952-17d3-49d3-8ddd-b8c334d77535</errorID>
      <errorWord>：；</errorWord>
      <group>L1_Punc</group>
      <groupName>标点问题</groupName>
      <ability>L2_Punc</ability>
      <abilityName>标点符号检查</abilityName>
      <candidateList>
        <item>：</item>
      </candidateList>
      <explain/>
      <paraID>29A4C697</paraID>
      <start>118</start>
      <end>120</end>
      <status>unmodified</status>
      <modifiedWord/>
      <trackRevisions>false</trackRevisions>
    </reviewItem>
    <reviewItem>
      <errorID>c5204a68-f63c-47dd-82ef-7b422e5b1ffc</errorID>
      <errorWord>：；</errorWord>
      <group>L1_Punc</group>
      <groupName>标点问题</groupName>
      <ability>L2_Punc</ability>
      <abilityName>标点符号检查</abilityName>
      <candidateList>
        <item>：</item>
      </candidateList>
      <explain/>
      <paraID>31634781</paraID>
      <start>58</start>
      <end>60</end>
      <status>unmodified</status>
      <modifiedWord/>
      <trackRevisions>false</trackRevisions>
    </reviewItem>
    <reviewItem>
      <errorID>a57c70b1-a12e-45d6-b31b-98e049782785</errorID>
      <errorWord>，</errorWord>
      <group>L1_Word</group>
      <groupName>字词问题</groupName>
      <ability>L2_Typo</ability>
      <abilityName>字词错误</abilityName>
      <candidateList>
        <item>，将</item>
      </candidateList>
      <explain/>
      <paraID>48BADFA1</paraID>
      <start>82</start>
      <end>83</end>
      <status>unmodified</status>
      <modifiedWord/>
      <trackRevisions>false</trackRevisions>
    </reviewItem>
    <reviewItem>
      <errorID>c57f0064-5221-4355-bc01-fd731ab9b9c6</errorID>
      <errorWord>履</errorWord>
      <group>L1_Word</group>
      <groupName>字词问题</groupName>
      <ability>L2_Typo</ability>
      <abilityName>字词错误</abilityName>
      <candidateList>
        <item>履约</item>
      </candidateList>
      <explain/>
      <paraID>1887B58E</paraID>
      <start>7</start>
      <end>10</end>
      <status>modified</status>
      <modifiedWord>履约</modifiedWord>
      <trackRevisions>true</trackRevisions>
    </reviewItem>
    <reviewItem>
      <errorID>02b8324a-e2bf-4b11-b4cc-b047dd041cf3</errorID>
      <errorWord>:</errorWord>
      <group>L1_Format</group>
      <groupName>格式问题</groupName>
      <ability>L2_HalfPunc</ability>
      <abilityName>全半角检查</abilityName>
      <candidateList>
        <item>：</item>
      </candidateList>
      <explain>文本全半角错误。</explain>
      <paraID> 32A5D35</paraID>
      <start>9</start>
      <end>10</end>
      <status>unmodified</status>
      <modifiedWord/>
      <trackRevisions>false</trackRevisions>
    </reviewItem>
    <reviewItem>
      <errorID>c2bd7b6e-3178-4cec-a938-51122b996ae5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18E34859</paraID>
      <start>0</start>
      <end>3</end>
      <status>unmodified</status>
      <modifiedWord/>
      <trackRevisions>false</trackRevisions>
    </reviewItem>
    <reviewItem>
      <errorID>55003dd3-f7bc-4c4b-9b37-7d0cdc0ac1ea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625B48CF</paraID>
      <start>0</start>
      <end>3</end>
      <status>unmodified</status>
      <modifiedWord/>
      <trackRevisions>false</trackRevisions>
    </reviewItem>
    <reviewItem>
      <errorID>4299a33d-1690-468a-8107-2ffbda17a77e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63051C2B</paraID>
      <start>0</start>
      <end>3</end>
      <status>unmodified</status>
      <modifiedWord/>
      <trackRevisions>false</trackRevisions>
    </reviewItem>
    <reviewItem>
      <errorID>3f0e468c-1dae-4267-a5a1-7d7d201e812d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561677D5</paraID>
      <start>0</start>
      <end>3</end>
      <status>unmodified</status>
      <modifiedWord/>
      <trackRevisions>false</trackRevisions>
    </reviewItem>
    <reviewItem>
      <errorID>fa65c672-ae94-4986-8bee-0a797e459c68</errorID>
      <errorWord>超过3天以上</errorWord>
      <group>L1_Word</group>
      <groupName>字词问题</groupName>
      <ability>L2_Typo</ability>
      <abilityName>字词错误</abilityName>
      <candidateList>
        <item>超过3天</item>
      </candidateList>
      <explain/>
      <paraID>561677D5</paraID>
      <start>51</start>
      <end>57</end>
      <status>unmodified</status>
      <modifiedWord/>
      <trackRevisions>false</trackRevisions>
    </reviewItem>
    <reviewItem>
      <errorID>2518d1cd-8a55-47b3-a76b-7dec6f649395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37001AE5</paraID>
      <start>0</start>
      <end>3</end>
      <status>unmodified</status>
      <modifiedWord/>
      <trackRevisions>false</trackRevisions>
    </reviewItem>
    <reviewItem>
      <errorID>a2882deb-4e68-4e39-a9f7-df13826911a5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1A1487FA</paraID>
      <start>0</start>
      <end>3</end>
      <status>unmodified</status>
      <modifiedWord/>
      <trackRevisions>false</trackRevisions>
    </reviewItem>
    <reviewItem>
      <errorID>0743d8bf-d726-408c-a604-e95dd64c868f</errorID>
      <errorWord>款</errorWord>
      <group>L1_Word</group>
      <groupName>字词问题</groupName>
      <ability>L2_Typo</ability>
      <abilityName>字词错误</abilityName>
      <candidateList>
        <item>款和</item>
      </candidateList>
      <explain/>
      <paraID>221683C8</paraID>
      <start>49</start>
      <end>52</end>
      <status>modified</status>
      <modifiedWord>款和</modifiedWord>
      <trackRevisions>true</trackRevisions>
    </reviewItem>
    <reviewItem>
      <errorID>de58650b-10d5-4302-8b46-0bb5a88fa4f0</errorID>
      <errorWord>撤除</errorWord>
      <group>L1_Word</group>
      <groupName>字词问题</groupName>
      <ability>L2_Typo</ability>
      <abilityName>字词错误</abilityName>
      <candidateList>
        <item>撤出</item>
      </candidateList>
      <explain>存在发音相同字词的误用。</explain>
      <paraID>221683C8</paraID>
      <start>84</start>
      <end>88</end>
      <status>modified</status>
      <modifiedWord>撤出</modifiedWord>
      <trackRevisions>true</trackRevisions>
    </reviewItem>
    <reviewItem>
      <errorID>97970559-6d4f-4fd6-aff0-2337aec72b3e</errorID>
      <errorWord>经验</errorWord>
      <group>L1_Word</group>
      <groupName>字词问题</groupName>
      <ability>L2_Typo</ability>
      <abilityName>字词错误</abilityName>
      <candidateList>
        <item>验</item>
      </candidateList>
      <explain/>
      <paraID>54CA538A</paraID>
      <start>31</start>
      <end>33</end>
      <status>unmodified</status>
      <modifiedWord/>
      <trackRevisions>false</trackRevisions>
    </reviewItem>
    <reviewItem>
      <errorID>f8e51644-35cb-4b5a-879a-9aaccbeffb54</errorID>
      <errorWord>其它</errorWord>
      <group>L1_Word</group>
      <groupName>字词问题</groupName>
      <ability>L2_Alias</ability>
      <abilityName>也作/曾用词</abilityName>
      <candidateList>
        <item>其他</item>
      </candidateList>
      <explain>词汇[其它]为不规范表述或旧称，其规范书面表述为[其他]。</explain>
      <paraID> B500945</paraID>
      <start>142</start>
      <end>144</end>
      <status>unmodified</status>
      <modifiedWord/>
      <trackRevisions>false</trackRevisions>
    </reviewItem>
    <reviewItem>
      <errorID>6cf109df-4893-4b0c-8c98-da7139ef20f8</errorID>
      <errorWord>办理办理</errorWord>
      <group>L1_Word</group>
      <groupName>字词问题</groupName>
      <ability>L2_Typo</ability>
      <abilityName>字词错误</abilityName>
      <candidateList>
        <item>办理</item>
      </candidateList>
      <explain/>
      <paraID>273C1188</paraID>
      <start>36</start>
      <end>40</end>
      <status>unmodified</status>
      <modifiedWord/>
      <trackRevisions>false</trackRevisions>
    </reviewItem>
    <reviewItem>
      <errorID>9b0538c7-438b-41e9-ad96-2c847fb4338e</errorID>
      <errorWord>法律、法规</errorWord>
      <group>L1_Word</group>
      <groupName>字词问题</groupName>
      <ability>L2_Typo</ability>
      <abilityName>字词错误</abilityName>
      <candidateList>
        <item>法律法规</item>
      </candidateList>
      <explain/>
      <paraID> 2E180A1</paraID>
      <start>27</start>
      <end>32</end>
      <status>unmodified</status>
      <modifiedWord/>
      <trackRevisions>false</trackRevisions>
    </reviewItem>
    <reviewItem>
      <errorID>e443bb0c-1380-4da7-8a41-ca58eceb8986</errorID>
      <errorWord>包括了</errorWord>
      <group>L1_Word</group>
      <groupName>字词问题</groupName>
      <ability>L2_Typo</ability>
      <abilityName>字词错误</abilityName>
      <candidateList>
        <item>包括</item>
      </candidateList>
      <explain/>
      <paraID>1427E17E</paraID>
      <start>8</start>
      <end>11</end>
      <status>unmodified</status>
      <modifiedWord/>
      <trackRevisions>false</trackRevisions>
    </reviewItem>
    <reviewItem>
      <errorID>bdc8f5c2-28fb-4c15-90ee-e07e73679575</errorID>
      <errorWord>包括了</errorWord>
      <group>L1_Word</group>
      <groupName>字词问题</groupName>
      <ability>L2_Typo</ability>
      <abilityName>字词错误</abilityName>
      <candidateList>
        <item>包括</item>
      </candidateList>
      <explain/>
      <paraID>4C75AC41</paraID>
      <start>9</start>
      <end>12</end>
      <status>unmodified</status>
      <modifiedWord/>
      <trackRevisions>false</trackRevisions>
    </reviewItem>
    <reviewItem>
      <errorID>2ff916de-8498-4d1a-a0a5-3c2494bace66</errorID>
      <errorWord>围</errorWord>
      <group>L1_Word</group>
      <groupName>字词问题</groupName>
      <ability>L2_Typo</ability>
      <abilityName>字词错误</abilityName>
      <candidateList>
        <item>围内</item>
      </candidateList>
      <explain/>
      <paraID>4C75AC41</paraID>
      <start>16</start>
      <end>17</end>
      <status>unmodified</status>
      <modifiedWord/>
      <trackRevisions>false</trackRevisions>
    </reviewItem>
    <reviewItem>
      <errorID>04813682-3a1f-4b50-a11d-89cd980d164c</errorID>
      <errorWord>承保人</errorWord>
      <group>L1_Word</group>
      <groupName>字词问题</groupName>
      <ability>L2_Typo</ability>
      <abilityName>字词错误</abilityName>
      <candidateList>
        <item>承包人</item>
      </candidateList>
      <explain/>
      <paraID>3C5D7EAE</paraID>
      <start>101</start>
      <end>107</end>
      <status>modified</status>
      <modifiedWord>承包人</modifiedWord>
      <trackRevisions>true</trackRevisions>
    </reviewItem>
    <reviewItem>
      <errorID>8775d54a-79b6-4405-9c89-b49aa309459b</errorID>
      <errorWord>(</errorWord>
      <group>L1_Format</group>
      <groupName>格式问题</groupName>
      <ability>L2_HalfPunc</ability>
      <abilityName>全半角检查</abilityName>
      <candidateList>
        <item>（</item>
      </candidateList>
      <explain>文本全半角错误。</explain>
      <paraID> 88F44CC</paraID>
      <start>4</start>
      <end>5</end>
      <status>unmodified</status>
      <modifiedWord/>
      <trackRevisions>false</trackRevisions>
    </reviewItem>
    <reviewItem>
      <errorID>77661e3e-f3ea-45c1-b471-a19b9c8d95df</errorID>
      <errorWord>)</errorWord>
      <group>L1_Format</group>
      <groupName>格式问题</groupName>
      <ability>L2_HalfPunc</ability>
      <abilityName>全半角检查</abilityName>
      <candidateList>
        <item>）</item>
      </candidateList>
      <explain>文本全半角错误。</explain>
      <paraID> 88F44CC</paraID>
      <start>8</start>
      <end>9</end>
      <status>unmodified</status>
      <modifiedWord/>
      <trackRevisions>false</trackRevisions>
    </reviewItem>
    <reviewItem>
      <errorID>e4513781-1fed-4321-8558-8e3d98128b5c</errorID>
      <errorWord>属</errorWord>
      <group>L1_Word</group>
      <groupName>字词问题</groupName>
      <ability>L2_Typo</ability>
      <abilityName>字词错误</abilityName>
      <candidateList>
        <item>属于</item>
      </candidateList>
      <explain/>
      <paraID>35920DC8</paraID>
      <start>38</start>
      <end>39</end>
      <status>unmodified</status>
      <modifiedWord/>
      <trackRevisions>false</trackRevisions>
    </reviewItem>
    <reviewItem>
      <errorID>8210ea2f-d2b4-4a9b-9245-fe15fb73d07b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1D67B615</paraID>
      <start>0</start>
      <end>2</end>
      <status>unmodified</status>
      <modifiedWord/>
      <trackRevisions>false</trackRevisions>
    </reviewItem>
    <reviewItem>
      <errorID>8eb60c13-6f2c-4cc7-b04a-c83bb9501831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2EC0F2AF</paraID>
      <start>0</start>
      <end>2</end>
      <status>unmodified</status>
      <modifiedWord/>
      <trackRevisions>false</trackRevisions>
    </reviewItem>
    <reviewItem>
      <errorID>4b2f0b42-a900-4077-873b-f4edb905ada9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3B2B001C</paraID>
      <start>0</start>
      <end>2</end>
      <status>unmodified</status>
      <modifiedWord/>
      <trackRevisions>false</trackRevisions>
    </reviewItem>
    <reviewItem>
      <errorID>42fb8e7c-e83d-4c7c-8ca7-246d7345e58c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7BB01885</paraID>
      <start>0</start>
      <end>2</end>
      <status>unmodified</status>
      <modifiedWord/>
      <trackRevisions>false</trackRevisions>
    </reviewItem>
    <reviewItem>
      <errorID>fcd0561d-1482-42ca-84a1-b64edade334d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2DA9AB2A</paraID>
      <start>0</start>
      <end>2</end>
      <status>unmodified</status>
      <modifiedWord/>
      <trackRevisions>false</trackRevisions>
    </reviewItem>
    <reviewItem>
      <errorID>26b9d5d2-9bf5-4d97-9a60-f3883c13ffc6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6118460B</paraID>
      <start>0</start>
      <end>2</end>
      <status>unmodified</status>
      <modifiedWord/>
      <trackRevisions>false</trackRevisions>
    </reviewItem>
    <reviewItem>
      <errorID>8758e051-76a5-468a-b3fb-ae9f39ab68e7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7B440163</paraID>
      <start>0</start>
      <end>2</end>
      <status>unmodified</status>
      <modifiedWord/>
      <trackRevisions>false</trackRevisions>
    </reviewItem>
    <reviewItem>
      <errorID>6c6642f6-ef94-4725-89cb-161648a74eb7</errorID>
      <errorWord>。</errorWord>
      <group>L1_Punc</group>
      <groupName>标点问题</groupName>
      <ability>L2_Punc</ability>
      <abilityName>标点符号检查</abilityName>
      <candidateList/>
      <explain/>
      <paraID>7AF63AA8</paraID>
      <start>0</start>
      <end>1</end>
      <status>unmodified</status>
      <modifiedWord/>
      <trackRevisions>false</trackRevisions>
    </reviewItem>
    <reviewItem>
      <errorID>53a0433d-6794-41ff-a341-affab5ff0d28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73ED0109</paraID>
      <start>0</start>
      <end>2</end>
      <status>unmodified</status>
      <modifiedWord/>
      <trackRevisions>false</trackRevisions>
    </reviewItem>
    <reviewItem>
      <errorID>9570d538-9e08-4c3d-94ce-4a8a4de3e349</errorID>
      <errorWord>保修</errorWord>
      <group>L1_Word</group>
      <groupName>字词问题</groupName>
      <ability>L2_Typo</ability>
      <abilityName>字词错误</abilityName>
      <candidateList>
        <item>报修</item>
      </candidateList>
      <explain/>
      <paraID>73ED0109</paraID>
      <start>50</start>
      <end>52</end>
      <status>unmodified</status>
      <modifiedWord/>
      <trackRevisions>false</trackRevisions>
    </reviewItem>
    <reviewItem>
      <errorID>065e9086-0239-419b-b6cf-ea97bc07b9e0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664D9E31</paraID>
      <start>0</start>
      <end>2</end>
      <status>unmodified</status>
      <modifiedWord/>
      <trackRevisions>false</trackRevisions>
    </reviewItem>
    <reviewItem>
      <errorID>bf036099-19b1-48ce-ac89-eec39013eb77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4ABABB9B</paraID>
      <start>0</start>
      <end>2</end>
      <status>unmodified</status>
      <modifiedWord/>
      <trackRevisions>false</trackRevisions>
    </reviewItem>
    <reviewItem>
      <errorID>57f47d99-75b1-4a10-870a-5dfe354b5db5</errorID>
      <errorWord>，</errorWord>
      <group>L1_Word</group>
      <groupName>字词问题</groupName>
      <ability>L2_Typo</ability>
      <abilityName>字词错误</abilityName>
      <candidateList>
        <item>，由</item>
      </candidateList>
      <explain/>
      <paraID>4ABABB9B</paraID>
      <start>92</start>
      <end>93</end>
      <status>unmodified</status>
      <modifiedWord/>
      <trackRevisions>false</trackRevisions>
    </reviewItem>
    <reviewItem>
      <errorID>95c2afac-ef84-4be0-a51b-a4b504b66bb4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78BC022C</paraID>
      <start>0</start>
      <end>2</end>
      <status>unmodified</status>
      <modifiedWord/>
      <trackRevisions>false</trackRevisions>
    </reviewItem>
    <reviewItem>
      <errorID>0fae1a73-5f71-42bf-b6ea-0baae8f85ccd</errorID>
      <errorWord>期</errorWord>
      <group>L1_Word</group>
      <groupName>字词问题</groupName>
      <ability>L2_Typo</ability>
      <abilityName>字词错误</abilityName>
      <candidateList>
        <item>期间</item>
      </candidateList>
      <explain>〈名〉某个时期里面：农忙～｜春节～｜抗战～。</explain>
      <paraID>76F2A4D0</paraID>
      <start>6</start>
      <end>7</end>
      <status>unmodified</status>
      <modifiedWord/>
      <trackRevisions>false</trackRevisions>
    </reviewItem>
    <reviewItem>
      <errorID>54cc4089-db81-4617-b24f-ff90ddde9b3f</errorID>
      <errorWord>承担的</errorWord>
      <group>L1_Word</group>
      <groupName>字词问题</groupName>
      <ability>L2_Typo</ability>
      <abilityName>字词错误</abilityName>
      <candidateList>
        <item>承担</item>
      </candidateList>
      <explain>〈动〉担负；担当：～义务｜～责任。</explain>
      <paraID>7D77A8CE</paraID>
      <start>33</start>
      <end>36</end>
      <status>unmodified</status>
      <modifiedWord/>
      <trackRevisions>false</trackRevisions>
    </reviewItem>
    <reviewItem>
      <errorID>bacb3a88-cbba-4f40-bde0-ba5b20d9380a</errorID>
      <errorWord>：。</errorWord>
      <group>L1_Punc</group>
      <groupName>标点问题</groupName>
      <ability>L2_Punc</ability>
      <abilityName>标点符号检查</abilityName>
      <candidateList>
        <item>：</item>
      </candidateList>
      <explain/>
      <paraID>6BED7C47</paraID>
      <start>22</start>
      <end>24</end>
      <status>unmodified</status>
      <modifiedWord/>
      <trackRevisions>false</trackRevisions>
    </reviewItem>
    <reviewItem>
      <errorID>a7c3dd53-bbf7-498c-a05a-a1c8f782053b</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6C012B71</paraID>
      <start>29</start>
      <end>31</end>
      <status>unmodified</status>
      <modifiedWord/>
      <trackRevisions>false</trackRevisions>
    </reviewItem>
    <reviewItem>
      <errorID>48c3d2c7-b724-436e-97c5-4a102aeb4d31</errorID>
      <errorWord>表</errorWord>
      <group>L1_Word</group>
      <groupName>字词问题</groupName>
      <ability>L2_Typo</ability>
      <abilityName>字词错误</abilityName>
      <candidateList>
        <item>表人</item>
      </candidateList>
      <explain/>
      <paraID>22964255</paraID>
      <start>17</start>
      <end>18</end>
      <status>unmodified</status>
      <modifiedWord/>
      <trackRevisions>false</trackRevisions>
    </reviewItem>
    <reviewItem>
      <errorID>1125f27c-b686-4cfd-acd8-fd13ebea34f1</errorID>
      <errorWord>承担的</errorWord>
      <group>L1_Word</group>
      <groupName>字词问题</groupName>
      <ability>L2_Typo</ability>
      <abilityName>字词错误</abilityName>
      <candidateList>
        <item>承担</item>
      </candidateList>
      <explain>〈动〉担负；担当：～义务｜～责任。</explain>
      <paraID>4D2140A2</paraID>
      <start>31</start>
      <end>34</end>
      <status>unmodified</status>
      <modifiedWord/>
      <trackRevisions>false</trackRevisions>
    </reviewItem>
    <reviewItem>
      <errorID>b5e0ba9b-ece6-48e9-8e68-02c5829e10c2</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4A85C0CC</paraID>
      <start>23</start>
      <end>28</end>
      <status>unmodified</status>
      <modifiedWord/>
      <trackRevisions>false</trackRevisions>
    </reviewItem>
    <reviewItem>
      <errorID>35561c3c-562d-4aab-91cb-8de3ff11bf81</errorID>
      <errorWord>表</errorWord>
      <group>L1_Word</group>
      <groupName>字词问题</groupName>
      <ability>L2_Typo</ability>
      <abilityName>字词错误</abilityName>
      <candidateList>
        <item>表人</item>
      </candidateList>
      <explain/>
      <paraID>6D76FB7C</paraID>
      <start>19</start>
      <end>20</end>
      <status>unmodified</status>
      <modifiedWord/>
      <trackRevisions>false</trackRevisions>
    </reviewItem>
    <reviewItem>
      <errorID>47bc9af5-a626-4d9f-8e43-ea42d4a9bc6c</errorID>
      <errorWord>承担的</errorWord>
      <group>L1_Word</group>
      <groupName>字词问题</groupName>
      <ability>L2_Typo</ability>
      <abilityName>字词错误</abilityName>
      <candidateList>
        <item>承担</item>
      </candidateList>
      <explain>〈动〉担负；担当：～义务｜～责任。</explain>
      <paraID> E583023</paraID>
      <start>42</start>
      <end>45</end>
      <status>unmodified</status>
      <modifiedWord/>
      <trackRevisions>false</trackRevisions>
    </reviewItem>
    <reviewItem>
      <errorID>deba286e-e484-48a0-92ec-4f0f82cc07f8</errorID>
      <errorWord>：。</errorWord>
      <group>L1_Punc</group>
      <groupName>标点问题</groupName>
      <ability>L2_Punc</ability>
      <abilityName>标点符号检查</abilityName>
      <candidateList>
        <item>：</item>
      </candidateList>
      <explain/>
      <paraID> F33B7F7</paraID>
      <start>22</start>
      <end>24</end>
      <status>unmodified</status>
      <modifiedWord/>
      <trackRevisions>false</trackRevisions>
    </reviewItem>
    <reviewItem>
      <errorID>1abaa6e7-a944-4ef4-8be3-b589f406f6b2</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6FF7B896</paraID>
      <start>29</start>
      <end>31</end>
      <status>unmodified</status>
      <modifiedWord/>
      <trackRevisions>false</trackRevisions>
    </reviewItem>
    <reviewItem>
      <errorID>0b377a82-52fb-4532-a8f8-92863349c371</errorID>
      <errorWord>表</errorWord>
      <group>L1_Word</group>
      <groupName>字词问题</groupName>
      <ability>L2_Typo</ability>
      <abilityName>字词错误</abilityName>
      <candidateList>
        <item>表人</item>
      </candidateList>
      <explain/>
      <paraID>4ED1D02B</paraID>
      <start>17</start>
      <end>18</end>
      <status>unmodified</status>
      <modifiedWord/>
      <trackRevisions>false</trackRevisions>
    </reviewItem>
    <reviewItem>
      <errorID>caefebeb-5516-48ab-bdaa-84e66d105923</errorID>
      <errorWord>承担的</errorWord>
      <group>L1_Word</group>
      <groupName>字词问题</groupName>
      <ability>L2_Typo</ability>
      <abilityName>字词错误</abilityName>
      <candidateList>
        <item>承担</item>
      </candidateList>
      <explain>〈动〉担负；担当：～义务｜～责任。</explain>
      <paraID>44B668BA</paraID>
      <start>41</start>
      <end>44</end>
      <status>unmodified</status>
      <modifiedWord/>
      <trackRevisions>false</trackRevisions>
    </reviewItem>
    <reviewItem>
      <errorID>0dcd9916-a303-4eed-9563-2569790ae10f</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1F451BF5</paraID>
      <start>23</start>
      <end>28</end>
      <status>unmodified</status>
      <modifiedWord/>
      <trackRevisions>false</trackRevisions>
    </reviewItem>
    <reviewItem>
      <errorID>d064ad82-f49e-420c-8421-bf37009cefda</errorID>
      <errorWord>表</errorWord>
      <group>L1_Word</group>
      <groupName>字词问题</groupName>
      <ability>L2_Typo</ability>
      <abilityName>字词错误</abilityName>
      <candidateList>
        <item>表人</item>
      </candidateList>
      <explain/>
      <paraID>115B1365</paraID>
      <start>19</start>
      <end>20</end>
      <status>unmodified</status>
      <modifiedWord/>
      <trackRevisions>false</trackRevisions>
    </reviewItem>
    <reviewItem>
      <errorID>f590461e-d48c-4c2e-aea0-b98a53181b46</errorID>
      <errorWord>”</errorWord>
      <group>L1_Punc</group>
      <groupName>标点问题</groupName>
      <ability>L2_Punc</ability>
      <abilityName>标点符号检查</abilityName>
      <candidateList/>
      <explain/>
      <paraID>3852D4C5</paraID>
      <start>73</start>
      <end>74</end>
      <status>unmodified</status>
      <modifiedWord/>
      <trackRevisions>false</trackRevisions>
    </reviewItem>
    <reviewItem>
      <errorID>fd9d4449-9e60-4f44-8284-52211fea6a1c</errorID>
      <errorWord>承担的</errorWord>
      <group>L1_Word</group>
      <groupName>字词问题</groupName>
      <ability>L2_Typo</ability>
      <abilityName>字词错误</abilityName>
      <candidateList>
        <item>承担</item>
      </candidateList>
      <explain>〈动〉担负；担当：～义务｜～责任。</explain>
      <paraID>5CB9541E</paraID>
      <start>36</start>
      <end>39</end>
      <status>unmodified</status>
      <modifiedWord/>
      <trackRevisions>false</trackRevisions>
    </reviewItem>
    <reviewItem>
      <errorID>46a99301-37ec-4290-80fd-a86ff440e290</errorID>
      <errorWord>：。</errorWord>
      <group>L1_Punc</group>
      <groupName>标点问题</groupName>
      <ability>L2_Punc</ability>
      <abilityName>标点符号检查</abilityName>
      <candidateList>
        <item>：</item>
      </candidateList>
      <explain/>
      <paraID>67A2EA12</paraID>
      <start>22</start>
      <end>24</end>
      <status>unmodified</status>
      <modifiedWord/>
      <trackRevisions>false</trackRevisions>
    </reviewItem>
    <reviewItem>
      <errorID>9841df16-9be8-4f56-9a1c-8d82d1ca4fb0</errorID>
      <errorWord>但是</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 3F9AF98</paraID>
      <start>29</start>
      <end>31</end>
      <status>unmodified</status>
      <modifiedWord/>
      <trackRevisions>false</trackRevisions>
    </reviewItem>
    <reviewItem>
      <errorID>a6f6e496-137a-48c2-835e-539a185c2dac</errorID>
      <errorWord>表</errorWord>
      <group>L1_Word</group>
      <groupName>字词问题</groupName>
      <ability>L2_Typo</ability>
      <abilityName>字词错误</abilityName>
      <candidateList>
        <item>表人</item>
      </candidateList>
      <explain/>
      <paraID>3F283112</paraID>
      <start>17</start>
      <end>18</end>
      <status>unmodified</status>
      <modifiedWord/>
      <trackRevisions>false</trackRevisions>
    </reviewItem>
    <reviewItem>
      <errorID>46a386da-ad4b-4eea-b9e1-10b9945632a2</errorID>
      <errorWord>承担的</errorWord>
      <group>L1_Word</group>
      <groupName>字词问题</groupName>
      <ability>L2_Typo</ability>
      <abilityName>字词错误</abilityName>
      <candidateList>
        <item>承担</item>
      </candidateList>
      <explain>〈动〉担负；担当：～义务｜～责任。</explain>
      <paraID>6AB0C1B2</paraID>
      <start>34</start>
      <end>37</end>
      <status>unmodified</status>
      <modifiedWord/>
      <trackRevisions>false</trackRevisions>
    </reviewItem>
    <reviewItem>
      <errorID>b3fc8e2e-702d-4afa-a482-e507bb2ac699</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542DBBF2</paraID>
      <start>23</start>
      <end>28</end>
      <status>unmodified</status>
      <modifiedWord/>
      <trackRevisions>false</trackRevisions>
    </reviewItem>
    <reviewItem>
      <errorID>8df0b658-65c3-424a-a707-307d1e8854a3</errorID>
      <errorWord>表</errorWord>
      <group>L1_Word</group>
      <groupName>字词问题</groupName>
      <ability>L2_Typo</ability>
      <abilityName>字词错误</abilityName>
      <candidateList>
        <item>表人</item>
      </candidateList>
      <explain/>
      <paraID>3D856D76</paraID>
      <start>19</start>
      <end>20</end>
      <status>unmodified</status>
      <modifiedWord/>
      <trackRevisions>false</trackRevisions>
    </reviewItem>
    <reviewItem>
      <errorID>9bfd9639-2c1e-4bb1-93e5-19d780a402e6</errorID>
      <errorWord>(</errorWord>
      <group>L1_Format</group>
      <groupName>格式问题</groupName>
      <ability>L2_HalfPunc</ability>
      <abilityName>全半角检查</abilityName>
      <candidateList>
        <item>（</item>
      </candidateList>
      <explain>文本全半角错误。</explain>
      <paraID>4FB9F807</paraID>
      <start>24</start>
      <end>25</end>
      <status>unmodified</status>
      <modifiedWord/>
      <trackRevisions>false</trackRevisions>
    </reviewItem>
    <reviewItem>
      <errorID>149f759e-7119-4c52-af3e-0591e8bbeb3d</errorID>
      <errorWord>)</errorWord>
      <group>L1_Format</group>
      <groupName>格式问题</groupName>
      <ability>L2_HalfPunc</ability>
      <abilityName>全半角检查</abilityName>
      <candidateList>
        <item>）</item>
      </candidateList>
      <explain>文本全半角错误。</explain>
      <paraID>4FB9F807</paraID>
      <start>27</start>
      <end>28</end>
      <status>unmodified</status>
      <modifiedWord/>
      <trackRevisions>false</trackRevisions>
    </reviewItem>
    <reviewItem>
      <errorID>abad7ffb-46af-434f-9e94-3788c4d49db9</errorID>
      <errorWord>(</errorWord>
      <group>L1_Format</group>
      <groupName>格式问题</groupName>
      <ability>L2_HalfPunc</ability>
      <abilityName>全半角检查</abilityName>
      <candidateList>
        <item>（</item>
      </candidateList>
      <explain>文本全半角错误。</explain>
      <paraID>4FB9F807</paraID>
      <start>30</start>
      <end>31</end>
      <status>unmodified</status>
      <modifiedWord/>
      <trackRevisions>false</trackRevisions>
    </reviewItem>
    <reviewItem>
      <errorID>0c456e03-1123-4a66-a6dc-5f5cbf78c835</errorID>
      <errorWord>)</errorWord>
      <group>L1_Format</group>
      <groupName>格式问题</groupName>
      <ability>L2_HalfPunc</ability>
      <abilityName>全半角检查</abilityName>
      <candidateList>
        <item>）</item>
      </candidateList>
      <explain>文本全半角错误。</explain>
      <paraID>4FB9F807</paraID>
      <start>33</start>
      <end>34</end>
      <status>unmodified</status>
      <modifiedWord/>
      <trackRevisions>false</trackRevisions>
    </reviewItem>
    <reviewItem>
      <errorID>1a43a8a2-2d00-463c-9879-475746d13443</errorID>
      <errorWord>(</errorWord>
      <group>L1_Format</group>
      <groupName>格式问题</groupName>
      <ability>L2_HalfPunc</ability>
      <abilityName>全半角检查</abilityName>
      <candidateList>
        <item>（</item>
      </candidateList>
      <explain>文本全半角错误。</explain>
      <paraID>458CAEF4</paraID>
      <start>22</start>
      <end>23</end>
      <status>unmodified</status>
      <modifiedWord/>
      <trackRevisions>false</trackRevisions>
    </reviewItem>
    <reviewItem>
      <errorID>0873e130-105f-4647-8b92-3c4748d3d970</errorID>
      <errorWord>)</errorWord>
      <group>L1_Format</group>
      <groupName>格式问题</groupName>
      <ability>L2_HalfPunc</ability>
      <abilityName>全半角检查</abilityName>
      <candidateList>
        <item>）</item>
      </candidateList>
      <explain>文本全半角错误。</explain>
      <paraID>458CAEF4</paraID>
      <start>25</start>
      <end>26</end>
      <status>unmodified</status>
      <modifiedWord/>
      <trackRevisions>false</trackRevisions>
    </reviewItem>
    <reviewItem>
      <errorID>d39c9cc7-31fb-461b-a2ca-6ad8195a2efe</errorID>
      <errorWord>(</errorWord>
      <group>L1_Format</group>
      <groupName>格式问题</groupName>
      <ability>L2_HalfPunc</ability>
      <abilityName>全半角检查</abilityName>
      <candidateList>
        <item>（</item>
      </candidateList>
      <explain>文本全半角错误。</explain>
      <paraID>7EEAFC6E</paraID>
      <start>36</start>
      <end>37</end>
      <status>unmodified</status>
      <modifiedWord/>
      <trackRevisions>false</trackRevisions>
    </reviewItem>
    <reviewItem>
      <errorID>ce4e854d-0659-4abf-bfd1-7635545c7efd</errorID>
      <errorWord>)</errorWord>
      <group>L1_Format</group>
      <groupName>格式问题</groupName>
      <ability>L2_HalfPunc</ability>
      <abilityName>全半角检查</abilityName>
      <candidateList>
        <item>）</item>
      </candidateList>
      <explain>文本全半角错误。</explain>
      <paraID>7EEAFC6E</paraID>
      <start>39</start>
      <end>40</end>
      <status>unmodified</status>
      <modifiedWord/>
      <trackRevisions>false</trackRevisions>
    </reviewItem>
    <reviewItem>
      <errorID>bb810ee2-6f86-4e1a-aa8f-187fa405edb4</errorID>
      <errorWord>(</errorWord>
      <group>L1_Format</group>
      <groupName>格式问题</groupName>
      <ability>L2_HalfPunc</ability>
      <abilityName>全半角检查</abilityName>
      <candidateList>
        <item>（</item>
      </candidateList>
      <explain>文本全半角错误。</explain>
      <paraID>7EEAFC6E</paraID>
      <start>42</start>
      <end>43</end>
      <status>unmodified</status>
      <modifiedWord/>
      <trackRevisions>false</trackRevisions>
    </reviewItem>
    <reviewItem>
      <errorID>0e1d81e5-d471-4efa-9bad-68b46a6b126f</errorID>
      <errorWord>)</errorWord>
      <group>L1_Format</group>
      <groupName>格式问题</groupName>
      <ability>L2_HalfPunc</ability>
      <abilityName>全半角检查</abilityName>
      <candidateList>
        <item>）</item>
      </candidateList>
      <explain>文本全半角错误。</explain>
      <paraID>7EEAFC6E</paraID>
      <start>45</start>
      <end>46</end>
      <status>unmodified</status>
      <modifiedWord/>
      <trackRevisions>false</trackRevisions>
    </reviewItem>
    <reviewItem>
      <errorID>14384c19-7b07-4efb-b1dc-49c5c2bcd6e4</errorID>
      <errorWord>(</errorWord>
      <group>L1_Format</group>
      <groupName>格式问题</groupName>
      <ability>L2_HalfPunc</ability>
      <abilityName>全半角检查</abilityName>
      <candidateList>
        <item>（</item>
      </candidateList>
      <explain>文本全半角错误。</explain>
      <paraID>7F98FB66</paraID>
      <start>24</start>
      <end>25</end>
      <status>unmodified</status>
      <modifiedWord/>
      <trackRevisions>false</trackRevisions>
    </reviewItem>
    <reviewItem>
      <errorID>e1907637-e962-449b-bb10-18a836bfac7b</errorID>
      <errorWord>)</errorWord>
      <group>L1_Format</group>
      <groupName>格式问题</groupName>
      <ability>L2_HalfPunc</ability>
      <abilityName>全半角检查</abilityName>
      <candidateList>
        <item>）</item>
      </candidateList>
      <explain>文本全半角错误。</explain>
      <paraID>7F98FB66</paraID>
      <start>27</start>
      <end>28</end>
      <status>unmodified</status>
      <modifiedWord/>
      <trackRevisions>false</trackRevisions>
    </reviewItem>
    <reviewItem>
      <errorID>3e4072ae-2e6c-4f17-b500-ddc0dc7d9b69</errorID>
      <errorWord>(</errorWord>
      <group>L1_Format</group>
      <groupName>格式问题</groupName>
      <ability>L2_HalfPunc</ability>
      <abilityName>全半角检查</abilityName>
      <candidateList>
        <item>（</item>
      </candidateList>
      <explain>文本全半角错误。</explain>
      <paraID>5C01F394</paraID>
      <start>43</start>
      <end>44</end>
      <status>unmodified</status>
      <modifiedWord/>
      <trackRevisions>false</trackRevisions>
    </reviewItem>
    <reviewItem>
      <errorID>ab887505-c613-4490-9042-6405f39b1937</errorID>
      <errorWord>)</errorWord>
      <group>L1_Format</group>
      <groupName>格式问题</groupName>
      <ability>L2_HalfPunc</ability>
      <abilityName>全半角检查</abilityName>
      <candidateList>
        <item>）</item>
      </candidateList>
      <explain>文本全半角错误。</explain>
      <paraID>5C01F394</paraID>
      <start>46</start>
      <end>47</end>
      <status>unmodified</status>
      <modifiedWord/>
      <trackRevisions>false</trackRevisions>
    </reviewItem>
    <reviewItem>
      <errorID>9586848d-0c73-46e7-b482-ca4f5156ff60</errorID>
      <errorWord>(</errorWord>
      <group>L1_Format</group>
      <groupName>格式问题</groupName>
      <ability>L2_HalfPunc</ability>
      <abilityName>全半角检查</abilityName>
      <candidateList>
        <item>（</item>
      </candidateList>
      <explain>文本全半角错误。</explain>
      <paraID>5C01F394</paraID>
      <start>49</start>
      <end>50</end>
      <status>unmodified</status>
      <modifiedWord/>
      <trackRevisions>false</trackRevisions>
    </reviewItem>
    <reviewItem>
      <errorID>55dcd9e3-c599-426c-96b3-055d90ecc0f7</errorID>
      <errorWord>)</errorWord>
      <group>L1_Format</group>
      <groupName>格式问题</groupName>
      <ability>L2_HalfPunc</ability>
      <abilityName>全半角检查</abilityName>
      <candidateList>
        <item>）</item>
      </candidateList>
      <explain>文本全半角错误。</explain>
      <paraID>5C01F394</paraID>
      <start>52</start>
      <end>53</end>
      <status>unmodified</status>
      <modifiedWord/>
      <trackRevisions>false</trackRevisions>
    </reviewItem>
    <reviewItem>
      <errorID>a035f0d5-a934-4878-8466-1737f2ccede9</errorID>
      <errorWord>(</errorWord>
      <group>L1_Format</group>
      <groupName>格式问题</groupName>
      <ability>L2_HalfPunc</ability>
      <abilityName>全半角检查</abilityName>
      <candidateList>
        <item>（</item>
      </candidateList>
      <explain>文本全半角错误。</explain>
      <paraID>38D42205</paraID>
      <start>25</start>
      <end>26</end>
      <status>unmodified</status>
      <modifiedWord/>
      <trackRevisions>false</trackRevisions>
    </reviewItem>
    <reviewItem>
      <errorID>da6da058-d767-472e-8449-4c09840a7c1a</errorID>
      <errorWord>)</errorWord>
      <group>L1_Format</group>
      <groupName>格式问题</groupName>
      <ability>L2_HalfPunc</ability>
      <abilityName>全半角检查</abilityName>
      <candidateList>
        <item>）</item>
      </candidateList>
      <explain>文本全半角错误。</explain>
      <paraID>38D42205</paraID>
      <start>28</start>
      <end>29</end>
      <status>unmodified</status>
      <modifiedWord/>
      <trackRevisions>false</trackRevisions>
    </reviewItem>
    <reviewItem>
      <errorID>0f6a11b5-23d1-4ce6-812e-360ab6cfaece</errorID>
      <errorWord>(</errorWord>
      <group>L1_Format</group>
      <groupName>格式问题</groupName>
      <ability>L2_HalfPunc</ability>
      <abilityName>全半角检查</abilityName>
      <candidateList>
        <item>（</item>
      </candidateList>
      <explain>文本全半角错误。</explain>
      <paraID>1B6D5E90</paraID>
      <start>41</start>
      <end>42</end>
      <status>unmodified</status>
      <modifiedWord/>
      <trackRevisions>false</trackRevisions>
    </reviewItem>
    <reviewItem>
      <errorID>0805897a-2cca-42b9-9d5b-8fbc20e77780</errorID>
      <errorWord>)</errorWord>
      <group>L1_Format</group>
      <groupName>格式问题</groupName>
      <ability>L2_HalfPunc</ability>
      <abilityName>全半角检查</abilityName>
      <candidateList>
        <item>）</item>
      </candidateList>
      <explain>文本全半角错误。</explain>
      <paraID>1B6D5E90</paraID>
      <start>44</start>
      <end>45</end>
      <status>unmodified</status>
      <modifiedWord/>
      <trackRevisions>false</trackRevisions>
    </reviewItem>
    <reviewItem>
      <errorID>07663503-580a-4a9a-a4a5-e684b1328422</errorID>
      <errorWord>(</errorWord>
      <group>L1_Format</group>
      <groupName>格式问题</groupName>
      <ability>L2_HalfPunc</ability>
      <abilityName>全半角检查</abilityName>
      <candidateList>
        <item>（</item>
      </candidateList>
      <explain>文本全半角错误。</explain>
      <paraID>1B6D5E90</paraID>
      <start>47</start>
      <end>48</end>
      <status>unmodified</status>
      <modifiedWord/>
      <trackRevisions>false</trackRevisions>
    </reviewItem>
    <reviewItem>
      <errorID>692de3a3-452b-4438-972e-9969f40c49e3</errorID>
      <errorWord>)</errorWord>
      <group>L1_Format</group>
      <groupName>格式问题</groupName>
      <ability>L2_HalfPunc</ability>
      <abilityName>全半角检查</abilityName>
      <candidateList>
        <item>）</item>
      </candidateList>
      <explain>文本全半角错误。</explain>
      <paraID>1B6D5E90</paraID>
      <start>50</start>
      <end>51</end>
      <status>unmodified</status>
      <modifiedWord/>
      <trackRevisions>false</trackRevisions>
    </reviewItem>
    <reviewItem>
      <errorID>1d8aad31-12e1-43a6-b14f-7ce80f81e1f6</errorID>
      <errorWord>提出质疑</errorWord>
      <group>L1_Word</group>
      <groupName>字词问题</groupName>
      <ability>L2_Typo</ability>
      <abilityName>字词错误</abilityName>
      <candidateList>
        <item>质疑</item>
      </candidateList>
      <explain>〈动〉提出疑问：～问难。</explain>
      <paraID>19A999B0</paraID>
      <start>53</start>
      <end>57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24ad0-7b95-4e2a-a921-fee9cefdc28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153</Pages>
  <Words>3696</Words>
  <Characters>4336</Characters>
  <Lines>3690</Lines>
  <Paragraphs>2881</Paragraphs>
  <TotalTime>12</TotalTime>
  <ScaleCrop>false</ScaleCrop>
  <LinksUpToDate>false</LinksUpToDate>
  <CharactersWithSpaces>4638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2025-04-07T09:24:00Z</dcterms:created>
  <dc:creator>NTKO</dc:creator>
  <cp:lastModifiedBy>鞠丰泽</cp:lastModifiedBy>
  <cp:lastPrinted>2022-11-16T04:13:00Z</cp:lastPrinted>
  <dcterms:modified xsi:type="dcterms:W3CDTF">2026-05-12T09:47:02Z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1CB86BB232AC44B8AE661FA2E888BEA9_13</vt:lpwstr>
  </property>
  <property fmtid="{D5CDD505-2E9C-101B-9397-08002B2CF9AE}" pid="4" name="KSOTemplateDocerSaveRecord">
    <vt:lpwstr>eyJoZGlkIjoiNzA2ODhiZDJmY2ZiZGE1MjYwMmI0MDc5ZmFmMjI3M2QiLCJ1c2VySWQiOiI4MTcwMzMwNTcifQ==</vt:lpwstr>
  </property>
</Properties>
</file>